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11BF8070" w:rsidR="00BD499F" w:rsidRPr="004C23F4" w:rsidRDefault="000B2FB6" w:rsidP="00B40C60">
          <w:pPr>
            <w:pStyle w:val="Heading1"/>
            <w:jc w:val="center"/>
            <w:rPr>
              <w:rFonts w:ascii="Arial" w:hAnsi="Arial" w:cs="Arial"/>
            </w:rPr>
          </w:pPr>
          <w:r w:rsidRPr="000B2FB6">
            <w:rPr>
              <w:rFonts w:ascii="Arial" w:hAnsi="Arial" w:cs="Arial"/>
            </w:rPr>
            <w:t>Vinyl toluene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4"/>
        <w:gridCol w:w="5042"/>
      </w:tblGrid>
      <w:tr w:rsidR="00F43AD5" w:rsidRPr="004C23F4" w14:paraId="189D6E38" w14:textId="77777777" w:rsidTr="0067176D">
        <w:trPr>
          <w:cantSplit/>
          <w:tblHeader/>
        </w:trPr>
        <w:tc>
          <w:tcPr>
            <w:tcW w:w="3984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2" w:type="dxa"/>
          </w:tcPr>
          <w:p w14:paraId="3EDBFD9E" w14:textId="0307A631" w:rsidR="00F43AD5" w:rsidRPr="00717D45" w:rsidRDefault="000B2FB6" w:rsidP="00B76A41">
            <w:pPr>
              <w:pStyle w:val="Tablefont"/>
            </w:pPr>
            <w:r w:rsidRPr="000B2FB6">
              <w:t>25013-15-4</w:t>
            </w:r>
          </w:p>
        </w:tc>
      </w:tr>
      <w:tr w:rsidR="00F43AD5" w:rsidRPr="004C23F4" w14:paraId="562A9F51" w14:textId="77777777" w:rsidTr="0067176D">
        <w:trPr>
          <w:cantSplit/>
        </w:trPr>
        <w:tc>
          <w:tcPr>
            <w:tcW w:w="3984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2" w:type="dxa"/>
          </w:tcPr>
          <w:p w14:paraId="32648AB9" w14:textId="09AE9D26" w:rsidR="00F43AD5" w:rsidRPr="00717D45" w:rsidRDefault="00DD4184" w:rsidP="00B76A41">
            <w:pPr>
              <w:pStyle w:val="Tablefont"/>
            </w:pPr>
            <w:r>
              <w:t>Methyl</w:t>
            </w:r>
            <w:r w:rsidR="005E49E1">
              <w:t xml:space="preserve"> </w:t>
            </w:r>
            <w:r>
              <w:t xml:space="preserve">styrene, </w:t>
            </w:r>
            <w:proofErr w:type="spellStart"/>
            <w:r>
              <w:t>tolyethylene</w:t>
            </w:r>
            <w:proofErr w:type="spellEnd"/>
            <w:r>
              <w:t>, 3-vinyltoluene, 4-vinyltoluene</w:t>
            </w:r>
          </w:p>
        </w:tc>
      </w:tr>
      <w:tr w:rsidR="00F43AD5" w:rsidRPr="004C23F4" w14:paraId="6EE54A08" w14:textId="77777777" w:rsidTr="0067176D">
        <w:trPr>
          <w:cantSplit/>
        </w:trPr>
        <w:tc>
          <w:tcPr>
            <w:tcW w:w="3984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2" w:type="dxa"/>
          </w:tcPr>
          <w:p w14:paraId="69369B00" w14:textId="66FE4C28" w:rsidR="00F43AD5" w:rsidRPr="00717D45" w:rsidRDefault="00DD4184" w:rsidP="00B76A41">
            <w:pPr>
              <w:pStyle w:val="Tablefont"/>
            </w:pPr>
            <w:r>
              <w:t>C</w:t>
            </w:r>
            <w:r w:rsidRPr="00DD4184">
              <w:rPr>
                <w:vertAlign w:val="subscript"/>
              </w:rPr>
              <w:t>9</w:t>
            </w:r>
            <w:r>
              <w:t>H</w:t>
            </w:r>
            <w:r w:rsidRPr="00DD4184">
              <w:rPr>
                <w:vertAlign w:val="subscript"/>
              </w:rPr>
              <w:t>10</w:t>
            </w:r>
          </w:p>
        </w:tc>
      </w:tr>
    </w:tbl>
    <w:p w14:paraId="71D72173" w14:textId="3C468852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A72971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35399ED2" w:rsidR="002C7AFE" w:rsidRPr="00A72971" w:rsidRDefault="00A72971" w:rsidP="00017C82">
            <w:pPr>
              <w:pStyle w:val="Tablefont"/>
              <w:rPr>
                <w:b/>
              </w:rPr>
            </w:pPr>
            <w:r w:rsidRPr="00A72971">
              <w:rPr>
                <w:rFonts w:cs="Arial"/>
                <w:b/>
              </w:rPr>
              <w:t>20 ppm (9</w:t>
            </w:r>
            <w:r>
              <w:rPr>
                <w:rFonts w:cs="Arial"/>
                <w:b/>
              </w:rPr>
              <w:t>7</w:t>
            </w:r>
            <w:r w:rsidRPr="00A72971">
              <w:rPr>
                <w:rFonts w:cs="Arial"/>
                <w:b/>
              </w:rPr>
              <w:t xml:space="preserve"> mg/m</w:t>
            </w:r>
            <w:r w:rsidRPr="00A72971">
              <w:rPr>
                <w:rFonts w:cs="Arial"/>
                <w:b/>
                <w:vertAlign w:val="superscript"/>
              </w:rPr>
              <w:t>3</w:t>
            </w:r>
            <w:r w:rsidRPr="00A72971">
              <w:rPr>
                <w:rFonts w:cs="Arial"/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264B1747" w:rsidR="00037E52" w:rsidRPr="00EB3D1B" w:rsidRDefault="00A72971" w:rsidP="00037E52">
            <w:pPr>
              <w:pStyle w:val="Tablefont"/>
              <w:rPr>
                <w:b/>
              </w:rPr>
            </w:pPr>
            <w:r w:rsidRPr="00A72971">
              <w:rPr>
                <w:b/>
              </w:rPr>
              <w:t>40 ppm (</w:t>
            </w:r>
            <w:r>
              <w:rPr>
                <w:b/>
              </w:rPr>
              <w:t>193</w:t>
            </w:r>
            <w:r w:rsidRPr="00A72971">
              <w:rPr>
                <w:b/>
              </w:rPr>
              <w:t xml:space="preserve"> mg/m</w:t>
            </w:r>
            <w:r w:rsidRPr="00A72971">
              <w:rPr>
                <w:b/>
                <w:vertAlign w:val="superscript"/>
              </w:rPr>
              <w:t>3</w:t>
            </w:r>
            <w:r w:rsidRPr="00A72971">
              <w:rPr>
                <w:b/>
              </w:rPr>
              <w:t>)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3342E9F" w:rsidR="00037E52" w:rsidRPr="00EB3D1B" w:rsidRDefault="00DD4184" w:rsidP="00037E52">
            <w:pPr>
              <w:pStyle w:val="Tablefont"/>
              <w:rPr>
                <w:b/>
              </w:rPr>
            </w:pPr>
            <w:r w:rsidRPr="00DD4184">
              <w:rPr>
                <w:b/>
              </w:rPr>
              <w:t>400 ppm</w:t>
            </w:r>
          </w:p>
        </w:tc>
      </w:tr>
      <w:tr w:rsidR="00155999" w:rsidRPr="004C23F4" w14:paraId="27D0E012" w14:textId="77777777" w:rsidTr="00334B5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37E14FFC" w:rsidR="00155999" w:rsidRPr="00EB3D1B" w:rsidRDefault="00155999" w:rsidP="00037E52">
            <w:pPr>
              <w:pStyle w:val="Tablefont"/>
              <w:rPr>
                <w:b/>
              </w:rPr>
            </w:pPr>
            <w:r w:rsidRPr="00851093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A72971" w:rsidRPr="00851093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B88952C" w14:textId="6443F678" w:rsidR="00A72971" w:rsidRPr="00A72971" w:rsidRDefault="00A72971" w:rsidP="00A72971">
      <w:pPr>
        <w:rPr>
          <w:rFonts w:cs="Arial"/>
        </w:rPr>
      </w:pPr>
      <w:r w:rsidRPr="00A72971">
        <w:rPr>
          <w:rFonts w:cs="Arial"/>
        </w:rPr>
        <w:t xml:space="preserve">A TWA of </w:t>
      </w:r>
      <w:r>
        <w:rPr>
          <w:rFonts w:cs="Arial"/>
        </w:rPr>
        <w:t>20</w:t>
      </w:r>
      <w:r w:rsidRPr="00A72971">
        <w:rPr>
          <w:rFonts w:cs="Arial"/>
        </w:rPr>
        <w:t xml:space="preserve"> ppm (</w:t>
      </w:r>
      <w:r>
        <w:rPr>
          <w:rFonts w:cs="Arial"/>
        </w:rPr>
        <w:t>98</w:t>
      </w:r>
      <w:r w:rsidRPr="00A72971">
        <w:rPr>
          <w:rFonts w:cs="Arial"/>
        </w:rPr>
        <w:t xml:space="preserve"> mg/m</w:t>
      </w:r>
      <w:r w:rsidRPr="00A72971">
        <w:rPr>
          <w:rFonts w:cs="Arial"/>
          <w:vertAlign w:val="superscript"/>
        </w:rPr>
        <w:t>3</w:t>
      </w:r>
      <w:r w:rsidRPr="00A72971">
        <w:rPr>
          <w:rFonts w:cs="Arial"/>
        </w:rPr>
        <w:t xml:space="preserve">) is recommended to protect for </w:t>
      </w:r>
      <w:r>
        <w:rPr>
          <w:rFonts w:cs="Arial"/>
        </w:rPr>
        <w:t>mucous membrane irritation in exposed workers.</w:t>
      </w:r>
      <w:r w:rsidRPr="00A72971">
        <w:rPr>
          <w:rFonts w:cs="Arial"/>
        </w:rPr>
        <w:t xml:space="preserve"> </w:t>
      </w:r>
    </w:p>
    <w:p w14:paraId="56D7D7AF" w14:textId="3791FAC0" w:rsidR="006639B4" w:rsidRPr="004C23F4" w:rsidRDefault="00A72971" w:rsidP="000C139A">
      <w:pPr>
        <w:rPr>
          <w:rFonts w:cs="Arial"/>
        </w:rPr>
      </w:pPr>
      <w:r w:rsidRPr="00A72971">
        <w:rPr>
          <w:rFonts w:cs="Arial"/>
        </w:rPr>
        <w:t xml:space="preserve">A STEL of </w:t>
      </w:r>
      <w:r>
        <w:rPr>
          <w:rFonts w:cs="Arial"/>
        </w:rPr>
        <w:t xml:space="preserve">40 </w:t>
      </w:r>
      <w:r w:rsidRPr="00A72971">
        <w:rPr>
          <w:rFonts w:cs="Arial"/>
        </w:rPr>
        <w:t>ppm (</w:t>
      </w:r>
      <w:r>
        <w:rPr>
          <w:rFonts w:cs="Arial"/>
        </w:rPr>
        <w:t>196</w:t>
      </w:r>
      <w:r w:rsidRPr="00A72971">
        <w:rPr>
          <w:rFonts w:cs="Arial"/>
        </w:rPr>
        <w:t xml:space="preserve"> mg/m</w:t>
      </w:r>
      <w:r w:rsidRPr="00A72971">
        <w:rPr>
          <w:rFonts w:cs="Arial"/>
          <w:vertAlign w:val="superscript"/>
        </w:rPr>
        <w:t>3</w:t>
      </w:r>
      <w:r w:rsidRPr="00A72971">
        <w:rPr>
          <w:rFonts w:cs="Arial"/>
        </w:rPr>
        <w:t>) is recommended to protect for</w:t>
      </w:r>
      <w:r>
        <w:rPr>
          <w:rFonts w:cs="Arial"/>
        </w:rPr>
        <w:t xml:space="preserve"> </w:t>
      </w:r>
      <w:r w:rsidR="0067176D">
        <w:rPr>
          <w:rFonts w:cs="Arial"/>
        </w:rPr>
        <w:t xml:space="preserve">acute </w:t>
      </w:r>
      <w:r>
        <w:rPr>
          <w:rFonts w:cs="Arial"/>
        </w:rPr>
        <w:t xml:space="preserve">mucous membrane irritation </w:t>
      </w:r>
      <w:r w:rsidR="0067176D">
        <w:rPr>
          <w:rFonts w:cs="Arial"/>
        </w:rPr>
        <w:t>in exposed workers</w:t>
      </w:r>
      <w:r w:rsidRPr="00A72971">
        <w:rPr>
          <w:rFonts w:cs="Arial"/>
        </w:rPr>
        <w:t xml:space="preserve">. 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79F4810" w14:textId="4D2ED295" w:rsidR="0067176D" w:rsidRDefault="007C2A58" w:rsidP="006639B4">
      <w:pPr>
        <w:rPr>
          <w:rFonts w:cs="Arial"/>
        </w:rPr>
      </w:pPr>
      <w:r>
        <w:rPr>
          <w:rFonts w:cs="Arial"/>
        </w:rPr>
        <w:t>Vinyl toluene is used as an intermediate in the manufacture of plastics, coatings</w:t>
      </w:r>
      <w:r w:rsidR="00722A71">
        <w:rPr>
          <w:rFonts w:cs="Arial"/>
        </w:rPr>
        <w:t xml:space="preserve"> and</w:t>
      </w:r>
      <w:r>
        <w:rPr>
          <w:rFonts w:cs="Arial"/>
        </w:rPr>
        <w:t xml:space="preserve"> insecticides.</w:t>
      </w:r>
      <w:r w:rsidR="00D2739F">
        <w:rPr>
          <w:rFonts w:cs="Arial"/>
        </w:rPr>
        <w:t xml:space="preserve"> </w:t>
      </w:r>
    </w:p>
    <w:p w14:paraId="4438D5E4" w14:textId="18517BDE" w:rsidR="007C2A58" w:rsidRDefault="007C2A58" w:rsidP="006639B4">
      <w:pPr>
        <w:rPr>
          <w:rFonts w:cs="Arial"/>
        </w:rPr>
      </w:pPr>
      <w:r>
        <w:rPr>
          <w:rFonts w:cs="Arial"/>
        </w:rPr>
        <w:t xml:space="preserve">Critical effects of exposure are </w:t>
      </w:r>
      <w:r w:rsidR="00A42FB8">
        <w:rPr>
          <w:rFonts w:cs="Arial"/>
        </w:rPr>
        <w:t>objectionable odour</w:t>
      </w:r>
      <w:r w:rsidR="00722A71">
        <w:rPr>
          <w:rFonts w:cs="Arial"/>
        </w:rPr>
        <w:t xml:space="preserve"> and</w:t>
      </w:r>
      <w:r w:rsidR="00A42FB8">
        <w:rPr>
          <w:rFonts w:cs="Arial"/>
        </w:rPr>
        <w:t xml:space="preserve"> </w:t>
      </w:r>
      <w:r>
        <w:rPr>
          <w:rFonts w:cs="Arial"/>
        </w:rPr>
        <w:t>eye and upper respiratory tract</w:t>
      </w:r>
      <w:r w:rsidR="00D2739F">
        <w:rPr>
          <w:rFonts w:cs="Arial"/>
        </w:rPr>
        <w:t xml:space="preserve"> (URT)</w:t>
      </w:r>
      <w:r>
        <w:rPr>
          <w:rFonts w:cs="Arial"/>
        </w:rPr>
        <w:t xml:space="preserve"> irritation.</w:t>
      </w:r>
      <w:r w:rsidR="0067176D">
        <w:rPr>
          <w:rFonts w:cs="Arial"/>
        </w:rPr>
        <w:t xml:space="preserve"> </w:t>
      </w:r>
      <w:r>
        <w:rPr>
          <w:rFonts w:cs="Arial"/>
        </w:rPr>
        <w:t>A poorly documented sensory irritation threshold is reported at 50 to 100 ppm</w:t>
      </w:r>
      <w:r w:rsidR="00A72971" w:rsidRPr="00A72971">
        <w:rPr>
          <w:rFonts w:cs="Arial"/>
        </w:rPr>
        <w:t xml:space="preserve"> </w:t>
      </w:r>
      <w:r w:rsidR="00A72971">
        <w:rPr>
          <w:rFonts w:cs="Arial"/>
        </w:rPr>
        <w:t>in volunteers</w:t>
      </w:r>
      <w:r>
        <w:rPr>
          <w:rFonts w:cs="Arial"/>
        </w:rPr>
        <w:t xml:space="preserve">; </w:t>
      </w:r>
      <w:r w:rsidR="001A4B04">
        <w:rPr>
          <w:rFonts w:cs="Arial"/>
        </w:rPr>
        <w:t xml:space="preserve">in the same study, </w:t>
      </w:r>
      <w:r>
        <w:rPr>
          <w:rFonts w:cs="Arial"/>
        </w:rPr>
        <w:t xml:space="preserve">a nuisance odour at 200 ppm and strong irritation at 400 ppm </w:t>
      </w:r>
      <w:r w:rsidR="001A4B04">
        <w:rPr>
          <w:rFonts w:cs="Arial"/>
        </w:rPr>
        <w:t xml:space="preserve">are reported </w:t>
      </w:r>
      <w:r>
        <w:rPr>
          <w:rFonts w:cs="Arial"/>
        </w:rPr>
        <w:t xml:space="preserve">(ACGIH, 2018; DFG, 2017). Rodents </w:t>
      </w:r>
      <w:r w:rsidR="0067176D">
        <w:rPr>
          <w:rFonts w:cs="Arial"/>
        </w:rPr>
        <w:t>a</w:t>
      </w:r>
      <w:r>
        <w:rPr>
          <w:rFonts w:cs="Arial"/>
        </w:rPr>
        <w:t xml:space="preserve">re more sensitive than humans to </w:t>
      </w:r>
      <w:r w:rsidR="00D2739F">
        <w:rPr>
          <w:rFonts w:cs="Arial"/>
        </w:rPr>
        <w:t>URT</w:t>
      </w:r>
      <w:r>
        <w:rPr>
          <w:rFonts w:cs="Arial"/>
        </w:rPr>
        <w:t xml:space="preserve"> irritation</w:t>
      </w:r>
      <w:r w:rsidR="007657BF">
        <w:rPr>
          <w:rFonts w:cs="Arial"/>
        </w:rPr>
        <w:t xml:space="preserve"> as evidenced</w:t>
      </w:r>
      <w:r>
        <w:rPr>
          <w:rFonts w:cs="Arial"/>
        </w:rPr>
        <w:t xml:space="preserve"> in a chronic inhalation study, in which a LOAEC for </w:t>
      </w:r>
      <w:r w:rsidR="00A72971">
        <w:rPr>
          <w:rFonts w:cs="Arial"/>
        </w:rPr>
        <w:t>damage to</w:t>
      </w:r>
      <w:r>
        <w:rPr>
          <w:rFonts w:cs="Arial"/>
        </w:rPr>
        <w:t xml:space="preserve"> the nasal epithelium </w:t>
      </w:r>
      <w:r w:rsidR="0067176D">
        <w:rPr>
          <w:rFonts w:cs="Arial"/>
        </w:rPr>
        <w:t>i</w:t>
      </w:r>
      <w:r>
        <w:rPr>
          <w:rFonts w:cs="Arial"/>
        </w:rPr>
        <w:t>s reported at 100</w:t>
      </w:r>
      <w:r w:rsidR="007657BF">
        <w:rPr>
          <w:rFonts w:cs="Arial"/>
        </w:rPr>
        <w:t> </w:t>
      </w:r>
      <w:r>
        <w:rPr>
          <w:rFonts w:cs="Arial"/>
        </w:rPr>
        <w:t xml:space="preserve">ppm in rats and 10 ppm in mice (ACGIH, 2018; DFG, 2017). These results are supported by </w:t>
      </w:r>
      <w:r w:rsidR="00A72971">
        <w:rPr>
          <w:rFonts w:cs="Arial"/>
        </w:rPr>
        <w:t xml:space="preserve">toxicological </w:t>
      </w:r>
      <w:r>
        <w:rPr>
          <w:rFonts w:cs="Arial"/>
        </w:rPr>
        <w:t>data for</w:t>
      </w:r>
      <w:r w:rsidR="007657BF">
        <w:rPr>
          <w:rFonts w:cs="Arial"/>
        </w:rPr>
        <w:t xml:space="preserve"> structurally related</w:t>
      </w:r>
      <w:r>
        <w:rPr>
          <w:rFonts w:cs="Arial"/>
        </w:rPr>
        <w:t xml:space="preserve"> styrene, </w:t>
      </w:r>
      <w:r w:rsidR="00A72971">
        <w:rPr>
          <w:rFonts w:cs="Arial"/>
        </w:rPr>
        <w:t>which indicate</w:t>
      </w:r>
      <w:r>
        <w:rPr>
          <w:rFonts w:cs="Arial"/>
        </w:rPr>
        <w:t xml:space="preserve"> </w:t>
      </w:r>
      <w:r w:rsidR="00816CE0">
        <w:rPr>
          <w:rFonts w:cs="Arial"/>
        </w:rPr>
        <w:t xml:space="preserve">that </w:t>
      </w:r>
      <w:r>
        <w:rPr>
          <w:rFonts w:cs="Arial"/>
        </w:rPr>
        <w:t xml:space="preserve">local enzymatic oxidation </w:t>
      </w:r>
      <w:r w:rsidR="00A72971">
        <w:rPr>
          <w:rFonts w:cs="Arial"/>
        </w:rPr>
        <w:t>produces</w:t>
      </w:r>
      <w:r>
        <w:rPr>
          <w:rFonts w:cs="Arial"/>
        </w:rPr>
        <w:t xml:space="preserve"> irritating metabolites in rats, but not in human nasal tissue</w:t>
      </w:r>
      <w:r>
        <w:rPr>
          <w:rFonts w:cs="Arial"/>
          <w:i/>
        </w:rPr>
        <w:t xml:space="preserve"> in vitro</w:t>
      </w:r>
      <w:r>
        <w:rPr>
          <w:rFonts w:cs="Arial"/>
        </w:rPr>
        <w:t xml:space="preserve"> (DFG, 2017).</w:t>
      </w:r>
    </w:p>
    <w:p w14:paraId="0B79A91B" w14:textId="11C85FE4" w:rsidR="00B304C5" w:rsidRPr="00B304C5" w:rsidRDefault="00B304C5" w:rsidP="006639B4">
      <w:pPr>
        <w:rPr>
          <w:rFonts w:cs="Arial"/>
          <w:i/>
        </w:rPr>
      </w:pPr>
      <w:r>
        <w:rPr>
          <w:rFonts w:cs="Arial"/>
        </w:rPr>
        <w:t xml:space="preserve">Both ACGIH (2018) and DFG (2017) recommend TWA equivalents based on a combination of the </w:t>
      </w:r>
      <w:r w:rsidR="0067176D">
        <w:rPr>
          <w:rFonts w:cs="Arial"/>
        </w:rPr>
        <w:t>vinyl toluene</w:t>
      </w:r>
      <w:r w:rsidR="00A72971">
        <w:rPr>
          <w:rFonts w:cs="Arial"/>
        </w:rPr>
        <w:t xml:space="preserve">-specific information and </w:t>
      </w:r>
      <w:r>
        <w:rPr>
          <w:rFonts w:cs="Arial"/>
        </w:rPr>
        <w:t xml:space="preserve">by analogy to the toxicological profile of styrene. Due to the recent amendment of the TLV-TWA for styrene to 20 ppm, ACGIH (2018) states the </w:t>
      </w:r>
      <w:r w:rsidR="00A72971">
        <w:rPr>
          <w:rFonts w:cs="Arial"/>
        </w:rPr>
        <w:t xml:space="preserve">current </w:t>
      </w:r>
      <w:r>
        <w:rPr>
          <w:rFonts w:cs="Arial"/>
        </w:rPr>
        <w:t xml:space="preserve">TLV-TWA for vinyl toluene is under consideration. In view of this information, </w:t>
      </w:r>
      <w:r w:rsidR="00A72971">
        <w:rPr>
          <w:rFonts w:cs="Arial"/>
        </w:rPr>
        <w:t xml:space="preserve">a </w:t>
      </w:r>
      <w:r>
        <w:rPr>
          <w:rFonts w:cs="Arial"/>
        </w:rPr>
        <w:t xml:space="preserve">TWA of 20 ppm is </w:t>
      </w:r>
      <w:r w:rsidR="00A72971">
        <w:rPr>
          <w:rFonts w:cs="Arial"/>
        </w:rPr>
        <w:t xml:space="preserve">recommended to protect for mucous membrane irritation </w:t>
      </w:r>
      <w:r>
        <w:rPr>
          <w:rFonts w:cs="Arial"/>
        </w:rPr>
        <w:t>in accordance with the evaluation presented by DFG (2017). Severe irritation may be expected at acute exposures within an order of magnitude of this value</w:t>
      </w:r>
      <w:r w:rsidR="00A72971">
        <w:rPr>
          <w:rFonts w:cs="Arial"/>
        </w:rPr>
        <w:t>.</w:t>
      </w:r>
      <w:r>
        <w:rPr>
          <w:rFonts w:cs="Arial"/>
        </w:rPr>
        <w:t xml:space="preserve"> </w:t>
      </w:r>
      <w:r w:rsidR="002B22BD">
        <w:rPr>
          <w:rFonts w:cs="Arial"/>
        </w:rPr>
        <w:t xml:space="preserve">Therefore, </w:t>
      </w:r>
      <w:r w:rsidR="00AF7B21">
        <w:rPr>
          <w:rFonts w:cs="Arial"/>
        </w:rPr>
        <w:t>a</w:t>
      </w:r>
      <w:r>
        <w:rPr>
          <w:rFonts w:cs="Arial"/>
        </w:rPr>
        <w:t xml:space="preserve"> STEL of 40 ppm is recommended, which is below the sensory </w:t>
      </w:r>
      <w:r w:rsidR="00A72971">
        <w:rPr>
          <w:rFonts w:cs="Arial"/>
        </w:rPr>
        <w:t>irritation threshold of 50 ppm in humans and supported by the DFG (2017) evaluation.</w:t>
      </w:r>
    </w:p>
    <w:p w14:paraId="273B44AD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27C6755E" w14:textId="5D53025B" w:rsidR="008E4F1F" w:rsidRPr="00A42FB8" w:rsidRDefault="008E4F1F" w:rsidP="008E4F1F">
      <w:pPr>
        <w:rPr>
          <w:rFonts w:cs="Arial"/>
        </w:rPr>
      </w:pPr>
      <w:r w:rsidRPr="00A42FB8">
        <w:rPr>
          <w:rFonts w:cs="Arial"/>
        </w:rPr>
        <w:t>Not classified as a carcinogen according to the Globally Harmonized System of</w:t>
      </w:r>
      <w:r w:rsidR="00155999" w:rsidRPr="00A42FB8">
        <w:rPr>
          <w:rFonts w:cs="Arial"/>
        </w:rPr>
        <w:t xml:space="preserve"> Classification and Labelling of</w:t>
      </w:r>
      <w:r w:rsidRPr="00A42FB8">
        <w:rPr>
          <w:rFonts w:cs="Arial"/>
        </w:rPr>
        <w:t xml:space="preserve"> Chemicals (GHS). </w:t>
      </w:r>
      <w:r w:rsidR="002B22BD">
        <w:rPr>
          <w:rFonts w:cs="Arial"/>
        </w:rPr>
        <w:t>N</w:t>
      </w:r>
      <w:r w:rsidR="00A42FB8" w:rsidRPr="00A42FB8">
        <w:rPr>
          <w:rFonts w:cs="Arial"/>
        </w:rPr>
        <w:t>o entry for the substance was found in the HCIS database.</w:t>
      </w:r>
    </w:p>
    <w:p w14:paraId="03916CCC" w14:textId="77777777" w:rsidR="008E4F1F" w:rsidRPr="00A42FB8" w:rsidRDefault="008E4F1F" w:rsidP="008E4F1F">
      <w:pPr>
        <w:rPr>
          <w:rFonts w:cs="Arial"/>
        </w:rPr>
      </w:pPr>
      <w:r w:rsidRPr="00A42FB8">
        <w:rPr>
          <w:rFonts w:cs="Arial"/>
        </w:rPr>
        <w:t xml:space="preserve">Not classified as a skin </w:t>
      </w:r>
      <w:r w:rsidR="00155999" w:rsidRPr="00A42FB8">
        <w:rPr>
          <w:rFonts w:cs="Arial"/>
        </w:rPr>
        <w:t xml:space="preserve">sensitiser </w:t>
      </w:r>
      <w:r w:rsidRPr="00A42FB8">
        <w:rPr>
          <w:rFonts w:cs="Arial"/>
        </w:rPr>
        <w:t>or respiratory sensitiser according to the GHS.</w:t>
      </w:r>
    </w:p>
    <w:p w14:paraId="21CCE2A5" w14:textId="6E61248E" w:rsidR="0025734A" w:rsidRPr="00A42FB8" w:rsidRDefault="00A42FB8">
      <w:pPr>
        <w:rPr>
          <w:rFonts w:cs="Arial"/>
        </w:rPr>
      </w:pPr>
      <w:r w:rsidRPr="00A42FB8">
        <w:rPr>
          <w:rFonts w:cs="Arial"/>
        </w:rPr>
        <w:t>A skin notation is not recommended based on the available evidence.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467F4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467F44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56F2A894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003168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003168">
                  <w:t xml:space="preserve">TWA: </w:t>
                </w:r>
                <w:r w:rsidR="003A070E">
                  <w:t>50 ppm (242 mg/m</w:t>
                </w:r>
                <w:r w:rsidR="003A070E" w:rsidRPr="003A070E">
                  <w:rPr>
                    <w:vertAlign w:val="superscript"/>
                  </w:rPr>
                  <w:t>3</w:t>
                </w:r>
                <w:r w:rsidR="003A070E">
                  <w:t>); STEL: 100 ppm (483 mg/m</w:t>
                </w:r>
                <w:r w:rsidR="003A070E" w:rsidRPr="003A070E">
                  <w:rPr>
                    <w:vertAlign w:val="superscript"/>
                  </w:rPr>
                  <w:t>3</w:t>
                </w:r>
                <w:r w:rsidR="003A070E">
                  <w:t>)</w:t>
                </w:r>
              </w:sdtContent>
            </w:sdt>
          </w:p>
        </w:tc>
      </w:tr>
      <w:tr w:rsidR="00C978F0" w:rsidRPr="00DA352E" w14:paraId="26087DDB" w14:textId="77777777" w:rsidTr="00467F44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467F4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68180FE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A070E">
                  <w:t>2001</w:t>
                </w:r>
              </w:sdtContent>
            </w:sdt>
            <w:r w:rsidR="00916EC0" w:rsidRPr="003365A5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3A070E">
                  <w:t>TLV-TWA: 50 ppm (242 mg/m</w:t>
                </w:r>
                <w:r w:rsidR="003A070E" w:rsidRPr="003A070E">
                  <w:rPr>
                    <w:vertAlign w:val="superscript"/>
                  </w:rPr>
                  <w:t>3</w:t>
                </w:r>
                <w:r w:rsidR="005D7B94">
                  <w:t>); TLV-STEL: 100 ppm (483 </w:t>
                </w:r>
                <w:r w:rsidR="003A070E">
                  <w:t>mg/m</w:t>
                </w:r>
                <w:r w:rsidR="003A070E" w:rsidRPr="003A070E">
                  <w:rPr>
                    <w:vertAlign w:val="superscript"/>
                  </w:rPr>
                  <w:t>3</w:t>
                </w:r>
                <w:r w:rsidR="003A070E">
                  <w:t xml:space="preserve">) </w:t>
                </w:r>
              </w:sdtContent>
            </w:sdt>
          </w:p>
        </w:tc>
      </w:tr>
      <w:tr w:rsidR="00C978F0" w:rsidRPr="00DA352E" w14:paraId="418D532D" w14:textId="77777777" w:rsidTr="00467F44">
        <w:trPr>
          <w:gridAfter w:val="1"/>
          <w:wAfter w:w="8" w:type="pct"/>
        </w:trPr>
        <w:tc>
          <w:tcPr>
            <w:tcW w:w="0" w:type="pct"/>
          </w:tcPr>
          <w:p w14:paraId="3BEBE00D" w14:textId="77777777" w:rsidR="00C978F0" w:rsidRDefault="005D7B94" w:rsidP="003365A5">
            <w:pPr>
              <w:pStyle w:val="Tabletextprimarysource"/>
            </w:pPr>
            <w:r>
              <w:t xml:space="preserve">TLV-TWA </w:t>
            </w:r>
            <w:r w:rsidR="00DF22EB">
              <w:t xml:space="preserve">and TLV-STEL </w:t>
            </w:r>
            <w:r>
              <w:t>intended to protect for mucous membrane irritation and objectionable odour</w:t>
            </w:r>
            <w:r w:rsidR="00DF22EB">
              <w:t xml:space="preserve">. Not classifiable as a human carcinogen. </w:t>
            </w:r>
          </w:p>
          <w:p w14:paraId="5FB19461" w14:textId="1E651829" w:rsidR="00DF22EB" w:rsidRDefault="00DF22EB" w:rsidP="003365A5">
            <w:pPr>
              <w:pStyle w:val="Tabletextprimarysource"/>
            </w:pPr>
            <w:r>
              <w:t>Summary of information:</w:t>
            </w:r>
          </w:p>
          <w:p w14:paraId="726452D8" w14:textId="35971E5D" w:rsidR="00DF22EB" w:rsidRDefault="00334B53" w:rsidP="003365A5">
            <w:pPr>
              <w:pStyle w:val="Tabletextprimarysource"/>
            </w:pPr>
            <w:r>
              <w:t xml:space="preserve">Commercial sources </w:t>
            </w:r>
            <w:r w:rsidR="00B04C93">
              <w:t xml:space="preserve">are </w:t>
            </w:r>
            <w:r>
              <w:t>usually mixtures of m- and p-isomers</w:t>
            </w:r>
            <w:r w:rsidR="00580A4D">
              <w:t xml:space="preserve"> (50–70% and 30–45%, respectively)</w:t>
            </w:r>
            <w:r>
              <w:t xml:space="preserve">. </w:t>
            </w:r>
            <w:r w:rsidR="00EA5057">
              <w:t>Toxicological literature for the methyl styrene isomers often does not specify whether a mixture was studied or if the alpha-methyl styrene or the trans-beta-methyl styrene was studied</w:t>
            </w:r>
            <w:r>
              <w:t xml:space="preserve">. TLV-TWA based on analogy to styrene. </w:t>
            </w:r>
            <w:r w:rsidR="00B04C93">
              <w:t xml:space="preserve">ACGIH </w:t>
            </w:r>
            <w:r>
              <w:t>states that in view of the recent amendment of the TLV-TWA for styrene to 20 ppm and evidence for higher neurotoxicity of vinyl toluene compared with styrene in humans and animals, the TLV-TWA for vinyl toluene is being reconsidered.</w:t>
            </w:r>
          </w:p>
          <w:p w14:paraId="154131AE" w14:textId="1DBAFCF4" w:rsidR="00DF22EB" w:rsidRDefault="00DF22EB" w:rsidP="003365A5">
            <w:pPr>
              <w:pStyle w:val="Tabletextprimarysource"/>
            </w:pPr>
            <w:r>
              <w:t>Human data:</w:t>
            </w:r>
          </w:p>
          <w:p w14:paraId="71C08006" w14:textId="008F72A3" w:rsidR="007657BF" w:rsidRDefault="007657BF" w:rsidP="00944E7B">
            <w:pPr>
              <w:pStyle w:val="Tabletextprimarysource"/>
              <w:numPr>
                <w:ilvl w:val="0"/>
                <w:numId w:val="2"/>
              </w:numPr>
            </w:pPr>
            <w:r>
              <w:t>A volunteer inhalation study is briefly summarised</w:t>
            </w:r>
            <w:r w:rsidR="00B04C93">
              <w:t xml:space="preserve"> below</w:t>
            </w:r>
            <w:r w:rsidR="0005593D">
              <w:t xml:space="preserve"> (no further details provided)</w:t>
            </w:r>
            <w:r w:rsidR="002B22BD">
              <w:t>:</w:t>
            </w:r>
          </w:p>
          <w:p w14:paraId="7CC18FD7" w14:textId="1A2D96C2" w:rsidR="007657BF" w:rsidRDefault="007657BF" w:rsidP="002B22BD">
            <w:pPr>
              <w:pStyle w:val="Tabletextprimarysource"/>
              <w:numPr>
                <w:ilvl w:val="1"/>
                <w:numId w:val="2"/>
              </w:numPr>
              <w:ind w:left="1443"/>
            </w:pPr>
            <w:r>
              <w:t>i</w:t>
            </w:r>
            <w:r w:rsidR="00944E7B">
              <w:t xml:space="preserve">rritation of eyes and </w:t>
            </w:r>
            <w:r w:rsidR="00D2739F">
              <w:t>URT</w:t>
            </w:r>
            <w:r w:rsidR="00944E7B">
              <w:t xml:space="preserve"> at 400 ppm </w:t>
            </w:r>
          </w:p>
          <w:p w14:paraId="0E66FE28" w14:textId="61FD4527" w:rsidR="007657BF" w:rsidRDefault="00944E7B" w:rsidP="002B22BD">
            <w:pPr>
              <w:pStyle w:val="Tabletextprimarysource"/>
              <w:numPr>
                <w:ilvl w:val="1"/>
                <w:numId w:val="2"/>
              </w:numPr>
              <w:ind w:left="1443"/>
            </w:pPr>
            <w:r>
              <w:t xml:space="preserve">objectionable odour at 300 ppm </w:t>
            </w:r>
          </w:p>
          <w:p w14:paraId="72D67D3C" w14:textId="4C52C2BF" w:rsidR="007657BF" w:rsidRDefault="00944E7B" w:rsidP="002B22BD">
            <w:pPr>
              <w:pStyle w:val="Tabletextprimarysource"/>
              <w:numPr>
                <w:ilvl w:val="1"/>
                <w:numId w:val="2"/>
              </w:numPr>
              <w:ind w:left="1443"/>
            </w:pPr>
            <w:r>
              <w:t xml:space="preserve">strong tolerable odour at 200 ppm </w:t>
            </w:r>
          </w:p>
          <w:p w14:paraId="65279349" w14:textId="1E05E5D1" w:rsidR="007657BF" w:rsidRDefault="00B304C5" w:rsidP="002B22BD">
            <w:pPr>
              <w:pStyle w:val="Tabletextprimarysource"/>
              <w:numPr>
                <w:ilvl w:val="1"/>
                <w:numId w:val="2"/>
              </w:numPr>
              <w:ind w:left="1443"/>
            </w:pPr>
            <w:r>
              <w:t>irritating</w:t>
            </w:r>
            <w:r w:rsidR="00944E7B">
              <w:t xml:space="preserve"> odour, </w:t>
            </w:r>
            <w:r w:rsidR="007657BF">
              <w:t xml:space="preserve">but no </w:t>
            </w:r>
            <w:r>
              <w:t>mucous membrane irritation at 50 </w:t>
            </w:r>
            <w:r w:rsidR="00944E7B">
              <w:t xml:space="preserve">ppm </w:t>
            </w:r>
          </w:p>
          <w:p w14:paraId="273B01F0" w14:textId="69222A45" w:rsidR="00DF22EB" w:rsidRDefault="00944E7B" w:rsidP="002B22BD">
            <w:pPr>
              <w:pStyle w:val="Tabletextprimarysource"/>
              <w:numPr>
                <w:ilvl w:val="1"/>
                <w:numId w:val="2"/>
              </w:numPr>
              <w:ind w:left="1443"/>
            </w:pPr>
            <w:r>
              <w:t>no odour at 10 ppm</w:t>
            </w:r>
            <w:r w:rsidR="0005593D">
              <w:t>.</w:t>
            </w:r>
          </w:p>
          <w:p w14:paraId="305D617F" w14:textId="6C886AB0" w:rsidR="00DF22EB" w:rsidRDefault="00DF22EB" w:rsidP="003365A5">
            <w:pPr>
              <w:pStyle w:val="Tabletextprimarysource"/>
            </w:pPr>
            <w:r>
              <w:t>Animal data:</w:t>
            </w:r>
          </w:p>
          <w:p w14:paraId="3CCDD058" w14:textId="77777777" w:rsidR="002C2F5F" w:rsidRDefault="00334B53" w:rsidP="00334B53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Increased kidney and liver weights and fatty liver degeneration at 1,250 ppm (rats, </w:t>
            </w:r>
          </w:p>
          <w:p w14:paraId="59D0F471" w14:textId="057C62D8" w:rsidR="00DE3C39" w:rsidRDefault="00334B53" w:rsidP="008A46E6">
            <w:pPr>
              <w:pStyle w:val="Tabletextprimarysource"/>
              <w:ind w:left="1080"/>
            </w:pPr>
            <w:r>
              <w:t>7–</w:t>
            </w:r>
            <w:r w:rsidR="00DE3C39">
              <w:t>8 </w:t>
            </w:r>
            <w:r>
              <w:t>h/d, 92–100 d)</w:t>
            </w:r>
            <w:r w:rsidR="00717959">
              <w:t>:</w:t>
            </w:r>
            <w:r>
              <w:t xml:space="preserve"> </w:t>
            </w:r>
          </w:p>
          <w:p w14:paraId="55E3C5E7" w14:textId="6D181B8A" w:rsidR="00DF22EB" w:rsidRDefault="00334B53" w:rsidP="00732D4B">
            <w:pPr>
              <w:pStyle w:val="Tabletextprimarysource"/>
              <w:numPr>
                <w:ilvl w:val="0"/>
                <w:numId w:val="4"/>
              </w:numPr>
            </w:pPr>
            <w:r>
              <w:t>600 ppm well-tolerated based on haematology, histology and organ weight</w:t>
            </w:r>
          </w:p>
          <w:p w14:paraId="355260A7" w14:textId="2B6CDE8D" w:rsidR="00334B53" w:rsidRDefault="00334B53" w:rsidP="00334B53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Reduced sensory and motor nerve conduction velocity at 100–300 ppm in </w:t>
            </w:r>
            <w:proofErr w:type="spellStart"/>
            <w:r>
              <w:t>subchronic</w:t>
            </w:r>
            <w:proofErr w:type="spellEnd"/>
            <w:r>
              <w:t xml:space="preserve"> inhalation study (rats, 12–21 </w:t>
            </w:r>
            <w:proofErr w:type="spellStart"/>
            <w:r>
              <w:t>wk</w:t>
            </w:r>
            <w:proofErr w:type="spellEnd"/>
            <w:r>
              <w:t>, dose frequency not specified)</w:t>
            </w:r>
          </w:p>
          <w:p w14:paraId="0AA29D3E" w14:textId="349414FA" w:rsidR="00334B53" w:rsidRDefault="00334B53" w:rsidP="00334B53">
            <w:pPr>
              <w:pStyle w:val="Tabletextprimarysource"/>
              <w:numPr>
                <w:ilvl w:val="0"/>
                <w:numId w:val="1"/>
              </w:numPr>
            </w:pPr>
            <w:r>
              <w:t>No evidence for electrophysiological changes at 50 ppm (rats, 4 h/d, 5 d/</w:t>
            </w:r>
            <w:proofErr w:type="spellStart"/>
            <w:r>
              <w:t>wk</w:t>
            </w:r>
            <w:proofErr w:type="spellEnd"/>
            <w:r>
              <w:t xml:space="preserve">, 15 </w:t>
            </w:r>
            <w:proofErr w:type="spellStart"/>
            <w:r>
              <w:t>wk</w:t>
            </w:r>
            <w:proofErr w:type="spellEnd"/>
            <w:r>
              <w:t>)</w:t>
            </w:r>
          </w:p>
          <w:p w14:paraId="62B5E05B" w14:textId="6E1E9D4E" w:rsidR="00DE3C39" w:rsidRDefault="00580A4D" w:rsidP="00334B53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Dose-dependent nephropathy (rats) </w:t>
            </w:r>
            <w:r w:rsidR="00D2739F">
              <w:t>&gt;</w:t>
            </w:r>
            <w:r>
              <w:t xml:space="preserve">160 ppm and pulmonary inflammation at 160 ppm (mice) in </w:t>
            </w:r>
            <w:proofErr w:type="spellStart"/>
            <w:r>
              <w:t>subchronic</w:t>
            </w:r>
            <w:proofErr w:type="spellEnd"/>
            <w:r>
              <w:t xml:space="preserve"> inhalation study with exposure groups 0, 10, 25, 60 and 160 ppm (mice)</w:t>
            </w:r>
            <w:r w:rsidR="00722A71">
              <w:t xml:space="preserve"> and</w:t>
            </w:r>
            <w:r>
              <w:t xml:space="preserve"> 0, 25, 60, 160, 400</w:t>
            </w:r>
            <w:r w:rsidR="00722A71">
              <w:t xml:space="preserve"> and</w:t>
            </w:r>
            <w:r>
              <w:t xml:space="preserve"> 1,000 ppm (rats) (6 h/d, 5 d/</w:t>
            </w:r>
            <w:proofErr w:type="spellStart"/>
            <w:r>
              <w:t>wk</w:t>
            </w:r>
            <w:proofErr w:type="spellEnd"/>
            <w:r>
              <w:t xml:space="preserve">, 13 </w:t>
            </w:r>
            <w:proofErr w:type="spellStart"/>
            <w:r>
              <w:t>wk</w:t>
            </w:r>
            <w:proofErr w:type="spellEnd"/>
            <w:r>
              <w:t>)</w:t>
            </w:r>
            <w:r w:rsidR="00717959">
              <w:t>:</w:t>
            </w:r>
            <w:r>
              <w:t xml:space="preserve"> </w:t>
            </w:r>
          </w:p>
          <w:p w14:paraId="2FF58B4B" w14:textId="19EAE091" w:rsidR="00306097" w:rsidRDefault="00580A4D" w:rsidP="00732D4B">
            <w:pPr>
              <w:pStyle w:val="Tabletextprimarysource"/>
              <w:numPr>
                <w:ilvl w:val="0"/>
                <w:numId w:val="4"/>
              </w:numPr>
            </w:pPr>
            <w:r>
              <w:t>metaplasia of nasal turbinates observed in all exposed mice</w:t>
            </w:r>
          </w:p>
          <w:p w14:paraId="0901D8A8" w14:textId="4E2C0BE6" w:rsidR="00DE3C39" w:rsidRDefault="00EC3353" w:rsidP="00334B53">
            <w:pPr>
              <w:pStyle w:val="Tabletextprimarysource"/>
              <w:numPr>
                <w:ilvl w:val="0"/>
                <w:numId w:val="1"/>
              </w:numPr>
            </w:pPr>
            <w:r>
              <w:t>Degeneration of nasal epithelium at 100 and 300 ppm (rats)</w:t>
            </w:r>
            <w:r w:rsidR="00722A71">
              <w:t xml:space="preserve"> and</w:t>
            </w:r>
            <w:r>
              <w:t xml:space="preserve"> 10 and 25 ppm (mice) in chronic inhalation study (6 h/d, 5 d/</w:t>
            </w:r>
            <w:proofErr w:type="spellStart"/>
            <w:r>
              <w:t>wk</w:t>
            </w:r>
            <w:proofErr w:type="spellEnd"/>
            <w:r>
              <w:t xml:space="preserve">, 2 </w:t>
            </w:r>
            <w:proofErr w:type="spellStart"/>
            <w:r>
              <w:t>yr</w:t>
            </w:r>
            <w:proofErr w:type="spellEnd"/>
            <w:r>
              <w:t>)</w:t>
            </w:r>
            <w:r w:rsidR="00717959">
              <w:t>:</w:t>
            </w:r>
            <w:r>
              <w:t xml:space="preserve"> </w:t>
            </w:r>
          </w:p>
          <w:p w14:paraId="7942E793" w14:textId="06947965" w:rsidR="00580A4D" w:rsidRDefault="00EC3353" w:rsidP="00732D4B">
            <w:pPr>
              <w:pStyle w:val="Tabletextprimarysource"/>
              <w:numPr>
                <w:ilvl w:val="0"/>
                <w:numId w:val="4"/>
              </w:numPr>
            </w:pPr>
            <w:r>
              <w:t>chronic bronchial inflammation also observed in exposed mice</w:t>
            </w:r>
          </w:p>
          <w:p w14:paraId="012F3105" w14:textId="31F2DCAD" w:rsidR="00EC3353" w:rsidRDefault="002613E6" w:rsidP="00D2739F">
            <w:pPr>
              <w:pStyle w:val="Tabletextprimarysource"/>
              <w:numPr>
                <w:ilvl w:val="1"/>
                <w:numId w:val="1"/>
              </w:numPr>
              <w:ind w:left="1440"/>
            </w:pPr>
            <w:r>
              <w:t>n</w:t>
            </w:r>
            <w:r w:rsidR="00EC3353">
              <w:t xml:space="preserve">o clinical or microscopic evidence for neurotoxicity in either species, which contrasts results of </w:t>
            </w:r>
            <w:proofErr w:type="spellStart"/>
            <w:r w:rsidR="00EC3353">
              <w:t>subchronic</w:t>
            </w:r>
            <w:proofErr w:type="spellEnd"/>
            <w:r w:rsidR="00EC3353">
              <w:t xml:space="preserve"> inhalation study with rats</w:t>
            </w:r>
          </w:p>
          <w:p w14:paraId="3CC5C269" w14:textId="72EEBCCB" w:rsidR="002613E6" w:rsidRDefault="002613E6" w:rsidP="00D2739F">
            <w:pPr>
              <w:pStyle w:val="Tabletextprimarysource"/>
              <w:numPr>
                <w:ilvl w:val="1"/>
                <w:numId w:val="1"/>
              </w:numPr>
              <w:ind w:left="1440"/>
            </w:pPr>
            <w:r>
              <w:t>no evidence for carcinogenic activity</w:t>
            </w:r>
          </w:p>
          <w:p w14:paraId="58E16769" w14:textId="68861429" w:rsidR="00EC3353" w:rsidRDefault="00EC3353" w:rsidP="00EC3353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Birth defects in offspring at 6 ppm (4 </w:t>
            </w:r>
            <w:proofErr w:type="spellStart"/>
            <w:r>
              <w:t>mo</w:t>
            </w:r>
            <w:proofErr w:type="spellEnd"/>
            <w:r>
              <w:t xml:space="preserve">) and 6,200 ppm (1 </w:t>
            </w:r>
            <w:proofErr w:type="spellStart"/>
            <w:r>
              <w:t>mo</w:t>
            </w:r>
            <w:proofErr w:type="spellEnd"/>
            <w:r>
              <w:t>) (guinea pigs, no further details provided)</w:t>
            </w:r>
          </w:p>
          <w:p w14:paraId="7AC05E4E" w14:textId="0AD15B90" w:rsidR="00EC3353" w:rsidRDefault="002613E6" w:rsidP="00EC3353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Non-mutagenic </w:t>
            </w:r>
            <w:r>
              <w:rPr>
                <w:i/>
              </w:rPr>
              <w:t>in vitro</w:t>
            </w:r>
            <w:r>
              <w:t xml:space="preserve"> in bacteria and mammalian cells lines with or without metabolic activation</w:t>
            </w:r>
            <w:r w:rsidR="00722A71">
              <w:t xml:space="preserve"> and</w:t>
            </w:r>
            <w:r>
              <w:t xml:space="preserve"> </w:t>
            </w:r>
            <w:r>
              <w:rPr>
                <w:i/>
              </w:rPr>
              <w:t>in vivo</w:t>
            </w:r>
            <w:r>
              <w:t xml:space="preserve"> in </w:t>
            </w:r>
            <w:r w:rsidR="00D2739F">
              <w:rPr>
                <w:i/>
              </w:rPr>
              <w:t>D.</w:t>
            </w:r>
            <w:r>
              <w:rPr>
                <w:i/>
              </w:rPr>
              <w:t xml:space="preserve"> melanogaster</w:t>
            </w:r>
            <w:r w:rsidR="00717959" w:rsidRPr="00717959">
              <w:t>:</w:t>
            </w:r>
          </w:p>
          <w:p w14:paraId="194C0F07" w14:textId="3705BD15" w:rsidR="002613E6" w:rsidRDefault="00944E7B" w:rsidP="00D2739F">
            <w:pPr>
              <w:pStyle w:val="Tabletextprimarysource"/>
              <w:numPr>
                <w:ilvl w:val="1"/>
                <w:numId w:val="1"/>
              </w:numPr>
              <w:ind w:left="1440"/>
            </w:pPr>
            <w:r>
              <w:t xml:space="preserve">epoxide metabolites are mutagenic </w:t>
            </w:r>
            <w:r>
              <w:rPr>
                <w:i/>
              </w:rPr>
              <w:t>in vitro</w:t>
            </w:r>
            <w:r>
              <w:t xml:space="preserve"> in bacteria</w:t>
            </w:r>
          </w:p>
          <w:p w14:paraId="7233A1DF" w14:textId="6D62E94A" w:rsidR="00944E7B" w:rsidRDefault="00944E7B" w:rsidP="00944E7B">
            <w:pPr>
              <w:pStyle w:val="Tabletextprimarysource"/>
              <w:numPr>
                <w:ilvl w:val="0"/>
                <w:numId w:val="1"/>
              </w:numPr>
            </w:pPr>
            <w:r>
              <w:t>55% of IP dose excreted in urine within 6 h (rats); binds liver cytochrome P-450 and forms epoxide metabolites, which are rapidly enzymatically hydrolysed</w:t>
            </w:r>
            <w:r w:rsidR="00D2739F">
              <w:t>.</w:t>
            </w:r>
            <w:r>
              <w:t xml:space="preserve"> </w:t>
            </w:r>
          </w:p>
          <w:p w14:paraId="342855C8" w14:textId="77777777" w:rsidR="00DE3C39" w:rsidRDefault="00DE3C39" w:rsidP="003365A5">
            <w:pPr>
              <w:pStyle w:val="Tabletextprimarysource"/>
            </w:pPr>
          </w:p>
          <w:p w14:paraId="7AAD5C26" w14:textId="77777777" w:rsidR="00DF22EB" w:rsidRDefault="00DF22EB" w:rsidP="003365A5">
            <w:pPr>
              <w:pStyle w:val="Tabletextprimarysource"/>
            </w:pPr>
            <w:r>
              <w:t>Insufficient data to recommend notations for skin absorption and sensitisation.</w:t>
            </w:r>
          </w:p>
          <w:p w14:paraId="0CE4D35D" w14:textId="0A6FB632" w:rsidR="00DE3C39" w:rsidRPr="00DA352E" w:rsidRDefault="00DE3C39" w:rsidP="003365A5">
            <w:pPr>
              <w:pStyle w:val="Tabletextprimarysource"/>
            </w:pPr>
          </w:p>
        </w:tc>
      </w:tr>
      <w:tr w:rsidR="00C978F0" w:rsidRPr="00DA352E" w14:paraId="174F8B79" w14:textId="77777777" w:rsidTr="00467F4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5D9C6B5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A070E">
                  <w:t>2016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3A070E">
                  <w:t xml:space="preserve">MAK: </w:t>
                </w:r>
                <w:r w:rsidR="00CF60D0">
                  <w:t>20 ppm (98 mg/m</w:t>
                </w:r>
                <w:r w:rsidR="00CF60D0" w:rsidRPr="00CF60D0">
                  <w:rPr>
                    <w:vertAlign w:val="superscript"/>
                  </w:rPr>
                  <w:t>3</w:t>
                </w:r>
                <w:r w:rsidR="00CF60D0">
                  <w:t>)</w:t>
                </w:r>
              </w:sdtContent>
            </w:sdt>
          </w:p>
        </w:tc>
      </w:tr>
      <w:tr w:rsidR="00C978F0" w:rsidRPr="00DA352E" w14:paraId="4433014F" w14:textId="77777777" w:rsidTr="00467F44">
        <w:trPr>
          <w:gridAfter w:val="1"/>
          <w:wAfter w:w="8" w:type="pct"/>
        </w:trPr>
        <w:tc>
          <w:tcPr>
            <w:tcW w:w="4992" w:type="pct"/>
          </w:tcPr>
          <w:p w14:paraId="203CEAB4" w14:textId="00521D18" w:rsidR="00C978F0" w:rsidRDefault="00944E7B" w:rsidP="003365A5">
            <w:pPr>
              <w:pStyle w:val="Tabletextprimarysource"/>
            </w:pPr>
            <w:r>
              <w:t>Summary of additional information:</w:t>
            </w:r>
          </w:p>
          <w:p w14:paraId="72ACB28C" w14:textId="5ED520BF" w:rsidR="00F528D5" w:rsidRDefault="00F528D5" w:rsidP="003365A5">
            <w:pPr>
              <w:pStyle w:val="Tabletextprimarysource"/>
            </w:pPr>
            <w:r>
              <w:t xml:space="preserve">Structurally and toxicologically related styrene is oxidised enzymatically in the nasal epithelium of rodents to produce irritating metabolites. Oxidation of styrene does not occur </w:t>
            </w:r>
            <w:r>
              <w:rPr>
                <w:i/>
              </w:rPr>
              <w:t>in vitro</w:t>
            </w:r>
            <w:r>
              <w:t xml:space="preserve"> in human nasal tissue</w:t>
            </w:r>
            <w:r w:rsidR="00717959">
              <w:t>.</w:t>
            </w:r>
            <w:r>
              <w:t xml:space="preserve"> </w:t>
            </w:r>
            <w:r w:rsidR="00717959">
              <w:t xml:space="preserve">Therefore, </w:t>
            </w:r>
            <w:r>
              <w:t>humans</w:t>
            </w:r>
            <w:r w:rsidR="00717959">
              <w:t xml:space="preserve"> are</w:t>
            </w:r>
            <w:r w:rsidR="00AF7B21">
              <w:t xml:space="preserve"> </w:t>
            </w:r>
            <w:r>
              <w:t xml:space="preserve">considered less sensitive than rodents to styrene and vinyl toluene. </w:t>
            </w:r>
          </w:p>
          <w:p w14:paraId="2AFF3C75" w14:textId="4F3E2B4E" w:rsidR="00DE3C39" w:rsidRDefault="00F528D5" w:rsidP="00F528D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MAK based on LOAEC of 100 ppm for local irritation reported in chronic inhalation study </w:t>
            </w:r>
            <w:r w:rsidR="00717959">
              <w:t xml:space="preserve">in rats </w:t>
            </w:r>
            <w:r>
              <w:t>(also presented in ACGIH, 2018)</w:t>
            </w:r>
            <w:r w:rsidR="00717959">
              <w:t>:</w:t>
            </w:r>
            <w:r>
              <w:t xml:space="preserve"> </w:t>
            </w:r>
          </w:p>
          <w:p w14:paraId="7CAD8C02" w14:textId="02BBDDF3" w:rsidR="00F528D5" w:rsidRDefault="00F528D5" w:rsidP="00732D4B">
            <w:pPr>
              <w:pStyle w:val="Tabletextprimarysource"/>
              <w:numPr>
                <w:ilvl w:val="0"/>
                <w:numId w:val="5"/>
              </w:numPr>
            </w:pPr>
            <w:r>
              <w:t>N</w:t>
            </w:r>
            <w:r w:rsidR="000A2AA0">
              <w:t>O</w:t>
            </w:r>
            <w:r>
              <w:t>AEC of 33 ppm extrapolated from experimental data and rounded down to produce MAK of 20 ppm</w:t>
            </w:r>
            <w:r w:rsidR="00ED00EE">
              <w:t xml:space="preserve"> </w:t>
            </w:r>
          </w:p>
          <w:p w14:paraId="2610167E" w14:textId="182087DF" w:rsidR="00F528D5" w:rsidRDefault="00F528D5" w:rsidP="00D2739F">
            <w:pPr>
              <w:pStyle w:val="Tabletextprimarysource"/>
              <w:numPr>
                <w:ilvl w:val="1"/>
                <w:numId w:val="1"/>
              </w:numPr>
              <w:ind w:left="1440"/>
            </w:pPr>
            <w:r>
              <w:t xml:space="preserve">value not halved due to lower sensitivity of humans to local olfactory effects compared to rats </w:t>
            </w:r>
          </w:p>
          <w:p w14:paraId="0FB97FE5" w14:textId="51275A3F" w:rsidR="00944E7B" w:rsidRDefault="00F528D5" w:rsidP="00D2739F">
            <w:pPr>
              <w:pStyle w:val="Tabletextprimarysource"/>
              <w:numPr>
                <w:ilvl w:val="1"/>
                <w:numId w:val="1"/>
              </w:numPr>
              <w:ind w:left="1440"/>
            </w:pPr>
            <w:r>
              <w:t>slight irritation at 200 ppm and only odour perception at 50 ppm for both styrene and vinyl toluene reported in volunteer study (also presented in ACGIH, 2018)</w:t>
            </w:r>
            <w:r w:rsidR="00722A71">
              <w:t xml:space="preserve"> and</w:t>
            </w:r>
            <w:r>
              <w:t xml:space="preserve"> current MAK of 20 ppm for styrene for the same endpoints support the MAK recommendation</w:t>
            </w:r>
            <w:r w:rsidR="00752C8D">
              <w:t>. DFG</w:t>
            </w:r>
            <w:r w:rsidR="00ED00EE">
              <w:t xml:space="preserve"> considered that this human study is poorly documented</w:t>
            </w:r>
            <w:r w:rsidR="00752C8D">
              <w:t xml:space="preserve"> and does not meet present-day requirements. However, i</w:t>
            </w:r>
            <w:r w:rsidR="00ED00EE">
              <w:t>t gives a qualitative indication of sensory irritation of vinyl toluene correspond</w:t>
            </w:r>
            <w:r w:rsidR="00752C8D">
              <w:t>ing</w:t>
            </w:r>
            <w:r w:rsidR="00ED00EE">
              <w:t xml:space="preserve"> to styrene</w:t>
            </w:r>
            <w:r w:rsidR="00752C8D">
              <w:t xml:space="preserve"> as similar concentration of styrene were also investigated</w:t>
            </w:r>
          </w:p>
          <w:p w14:paraId="5D5BDAF8" w14:textId="7D479072" w:rsidR="00DE3C39" w:rsidRDefault="000A2AA0" w:rsidP="00F528D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UF </w:t>
            </w:r>
            <w:r w:rsidR="00F528D5">
              <w:t xml:space="preserve">factor of 2 </w:t>
            </w:r>
            <w:r w:rsidR="00752C8D">
              <w:t>applied</w:t>
            </w:r>
            <w:r w:rsidR="00F528D5">
              <w:t xml:space="preserve"> </w:t>
            </w:r>
            <w:r w:rsidR="00752C8D">
              <w:t>because local irritation is the critical endpoint and calculated a MAK of 20 ppm according to DFG methodology</w:t>
            </w:r>
            <w:r w:rsidR="00717959">
              <w:t>:</w:t>
            </w:r>
            <w:r w:rsidR="00F528D5">
              <w:t xml:space="preserve"> </w:t>
            </w:r>
          </w:p>
          <w:p w14:paraId="055BC48B" w14:textId="51E871A0" w:rsidR="00F528D5" w:rsidRDefault="00F528D5" w:rsidP="00732D4B">
            <w:pPr>
              <w:pStyle w:val="Tabletextprimarysource"/>
              <w:numPr>
                <w:ilvl w:val="0"/>
                <w:numId w:val="6"/>
              </w:numPr>
            </w:pPr>
            <w:r>
              <w:t>value supported by volunteer study that reported only odour perception and no irritation at 50 ppm</w:t>
            </w:r>
          </w:p>
          <w:p w14:paraId="479D35B0" w14:textId="0E9E08D4" w:rsidR="00F528D5" w:rsidRDefault="00F528D5" w:rsidP="00F528D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Not classified as carcinogen based on negative results in chronic inhalation study </w:t>
            </w:r>
            <w:r w:rsidR="00DE3C39">
              <w:t xml:space="preserve">in </w:t>
            </w:r>
            <w:r>
              <w:t>mice and rats</w:t>
            </w:r>
          </w:p>
          <w:p w14:paraId="33FA5221" w14:textId="12A23B50" w:rsidR="00F528D5" w:rsidRDefault="00F528D5" w:rsidP="00F528D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Skin notation not recommended because dermal absorption not expected to contribute to overall body burden regarding exposure at the MAK based on </w:t>
            </w:r>
            <w:r>
              <w:rPr>
                <w:i/>
              </w:rPr>
              <w:t>in vitro</w:t>
            </w:r>
            <w:r>
              <w:t xml:space="preserve"> dermal absorption rate</w:t>
            </w:r>
          </w:p>
          <w:p w14:paraId="634D6E92" w14:textId="77777777" w:rsidR="00F528D5" w:rsidRDefault="00F528D5" w:rsidP="00F528D5">
            <w:pPr>
              <w:pStyle w:val="Tabletextprimarysource"/>
              <w:numPr>
                <w:ilvl w:val="0"/>
                <w:numId w:val="1"/>
              </w:numPr>
            </w:pPr>
            <w:r>
              <w:t>Sensitiser notation not recommended based on limited negative or equivocal results for sensitisation for styrene and vinyl toluene in guinea pigs.</w:t>
            </w:r>
          </w:p>
          <w:p w14:paraId="652FD816" w14:textId="77777777" w:rsidR="00F528D5" w:rsidRDefault="0097421B" w:rsidP="00F528D5">
            <w:pPr>
              <w:pStyle w:val="Tabletextprimarysource"/>
            </w:pPr>
            <w:r>
              <w:t>Human data:</w:t>
            </w:r>
          </w:p>
          <w:p w14:paraId="7492A328" w14:textId="0F783A63" w:rsidR="00DE3C39" w:rsidRDefault="0097421B" w:rsidP="0097421B">
            <w:pPr>
              <w:pStyle w:val="Tabletextprimarysource"/>
              <w:numPr>
                <w:ilvl w:val="0"/>
                <w:numId w:val="1"/>
              </w:numPr>
            </w:pPr>
            <w:r>
              <w:t>NOAEC</w:t>
            </w:r>
            <w:r w:rsidR="000A2AA0">
              <w:t xml:space="preserve"> of </w:t>
            </w:r>
            <w:r>
              <w:t>50–100 ppm for sensory irritation in volunteer inhalation study (no further exposure details provided, also presented in ACGIH, 2018)</w:t>
            </w:r>
            <w:r w:rsidR="00752C8D">
              <w:t>:</w:t>
            </w:r>
            <w:r>
              <w:t xml:space="preserve"> </w:t>
            </w:r>
          </w:p>
          <w:p w14:paraId="6E184417" w14:textId="2D6A9B7D" w:rsidR="0097421B" w:rsidRDefault="0097421B" w:rsidP="00732D4B">
            <w:pPr>
              <w:pStyle w:val="Tabletextprimarysource"/>
              <w:numPr>
                <w:ilvl w:val="0"/>
                <w:numId w:val="6"/>
              </w:numPr>
            </w:pPr>
            <w:r>
              <w:t>nuisance odour at 200</w:t>
            </w:r>
            <w:r w:rsidR="00D2739F">
              <w:t> </w:t>
            </w:r>
            <w:r>
              <w:t>ppm and irritation of eyes and nose at 400 ppm</w:t>
            </w:r>
          </w:p>
          <w:p w14:paraId="6DDBCE5E" w14:textId="5203B5DC" w:rsidR="005E49E1" w:rsidRDefault="00570E76" w:rsidP="00732D4B">
            <w:pPr>
              <w:pStyle w:val="Tabletextprimarysource"/>
              <w:numPr>
                <w:ilvl w:val="0"/>
                <w:numId w:val="6"/>
              </w:numPr>
            </w:pPr>
            <w:r>
              <w:rPr>
                <w:rFonts w:cs="Arial"/>
                <w:color w:val="1C1D1E"/>
                <w:shd w:val="clear" w:color="auto" w:fill="FFFFFF"/>
              </w:rPr>
              <w:t>poorly documented study and only used as qualitative indication of sensory irritation</w:t>
            </w:r>
          </w:p>
          <w:p w14:paraId="285FFD57" w14:textId="2B86D00B" w:rsidR="0097421B" w:rsidRDefault="0097421B" w:rsidP="0097421B">
            <w:pPr>
              <w:pStyle w:val="Tabletextprimarysource"/>
              <w:numPr>
                <w:ilvl w:val="0"/>
                <w:numId w:val="1"/>
              </w:numPr>
            </w:pPr>
            <w:r>
              <w:t>1 report of dermal cross-sensitisation in a subject sensitised to styrene</w:t>
            </w:r>
          </w:p>
          <w:p w14:paraId="6DE804BE" w14:textId="34413A5B" w:rsidR="00A42FB8" w:rsidRDefault="00A42FB8" w:rsidP="0097421B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Dermal penetration rate </w:t>
            </w:r>
            <w:r>
              <w:rPr>
                <w:i/>
              </w:rPr>
              <w:t>in vitro</w:t>
            </w:r>
            <w:r>
              <w:t>: 66.0</w:t>
            </w:r>
            <w:r>
              <w:rPr>
                <w:rFonts w:cs="Arial"/>
              </w:rPr>
              <w:t>±</w:t>
            </w:r>
            <w:r>
              <w:t>29.9 µg/cm</w:t>
            </w:r>
            <w:r>
              <w:rPr>
                <w:vertAlign w:val="superscript"/>
              </w:rPr>
              <w:t>2</w:t>
            </w:r>
            <w:r>
              <w:t>/h (10 min) 104.2</w:t>
            </w:r>
            <w:r>
              <w:rPr>
                <w:rFonts w:cs="Arial"/>
              </w:rPr>
              <w:t>±</w:t>
            </w:r>
            <w:r>
              <w:t>63.0 µg/cm</w:t>
            </w:r>
            <w:r>
              <w:rPr>
                <w:vertAlign w:val="superscript"/>
              </w:rPr>
              <w:t>2</w:t>
            </w:r>
            <w:r>
              <w:t>/h (1</w:t>
            </w:r>
            <w:r w:rsidR="00D2739F">
              <w:t> </w:t>
            </w:r>
            <w:r>
              <w:t>h)</w:t>
            </w:r>
          </w:p>
          <w:p w14:paraId="5F39DF8D" w14:textId="40613658" w:rsidR="002334D5" w:rsidRDefault="002334D5" w:rsidP="002334D5">
            <w:pPr>
              <w:pStyle w:val="Tabletextprimarysource"/>
            </w:pPr>
            <w:r>
              <w:t>Animal data:</w:t>
            </w:r>
          </w:p>
          <w:p w14:paraId="2B28F163" w14:textId="19FF6A53" w:rsidR="002334D5" w:rsidRDefault="002334D5" w:rsidP="002334D5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 w:rsidR="00D2739F">
              <w:t>:</w:t>
            </w:r>
            <w:r>
              <w:t xml:space="preserve"> &gt;4,500 mg/kg (rabbits</w:t>
            </w:r>
            <w:r w:rsidR="00D2739F">
              <w:t>, dermal</w:t>
            </w:r>
            <w:r>
              <w:t>); no histopathological findings at this concentration</w:t>
            </w:r>
          </w:p>
          <w:p w14:paraId="6DFB6E38" w14:textId="66ACBA86" w:rsidR="00DE3C39" w:rsidRDefault="002334D5" w:rsidP="002334D5">
            <w:pPr>
              <w:pStyle w:val="Tabletextprimarysource"/>
              <w:numPr>
                <w:ilvl w:val="0"/>
                <w:numId w:val="1"/>
              </w:numPr>
            </w:pPr>
            <w:r>
              <w:t>LOAEC</w:t>
            </w:r>
            <w:r w:rsidR="00570E76">
              <w:t xml:space="preserve"> of</w:t>
            </w:r>
            <w:r>
              <w:t xml:space="preserve"> 100 ppm (rats) and 10 ppm (mice) for inflammation and hyperplasia of respiratory epithelium reported in chronic inhalation study (6 h/d, 5 d/</w:t>
            </w:r>
            <w:proofErr w:type="spellStart"/>
            <w:r>
              <w:t>wk</w:t>
            </w:r>
            <w:proofErr w:type="spellEnd"/>
            <w:r>
              <w:t xml:space="preserve">, 2 </w:t>
            </w:r>
            <w:proofErr w:type="spellStart"/>
            <w:r>
              <w:t>yr</w:t>
            </w:r>
            <w:proofErr w:type="spellEnd"/>
            <w:r>
              <w:t>, also presented in ACGIH, 2018)</w:t>
            </w:r>
            <w:r w:rsidR="00570E76">
              <w:t>:</w:t>
            </w:r>
            <w:r>
              <w:t xml:space="preserve"> </w:t>
            </w:r>
          </w:p>
          <w:p w14:paraId="0CF61151" w14:textId="1F3922DE" w:rsidR="002334D5" w:rsidRDefault="002334D5" w:rsidP="00732D4B">
            <w:pPr>
              <w:pStyle w:val="Tabletextprimarysource"/>
              <w:numPr>
                <w:ilvl w:val="0"/>
                <w:numId w:val="6"/>
              </w:numPr>
            </w:pPr>
            <w:r>
              <w:t xml:space="preserve">systemic NOAEC: 100 ppm (rats) and 10 ppm (mice) for reduced </w:t>
            </w:r>
            <w:proofErr w:type="spellStart"/>
            <w:r>
              <w:t>bw</w:t>
            </w:r>
            <w:proofErr w:type="spellEnd"/>
            <w:r w:rsidR="00D2739F">
              <w:t>;</w:t>
            </w:r>
            <w:r>
              <w:t xml:space="preserve"> this effect observed at 300 and 25 ppm, respectively, in each species</w:t>
            </w:r>
          </w:p>
          <w:p w14:paraId="4FECB628" w14:textId="54955126" w:rsidR="002334D5" w:rsidRDefault="002334D5" w:rsidP="00D2739F">
            <w:pPr>
              <w:pStyle w:val="Tabletextprimarysource"/>
              <w:numPr>
                <w:ilvl w:val="1"/>
                <w:numId w:val="1"/>
              </w:numPr>
              <w:ind w:left="1440"/>
            </w:pPr>
            <w:r>
              <w:t>no evidence for carcinogenicity in either species</w:t>
            </w:r>
          </w:p>
          <w:p w14:paraId="111ABC1A" w14:textId="5EBC948C" w:rsidR="00DE3C39" w:rsidRPr="000A2AA0" w:rsidRDefault="002334D5" w:rsidP="002334D5">
            <w:pPr>
              <w:pStyle w:val="Tabletextprimarysource"/>
              <w:numPr>
                <w:ilvl w:val="0"/>
                <w:numId w:val="1"/>
              </w:numPr>
            </w:pPr>
            <w:r w:rsidRPr="000A2AA0">
              <w:lastRenderedPageBreak/>
              <w:t xml:space="preserve">Non-mutagenic </w:t>
            </w:r>
            <w:r w:rsidRPr="000A2AA0">
              <w:rPr>
                <w:i/>
              </w:rPr>
              <w:t>in vitro</w:t>
            </w:r>
            <w:r w:rsidRPr="000A2AA0">
              <w:t xml:space="preserve"> in bacteria </w:t>
            </w:r>
          </w:p>
          <w:p w14:paraId="359428D8" w14:textId="0692FD92" w:rsidR="00DE3C39" w:rsidRDefault="007657BF" w:rsidP="002242D7">
            <w:pPr>
              <w:pStyle w:val="Tabletextprimarysource"/>
              <w:numPr>
                <w:ilvl w:val="0"/>
                <w:numId w:val="1"/>
              </w:numPr>
            </w:pPr>
            <w:r>
              <w:t>M</w:t>
            </w:r>
            <w:r w:rsidR="002334D5">
              <w:t xml:space="preserve">icronucleus formation reported </w:t>
            </w:r>
            <w:r w:rsidR="002334D5">
              <w:rPr>
                <w:i/>
              </w:rPr>
              <w:t>in vivo</w:t>
            </w:r>
            <w:r w:rsidR="002334D5">
              <w:t xml:space="preserve"> in mice</w:t>
            </w:r>
            <w:r>
              <w:t xml:space="preserve"> at IP dose of 200 mg/kg, but not at 100 mg/kg (lowest tested dose)</w:t>
            </w:r>
            <w:r w:rsidR="00570E76">
              <w:t>:</w:t>
            </w:r>
            <w:r w:rsidR="002334D5">
              <w:t xml:space="preserve"> </w:t>
            </w:r>
          </w:p>
          <w:p w14:paraId="7565A661" w14:textId="7B83C653" w:rsidR="002334D5" w:rsidRDefault="007657BF" w:rsidP="00732D4B">
            <w:pPr>
              <w:pStyle w:val="Tabletextprimarysource"/>
              <w:numPr>
                <w:ilvl w:val="1"/>
                <w:numId w:val="1"/>
              </w:numPr>
            </w:pPr>
            <w:r>
              <w:t>cytotoxic at IP doses of</w:t>
            </w:r>
            <w:r w:rsidDel="007657BF">
              <w:t xml:space="preserve"> </w:t>
            </w:r>
            <w:r>
              <w:t>200</w:t>
            </w:r>
            <w:r w:rsidR="002334D5">
              <w:t xml:space="preserve">–500 mg/kg </w:t>
            </w:r>
          </w:p>
          <w:p w14:paraId="1CB46D62" w14:textId="1F6324CC" w:rsidR="002334D5" w:rsidRDefault="002334D5" w:rsidP="002334D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Developmental toxicity at 6 ppm (4 </w:t>
            </w:r>
            <w:proofErr w:type="spellStart"/>
            <w:r>
              <w:t>mo</w:t>
            </w:r>
            <w:proofErr w:type="spellEnd"/>
            <w:r>
              <w:t xml:space="preserve">) and 6,200 ppm (1 </w:t>
            </w:r>
            <w:proofErr w:type="spellStart"/>
            <w:r>
              <w:t>mo</w:t>
            </w:r>
            <w:proofErr w:type="spellEnd"/>
            <w:r>
              <w:t xml:space="preserve">) in guinea pigs </w:t>
            </w:r>
            <w:r w:rsidR="000A2AA0">
              <w:t xml:space="preserve">reported </w:t>
            </w:r>
            <w:r>
              <w:t xml:space="preserve">in </w:t>
            </w:r>
            <w:r w:rsidR="000A2AA0">
              <w:t xml:space="preserve">one </w:t>
            </w:r>
            <w:r>
              <w:t xml:space="preserve">study (also cited by ACGIH, 2018) incorrectly referenced and not used by </w:t>
            </w:r>
            <w:r w:rsidR="000A2AA0">
              <w:t xml:space="preserve">DFG </w:t>
            </w:r>
            <w:r>
              <w:t>in assessment</w:t>
            </w:r>
          </w:p>
          <w:p w14:paraId="0AF80AA2" w14:textId="1AD7A665" w:rsidR="00732D4B" w:rsidRDefault="002334D5" w:rsidP="002334D5">
            <w:pPr>
              <w:pStyle w:val="Tabletextprimarysource"/>
              <w:numPr>
                <w:ilvl w:val="0"/>
                <w:numId w:val="1"/>
              </w:numPr>
            </w:pPr>
            <w:r>
              <w:t>Other available developmental toxicity data include repeat gavage studies with dose range of 50–600 mg/kg/d (rats, rabbits, GD 6–27) with NOAELs of 150–600 mg/kg/d (highest tested doses)</w:t>
            </w:r>
            <w:r w:rsidR="00570E76">
              <w:t>:</w:t>
            </w:r>
            <w:r>
              <w:t xml:space="preserve"> </w:t>
            </w:r>
          </w:p>
          <w:p w14:paraId="2FBFC7EA" w14:textId="693BB34D" w:rsidR="002334D5" w:rsidRDefault="00570E76" w:rsidP="00732D4B">
            <w:pPr>
              <w:pStyle w:val="Tabletextprimarysource"/>
              <w:numPr>
                <w:ilvl w:val="0"/>
                <w:numId w:val="7"/>
              </w:numPr>
            </w:pPr>
            <w:r>
              <w:t>one</w:t>
            </w:r>
            <w:r w:rsidR="002334D5">
              <w:t xml:space="preserve"> study did not </w:t>
            </w:r>
            <w:r w:rsidR="003058EB">
              <w:t xml:space="preserve">report </w:t>
            </w:r>
            <w:r w:rsidR="002334D5">
              <w:t xml:space="preserve">a NOAEL based on reduced maternal and foetal </w:t>
            </w:r>
            <w:r>
              <w:t xml:space="preserve">body weight </w:t>
            </w:r>
            <w:r w:rsidR="002334D5">
              <w:t>at 50</w:t>
            </w:r>
            <w:r w:rsidR="003058EB">
              <w:t> </w:t>
            </w:r>
            <w:r w:rsidR="002334D5">
              <w:t>mg/kg/d (lowest tested dose)</w:t>
            </w:r>
          </w:p>
          <w:p w14:paraId="7CF71499" w14:textId="4C0416B3" w:rsidR="002334D5" w:rsidRDefault="002334D5" w:rsidP="00732D4B">
            <w:pPr>
              <w:pStyle w:val="Tabletextprimarysource"/>
              <w:numPr>
                <w:ilvl w:val="0"/>
                <w:numId w:val="7"/>
              </w:numPr>
            </w:pPr>
            <w:r>
              <w:t xml:space="preserve">none of these studies </w:t>
            </w:r>
            <w:r w:rsidR="003058EB">
              <w:t xml:space="preserve">were used in </w:t>
            </w:r>
            <w:r>
              <w:t xml:space="preserve">the assessment </w:t>
            </w:r>
            <w:r w:rsidR="003058EB">
              <w:t>because</w:t>
            </w:r>
            <w:r>
              <w:t xml:space="preserve"> the original publications</w:t>
            </w:r>
            <w:r w:rsidR="003058EB">
              <w:t xml:space="preserve"> </w:t>
            </w:r>
            <w:r w:rsidR="00570E76">
              <w:t xml:space="preserve">were </w:t>
            </w:r>
            <w:r w:rsidR="003058EB">
              <w:t>not available</w:t>
            </w:r>
            <w:r w:rsidR="00851093">
              <w:t>.</w:t>
            </w:r>
          </w:p>
          <w:p w14:paraId="61A64F09" w14:textId="3B8874D6" w:rsidR="00732D4B" w:rsidRPr="00F528D5" w:rsidRDefault="00732D4B" w:rsidP="00732D4B">
            <w:pPr>
              <w:pStyle w:val="Tabletextprimarysource"/>
            </w:pPr>
          </w:p>
        </w:tc>
      </w:tr>
      <w:tr w:rsidR="00C978F0" w:rsidRPr="00DA352E" w14:paraId="0E6A0B2C" w14:textId="77777777" w:rsidTr="00467F4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7AB7457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F60D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CF60D0">
                  <w:t>NA</w:t>
                </w:r>
              </w:sdtContent>
            </w:sdt>
          </w:p>
        </w:tc>
      </w:tr>
      <w:tr w:rsidR="00C978F0" w:rsidRPr="00DA352E" w14:paraId="2008D281" w14:textId="77777777" w:rsidTr="00467F44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4C6743A3" w:rsidR="00C978F0" w:rsidRPr="00DA352E" w:rsidRDefault="00CF60D0" w:rsidP="003365A5">
            <w:pPr>
              <w:pStyle w:val="Tabletextprimarysource"/>
            </w:pPr>
            <w:r>
              <w:t>No report</w:t>
            </w:r>
            <w:r w:rsidR="00851093">
              <w:t>.</w:t>
            </w:r>
          </w:p>
        </w:tc>
      </w:tr>
      <w:tr w:rsidR="00DA352E" w:rsidRPr="00DA352E" w14:paraId="12BAB90D" w14:textId="77777777" w:rsidTr="00467F4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7503E69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F60D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CF60D0">
                  <w:t>NA</w:t>
                </w:r>
              </w:sdtContent>
            </w:sdt>
          </w:p>
        </w:tc>
      </w:tr>
      <w:tr w:rsidR="00DA352E" w:rsidRPr="00DA352E" w14:paraId="33AAF4A6" w14:textId="77777777" w:rsidTr="00467F44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309AA04E" w:rsidR="00DA352E" w:rsidRPr="00DA352E" w:rsidRDefault="00CF60D0" w:rsidP="003365A5">
            <w:pPr>
              <w:pStyle w:val="Tabletextprimarysource"/>
            </w:pPr>
            <w:r>
              <w:t>No report</w:t>
            </w:r>
            <w:r w:rsidR="00851093">
              <w:t>.</w:t>
            </w:r>
          </w:p>
        </w:tc>
      </w:tr>
      <w:tr w:rsidR="00DA352E" w:rsidRPr="00DA352E" w14:paraId="605F758C" w14:textId="77777777" w:rsidTr="00467F4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6256CF6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F60D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CF60D0">
                  <w:t>NA</w:t>
                </w:r>
              </w:sdtContent>
            </w:sdt>
          </w:p>
        </w:tc>
      </w:tr>
      <w:tr w:rsidR="00DA352E" w:rsidRPr="00DA352E" w14:paraId="7050CB3E" w14:textId="77777777" w:rsidTr="00467F44">
        <w:trPr>
          <w:gridAfter w:val="1"/>
          <w:wAfter w:w="8" w:type="pct"/>
          <w:cantSplit/>
        </w:trPr>
        <w:tc>
          <w:tcPr>
            <w:tcW w:w="4992" w:type="pct"/>
          </w:tcPr>
          <w:p w14:paraId="492D7791" w14:textId="37049858" w:rsidR="00DA352E" w:rsidRPr="00DA352E" w:rsidRDefault="00CF60D0" w:rsidP="003365A5">
            <w:pPr>
              <w:pStyle w:val="Tabletextprimarysource"/>
            </w:pPr>
            <w:r>
              <w:t>No report</w:t>
            </w:r>
            <w:r w:rsidR="00851093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2"/>
        <w:gridCol w:w="661"/>
        <w:gridCol w:w="6451"/>
      </w:tblGrid>
      <w:tr w:rsidR="004966BF" w:rsidRPr="00263255" w14:paraId="6AE89AB3" w14:textId="77777777" w:rsidTr="00467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04FEEADE" w14:textId="77777777" w:rsidTr="00467F44">
        <w:trPr>
          <w:cantSplit/>
        </w:trPr>
        <w:tc>
          <w:tcPr>
            <w:tcW w:w="1492" w:type="dxa"/>
          </w:tcPr>
          <w:p w14:paraId="0AEF458D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2" w:type="dxa"/>
          </w:tcPr>
          <w:p w14:paraId="184BEF97" w14:textId="73F2CC02" w:rsidR="004966BF" w:rsidRPr="00CE617F" w:rsidRDefault="00467F4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C2A5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43344A1" w14:textId="6CF31242" w:rsidR="004966BF" w:rsidRPr="004C23F4" w:rsidRDefault="007C2A5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1" w:type="dxa"/>
          </w:tcPr>
          <w:p w14:paraId="54C85873" w14:textId="35FD04DC" w:rsidR="00A42FB8" w:rsidRDefault="00A42FB8" w:rsidP="00732D4B">
            <w:pPr>
              <w:pStyle w:val="Tablefont"/>
              <w:numPr>
                <w:ilvl w:val="0"/>
                <w:numId w:val="1"/>
              </w:numPr>
              <w:spacing w:before="60" w:after="60"/>
              <w:ind w:left="1077" w:hanging="357"/>
              <w:rPr>
                <w:rFonts w:cs="Arial"/>
              </w:rPr>
            </w:pPr>
            <w:r>
              <w:rPr>
                <w:rFonts w:cs="Arial"/>
              </w:rPr>
              <w:t>Vinyl moiety oxidised to epoxide derivative, which can be oxidised further</w:t>
            </w:r>
            <w:r w:rsidR="003058EB">
              <w:rPr>
                <w:rFonts w:cs="Arial"/>
              </w:rPr>
              <w:t xml:space="preserve">. Saturation </w:t>
            </w:r>
            <w:r>
              <w:rPr>
                <w:rFonts w:cs="Arial"/>
              </w:rPr>
              <w:t>of these metabolic pathways occurs at 250 mg/kg (rats)</w:t>
            </w:r>
          </w:p>
          <w:p w14:paraId="0751A836" w14:textId="5EEDFD26" w:rsidR="00A42FB8" w:rsidRDefault="00A42FB8" w:rsidP="00732D4B">
            <w:pPr>
              <w:pStyle w:val="Tablefont"/>
              <w:numPr>
                <w:ilvl w:val="0"/>
                <w:numId w:val="1"/>
              </w:numPr>
              <w:spacing w:before="60" w:after="60"/>
              <w:ind w:left="1077" w:hanging="357"/>
              <w:rPr>
                <w:rFonts w:cs="Arial"/>
              </w:rPr>
            </w:pPr>
            <w:r>
              <w:rPr>
                <w:rFonts w:cs="Arial"/>
              </w:rPr>
              <w:t xml:space="preserve">Induces </w:t>
            </w:r>
            <w:r w:rsidR="00732D4B">
              <w:rPr>
                <w:rFonts w:cs="Arial"/>
              </w:rPr>
              <w:t>SCE</w:t>
            </w:r>
            <w:r>
              <w:rPr>
                <w:rFonts w:cs="Arial"/>
              </w:rPr>
              <w:t xml:space="preserve"> in human lymphocytes and micronuclei in mice </w:t>
            </w:r>
            <w:r>
              <w:rPr>
                <w:rFonts w:cs="Arial"/>
                <w:i/>
              </w:rPr>
              <w:t>in vitro</w:t>
            </w:r>
          </w:p>
          <w:p w14:paraId="2E179F76" w14:textId="46B02EAF" w:rsidR="00732D4B" w:rsidRDefault="00A42FB8">
            <w:pPr>
              <w:pStyle w:val="Tablefont"/>
              <w:numPr>
                <w:ilvl w:val="0"/>
                <w:numId w:val="1"/>
              </w:numPr>
              <w:spacing w:before="60" w:after="60"/>
              <w:ind w:left="1077" w:hanging="357"/>
              <w:rPr>
                <w:rFonts w:cs="Arial"/>
              </w:rPr>
            </w:pPr>
            <w:r>
              <w:rPr>
                <w:rFonts w:cs="Arial"/>
              </w:rPr>
              <w:t>Inadequate evidence for carcinogenic activity in humans</w:t>
            </w:r>
            <w:r w:rsidR="00722A71">
              <w:rPr>
                <w:rFonts w:cs="Arial"/>
              </w:rPr>
              <w:t xml:space="preserve"> and</w:t>
            </w:r>
            <w:r>
              <w:rPr>
                <w:rFonts w:cs="Arial"/>
              </w:rPr>
              <w:t xml:space="preserve"> lack of evidence for carcinogenicity in animals</w:t>
            </w:r>
            <w:r w:rsidR="00570E76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2DDCA6FC" w14:textId="6FFBC357" w:rsidR="007C2A58" w:rsidRPr="00A42FB8" w:rsidRDefault="00A42FB8" w:rsidP="00732D4B">
            <w:pPr>
              <w:pStyle w:val="Tablefont"/>
              <w:numPr>
                <w:ilvl w:val="0"/>
                <w:numId w:val="8"/>
              </w:numPr>
              <w:spacing w:before="60" w:after="60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 xml:space="preserve">overall evaluation </w:t>
            </w:r>
            <w:r w:rsidR="00732D4B">
              <w:rPr>
                <w:rFonts w:cs="Arial"/>
              </w:rPr>
              <w:t>concludes</w:t>
            </w:r>
            <w:r>
              <w:rPr>
                <w:rFonts w:cs="Arial"/>
              </w:rPr>
              <w:t xml:space="preserve"> that </w:t>
            </w:r>
            <w:r w:rsidR="003058EB">
              <w:rPr>
                <w:rFonts w:cs="Arial"/>
              </w:rPr>
              <w:t>vinyl toluene</w:t>
            </w:r>
            <w:r w:rsidR="003058EB" w:rsidDel="003058E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is not classifiable as human carcinogen (Group 3)</w:t>
            </w:r>
            <w:r w:rsidR="00851093">
              <w:rPr>
                <w:rFonts w:cs="Arial"/>
              </w:rPr>
              <w:t>.</w:t>
            </w:r>
          </w:p>
        </w:tc>
      </w:tr>
      <w:tr w:rsidR="004966BF" w:rsidRPr="004C23F4" w14:paraId="57B99F2E" w14:textId="77777777" w:rsidTr="00467F44">
        <w:trPr>
          <w:cantSplit/>
        </w:trPr>
        <w:tc>
          <w:tcPr>
            <w:tcW w:w="1492" w:type="dxa"/>
          </w:tcPr>
          <w:p w14:paraId="4284E78B" w14:textId="77777777" w:rsidR="004966BF" w:rsidRPr="004C23F4" w:rsidRDefault="004966BF" w:rsidP="00224EE2">
            <w:pPr>
              <w:pStyle w:val="Tablefont"/>
            </w:pPr>
            <w:r>
              <w:t>NTP</w:t>
            </w:r>
          </w:p>
        </w:tc>
        <w:tc>
          <w:tcPr>
            <w:tcW w:w="422" w:type="dxa"/>
          </w:tcPr>
          <w:p w14:paraId="7FB38F5E" w14:textId="17A67F84" w:rsidR="004966BF" w:rsidRPr="00CE617F" w:rsidRDefault="00467F4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0599BE4318CD4CC0836196E577CC292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C2A5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68FFB1E" w14:textId="0EB5885E" w:rsidR="004966BF" w:rsidRPr="004C23F4" w:rsidRDefault="007C2A5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1990</w:t>
            </w:r>
          </w:p>
        </w:tc>
        <w:tc>
          <w:tcPr>
            <w:tcW w:w="6451" w:type="dxa"/>
          </w:tcPr>
          <w:p w14:paraId="7CA16C03" w14:textId="6FF242F9" w:rsidR="004966BF" w:rsidRPr="004C23F4" w:rsidRDefault="007C2A58" w:rsidP="00732D4B">
            <w:pPr>
              <w:pStyle w:val="Tablefont"/>
              <w:numPr>
                <w:ilvl w:val="0"/>
                <w:numId w:val="1"/>
              </w:numPr>
              <w:spacing w:before="60" w:after="60"/>
              <w:ind w:left="1077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evidence for carcinogenicity in chronically exposed mice and rats (also presented in ACGIH, 2018; DFG, 2017)</w:t>
            </w:r>
            <w:r w:rsidR="00851093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61B5CF9D" w14:textId="77777777" w:rsidTr="00467F44">
        <w:trPr>
          <w:cantSplit/>
        </w:trPr>
        <w:tc>
          <w:tcPr>
            <w:tcW w:w="1492" w:type="dxa"/>
          </w:tcPr>
          <w:p w14:paraId="3021C8F4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2" w:type="dxa"/>
          </w:tcPr>
          <w:p w14:paraId="1B271840" w14:textId="63F52B9B" w:rsidR="004966BF" w:rsidRPr="00CE617F" w:rsidRDefault="00467F4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42FB8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61" w:type="dxa"/>
          </w:tcPr>
          <w:p w14:paraId="45DA2066" w14:textId="31B939C0" w:rsidR="004966BF" w:rsidRPr="004C23F4" w:rsidRDefault="007C2A5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2020</w:t>
            </w:r>
          </w:p>
        </w:tc>
        <w:tc>
          <w:tcPr>
            <w:tcW w:w="6451" w:type="dxa"/>
          </w:tcPr>
          <w:p w14:paraId="6CD7CB34" w14:textId="6D774F56" w:rsidR="007C2A58" w:rsidRDefault="007C2A58" w:rsidP="00732D4B">
            <w:pPr>
              <w:pStyle w:val="Tablefont"/>
              <w:numPr>
                <w:ilvl w:val="0"/>
                <w:numId w:val="1"/>
              </w:numPr>
              <w:spacing w:before="60" w:after="60"/>
              <w:ind w:left="1077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additional information</w:t>
            </w:r>
          </w:p>
          <w:p w14:paraId="5C19B807" w14:textId="30011147" w:rsidR="004966BF" w:rsidRPr="004C23F4" w:rsidRDefault="007C2A58" w:rsidP="00732D4B">
            <w:pPr>
              <w:pStyle w:val="Tablefont"/>
              <w:numPr>
                <w:ilvl w:val="0"/>
                <w:numId w:val="1"/>
              </w:numPr>
              <w:spacing w:before="60" w:after="60"/>
              <w:ind w:left="1077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hazards identified, no DNELs reported</w:t>
            </w:r>
            <w:r w:rsidR="00851093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20C4323A" w14:textId="77777777" w:rsidTr="00467F44">
        <w:trPr>
          <w:cantSplit/>
        </w:trPr>
        <w:tc>
          <w:tcPr>
            <w:tcW w:w="1492" w:type="dxa"/>
          </w:tcPr>
          <w:p w14:paraId="76D0E357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46AE65C2" w14:textId="26B62C0D" w:rsidR="004966BF" w:rsidRDefault="00467F4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C2A5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B82A5B6" w14:textId="403EB002" w:rsidR="004966BF" w:rsidRPr="004C23F4" w:rsidRDefault="007C2A5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1" w:type="dxa"/>
          </w:tcPr>
          <w:p w14:paraId="4E1BEF9D" w14:textId="3400AB62" w:rsidR="004966BF" w:rsidRPr="004C23F4" w:rsidRDefault="007C2A58" w:rsidP="00732D4B">
            <w:pPr>
              <w:pStyle w:val="Tablefont"/>
              <w:numPr>
                <w:ilvl w:val="0"/>
                <w:numId w:val="1"/>
              </w:numPr>
              <w:spacing w:before="60" w:after="60"/>
              <w:ind w:left="1077" w:hanging="357"/>
              <w:rPr>
                <w:rStyle w:val="checkbox"/>
                <w:rFonts w:ascii="Arial" w:hAnsi="Arial" w:cs="Arial"/>
              </w:rPr>
            </w:pPr>
            <w:r w:rsidRPr="007C2A58">
              <w:rPr>
                <w:rFonts w:cs="Arial"/>
              </w:rPr>
              <w:t>IDLH based on acute inhalation toxicity data in humans</w:t>
            </w:r>
            <w:r w:rsidR="00851093">
              <w:rPr>
                <w:rFonts w:cs="Arial"/>
              </w:rPr>
              <w:t>.</w:t>
            </w:r>
          </w:p>
        </w:tc>
      </w:tr>
    </w:tbl>
    <w:bookmarkEnd w:id="1"/>
    <w:p w14:paraId="04408E29" w14:textId="77777777" w:rsidR="007E2A4B" w:rsidRDefault="007E2A4B" w:rsidP="008A46E6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A42FB8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8A46E6">
            <w:pPr>
              <w:pStyle w:val="Tablefont"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28EBBFBE" w:rsidR="002E0D61" w:rsidRDefault="00A42FB8" w:rsidP="008A46E6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A42FB8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8A46E6">
            <w:pPr>
              <w:pStyle w:val="Tablefont"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27491DB2" w:rsidR="008A36CF" w:rsidRDefault="00A42FB8" w:rsidP="008A46E6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A42FB8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1A7516AB" w14:textId="4E821977" w:rsidR="008A36CF" w:rsidRPr="006901A2" w:rsidRDefault="00A42FB8" w:rsidP="008A46E6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18F36B73" w14:textId="77777777" w:rsidR="008A36CF" w:rsidRDefault="008A36CF" w:rsidP="008A46E6">
            <w:pPr>
              <w:pStyle w:val="Tablefont"/>
              <w:keepLines/>
              <w:spacing w:before="40" w:after="40"/>
            </w:pPr>
          </w:p>
        </w:tc>
      </w:tr>
    </w:tbl>
    <w:bookmarkEnd w:id="2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467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467F44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68582C5F" w:rsidR="00687890" w:rsidRPr="00DD2F9B" w:rsidRDefault="00CF60D0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A0C13EF" w14:textId="77777777" w:rsidTr="00467F44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2E2B5DE4" w:rsidR="007925F0" w:rsidRPr="00DD2F9B" w:rsidRDefault="00CF60D0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1044B3" w14:textId="77777777" w:rsidTr="00467F44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410F292B" w:rsidR="00AF483F" w:rsidRPr="00DD2F9B" w:rsidRDefault="00CF60D0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467F44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035468B3" w:rsidR="00687890" w:rsidRPr="00DD2F9B" w:rsidRDefault="00CF60D0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467F44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29ABEFED" w:rsidR="00E41A26" w:rsidRPr="00DD2F9B" w:rsidRDefault="00A72971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7A490EF" w14:textId="77777777" w:rsidTr="00467F44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423699B7" w:rsidR="002E0D61" w:rsidRPr="00DD2F9B" w:rsidRDefault="00CF60D0" w:rsidP="00DD2F9B">
            <w:pPr>
              <w:pStyle w:val="Tablefont"/>
            </w:pPr>
            <w:r w:rsidRPr="00CF60D0">
              <w:t>Carcinogenicity – A4</w:t>
            </w:r>
          </w:p>
        </w:tc>
      </w:tr>
      <w:tr w:rsidR="002E0D61" w:rsidRPr="004C23F4" w14:paraId="43FA3590" w14:textId="77777777" w:rsidTr="00467F44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2D938A1B" w:rsidR="002E0D61" w:rsidRPr="00DD2F9B" w:rsidRDefault="00CF60D0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AC7B866" w14:textId="77777777" w:rsidTr="00467F44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58764F5F" w:rsidR="002E0D61" w:rsidRPr="00DD2F9B" w:rsidRDefault="00CF60D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467F44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42649A6C" w:rsidR="002E0D61" w:rsidRPr="00DD2F9B" w:rsidRDefault="00CF60D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467F44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7105C21F" w:rsidR="00386093" w:rsidRPr="00DD2F9B" w:rsidRDefault="00CF60D0" w:rsidP="00DD2F9B">
            <w:pPr>
              <w:pStyle w:val="Tablefont"/>
            </w:pPr>
            <w:r w:rsidRPr="00CF60D0">
              <w:t>Carcinogenicity – Group 3</w:t>
            </w:r>
          </w:p>
        </w:tc>
      </w:tr>
      <w:tr w:rsidR="00386093" w:rsidRPr="004C23F4" w14:paraId="7461DB0E" w14:textId="77777777" w:rsidTr="00467F44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52BA8FCB" w:rsidR="00386093" w:rsidRPr="00DD2F9B" w:rsidRDefault="00CF60D0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014" w:type="dxa"/>
              <w:tblLook w:val="04A0" w:firstRow="1" w:lastRow="0" w:firstColumn="1" w:lastColumn="0" w:noHBand="0" w:noVBand="1"/>
            </w:tblPr>
            <w:tblGrid>
              <w:gridCol w:w="3662"/>
              <w:gridCol w:w="1082"/>
              <w:gridCol w:w="1082"/>
              <w:gridCol w:w="2984"/>
            </w:tblGrid>
            <w:tr w:rsidR="00A42FB8" w:rsidRPr="00A42FB8" w14:paraId="738F40FB" w14:textId="77777777" w:rsidTr="00A42FB8">
              <w:trPr>
                <w:trHeight w:val="231"/>
              </w:trPr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1F88FB" w14:textId="77777777" w:rsidR="00A42FB8" w:rsidRPr="00A42FB8" w:rsidRDefault="00A42FB8" w:rsidP="00A42F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D6CB2A" w14:textId="77777777" w:rsidR="00A42FB8" w:rsidRPr="00A42FB8" w:rsidRDefault="00A42FB8" w:rsidP="00A42F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3CFD1F" w14:textId="77777777" w:rsidR="00A42FB8" w:rsidRPr="00A42FB8" w:rsidRDefault="00A42FB8" w:rsidP="00A42F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C77990" w14:textId="77777777" w:rsidR="00A42FB8" w:rsidRPr="00A42FB8" w:rsidRDefault="00A42FB8" w:rsidP="00A42F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42FB8" w:rsidRPr="00A42FB8" w14:paraId="01DED72F" w14:textId="77777777" w:rsidTr="00A42FB8">
              <w:trPr>
                <w:trHeight w:val="231"/>
              </w:trPr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BCDBD0" w14:textId="77777777" w:rsidR="00A42FB8" w:rsidRPr="00A42FB8" w:rsidRDefault="00A42FB8" w:rsidP="00A42F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499381" w14:textId="77777777" w:rsidR="00A42FB8" w:rsidRPr="00A42FB8" w:rsidRDefault="00A42FB8" w:rsidP="00A42F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AC86A4" w14:textId="77777777" w:rsidR="00A42FB8" w:rsidRPr="00A42FB8" w:rsidRDefault="00A42FB8" w:rsidP="00A42F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B6260E" w14:textId="77777777" w:rsidR="00A42FB8" w:rsidRPr="00A42FB8" w:rsidRDefault="00A42FB8" w:rsidP="00A42F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42FB8" w:rsidRPr="00A42FB8" w14:paraId="396D3810" w14:textId="77777777" w:rsidTr="00A42FB8">
              <w:trPr>
                <w:trHeight w:val="231"/>
              </w:trPr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F1CF5C" w14:textId="77777777" w:rsidR="00A42FB8" w:rsidRPr="00A42FB8" w:rsidRDefault="00A42FB8" w:rsidP="00A42F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ACD97C" w14:textId="77777777" w:rsidR="00A42FB8" w:rsidRPr="00A42FB8" w:rsidRDefault="00A42FB8" w:rsidP="00A42F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204B74" w14:textId="77777777" w:rsidR="00A42FB8" w:rsidRPr="00A42FB8" w:rsidRDefault="00A42FB8" w:rsidP="00A42F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FB8013" w14:textId="77777777" w:rsidR="00A42FB8" w:rsidRPr="00A42FB8" w:rsidRDefault="00A42FB8" w:rsidP="00A42F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42FB8" w:rsidRPr="00A42FB8" w14:paraId="08380544" w14:textId="77777777" w:rsidTr="00A42FB8">
              <w:trPr>
                <w:trHeight w:val="231"/>
              </w:trPr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0C8B84" w14:textId="77777777" w:rsidR="00A42FB8" w:rsidRPr="00A42FB8" w:rsidRDefault="00A42FB8" w:rsidP="00A42F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51084B" w14:textId="77777777" w:rsidR="00A42FB8" w:rsidRPr="00A42FB8" w:rsidRDefault="00A42FB8" w:rsidP="00A42F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B7E7B5" w14:textId="77777777" w:rsidR="00A42FB8" w:rsidRPr="00A42FB8" w:rsidRDefault="00A42FB8" w:rsidP="00A42F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40E903" w14:textId="77777777" w:rsidR="00A42FB8" w:rsidRPr="00A42FB8" w:rsidRDefault="00A42FB8" w:rsidP="00A42F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42FB8" w:rsidRPr="00A42FB8" w14:paraId="63A52433" w14:textId="77777777" w:rsidTr="00A42FB8">
              <w:trPr>
                <w:trHeight w:val="231"/>
              </w:trPr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2EA7C4" w14:textId="77777777" w:rsidR="00A42FB8" w:rsidRPr="00A42FB8" w:rsidRDefault="00A42FB8" w:rsidP="00A42F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E6EE88" w14:textId="77777777" w:rsidR="00A42FB8" w:rsidRPr="00A42FB8" w:rsidRDefault="00A42FB8" w:rsidP="00A42F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59B991" w14:textId="77777777" w:rsidR="00A42FB8" w:rsidRPr="00A42FB8" w:rsidRDefault="00A42FB8" w:rsidP="00A42F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30A135" w14:textId="77777777" w:rsidR="00A42FB8" w:rsidRPr="00A42FB8" w:rsidRDefault="00A42FB8" w:rsidP="00A42F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42FB8" w:rsidRPr="00A42FB8" w14:paraId="1F4A230A" w14:textId="77777777" w:rsidTr="00A42FB8">
              <w:trPr>
                <w:trHeight w:val="231"/>
              </w:trPr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6AB056" w14:textId="77777777" w:rsidR="00A42FB8" w:rsidRPr="00A42FB8" w:rsidRDefault="00A42FB8" w:rsidP="00A42F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FBBE18" w14:textId="77777777" w:rsidR="00A42FB8" w:rsidRPr="00A42FB8" w:rsidRDefault="00A42FB8" w:rsidP="00A42F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B852F2" w14:textId="77777777" w:rsidR="00A42FB8" w:rsidRPr="00A42FB8" w:rsidRDefault="00A42FB8" w:rsidP="00A42F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-2.00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52D88A" w14:textId="77777777" w:rsidR="00A42FB8" w:rsidRPr="00A42FB8" w:rsidRDefault="00A42FB8" w:rsidP="00A42F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42FB8" w:rsidRPr="00A42FB8" w14:paraId="2A526494" w14:textId="77777777" w:rsidTr="00A42FB8">
              <w:trPr>
                <w:trHeight w:val="231"/>
              </w:trPr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2F089A" w14:textId="77777777" w:rsidR="00A42FB8" w:rsidRPr="00A42FB8" w:rsidRDefault="00A42FB8" w:rsidP="00A42F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69F134" w14:textId="77777777" w:rsidR="00A42FB8" w:rsidRPr="00A42FB8" w:rsidRDefault="00A42FB8" w:rsidP="00A42F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57626E" w14:textId="77777777" w:rsidR="00A42FB8" w:rsidRPr="00A42FB8" w:rsidRDefault="00A42FB8" w:rsidP="00A42F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-2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68109E" w14:textId="77777777" w:rsidR="00A42FB8" w:rsidRPr="00A42FB8" w:rsidRDefault="00A42FB8" w:rsidP="00A42FB8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A42FB8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329D664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37D5E4F4" w:rsidR="00EB3D1B" w:rsidRDefault="00CF60D0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6C3C4646" w:rsidR="001B79E5" w:rsidRDefault="00A72971" w:rsidP="001B79E5">
                <w:pPr>
                  <w:pStyle w:val="Tablefont"/>
                </w:pPr>
                <w:r>
                  <w:t>118.18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2D286D64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CF60D0" w:rsidRPr="00CF60D0">
                  <w:t>4.83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CF60D0" w:rsidRPr="00CF60D0">
                  <w:t>0.207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lastRenderedPageBreak/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467F44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18B4479C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20F560F6" w:rsidR="008E4F1F" w:rsidRDefault="008E4F1F" w:rsidP="00CF60D0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CF60D0" w:rsidRPr="00CF60D0">
        <w:t>2017</w:t>
      </w:r>
      <w:r>
        <w:t xml:space="preserve">) </w:t>
      </w:r>
      <w:r w:rsidR="00A42FB8">
        <w:t xml:space="preserve">Methyl styrene (vinyl toluene) </w:t>
      </w:r>
      <w:r w:rsidR="00CF60D0">
        <w:t>(all isomers)</w:t>
      </w:r>
      <w:r>
        <w:t xml:space="preserve"> – MAK value documentation.</w:t>
      </w:r>
    </w:p>
    <w:p w14:paraId="7567EC37" w14:textId="1AFF706D" w:rsidR="00A72971" w:rsidRPr="00A72971" w:rsidRDefault="00A72971" w:rsidP="00CF60D0">
      <w:r>
        <w:t xml:space="preserve">European Chemicals Agency (ECHA) (2020) </w:t>
      </w:r>
      <w:proofErr w:type="spellStart"/>
      <w:r>
        <w:t>v</w:t>
      </w:r>
      <w:r w:rsidRPr="00A72971">
        <w:t>inyltoluene</w:t>
      </w:r>
      <w:proofErr w:type="spellEnd"/>
      <w:r>
        <w:t xml:space="preserve"> – REACH assessment.</w:t>
      </w:r>
    </w:p>
    <w:p w14:paraId="0FC8D162" w14:textId="19642137" w:rsidR="00A72971" w:rsidRPr="00A72971" w:rsidRDefault="008E4F1F" w:rsidP="008E4F1F">
      <w:pPr>
        <w:rPr>
          <w:b/>
        </w:rPr>
      </w:pPr>
      <w:r w:rsidRPr="002022B6">
        <w:t>International Agency for Research on Cancer</w:t>
      </w:r>
      <w:r>
        <w:t xml:space="preserve"> (IARC) (</w:t>
      </w:r>
      <w:r w:rsidR="00CF60D0" w:rsidRPr="00CF60D0">
        <w:t>1994</w:t>
      </w:r>
      <w:r w:rsidR="00D12369">
        <w:t>) Some Industrial Chemicals</w:t>
      </w:r>
      <w:r>
        <w:t>. IARC Monographs on the evaluation of the carcinogenic risk to humans</w:t>
      </w:r>
      <w:r w:rsidR="00D12369">
        <w:t>, Volume 60</w:t>
      </w:r>
      <w:r>
        <w:t>.</w:t>
      </w:r>
    </w:p>
    <w:p w14:paraId="3628EE0E" w14:textId="69CB5447" w:rsidR="007C2A58" w:rsidRPr="007C2A58" w:rsidRDefault="007C2A58" w:rsidP="008E4F1F">
      <w:pPr>
        <w:rPr>
          <w:b/>
          <w:bCs/>
        </w:rPr>
      </w:pPr>
      <w:r w:rsidRPr="002022B6">
        <w:t>National Toxicology Program (NTP)</w:t>
      </w:r>
      <w:r>
        <w:t xml:space="preserve"> (1990) </w:t>
      </w:r>
      <w:r w:rsidRPr="007C2A58">
        <w:rPr>
          <w:bCs/>
        </w:rPr>
        <w:t>Toxicology and Carcinogenesis Studies of Vinyl Toluene (Mixed Isomers) (65%-71% meta-isomer and 32-35% para-isomer) in F344/N Rats and B6C3F1 Mice (Inhalation Studies)</w:t>
      </w:r>
      <w:r>
        <w:t>. NTP Toxicity report series No. 375. DHHS (NIH) Pub No 90-2830.</w:t>
      </w:r>
    </w:p>
    <w:p w14:paraId="7154FEA3" w14:textId="77777777" w:rsidR="00851093" w:rsidRDefault="00851093" w:rsidP="00851093">
      <w:r w:rsidRPr="00D86E03">
        <w:t>US National Institute for Occupational Safety and Health (NIOSH)</w:t>
      </w:r>
      <w:r>
        <w:t xml:space="preserve"> (</w:t>
      </w:r>
      <w:r w:rsidRPr="00CF60D0">
        <w:t>1994</w:t>
      </w:r>
      <w:r>
        <w:t xml:space="preserve">) Immediately dangerous to life or health concentrations – </w:t>
      </w:r>
      <w:r w:rsidRPr="00CF60D0">
        <w:t>Vinyl toluene</w:t>
      </w:r>
      <w:r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02B3F" w14:textId="77777777" w:rsidR="006E2BFF" w:rsidRDefault="006E2BFF" w:rsidP="00F43AD5">
      <w:pPr>
        <w:spacing w:after="0" w:line="240" w:lineRule="auto"/>
      </w:pPr>
      <w:r>
        <w:separator/>
      </w:r>
    </w:p>
  </w:endnote>
  <w:endnote w:type="continuationSeparator" w:id="0">
    <w:p w14:paraId="4282E310" w14:textId="77777777" w:rsidR="006E2BFF" w:rsidRDefault="006E2BFF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B83C" w14:textId="77777777" w:rsidR="00467F44" w:rsidRDefault="00467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158DACF4" w:rsidR="00A72971" w:rsidRDefault="00A72971" w:rsidP="0034744C">
        <w:pPr>
          <w:pStyle w:val="Footer"/>
          <w:rPr>
            <w:sz w:val="18"/>
            <w:szCs w:val="18"/>
          </w:rPr>
        </w:pPr>
        <w:r w:rsidRPr="00DD4184">
          <w:rPr>
            <w:b/>
            <w:sz w:val="18"/>
            <w:szCs w:val="18"/>
          </w:rPr>
          <w:t xml:space="preserve">Vinyl toluene </w:t>
        </w:r>
        <w:r>
          <w:rPr>
            <w:b/>
            <w:sz w:val="18"/>
            <w:szCs w:val="18"/>
          </w:rPr>
          <w:t>(</w:t>
        </w:r>
        <w:r w:rsidRPr="00DD4184">
          <w:rPr>
            <w:b/>
            <w:sz w:val="18"/>
            <w:szCs w:val="18"/>
          </w:rPr>
          <w:t>25013-15-4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 w:rsidR="00D2739F">
          <w:rPr>
            <w:sz w:val="18"/>
            <w:szCs w:val="18"/>
          </w:rPr>
          <w:t>20</w:t>
        </w:r>
      </w:p>
      <w:p w14:paraId="2D517F5E" w14:textId="6FDA05A5" w:rsidR="00A72971" w:rsidRPr="00F43AD5" w:rsidRDefault="00A72971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816CE0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76622" w14:textId="77777777" w:rsidR="00467F44" w:rsidRDefault="00467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02C70" w14:textId="77777777" w:rsidR="006E2BFF" w:rsidRDefault="006E2BFF" w:rsidP="00F43AD5">
      <w:pPr>
        <w:spacing w:after="0" w:line="240" w:lineRule="auto"/>
      </w:pPr>
      <w:r>
        <w:separator/>
      </w:r>
    </w:p>
  </w:footnote>
  <w:footnote w:type="continuationSeparator" w:id="0">
    <w:p w14:paraId="7B0E5ABF" w14:textId="77777777" w:rsidR="006E2BFF" w:rsidRDefault="006E2BFF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44808" w14:textId="77777777" w:rsidR="00467F44" w:rsidRDefault="00467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9866" w14:textId="3A8796C5" w:rsidR="00467F44" w:rsidRDefault="00467F44" w:rsidP="00467F44">
    <w:pPr>
      <w:pStyle w:val="Header"/>
      <w:jc w:val="right"/>
    </w:pPr>
    <w:r>
      <w:pict w14:anchorId="01468A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A3BE303" wp14:editId="26C6FA93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672493CA" w:rsidR="00A72971" w:rsidRPr="00467F44" w:rsidRDefault="00A72971" w:rsidP="00467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8C57" w14:textId="77777777" w:rsidR="00467F44" w:rsidRDefault="00467F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DA533" w14:textId="7CD84B40" w:rsidR="00467F44" w:rsidRDefault="00467F44" w:rsidP="00467F44">
    <w:pPr>
      <w:pStyle w:val="Header"/>
      <w:jc w:val="right"/>
    </w:pPr>
    <w:r>
      <w:pict w14:anchorId="24852B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3DE74A5" wp14:editId="5FB6A4AC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A72971" w:rsidRDefault="00A72971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483694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6534EBD"/>
    <w:multiLevelType w:val="hybridMultilevel"/>
    <w:tmpl w:val="B48280C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3840F4"/>
    <w:multiLevelType w:val="hybridMultilevel"/>
    <w:tmpl w:val="BAF831BA"/>
    <w:lvl w:ilvl="0" w:tplc="5B6A8C6E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E36A41"/>
    <w:multiLevelType w:val="hybridMultilevel"/>
    <w:tmpl w:val="39E4413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0F4562"/>
    <w:multiLevelType w:val="hybridMultilevel"/>
    <w:tmpl w:val="68563DE6"/>
    <w:lvl w:ilvl="0" w:tplc="CBB45BC8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BD6367"/>
    <w:multiLevelType w:val="hybridMultilevel"/>
    <w:tmpl w:val="C89827B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B42491"/>
    <w:multiLevelType w:val="hybridMultilevel"/>
    <w:tmpl w:val="EB94149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4B613B"/>
    <w:multiLevelType w:val="hybridMultilevel"/>
    <w:tmpl w:val="DE7CEE1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3168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93D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2AA0"/>
    <w:rsid w:val="000B0868"/>
    <w:rsid w:val="000B2FB6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10461E"/>
    <w:rsid w:val="00106F2C"/>
    <w:rsid w:val="00106FAA"/>
    <w:rsid w:val="00113443"/>
    <w:rsid w:val="001269A7"/>
    <w:rsid w:val="00131092"/>
    <w:rsid w:val="001322CF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A4B04"/>
    <w:rsid w:val="001B79E5"/>
    <w:rsid w:val="001D56F0"/>
    <w:rsid w:val="001D663B"/>
    <w:rsid w:val="001D7B41"/>
    <w:rsid w:val="001E46DA"/>
    <w:rsid w:val="001E7D80"/>
    <w:rsid w:val="001F45C1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2D7"/>
    <w:rsid w:val="00224EE2"/>
    <w:rsid w:val="00227EC7"/>
    <w:rsid w:val="002334D5"/>
    <w:rsid w:val="00244AD1"/>
    <w:rsid w:val="002463BC"/>
    <w:rsid w:val="002465CE"/>
    <w:rsid w:val="0025734A"/>
    <w:rsid w:val="002613E6"/>
    <w:rsid w:val="00263255"/>
    <w:rsid w:val="00276494"/>
    <w:rsid w:val="00277B0C"/>
    <w:rsid w:val="002B1A2C"/>
    <w:rsid w:val="002B22BD"/>
    <w:rsid w:val="002C2F5F"/>
    <w:rsid w:val="002C34F2"/>
    <w:rsid w:val="002C58FF"/>
    <w:rsid w:val="002C7AFE"/>
    <w:rsid w:val="002D05D2"/>
    <w:rsid w:val="002E0D61"/>
    <w:rsid w:val="002E4C7B"/>
    <w:rsid w:val="003058EB"/>
    <w:rsid w:val="00306097"/>
    <w:rsid w:val="0030740C"/>
    <w:rsid w:val="00315833"/>
    <w:rsid w:val="003215EE"/>
    <w:rsid w:val="003224BF"/>
    <w:rsid w:val="00322CF3"/>
    <w:rsid w:val="003241A8"/>
    <w:rsid w:val="003253F0"/>
    <w:rsid w:val="003337DA"/>
    <w:rsid w:val="00334B53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937"/>
    <w:rsid w:val="00391B6D"/>
    <w:rsid w:val="00394922"/>
    <w:rsid w:val="003A070E"/>
    <w:rsid w:val="003A0E32"/>
    <w:rsid w:val="003A2B94"/>
    <w:rsid w:val="003B309C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7F44"/>
    <w:rsid w:val="00472A11"/>
    <w:rsid w:val="00472AAD"/>
    <w:rsid w:val="00474E33"/>
    <w:rsid w:val="00476803"/>
    <w:rsid w:val="00483540"/>
    <w:rsid w:val="004851F5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351A"/>
    <w:rsid w:val="004F448A"/>
    <w:rsid w:val="004F493D"/>
    <w:rsid w:val="004F65E8"/>
    <w:rsid w:val="004F6BD4"/>
    <w:rsid w:val="0050005E"/>
    <w:rsid w:val="00502B88"/>
    <w:rsid w:val="005142C4"/>
    <w:rsid w:val="0051509C"/>
    <w:rsid w:val="0052536A"/>
    <w:rsid w:val="005272E2"/>
    <w:rsid w:val="0053108F"/>
    <w:rsid w:val="00532B56"/>
    <w:rsid w:val="00534B10"/>
    <w:rsid w:val="005354CA"/>
    <w:rsid w:val="005446A2"/>
    <w:rsid w:val="00544D2F"/>
    <w:rsid w:val="00551BD8"/>
    <w:rsid w:val="00570E76"/>
    <w:rsid w:val="00580A4D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D7B94"/>
    <w:rsid w:val="005E49E1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176D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2BFF"/>
    <w:rsid w:val="006E5D05"/>
    <w:rsid w:val="00701053"/>
    <w:rsid w:val="00701507"/>
    <w:rsid w:val="00714021"/>
    <w:rsid w:val="00716A0F"/>
    <w:rsid w:val="00717959"/>
    <w:rsid w:val="00717D45"/>
    <w:rsid w:val="007208F7"/>
    <w:rsid w:val="007218AF"/>
    <w:rsid w:val="00722A71"/>
    <w:rsid w:val="00732D4B"/>
    <w:rsid w:val="007365D1"/>
    <w:rsid w:val="00740E0E"/>
    <w:rsid w:val="00750212"/>
    <w:rsid w:val="00752C8D"/>
    <w:rsid w:val="00754779"/>
    <w:rsid w:val="0075716D"/>
    <w:rsid w:val="007657BF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2A58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6CE0"/>
    <w:rsid w:val="00826F21"/>
    <w:rsid w:val="00834CC8"/>
    <w:rsid w:val="00835E00"/>
    <w:rsid w:val="00837113"/>
    <w:rsid w:val="008414E4"/>
    <w:rsid w:val="00843E21"/>
    <w:rsid w:val="0084508E"/>
    <w:rsid w:val="00851093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A46E6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4E7B"/>
    <w:rsid w:val="00946044"/>
    <w:rsid w:val="009462C2"/>
    <w:rsid w:val="0094660B"/>
    <w:rsid w:val="00946A33"/>
    <w:rsid w:val="00951ADF"/>
    <w:rsid w:val="0095260E"/>
    <w:rsid w:val="009578DD"/>
    <w:rsid w:val="00961124"/>
    <w:rsid w:val="009621B6"/>
    <w:rsid w:val="0097421B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2FB8"/>
    <w:rsid w:val="00A53681"/>
    <w:rsid w:val="00A633D4"/>
    <w:rsid w:val="00A6461A"/>
    <w:rsid w:val="00A72971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AF7B21"/>
    <w:rsid w:val="00B00A25"/>
    <w:rsid w:val="00B04C93"/>
    <w:rsid w:val="00B1422A"/>
    <w:rsid w:val="00B1765C"/>
    <w:rsid w:val="00B213C4"/>
    <w:rsid w:val="00B304C5"/>
    <w:rsid w:val="00B40C60"/>
    <w:rsid w:val="00B479A9"/>
    <w:rsid w:val="00B52EDF"/>
    <w:rsid w:val="00B57223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60D0"/>
    <w:rsid w:val="00D048F7"/>
    <w:rsid w:val="00D0517E"/>
    <w:rsid w:val="00D12369"/>
    <w:rsid w:val="00D140FC"/>
    <w:rsid w:val="00D21D8C"/>
    <w:rsid w:val="00D2739F"/>
    <w:rsid w:val="00D31357"/>
    <w:rsid w:val="00D32110"/>
    <w:rsid w:val="00D33220"/>
    <w:rsid w:val="00D334D1"/>
    <w:rsid w:val="00D4429D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D4184"/>
    <w:rsid w:val="00DE2513"/>
    <w:rsid w:val="00DE26E8"/>
    <w:rsid w:val="00DE3C39"/>
    <w:rsid w:val="00DF22EB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0DBB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5057"/>
    <w:rsid w:val="00EA6243"/>
    <w:rsid w:val="00EA74AB"/>
    <w:rsid w:val="00EB3D1B"/>
    <w:rsid w:val="00EC3353"/>
    <w:rsid w:val="00ED00EE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28D5"/>
    <w:rsid w:val="00F56DD0"/>
    <w:rsid w:val="00F6285D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1D60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Number3">
    <w:name w:val="List Number 3"/>
    <w:basedOn w:val="Normal"/>
    <w:uiPriority w:val="99"/>
    <w:unhideWhenUsed/>
    <w:rsid w:val="007C2A58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2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97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97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2C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599BE4318CD4CC0836196E577CC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69F-48FE-4FF8-8C03-2D2A8FB34A20}"/>
      </w:docPartPr>
      <w:docPartBody>
        <w:p w:rsidR="00D21A9F" w:rsidRDefault="00D21A9F">
          <w:pPr>
            <w:pStyle w:val="0599BE4318CD4CC0836196E577CC292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347D16"/>
    <w:rsid w:val="003B3586"/>
    <w:rsid w:val="003E0149"/>
    <w:rsid w:val="00755FBF"/>
    <w:rsid w:val="00AE1E67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586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35D27CE1D4764BE08AEE7603445DB5F6">
    <w:name w:val="35D27CE1D4764BE08AEE7603445DB5F6"/>
    <w:rsid w:val="003B3586"/>
  </w:style>
  <w:style w:type="paragraph" w:customStyle="1" w:styleId="7943AAFC96674EA5AD6878D17B3A2D19">
    <w:name w:val="7943AAFC96674EA5AD6878D17B3A2D19"/>
    <w:rsid w:val="003B3586"/>
  </w:style>
  <w:style w:type="paragraph" w:customStyle="1" w:styleId="55315C9C9B254F9FA754E2D80D40B84B">
    <w:name w:val="55315C9C9B254F9FA754E2D80D40B84B"/>
    <w:rsid w:val="003B3586"/>
  </w:style>
  <w:style w:type="paragraph" w:customStyle="1" w:styleId="727F599FCE1C41F0B10103D233F5D661">
    <w:name w:val="727F599FCE1C41F0B10103D233F5D661"/>
    <w:rsid w:val="003B3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76E6-6FE6-49D4-B4E5-707A5A084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39F56-5FB0-4A92-B79E-3B663275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3D0AE-68B1-47AE-89B3-0EF8657DD2ED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f54d604-3e62-4e70-ba33-9e9084b96a6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1DC2ABC-D8E3-410D-B905-7D03199A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2020-04-15T04:21:00Z</dcterms:created>
  <dcterms:modified xsi:type="dcterms:W3CDTF">2020-07-21T02:04:00Z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