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2B67ADA9" w:rsidR="00BD499F" w:rsidRPr="004C23F4" w:rsidRDefault="00F86390" w:rsidP="00B40C60">
          <w:pPr>
            <w:pStyle w:val="Heading1"/>
            <w:jc w:val="center"/>
            <w:rPr>
              <w:rFonts w:ascii="Arial" w:hAnsi="Arial" w:cs="Arial"/>
            </w:rPr>
          </w:pPr>
          <w:r w:rsidRPr="00F86390">
            <w:rPr>
              <w:rFonts w:ascii="Arial" w:hAnsi="Arial" w:cs="Arial"/>
            </w:rPr>
            <w:t>Warfarin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9"/>
        <w:gridCol w:w="5047"/>
      </w:tblGrid>
      <w:tr w:rsidR="00F43AD5" w:rsidRPr="004C23F4" w14:paraId="189D6E38" w14:textId="77777777" w:rsidTr="00B76A41">
        <w:trPr>
          <w:cantSplit/>
          <w:tblHeader/>
        </w:trPr>
        <w:tc>
          <w:tcPr>
            <w:tcW w:w="40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EDBFD9E" w14:textId="5BF31C3A" w:rsidR="00F43AD5" w:rsidRPr="00717D45" w:rsidRDefault="00F86390" w:rsidP="00B76A41">
            <w:pPr>
              <w:pStyle w:val="Tablefont"/>
            </w:pPr>
            <w:r w:rsidRPr="00F86390">
              <w:t>81-81-2</w:t>
            </w:r>
          </w:p>
        </w:tc>
      </w:tr>
      <w:tr w:rsidR="00F43AD5" w:rsidRPr="004C23F4" w14:paraId="562A9F51" w14:textId="77777777" w:rsidTr="00B76A41">
        <w:trPr>
          <w:cantSplit/>
        </w:trPr>
        <w:tc>
          <w:tcPr>
            <w:tcW w:w="40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2648AB9" w14:textId="5B3030C1" w:rsidR="00F43AD5" w:rsidRPr="00717D45" w:rsidRDefault="00FB531C" w:rsidP="00B76A41">
            <w:pPr>
              <w:pStyle w:val="Tablefont"/>
            </w:pPr>
            <w:r>
              <w:t>3-(Alpha-</w:t>
            </w:r>
            <w:proofErr w:type="spellStart"/>
            <w:r>
              <w:t>acetonylbenzyl</w:t>
            </w:r>
            <w:proofErr w:type="spellEnd"/>
            <w:r>
              <w:t>)-4-hydroxycoumarin</w:t>
            </w:r>
            <w:r w:rsidR="00DD0C81">
              <w:t xml:space="preserve">, coumarin, 4hydroxy-3-(1-phenyl-3-oxobutyl), </w:t>
            </w:r>
            <w:proofErr w:type="spellStart"/>
            <w:r w:rsidR="00DD0C81">
              <w:t>athrombine</w:t>
            </w:r>
            <w:proofErr w:type="spellEnd"/>
            <w:r w:rsidR="00DD0C81">
              <w:t xml:space="preserve">-K, </w:t>
            </w:r>
            <w:proofErr w:type="spellStart"/>
            <w:r w:rsidR="00DD0C81">
              <w:t>brumlin</w:t>
            </w:r>
            <w:proofErr w:type="spellEnd"/>
            <w:r w:rsidR="00DD0C81">
              <w:t xml:space="preserve">, coumadin, </w:t>
            </w:r>
            <w:proofErr w:type="spellStart"/>
            <w:r w:rsidR="00DD0C81">
              <w:t>coumafene</w:t>
            </w:r>
            <w:proofErr w:type="spellEnd"/>
            <w:r w:rsidR="00DD0C81">
              <w:t xml:space="preserve">, </w:t>
            </w:r>
            <w:proofErr w:type="spellStart"/>
            <w:r w:rsidR="00DD0C81">
              <w:t>dethmor</w:t>
            </w:r>
            <w:proofErr w:type="spellEnd"/>
            <w:r w:rsidR="00DD0C81">
              <w:t xml:space="preserve">, </w:t>
            </w:r>
            <w:proofErr w:type="spellStart"/>
            <w:r w:rsidR="00DD0C81">
              <w:t>kumatox</w:t>
            </w:r>
            <w:proofErr w:type="spellEnd"/>
            <w:r w:rsidR="00DD0C81">
              <w:t xml:space="preserve">, </w:t>
            </w:r>
            <w:proofErr w:type="spellStart"/>
            <w:r w:rsidR="00DD0C81">
              <w:t>rodafarin</w:t>
            </w:r>
            <w:proofErr w:type="spellEnd"/>
            <w:r w:rsidR="00DD0C81">
              <w:t xml:space="preserve">, </w:t>
            </w:r>
            <w:proofErr w:type="spellStart"/>
            <w:r w:rsidR="00DD0C81">
              <w:t>solfarin</w:t>
            </w:r>
            <w:proofErr w:type="spellEnd"/>
            <w:r w:rsidR="00DD0C81">
              <w:t>, WARF 42</w:t>
            </w:r>
          </w:p>
        </w:tc>
      </w:tr>
      <w:tr w:rsidR="00F43AD5" w:rsidRPr="004C23F4" w14:paraId="6EE54A08" w14:textId="77777777" w:rsidTr="00B76A41">
        <w:trPr>
          <w:cantSplit/>
        </w:trPr>
        <w:tc>
          <w:tcPr>
            <w:tcW w:w="40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69369B00" w14:textId="1001FB4C" w:rsidR="00F43AD5" w:rsidRPr="00717D45" w:rsidRDefault="00DD0C81" w:rsidP="00B76A41">
            <w:pPr>
              <w:pStyle w:val="Tablefont"/>
            </w:pPr>
            <w:r>
              <w:t>C</w:t>
            </w:r>
            <w:r w:rsidRPr="00DD0C81">
              <w:rPr>
                <w:vertAlign w:val="subscript"/>
              </w:rPr>
              <w:t>19</w:t>
            </w:r>
            <w:r>
              <w:t>H</w:t>
            </w:r>
            <w:r w:rsidRPr="00DD0C81">
              <w:rPr>
                <w:vertAlign w:val="subscript"/>
              </w:rPr>
              <w:t>16</w:t>
            </w:r>
            <w:r>
              <w:t>O</w:t>
            </w:r>
            <w:r w:rsidRPr="00DD0C81">
              <w:rPr>
                <w:vertAlign w:val="subscript"/>
              </w:rPr>
              <w:t>4</w:t>
            </w:r>
          </w:p>
        </w:tc>
      </w:tr>
      <w:tr w:rsidR="00F43AD5" w:rsidRPr="004C23F4" w14:paraId="7AD5A991" w14:textId="77777777" w:rsidTr="00B76A41">
        <w:trPr>
          <w:cantSplit/>
        </w:trPr>
        <w:tc>
          <w:tcPr>
            <w:tcW w:w="4077" w:type="dxa"/>
          </w:tcPr>
          <w:p w14:paraId="6D55F87C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62A9653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1D72173" w14:textId="3097F8A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4D403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6CFA1674" w:rsidR="002C7AFE" w:rsidRPr="00785D85" w:rsidRDefault="00785D8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5C51882B" w:rsidR="00037E52" w:rsidRPr="00EB3D1B" w:rsidRDefault="00010045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6FE5CEC0" w:rsidR="00037E52" w:rsidRPr="00EB3D1B" w:rsidRDefault="00DD0C81" w:rsidP="00037E52">
            <w:pPr>
              <w:pStyle w:val="Tablefont"/>
              <w:rPr>
                <w:b/>
              </w:rPr>
            </w:pPr>
            <w:r w:rsidRPr="00DD0C81">
              <w:rPr>
                <w:b/>
              </w:rPr>
              <w:t>100 mg/m</w:t>
            </w:r>
            <w:r w:rsidRPr="00DD0C81">
              <w:rPr>
                <w:b/>
                <w:vertAlign w:val="superscript"/>
              </w:rPr>
              <w:t>3</w:t>
            </w:r>
          </w:p>
        </w:tc>
      </w:tr>
      <w:tr w:rsidR="00155999" w:rsidRPr="004C23F4" w14:paraId="27D0E012" w14:textId="77777777" w:rsidTr="00F9685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47A158F4" w:rsidR="00155999" w:rsidRPr="00EB3D1B" w:rsidRDefault="00155999" w:rsidP="00037E52">
            <w:pPr>
              <w:pStyle w:val="Tablefont"/>
              <w:rPr>
                <w:b/>
              </w:rPr>
            </w:pPr>
            <w:r w:rsidRPr="001A6FDB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D56766" w:rsidRPr="001A6FDB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7A622947" w:rsidR="006639B4" w:rsidRPr="004C23F4" w:rsidRDefault="00785D85" w:rsidP="000C139A">
      <w:pPr>
        <w:rPr>
          <w:rFonts w:cs="Arial"/>
        </w:rPr>
      </w:pPr>
      <w:r w:rsidRPr="00785D85">
        <w:rPr>
          <w:rFonts w:cs="Arial"/>
        </w:rPr>
        <w:t xml:space="preserve">A TWA of </w:t>
      </w:r>
      <w:r>
        <w:rPr>
          <w:rFonts w:cs="Arial"/>
        </w:rPr>
        <w:t>0.01</w:t>
      </w:r>
      <w:r w:rsidRPr="00785D85">
        <w:rPr>
          <w:rFonts w:cs="Arial"/>
        </w:rPr>
        <w:t xml:space="preserve"> mg/m</w:t>
      </w:r>
      <w:r w:rsidRPr="00785D85">
        <w:rPr>
          <w:rFonts w:cs="Arial"/>
          <w:vertAlign w:val="superscript"/>
        </w:rPr>
        <w:t>3</w:t>
      </w:r>
      <w:r w:rsidRPr="00785D85">
        <w:rPr>
          <w:rFonts w:cs="Arial"/>
        </w:rPr>
        <w:t xml:space="preserve"> is recommended to protect for</w:t>
      </w:r>
      <w:r>
        <w:rPr>
          <w:rFonts w:cs="Arial"/>
        </w:rPr>
        <w:t xml:space="preserve"> delayed blood coagulation and developmental toxicity </w:t>
      </w:r>
      <w:r w:rsidRPr="00785D85">
        <w:rPr>
          <w:rFonts w:cs="Arial"/>
        </w:rPr>
        <w:t>in exposed workers</w:t>
      </w:r>
      <w:r>
        <w:rPr>
          <w:rFonts w:cs="Arial"/>
        </w:rPr>
        <w:t>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887B935" w14:textId="77777777" w:rsidR="00F30DC2" w:rsidRDefault="00473288" w:rsidP="006639B4">
      <w:pPr>
        <w:rPr>
          <w:rFonts w:cs="Arial"/>
        </w:rPr>
      </w:pPr>
      <w:r>
        <w:rPr>
          <w:rFonts w:cs="Arial"/>
        </w:rPr>
        <w:t xml:space="preserve">Warfarin is used as a therapeutic anticoagulant and rodenticide. </w:t>
      </w:r>
    </w:p>
    <w:p w14:paraId="4445444A" w14:textId="3C4342D2" w:rsidR="00473288" w:rsidRDefault="00F30DC2" w:rsidP="006639B4">
      <w:pPr>
        <w:rPr>
          <w:rFonts w:cs="Arial"/>
        </w:rPr>
      </w:pPr>
      <w:r>
        <w:rPr>
          <w:rFonts w:cs="Arial"/>
        </w:rPr>
        <w:t>The c</w:t>
      </w:r>
      <w:r w:rsidR="00473288">
        <w:rPr>
          <w:rFonts w:cs="Arial"/>
        </w:rPr>
        <w:t>ritical effects of exposure are adverse delays in blood coagulation and embryotoxicity.</w:t>
      </w:r>
    </w:p>
    <w:p w14:paraId="6FD28D93" w14:textId="34F12AE5" w:rsidR="00473288" w:rsidRDefault="00473288" w:rsidP="006639B4">
      <w:pPr>
        <w:rPr>
          <w:rFonts w:cs="Arial"/>
        </w:rPr>
      </w:pPr>
      <w:r>
        <w:rPr>
          <w:rFonts w:cs="Arial"/>
        </w:rPr>
        <w:t>No human or animal inhalational data are available</w:t>
      </w:r>
      <w:r w:rsidR="00066697">
        <w:rPr>
          <w:rFonts w:cs="Arial"/>
        </w:rPr>
        <w:t>. Repeat oral doses of 0.2 mg/day cause a decrease in coagulation factor activity of 20 to 30</w:t>
      </w:r>
      <w:r w:rsidR="001A6FDB">
        <w:rPr>
          <w:rFonts w:cs="Arial"/>
        </w:rPr>
        <w:t xml:space="preserve"> per cent</w:t>
      </w:r>
      <w:r w:rsidR="00CC6752">
        <w:rPr>
          <w:rFonts w:cs="Arial"/>
        </w:rPr>
        <w:t xml:space="preserve">, </w:t>
      </w:r>
      <w:r w:rsidR="00066697">
        <w:rPr>
          <w:rFonts w:cs="Arial"/>
        </w:rPr>
        <w:t>which is not associated with adverse effects in humans (ACGIH, 2018; DFG, 201</w:t>
      </w:r>
      <w:r w:rsidR="00CC6752">
        <w:rPr>
          <w:rFonts w:cs="Arial"/>
        </w:rPr>
        <w:t>1</w:t>
      </w:r>
      <w:r w:rsidR="00066697">
        <w:rPr>
          <w:rFonts w:cs="Arial"/>
        </w:rPr>
        <w:t>; HCOTN, 2004)</w:t>
      </w:r>
      <w:r w:rsidR="00CC6752">
        <w:rPr>
          <w:rFonts w:cs="Arial"/>
        </w:rPr>
        <w:t xml:space="preserve">. Repeat </w:t>
      </w:r>
      <w:r w:rsidR="00270DF5">
        <w:rPr>
          <w:rFonts w:cs="Arial"/>
        </w:rPr>
        <w:t>dosage</w:t>
      </w:r>
      <w:r w:rsidR="00CC6752">
        <w:rPr>
          <w:rFonts w:cs="Arial"/>
        </w:rPr>
        <w:t xml:space="preserve"> of 1 mg/day </w:t>
      </w:r>
      <w:r w:rsidR="00270DF5">
        <w:rPr>
          <w:rFonts w:cs="Arial"/>
        </w:rPr>
        <w:t>is</w:t>
      </w:r>
      <w:r w:rsidR="00CC6752">
        <w:rPr>
          <w:rFonts w:cs="Arial"/>
        </w:rPr>
        <w:t xml:space="preserve"> associated with a significant delay in coagulation (ACGIH, 2018) and 2.5 mg/day causes developmental toxicity in pregnant women (HCOTN, 2004). A NOAEL for developmental toxicity is not </w:t>
      </w:r>
      <w:r w:rsidR="001E416F">
        <w:rPr>
          <w:rFonts w:cs="Arial"/>
        </w:rPr>
        <w:t>reported</w:t>
      </w:r>
      <w:r w:rsidR="007E3DBF">
        <w:rPr>
          <w:rFonts w:cs="Arial"/>
        </w:rPr>
        <w:t xml:space="preserve"> </w:t>
      </w:r>
      <w:r w:rsidR="00CC6752">
        <w:rPr>
          <w:rFonts w:cs="Arial"/>
        </w:rPr>
        <w:t>in the available source material.</w:t>
      </w:r>
    </w:p>
    <w:p w14:paraId="00165AF2" w14:textId="669A5655" w:rsidR="00CC6752" w:rsidRPr="00CC6752" w:rsidRDefault="004D32C8" w:rsidP="006639B4">
      <w:pPr>
        <w:rPr>
          <w:rFonts w:cs="Arial"/>
        </w:rPr>
      </w:pPr>
      <w:r>
        <w:rPr>
          <w:rFonts w:cs="Arial"/>
        </w:rPr>
        <w:t xml:space="preserve">Based on the NOAEL of 0.2 mg/day for changes in </w:t>
      </w:r>
      <w:r w:rsidR="00645172">
        <w:rPr>
          <w:rFonts w:cs="Arial"/>
        </w:rPr>
        <w:t xml:space="preserve">blood </w:t>
      </w:r>
      <w:r>
        <w:rPr>
          <w:rFonts w:cs="Arial"/>
        </w:rPr>
        <w:t xml:space="preserve">coagulation response, </w:t>
      </w:r>
      <w:r w:rsidR="00CC6752">
        <w:rPr>
          <w:rFonts w:cs="Arial"/>
        </w:rPr>
        <w:t xml:space="preserve">ACGIH (2018) and DFG (2011) </w:t>
      </w:r>
      <w:r>
        <w:rPr>
          <w:rFonts w:cs="Arial"/>
        </w:rPr>
        <w:t>extrapolate</w:t>
      </w:r>
      <w:r w:rsidR="00CC6752">
        <w:rPr>
          <w:rFonts w:cs="Arial"/>
        </w:rPr>
        <w:t xml:space="preserve"> </w:t>
      </w:r>
      <w:r w:rsidR="000C0958">
        <w:rPr>
          <w:rFonts w:cs="Arial"/>
        </w:rPr>
        <w:t>an</w:t>
      </w:r>
      <w:r w:rsidR="000C0958" w:rsidRPr="000C0958">
        <w:rPr>
          <w:rFonts w:cs="Arial"/>
        </w:rPr>
        <w:t xml:space="preserve"> </w:t>
      </w:r>
      <w:r w:rsidR="000C0958">
        <w:rPr>
          <w:rFonts w:cs="Arial"/>
        </w:rPr>
        <w:t xml:space="preserve">equivalent inhalational </w:t>
      </w:r>
      <w:r w:rsidR="00CC6752">
        <w:rPr>
          <w:rFonts w:cs="Arial"/>
        </w:rPr>
        <w:t>TWA of 0.01 and 0.02 mg/m</w:t>
      </w:r>
      <w:r w:rsidR="00CC6752">
        <w:rPr>
          <w:rFonts w:cs="Arial"/>
          <w:vertAlign w:val="superscript"/>
        </w:rPr>
        <w:t>3</w:t>
      </w:r>
      <w:r>
        <w:rPr>
          <w:rFonts w:cs="Arial"/>
        </w:rPr>
        <w:t>, re</w:t>
      </w:r>
      <w:r w:rsidR="000C0958">
        <w:rPr>
          <w:rFonts w:cs="Arial"/>
        </w:rPr>
        <w:t>s</w:t>
      </w:r>
      <w:r>
        <w:rPr>
          <w:rFonts w:cs="Arial"/>
        </w:rPr>
        <w:t>pectively</w:t>
      </w:r>
      <w:r w:rsidR="00DD659A">
        <w:rPr>
          <w:rFonts w:cs="Arial"/>
        </w:rPr>
        <w:t>.</w:t>
      </w:r>
      <w:r w:rsidR="00BA09B6">
        <w:rPr>
          <w:rFonts w:cs="Arial"/>
        </w:rPr>
        <w:t xml:space="preserve"> ACGIH (2018) </w:t>
      </w:r>
      <w:r w:rsidR="001E416F">
        <w:rPr>
          <w:rFonts w:cs="Arial"/>
        </w:rPr>
        <w:t>applies a factor of two to account</w:t>
      </w:r>
      <w:r w:rsidR="00BA09B6">
        <w:rPr>
          <w:rFonts w:cs="Arial"/>
        </w:rPr>
        <w:t xml:space="preserve"> for interindividual variability in </w:t>
      </w:r>
      <w:r w:rsidR="001E416F">
        <w:rPr>
          <w:rFonts w:cs="Arial"/>
        </w:rPr>
        <w:t>liver</w:t>
      </w:r>
      <w:r w:rsidR="00BA09B6">
        <w:rPr>
          <w:rFonts w:cs="Arial"/>
        </w:rPr>
        <w:t xml:space="preserve"> metabolism </w:t>
      </w:r>
      <w:r w:rsidR="001E416F">
        <w:rPr>
          <w:rFonts w:cs="Arial"/>
        </w:rPr>
        <w:t xml:space="preserve">of the substance, whereas </w:t>
      </w:r>
      <w:r w:rsidR="00CC6752" w:rsidRPr="001871C5">
        <w:rPr>
          <w:rFonts w:cs="Arial"/>
        </w:rPr>
        <w:t xml:space="preserve">DFG (2011) notes </w:t>
      </w:r>
      <w:r w:rsidR="001472A3" w:rsidRPr="001871C5">
        <w:rPr>
          <w:rFonts w:cs="Arial"/>
        </w:rPr>
        <w:t xml:space="preserve">that the </w:t>
      </w:r>
      <w:r w:rsidR="001E416F" w:rsidRPr="001871C5">
        <w:rPr>
          <w:rFonts w:cs="Arial"/>
        </w:rPr>
        <w:t>12.5-fold</w:t>
      </w:r>
      <w:r w:rsidR="001472A3" w:rsidRPr="001871C5">
        <w:rPr>
          <w:rFonts w:cs="Arial"/>
        </w:rPr>
        <w:t xml:space="preserve"> </w:t>
      </w:r>
      <w:r w:rsidR="00825869" w:rsidRPr="001871C5">
        <w:rPr>
          <w:rFonts w:cs="Arial"/>
        </w:rPr>
        <w:t xml:space="preserve">difference </w:t>
      </w:r>
      <w:r w:rsidR="00CC6752" w:rsidRPr="001871C5">
        <w:rPr>
          <w:rFonts w:cs="Arial"/>
        </w:rPr>
        <w:t>between the LOAEL for developmental toxicity and the effective daily intake at the MAK</w:t>
      </w:r>
      <w:r w:rsidR="001472A3" w:rsidRPr="001871C5">
        <w:rPr>
          <w:rFonts w:cs="Arial"/>
        </w:rPr>
        <w:t xml:space="preserve"> </w:t>
      </w:r>
      <w:r w:rsidR="00825869" w:rsidRPr="001871C5">
        <w:rPr>
          <w:rFonts w:cs="Arial"/>
        </w:rPr>
        <w:t xml:space="preserve">is </w:t>
      </w:r>
      <w:r w:rsidR="001472A3" w:rsidRPr="001871C5">
        <w:rPr>
          <w:rFonts w:cs="Arial"/>
        </w:rPr>
        <w:t>relatively</w:t>
      </w:r>
      <w:r w:rsidR="00825869" w:rsidRPr="001871C5">
        <w:rPr>
          <w:rFonts w:cs="Arial"/>
        </w:rPr>
        <w:t xml:space="preserve"> small</w:t>
      </w:r>
      <w:r w:rsidR="00CC6752" w:rsidRPr="001871C5">
        <w:rPr>
          <w:rFonts w:cs="Arial"/>
        </w:rPr>
        <w:t xml:space="preserve">. HCOTN (2004) </w:t>
      </w:r>
      <w:r w:rsidR="00F260F7" w:rsidRPr="001871C5">
        <w:rPr>
          <w:rFonts w:cs="Arial"/>
        </w:rPr>
        <w:t>consider</w:t>
      </w:r>
      <w:r w:rsidR="001E416F">
        <w:rPr>
          <w:rFonts w:cs="Arial"/>
        </w:rPr>
        <w:t>s</w:t>
      </w:r>
      <w:r w:rsidR="00825869" w:rsidRPr="001871C5">
        <w:rPr>
          <w:rFonts w:cs="Arial"/>
        </w:rPr>
        <w:t xml:space="preserve"> an </w:t>
      </w:r>
      <w:r w:rsidR="00F260F7" w:rsidRPr="001871C5">
        <w:rPr>
          <w:rFonts w:cs="Arial"/>
        </w:rPr>
        <w:t xml:space="preserve">administrative occupational exposure limit </w:t>
      </w:r>
      <w:r w:rsidR="00825869" w:rsidRPr="001871C5">
        <w:rPr>
          <w:rFonts w:cs="Arial"/>
        </w:rPr>
        <w:t xml:space="preserve">(OEL) </w:t>
      </w:r>
      <w:r w:rsidR="00F260F7" w:rsidRPr="001871C5">
        <w:rPr>
          <w:rFonts w:cs="Arial"/>
        </w:rPr>
        <w:t>of 0.1 mg/m</w:t>
      </w:r>
      <w:r w:rsidR="00F260F7" w:rsidRPr="001871C5">
        <w:rPr>
          <w:rFonts w:cs="Arial"/>
          <w:vertAlign w:val="superscript"/>
        </w:rPr>
        <w:t>3</w:t>
      </w:r>
      <w:r w:rsidR="001E416F" w:rsidRPr="007C25B2">
        <w:rPr>
          <w:rFonts w:cs="Arial"/>
        </w:rPr>
        <w:t xml:space="preserve"> </w:t>
      </w:r>
      <w:r w:rsidR="00F260F7" w:rsidRPr="001871C5">
        <w:rPr>
          <w:rFonts w:cs="Arial"/>
        </w:rPr>
        <w:t xml:space="preserve">too high and </w:t>
      </w:r>
      <w:r w:rsidR="001E416F">
        <w:rPr>
          <w:rFonts w:cs="Arial"/>
        </w:rPr>
        <w:t xml:space="preserve">uses </w:t>
      </w:r>
      <w:r w:rsidR="001E416F" w:rsidRPr="0005574B">
        <w:rPr>
          <w:rFonts w:cs="Arial"/>
        </w:rPr>
        <w:t>the LOAEL of 2.5 mg/day for developmental toxicity</w:t>
      </w:r>
      <w:r w:rsidR="001E416F" w:rsidRPr="001871C5">
        <w:rPr>
          <w:rFonts w:cs="Arial"/>
        </w:rPr>
        <w:t xml:space="preserve"> </w:t>
      </w:r>
      <w:r w:rsidR="001E416F">
        <w:rPr>
          <w:rFonts w:cs="Arial"/>
        </w:rPr>
        <w:t>to derive a</w:t>
      </w:r>
      <w:r w:rsidR="00825869" w:rsidRPr="001871C5">
        <w:rPr>
          <w:rFonts w:cs="Arial"/>
        </w:rPr>
        <w:t xml:space="preserve"> health</w:t>
      </w:r>
      <w:r w:rsidR="001E416F">
        <w:rPr>
          <w:rFonts w:cs="Arial"/>
        </w:rPr>
        <w:t>-</w:t>
      </w:r>
      <w:r w:rsidR="00825869" w:rsidRPr="001871C5">
        <w:rPr>
          <w:rFonts w:cs="Arial"/>
        </w:rPr>
        <w:t xml:space="preserve">based OEL </w:t>
      </w:r>
      <w:r w:rsidR="001E416F">
        <w:rPr>
          <w:rFonts w:cs="Arial"/>
        </w:rPr>
        <w:t xml:space="preserve">(HBROEL) </w:t>
      </w:r>
      <w:r w:rsidR="00825869" w:rsidRPr="001871C5">
        <w:rPr>
          <w:rFonts w:cs="Arial"/>
        </w:rPr>
        <w:t>of 0.01</w:t>
      </w:r>
      <w:r w:rsidR="001E416F">
        <w:rPr>
          <w:rFonts w:cs="Arial"/>
        </w:rPr>
        <w:t> </w:t>
      </w:r>
      <w:r w:rsidR="00825869" w:rsidRPr="001871C5">
        <w:rPr>
          <w:rFonts w:cs="Arial"/>
        </w:rPr>
        <w:t>mg/m</w:t>
      </w:r>
      <w:r w:rsidR="00825869" w:rsidRPr="001871C5">
        <w:rPr>
          <w:rFonts w:cs="Arial"/>
          <w:vertAlign w:val="superscript"/>
        </w:rPr>
        <w:t>3</w:t>
      </w:r>
      <w:r w:rsidR="00CC6752" w:rsidRPr="001871C5">
        <w:rPr>
          <w:rFonts w:cs="Arial"/>
        </w:rPr>
        <w:t>.</w:t>
      </w:r>
      <w:r w:rsidR="00CC6752">
        <w:rPr>
          <w:rFonts w:cs="Arial"/>
        </w:rPr>
        <w:t xml:space="preserve"> In view of these human exposure data</w:t>
      </w:r>
      <w:r w:rsidR="001E416F">
        <w:rPr>
          <w:rFonts w:cs="Arial"/>
        </w:rPr>
        <w:t xml:space="preserve"> and to account for interindividual variability</w:t>
      </w:r>
      <w:r w:rsidR="00CC6752">
        <w:rPr>
          <w:rFonts w:cs="Arial"/>
        </w:rPr>
        <w:t xml:space="preserve">, the </w:t>
      </w:r>
      <w:r w:rsidR="00CC6752">
        <w:rPr>
          <w:rFonts w:cs="Arial"/>
        </w:rPr>
        <w:lastRenderedPageBreak/>
        <w:t>TWA of 0.01</w:t>
      </w:r>
      <w:r w:rsidR="007E3DBF">
        <w:rPr>
          <w:rFonts w:cs="Arial"/>
        </w:rPr>
        <w:t> </w:t>
      </w:r>
      <w:r w:rsidR="00CC6752">
        <w:rPr>
          <w:rFonts w:cs="Arial"/>
        </w:rPr>
        <w:t>mg/m</w:t>
      </w:r>
      <w:r w:rsidR="00CC6752">
        <w:rPr>
          <w:rFonts w:cs="Arial"/>
          <w:vertAlign w:val="superscript"/>
        </w:rPr>
        <w:t>3</w:t>
      </w:r>
      <w:r w:rsidR="00CC6752">
        <w:rPr>
          <w:rFonts w:cs="Arial"/>
        </w:rPr>
        <w:t xml:space="preserve"> </w:t>
      </w:r>
      <w:r w:rsidR="001E416F">
        <w:rPr>
          <w:rFonts w:cs="Arial"/>
        </w:rPr>
        <w:t xml:space="preserve">derived </w:t>
      </w:r>
      <w:r w:rsidR="007E3DBF">
        <w:rPr>
          <w:rFonts w:cs="Arial"/>
        </w:rPr>
        <w:t xml:space="preserve">by ACGIH (2018) and HCOTN (2004) </w:t>
      </w:r>
      <w:r w:rsidR="00CC6752">
        <w:rPr>
          <w:rFonts w:cs="Arial"/>
        </w:rPr>
        <w:t xml:space="preserve">is </w:t>
      </w:r>
      <w:r w:rsidR="007E3DBF">
        <w:rPr>
          <w:rFonts w:cs="Arial"/>
        </w:rPr>
        <w:t xml:space="preserve">recommended and </w:t>
      </w:r>
      <w:r w:rsidR="00CC6752">
        <w:rPr>
          <w:rFonts w:cs="Arial"/>
        </w:rPr>
        <w:t>expected to be protective of adverse blood coagulation effects and developmental toxicity.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785D85" w:rsidRDefault="008E4F1F" w:rsidP="008E4F1F">
      <w:pPr>
        <w:rPr>
          <w:rFonts w:cs="Arial"/>
        </w:rPr>
      </w:pPr>
      <w:r w:rsidRPr="00785D85">
        <w:rPr>
          <w:rFonts w:cs="Arial"/>
        </w:rPr>
        <w:t>Not classified as a carcinogen according to the Globally Harmonized System of</w:t>
      </w:r>
      <w:r w:rsidR="00155999" w:rsidRPr="00785D85">
        <w:rPr>
          <w:rFonts w:cs="Arial"/>
        </w:rPr>
        <w:t xml:space="preserve"> Classification and Labelling of</w:t>
      </w:r>
      <w:r w:rsidRPr="00785D85">
        <w:rPr>
          <w:rFonts w:cs="Arial"/>
        </w:rPr>
        <w:t xml:space="preserve"> Chemicals (GHS). </w:t>
      </w:r>
    </w:p>
    <w:p w14:paraId="03916CCC" w14:textId="77777777" w:rsidR="008E4F1F" w:rsidRPr="00785D85" w:rsidRDefault="008E4F1F" w:rsidP="008E4F1F">
      <w:pPr>
        <w:rPr>
          <w:rFonts w:cs="Arial"/>
        </w:rPr>
      </w:pPr>
      <w:r w:rsidRPr="00785D85">
        <w:rPr>
          <w:rFonts w:cs="Arial"/>
        </w:rPr>
        <w:t xml:space="preserve">Not classified as a skin </w:t>
      </w:r>
      <w:r w:rsidR="00155999" w:rsidRPr="00785D85">
        <w:rPr>
          <w:rFonts w:cs="Arial"/>
        </w:rPr>
        <w:t xml:space="preserve">sensitiser </w:t>
      </w:r>
      <w:r w:rsidRPr="00785D85">
        <w:rPr>
          <w:rFonts w:cs="Arial"/>
        </w:rPr>
        <w:t>or respiratory sensitiser according to the GHS.</w:t>
      </w:r>
    </w:p>
    <w:p w14:paraId="21CCE2A5" w14:textId="2EFE9469" w:rsidR="0025734A" w:rsidRPr="00785D85" w:rsidRDefault="00785D85">
      <w:pPr>
        <w:rPr>
          <w:rFonts w:cs="Arial"/>
        </w:rPr>
      </w:pPr>
      <w:r w:rsidRPr="00785D85">
        <w:rPr>
          <w:rFonts w:cs="Arial"/>
        </w:rPr>
        <w:t>A skin notation is recommended due to evidence of dermal absorption and contribution to adverse systemic effects.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DF0D3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DF0D36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0D19BA7E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D0C81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DD0C81">
                  <w:t>TWA: 0.1 mg/m</w:t>
                </w:r>
                <w:r w:rsidR="00DD0C81" w:rsidRPr="00DD0C81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DF0D36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DF0D3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1C66ED8B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DD0C81">
                  <w:t>2016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D0C81">
                  <w:t>TLV-TWA: 0.01 mg/m</w:t>
                </w:r>
                <w:r w:rsidR="00DD0C81" w:rsidRPr="00DD0C81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18D532D" w14:textId="77777777" w:rsidTr="00DF0D36">
        <w:trPr>
          <w:gridAfter w:val="1"/>
          <w:wAfter w:w="8" w:type="pct"/>
        </w:trPr>
        <w:tc>
          <w:tcPr>
            <w:tcW w:w="4992" w:type="pct"/>
          </w:tcPr>
          <w:p w14:paraId="61AAAA82" w14:textId="6B848823" w:rsidR="00C978F0" w:rsidRDefault="0043452B" w:rsidP="003365A5">
            <w:pPr>
              <w:pStyle w:val="Tabletextprimarysource"/>
            </w:pPr>
            <w:r>
              <w:t>TLV-TWA intended to protect for anticoagulation and teratogenic effects observed at high exposures. Vapour pressure varies over wide range</w:t>
            </w:r>
            <w:r w:rsidR="0077793F">
              <w:t>.</w:t>
            </w:r>
            <w:r>
              <w:t xml:space="preserve"> </w:t>
            </w:r>
            <w:r w:rsidR="0077793F">
              <w:t xml:space="preserve">Presence </w:t>
            </w:r>
            <w:r>
              <w:t>of vapours should be considered in occupational settings. Skin notation recommended based on evidence for systemic effects following dermal absorption in humans and animals.</w:t>
            </w:r>
          </w:p>
          <w:p w14:paraId="19C0FA05" w14:textId="65B058B9" w:rsidR="00CF185C" w:rsidRDefault="00CF185C" w:rsidP="003365A5">
            <w:pPr>
              <w:pStyle w:val="Tabletextprimarysource"/>
            </w:pPr>
            <w:r>
              <w:t>Summary of information</w:t>
            </w:r>
            <w:r w:rsidR="00511882">
              <w:t>:</w:t>
            </w:r>
          </w:p>
          <w:p w14:paraId="759A299F" w14:textId="39E68836" w:rsidR="00CF185C" w:rsidRPr="00CF185C" w:rsidRDefault="00CF185C" w:rsidP="003365A5">
            <w:pPr>
              <w:pStyle w:val="Tabletextprimarysource"/>
            </w:pPr>
            <w:r>
              <w:t xml:space="preserve">TLV-TWA based on oral dose NOAEL of 0.2 mg/d for blood coagulation effects in humans. Assuming </w:t>
            </w:r>
            <w:r w:rsidR="00AB6078">
              <w:t xml:space="preserve">a </w:t>
            </w:r>
            <w:r>
              <w:t>respiratory volume of 10 m</w:t>
            </w:r>
            <w:r>
              <w:rPr>
                <w:vertAlign w:val="superscript"/>
              </w:rPr>
              <w:t>3</w:t>
            </w:r>
            <w:r>
              <w:t xml:space="preserve"> during an 8-h shift, an inhalational equivalent is 0.02</w:t>
            </w:r>
            <w:r w:rsidR="00AB6078">
              <w:t> </w:t>
            </w:r>
            <w:r>
              <w:t>mg/m</w:t>
            </w:r>
            <w:r>
              <w:rPr>
                <w:vertAlign w:val="superscript"/>
              </w:rPr>
              <w:t>3</w:t>
            </w:r>
            <w:r w:rsidR="00AB6078">
              <w:t>. A</w:t>
            </w:r>
            <w:r>
              <w:t xml:space="preserve"> factor of 2 is applied to account for </w:t>
            </w:r>
            <w:r w:rsidR="00AB6078">
              <w:t xml:space="preserve">interindividual variabilities in </w:t>
            </w:r>
            <w:r w:rsidR="00BA09B6">
              <w:t>liver</w:t>
            </w:r>
            <w:r w:rsidR="00AB6078">
              <w:t xml:space="preserve"> metabolism</w:t>
            </w:r>
            <w:r w:rsidR="00E92E65">
              <w:t xml:space="preserve"> </w:t>
            </w:r>
            <w:r>
              <w:t xml:space="preserve">to </w:t>
            </w:r>
            <w:r w:rsidR="00E92E65">
              <w:t xml:space="preserve">derive a </w:t>
            </w:r>
            <w:r>
              <w:t>TLV-TWA of 0.01</w:t>
            </w:r>
            <w:r w:rsidR="00DD659A">
              <w:t> </w:t>
            </w:r>
            <w:r>
              <w:t>mg/m</w:t>
            </w:r>
            <w:r>
              <w:rPr>
                <w:vertAlign w:val="superscript"/>
              </w:rPr>
              <w:t>3</w:t>
            </w:r>
            <w:r>
              <w:t xml:space="preserve">. </w:t>
            </w:r>
            <w:r w:rsidR="006771B4">
              <w:t>Anticoagulant toxicity is cumulative and only appears after normal physiological clotting factors are exhausted</w:t>
            </w:r>
            <w:r w:rsidR="00EC7263">
              <w:t>.</w:t>
            </w:r>
            <w:r w:rsidR="006771B4">
              <w:t xml:space="preserve"> </w:t>
            </w:r>
            <w:r w:rsidR="00EC7263">
              <w:t xml:space="preserve">Consequently, </w:t>
            </w:r>
            <w:r w:rsidR="006771B4">
              <w:t>r</w:t>
            </w:r>
            <w:r>
              <w:t xml:space="preserve">epeated doses are required to elicit </w:t>
            </w:r>
            <w:r w:rsidR="006771B4">
              <w:t xml:space="preserve">blood clotting </w:t>
            </w:r>
            <w:r>
              <w:t>effects</w:t>
            </w:r>
            <w:r w:rsidR="0077793F">
              <w:t xml:space="preserve">. Humans </w:t>
            </w:r>
            <w:r w:rsidR="00194E74">
              <w:t>are less sensitive than rodents.</w:t>
            </w:r>
          </w:p>
          <w:p w14:paraId="14014FE5" w14:textId="66F1BC92" w:rsidR="00CF185C" w:rsidRDefault="00CF185C" w:rsidP="003365A5">
            <w:pPr>
              <w:pStyle w:val="Tabletextprimarysource"/>
            </w:pPr>
            <w:r>
              <w:t>Human data</w:t>
            </w:r>
            <w:r w:rsidR="00511882">
              <w:t>:</w:t>
            </w:r>
            <w:r w:rsidR="007C501E">
              <w:t xml:space="preserve"> </w:t>
            </w:r>
          </w:p>
          <w:p w14:paraId="41276FCC" w14:textId="62DC290B" w:rsidR="00825869" w:rsidRDefault="00630678" w:rsidP="00C11133">
            <w:pPr>
              <w:pStyle w:val="Tabletextprimarysource"/>
              <w:numPr>
                <w:ilvl w:val="0"/>
                <w:numId w:val="1"/>
              </w:numPr>
            </w:pPr>
            <w:r>
              <w:t>Significant delay (0.9 s) in coagulation at 1 mg/d in volunteer oral dose study</w:t>
            </w:r>
            <w:r w:rsidR="00511882">
              <w:t>:</w:t>
            </w:r>
          </w:p>
          <w:p w14:paraId="40666FD8" w14:textId="03914812" w:rsidR="00CF185C" w:rsidRDefault="00630678" w:rsidP="007C25B2">
            <w:pPr>
              <w:pStyle w:val="Tabletextprimarysource"/>
              <w:numPr>
                <w:ilvl w:val="1"/>
                <w:numId w:val="1"/>
              </w:numPr>
            </w:pPr>
            <w:r>
              <w:t>NOAEL</w:t>
            </w:r>
            <w:r w:rsidR="00825869">
              <w:t xml:space="preserve"> of </w:t>
            </w:r>
            <w:r>
              <w:t>0.2 mg/d (no further details</w:t>
            </w:r>
            <w:r w:rsidR="00F260F7">
              <w:t xml:space="preserve"> provided</w:t>
            </w:r>
            <w:r>
              <w:t>)</w:t>
            </w:r>
          </w:p>
          <w:p w14:paraId="67E37746" w14:textId="500F325D" w:rsidR="00630678" w:rsidRDefault="00630678" w:rsidP="00630678">
            <w:pPr>
              <w:pStyle w:val="Tabletextprimarysource"/>
              <w:numPr>
                <w:ilvl w:val="0"/>
                <w:numId w:val="1"/>
              </w:numPr>
            </w:pPr>
            <w:r>
              <w:t>Therapeutic oral doses range from 2–10 mg/d depending on patient response, LOAEL</w:t>
            </w:r>
            <w:r w:rsidR="009F5FD1">
              <w:t xml:space="preserve"> of </w:t>
            </w:r>
            <w:r>
              <w:t>2 mg/d for clinically significant coagulation effects</w:t>
            </w:r>
          </w:p>
          <w:p w14:paraId="3341AA12" w14:textId="07E7D52B" w:rsidR="00630678" w:rsidRDefault="00630678" w:rsidP="00630678">
            <w:pPr>
              <w:pStyle w:val="Tabletextprimarysource"/>
              <w:numPr>
                <w:ilvl w:val="0"/>
                <w:numId w:val="1"/>
              </w:numPr>
            </w:pPr>
            <w:r>
              <w:t>Individuals with kidney or liver diseases, those consuming vitamin K supplements, aspirin or other anticoagulants more susceptible to toxic effects</w:t>
            </w:r>
          </w:p>
          <w:p w14:paraId="23691837" w14:textId="0B1D4028" w:rsidR="00630678" w:rsidRDefault="00630678" w:rsidP="0063067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Typical effects of overexposure include haemorrhage of the mucous membranes, haematuria, nose bleeds, </w:t>
            </w:r>
            <w:r w:rsidR="00B53FDE">
              <w:t>ecchymoses, pulmonary haemorrhage, uterine haemorrhage, internal haematoma</w:t>
            </w:r>
            <w:r w:rsidR="00D85338">
              <w:t xml:space="preserve"> and</w:t>
            </w:r>
            <w:r w:rsidR="00B53FDE">
              <w:t xml:space="preserve"> focal hepatic haemorrhage</w:t>
            </w:r>
            <w:r w:rsidR="00DD659A">
              <w:t>:</w:t>
            </w:r>
          </w:p>
          <w:p w14:paraId="4C8ED936" w14:textId="6ECFA8A9" w:rsidR="00B53FDE" w:rsidRDefault="00B53FDE" w:rsidP="00BB2F4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death from massive gastrointestinal bleeding</w:t>
            </w:r>
            <w:r w:rsidR="007C501E">
              <w:t xml:space="preserve"> at high doses. Ingestion </w:t>
            </w:r>
            <w:r>
              <w:t>of 1–2 mg/kg/d fatal</w:t>
            </w:r>
          </w:p>
          <w:p w14:paraId="05844490" w14:textId="076FC9B8" w:rsidR="00B53FDE" w:rsidRDefault="00B53FDE" w:rsidP="00B53FDE">
            <w:pPr>
              <w:pStyle w:val="Tabletextprimarysource"/>
              <w:numPr>
                <w:ilvl w:val="0"/>
                <w:numId w:val="1"/>
              </w:numPr>
            </w:pPr>
            <w:r>
              <w:t>Maternal ingestion</w:t>
            </w:r>
            <w:r w:rsidR="00547F9C">
              <w:t xml:space="preserve"> (</w:t>
            </w:r>
            <w:r w:rsidR="00563EF2">
              <w:t xml:space="preserve">amount </w:t>
            </w:r>
            <w:r w:rsidR="00547F9C">
              <w:t>not specified</w:t>
            </w:r>
            <w:r w:rsidR="009F5FD1">
              <w:t>; clinical regimen</w:t>
            </w:r>
            <w:r w:rsidR="00B16C37">
              <w:t xml:space="preserve"> </w:t>
            </w:r>
            <w:r w:rsidR="00645172">
              <w:t>presented in</w:t>
            </w:r>
            <w:r w:rsidR="00B16C37">
              <w:t xml:space="preserve"> DFG</w:t>
            </w:r>
            <w:r w:rsidR="00645172">
              <w:t>, 2012</w:t>
            </w:r>
            <w:r w:rsidR="00547F9C">
              <w:t>)</w:t>
            </w:r>
            <w:r>
              <w:t xml:space="preserve"> associated with </w:t>
            </w:r>
            <w:r w:rsidR="00563EF2">
              <w:t>developmental defects</w:t>
            </w:r>
            <w:r>
              <w:t>, includ</w:t>
            </w:r>
            <w:r w:rsidR="00563EF2">
              <w:t>ing</w:t>
            </w:r>
            <w:r>
              <w:t xml:space="preserve"> mid-face hypoplasia, micrognathia, prominent forehead</w:t>
            </w:r>
            <w:r w:rsidR="00D85338">
              <w:t xml:space="preserve"> and</w:t>
            </w:r>
            <w:r>
              <w:t xml:space="preserve"> underdevelopment or absence of nasal septum in a clinical study (n=47)</w:t>
            </w:r>
            <w:r w:rsidR="00DD659A">
              <w:t>:</w:t>
            </w:r>
            <w:r>
              <w:t xml:space="preserve"> </w:t>
            </w:r>
          </w:p>
          <w:p w14:paraId="7B7A99FA" w14:textId="34188AC9" w:rsidR="00547F9C" w:rsidRDefault="00547F9C" w:rsidP="00BB2F4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>dose-response and embryotoxic mechanism uncertain</w:t>
            </w:r>
          </w:p>
          <w:p w14:paraId="2D3F94D7" w14:textId="2BCCC686" w:rsidR="00547F9C" w:rsidRDefault="00547F9C" w:rsidP="00547F9C">
            <w:pPr>
              <w:pStyle w:val="Tabletextprimarysource"/>
              <w:numPr>
                <w:ilvl w:val="0"/>
                <w:numId w:val="1"/>
              </w:numPr>
            </w:pPr>
            <w:r>
              <w:t>Haematuria in farmer dermally exposed to 0.5% solution on hands intermittently for 24 d</w:t>
            </w:r>
          </w:p>
          <w:p w14:paraId="6BFE647C" w14:textId="77777777" w:rsidR="00645172" w:rsidRDefault="00547F9C" w:rsidP="003E7629">
            <w:pPr>
              <w:pStyle w:val="Tabletextprimarysource"/>
              <w:numPr>
                <w:ilvl w:val="0"/>
                <w:numId w:val="1"/>
              </w:numPr>
            </w:pPr>
            <w:r>
              <w:t>Severe dermatitis, without evidence for sensitisation, associated with dermal exposure</w:t>
            </w:r>
          </w:p>
          <w:p w14:paraId="219F7321" w14:textId="59F5AEAD" w:rsidR="003E7629" w:rsidRDefault="003E7629" w:rsidP="003E7629">
            <w:pPr>
              <w:pStyle w:val="Tabletextprimarysource"/>
              <w:numPr>
                <w:ilvl w:val="0"/>
                <w:numId w:val="1"/>
              </w:numPr>
            </w:pPr>
            <w:r>
              <w:t>Enzymatically oxidised in liver to inactive metabolites</w:t>
            </w:r>
            <w:r w:rsidR="00511882">
              <w:t>:</w:t>
            </w:r>
          </w:p>
          <w:p w14:paraId="7D108736" w14:textId="7A083114" w:rsidR="003E7629" w:rsidRDefault="003E7629" w:rsidP="00BB2F44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polymorphism of enzymes in pathway account for </w:t>
            </w:r>
            <w:r w:rsidR="00F81D5F">
              <w:t>interindividual</w:t>
            </w:r>
            <w:r>
              <w:t xml:space="preserve"> variability in toxicity </w:t>
            </w:r>
          </w:p>
          <w:p w14:paraId="69E8BF85" w14:textId="4E7CE195" w:rsidR="00547F9C" w:rsidRDefault="003E7629" w:rsidP="00547F9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Plasma </w:t>
            </w:r>
            <w:r w:rsidR="00BB2F44">
              <w:t>t</w:t>
            </w:r>
            <w:r w:rsidR="00BB2F44" w:rsidRPr="00BB2F44">
              <w:rPr>
                <w:vertAlign w:val="subscript"/>
              </w:rPr>
              <w:t>1/2</w:t>
            </w:r>
            <w:r w:rsidR="00BB2F44">
              <w:rPr>
                <w:vertAlign w:val="subscript"/>
              </w:rPr>
              <w:t xml:space="preserve">: </w:t>
            </w:r>
            <w:r>
              <w:t xml:space="preserve">36–40 h and </w:t>
            </w:r>
            <w:r w:rsidR="00FB4E12">
              <w:t>whole-body</w:t>
            </w:r>
            <w:r>
              <w:t xml:space="preserve"> </w:t>
            </w:r>
            <w:r w:rsidR="00BB2F44">
              <w:t>t</w:t>
            </w:r>
            <w:r w:rsidR="00BB2F44" w:rsidRPr="00BB2F44">
              <w:rPr>
                <w:vertAlign w:val="subscript"/>
              </w:rPr>
              <w:t>1/2</w:t>
            </w:r>
            <w:r w:rsidR="00BB2F44">
              <w:rPr>
                <w:vertAlign w:val="subscript"/>
              </w:rPr>
              <w:t xml:space="preserve">: </w:t>
            </w:r>
            <w:r>
              <w:rPr>
                <w:rFonts w:cs="Arial"/>
              </w:rPr>
              <w:t>≈</w:t>
            </w:r>
            <w:r>
              <w:t>1 wk</w:t>
            </w:r>
            <w:r w:rsidR="00BB2F44">
              <w:t>.</w:t>
            </w:r>
          </w:p>
          <w:p w14:paraId="28460F34" w14:textId="1B027C93" w:rsidR="00CF185C" w:rsidRDefault="00CF185C" w:rsidP="003365A5">
            <w:pPr>
              <w:pStyle w:val="Tabletextprimarysource"/>
            </w:pPr>
            <w:r>
              <w:t>Animal data:</w:t>
            </w:r>
          </w:p>
          <w:p w14:paraId="3FF36AB2" w14:textId="0C860CE3" w:rsidR="00CF185C" w:rsidRDefault="00B7486D" w:rsidP="00865F2E">
            <w:pPr>
              <w:pStyle w:val="Tabletextprimarysource"/>
              <w:numPr>
                <w:ilvl w:val="0"/>
                <w:numId w:val="1"/>
              </w:numPr>
            </w:pPr>
            <w:r>
              <w:t>50% mortality at 0.0077 mg/kg/d in repeat dose study (rats, 90 d); comparison with effects of single dose indicates toxicity is cumulative</w:t>
            </w:r>
          </w:p>
          <w:p w14:paraId="0DA927A6" w14:textId="1FE4B51F" w:rsidR="003E7629" w:rsidRDefault="003E7629" w:rsidP="00865F2E">
            <w:pPr>
              <w:pStyle w:val="Tabletextprimarysource"/>
              <w:numPr>
                <w:ilvl w:val="0"/>
                <w:numId w:val="1"/>
              </w:numPr>
            </w:pPr>
            <w:r>
              <w:t>Dermal dose of 0.25 mg/kg approximately as effective</w:t>
            </w:r>
            <w:r w:rsidR="00CF0DBE">
              <w:t xml:space="preserve"> in increasing blood clotting time</w:t>
            </w:r>
            <w:r>
              <w:t xml:space="preserve"> as an oral dose of 2 mg/kg (rabbits), 3 dermal applications of 50 mg/kg approximately as effective as 3 oral doses of 0.6 mg/kg (rats)</w:t>
            </w:r>
            <w:r w:rsidR="00BB2F44">
              <w:t>.</w:t>
            </w:r>
          </w:p>
          <w:p w14:paraId="0471401A" w14:textId="77777777" w:rsidR="00F260F7" w:rsidRDefault="00F260F7" w:rsidP="003365A5">
            <w:pPr>
              <w:pStyle w:val="Tabletextprimarysource"/>
            </w:pPr>
          </w:p>
          <w:p w14:paraId="0CE4D35D" w14:textId="06D8E5B6" w:rsidR="00F260F7" w:rsidRPr="00DA352E" w:rsidRDefault="00CF185C" w:rsidP="003365A5">
            <w:pPr>
              <w:pStyle w:val="Tabletextprimarysource"/>
            </w:pPr>
            <w:r>
              <w:t>Insufficient data to recommend a TLV-STEL or notations for carcinogenicity and sensitisation.</w:t>
            </w:r>
          </w:p>
        </w:tc>
      </w:tr>
      <w:tr w:rsidR="00C978F0" w:rsidRPr="00DA352E" w14:paraId="174F8B79" w14:textId="77777777" w:rsidTr="00DF0D3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4FD8F24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D0C81">
                  <w:t>2010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D0C81">
                  <w:t>MAK: 0.0016 ppm (0.02 mg/m</w:t>
                </w:r>
                <w:r w:rsidR="00DD0C81" w:rsidRPr="00DD0C81">
                  <w:rPr>
                    <w:vertAlign w:val="superscript"/>
                  </w:rPr>
                  <w:t>3</w:t>
                </w:r>
                <w:r w:rsidR="00DD0C81">
                  <w:t>)</w:t>
                </w:r>
              </w:sdtContent>
            </w:sdt>
          </w:p>
        </w:tc>
      </w:tr>
      <w:tr w:rsidR="00C978F0" w:rsidRPr="00DA352E" w14:paraId="4433014F" w14:textId="77777777" w:rsidTr="00DF0D36">
        <w:trPr>
          <w:gridAfter w:val="1"/>
          <w:wAfter w:w="8" w:type="pct"/>
        </w:trPr>
        <w:tc>
          <w:tcPr>
            <w:tcW w:w="4992" w:type="pct"/>
          </w:tcPr>
          <w:p w14:paraId="28C45975" w14:textId="77777777" w:rsidR="00C978F0" w:rsidRDefault="003E7629" w:rsidP="003365A5">
            <w:pPr>
              <w:pStyle w:val="Tabletextprimarysource"/>
            </w:pPr>
            <w:r>
              <w:t>Summary of additional information:</w:t>
            </w:r>
          </w:p>
          <w:p w14:paraId="3AD047C0" w14:textId="36794D8C" w:rsidR="003E7629" w:rsidRDefault="00DD5E71" w:rsidP="003365A5">
            <w:pPr>
              <w:pStyle w:val="Tabletextprimarysource"/>
            </w:pPr>
            <w:r>
              <w:t xml:space="preserve">No human or animal inhalational data available. </w:t>
            </w:r>
            <w:r w:rsidR="003E7629">
              <w:t>MAK based on oral NOAEL of 0.2 mg/d for increased coagulation time in humans. Assuming respiratory volume of 10 m</w:t>
            </w:r>
            <w:r w:rsidR="003E7629">
              <w:rPr>
                <w:vertAlign w:val="superscript"/>
              </w:rPr>
              <w:t>3</w:t>
            </w:r>
            <w:r w:rsidR="003E7629">
              <w:t>, inhalational equivalent is 0.02 mg/m</w:t>
            </w:r>
            <w:r w:rsidR="003E7629">
              <w:rPr>
                <w:vertAlign w:val="superscript"/>
              </w:rPr>
              <w:t>3</w:t>
            </w:r>
            <w:r w:rsidR="003E7629">
              <w:t>; no further UF applied to derive MAK of 0.02 mg/m</w:t>
            </w:r>
            <w:r w:rsidR="003E7629">
              <w:rPr>
                <w:vertAlign w:val="superscript"/>
              </w:rPr>
              <w:t>3</w:t>
            </w:r>
            <w:r w:rsidR="003E7629">
              <w:t xml:space="preserve"> </w:t>
            </w:r>
            <w:r w:rsidR="003E7629">
              <w:rPr>
                <w:rFonts w:cs="Arial"/>
              </w:rPr>
              <w:t>≡</w:t>
            </w:r>
            <w:r w:rsidR="003E7629">
              <w:t>0.0016 ppm.</w:t>
            </w:r>
            <w:r w:rsidR="00473288">
              <w:t xml:space="preserve"> MAK also expected to be protective of embryotoxicity based on a LOAEL of 2.5 mg/d for developmental disorders in humans. An effective daily intake at the MAK would be 0.2 mg/d, which is below the developmental LOAEL, but </w:t>
            </w:r>
            <w:r w:rsidR="00CB732F">
              <w:t xml:space="preserve">DFG </w:t>
            </w:r>
            <w:r w:rsidR="00473288">
              <w:t xml:space="preserve">notes this </w:t>
            </w:r>
            <w:r w:rsidR="003939FF">
              <w:t xml:space="preserve">difference </w:t>
            </w:r>
            <w:r w:rsidR="00473288">
              <w:t>is small.</w:t>
            </w:r>
          </w:p>
          <w:p w14:paraId="1A3EDB8E" w14:textId="52B43C97" w:rsidR="003E7629" w:rsidRPr="00DD5E71" w:rsidRDefault="003E7629" w:rsidP="003365A5">
            <w:pPr>
              <w:pStyle w:val="Tabletextprimarysource"/>
            </w:pPr>
            <w:r>
              <w:t>Skin notation recommended based on cases of poisoning from dermal contact in humans and systemic effects in animals following dermal application.</w:t>
            </w:r>
            <w:r w:rsidR="00DD5E71">
              <w:t xml:space="preserve"> A BEI for vitamin K antagonists is available.</w:t>
            </w:r>
          </w:p>
          <w:p w14:paraId="1BDADACD" w14:textId="3EA1C47F" w:rsidR="003E7629" w:rsidRDefault="007D16F9" w:rsidP="003365A5">
            <w:pPr>
              <w:pStyle w:val="Tabletextprimarysource"/>
            </w:pPr>
            <w:r>
              <w:t>Human data</w:t>
            </w:r>
            <w:r w:rsidR="00511882">
              <w:t>:</w:t>
            </w:r>
          </w:p>
          <w:p w14:paraId="5399612C" w14:textId="163E70C1" w:rsidR="007D16F9" w:rsidRDefault="00FB4E12" w:rsidP="00FB4E12">
            <w:pPr>
              <w:pStyle w:val="Tabletextprimarysource"/>
              <w:numPr>
                <w:ilvl w:val="0"/>
                <w:numId w:val="1"/>
              </w:numPr>
            </w:pPr>
            <w:r>
              <w:t>10–30% reduction in normal coagulation time and increased risk of bleeding at daily intake of 2.5–15 mg/</w:t>
            </w:r>
            <w:r w:rsidR="00B16C37">
              <w:t xml:space="preserve">d </w:t>
            </w:r>
            <w:r w:rsidR="003A07A6">
              <w:t xml:space="preserve">reported </w:t>
            </w:r>
            <w:r>
              <w:t>in</w:t>
            </w:r>
            <w:r w:rsidR="003A07A6">
              <w:t xml:space="preserve"> female</w:t>
            </w:r>
            <w:r>
              <w:t xml:space="preserve"> patients (no further details provided)</w:t>
            </w:r>
          </w:p>
          <w:p w14:paraId="5DC5706B" w14:textId="1FE8189C" w:rsidR="00FB4E12" w:rsidRDefault="00FB4E12" w:rsidP="00FB4E12">
            <w:pPr>
              <w:pStyle w:val="Tabletextprimarysource"/>
              <w:numPr>
                <w:ilvl w:val="0"/>
                <w:numId w:val="1"/>
              </w:numPr>
            </w:pPr>
            <w:r>
              <w:t>20–30% reduction in coagulation factors regarded as adverse effects under workplace conditions due to increased risk of bleeding</w:t>
            </w:r>
          </w:p>
          <w:p w14:paraId="2604D90A" w14:textId="74784E3D" w:rsidR="00FB4E12" w:rsidRDefault="00FB4E12" w:rsidP="00FB4E12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Haemorrhagic syndrome in children (n=741) accidentally exposed to talcum powder contaminated with 1.7–6.5% of </w:t>
            </w:r>
            <w:r w:rsidR="00B16C37">
              <w:t>warfarin</w:t>
            </w:r>
            <w:r>
              <w:t>, 177 died</w:t>
            </w:r>
          </w:p>
          <w:p w14:paraId="68E9CAD9" w14:textId="09201B45" w:rsidR="00FB4E12" w:rsidRDefault="00FB4E12" w:rsidP="00FB4E12">
            <w:pPr>
              <w:pStyle w:val="Tabletextprimarysource"/>
              <w:numPr>
                <w:ilvl w:val="0"/>
                <w:numId w:val="1"/>
              </w:numPr>
            </w:pPr>
            <w:r>
              <w:t>Increased coagulation time of 20.9 s (normal range 12–14 s) at 0.14 mg/kg/d (</w:t>
            </w:r>
            <w:r w:rsidR="00B16C37">
              <w:t xml:space="preserve">9.8 mg/d; </w:t>
            </w:r>
            <w:r>
              <w:t>n=5, 26 d</w:t>
            </w:r>
            <w:r w:rsidR="005E7715">
              <w:t>, n</w:t>
            </w:r>
            <w:r w:rsidR="00B16C37">
              <w:t xml:space="preserve">ot </w:t>
            </w:r>
            <w:r w:rsidR="00987B74">
              <w:t>reported</w:t>
            </w:r>
            <w:r w:rsidR="00CF0DBE">
              <w:t xml:space="preserve"> </w:t>
            </w:r>
            <w:r w:rsidR="00987B74">
              <w:t xml:space="preserve">in </w:t>
            </w:r>
            <w:r w:rsidR="00B16C37">
              <w:t>ACGIH</w:t>
            </w:r>
            <w:r w:rsidR="00CF0DBE">
              <w:t>, 2018</w:t>
            </w:r>
            <w:r w:rsidR="005E7715">
              <w:t>)</w:t>
            </w:r>
          </w:p>
          <w:p w14:paraId="62176339" w14:textId="5EB2A7E7" w:rsidR="00FB4E12" w:rsidRDefault="00FB4E12" w:rsidP="007C25B2">
            <w:pPr>
              <w:pStyle w:val="Tabletextprimarysource"/>
              <w:numPr>
                <w:ilvl w:val="0"/>
                <w:numId w:val="1"/>
              </w:numPr>
            </w:pPr>
            <w:r>
              <w:t>Increased mean coagulation time (0.9 s) at 0.014 mg/kg/d</w:t>
            </w:r>
            <w:r w:rsidR="00B16C37">
              <w:t xml:space="preserve"> (</w:t>
            </w:r>
            <w:r w:rsidR="00114141">
              <w:t>1</w:t>
            </w:r>
            <w:r w:rsidR="00B16C37">
              <w:t xml:space="preserve"> mg/d)</w:t>
            </w:r>
            <w:r>
              <w:t xml:space="preserve">, </w:t>
            </w:r>
            <w:r w:rsidR="007D0BCC">
              <w:t>NOAEL</w:t>
            </w:r>
            <w:r w:rsidR="00511882">
              <w:t xml:space="preserve"> of</w:t>
            </w:r>
            <w:r w:rsidR="007D0BCC">
              <w:t> </w:t>
            </w:r>
            <w:r>
              <w:t>0.003 mg/kg/d (</w:t>
            </w:r>
            <w:r w:rsidR="00B16C37">
              <w:t xml:space="preserve">0.2 mg/d; </w:t>
            </w:r>
            <w:r>
              <w:t xml:space="preserve">n=7, 3 wk, also </w:t>
            </w:r>
            <w:r w:rsidR="009F5FD1">
              <w:t xml:space="preserve">reported </w:t>
            </w:r>
            <w:r>
              <w:t xml:space="preserve">in </w:t>
            </w:r>
            <w:r w:rsidR="006771B4">
              <w:t>ACGIH</w:t>
            </w:r>
            <w:r>
              <w:t>)</w:t>
            </w:r>
            <w:r w:rsidR="007D0BCC">
              <w:t xml:space="preserve">; </w:t>
            </w:r>
            <w:r w:rsidR="00BB36DE">
              <w:t>NOAEL</w:t>
            </w:r>
            <w:r w:rsidR="00CF0DBE">
              <w:t xml:space="preserve"> </w:t>
            </w:r>
            <w:r w:rsidR="00BB36DE">
              <w:t>used to derive MAK</w:t>
            </w:r>
          </w:p>
          <w:p w14:paraId="2B8F38A0" w14:textId="51347E89" w:rsidR="00F96853" w:rsidRDefault="00E66EC3" w:rsidP="00473288">
            <w:pPr>
              <w:pStyle w:val="Tabletextprimarysource"/>
              <w:numPr>
                <w:ilvl w:val="0"/>
                <w:numId w:val="1"/>
              </w:numPr>
            </w:pPr>
            <w:r w:rsidRPr="00473288">
              <w:t>Warfarin-induced embryopathies found in 22 children</w:t>
            </w:r>
            <w:r>
              <w:t xml:space="preserve"> of </w:t>
            </w:r>
            <w:r w:rsidRPr="00473288">
              <w:t>mothers</w:t>
            </w:r>
            <w:r w:rsidR="00E444BD">
              <w:t xml:space="preserve"> </w:t>
            </w:r>
            <w:r>
              <w:t xml:space="preserve">consuming daily doses of </w:t>
            </w:r>
            <w:r w:rsidR="001E416F">
              <w:t>2.</w:t>
            </w:r>
            <w:r>
              <w:t xml:space="preserve">5–15 mg/d </w:t>
            </w:r>
            <w:r>
              <w:rPr>
                <w:rFonts w:cs="Arial"/>
              </w:rPr>
              <w:t>≡</w:t>
            </w:r>
            <w:r>
              <w:t xml:space="preserve">0.04–0.21 mg/kg/d </w:t>
            </w:r>
            <w:r w:rsidR="0039288A">
              <w:t>in the first trimester (</w:t>
            </w:r>
            <w:r w:rsidRPr="00473288">
              <w:t xml:space="preserve">between </w:t>
            </w:r>
            <w:r>
              <w:t>gestation week 6–9</w:t>
            </w:r>
            <w:r w:rsidR="00E444BD">
              <w:t>) reported</w:t>
            </w:r>
            <w:r>
              <w:t xml:space="preserve"> in case study of pregnancies (n=418)</w:t>
            </w:r>
          </w:p>
          <w:p w14:paraId="14772B79" w14:textId="523AFB36" w:rsidR="00473288" w:rsidRDefault="0068110E" w:rsidP="0047328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Cases of skin necrosis following therapeutic oral </w:t>
            </w:r>
            <w:r w:rsidR="0039288A">
              <w:t xml:space="preserve">dosing </w:t>
            </w:r>
            <w:r>
              <w:t>are reported</w:t>
            </w:r>
          </w:p>
          <w:p w14:paraId="2745B3D4" w14:textId="6ED31207" w:rsidR="00473288" w:rsidRDefault="0068110E" w:rsidP="00473288">
            <w:pPr>
              <w:pStyle w:val="Tabletextprimarysource"/>
              <w:numPr>
                <w:ilvl w:val="0"/>
                <w:numId w:val="1"/>
              </w:numPr>
            </w:pPr>
            <w:r>
              <w:t>Positive patch test with 0.05% solution in petrolatum in 1/350 subjects</w:t>
            </w:r>
            <w:r w:rsidR="0039288A">
              <w:t xml:space="preserve">. DFG </w:t>
            </w:r>
            <w:r>
              <w:t>considers study inadequate for sensitisation classification</w:t>
            </w:r>
            <w:r w:rsidR="00C13BFE">
              <w:t>.</w:t>
            </w:r>
          </w:p>
          <w:p w14:paraId="18B2B8DD" w14:textId="4CAF27C2" w:rsidR="007D16F9" w:rsidRDefault="007D16F9" w:rsidP="003365A5">
            <w:pPr>
              <w:pStyle w:val="Tabletextprimarysource"/>
            </w:pPr>
            <w:r>
              <w:t>Animal data</w:t>
            </w:r>
            <w:r w:rsidR="00C445AA">
              <w:t>:</w:t>
            </w:r>
          </w:p>
          <w:p w14:paraId="182ADCD5" w14:textId="6D3FA322" w:rsidR="00DD5E71" w:rsidRDefault="00DD5E71" w:rsidP="00DD5E71">
            <w:pPr>
              <w:pStyle w:val="Tabletextprimarysource"/>
              <w:numPr>
                <w:ilvl w:val="0"/>
                <w:numId w:val="1"/>
              </w:numPr>
            </w:pPr>
            <w:r>
              <w:t>32</w:t>
            </w:r>
            <w:r w:rsidR="00C13BFE">
              <w:t>%</w:t>
            </w:r>
            <w:r>
              <w:t xml:space="preserve"> and 42% decrease in activity of coagulation factors from s</w:t>
            </w:r>
            <w:r w:rsidR="0068110E">
              <w:t xml:space="preserve">ingle </w:t>
            </w:r>
            <w:r>
              <w:t>dermal dose of 0.25 </w:t>
            </w:r>
            <w:r w:rsidR="0068110E">
              <w:t>mg/kg (rabbits) and 0.7 mg/kg (guinea pigs</w:t>
            </w:r>
            <w:r>
              <w:t>)</w:t>
            </w:r>
          </w:p>
          <w:p w14:paraId="32A20513" w14:textId="5030B5A8" w:rsidR="00DD5E71" w:rsidRDefault="00291DDC" w:rsidP="0068110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47% increased </w:t>
            </w:r>
            <w:r w:rsidR="00DD5E71">
              <w:t>coagulation time</w:t>
            </w:r>
            <w:r>
              <w:t xml:space="preserve"> at 50 mg/kg and 119% at 100 mg/kg reported</w:t>
            </w:r>
            <w:r w:rsidR="00DD5E71">
              <w:t xml:space="preserve"> in repeat dermal dose study with dose groups 0, 10, 50</w:t>
            </w:r>
            <w:r w:rsidR="00D85338">
              <w:t xml:space="preserve"> and</w:t>
            </w:r>
            <w:r w:rsidR="00DD5E71">
              <w:t xml:space="preserve"> 100 mg/kg (rats, 3 d)</w:t>
            </w:r>
            <w:r>
              <w:t xml:space="preserve"> </w:t>
            </w:r>
          </w:p>
          <w:p w14:paraId="21535610" w14:textId="77B5DF3F" w:rsidR="00DD5E71" w:rsidRDefault="00DD5E71" w:rsidP="0068110E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Decreased coagulation activity from 0.4 mg/kg </w:t>
            </w:r>
            <w:r w:rsidR="00291DDC">
              <w:t xml:space="preserve">repeat </w:t>
            </w:r>
            <w:r>
              <w:t>dermal dose</w:t>
            </w:r>
            <w:r w:rsidR="00C445AA">
              <w:t>,</w:t>
            </w:r>
            <w:r>
              <w:t xml:space="preserve"> reversible within 5 d following cessation (rabbits, 2 d</w:t>
            </w:r>
            <w:r w:rsidR="00291DDC">
              <w:t>, dose frequency not specified</w:t>
            </w:r>
            <w:r>
              <w:t>)</w:t>
            </w:r>
          </w:p>
          <w:p w14:paraId="2ACE25D7" w14:textId="57FBA0CD" w:rsidR="0068110E" w:rsidRDefault="0068110E" w:rsidP="0015521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</w:t>
            </w:r>
            <w:r w:rsidR="00F04BD8">
              <w:t xml:space="preserve">carcinogenicity or </w:t>
            </w:r>
            <w:r>
              <w:t>genotoxicity data available</w:t>
            </w:r>
            <w:r w:rsidR="00155219">
              <w:t>.</w:t>
            </w:r>
          </w:p>
          <w:p w14:paraId="5C3DA5E4" w14:textId="77777777" w:rsidR="00F260F7" w:rsidRDefault="00F260F7" w:rsidP="003365A5">
            <w:pPr>
              <w:pStyle w:val="Tabletextprimarysource"/>
            </w:pPr>
          </w:p>
          <w:p w14:paraId="2DDBC687" w14:textId="635C0521" w:rsidR="003E7629" w:rsidRDefault="003E7629" w:rsidP="003365A5">
            <w:pPr>
              <w:pStyle w:val="Tabletextprimarysource"/>
            </w:pPr>
            <w:r>
              <w:t xml:space="preserve">Insufficient data to recommend </w:t>
            </w:r>
            <w:r w:rsidR="007D16F9">
              <w:t>carcinogenicity or sensitiser notations.</w:t>
            </w:r>
          </w:p>
          <w:p w14:paraId="61A64F09" w14:textId="50D24632" w:rsidR="00F260F7" w:rsidRPr="003E7629" w:rsidRDefault="00F260F7" w:rsidP="003365A5">
            <w:pPr>
              <w:pStyle w:val="Tabletextprimarysource"/>
            </w:pPr>
          </w:p>
        </w:tc>
      </w:tr>
      <w:tr w:rsidR="00C978F0" w:rsidRPr="00DA352E" w14:paraId="0E6A0B2C" w14:textId="77777777" w:rsidTr="00DF0D3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6C3F8B3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D0C8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DD0C81">
                  <w:t>NA</w:t>
                </w:r>
              </w:sdtContent>
            </w:sdt>
          </w:p>
        </w:tc>
      </w:tr>
      <w:tr w:rsidR="00C978F0" w:rsidRPr="00DA352E" w14:paraId="2008D281" w14:textId="77777777" w:rsidTr="00DF0D36">
        <w:trPr>
          <w:gridAfter w:val="1"/>
          <w:wAfter w:w="8" w:type="pct"/>
        </w:trPr>
        <w:tc>
          <w:tcPr>
            <w:tcW w:w="4992" w:type="pct"/>
          </w:tcPr>
          <w:p w14:paraId="153B53C1" w14:textId="3D6253C0" w:rsidR="00C978F0" w:rsidRPr="00DA352E" w:rsidRDefault="00DD0C81" w:rsidP="003365A5">
            <w:pPr>
              <w:pStyle w:val="Tabletextprimarysource"/>
            </w:pPr>
            <w:r>
              <w:t>No report</w:t>
            </w:r>
            <w:r w:rsidR="00C13BFE">
              <w:t>.</w:t>
            </w:r>
          </w:p>
        </w:tc>
      </w:tr>
      <w:tr w:rsidR="00DA352E" w:rsidRPr="00DA352E" w14:paraId="12BAB90D" w14:textId="77777777" w:rsidTr="00DF0D3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2C6FE7FE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D0C8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DD0C81">
                  <w:t>NA</w:t>
                </w:r>
              </w:sdtContent>
            </w:sdt>
          </w:p>
        </w:tc>
      </w:tr>
      <w:tr w:rsidR="00DA352E" w:rsidRPr="00DA352E" w14:paraId="33AAF4A6" w14:textId="77777777" w:rsidTr="00DF0D36">
        <w:trPr>
          <w:gridAfter w:val="1"/>
          <w:wAfter w:w="8" w:type="pct"/>
        </w:trPr>
        <w:tc>
          <w:tcPr>
            <w:tcW w:w="4992" w:type="pct"/>
          </w:tcPr>
          <w:p w14:paraId="2059E4CB" w14:textId="0033C518" w:rsidR="00DA352E" w:rsidRPr="00DA352E" w:rsidRDefault="00DD0C81" w:rsidP="003365A5">
            <w:pPr>
              <w:pStyle w:val="Tabletextprimarysource"/>
            </w:pPr>
            <w:r>
              <w:t>No report</w:t>
            </w:r>
            <w:r w:rsidR="00C13BFE">
              <w:t>.</w:t>
            </w:r>
          </w:p>
        </w:tc>
      </w:tr>
      <w:tr w:rsidR="00DA352E" w:rsidRPr="00DA352E" w14:paraId="605F758C" w14:textId="77777777" w:rsidTr="00DF0D36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4AD4DEE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D0C81" w:rsidRPr="00DD0C81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D0C81">
                  <w:t>TWA: 0.1 mg/m</w:t>
                </w:r>
                <w:r w:rsidR="00DD0C81" w:rsidRPr="00DD0C81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7050CB3E" w14:textId="77777777" w:rsidTr="00DF0D36">
        <w:trPr>
          <w:gridAfter w:val="1"/>
          <w:wAfter w:w="8" w:type="pct"/>
        </w:trPr>
        <w:tc>
          <w:tcPr>
            <w:tcW w:w="4992" w:type="pct"/>
          </w:tcPr>
          <w:p w14:paraId="314B99DD" w14:textId="68502C00" w:rsidR="00067D28" w:rsidRDefault="00067D28" w:rsidP="003365A5">
            <w:pPr>
              <w:pStyle w:val="Tabletextprimarysource"/>
            </w:pPr>
            <w:r>
              <w:t>Summary of additional information</w:t>
            </w:r>
            <w:r w:rsidR="00C445AA">
              <w:t>:</w:t>
            </w:r>
          </w:p>
          <w:p w14:paraId="58220ECA" w14:textId="3736E177" w:rsidR="00067D28" w:rsidRDefault="00067D28" w:rsidP="003365A5">
            <w:pPr>
              <w:pStyle w:val="Tabletextprimarysource"/>
            </w:pPr>
            <w:r>
              <w:t>Current administrative OEL of 0.1 mg/m</w:t>
            </w:r>
            <w:r>
              <w:rPr>
                <w:vertAlign w:val="superscript"/>
              </w:rPr>
              <w:t>3</w:t>
            </w:r>
            <w:r>
              <w:t xml:space="preserve"> considered too high, </w:t>
            </w:r>
            <w:r w:rsidR="0039288A">
              <w:t>hence non-protective. H</w:t>
            </w:r>
            <w:r>
              <w:t>ealth</w:t>
            </w:r>
            <w:r w:rsidR="0039288A">
              <w:t xml:space="preserve"> </w:t>
            </w:r>
            <w:r>
              <w:t xml:space="preserve">based recommended OEL (HBROEL) </w:t>
            </w:r>
            <w:r w:rsidR="00233620">
              <w:t>derived from LOAEL of 2.5 mg/d for teratogenic effects in humans. An overall assessment factor of 30 is applied to account for the severity of the effects and absence of a NOAEL. Assuming a respiratory volume of 10 m</w:t>
            </w:r>
            <w:r w:rsidR="00233620">
              <w:rPr>
                <w:vertAlign w:val="superscript"/>
              </w:rPr>
              <w:t>3</w:t>
            </w:r>
            <w:r w:rsidR="00233620">
              <w:t xml:space="preserve"> during an 8-h shift and 100% absorption, </w:t>
            </w:r>
            <w:r w:rsidR="0039288A">
              <w:t xml:space="preserve">HCOTN proposes </w:t>
            </w:r>
            <w:r w:rsidR="00233620">
              <w:t>a HBROEL of 0.01 mg/m</w:t>
            </w:r>
            <w:r w:rsidR="00233620">
              <w:rPr>
                <w:vertAlign w:val="superscript"/>
              </w:rPr>
              <w:t>3</w:t>
            </w:r>
            <w:r w:rsidR="00233620">
              <w:t xml:space="preserve"> </w:t>
            </w:r>
            <w:r w:rsidR="0039288A">
              <w:t xml:space="preserve">which </w:t>
            </w:r>
            <w:r w:rsidR="00233620">
              <w:t>is and expected to be protective of developmental toxicity.</w:t>
            </w:r>
          </w:p>
          <w:p w14:paraId="73743DF3" w14:textId="296D0303" w:rsidR="00233620" w:rsidRPr="00233620" w:rsidRDefault="00233620" w:rsidP="003365A5">
            <w:pPr>
              <w:pStyle w:val="Tabletextprimarysource"/>
            </w:pPr>
            <w:r>
              <w:t>A skin notation is recommended based on reports of systemic effects in humans following dermal absorption.</w:t>
            </w:r>
          </w:p>
          <w:p w14:paraId="605E60F9" w14:textId="7440A1B1" w:rsidR="00067D28" w:rsidRDefault="00067D28" w:rsidP="003365A5">
            <w:pPr>
              <w:pStyle w:val="Tabletextprimarysource"/>
            </w:pPr>
            <w:r>
              <w:t>Human data:</w:t>
            </w:r>
          </w:p>
          <w:p w14:paraId="775BBDEF" w14:textId="724F7344" w:rsidR="00067D28" w:rsidRDefault="00F04BD8" w:rsidP="00067D28">
            <w:pPr>
              <w:pStyle w:val="Tabletextprimarysource"/>
              <w:numPr>
                <w:ilvl w:val="0"/>
                <w:numId w:val="1"/>
              </w:numPr>
            </w:pPr>
            <w:r>
              <w:t>Increased coagulation time in dermally exposed workers</w:t>
            </w:r>
            <w:r w:rsidR="008C73B4">
              <w:t>. No</w:t>
            </w:r>
            <w:r>
              <w:t xml:space="preserve"> quantitative </w:t>
            </w:r>
            <w:r w:rsidR="008C73B4">
              <w:t>results available.</w:t>
            </w:r>
          </w:p>
          <w:p w14:paraId="0B9463EE" w14:textId="18FE914A" w:rsidR="00F04BD8" w:rsidRDefault="00F04BD8" w:rsidP="00067D2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Cases of </w:t>
            </w:r>
            <w:r w:rsidR="008C73B4">
              <w:t xml:space="preserve">developmental adverse effects </w:t>
            </w:r>
            <w:r>
              <w:t xml:space="preserve">associated with maternal </w:t>
            </w:r>
            <w:r w:rsidR="008C73B4">
              <w:t xml:space="preserve">clinical dose daily regimen </w:t>
            </w:r>
            <w:r>
              <w:t>of 2.5–15 mg/d</w:t>
            </w:r>
            <w:r w:rsidR="00DD659A">
              <w:t>:</w:t>
            </w:r>
          </w:p>
          <w:p w14:paraId="6C321EF6" w14:textId="3CE0FC7D" w:rsidR="00233620" w:rsidRDefault="008C73B4" w:rsidP="005A580E">
            <w:pPr>
              <w:pStyle w:val="Tabletextprimarysource"/>
              <w:numPr>
                <w:ilvl w:val="1"/>
                <w:numId w:val="1"/>
              </w:numPr>
              <w:ind w:left="1156"/>
            </w:pPr>
            <w:r>
              <w:t xml:space="preserve">HCOTN </w:t>
            </w:r>
            <w:r w:rsidR="00233620">
              <w:t>considers 2.5 mg/d or 0.04 mg/kg/d a LOAEL which is used as a POD for deriving the HBROEL</w:t>
            </w:r>
          </w:p>
          <w:p w14:paraId="0049CC28" w14:textId="7811B497" w:rsidR="00F04BD8" w:rsidRDefault="002E10EE" w:rsidP="00067D28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Adverse developmental </w:t>
            </w:r>
            <w:r w:rsidR="008C73B4">
              <w:t>effects</w:t>
            </w:r>
            <w:r w:rsidR="00F04BD8">
              <w:t xml:space="preserve"> in 1.5–5% </w:t>
            </w:r>
            <w:r w:rsidR="008C73B4">
              <w:t xml:space="preserve">of </w:t>
            </w:r>
            <w:r w:rsidR="005C7E2F">
              <w:t>infants</w:t>
            </w:r>
            <w:r w:rsidR="008C73B4">
              <w:t xml:space="preserve"> </w:t>
            </w:r>
            <w:r>
              <w:t xml:space="preserve">following maternal exposure </w:t>
            </w:r>
            <w:r w:rsidR="00F04BD8">
              <w:t xml:space="preserve">during </w:t>
            </w:r>
            <w:r w:rsidR="005C7E2F">
              <w:t>therapy with warfarin to prevent blood clotting during the first trimester (</w:t>
            </w:r>
            <w:r w:rsidR="00F04BD8">
              <w:t>wk 6–9 of gestation</w:t>
            </w:r>
            <w:r w:rsidR="005C7E2F">
              <w:t>;</w:t>
            </w:r>
            <w:r w:rsidR="00E66EC3">
              <w:t xml:space="preserve"> also </w:t>
            </w:r>
            <w:r w:rsidR="005C7E2F">
              <w:t xml:space="preserve">reported </w:t>
            </w:r>
            <w:r w:rsidR="00E66EC3">
              <w:t>in DFG, 2011)</w:t>
            </w:r>
            <w:r w:rsidR="005C7E2F">
              <w:t>.</w:t>
            </w:r>
            <w:r w:rsidR="00D85338">
              <w:t xml:space="preserve"> </w:t>
            </w:r>
            <w:r w:rsidR="005A580E">
              <w:t>CNS</w:t>
            </w:r>
            <w:r w:rsidR="00F04BD8">
              <w:t xml:space="preserve"> effects in 0.5–2% </w:t>
            </w:r>
            <w:r>
              <w:t xml:space="preserve">of </w:t>
            </w:r>
            <w:r w:rsidR="00F04BD8">
              <w:t xml:space="preserve">infants </w:t>
            </w:r>
            <w:r>
              <w:t xml:space="preserve">following maternal exposure </w:t>
            </w:r>
            <w:r w:rsidR="00F04BD8">
              <w:t xml:space="preserve">during </w:t>
            </w:r>
            <w:r w:rsidR="005C7E2F">
              <w:t xml:space="preserve">treatment </w:t>
            </w:r>
            <w:r w:rsidR="00F04BD8">
              <w:t>in 2</w:t>
            </w:r>
            <w:r w:rsidR="00F04BD8" w:rsidRPr="00F04BD8">
              <w:rPr>
                <w:vertAlign w:val="superscript"/>
              </w:rPr>
              <w:t>nd</w:t>
            </w:r>
            <w:r w:rsidR="00F04BD8">
              <w:t xml:space="preserve"> trimester</w:t>
            </w:r>
            <w:r w:rsidR="00F62A82">
              <w:t>.</w:t>
            </w:r>
            <w:r>
              <w:t xml:space="preserve"> </w:t>
            </w:r>
            <w:r w:rsidR="00F62A82">
              <w:t xml:space="preserve">These are </w:t>
            </w:r>
            <w:r w:rsidR="00F04BD8">
              <w:t>reported in 2 case studies (n</w:t>
            </w:r>
            <w:r w:rsidR="005C7E2F">
              <w:t>= </w:t>
            </w:r>
            <w:r w:rsidR="00F04BD8">
              <w:t>418 and 635)</w:t>
            </w:r>
            <w:r w:rsidR="005A580E">
              <w:t>.</w:t>
            </w:r>
          </w:p>
          <w:p w14:paraId="295B29F3" w14:textId="77777777" w:rsidR="00F04BD8" w:rsidRDefault="00F04BD8" w:rsidP="00F04BD8">
            <w:pPr>
              <w:pStyle w:val="Tabletextprimarysource"/>
            </w:pPr>
            <w:r>
              <w:t>Animal data:</w:t>
            </w:r>
          </w:p>
          <w:p w14:paraId="170676C3" w14:textId="1A14B2D3" w:rsidR="00F04BD8" w:rsidRDefault="00F04BD8" w:rsidP="00F04BD8">
            <w:pPr>
              <w:pStyle w:val="Tabletextprimarysource"/>
              <w:numPr>
                <w:ilvl w:val="0"/>
                <w:numId w:val="1"/>
              </w:numPr>
            </w:pPr>
            <w:r>
              <w:t>NOAEL</w:t>
            </w:r>
            <w:r w:rsidR="005C7E2F">
              <w:t xml:space="preserve"> of </w:t>
            </w:r>
            <w:r>
              <w:t xml:space="preserve">1 mg/kg/d for embryotoxicity in repeat oral dose developmental study </w:t>
            </w:r>
            <w:r w:rsidR="00A550EF">
              <w:t xml:space="preserve">with exposure groups 0, 1, </w:t>
            </w:r>
            <w:r w:rsidR="00F56A33">
              <w:t>3, 6</w:t>
            </w:r>
            <w:r w:rsidR="005C7E2F">
              <w:t>,</w:t>
            </w:r>
            <w:r w:rsidR="00F56A33">
              <w:t xml:space="preserve"> 12</w:t>
            </w:r>
            <w:r w:rsidR="005C7E2F">
              <w:t>,</w:t>
            </w:r>
            <w:r w:rsidR="00F56A33">
              <w:t xml:space="preserve"> 25</w:t>
            </w:r>
            <w:r w:rsidR="005C7E2F">
              <w:t>,</w:t>
            </w:r>
            <w:r w:rsidR="00F56A33">
              <w:t xml:space="preserve"> 50</w:t>
            </w:r>
            <w:r w:rsidR="005C7E2F">
              <w:t>,</w:t>
            </w:r>
            <w:r w:rsidR="00F56A33">
              <w:t xml:space="preserve"> 100 mg/kg/d and concurrent intramuscular injection of 10 mg/kg vitamin K</w:t>
            </w:r>
            <w:r w:rsidR="00F56A33">
              <w:rPr>
                <w:vertAlign w:val="subscript"/>
              </w:rPr>
              <w:t>1</w:t>
            </w:r>
            <w:r w:rsidR="00F56A33">
              <w:t xml:space="preserve"> </w:t>
            </w:r>
            <w:r>
              <w:t>(rats</w:t>
            </w:r>
            <w:r w:rsidRPr="00F56A33">
              <w:t xml:space="preserve">, GD </w:t>
            </w:r>
            <w:r w:rsidR="00F56A33" w:rsidRPr="00F56A33">
              <w:t>9–20</w:t>
            </w:r>
            <w:r>
              <w:t>)</w:t>
            </w:r>
          </w:p>
          <w:p w14:paraId="3F406F6D" w14:textId="77777777" w:rsidR="00F04BD8" w:rsidRDefault="00F04BD8" w:rsidP="00F04BD8">
            <w:pPr>
              <w:pStyle w:val="Tabletextprimarysource"/>
              <w:numPr>
                <w:ilvl w:val="0"/>
                <w:numId w:val="1"/>
              </w:numPr>
            </w:pPr>
            <w:r>
              <w:t>No information on carcinogenicity or genotoxicity available</w:t>
            </w:r>
            <w:r w:rsidR="005A580E">
              <w:t>.</w:t>
            </w:r>
          </w:p>
          <w:p w14:paraId="492D7791" w14:textId="07B4D447" w:rsidR="00F260F7" w:rsidRPr="00067D28" w:rsidRDefault="00F260F7" w:rsidP="00F260F7">
            <w:pPr>
              <w:pStyle w:val="Tabletextprimarysource"/>
              <w:ind w:left="72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4"/>
        <w:gridCol w:w="422"/>
        <w:gridCol w:w="661"/>
        <w:gridCol w:w="6449"/>
      </w:tblGrid>
      <w:tr w:rsidR="004966BF" w:rsidRPr="00263255" w14:paraId="6AE89AB3" w14:textId="77777777" w:rsidTr="00DF0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4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B6AED63" w14:textId="77777777" w:rsidTr="00DF0D36">
        <w:trPr>
          <w:cantSplit/>
        </w:trPr>
        <w:tc>
          <w:tcPr>
            <w:tcW w:w="1494" w:type="dxa"/>
          </w:tcPr>
          <w:p w14:paraId="01321F42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14:paraId="7AE5C94A" w14:textId="4680DB77" w:rsidR="004966BF" w:rsidRPr="00CE617F" w:rsidRDefault="00DF0D3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85D8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C68236E" w14:textId="3D5E0B63" w:rsidR="004966BF" w:rsidRPr="004C23F4" w:rsidRDefault="004D403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49" w:type="dxa"/>
          </w:tcPr>
          <w:p w14:paraId="2224089B" w14:textId="6A0AA687" w:rsidR="004D4035" w:rsidRPr="00F56A33" w:rsidRDefault="00F56A33" w:rsidP="00717D45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 xml:space="preserve">RfD principally based on clinical data that shows repeat oral doses for therapeutic use of 2–10 mg/d </w:t>
            </w:r>
            <w:r w:rsidR="002E10EE">
              <w:rPr>
                <w:rFonts w:cs="Arial"/>
              </w:rPr>
              <w:t xml:space="preserve">(0.029–0.14 mg/kg/d) </w:t>
            </w:r>
            <w:r>
              <w:rPr>
                <w:rFonts w:cs="Arial"/>
              </w:rPr>
              <w:t xml:space="preserve">are without serious adverse health effects in humans (also presented in ACGIH, 2018), </w:t>
            </w:r>
            <w:r w:rsidR="0077793F">
              <w:rPr>
                <w:rFonts w:cs="Arial"/>
              </w:rPr>
              <w:t xml:space="preserve">US EPA </w:t>
            </w:r>
            <w:r>
              <w:rPr>
                <w:rFonts w:cs="Arial"/>
              </w:rPr>
              <w:t>considers 2 mg/d as the LOAEL for delayed coagulation time.</w:t>
            </w:r>
          </w:p>
        </w:tc>
      </w:tr>
      <w:tr w:rsidR="004966BF" w:rsidRPr="004C23F4" w14:paraId="20C4323A" w14:textId="77777777" w:rsidTr="00DF0D36">
        <w:trPr>
          <w:cantSplit/>
        </w:trPr>
        <w:tc>
          <w:tcPr>
            <w:tcW w:w="1494" w:type="dxa"/>
          </w:tcPr>
          <w:p w14:paraId="76D0E357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46AE65C2" w14:textId="139BC254" w:rsidR="004966BF" w:rsidRDefault="00DF0D3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85D8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B82A5B6" w14:textId="2B875F22" w:rsidR="004966BF" w:rsidRPr="004C23F4" w:rsidRDefault="00785D8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9" w:type="dxa"/>
          </w:tcPr>
          <w:p w14:paraId="4E1BEF9D" w14:textId="049B8415" w:rsidR="004966BF" w:rsidRPr="004C23F4" w:rsidRDefault="00B954AA" w:rsidP="00F56A33">
            <w:pPr>
              <w:pStyle w:val="Tablefont"/>
              <w:numPr>
                <w:ilvl w:val="0"/>
                <w:numId w:val="1"/>
              </w:numPr>
              <w:rPr>
                <w:rStyle w:val="checkbox"/>
                <w:rFonts w:ascii="Arial" w:hAnsi="Arial" w:cs="Arial"/>
              </w:rPr>
            </w:pPr>
            <w:r w:rsidRPr="00B954AA">
              <w:rPr>
                <w:rFonts w:cs="Arial"/>
              </w:rPr>
              <w:t>IDLH based on acute toxicity data in humans</w:t>
            </w:r>
            <w:r w:rsidR="00F56A33">
              <w:rPr>
                <w:rFonts w:cs="Arial"/>
              </w:rPr>
              <w:t>.</w:t>
            </w:r>
          </w:p>
        </w:tc>
      </w:tr>
    </w:tbl>
    <w:p w14:paraId="21C7ACE5" w14:textId="77777777" w:rsidR="007E2A4B" w:rsidRDefault="007E2A4B">
      <w:bookmarkStart w:id="1" w:name="_GoBack"/>
      <w:bookmarkEnd w:id="1"/>
    </w:p>
    <w:bookmarkEnd w:id="0"/>
    <w:p w14:paraId="04408E2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785D85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578F774E" w:rsidR="002E0D61" w:rsidRDefault="00785D8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785D85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238F5912" w:rsidR="008A36CF" w:rsidRDefault="00785D85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D6DDFA3" w14:textId="77777777" w:rsidTr="00785D8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1A7516AB" w14:textId="382C0F6F" w:rsidR="008A36CF" w:rsidRPr="006901A2" w:rsidRDefault="00785D8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DF0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DF0D36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1AB65B4B" w:rsidR="00687890" w:rsidRPr="00DD2F9B" w:rsidRDefault="003218B2" w:rsidP="00DD2F9B">
            <w:pPr>
              <w:pStyle w:val="Tablefont"/>
            </w:pPr>
            <w:r w:rsidRPr="003218B2">
              <w:t>—</w:t>
            </w:r>
          </w:p>
        </w:tc>
      </w:tr>
      <w:tr w:rsidR="007925F0" w:rsidRPr="004C23F4" w14:paraId="2A0C13EF" w14:textId="77777777" w:rsidTr="00DF0D36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22CEAB80" w:rsidR="007925F0" w:rsidRPr="00DD2F9B" w:rsidRDefault="003218B2" w:rsidP="00DD2F9B">
            <w:pPr>
              <w:pStyle w:val="Tablefont"/>
            </w:pPr>
            <w:r w:rsidRPr="003218B2">
              <w:t>—</w:t>
            </w:r>
          </w:p>
        </w:tc>
      </w:tr>
      <w:tr w:rsidR="00AF483F" w:rsidRPr="004C23F4" w14:paraId="4C1044B3" w14:textId="77777777" w:rsidTr="00DF0D36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07A2A16A" w:rsidR="00AF483F" w:rsidRPr="00DD2F9B" w:rsidRDefault="003218B2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DF0D36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21317E67" w:rsidR="00687890" w:rsidRPr="00DD2F9B" w:rsidRDefault="00B954AA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403F0800" w14:textId="77777777" w:rsidTr="00DF0D36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487249E8" w:rsidR="00E41A26" w:rsidRPr="00DD2F9B" w:rsidRDefault="003218B2" w:rsidP="00DD2F9B">
            <w:pPr>
              <w:pStyle w:val="Tablefont"/>
            </w:pPr>
            <w:r w:rsidRPr="003218B2">
              <w:t>—</w:t>
            </w:r>
          </w:p>
        </w:tc>
      </w:tr>
      <w:tr w:rsidR="002E0D61" w:rsidRPr="004C23F4" w14:paraId="57A490EF" w14:textId="77777777" w:rsidTr="00DF0D36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54092E25" w:rsidR="002E0D61" w:rsidRPr="00DD2F9B" w:rsidRDefault="003218B2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43FA3590" w14:textId="77777777" w:rsidTr="00DF0D36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6C5E67AC" w:rsidR="002E0D61" w:rsidRPr="00DD2F9B" w:rsidRDefault="003218B2" w:rsidP="00DD2F9B">
            <w:pPr>
              <w:pStyle w:val="Tablefont"/>
            </w:pPr>
            <w:r>
              <w:t>H(skin)</w:t>
            </w:r>
          </w:p>
        </w:tc>
      </w:tr>
      <w:tr w:rsidR="002E0D61" w:rsidRPr="004C23F4" w14:paraId="2AC7B866" w14:textId="77777777" w:rsidTr="00DF0D36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59802A78" w:rsidR="002E0D61" w:rsidRPr="00DD2F9B" w:rsidRDefault="003218B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DF0D36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6E9CA681" w:rsidR="002E0D61" w:rsidRPr="00DD2F9B" w:rsidRDefault="003218B2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5F6A6A8E" w14:textId="77777777" w:rsidTr="00DF0D36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ECFE6B9" w:rsidR="00386093" w:rsidRPr="00DD2F9B" w:rsidRDefault="003218B2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DF0D36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2AC26CE7" w:rsidR="00386093" w:rsidRPr="00DD2F9B" w:rsidRDefault="003218B2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10386" w:type="dxa"/>
              <w:tblLook w:val="04A0" w:firstRow="1" w:lastRow="0" w:firstColumn="1" w:lastColumn="0" w:noHBand="0" w:noVBand="1"/>
            </w:tblPr>
            <w:tblGrid>
              <w:gridCol w:w="3802"/>
              <w:gridCol w:w="1145"/>
              <w:gridCol w:w="1145"/>
              <w:gridCol w:w="2718"/>
            </w:tblGrid>
            <w:tr w:rsidR="00785D85" w:rsidRPr="00785D85" w14:paraId="08AEA094" w14:textId="77777777" w:rsidTr="00785D85">
              <w:trPr>
                <w:trHeight w:val="231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E10C92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3ABF768" w14:textId="77777777" w:rsidR="00785D85" w:rsidRPr="00785D85" w:rsidRDefault="00785D85" w:rsidP="00785D8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3F3DBB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2FE69B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85D85" w:rsidRPr="00785D85" w14:paraId="118C7D27" w14:textId="77777777" w:rsidTr="00785D85">
              <w:trPr>
                <w:trHeight w:val="231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530032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3B3B02" w14:textId="77777777" w:rsidR="00785D85" w:rsidRPr="00785D85" w:rsidRDefault="00785D85" w:rsidP="00785D8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538216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B24EF9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85D85" w:rsidRPr="00785D85" w14:paraId="698D5108" w14:textId="77777777" w:rsidTr="00785D85">
              <w:trPr>
                <w:trHeight w:val="231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A9FAB6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75040523" w14:textId="77777777" w:rsidR="00785D85" w:rsidRPr="00785D85" w:rsidRDefault="00785D85" w:rsidP="00785D8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45F492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C44B66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85D85" w:rsidRPr="00785D85" w14:paraId="75E8F40E" w14:textId="77777777" w:rsidTr="00785D85">
              <w:trPr>
                <w:trHeight w:val="231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6A9CF6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146947" w14:textId="77777777" w:rsidR="00785D85" w:rsidRPr="00785D85" w:rsidRDefault="00785D85" w:rsidP="00785D8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178F73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E713A3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85D85" w:rsidRPr="00785D85" w14:paraId="323414E9" w14:textId="77777777" w:rsidTr="00785D85">
              <w:trPr>
                <w:trHeight w:val="231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E7C4DD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77FB92" w14:textId="77777777" w:rsidR="00785D85" w:rsidRPr="00785D85" w:rsidRDefault="00785D85" w:rsidP="00785D8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FAED19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66C8D9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85D85" w:rsidRPr="00785D85" w14:paraId="03DAF1D6" w14:textId="77777777" w:rsidTr="00785D85">
              <w:trPr>
                <w:trHeight w:val="231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12EDAA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343D04" w14:textId="77777777" w:rsidR="00785D85" w:rsidRPr="00785D85" w:rsidRDefault="00785D85" w:rsidP="00785D8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15AD60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A91D6E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785D85" w:rsidRPr="00785D85" w14:paraId="7E206348" w14:textId="77777777" w:rsidTr="00785D85">
              <w:trPr>
                <w:trHeight w:val="231"/>
              </w:trPr>
              <w:tc>
                <w:tcPr>
                  <w:tcW w:w="4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7C4F4D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FAE510" w14:textId="77777777" w:rsidR="00785D85" w:rsidRPr="00785D85" w:rsidRDefault="00785D85" w:rsidP="00785D8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32511B" w14:textId="77777777" w:rsidR="00785D85" w:rsidRPr="00785D85" w:rsidRDefault="00785D85" w:rsidP="00785D85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5E6A49" w14:textId="77777777" w:rsidR="00785D85" w:rsidRPr="00785D85" w:rsidRDefault="00785D85" w:rsidP="00785D85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785D85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3FBAF24B" w:rsidR="00EB3D1B" w:rsidRDefault="003218B2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617932B5" w:rsidR="001B79E5" w:rsidRDefault="003218B2" w:rsidP="001B79E5">
                <w:pPr>
                  <w:pStyle w:val="Tablefont"/>
                </w:pPr>
                <w:r w:rsidRPr="003218B2">
                  <w:t>308.33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390FC185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3218B2" w:rsidRPr="003218B2">
                  <w:t>12.6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3218B2" w:rsidRPr="003218B2">
                  <w:t>0.0793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4CC323F7" w:rsidR="00687890" w:rsidRPr="004C23F4" w:rsidRDefault="00DD5E71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3F820921" w:rsidR="00E06F40" w:rsidRPr="00A006A0" w:rsidRDefault="00DF0D3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D5E71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0A126DD7" w:rsidR="008E4F1F" w:rsidRDefault="008E4F1F" w:rsidP="008E4F1F">
      <w:pPr>
        <w:rPr>
          <w:b/>
        </w:rPr>
      </w:pPr>
      <w:r w:rsidRPr="002022B6">
        <w:t>Deutsche Forschungsgemeinschaft (DFG)</w:t>
      </w:r>
      <w:r>
        <w:t xml:space="preserve"> (</w:t>
      </w:r>
      <w:r w:rsidR="003218B2">
        <w:t>2011</w:t>
      </w:r>
      <w:r>
        <w:t xml:space="preserve">) </w:t>
      </w:r>
      <w:r w:rsidR="003218B2" w:rsidRPr="003218B2">
        <w:t xml:space="preserve">Warfarin und </w:t>
      </w:r>
      <w:proofErr w:type="spellStart"/>
      <w:r w:rsidR="003218B2" w:rsidRPr="003218B2">
        <w:t>Natriumwarfarin</w:t>
      </w:r>
      <w:proofErr w:type="spellEnd"/>
      <w:r>
        <w:t xml:space="preserve"> – MAK value documentation.</w:t>
      </w:r>
    </w:p>
    <w:p w14:paraId="359C280E" w14:textId="77777777" w:rsidR="005A580E" w:rsidRDefault="005A580E" w:rsidP="005A580E">
      <w:r>
        <w:t xml:space="preserve">European Chemicals Agency (ECHA) (2019) </w:t>
      </w:r>
      <w:r w:rsidRPr="003218B2">
        <w:t>Warfarin</w:t>
      </w:r>
      <w:r>
        <w:t xml:space="preserve"> – REACH assessment.</w:t>
      </w:r>
    </w:p>
    <w:p w14:paraId="28EAA9C1" w14:textId="59FB9114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3218B2" w:rsidRPr="003218B2">
        <w:t>2004</w:t>
      </w:r>
      <w:r>
        <w:t xml:space="preserve">) </w:t>
      </w:r>
      <w:r w:rsidR="003218B2" w:rsidRPr="003218B2">
        <w:t>Warfarin</w:t>
      </w:r>
      <w:r w:rsidRPr="005F7416">
        <w:t xml:space="preserve">. Health-based calculated occupational cancer risk values. The Hague: Health Council of the Netherlands; publication no. </w:t>
      </w:r>
      <w:r w:rsidR="003218B2" w:rsidRPr="003218B2">
        <w:t>2000/15OSH/112</w:t>
      </w:r>
      <w:r>
        <w:t>.</w:t>
      </w:r>
    </w:p>
    <w:p w14:paraId="77EFB18B" w14:textId="0C0F00E0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r w:rsidR="003218B2" w:rsidRPr="003218B2">
        <w:t>1994</w:t>
      </w:r>
      <w:r>
        <w:t xml:space="preserve">) Immediately dangerous to life or health concentrations – </w:t>
      </w:r>
      <w:r w:rsidR="003218B2" w:rsidRPr="003218B2">
        <w:t>Warfarin</w:t>
      </w:r>
      <w:r>
        <w:t>.</w:t>
      </w:r>
    </w:p>
    <w:p w14:paraId="31E7CC2B" w14:textId="4F06AE87" w:rsidR="00010045" w:rsidRPr="00351FE0" w:rsidRDefault="00010045" w:rsidP="00084859">
      <w:r>
        <w:t xml:space="preserve">US Environmental Protection Authority (US EPA) (1987)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Warfarin.</w:t>
      </w:r>
    </w:p>
    <w:sectPr w:rsidR="00010045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EF07" w14:textId="77777777" w:rsidR="00FB55A1" w:rsidRDefault="00FB55A1" w:rsidP="00F43AD5">
      <w:pPr>
        <w:spacing w:after="0" w:line="240" w:lineRule="auto"/>
      </w:pPr>
      <w:r>
        <w:separator/>
      </w:r>
    </w:p>
  </w:endnote>
  <w:endnote w:type="continuationSeparator" w:id="0">
    <w:p w14:paraId="7A3C8173" w14:textId="77777777" w:rsidR="00FB55A1" w:rsidRDefault="00FB55A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60C0" w14:textId="77777777" w:rsidR="00DF0D36" w:rsidRDefault="00DF0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42BA2FA8" w:rsidR="00BA09B6" w:rsidRDefault="00BA09B6" w:rsidP="0034744C">
        <w:pPr>
          <w:pStyle w:val="Footer"/>
          <w:rPr>
            <w:sz w:val="18"/>
            <w:szCs w:val="18"/>
          </w:rPr>
        </w:pPr>
        <w:r w:rsidRPr="00DD0C81">
          <w:rPr>
            <w:b/>
            <w:sz w:val="18"/>
            <w:szCs w:val="18"/>
          </w:rPr>
          <w:t xml:space="preserve">Warfarin </w:t>
        </w:r>
        <w:r>
          <w:rPr>
            <w:b/>
            <w:sz w:val="18"/>
            <w:szCs w:val="18"/>
          </w:rPr>
          <w:t>(</w:t>
        </w:r>
        <w:r w:rsidRPr="00DD0C81">
          <w:rPr>
            <w:b/>
            <w:sz w:val="18"/>
            <w:szCs w:val="18"/>
          </w:rPr>
          <w:t>81-81-2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>
          <w:rPr>
            <w:sz w:val="18"/>
            <w:szCs w:val="18"/>
          </w:rPr>
          <w:t>20</w:t>
        </w:r>
      </w:p>
      <w:p w14:paraId="2D517F5E" w14:textId="1C2852C8" w:rsidR="00BA09B6" w:rsidRPr="00F43AD5" w:rsidRDefault="00BA09B6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621FC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C4EB7" w14:textId="77777777" w:rsidR="00DF0D36" w:rsidRDefault="00DF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B81F2" w14:textId="77777777" w:rsidR="00FB55A1" w:rsidRDefault="00FB55A1" w:rsidP="00F43AD5">
      <w:pPr>
        <w:spacing w:after="0" w:line="240" w:lineRule="auto"/>
      </w:pPr>
      <w:r>
        <w:separator/>
      </w:r>
    </w:p>
  </w:footnote>
  <w:footnote w:type="continuationSeparator" w:id="0">
    <w:p w14:paraId="64D1F661" w14:textId="77777777" w:rsidR="00FB55A1" w:rsidRDefault="00FB55A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50189" w14:textId="77777777" w:rsidR="00DF0D36" w:rsidRDefault="00DF0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80A27" w14:textId="541114B2" w:rsidR="00DF0D36" w:rsidRDefault="00DF0D36" w:rsidP="00DF0D36">
    <w:pPr>
      <w:pStyle w:val="Header"/>
      <w:jc w:val="right"/>
    </w:pPr>
    <w:r>
      <w:pict w14:anchorId="676AB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3B26923" wp14:editId="78C26106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123A736C" w:rsidR="00BA09B6" w:rsidRPr="00DF0D36" w:rsidRDefault="00BA09B6" w:rsidP="00DF0D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5757" w14:textId="77777777" w:rsidR="00DF0D36" w:rsidRDefault="00DF0D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2A43" w14:textId="793117C2" w:rsidR="00DF0D36" w:rsidRDefault="00DF0D36" w:rsidP="00DF0D36">
    <w:pPr>
      <w:pStyle w:val="Header"/>
      <w:jc w:val="right"/>
    </w:pPr>
    <w:r>
      <w:pict w14:anchorId="55CEA1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323D9DF" wp14:editId="45FF962D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BA09B6" w:rsidRDefault="00BA09B6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25B9"/>
    <w:multiLevelType w:val="hybridMultilevel"/>
    <w:tmpl w:val="A1A60E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2F2"/>
    <w:multiLevelType w:val="hybridMultilevel"/>
    <w:tmpl w:val="DCBA8944"/>
    <w:lvl w:ilvl="0" w:tplc="951A8D3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4E4A"/>
    <w:rsid w:val="00007B80"/>
    <w:rsid w:val="00010045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6697"/>
    <w:rsid w:val="00067D2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5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14141"/>
    <w:rsid w:val="001269A7"/>
    <w:rsid w:val="00131092"/>
    <w:rsid w:val="00140E6A"/>
    <w:rsid w:val="00146545"/>
    <w:rsid w:val="00146B75"/>
    <w:rsid w:val="001472A3"/>
    <w:rsid w:val="0015266D"/>
    <w:rsid w:val="0015288A"/>
    <w:rsid w:val="00155219"/>
    <w:rsid w:val="00155999"/>
    <w:rsid w:val="00160F47"/>
    <w:rsid w:val="00177CA1"/>
    <w:rsid w:val="00183823"/>
    <w:rsid w:val="00183942"/>
    <w:rsid w:val="001871C5"/>
    <w:rsid w:val="001915F6"/>
    <w:rsid w:val="00194E74"/>
    <w:rsid w:val="00197481"/>
    <w:rsid w:val="001A009E"/>
    <w:rsid w:val="001A1287"/>
    <w:rsid w:val="001A3859"/>
    <w:rsid w:val="001A3C9D"/>
    <w:rsid w:val="001A43F8"/>
    <w:rsid w:val="001A6FDB"/>
    <w:rsid w:val="001B79E5"/>
    <w:rsid w:val="001D56F0"/>
    <w:rsid w:val="001D663B"/>
    <w:rsid w:val="001D7B41"/>
    <w:rsid w:val="001E416F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33620"/>
    <w:rsid w:val="00244AD1"/>
    <w:rsid w:val="002463BC"/>
    <w:rsid w:val="002465CE"/>
    <w:rsid w:val="0025734A"/>
    <w:rsid w:val="002621FC"/>
    <w:rsid w:val="00263255"/>
    <w:rsid w:val="00263B0A"/>
    <w:rsid w:val="00270DF5"/>
    <w:rsid w:val="00276494"/>
    <w:rsid w:val="00277B0C"/>
    <w:rsid w:val="00291DDC"/>
    <w:rsid w:val="002B0E19"/>
    <w:rsid w:val="002B1A2C"/>
    <w:rsid w:val="002C34F2"/>
    <w:rsid w:val="002C58FF"/>
    <w:rsid w:val="002C7AFE"/>
    <w:rsid w:val="002D05D2"/>
    <w:rsid w:val="002D66A6"/>
    <w:rsid w:val="002E0D61"/>
    <w:rsid w:val="002E10EE"/>
    <w:rsid w:val="002E4C7B"/>
    <w:rsid w:val="0030740C"/>
    <w:rsid w:val="00315833"/>
    <w:rsid w:val="003215EE"/>
    <w:rsid w:val="003218B2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288A"/>
    <w:rsid w:val="003939FF"/>
    <w:rsid w:val="00394922"/>
    <w:rsid w:val="0039534E"/>
    <w:rsid w:val="003A07A6"/>
    <w:rsid w:val="003A0E32"/>
    <w:rsid w:val="003A2B94"/>
    <w:rsid w:val="003B387D"/>
    <w:rsid w:val="003C0D58"/>
    <w:rsid w:val="003D4FA3"/>
    <w:rsid w:val="003E0807"/>
    <w:rsid w:val="003E51FB"/>
    <w:rsid w:val="003E6B39"/>
    <w:rsid w:val="003E7629"/>
    <w:rsid w:val="003F07E1"/>
    <w:rsid w:val="003F70CF"/>
    <w:rsid w:val="004030BC"/>
    <w:rsid w:val="00403F7D"/>
    <w:rsid w:val="00406785"/>
    <w:rsid w:val="004079B4"/>
    <w:rsid w:val="00417A56"/>
    <w:rsid w:val="00420957"/>
    <w:rsid w:val="00422A10"/>
    <w:rsid w:val="00430179"/>
    <w:rsid w:val="0043452B"/>
    <w:rsid w:val="004414B5"/>
    <w:rsid w:val="00444482"/>
    <w:rsid w:val="00444B42"/>
    <w:rsid w:val="00445E44"/>
    <w:rsid w:val="004509E2"/>
    <w:rsid w:val="004515EE"/>
    <w:rsid w:val="004529F0"/>
    <w:rsid w:val="0045694F"/>
    <w:rsid w:val="00460A03"/>
    <w:rsid w:val="00472A11"/>
    <w:rsid w:val="00472AAD"/>
    <w:rsid w:val="00473288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32C8"/>
    <w:rsid w:val="004D4035"/>
    <w:rsid w:val="004D4AA1"/>
    <w:rsid w:val="004D6D68"/>
    <w:rsid w:val="004E5EDD"/>
    <w:rsid w:val="004F448A"/>
    <w:rsid w:val="004F493D"/>
    <w:rsid w:val="004F65E8"/>
    <w:rsid w:val="0050005E"/>
    <w:rsid w:val="00502B88"/>
    <w:rsid w:val="00511882"/>
    <w:rsid w:val="005142C4"/>
    <w:rsid w:val="0051509C"/>
    <w:rsid w:val="005272E2"/>
    <w:rsid w:val="0053108F"/>
    <w:rsid w:val="00532B56"/>
    <w:rsid w:val="00534B10"/>
    <w:rsid w:val="00536427"/>
    <w:rsid w:val="005446A2"/>
    <w:rsid w:val="00544D2F"/>
    <w:rsid w:val="00547F9C"/>
    <w:rsid w:val="00551BD8"/>
    <w:rsid w:val="00563EF2"/>
    <w:rsid w:val="00581055"/>
    <w:rsid w:val="00591E38"/>
    <w:rsid w:val="005A19C5"/>
    <w:rsid w:val="005A3034"/>
    <w:rsid w:val="005A462D"/>
    <w:rsid w:val="005A580E"/>
    <w:rsid w:val="005B253B"/>
    <w:rsid w:val="005B2F47"/>
    <w:rsid w:val="005B771D"/>
    <w:rsid w:val="005C5D16"/>
    <w:rsid w:val="005C7E2F"/>
    <w:rsid w:val="005D3193"/>
    <w:rsid w:val="005D4A6E"/>
    <w:rsid w:val="005E6979"/>
    <w:rsid w:val="005E75CB"/>
    <w:rsid w:val="005E7715"/>
    <w:rsid w:val="006013C1"/>
    <w:rsid w:val="0060669E"/>
    <w:rsid w:val="00610F2E"/>
    <w:rsid w:val="00611399"/>
    <w:rsid w:val="00624C4E"/>
    <w:rsid w:val="00625200"/>
    <w:rsid w:val="00630678"/>
    <w:rsid w:val="006363A8"/>
    <w:rsid w:val="00636DB7"/>
    <w:rsid w:val="00645172"/>
    <w:rsid w:val="00650905"/>
    <w:rsid w:val="006532ED"/>
    <w:rsid w:val="006549F2"/>
    <w:rsid w:val="00655611"/>
    <w:rsid w:val="006567B7"/>
    <w:rsid w:val="00657BFB"/>
    <w:rsid w:val="0066333C"/>
    <w:rsid w:val="006639B4"/>
    <w:rsid w:val="006650FE"/>
    <w:rsid w:val="0067305D"/>
    <w:rsid w:val="006771B4"/>
    <w:rsid w:val="00677D9B"/>
    <w:rsid w:val="0068110E"/>
    <w:rsid w:val="006867F3"/>
    <w:rsid w:val="00687890"/>
    <w:rsid w:val="006901A2"/>
    <w:rsid w:val="00690368"/>
    <w:rsid w:val="0069079C"/>
    <w:rsid w:val="00690B53"/>
    <w:rsid w:val="00695B72"/>
    <w:rsid w:val="006B160A"/>
    <w:rsid w:val="006B1E3D"/>
    <w:rsid w:val="006B4E6C"/>
    <w:rsid w:val="006B50B6"/>
    <w:rsid w:val="006D79EA"/>
    <w:rsid w:val="006E5D05"/>
    <w:rsid w:val="00701053"/>
    <w:rsid w:val="00701507"/>
    <w:rsid w:val="007105CA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7793F"/>
    <w:rsid w:val="00783FB1"/>
    <w:rsid w:val="00785CDD"/>
    <w:rsid w:val="00785D85"/>
    <w:rsid w:val="00791847"/>
    <w:rsid w:val="007925F0"/>
    <w:rsid w:val="007939B3"/>
    <w:rsid w:val="0079509C"/>
    <w:rsid w:val="00796708"/>
    <w:rsid w:val="007A1FE9"/>
    <w:rsid w:val="007B1B42"/>
    <w:rsid w:val="007C25B2"/>
    <w:rsid w:val="007C30EB"/>
    <w:rsid w:val="007C501E"/>
    <w:rsid w:val="007D0BCC"/>
    <w:rsid w:val="007D16F9"/>
    <w:rsid w:val="007E063C"/>
    <w:rsid w:val="007E2A4B"/>
    <w:rsid w:val="007E307D"/>
    <w:rsid w:val="007E3DBF"/>
    <w:rsid w:val="007E6A4E"/>
    <w:rsid w:val="007E6C94"/>
    <w:rsid w:val="007F1005"/>
    <w:rsid w:val="007F25E0"/>
    <w:rsid w:val="007F5328"/>
    <w:rsid w:val="00804F5A"/>
    <w:rsid w:val="00810C6D"/>
    <w:rsid w:val="00812887"/>
    <w:rsid w:val="00825869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5F2E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73B4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7B74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5FD1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50EF"/>
    <w:rsid w:val="00A633D4"/>
    <w:rsid w:val="00A6461A"/>
    <w:rsid w:val="00A84504"/>
    <w:rsid w:val="00A8672F"/>
    <w:rsid w:val="00A93057"/>
    <w:rsid w:val="00A968B0"/>
    <w:rsid w:val="00AB2672"/>
    <w:rsid w:val="00AB2817"/>
    <w:rsid w:val="00AB36EA"/>
    <w:rsid w:val="00AB43C4"/>
    <w:rsid w:val="00AB6078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6C37"/>
    <w:rsid w:val="00B1765C"/>
    <w:rsid w:val="00B213C4"/>
    <w:rsid w:val="00B40C60"/>
    <w:rsid w:val="00B479A9"/>
    <w:rsid w:val="00B52EDF"/>
    <w:rsid w:val="00B53FDE"/>
    <w:rsid w:val="00B71188"/>
    <w:rsid w:val="00B7486D"/>
    <w:rsid w:val="00B76A41"/>
    <w:rsid w:val="00B87D4C"/>
    <w:rsid w:val="00B93646"/>
    <w:rsid w:val="00B954AA"/>
    <w:rsid w:val="00BA09B6"/>
    <w:rsid w:val="00BA0B38"/>
    <w:rsid w:val="00BA1DBB"/>
    <w:rsid w:val="00BA4510"/>
    <w:rsid w:val="00BA529A"/>
    <w:rsid w:val="00BB2F44"/>
    <w:rsid w:val="00BB36DE"/>
    <w:rsid w:val="00BB612A"/>
    <w:rsid w:val="00BD403B"/>
    <w:rsid w:val="00BD499F"/>
    <w:rsid w:val="00BD56DE"/>
    <w:rsid w:val="00BF2406"/>
    <w:rsid w:val="00C06E43"/>
    <w:rsid w:val="00C11133"/>
    <w:rsid w:val="00C13BFE"/>
    <w:rsid w:val="00C16315"/>
    <w:rsid w:val="00C3091E"/>
    <w:rsid w:val="00C40FF1"/>
    <w:rsid w:val="00C419E2"/>
    <w:rsid w:val="00C445AA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10D0"/>
    <w:rsid w:val="00C850A0"/>
    <w:rsid w:val="00C85A86"/>
    <w:rsid w:val="00C86D4D"/>
    <w:rsid w:val="00C921DF"/>
    <w:rsid w:val="00C978F0"/>
    <w:rsid w:val="00CA58FE"/>
    <w:rsid w:val="00CB1CB1"/>
    <w:rsid w:val="00CB6BC1"/>
    <w:rsid w:val="00CB6CB8"/>
    <w:rsid w:val="00CB732F"/>
    <w:rsid w:val="00CC1A68"/>
    <w:rsid w:val="00CC1CDC"/>
    <w:rsid w:val="00CC2123"/>
    <w:rsid w:val="00CC6752"/>
    <w:rsid w:val="00CD2BFD"/>
    <w:rsid w:val="00CE5AD6"/>
    <w:rsid w:val="00CE617F"/>
    <w:rsid w:val="00CE78EF"/>
    <w:rsid w:val="00CF0DBE"/>
    <w:rsid w:val="00CF185C"/>
    <w:rsid w:val="00D048F7"/>
    <w:rsid w:val="00D0517E"/>
    <w:rsid w:val="00D140FC"/>
    <w:rsid w:val="00D21D8C"/>
    <w:rsid w:val="00D26D9C"/>
    <w:rsid w:val="00D31357"/>
    <w:rsid w:val="00D32466"/>
    <w:rsid w:val="00D33220"/>
    <w:rsid w:val="00D334D1"/>
    <w:rsid w:val="00D44C89"/>
    <w:rsid w:val="00D516CD"/>
    <w:rsid w:val="00D56766"/>
    <w:rsid w:val="00D668E6"/>
    <w:rsid w:val="00D70670"/>
    <w:rsid w:val="00D74D80"/>
    <w:rsid w:val="00D76624"/>
    <w:rsid w:val="00D85338"/>
    <w:rsid w:val="00D87570"/>
    <w:rsid w:val="00D87BF7"/>
    <w:rsid w:val="00D91CB9"/>
    <w:rsid w:val="00D97989"/>
    <w:rsid w:val="00D97D8D"/>
    <w:rsid w:val="00DA352E"/>
    <w:rsid w:val="00DC7694"/>
    <w:rsid w:val="00DD0C81"/>
    <w:rsid w:val="00DD1BF6"/>
    <w:rsid w:val="00DD2F9B"/>
    <w:rsid w:val="00DD5E71"/>
    <w:rsid w:val="00DD659A"/>
    <w:rsid w:val="00DE2513"/>
    <w:rsid w:val="00DE26E8"/>
    <w:rsid w:val="00DF0D36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44BD"/>
    <w:rsid w:val="00E46BCB"/>
    <w:rsid w:val="00E51CAF"/>
    <w:rsid w:val="00E60F04"/>
    <w:rsid w:val="00E62AAC"/>
    <w:rsid w:val="00E66EC3"/>
    <w:rsid w:val="00E67C2F"/>
    <w:rsid w:val="00E67EF5"/>
    <w:rsid w:val="00E804EA"/>
    <w:rsid w:val="00E80A71"/>
    <w:rsid w:val="00E82337"/>
    <w:rsid w:val="00E92499"/>
    <w:rsid w:val="00E92E65"/>
    <w:rsid w:val="00E949AF"/>
    <w:rsid w:val="00E96077"/>
    <w:rsid w:val="00EA0A06"/>
    <w:rsid w:val="00EA6243"/>
    <w:rsid w:val="00EA74AB"/>
    <w:rsid w:val="00EB00E4"/>
    <w:rsid w:val="00EB3D1B"/>
    <w:rsid w:val="00EC7263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4BD8"/>
    <w:rsid w:val="00F053FA"/>
    <w:rsid w:val="00F10C97"/>
    <w:rsid w:val="00F11C71"/>
    <w:rsid w:val="00F16019"/>
    <w:rsid w:val="00F20E68"/>
    <w:rsid w:val="00F22093"/>
    <w:rsid w:val="00F236DF"/>
    <w:rsid w:val="00F260F7"/>
    <w:rsid w:val="00F30122"/>
    <w:rsid w:val="00F30DC2"/>
    <w:rsid w:val="00F43AD5"/>
    <w:rsid w:val="00F4402E"/>
    <w:rsid w:val="00F56A33"/>
    <w:rsid w:val="00F56DD0"/>
    <w:rsid w:val="00F62A82"/>
    <w:rsid w:val="00F64330"/>
    <w:rsid w:val="00F6491C"/>
    <w:rsid w:val="00F67BBB"/>
    <w:rsid w:val="00F75B86"/>
    <w:rsid w:val="00F81D5F"/>
    <w:rsid w:val="00F86390"/>
    <w:rsid w:val="00F87D92"/>
    <w:rsid w:val="00F90AA7"/>
    <w:rsid w:val="00F923CA"/>
    <w:rsid w:val="00F92498"/>
    <w:rsid w:val="00F9496B"/>
    <w:rsid w:val="00F96853"/>
    <w:rsid w:val="00F970C9"/>
    <w:rsid w:val="00FA06A8"/>
    <w:rsid w:val="00FA3DF5"/>
    <w:rsid w:val="00FA741F"/>
    <w:rsid w:val="00FB38E5"/>
    <w:rsid w:val="00FB4E07"/>
    <w:rsid w:val="00FB4E12"/>
    <w:rsid w:val="00FB531C"/>
    <w:rsid w:val="00FB55A1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85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D8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D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93F"/>
    <w:rPr>
      <w:b/>
      <w:bCs/>
      <w:szCs w:val="20"/>
    </w:rPr>
  </w:style>
  <w:style w:type="paragraph" w:styleId="Revision">
    <w:name w:val="Revision"/>
    <w:hidden/>
    <w:uiPriority w:val="99"/>
    <w:semiHidden/>
    <w:rsid w:val="009F5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347D16"/>
    <w:rsid w:val="003E0149"/>
    <w:rsid w:val="00755FBF"/>
    <w:rsid w:val="00A87E4F"/>
    <w:rsid w:val="00C94BFA"/>
    <w:rsid w:val="00CA72D3"/>
    <w:rsid w:val="00D21A9F"/>
    <w:rsid w:val="00D87E04"/>
    <w:rsid w:val="00E40283"/>
    <w:rsid w:val="00EA73EB"/>
    <w:rsid w:val="00F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D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F718AB8A05B84CA89962DB25AFBBFE54">
    <w:name w:val="F718AB8A05B84CA89962DB25AFBBFE54"/>
    <w:rsid w:val="00C94BFA"/>
  </w:style>
  <w:style w:type="paragraph" w:customStyle="1" w:styleId="A38FA1128C314CC1909E89416E6CC39E">
    <w:name w:val="A38FA1128C314CC1909E89416E6CC39E"/>
    <w:rsid w:val="00C94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8575-B20A-44A7-84F3-9D14C219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37F71-1626-4E32-A2E1-B37CBFC16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E32F1-BAF1-4C56-8421-A5993E85C109}">
  <ds:schemaRefs>
    <ds:schemaRef ds:uri="http://purl.org/dc/terms/"/>
    <ds:schemaRef ds:uri="http://www.w3.org/XML/1998/namespace"/>
    <ds:schemaRef ds:uri="http://purl.org/dc/elements/1.1/"/>
    <ds:schemaRef ds:uri="bf54d604-3e62-4e70-ba33-9e9084b96a66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54582E-90BE-4AEF-AB0D-AD478C3C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2020-05-29T03:06:00Z</dcterms:created>
  <dcterms:modified xsi:type="dcterms:W3CDTF">2020-07-21T02:05:00Z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