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2BAF446" w:rsidR="00BD499F" w:rsidRPr="004C23F4" w:rsidRDefault="005D32B1" w:rsidP="00B518F4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Wood dust</w:t>
          </w:r>
          <w:r w:rsidR="00FA594A">
            <w:rPr>
              <w:rFonts w:ascii="Arial" w:hAnsi="Arial" w:cs="Arial"/>
            </w:rPr>
            <w:t>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F43AD5" w:rsidRPr="004C23F4" w14:paraId="189D6E38" w14:textId="77777777" w:rsidTr="00BE3D0E">
        <w:trPr>
          <w:cantSplit/>
          <w:tblHeader/>
        </w:trPr>
        <w:tc>
          <w:tcPr>
            <w:tcW w:w="399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29" w:type="dxa"/>
          </w:tcPr>
          <w:p w14:paraId="3EDBFD9E" w14:textId="258CC16B" w:rsidR="00F43AD5" w:rsidRPr="00717D45" w:rsidRDefault="003B5F8A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562A9F51" w14:textId="77777777" w:rsidTr="00BE3D0E">
        <w:trPr>
          <w:cantSplit/>
        </w:trPr>
        <w:tc>
          <w:tcPr>
            <w:tcW w:w="399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29" w:type="dxa"/>
          </w:tcPr>
          <w:p w14:paraId="32648AB9" w14:textId="38E09294" w:rsidR="00F43AD5" w:rsidRPr="00717D45" w:rsidRDefault="003B5F8A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6EE54A08" w14:textId="77777777" w:rsidTr="00BE3D0E">
        <w:trPr>
          <w:cantSplit/>
        </w:trPr>
        <w:tc>
          <w:tcPr>
            <w:tcW w:w="399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29" w:type="dxa"/>
          </w:tcPr>
          <w:p w14:paraId="69369B00" w14:textId="28ACDB2E" w:rsidR="00F43AD5" w:rsidRPr="00717D45" w:rsidRDefault="003B5F8A" w:rsidP="00B76A41">
            <w:pPr>
              <w:pStyle w:val="Tablefont"/>
            </w:pPr>
            <w:r>
              <w:t>—</w:t>
            </w:r>
          </w:p>
        </w:tc>
      </w:tr>
    </w:tbl>
    <w:p w14:paraId="71D72173" w14:textId="7C6BB1D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02FA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06DB2244" w:rsidR="002C7AFE" w:rsidRPr="003264E8" w:rsidRDefault="003264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38D21DFA" w:rsidR="00037E52" w:rsidRPr="00EB3D1B" w:rsidRDefault="003264E8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Sk., RSEN, DSEN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225C2A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C169FB8" w:rsidR="00155999" w:rsidRPr="00EB3D1B" w:rsidRDefault="00155999" w:rsidP="00037E52">
            <w:pPr>
              <w:pStyle w:val="Tablefont"/>
              <w:rPr>
                <w:b/>
              </w:rPr>
            </w:pPr>
            <w:r w:rsidRPr="00EC081C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C081C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6F8822FE" w:rsidR="006639B4" w:rsidRDefault="00797415" w:rsidP="000C139A">
      <w:pPr>
        <w:rPr>
          <w:rFonts w:cs="Arial"/>
        </w:rPr>
      </w:pPr>
      <w:r w:rsidRPr="00797415">
        <w:rPr>
          <w:rFonts w:cs="Arial"/>
        </w:rPr>
        <w:t xml:space="preserve">A TWA of </w:t>
      </w:r>
      <w:r>
        <w:rPr>
          <w:rFonts w:cs="Arial"/>
        </w:rPr>
        <w:t>0.5</w:t>
      </w:r>
      <w:r w:rsidRPr="00797415">
        <w:rPr>
          <w:rFonts w:cs="Arial"/>
        </w:rPr>
        <w:t xml:space="preserve"> mg/</w:t>
      </w:r>
      <w:r w:rsidRPr="003264E8">
        <w:rPr>
          <w:rFonts w:cs="Arial"/>
        </w:rPr>
        <w:t>m</w:t>
      </w:r>
      <w:r w:rsidRPr="003264E8">
        <w:rPr>
          <w:rFonts w:cs="Arial"/>
          <w:vertAlign w:val="superscript"/>
        </w:rPr>
        <w:t>3</w:t>
      </w:r>
      <w:r w:rsidR="003264E8">
        <w:rPr>
          <w:rFonts w:cs="Arial"/>
        </w:rPr>
        <w:t xml:space="preserve"> </w:t>
      </w:r>
      <w:r w:rsidRPr="003264E8">
        <w:rPr>
          <w:rFonts w:cs="Arial"/>
        </w:rPr>
        <w:t>is</w:t>
      </w:r>
      <w:r w:rsidRPr="00797415">
        <w:rPr>
          <w:rFonts w:cs="Arial"/>
        </w:rPr>
        <w:t xml:space="preserve"> </w:t>
      </w:r>
      <w:r>
        <w:rPr>
          <w:rFonts w:cs="Arial"/>
        </w:rPr>
        <w:t>recommended</w:t>
      </w:r>
      <w:r w:rsidRPr="00797415">
        <w:rPr>
          <w:rFonts w:cs="Arial"/>
        </w:rPr>
        <w:t xml:space="preserve"> to protect for </w:t>
      </w:r>
      <w:r w:rsidR="003264E8">
        <w:rPr>
          <w:rFonts w:cs="Arial"/>
        </w:rPr>
        <w:t>asthma, lung function impairment and respiratory tract irritation</w:t>
      </w:r>
      <w:r w:rsidR="003264E8" w:rsidRPr="00797415">
        <w:rPr>
          <w:rFonts w:cs="Arial"/>
        </w:rPr>
        <w:t xml:space="preserve"> </w:t>
      </w:r>
      <w:r w:rsidRPr="00797415">
        <w:rPr>
          <w:rFonts w:cs="Arial"/>
        </w:rPr>
        <w:t>in exposed workers</w:t>
      </w:r>
      <w:r w:rsidR="003264E8">
        <w:rPr>
          <w:rFonts w:cs="Arial"/>
        </w:rPr>
        <w:t>.</w:t>
      </w:r>
    </w:p>
    <w:p w14:paraId="0CFF4C48" w14:textId="49B28197" w:rsidR="00BE3D0E" w:rsidRPr="004C23F4" w:rsidRDefault="00BE3D0E" w:rsidP="000C139A">
      <w:pPr>
        <w:rPr>
          <w:rFonts w:cs="Arial"/>
        </w:rPr>
      </w:pPr>
      <w:r>
        <w:rPr>
          <w:rFonts w:cs="Arial"/>
        </w:rPr>
        <w:t>There are insufficient health-based data to recommend a STEL. The previous STEL of 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for softwood dusts is recommended to be withdrawn.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AF6C047" w14:textId="189B397B" w:rsidR="006639B4" w:rsidRDefault="00DA14D6" w:rsidP="006639B4">
      <w:pPr>
        <w:rPr>
          <w:rFonts w:cs="Arial"/>
        </w:rPr>
      </w:pPr>
      <w:r>
        <w:rPr>
          <w:rFonts w:cs="Arial"/>
        </w:rPr>
        <w:t xml:space="preserve">The characteristics of different woods, e.g. </w:t>
      </w:r>
      <w:r w:rsidR="003264E8">
        <w:rPr>
          <w:rFonts w:cs="Arial"/>
        </w:rPr>
        <w:t>hard-</w:t>
      </w:r>
      <w:r>
        <w:rPr>
          <w:rFonts w:cs="Arial"/>
        </w:rPr>
        <w:t xml:space="preserve"> or softwood types, depend on the species of tree from which they are produced</w:t>
      </w:r>
      <w:r w:rsidR="008441E4">
        <w:rPr>
          <w:rFonts w:cs="Arial"/>
        </w:rPr>
        <w:t>.</w:t>
      </w:r>
      <w:r>
        <w:rPr>
          <w:rFonts w:cs="Arial"/>
        </w:rPr>
        <w:t xml:space="preserve"> </w:t>
      </w:r>
      <w:r w:rsidR="008441E4">
        <w:rPr>
          <w:rFonts w:cs="Arial"/>
        </w:rPr>
        <w:t>D</w:t>
      </w:r>
      <w:r>
        <w:rPr>
          <w:rFonts w:cs="Arial"/>
        </w:rPr>
        <w:t>ifferent types of wood are commonly encountered together during processing</w:t>
      </w:r>
      <w:r w:rsidR="003264E8">
        <w:rPr>
          <w:rFonts w:cs="Arial"/>
        </w:rPr>
        <w:t xml:space="preserve"> (ACGIH, 2018)</w:t>
      </w:r>
      <w:r>
        <w:rPr>
          <w:rFonts w:cs="Arial"/>
        </w:rPr>
        <w:t xml:space="preserve">. </w:t>
      </w:r>
      <w:r w:rsidR="0059356B">
        <w:rPr>
          <w:rFonts w:cs="Arial"/>
        </w:rPr>
        <w:t xml:space="preserve">Wood dust exposure occurs primarily </w:t>
      </w:r>
      <w:r>
        <w:rPr>
          <w:rFonts w:cs="Arial"/>
        </w:rPr>
        <w:t>in</w:t>
      </w:r>
      <w:r w:rsidR="0059356B">
        <w:rPr>
          <w:rFonts w:cs="Arial"/>
        </w:rPr>
        <w:t xml:space="preserve"> processing industries including logging operations, sawmills, pulp mills, and furniture, cabinet, and other wood product manufactories.</w:t>
      </w:r>
      <w:r w:rsidR="00B32961">
        <w:rPr>
          <w:rFonts w:cs="Arial"/>
        </w:rPr>
        <w:t xml:space="preserve"> </w:t>
      </w:r>
    </w:p>
    <w:p w14:paraId="21D95EF0" w14:textId="54B3641B" w:rsidR="0059356B" w:rsidRDefault="00B32961" w:rsidP="006639B4">
      <w:pPr>
        <w:rPr>
          <w:rFonts w:cs="Arial"/>
        </w:rPr>
      </w:pPr>
      <w:r>
        <w:rPr>
          <w:rFonts w:cs="Arial"/>
        </w:rPr>
        <w:t xml:space="preserve">Critical effects of exposure </w:t>
      </w:r>
      <w:r w:rsidR="0059356B">
        <w:rPr>
          <w:rFonts w:cs="Arial"/>
        </w:rPr>
        <w:t xml:space="preserve">are lung function impairment, </w:t>
      </w:r>
      <w:r w:rsidR="00CA437F">
        <w:rPr>
          <w:rFonts w:cs="Arial"/>
        </w:rPr>
        <w:t>chronic respiratory symptoms</w:t>
      </w:r>
      <w:r w:rsidR="0059356B">
        <w:rPr>
          <w:rFonts w:cs="Arial"/>
        </w:rPr>
        <w:t>,</w:t>
      </w:r>
      <w:r w:rsidR="00CA437F">
        <w:rPr>
          <w:rFonts w:cs="Arial"/>
        </w:rPr>
        <w:t xml:space="preserve"> respiratory irritation</w:t>
      </w:r>
      <w:r w:rsidR="0059356B">
        <w:rPr>
          <w:rFonts w:cs="Arial"/>
        </w:rPr>
        <w:t xml:space="preserve"> and, for </w:t>
      </w:r>
      <w:r w:rsidR="00CA437F">
        <w:rPr>
          <w:rFonts w:cs="Arial"/>
        </w:rPr>
        <w:t xml:space="preserve">wood </w:t>
      </w:r>
      <w:r w:rsidR="0059356B">
        <w:rPr>
          <w:rFonts w:cs="Arial"/>
        </w:rPr>
        <w:t xml:space="preserve">dusts from some </w:t>
      </w:r>
      <w:r w:rsidR="00CA437F">
        <w:rPr>
          <w:rFonts w:cs="Arial"/>
        </w:rPr>
        <w:t xml:space="preserve">tree </w:t>
      </w:r>
      <w:r w:rsidR="0059356B">
        <w:rPr>
          <w:rFonts w:cs="Arial"/>
        </w:rPr>
        <w:t>species, asthma and dermal and respiratory sensitisation.</w:t>
      </w:r>
    </w:p>
    <w:p w14:paraId="50BFE94F" w14:textId="3B6F43DD" w:rsidR="0059356B" w:rsidRDefault="00B32961" w:rsidP="006639B4">
      <w:pPr>
        <w:rPr>
          <w:rFonts w:cs="Arial"/>
        </w:rPr>
      </w:pPr>
      <w:r>
        <w:rPr>
          <w:rFonts w:cs="Arial"/>
        </w:rPr>
        <w:t>Epidemiological data regarding occupational exposure are extensive</w:t>
      </w:r>
      <w:r w:rsidR="009837D3">
        <w:rPr>
          <w:rFonts w:cs="Arial"/>
        </w:rPr>
        <w:t>. However,</w:t>
      </w:r>
      <w:r>
        <w:rPr>
          <w:rFonts w:cs="Arial"/>
        </w:rPr>
        <w:t xml:space="preserve"> </w:t>
      </w:r>
      <w:r w:rsidR="00B356D6">
        <w:rPr>
          <w:rFonts w:cs="Arial"/>
        </w:rPr>
        <w:t>air concentrations associated with the onset of</w:t>
      </w:r>
      <w:r w:rsidR="0059356B">
        <w:rPr>
          <w:rFonts w:cs="Arial"/>
        </w:rPr>
        <w:t xml:space="preserve"> </w:t>
      </w:r>
      <w:r w:rsidR="00750571">
        <w:rPr>
          <w:rFonts w:cs="Arial"/>
        </w:rPr>
        <w:t xml:space="preserve">decreased pulmonary function </w:t>
      </w:r>
      <w:r>
        <w:rPr>
          <w:rFonts w:cs="Arial"/>
        </w:rPr>
        <w:t xml:space="preserve">and the development of occupational asthma </w:t>
      </w:r>
      <w:r w:rsidR="00750571">
        <w:rPr>
          <w:rFonts w:cs="Arial"/>
        </w:rPr>
        <w:t>are</w:t>
      </w:r>
      <w:r>
        <w:rPr>
          <w:rFonts w:cs="Arial"/>
        </w:rPr>
        <w:t xml:space="preserve"> </w:t>
      </w:r>
      <w:r w:rsidR="009837D3">
        <w:rPr>
          <w:rFonts w:cs="Arial"/>
        </w:rPr>
        <w:t>inconsistent</w:t>
      </w:r>
      <w:r w:rsidR="00BE3D0E">
        <w:rPr>
          <w:rFonts w:cs="Arial"/>
        </w:rPr>
        <w:t>,</w:t>
      </w:r>
      <w:r w:rsidR="00B356D6">
        <w:rPr>
          <w:rFonts w:cs="Arial"/>
        </w:rPr>
        <w:t xml:space="preserve"> </w:t>
      </w:r>
      <w:r w:rsidR="00CA437F">
        <w:rPr>
          <w:rFonts w:cs="Arial"/>
        </w:rPr>
        <w:t>ranging</w:t>
      </w:r>
      <w:r w:rsidR="00B356D6">
        <w:rPr>
          <w:rFonts w:cs="Arial"/>
        </w:rPr>
        <w:t xml:space="preserve"> </w:t>
      </w:r>
      <w:r w:rsidR="006F7DE9">
        <w:rPr>
          <w:rFonts w:cs="Arial"/>
        </w:rPr>
        <w:t xml:space="preserve">approximately </w:t>
      </w:r>
      <w:r w:rsidR="00B356D6">
        <w:rPr>
          <w:rFonts w:cs="Arial"/>
        </w:rPr>
        <w:t>between 1.4 and 5.7 mg/m</w:t>
      </w:r>
      <w:r w:rsidR="00B356D6">
        <w:rPr>
          <w:rFonts w:cs="Arial"/>
          <w:vertAlign w:val="superscript"/>
        </w:rPr>
        <w:t>3</w:t>
      </w:r>
      <w:r w:rsidR="00B356D6">
        <w:rPr>
          <w:rFonts w:cs="Arial"/>
        </w:rPr>
        <w:t xml:space="preserve"> inhalable dust</w:t>
      </w:r>
      <w:r w:rsidR="00FA594A">
        <w:rPr>
          <w:rFonts w:cs="Arial"/>
        </w:rPr>
        <w:t xml:space="preserve"> (ACGIH, 2018)</w:t>
      </w:r>
      <w:r w:rsidR="00B356D6">
        <w:rPr>
          <w:rFonts w:cs="Arial"/>
        </w:rPr>
        <w:t>. This discrepancy is</w:t>
      </w:r>
      <w:r w:rsidR="009837D3">
        <w:rPr>
          <w:rFonts w:cs="Arial"/>
        </w:rPr>
        <w:t xml:space="preserve"> possibly due to differences in the age, </w:t>
      </w:r>
      <w:r w:rsidR="00933A99">
        <w:rPr>
          <w:rFonts w:cs="Arial"/>
        </w:rPr>
        <w:t xml:space="preserve">chemical </w:t>
      </w:r>
      <w:r w:rsidR="009837D3">
        <w:rPr>
          <w:rFonts w:cs="Arial"/>
        </w:rPr>
        <w:t>composition</w:t>
      </w:r>
      <w:r w:rsidR="00933A99">
        <w:rPr>
          <w:rFonts w:cs="Arial"/>
        </w:rPr>
        <w:t xml:space="preserve"> (e.g. oils/extracts)</w:t>
      </w:r>
      <w:r w:rsidR="008441E4">
        <w:rPr>
          <w:rFonts w:cs="Arial"/>
        </w:rPr>
        <w:t>,</w:t>
      </w:r>
      <w:r w:rsidR="00B356D6">
        <w:rPr>
          <w:rFonts w:cs="Arial"/>
        </w:rPr>
        <w:t xml:space="preserve"> species of wood, </w:t>
      </w:r>
      <w:r w:rsidR="009837D3">
        <w:rPr>
          <w:rFonts w:cs="Arial"/>
        </w:rPr>
        <w:t>parti</w:t>
      </w:r>
      <w:r w:rsidR="00B356D6">
        <w:rPr>
          <w:rFonts w:cs="Arial"/>
        </w:rPr>
        <w:t>cle size of the measured dusts and sampling methodology</w:t>
      </w:r>
      <w:r w:rsidR="00FA594A">
        <w:rPr>
          <w:rFonts w:cs="Arial"/>
        </w:rPr>
        <w:t xml:space="preserve"> (ACGIH, 2018)</w:t>
      </w:r>
      <w:r w:rsidR="00B356D6">
        <w:rPr>
          <w:rFonts w:cs="Arial"/>
        </w:rPr>
        <w:t xml:space="preserve">. </w:t>
      </w:r>
      <w:r w:rsidR="007D5DFF">
        <w:rPr>
          <w:rFonts w:cs="Arial"/>
        </w:rPr>
        <w:t xml:space="preserve">Data </w:t>
      </w:r>
      <w:r w:rsidR="00BE3D0E">
        <w:rPr>
          <w:rFonts w:cs="Arial"/>
        </w:rPr>
        <w:t xml:space="preserve">about </w:t>
      </w:r>
      <w:r w:rsidR="007D5DFF">
        <w:rPr>
          <w:rFonts w:cs="Arial"/>
        </w:rPr>
        <w:t>the</w:t>
      </w:r>
      <w:r w:rsidR="00B356D6">
        <w:rPr>
          <w:rFonts w:cs="Arial"/>
        </w:rPr>
        <w:t xml:space="preserve"> effects of occupational exposure to western red cedar </w:t>
      </w:r>
      <w:r w:rsidR="007D5DFF">
        <w:rPr>
          <w:rFonts w:cs="Arial"/>
        </w:rPr>
        <w:t>specifically</w:t>
      </w:r>
      <w:r w:rsidR="00BE3D0E">
        <w:rPr>
          <w:rFonts w:cs="Arial"/>
        </w:rPr>
        <w:t>,</w:t>
      </w:r>
      <w:r w:rsidR="007D5DFF">
        <w:rPr>
          <w:rFonts w:cs="Arial"/>
        </w:rPr>
        <w:t xml:space="preserve"> are less conflicting and indicate a threshold for decreased pulmonary function and occupational asthma </w:t>
      </w:r>
      <w:r w:rsidR="00CA437F">
        <w:rPr>
          <w:rFonts w:cs="Arial"/>
        </w:rPr>
        <w:t>between 0.5 and 1 mg/m</w:t>
      </w:r>
      <w:r w:rsidR="00CA437F">
        <w:rPr>
          <w:rFonts w:cs="Arial"/>
          <w:vertAlign w:val="superscript"/>
        </w:rPr>
        <w:t>3</w:t>
      </w:r>
      <w:r w:rsidR="00FA594A">
        <w:rPr>
          <w:rFonts w:cs="Arial"/>
        </w:rPr>
        <w:t xml:space="preserve"> (ACGIH, 2018)</w:t>
      </w:r>
      <w:r w:rsidR="00CA437F">
        <w:rPr>
          <w:rFonts w:cs="Arial"/>
        </w:rPr>
        <w:t>. Decreased pulmonary function, chronic respiratory symptoms and eye and throat irritation are associated with inhalable dust concentrations of 3.2 and 4.8 mg/m</w:t>
      </w:r>
      <w:r w:rsidR="00CA437F">
        <w:rPr>
          <w:rFonts w:cs="Arial"/>
          <w:vertAlign w:val="superscript"/>
        </w:rPr>
        <w:t>3</w:t>
      </w:r>
      <w:r w:rsidR="00CA437F">
        <w:rPr>
          <w:rFonts w:cs="Arial"/>
        </w:rPr>
        <w:t xml:space="preserve"> in Australian sawmill workers and joiners exposed to a variety of wood types in one study</w:t>
      </w:r>
      <w:r w:rsidR="00FA594A">
        <w:rPr>
          <w:rFonts w:cs="Arial"/>
        </w:rPr>
        <w:t xml:space="preserve"> (ACGIH, 2018)</w:t>
      </w:r>
      <w:r w:rsidR="00DA14D6">
        <w:rPr>
          <w:rFonts w:cs="Arial"/>
        </w:rPr>
        <w:t>. Cases of</w:t>
      </w:r>
      <w:r w:rsidR="00A30CB8">
        <w:rPr>
          <w:rFonts w:cs="Arial"/>
        </w:rPr>
        <w:t xml:space="preserve"> occupationally induced </w:t>
      </w:r>
      <w:r w:rsidR="00DA14D6">
        <w:rPr>
          <w:rFonts w:cs="Arial"/>
        </w:rPr>
        <w:t xml:space="preserve">contact dermatitis </w:t>
      </w:r>
      <w:r w:rsidR="00A30CB8">
        <w:rPr>
          <w:rFonts w:cs="Arial"/>
        </w:rPr>
        <w:t xml:space="preserve">are reported in several studies </w:t>
      </w:r>
      <w:r w:rsidR="00BE3D0E">
        <w:rPr>
          <w:rFonts w:cs="Arial"/>
        </w:rPr>
        <w:t>in</w:t>
      </w:r>
      <w:r w:rsidR="00A30CB8">
        <w:rPr>
          <w:rFonts w:cs="Arial"/>
        </w:rPr>
        <w:t xml:space="preserve"> </w:t>
      </w:r>
      <w:r w:rsidR="00A30CB8">
        <w:rPr>
          <w:rFonts w:cs="Arial"/>
        </w:rPr>
        <w:lastRenderedPageBreak/>
        <w:t>workers exposed to woods of different tree species</w:t>
      </w:r>
      <w:r w:rsidR="000E33E8">
        <w:rPr>
          <w:rFonts w:cs="Arial"/>
        </w:rPr>
        <w:t xml:space="preserve"> (ACGIH, 2018; DFG, 20</w:t>
      </w:r>
      <w:r w:rsidR="00BC43F3">
        <w:rPr>
          <w:rFonts w:cs="Arial"/>
        </w:rPr>
        <w:t>18</w:t>
      </w:r>
      <w:r w:rsidR="000E33E8">
        <w:rPr>
          <w:rFonts w:cs="Arial"/>
        </w:rPr>
        <w:t>).</w:t>
      </w:r>
      <w:r w:rsidR="00933A99">
        <w:rPr>
          <w:rFonts w:cs="Arial"/>
        </w:rPr>
        <w:t xml:space="preserve"> Sensitisation potential depends largely on the chemical composition of individual wood species (DFG, 2002).</w:t>
      </w:r>
    </w:p>
    <w:p w14:paraId="1A2F3ABF" w14:textId="0FEDBCB4" w:rsidR="00312F1B" w:rsidRDefault="003D7C00" w:rsidP="006639B4">
      <w:pPr>
        <w:rPr>
          <w:rFonts w:cs="Arial"/>
        </w:rPr>
      </w:pPr>
      <w:r>
        <w:rPr>
          <w:rFonts w:cs="Arial"/>
        </w:rPr>
        <w:t>O</w:t>
      </w:r>
      <w:r w:rsidR="000E33E8">
        <w:rPr>
          <w:rFonts w:cs="Arial"/>
        </w:rPr>
        <w:t xml:space="preserve">ccupational exposure </w:t>
      </w:r>
      <w:r>
        <w:rPr>
          <w:rFonts w:cs="Arial"/>
        </w:rPr>
        <w:t xml:space="preserve">is causally associated </w:t>
      </w:r>
      <w:r w:rsidR="000E33E8">
        <w:rPr>
          <w:rFonts w:cs="Arial"/>
        </w:rPr>
        <w:t>with cancer of the nasal cavity and paranasal sinuses in the available epidemiological data</w:t>
      </w:r>
      <w:r w:rsidR="00FA594A">
        <w:rPr>
          <w:rFonts w:cs="Arial"/>
        </w:rPr>
        <w:t xml:space="preserve"> (ACGIH, 2018; DFG, 2002; IARC, 2012)</w:t>
      </w:r>
      <w:r w:rsidR="000E33E8">
        <w:rPr>
          <w:rFonts w:cs="Arial"/>
        </w:rPr>
        <w:t>. These data indicate a threshold for carcinogenicity exists</w:t>
      </w:r>
      <w:r w:rsidR="00FA594A" w:rsidRPr="00FA594A">
        <w:rPr>
          <w:rFonts w:cs="Arial"/>
        </w:rPr>
        <w:t xml:space="preserve"> </w:t>
      </w:r>
      <w:r w:rsidR="00FA594A">
        <w:rPr>
          <w:rFonts w:cs="Arial"/>
        </w:rPr>
        <w:t>based on qualitative dose-response information</w:t>
      </w:r>
      <w:r w:rsidR="000E33E8">
        <w:rPr>
          <w:rFonts w:cs="Arial"/>
        </w:rPr>
        <w:t xml:space="preserve">, but are insufficient </w:t>
      </w:r>
      <w:r w:rsidR="00FA594A">
        <w:rPr>
          <w:rFonts w:cs="Arial"/>
        </w:rPr>
        <w:t>to quantify a NOAEC</w:t>
      </w:r>
      <w:r w:rsidR="003264E8">
        <w:rPr>
          <w:rFonts w:cs="Arial"/>
        </w:rPr>
        <w:t xml:space="preserve"> for this endpoint</w:t>
      </w:r>
      <w:r w:rsidR="00312F1B">
        <w:rPr>
          <w:rFonts w:cs="Arial"/>
        </w:rPr>
        <w:t xml:space="preserve">. Case studies </w:t>
      </w:r>
      <w:r w:rsidR="00BE3D0E">
        <w:rPr>
          <w:rFonts w:cs="Arial"/>
        </w:rPr>
        <w:t>in</w:t>
      </w:r>
      <w:r w:rsidR="00312F1B">
        <w:rPr>
          <w:rFonts w:cs="Arial"/>
        </w:rPr>
        <w:t xml:space="preserve"> furniture manufacturers strongly associate incidence of nasal cavity cancers with exposure to beech and oak wood dust specifically (ACGIH, 2018; IARC, 1995). Association between exposure to other wood dusts and cancer is</w:t>
      </w:r>
      <w:r w:rsidR="003264E8">
        <w:rPr>
          <w:rFonts w:cs="Arial"/>
        </w:rPr>
        <w:t xml:space="preserve"> suggested, but</w:t>
      </w:r>
      <w:r w:rsidR="00312F1B">
        <w:rPr>
          <w:rFonts w:cs="Arial"/>
        </w:rPr>
        <w:t xml:space="preserve"> less conclusive (ACGIH, 2018).</w:t>
      </w:r>
    </w:p>
    <w:p w14:paraId="10FCDEBC" w14:textId="09EC88D5" w:rsidR="003264E8" w:rsidRDefault="003264E8" w:rsidP="006639B4">
      <w:pPr>
        <w:rPr>
          <w:rFonts w:cs="Arial"/>
        </w:rPr>
      </w:pPr>
      <w:r>
        <w:rPr>
          <w:rFonts w:cs="Arial"/>
        </w:rPr>
        <w:t xml:space="preserve">Based on </w:t>
      </w:r>
      <w:r w:rsidR="00312F1B">
        <w:rPr>
          <w:rFonts w:cs="Arial"/>
        </w:rPr>
        <w:t xml:space="preserve">the available epidemiological data, </w:t>
      </w:r>
      <w:r w:rsidR="00E16E86">
        <w:rPr>
          <w:rFonts w:cs="Arial"/>
        </w:rPr>
        <w:t>ACGIH (2018) recommends a TLV-TWA of 0.5 mg/m</w:t>
      </w:r>
      <w:r w:rsidR="00E16E86">
        <w:rPr>
          <w:rFonts w:cs="Arial"/>
          <w:vertAlign w:val="superscript"/>
        </w:rPr>
        <w:t>3</w:t>
      </w:r>
      <w:r w:rsidR="00E16E86">
        <w:rPr>
          <w:rFonts w:cs="Arial"/>
        </w:rPr>
        <w:t xml:space="preserve"> for western red cedar to protect for asthma and a TLV-TWA of 1 mg/m</w:t>
      </w:r>
      <w:r w:rsidR="00E16E86">
        <w:rPr>
          <w:rFonts w:cs="Arial"/>
          <w:vertAlign w:val="superscript"/>
        </w:rPr>
        <w:t>3</w:t>
      </w:r>
      <w:r w:rsidR="00E16E86">
        <w:rPr>
          <w:rFonts w:cs="Arial"/>
        </w:rPr>
        <w:t xml:space="preserve"> for wood dust from all other tree species to protect for lung function impairment and respiratory irritation. DFG (2002) does not recommend a MAK due to a lack of a threshold for carcinogenic activity. Cases of occupational asthma are reported for exposure to wood dust from tree species other than western red cedar and ACGIH (2018) </w:t>
      </w:r>
      <w:r w:rsidR="00BA1045">
        <w:rPr>
          <w:rFonts w:cs="Arial"/>
        </w:rPr>
        <w:t>advises</w:t>
      </w:r>
      <w:r w:rsidR="00E16E86">
        <w:rPr>
          <w:rFonts w:cs="Arial"/>
        </w:rPr>
        <w:t xml:space="preserve"> consideration of the TLV-TWA of 0.5 mg/m</w:t>
      </w:r>
      <w:r w:rsidR="00E16E86">
        <w:rPr>
          <w:rFonts w:cs="Arial"/>
          <w:vertAlign w:val="superscript"/>
        </w:rPr>
        <w:t>3</w:t>
      </w:r>
      <w:r w:rsidR="00E16E86">
        <w:rPr>
          <w:rFonts w:cs="Arial"/>
        </w:rPr>
        <w:t xml:space="preserve"> in cases where the potential for </w:t>
      </w:r>
      <w:r w:rsidR="00BA1045">
        <w:rPr>
          <w:rFonts w:cs="Arial"/>
        </w:rPr>
        <w:t xml:space="preserve">development of </w:t>
      </w:r>
      <w:r w:rsidR="00E16E86">
        <w:rPr>
          <w:rFonts w:cs="Arial"/>
        </w:rPr>
        <w:t xml:space="preserve">asthma is not </w:t>
      </w:r>
      <w:r>
        <w:rPr>
          <w:rFonts w:cs="Arial"/>
        </w:rPr>
        <w:t>excluded</w:t>
      </w:r>
      <w:r w:rsidR="00E16E86">
        <w:rPr>
          <w:rFonts w:cs="Arial"/>
        </w:rPr>
        <w:t xml:space="preserve">. </w:t>
      </w:r>
    </w:p>
    <w:p w14:paraId="56C0611E" w14:textId="231CC492" w:rsidR="00902FA2" w:rsidRDefault="00E16E86" w:rsidP="006639B4">
      <w:pPr>
        <w:rPr>
          <w:rFonts w:cs="Arial"/>
        </w:rPr>
      </w:pPr>
      <w:r>
        <w:rPr>
          <w:rFonts w:cs="Arial"/>
        </w:rPr>
        <w:t>In view of the qualitative evidence for asthma from other wood types,</w:t>
      </w:r>
      <w:r w:rsidR="00BA1045">
        <w:rPr>
          <w:rFonts w:cs="Arial"/>
        </w:rPr>
        <w:t xml:space="preserve"> likely co-exposure to dusts from different tree species in occupational settings, and uncertainty in the database</w:t>
      </w:r>
      <w:r w:rsidR="003264E8">
        <w:rPr>
          <w:rFonts w:cs="Arial"/>
        </w:rPr>
        <w:t xml:space="preserve"> regarding a threshold for carcinogenicity</w:t>
      </w:r>
      <w:r>
        <w:rPr>
          <w:rFonts w:cs="Arial"/>
        </w:rPr>
        <w:t>, a TWA of 0.5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for exposure to all wood dusts</w:t>
      </w:r>
      <w:r w:rsidR="008441E4">
        <w:rPr>
          <w:rFonts w:cs="Arial"/>
        </w:rPr>
        <w:t>. The recommended TWA is</w:t>
      </w:r>
      <w:r w:rsidR="00BA1045">
        <w:rPr>
          <w:rFonts w:cs="Arial"/>
        </w:rPr>
        <w:t xml:space="preserve"> expected to be protective of asthma, lung function impairme</w:t>
      </w:r>
      <w:r w:rsidR="00BC43F3">
        <w:rPr>
          <w:rFonts w:cs="Arial"/>
        </w:rPr>
        <w:t>nt and respiratory irritation</w:t>
      </w:r>
      <w:r w:rsidR="003264E8">
        <w:rPr>
          <w:rFonts w:cs="Arial"/>
        </w:rPr>
        <w:t xml:space="preserve"> and minimise potential for cancer</w:t>
      </w:r>
      <w:r w:rsidR="00BC43F3">
        <w:rPr>
          <w:rFonts w:cs="Arial"/>
        </w:rPr>
        <w:t>.</w:t>
      </w:r>
      <w:r w:rsidR="000E7444">
        <w:rPr>
          <w:rFonts w:cs="Arial"/>
        </w:rPr>
        <w:t xml:space="preserve"> Due to the chronic nature of the observed critical effects and lack of information on responses to acute exposures, there are insufficient health-based data to recommend a STEL. The previous STEL of 5 mg/m</w:t>
      </w:r>
      <w:r w:rsidR="000E7444">
        <w:rPr>
          <w:rFonts w:cs="Arial"/>
          <w:vertAlign w:val="superscript"/>
        </w:rPr>
        <w:t>3</w:t>
      </w:r>
      <w:r w:rsidR="000E7444">
        <w:rPr>
          <w:rFonts w:cs="Arial"/>
        </w:rPr>
        <w:t xml:space="preserve"> for softwood dusts is </w:t>
      </w:r>
      <w:r w:rsidR="00BE3D0E">
        <w:rPr>
          <w:rFonts w:cs="Arial"/>
        </w:rPr>
        <w:t xml:space="preserve">recommended to be </w:t>
      </w:r>
      <w:r w:rsidR="000E7444">
        <w:rPr>
          <w:rFonts w:cs="Arial"/>
        </w:rPr>
        <w:t>withdrawn</w:t>
      </w:r>
      <w:r w:rsidR="008441E4">
        <w:rPr>
          <w:rFonts w:cs="Arial"/>
        </w:rPr>
        <w:t xml:space="preserve"> and</w:t>
      </w:r>
      <w:r w:rsidR="00BE3D0E">
        <w:rPr>
          <w:rFonts w:cs="Arial"/>
        </w:rPr>
        <w:t xml:space="preserve"> </w:t>
      </w:r>
      <w:r w:rsidR="000E7444">
        <w:rPr>
          <w:rFonts w:cs="Arial"/>
        </w:rPr>
        <w:t>is consistent with the ACGIH (2018) evaluation.</w:t>
      </w:r>
    </w:p>
    <w:p w14:paraId="5B943F2E" w14:textId="2672A17B" w:rsidR="00DA14D6" w:rsidRPr="00CA437F" w:rsidRDefault="00BC43F3" w:rsidP="006639B4">
      <w:pPr>
        <w:rPr>
          <w:rFonts w:cs="Arial"/>
        </w:rPr>
      </w:pPr>
      <w:r w:rsidDel="00750FFD">
        <w:rPr>
          <w:rFonts w:cs="Arial"/>
        </w:rPr>
        <w:t>Regarding evidence of dermal and respiratory sensitisation for various woods, RSEN and DSEN notations are recommended</w:t>
      </w:r>
      <w:r w:rsidRPr="00BC43F3" w:rsidDel="00750FFD">
        <w:rPr>
          <w:rFonts w:cs="Arial"/>
        </w:rPr>
        <w:t xml:space="preserve"> </w:t>
      </w:r>
      <w:r w:rsidDel="00750FFD">
        <w:rPr>
          <w:rFonts w:cs="Arial"/>
        </w:rPr>
        <w:t xml:space="preserve">for all wood types, which is consistent with the previous sensitiser notation for hard- and softwoods. </w:t>
      </w:r>
      <w:r w:rsidR="00BA1045" w:rsidDel="00750FFD">
        <w:rPr>
          <w:rFonts w:cs="Arial"/>
        </w:rPr>
        <w:t>Further assessment of additional sources regarding the effects of exposure to wood dust from different tree species is recommended during subsequent reviews of the WES.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14F60C9B" w:rsidR="008E4F1F" w:rsidRPr="00797415" w:rsidRDefault="008E4F1F" w:rsidP="008E4F1F">
      <w:pPr>
        <w:rPr>
          <w:rFonts w:cs="Arial"/>
        </w:rPr>
      </w:pPr>
      <w:r w:rsidRPr="00797415">
        <w:rPr>
          <w:rFonts w:cs="Arial"/>
        </w:rPr>
        <w:t>Not classified as a carcinogen according to the Globally Harmonized System of</w:t>
      </w:r>
      <w:r w:rsidR="00155999" w:rsidRPr="00797415">
        <w:rPr>
          <w:rFonts w:cs="Arial"/>
        </w:rPr>
        <w:t xml:space="preserve"> Classification and Labelling of</w:t>
      </w:r>
      <w:r w:rsidRPr="00797415">
        <w:rPr>
          <w:rFonts w:cs="Arial"/>
        </w:rPr>
        <w:t xml:space="preserve"> Chemicals (GHS). </w:t>
      </w:r>
      <w:r w:rsidR="00BA1045" w:rsidRPr="00797415">
        <w:rPr>
          <w:rFonts w:cs="Arial"/>
        </w:rPr>
        <w:t xml:space="preserve">However, an entry for wood dusts or similar materials was not available in the HCIS database </w:t>
      </w:r>
      <w:r w:rsidR="00BC43F3" w:rsidRPr="00797415">
        <w:rPr>
          <w:rFonts w:cs="Arial"/>
        </w:rPr>
        <w:t>during</w:t>
      </w:r>
      <w:r w:rsidR="00BA1045" w:rsidRPr="00797415">
        <w:rPr>
          <w:rFonts w:cs="Arial"/>
        </w:rPr>
        <w:t xml:space="preserve"> this evaluation. </w:t>
      </w:r>
      <w:r w:rsidR="00EC081C">
        <w:rPr>
          <w:rFonts w:cs="Arial"/>
        </w:rPr>
        <w:t xml:space="preserve">Both the </w:t>
      </w:r>
      <w:r w:rsidR="00BA1045" w:rsidRPr="00797415">
        <w:rPr>
          <w:rFonts w:cs="Arial"/>
        </w:rPr>
        <w:t>ACGIH (2018) and DFG (2002) recommend the equivalent of a category 1A notation for beech and oak wood dusts, whereas IARC (2012) recommends this notation for dust from all tree species. Recommendations regarding other tree species</w:t>
      </w:r>
      <w:r w:rsidR="00BC43F3" w:rsidRPr="00797415">
        <w:rPr>
          <w:rFonts w:cs="Arial"/>
        </w:rPr>
        <w:t xml:space="preserve"> by these agencies</w:t>
      </w:r>
      <w:r w:rsidR="00BA1045" w:rsidRPr="00797415">
        <w:rPr>
          <w:rFonts w:cs="Arial"/>
        </w:rPr>
        <w:t xml:space="preserve"> are inconsistent</w:t>
      </w:r>
      <w:r w:rsidR="00BC43F3" w:rsidRPr="00797415">
        <w:rPr>
          <w:rFonts w:cs="Arial"/>
        </w:rPr>
        <w:t>.</w:t>
      </w:r>
      <w:r w:rsidR="00750FFD" w:rsidRPr="00750FFD">
        <w:rPr>
          <w:rFonts w:cs="Arial"/>
        </w:rPr>
        <w:t xml:space="preserve"> </w:t>
      </w:r>
      <w:r w:rsidR="00750FFD" w:rsidRPr="00797415">
        <w:rPr>
          <w:rFonts w:cs="Arial"/>
        </w:rPr>
        <w:t>A review of the carcinogenicity notation is recommended during subsequent reviews and should consider the notations recommended by ACGIH (2018), DFG (2002), and IARC (2012).</w:t>
      </w:r>
    </w:p>
    <w:p w14:paraId="081A2DBB" w14:textId="0C997440" w:rsidR="00750FFD" w:rsidRPr="00797415" w:rsidRDefault="008E4F1F" w:rsidP="008E4F1F">
      <w:pPr>
        <w:rPr>
          <w:rFonts w:cs="Arial"/>
        </w:rPr>
      </w:pPr>
      <w:r w:rsidRPr="00797415">
        <w:rPr>
          <w:rFonts w:cs="Arial"/>
        </w:rPr>
        <w:t xml:space="preserve">Not classified as a skin </w:t>
      </w:r>
      <w:r w:rsidR="00155999" w:rsidRPr="00797415">
        <w:rPr>
          <w:rFonts w:cs="Arial"/>
        </w:rPr>
        <w:t xml:space="preserve">sensitiser </w:t>
      </w:r>
      <w:r w:rsidRPr="00797415">
        <w:rPr>
          <w:rFonts w:cs="Arial"/>
        </w:rPr>
        <w:t>or respiratory sensitiser according to the GHS.</w:t>
      </w:r>
      <w:r w:rsidR="00BC43F3" w:rsidRPr="00797415">
        <w:rPr>
          <w:rFonts w:cs="Arial"/>
        </w:rPr>
        <w:t xml:space="preserve"> However, an entry for wood dusts or similar materials was not available in the HCIS database during this evaluation. A sensitiser notation was previously assigned to both hard- and softwood dusts, which is consistent with the individual recommendations of DFG (2018)</w:t>
      </w:r>
      <w:r w:rsidR="00750FFD">
        <w:rPr>
          <w:rFonts w:cs="Arial"/>
        </w:rPr>
        <w:t>. However, it is</w:t>
      </w:r>
      <w:r w:rsidR="00797415" w:rsidRPr="00797415">
        <w:rPr>
          <w:rFonts w:cs="Arial"/>
        </w:rPr>
        <w:t xml:space="preserve"> inconsistent with the ACGIH (2018) evaluation, which recommends RSEN and DSEN notations for western red cedar only.</w:t>
      </w:r>
      <w:r w:rsidR="00750FFD">
        <w:rPr>
          <w:rFonts w:cs="Arial"/>
        </w:rPr>
        <w:t xml:space="preserve"> </w:t>
      </w:r>
    </w:p>
    <w:p w14:paraId="21CCE2A5" w14:textId="3D6A51F7" w:rsidR="0025734A" w:rsidRPr="004C23F4" w:rsidRDefault="00797415">
      <w:pPr>
        <w:rPr>
          <w:rFonts w:cs="Arial"/>
        </w:rPr>
      </w:pPr>
      <w:r w:rsidRPr="00797415">
        <w:rPr>
          <w:rFonts w:cs="Arial"/>
        </w:rPr>
        <w:t xml:space="preserve">A skin notation is </w:t>
      </w:r>
      <w:r w:rsidR="007E5663">
        <w:rPr>
          <w:rFonts w:cs="Arial"/>
        </w:rPr>
        <w:t>recommended based on</w:t>
      </w:r>
      <w:r w:rsidRPr="00797415">
        <w:rPr>
          <w:rFonts w:cs="Arial"/>
        </w:rPr>
        <w:t xml:space="preserve"> evidence </w:t>
      </w:r>
      <w:r w:rsidR="007E5663">
        <w:rPr>
          <w:rFonts w:cs="Arial"/>
        </w:rPr>
        <w:t>for</w:t>
      </w:r>
      <w:r w:rsidRPr="00797415">
        <w:rPr>
          <w:rFonts w:cs="Arial"/>
        </w:rPr>
        <w:t xml:space="preserve"> contact dermatitis in </w:t>
      </w:r>
      <w:r w:rsidR="007E5663">
        <w:rPr>
          <w:rFonts w:cs="Arial"/>
        </w:rPr>
        <w:t>workers</w:t>
      </w:r>
      <w:r w:rsidRPr="00797415">
        <w:rPr>
          <w:rFonts w:cs="Arial"/>
        </w:rPr>
        <w:t>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B97A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B97A56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37114A" w14:textId="77777777" w:rsidR="00DE26E8" w:rsidRPr="000E7444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B5F8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B5F8A">
                  <w:t>TWA: 1 mg/m</w:t>
                </w:r>
                <w:r w:rsidR="003B5F8A" w:rsidRPr="003B5F8A">
                  <w:rPr>
                    <w:vertAlign w:val="superscript"/>
                  </w:rPr>
                  <w:t>3</w:t>
                </w:r>
              </w:sdtContent>
            </w:sdt>
            <w:r w:rsidR="00902FA2">
              <w:t xml:space="preserve"> </w:t>
            </w:r>
            <w:r w:rsidR="00902FA2" w:rsidRPr="000E7444">
              <w:t>(certain hardwoods such as beech and oak)</w:t>
            </w:r>
          </w:p>
          <w:p w14:paraId="3127B3A8" w14:textId="5B888531" w:rsidR="00902FA2" w:rsidRPr="003365A5" w:rsidRDefault="00902FA2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E7444">
              <w:t xml:space="preserve">                                                    TWA: 5 mg/m</w:t>
            </w:r>
            <w:r w:rsidRPr="000E7444">
              <w:rPr>
                <w:vertAlign w:val="superscript"/>
              </w:rPr>
              <w:t>3</w:t>
            </w:r>
            <w:r w:rsidRPr="000E7444">
              <w:t>; STEL 10 mg/m</w:t>
            </w:r>
            <w:r w:rsidRPr="000E7444">
              <w:rPr>
                <w:vertAlign w:val="superscript"/>
              </w:rPr>
              <w:t>3</w:t>
            </w:r>
            <w:r w:rsidRPr="000E7444">
              <w:t xml:space="preserve"> (softwood)</w:t>
            </w:r>
          </w:p>
        </w:tc>
      </w:tr>
      <w:tr w:rsidR="00C978F0" w:rsidRPr="00DA352E" w14:paraId="26087DDB" w14:textId="77777777" w:rsidTr="00B97A56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B97A5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8FA339" w14:textId="5411C96C" w:rsidR="00C978F0" w:rsidRDefault="00DA352E" w:rsidP="0096127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5370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61271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61271">
                  <w:t>TLV-TWA</w:t>
                </w:r>
                <w:r w:rsidR="00700011">
                  <w:t xml:space="preserve"> (Western red cedar)</w:t>
                </w:r>
                <w:r w:rsidR="00961271">
                  <w:t>: 0.5 mg/m</w:t>
                </w:r>
                <w:r w:rsidR="00961271" w:rsidRPr="00961271">
                  <w:rPr>
                    <w:vertAlign w:val="superscript"/>
                  </w:rPr>
                  <w:t>3</w:t>
                </w:r>
              </w:sdtContent>
            </w:sdt>
          </w:p>
          <w:p w14:paraId="2ED10929" w14:textId="1B661C43" w:rsidR="00961271" w:rsidRPr="00DA352E" w:rsidRDefault="00961271" w:rsidP="0096127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  <w:tab w:val="left" w:pos="2880"/>
                <w:tab w:val="left" w:pos="3600"/>
                <w:tab w:val="left" w:pos="4320"/>
                <w:tab w:val="left" w:pos="5370"/>
              </w:tabs>
            </w:pPr>
            <w:r>
              <w:t xml:space="preserve">                                                   </w:t>
            </w:r>
            <w:r w:rsidR="00700011">
              <w:t xml:space="preserve"> TLV-TWA (All other species):</w:t>
            </w:r>
            <w:r>
              <w:t xml:space="preserve"> 1 mg/m</w:t>
            </w:r>
            <w:r w:rsidRPr="00961271">
              <w:rPr>
                <w:vertAlign w:val="superscript"/>
              </w:rPr>
              <w:t>3</w:t>
            </w:r>
          </w:p>
        </w:tc>
      </w:tr>
      <w:tr w:rsidR="00C978F0" w:rsidRPr="00DA352E" w14:paraId="418D532D" w14:textId="77777777" w:rsidTr="00B97A56">
        <w:trPr>
          <w:gridAfter w:val="1"/>
          <w:wAfter w:w="8" w:type="pct"/>
        </w:trPr>
        <w:tc>
          <w:tcPr>
            <w:tcW w:w="4992" w:type="pct"/>
          </w:tcPr>
          <w:p w14:paraId="4BC8898D" w14:textId="692A36A8" w:rsidR="00DB6F89" w:rsidRPr="00933A99" w:rsidRDefault="00CE7CDB" w:rsidP="003365A5">
            <w:pPr>
              <w:pStyle w:val="Tabletextprimarysource"/>
            </w:pPr>
            <w:r>
              <w:t>Grouped assessment of</w:t>
            </w:r>
            <w:r w:rsidR="00571767">
              <w:t xml:space="preserve"> hard- and soft</w:t>
            </w:r>
            <w:r>
              <w:t>woods</w:t>
            </w:r>
            <w:r w:rsidR="002E71C3">
              <w:t xml:space="preserve"> based on impaired pulmonary function and respiratory irritation; western red cedar is </w:t>
            </w:r>
            <w:r w:rsidR="00E81755">
              <w:t xml:space="preserve">evaluated </w:t>
            </w:r>
            <w:r w:rsidR="002E71C3">
              <w:t>separately within the same assessment due to specific evidence for a different endpoint (asthma)</w:t>
            </w:r>
            <w:r w:rsidR="00DB6F89">
              <w:t xml:space="preserve">. </w:t>
            </w:r>
            <w:r w:rsidR="00933A99">
              <w:t>Separate assessments of hardwoods and softwoods withdrawn in 2005 (previous TLV-TWA for certain hardwoods: 1 mg/m</w:t>
            </w:r>
            <w:r w:rsidR="00933A99">
              <w:rPr>
                <w:vertAlign w:val="superscript"/>
              </w:rPr>
              <w:t>3</w:t>
            </w:r>
            <w:r w:rsidR="00933A99">
              <w:t>; TLV-TWA and TLV-STEL for softwoods 5 and 10 mg/m</w:t>
            </w:r>
            <w:r w:rsidR="00933A99">
              <w:rPr>
                <w:vertAlign w:val="superscript"/>
              </w:rPr>
              <w:t>3</w:t>
            </w:r>
            <w:r w:rsidR="00933A99">
              <w:t>, respectively</w:t>
            </w:r>
            <w:r w:rsidR="00726A85">
              <w:t>, as adopted by SWA</w:t>
            </w:r>
            <w:r w:rsidR="00933A99">
              <w:t>).</w:t>
            </w:r>
          </w:p>
          <w:p w14:paraId="7282CC54" w14:textId="7754F706" w:rsidR="00C978F0" w:rsidRDefault="00DB6F89" w:rsidP="003365A5">
            <w:pPr>
              <w:pStyle w:val="Tabletextprimarysource"/>
            </w:pPr>
            <w:r>
              <w:t>Based on the available epidemiological data, beech and oak are confirmed human carcinogens (A1)</w:t>
            </w:r>
            <w:r w:rsidR="003D7C00">
              <w:t xml:space="preserve">; </w:t>
            </w:r>
            <w:r>
              <w:t>birch, mahogany, teak, and walnut are suspected carcinogens (A2</w:t>
            </w:r>
            <w:r w:rsidR="003D7C00">
              <w:t>) based on epidemiological data;</w:t>
            </w:r>
            <w:r>
              <w:t xml:space="preserve"> all other species are not classifiable as human carcinogens (A4).</w:t>
            </w:r>
          </w:p>
          <w:p w14:paraId="5BACF099" w14:textId="77777777" w:rsidR="00DB6F89" w:rsidRDefault="00DB6F89" w:rsidP="003365A5">
            <w:pPr>
              <w:pStyle w:val="Tabletextprimarysource"/>
            </w:pPr>
            <w:r>
              <w:t>RSEN and DSEN notations are recommended only for western red cedar based on specific workplace exposure data.</w:t>
            </w:r>
          </w:p>
          <w:p w14:paraId="5BF887DF" w14:textId="137FC265" w:rsidR="00DB6F89" w:rsidRDefault="00DB6F89" w:rsidP="003365A5">
            <w:pPr>
              <w:pStyle w:val="Tabletextprimarysource"/>
            </w:pPr>
            <w:r>
              <w:t xml:space="preserve">Summary of </w:t>
            </w:r>
            <w:r w:rsidR="00F117FE">
              <w:t>information</w:t>
            </w:r>
            <w:r>
              <w:t>:</w:t>
            </w:r>
          </w:p>
          <w:p w14:paraId="5EE282B4" w14:textId="3F9FB24A" w:rsidR="000C52B0" w:rsidRDefault="00FC1354" w:rsidP="003365A5">
            <w:pPr>
              <w:pStyle w:val="Tabletextprimarysource"/>
            </w:pPr>
            <w:r>
              <w:t xml:space="preserve">Concentrations of inhalable particulate matter (IPM) typically overestimated and total dust underestimated due to </w:t>
            </w:r>
            <w:r w:rsidR="002E3857">
              <w:t>differences in respective</w:t>
            </w:r>
            <w:r>
              <w:t xml:space="preserve"> sampling methods.</w:t>
            </w:r>
            <w:r w:rsidR="000C52B0">
              <w:t xml:space="preserve"> </w:t>
            </w:r>
            <w:r w:rsidR="00726A85">
              <w:t>ACGIH</w:t>
            </w:r>
            <w:r w:rsidR="000C52B0">
              <w:t xml:space="preserve"> considers a conversion factor of 2.5 for </w:t>
            </w:r>
            <w:r>
              <w:t>IPM to total dust</w:t>
            </w:r>
            <w:r w:rsidR="000C52B0">
              <w:t xml:space="preserve"> concentrations appropriate based on </w:t>
            </w:r>
            <w:r w:rsidR="00256AC6">
              <w:t xml:space="preserve">dust ratios between IPM and total of 1.2–4.2 reported in </w:t>
            </w:r>
            <w:r>
              <w:t>parallel measurements</w:t>
            </w:r>
            <w:r w:rsidR="00474663">
              <w:t>.</w:t>
            </w:r>
            <w:r>
              <w:t xml:space="preserve"> </w:t>
            </w:r>
          </w:p>
          <w:p w14:paraId="6A565EA2" w14:textId="2F9321E9" w:rsidR="00F117FE" w:rsidRDefault="00F117FE" w:rsidP="003365A5">
            <w:pPr>
              <w:pStyle w:val="Tabletextprimarysource"/>
            </w:pPr>
            <w:r>
              <w:rPr>
                <w:i/>
              </w:rPr>
              <w:t>Western red cedar</w:t>
            </w:r>
          </w:p>
          <w:p w14:paraId="060BF21C" w14:textId="5F6F51B3" w:rsidR="00DA7833" w:rsidRDefault="002E3857" w:rsidP="003365A5">
            <w:pPr>
              <w:pStyle w:val="Tabletextprimarysource"/>
            </w:pPr>
            <w:r>
              <w:t xml:space="preserve">TLV-TWA for western red cedar based on </w:t>
            </w:r>
            <w:r w:rsidR="00256AC6">
              <w:t xml:space="preserve">a NOAEC </w:t>
            </w:r>
            <w:r w:rsidR="00551477">
              <w:t>reported in</w:t>
            </w:r>
            <w:r>
              <w:t xml:space="preserve"> </w:t>
            </w:r>
            <w:r w:rsidR="00A25FAB">
              <w:t xml:space="preserve">several </w:t>
            </w:r>
            <w:r>
              <w:t xml:space="preserve">workplace studies </w:t>
            </w:r>
            <w:r w:rsidR="00551477">
              <w:t xml:space="preserve">in which </w:t>
            </w:r>
            <w:r w:rsidR="00DA7833">
              <w:t>total dust concentrations</w:t>
            </w:r>
            <w:r w:rsidR="00551477">
              <w:t xml:space="preserve"> &lt;1 mg/m</w:t>
            </w:r>
            <w:r w:rsidR="00551477">
              <w:rPr>
                <w:vertAlign w:val="superscript"/>
              </w:rPr>
              <w:t>3</w:t>
            </w:r>
            <w:r w:rsidR="00551477">
              <w:t xml:space="preserve"> were associated with a 5% increase in incidence of occupational asthma, not at concentrations </w:t>
            </w:r>
            <w:r w:rsidR="00DA7833">
              <w:t>of 0.5 mg/m</w:t>
            </w:r>
            <w:r w:rsidR="00DA7833">
              <w:rPr>
                <w:vertAlign w:val="superscript"/>
              </w:rPr>
              <w:t>3</w:t>
            </w:r>
            <w:r w:rsidR="00551477">
              <w:t>.</w:t>
            </w:r>
            <w:r w:rsidR="00DA7833">
              <w:t xml:space="preserve"> </w:t>
            </w:r>
          </w:p>
          <w:p w14:paraId="71FA39E7" w14:textId="62302981" w:rsidR="00F117FE" w:rsidRDefault="00F117FE" w:rsidP="003365A5">
            <w:pPr>
              <w:pStyle w:val="Tabletextprimarysource"/>
            </w:pPr>
            <w:r w:rsidRPr="00F117FE">
              <w:rPr>
                <w:i/>
              </w:rPr>
              <w:t>All other species</w:t>
            </w:r>
          </w:p>
          <w:p w14:paraId="468C6469" w14:textId="585DA3E2" w:rsidR="002E3857" w:rsidRDefault="00DA7833" w:rsidP="003365A5">
            <w:pPr>
              <w:pStyle w:val="Tabletextprimarysource"/>
            </w:pPr>
            <w:r>
              <w:t xml:space="preserve">TLV-TWA for all other tree species based on weight of evidence of available epidemiological data, which overall indicate </w:t>
            </w:r>
            <w:r w:rsidR="00077555">
              <w:t>onset</w:t>
            </w:r>
            <w:r>
              <w:t xml:space="preserve"> of </w:t>
            </w:r>
            <w:r w:rsidR="00A25FAB">
              <w:t>lung function impairment or respiratory irritation/disease</w:t>
            </w:r>
            <w:r>
              <w:t xml:space="preserve"> </w:t>
            </w:r>
            <w:r w:rsidR="00551477">
              <w:t>at concentrations</w:t>
            </w:r>
            <w:r>
              <w:t xml:space="preserve"> </w:t>
            </w:r>
            <w:r>
              <w:rPr>
                <w:rFonts w:cs="Arial"/>
              </w:rPr>
              <w:t>≈</w:t>
            </w:r>
            <w:r w:rsidR="00A25FAB">
              <w:t>1.</w:t>
            </w:r>
            <w:r w:rsidR="00077555">
              <w:t>4</w:t>
            </w:r>
            <w:r w:rsidR="005B4433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 w:rsidR="00551477">
              <w:t xml:space="preserve">. ACGIH, however, </w:t>
            </w:r>
            <w:r>
              <w:t>notes the results of these studies are inconsistent</w:t>
            </w:r>
            <w:r w:rsidR="00077555">
              <w:t xml:space="preserve"> and absence of adverse effects are frequently reported near 3 mg/</w:t>
            </w:r>
            <w:r w:rsidR="00077555" w:rsidRPr="00077555">
              <w:t>m</w:t>
            </w:r>
            <w:r w:rsidR="00077555">
              <w:rPr>
                <w:vertAlign w:val="superscript"/>
              </w:rPr>
              <w:t>3</w:t>
            </w:r>
            <w:r w:rsidR="00077555">
              <w:t xml:space="preserve"> inhalable dust.</w:t>
            </w:r>
          </w:p>
          <w:p w14:paraId="6B7A79D6" w14:textId="4A972658" w:rsidR="00DB6F89" w:rsidRDefault="00DB6F89" w:rsidP="003365A5">
            <w:pPr>
              <w:pStyle w:val="Tabletextprimarysource"/>
            </w:pPr>
            <w:r>
              <w:t>Human data:</w:t>
            </w:r>
          </w:p>
          <w:p w14:paraId="68FCC3B0" w14:textId="1AAE31B3" w:rsidR="00E7204B" w:rsidRPr="00E7204B" w:rsidRDefault="000C52B0" w:rsidP="000C52B0">
            <w:pPr>
              <w:pStyle w:val="Tabletextprimarysource"/>
            </w:pPr>
            <w:r>
              <w:rPr>
                <w:i/>
              </w:rPr>
              <w:t>Western red cedar</w:t>
            </w:r>
          </w:p>
          <w:p w14:paraId="7F352603" w14:textId="6502B220" w:rsidR="0031128B" w:rsidRDefault="0031128B" w:rsidP="0031128B">
            <w:pPr>
              <w:pStyle w:val="Tabletextprimarysource"/>
              <w:numPr>
                <w:ilvl w:val="0"/>
                <w:numId w:val="2"/>
              </w:numPr>
            </w:pPr>
            <w:r>
              <w:t>No decrease in FEV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 w:rsidR="000C52B0">
              <w:t xml:space="preserve">in </w:t>
            </w:r>
            <w:r>
              <w:t xml:space="preserve">mill </w:t>
            </w:r>
            <w:r w:rsidR="000C52B0">
              <w:t>workers</w:t>
            </w:r>
            <w:r w:rsidR="008018D8">
              <w:t xml:space="preserve"> (n=74)</w:t>
            </w:r>
            <w:r w:rsidR="000C52B0">
              <w:t xml:space="preserve"> exposed at 0.5 mg/m</w:t>
            </w:r>
            <w:r w:rsidR="000C52B0">
              <w:rPr>
                <w:vertAlign w:val="superscript"/>
              </w:rPr>
              <w:t>3</w:t>
            </w:r>
            <w:r w:rsidR="000C52B0">
              <w:t xml:space="preserve"> total dust</w:t>
            </w:r>
            <w:r>
              <w:t xml:space="preserve"> in workplace study (average 4.7 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7A6E3D">
              <w:t>:</w:t>
            </w:r>
          </w:p>
          <w:p w14:paraId="73D96EA7" w14:textId="61097EBF" w:rsidR="0031128B" w:rsidRDefault="0031128B" w:rsidP="005B4433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5% decrease in FEV</w:t>
            </w:r>
            <w:r>
              <w:rPr>
                <w:vertAlign w:val="subscript"/>
              </w:rPr>
              <w:t>1</w:t>
            </w:r>
            <w:r>
              <w:t xml:space="preserve"> in groups exposed at 3.6 mg/m</w:t>
            </w:r>
            <w:r>
              <w:rPr>
                <w:vertAlign w:val="superscript"/>
              </w:rPr>
              <w:t>3</w:t>
            </w:r>
            <w:r>
              <w:t>, 11% at 4.8 mg/m</w:t>
            </w:r>
            <w:r>
              <w:rPr>
                <w:vertAlign w:val="superscript"/>
              </w:rPr>
              <w:t>3</w:t>
            </w:r>
            <w:r>
              <w:t>, and 24% at 6.8 mg/m</w:t>
            </w:r>
            <w:r>
              <w:rPr>
                <w:vertAlign w:val="superscript"/>
              </w:rPr>
              <w:t>3</w:t>
            </w:r>
          </w:p>
          <w:p w14:paraId="4207EB47" w14:textId="7D375163" w:rsidR="00571767" w:rsidRDefault="0063339C" w:rsidP="00571767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6% incidence of occupational asthma at </w:t>
            </w:r>
            <w:r w:rsidR="00571767">
              <w:t>&lt;1 mg/m</w:t>
            </w:r>
            <w:r w:rsidR="00571767">
              <w:rPr>
                <w:vertAlign w:val="superscript"/>
              </w:rPr>
              <w:t>3</w:t>
            </w:r>
            <w:r w:rsidR="00571767">
              <w:t xml:space="preserve"> (n=301), 5% incidence at 1–2 mg/m</w:t>
            </w:r>
            <w:r w:rsidR="00571767">
              <w:rPr>
                <w:vertAlign w:val="superscript"/>
              </w:rPr>
              <w:t>3</w:t>
            </w:r>
            <w:r w:rsidR="00571767">
              <w:t xml:space="preserve"> (n=20), and 15% at 2–6 mg/m</w:t>
            </w:r>
            <w:r w:rsidR="00571767">
              <w:rPr>
                <w:vertAlign w:val="superscript"/>
              </w:rPr>
              <w:t>3</w:t>
            </w:r>
            <w:r w:rsidR="00571767">
              <w:t xml:space="preserve"> (n=13) reported in workplace study of sawmill</w:t>
            </w:r>
            <w:r w:rsidR="005B4433">
              <w:t xml:space="preserve"> workers</w:t>
            </w:r>
            <w:r w:rsidR="007A6E3D">
              <w:t>:</w:t>
            </w:r>
          </w:p>
          <w:p w14:paraId="625884D3" w14:textId="0DC6E5A5" w:rsidR="00E7204B" w:rsidRPr="00E7204B" w:rsidRDefault="00F117FE" w:rsidP="00F117FE">
            <w:pPr>
              <w:pStyle w:val="Tabletextprimarysource"/>
            </w:pPr>
            <w:r>
              <w:rPr>
                <w:i/>
              </w:rPr>
              <w:t xml:space="preserve">All other </w:t>
            </w:r>
            <w:r w:rsidR="00551477">
              <w:rPr>
                <w:i/>
              </w:rPr>
              <w:t xml:space="preserve">wood </w:t>
            </w:r>
            <w:r>
              <w:rPr>
                <w:i/>
              </w:rPr>
              <w:t>species</w:t>
            </w:r>
          </w:p>
          <w:p w14:paraId="7B21E9F0" w14:textId="1385FE74" w:rsidR="008646C5" w:rsidRDefault="00CF5D24" w:rsidP="00E81755">
            <w:pPr>
              <w:pStyle w:val="Tabletextprimarysource"/>
              <w:numPr>
                <w:ilvl w:val="0"/>
                <w:numId w:val="2"/>
              </w:numPr>
            </w:pPr>
            <w:r>
              <w:t>A</w:t>
            </w:r>
            <w:r w:rsidR="00E81755">
              <w:t>vailable epidemiological studies rarely distinguish between exposure to hard- and softwoods</w:t>
            </w:r>
            <w:r w:rsidR="00523A4C">
              <w:t>:</w:t>
            </w:r>
          </w:p>
          <w:p w14:paraId="6591D778" w14:textId="27301853" w:rsidR="00E81755" w:rsidRPr="00F117FE" w:rsidRDefault="00E81755" w:rsidP="008646C5">
            <w:pPr>
              <w:pStyle w:val="Tabletextprimarysource"/>
              <w:numPr>
                <w:ilvl w:val="1"/>
                <w:numId w:val="2"/>
              </w:numPr>
            </w:pPr>
            <w:r>
              <w:t>workers investigated in these studies are typically exposed to both types</w:t>
            </w:r>
          </w:p>
          <w:p w14:paraId="5AC0A754" w14:textId="7C30DBD7" w:rsidR="00F117FE" w:rsidRDefault="00E81755" w:rsidP="00F117FE">
            <w:pPr>
              <w:pStyle w:val="Tabletextprimarysource"/>
              <w:numPr>
                <w:ilvl w:val="0"/>
                <w:numId w:val="2"/>
              </w:numPr>
            </w:pPr>
            <w:r>
              <w:lastRenderedPageBreak/>
              <w:t>Cases of allergic contact dermatitis reported in workers often with additional respiratory/mucosal symptoms, e.g. conjunctivitis, rhinitis, and asthma (no further details provided)</w:t>
            </w:r>
          </w:p>
          <w:p w14:paraId="656A748B" w14:textId="320F69DC" w:rsidR="008646C5" w:rsidRDefault="006B3FA9" w:rsidP="00F117FE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Significantly reduced </w:t>
            </w:r>
            <w:r w:rsidR="00B35ED4">
              <w:t>mucociliary clearance in 11% of workers exposed at 2.2 mg/m</w:t>
            </w:r>
            <w:r w:rsidR="00B35ED4">
              <w:rPr>
                <w:vertAlign w:val="superscript"/>
              </w:rPr>
              <w:t>3</w:t>
            </w:r>
            <w:r w:rsidR="00B35ED4">
              <w:t xml:space="preserve"> and &gt;10 mg/m</w:t>
            </w:r>
            <w:r w:rsidR="00B35ED4">
              <w:rPr>
                <w:vertAlign w:val="superscript"/>
              </w:rPr>
              <w:t>3</w:t>
            </w:r>
            <w:r w:rsidR="00B35ED4">
              <w:t xml:space="preserve"> in 63% of workers (n=68)</w:t>
            </w:r>
            <w:r w:rsidR="00523A4C">
              <w:t>:</w:t>
            </w:r>
          </w:p>
          <w:p w14:paraId="09C66264" w14:textId="77777777" w:rsidR="008646C5" w:rsidRDefault="00B35ED4" w:rsidP="008646C5">
            <w:pPr>
              <w:pStyle w:val="Tabletextprimarysource"/>
              <w:numPr>
                <w:ilvl w:val="1"/>
                <w:numId w:val="2"/>
              </w:numPr>
            </w:pPr>
            <w:r>
              <w:t>no difference in lung function</w:t>
            </w:r>
          </w:p>
          <w:p w14:paraId="6FE3349C" w14:textId="17A6F9A8" w:rsidR="00E81755" w:rsidRDefault="00B35ED4" w:rsidP="008646C5">
            <w:pPr>
              <w:pStyle w:val="Tabletextprimarysource"/>
              <w:numPr>
                <w:ilvl w:val="1"/>
                <w:numId w:val="2"/>
              </w:numPr>
            </w:pPr>
            <w:r>
              <w:t xml:space="preserve">reports of prolonged colds, asthma, sneezing, and nasal obstruction </w:t>
            </w:r>
            <w:r w:rsidR="008646C5">
              <w:t>at</w:t>
            </w:r>
            <w:r>
              <w:t xml:space="preserve"> &gt;5 mg/m</w:t>
            </w:r>
            <w:r>
              <w:rPr>
                <w:vertAlign w:val="superscript"/>
              </w:rPr>
              <w:t>3</w:t>
            </w:r>
            <w:r>
              <w:t xml:space="preserve"> (no further details provided)</w:t>
            </w:r>
          </w:p>
          <w:p w14:paraId="1CBF230B" w14:textId="145CF351" w:rsidR="008646C5" w:rsidRDefault="00B35ED4" w:rsidP="00F117FE">
            <w:pPr>
              <w:pStyle w:val="Tabletextprimarysource"/>
              <w:numPr>
                <w:ilvl w:val="0"/>
                <w:numId w:val="2"/>
              </w:numPr>
            </w:pPr>
            <w:r>
              <w:t>Lower pulmonary function at 2–9.9 mg/m</w:t>
            </w:r>
            <w:r>
              <w:rPr>
                <w:vertAlign w:val="superscript"/>
              </w:rPr>
              <w:t>3</w:t>
            </w:r>
            <w:r>
              <w:t xml:space="preserve"> x yr than lowest 5% of normal population </w:t>
            </w:r>
            <w:r w:rsidR="008646C5">
              <w:t>in</w:t>
            </w:r>
            <w:r>
              <w:t xml:space="preserve"> 10 woodworking companies (n=1,157)</w:t>
            </w:r>
            <w:r w:rsidR="00523A4C">
              <w:t>:</w:t>
            </w:r>
          </w:p>
          <w:p w14:paraId="284026A0" w14:textId="15BD5DAB" w:rsidR="00B35ED4" w:rsidRDefault="00B35ED4" w:rsidP="008646C5">
            <w:pPr>
              <w:pStyle w:val="Tabletextprimarysource"/>
              <w:numPr>
                <w:ilvl w:val="1"/>
                <w:numId w:val="2"/>
              </w:numPr>
            </w:pPr>
            <w:r>
              <w:t>cited authors recommend personal exposures should not exceed 2 mg/m</w:t>
            </w:r>
            <w:r>
              <w:rPr>
                <w:vertAlign w:val="superscript"/>
              </w:rPr>
              <w:t>3</w:t>
            </w:r>
          </w:p>
          <w:p w14:paraId="4A1ABDC1" w14:textId="4CEF2E76" w:rsidR="008646C5" w:rsidRDefault="00330625" w:rsidP="007C7F3A">
            <w:pPr>
              <w:pStyle w:val="Tabletextprimarysource"/>
              <w:numPr>
                <w:ilvl w:val="0"/>
                <w:numId w:val="2"/>
              </w:numPr>
            </w:pPr>
            <w:r>
              <w:t>Decreases in FEV</w:t>
            </w:r>
            <w:r>
              <w:rPr>
                <w:vertAlign w:val="subscript"/>
              </w:rPr>
              <w:t>1</w:t>
            </w:r>
            <w:r>
              <w:t xml:space="preserve"> and FVC in workers across shifts at 5.7 mg/m</w:t>
            </w:r>
            <w:r>
              <w:rPr>
                <w:vertAlign w:val="superscript"/>
              </w:rPr>
              <w:t>3</w:t>
            </w:r>
            <w:r>
              <w:t xml:space="preserve"> in a furniture factory</w:t>
            </w:r>
            <w:r w:rsidR="00523A4C">
              <w:t>:</w:t>
            </w:r>
          </w:p>
          <w:p w14:paraId="295A3854" w14:textId="6DE8C296" w:rsidR="007C7F3A" w:rsidRDefault="00330625" w:rsidP="008646C5">
            <w:pPr>
              <w:pStyle w:val="Tabletextprimarysource"/>
              <w:numPr>
                <w:ilvl w:val="1"/>
                <w:numId w:val="2"/>
              </w:numPr>
            </w:pPr>
            <w:r>
              <w:t>not</w:t>
            </w:r>
            <w:r w:rsidR="005B4433">
              <w:t xml:space="preserve"> </w:t>
            </w:r>
            <w:r w:rsidR="00F15914">
              <w:t xml:space="preserve">reported </w:t>
            </w:r>
            <w:r w:rsidR="005B4433">
              <w:t>at</w:t>
            </w:r>
            <w:r>
              <w:t xml:space="preserve"> 3.3 mg/m</w:t>
            </w:r>
            <w:r>
              <w:rPr>
                <w:vertAlign w:val="superscript"/>
              </w:rPr>
              <w:t>3</w:t>
            </w:r>
            <w:r>
              <w:t xml:space="preserve"> in another factory </w:t>
            </w:r>
            <w:r w:rsidR="007C7F3A">
              <w:t>case control study (n=113)</w:t>
            </w:r>
          </w:p>
          <w:p w14:paraId="369F88BE" w14:textId="12880311" w:rsidR="00527B1F" w:rsidRDefault="00A85AE5" w:rsidP="007C7F3A">
            <w:pPr>
              <w:pStyle w:val="Tabletextprimarysource"/>
              <w:numPr>
                <w:ilvl w:val="0"/>
                <w:numId w:val="2"/>
              </w:numPr>
            </w:pPr>
            <w:r>
              <w:t>Sawmill workers</w:t>
            </w:r>
            <w:r w:rsidR="00065C18">
              <w:t xml:space="preserve"> (n=94)</w:t>
            </w:r>
            <w:r>
              <w:t xml:space="preserve"> </w:t>
            </w:r>
            <w:r w:rsidR="00065C18">
              <w:t>exposed at 1.4 mg/m</w:t>
            </w:r>
            <w:r w:rsidR="00065C18">
              <w:rPr>
                <w:vertAlign w:val="superscript"/>
              </w:rPr>
              <w:t>3</w:t>
            </w:r>
            <w:r w:rsidR="00065C18">
              <w:t xml:space="preserve"> PM</w:t>
            </w:r>
            <w:r w:rsidR="00065C18">
              <w:rPr>
                <w:vertAlign w:val="subscript"/>
              </w:rPr>
              <w:t>10</w:t>
            </w:r>
            <w:r w:rsidR="00065C18">
              <w:t xml:space="preserve"> dusts </w:t>
            </w:r>
            <w:r w:rsidR="00F15914">
              <w:t xml:space="preserve">reported to be </w:t>
            </w:r>
            <w:r>
              <w:t xml:space="preserve">2.5 times more likely than </w:t>
            </w:r>
            <w:r w:rsidR="00065C18">
              <w:t xml:space="preserve">oil field worker controls (n=165) </w:t>
            </w:r>
            <w:r w:rsidR="00F15914">
              <w:t>for</w:t>
            </w:r>
            <w:r w:rsidR="00065C18">
              <w:t xml:space="preserve"> asthma, shortness of breath, chest tightness and wheezing and associated with lower FEV</w:t>
            </w:r>
            <w:r w:rsidR="00065C18">
              <w:rPr>
                <w:vertAlign w:val="subscript"/>
              </w:rPr>
              <w:t>1</w:t>
            </w:r>
            <w:r w:rsidR="00065C18">
              <w:t xml:space="preserve"> and FVC values</w:t>
            </w:r>
          </w:p>
          <w:p w14:paraId="487FF136" w14:textId="06EA5695" w:rsidR="00E7204B" w:rsidRDefault="0075232B" w:rsidP="007C7F3A">
            <w:pPr>
              <w:pStyle w:val="Tabletextprimarysource"/>
              <w:numPr>
                <w:ilvl w:val="0"/>
                <w:numId w:val="2"/>
              </w:numPr>
            </w:pPr>
            <w:r>
              <w:t>Positive association to l</w:t>
            </w:r>
            <w:r w:rsidR="00065C18">
              <w:t xml:space="preserve">ower pulmonary function in Australian sawmill workers (n=105) and joiners (n=63) </w:t>
            </w:r>
            <w:r>
              <w:t>respective</w:t>
            </w:r>
            <w:r w:rsidR="004236F9">
              <w:t>ly exposed</w:t>
            </w:r>
            <w:r w:rsidR="00065C18">
              <w:t xml:space="preserve"> at 4.8 and 3.2 mg/m</w:t>
            </w:r>
            <w:r w:rsidR="00065C18">
              <w:rPr>
                <w:vertAlign w:val="superscript"/>
              </w:rPr>
              <w:t>3</w:t>
            </w:r>
            <w:r w:rsidR="00065C18">
              <w:t xml:space="preserve"> inhalable dust</w:t>
            </w:r>
            <w:r w:rsidR="004236F9">
              <w:t>, 0.3 and 0.7 </w:t>
            </w:r>
            <w:r w:rsidR="00D42831">
              <w:t>mg/m</w:t>
            </w:r>
            <w:r w:rsidR="00D42831">
              <w:rPr>
                <w:vertAlign w:val="superscript"/>
              </w:rPr>
              <w:t>3</w:t>
            </w:r>
            <w:r w:rsidR="00D42831">
              <w:t xml:space="preserve"> respirable dust,</w:t>
            </w:r>
            <w:r w:rsidR="00065C18">
              <w:t xml:space="preserve"> and</w:t>
            </w:r>
            <w:r w:rsidR="00D42831">
              <w:t xml:space="preserve"> 3.5 and 0.6 ng/m</w:t>
            </w:r>
            <w:r w:rsidR="00D42831">
              <w:rPr>
                <w:vertAlign w:val="superscript"/>
              </w:rPr>
              <w:t>3</w:t>
            </w:r>
            <w:r w:rsidR="00D42831">
              <w:t xml:space="preserve"> endotoxin</w:t>
            </w:r>
            <w:r>
              <w:t xml:space="preserve"> compared with maintenance worker controls (n=30)</w:t>
            </w:r>
            <w:r w:rsidR="00F15914">
              <w:t>:</w:t>
            </w:r>
            <w:r>
              <w:t xml:space="preserve"> </w:t>
            </w:r>
          </w:p>
          <w:p w14:paraId="0588E8A6" w14:textId="14422486" w:rsidR="00065C18" w:rsidRDefault="0075232B" w:rsidP="00320767">
            <w:pPr>
              <w:pStyle w:val="Tabletextprimarysource"/>
              <w:numPr>
                <w:ilvl w:val="0"/>
                <w:numId w:val="3"/>
              </w:numPr>
            </w:pPr>
            <w:r>
              <w:t>increased prevalence of cough, headaches, chronic bronchitis, and eye and throat irritation in all wood-exposed workers</w:t>
            </w:r>
          </w:p>
          <w:p w14:paraId="1AC831EF" w14:textId="0ED63C03" w:rsidR="008646C5" w:rsidRDefault="00BC0B70" w:rsidP="007C7F3A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Agency recommends </w:t>
            </w:r>
            <w:r w:rsidR="00494014">
              <w:t>TLV-TWA of 0.5 mg/m</w:t>
            </w:r>
            <w:r w:rsidR="00494014">
              <w:rPr>
                <w:vertAlign w:val="superscript"/>
              </w:rPr>
              <w:t>3</w:t>
            </w:r>
            <w:r w:rsidR="00494014">
              <w:t xml:space="preserve"> for western red cedar</w:t>
            </w:r>
            <w:r w:rsidR="00523A4C">
              <w:t>:</w:t>
            </w:r>
          </w:p>
          <w:p w14:paraId="5CC63D9E" w14:textId="77777777" w:rsidR="008646C5" w:rsidRDefault="00494014" w:rsidP="008646C5">
            <w:pPr>
              <w:pStyle w:val="Tabletextprimarysource"/>
              <w:numPr>
                <w:ilvl w:val="1"/>
                <w:numId w:val="2"/>
              </w:numPr>
            </w:pPr>
            <w:r>
              <w:t>protective of asthma</w:t>
            </w:r>
          </w:p>
          <w:p w14:paraId="63B74218" w14:textId="4D84A738" w:rsidR="007A071F" w:rsidRDefault="00494014" w:rsidP="008646C5">
            <w:pPr>
              <w:pStyle w:val="Tabletextprimarysource"/>
              <w:numPr>
                <w:ilvl w:val="1"/>
                <w:numId w:val="2"/>
              </w:numPr>
            </w:pPr>
            <w:r>
              <w:t xml:space="preserve">should be considered in workplace assessments </w:t>
            </w:r>
            <w:r w:rsidR="008646C5">
              <w:t>for</w:t>
            </w:r>
            <w:r>
              <w:t xml:space="preserve"> other tree species due to qualitative evidence for asthma </w:t>
            </w:r>
            <w:r w:rsidR="008646C5">
              <w:t>in other wood species</w:t>
            </w:r>
          </w:p>
          <w:p w14:paraId="33D62DCF" w14:textId="32FDC7DD" w:rsidR="00494014" w:rsidRDefault="00700011" w:rsidP="007C7F3A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Pooled data from 12 carcinogenicity </w:t>
            </w:r>
            <w:r w:rsidR="00550528">
              <w:t xml:space="preserve">case-control </w:t>
            </w:r>
            <w:r>
              <w:t xml:space="preserve">studies indicate increased risk of </w:t>
            </w:r>
            <w:proofErr w:type="spellStart"/>
            <w:r>
              <w:t>sino</w:t>
            </w:r>
            <w:proofErr w:type="spellEnd"/>
            <w:r w:rsidR="00551477">
              <w:noBreakHyphen/>
            </w:r>
            <w:r>
              <w:t>nasal adenocarcinoma associa</w:t>
            </w:r>
            <w:r w:rsidR="00550528">
              <w:t>ted with wood dust exposure (n=680 males, 2,349 male controls, n=250 females, 787 female controls)</w:t>
            </w:r>
            <w:r w:rsidR="00474663">
              <w:t>:</w:t>
            </w:r>
          </w:p>
          <w:p w14:paraId="3064949F" w14:textId="1DA65C53" w:rsidR="008646C5" w:rsidRDefault="00550528" w:rsidP="005B4433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no quantitative exposure data available</w:t>
            </w:r>
          </w:p>
          <w:p w14:paraId="62BD16A1" w14:textId="77777777" w:rsidR="008646C5" w:rsidRDefault="00550528" w:rsidP="005B4433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 xml:space="preserve">exposure groups assigned </w:t>
            </w:r>
            <w:r w:rsidR="00FA594A">
              <w:t>based on job title</w:t>
            </w:r>
          </w:p>
          <w:p w14:paraId="68DA963C" w14:textId="2472CA06" w:rsidR="00550528" w:rsidRDefault="00550528" w:rsidP="005B4433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no excess in lowest exposure category, slight, but significant excess in moderate exposure category</w:t>
            </w:r>
            <w:r w:rsidR="00B532AE">
              <w:t xml:space="preserve"> (OR=3.1)</w:t>
            </w:r>
            <w:r>
              <w:t>, and large excess in highest exposure group</w:t>
            </w:r>
            <w:r w:rsidR="00B532AE">
              <w:t xml:space="preserve"> (OR=46)</w:t>
            </w:r>
          </w:p>
          <w:p w14:paraId="4A4967D9" w14:textId="77777777" w:rsidR="008646C5" w:rsidRDefault="00F23FE0" w:rsidP="00B532AE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Carcinogenicity notations based on </w:t>
            </w:r>
            <w:r w:rsidR="004C47A9">
              <w:t xml:space="preserve">results of </w:t>
            </w:r>
            <w:r>
              <w:t>several case</w:t>
            </w:r>
            <w:r w:rsidR="00312F1B">
              <w:t xml:space="preserve"> studies of furniture manufacturers exposed </w:t>
            </w:r>
            <w:r w:rsidR="007E5663">
              <w:t>primarily</w:t>
            </w:r>
            <w:r w:rsidR="00312F1B">
              <w:t xml:space="preserve"> to oak and beech wood dust</w:t>
            </w:r>
            <w:r>
              <w:t xml:space="preserve"> </w:t>
            </w:r>
            <w:r w:rsidR="008646C5">
              <w:t>with</w:t>
            </w:r>
            <w:r>
              <w:t xml:space="preserve"> strong association between incidence of adenocarcinoma and exposure</w:t>
            </w:r>
          </w:p>
          <w:p w14:paraId="13824AE6" w14:textId="77777777" w:rsidR="008646C5" w:rsidRDefault="00F23FE0" w:rsidP="006E68B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 xml:space="preserve">suggestive relationship </w:t>
            </w:r>
            <w:r w:rsidR="00312F1B">
              <w:t xml:space="preserve">in other cases </w:t>
            </w:r>
            <w:r>
              <w:t>between carcinogenicity and exposure to birch, mahogany, teak, and walnut</w:t>
            </w:r>
          </w:p>
          <w:p w14:paraId="22F05381" w14:textId="77777777" w:rsidR="008646C5" w:rsidRDefault="00F23FE0" w:rsidP="006E68B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current mechanistic data inconclusive</w:t>
            </w:r>
          </w:p>
          <w:p w14:paraId="431AA914" w14:textId="3B395EA2" w:rsidR="00F23FE0" w:rsidRDefault="00F23FE0" w:rsidP="006E68B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dust from other tree species may also be carcinogenic</w:t>
            </w:r>
          </w:p>
          <w:p w14:paraId="7807E23C" w14:textId="78C04FDB" w:rsidR="004C47A9" w:rsidRDefault="004C47A9" w:rsidP="004C47A9">
            <w:pPr>
              <w:pStyle w:val="Tabletextprimarysource"/>
              <w:numPr>
                <w:ilvl w:val="0"/>
                <w:numId w:val="2"/>
              </w:numPr>
            </w:pPr>
            <w:r>
              <w:t>Increased incidence of chromatid breaks (OR=2.8) in exposed workers with lung cancer (n=165, 239 controls)</w:t>
            </w:r>
          </w:p>
          <w:p w14:paraId="03541406" w14:textId="4BC8FC15" w:rsidR="008646C5" w:rsidRDefault="00E13290" w:rsidP="004C47A9">
            <w:pPr>
              <w:pStyle w:val="Tabletextprimarysource"/>
              <w:numPr>
                <w:ilvl w:val="0"/>
                <w:numId w:val="2"/>
              </w:numPr>
            </w:pPr>
            <w:r>
              <w:t>Increased incidence of micronuclei</w:t>
            </w:r>
            <w:r w:rsidR="00591557">
              <w:t xml:space="preserve"> </w:t>
            </w:r>
            <w:r w:rsidR="00591557">
              <w:rPr>
                <w:i/>
              </w:rPr>
              <w:t>in vivo</w:t>
            </w:r>
            <w:r>
              <w:t xml:space="preserve"> </w:t>
            </w:r>
            <w:r w:rsidR="00591557">
              <w:t xml:space="preserve">in peripheral lymphocytes </w:t>
            </w:r>
            <w:r w:rsidR="00225C2A">
              <w:t>in workers exposed to linden and poplar dust (n=298) compared to controls (n=45)</w:t>
            </w:r>
            <w:r w:rsidR="00523A4C">
              <w:t>:</w:t>
            </w:r>
          </w:p>
          <w:p w14:paraId="2E6A90CB" w14:textId="06FF184E" w:rsidR="004C47A9" w:rsidRDefault="00225C2A" w:rsidP="008646C5">
            <w:pPr>
              <w:pStyle w:val="Tabletextprimarysource"/>
              <w:numPr>
                <w:ilvl w:val="1"/>
                <w:numId w:val="2"/>
              </w:numPr>
            </w:pPr>
            <w:r>
              <w:t>effects not dose-dependent</w:t>
            </w:r>
          </w:p>
          <w:p w14:paraId="7D192966" w14:textId="72C4623B" w:rsidR="00225C2A" w:rsidRDefault="00225C2A" w:rsidP="004C47A9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Significant increase in micronucleus formation </w:t>
            </w:r>
            <w:r>
              <w:rPr>
                <w:i/>
              </w:rPr>
              <w:t>in vivo</w:t>
            </w:r>
            <w:r>
              <w:t xml:space="preserve"> in peripheral lymphocytes in workers exposed to birch dust at 1.26</w:t>
            </w:r>
            <w:r>
              <w:rPr>
                <w:rFonts w:cs="Arial"/>
              </w:rPr>
              <w:t>±</w:t>
            </w:r>
            <w:r>
              <w:t>0.46 mg/m</w:t>
            </w:r>
            <w:r>
              <w:rPr>
                <w:vertAlign w:val="superscript"/>
              </w:rPr>
              <w:t>3</w:t>
            </w:r>
            <w:r>
              <w:t xml:space="preserve"> (n=83)</w:t>
            </w:r>
            <w:r w:rsidR="00320767">
              <w:t>.</w:t>
            </w:r>
          </w:p>
          <w:p w14:paraId="5EE172C8" w14:textId="3C94D732" w:rsidR="00DB6F89" w:rsidRDefault="00DB6F89" w:rsidP="003365A5">
            <w:pPr>
              <w:pStyle w:val="Tabletextprimarysource"/>
            </w:pPr>
            <w:r>
              <w:t>Animal data:</w:t>
            </w:r>
          </w:p>
          <w:p w14:paraId="543BAF41" w14:textId="0785A4F1" w:rsidR="00DB6F89" w:rsidRDefault="004C47A9" w:rsidP="007C7F3A">
            <w:pPr>
              <w:pStyle w:val="Tabletextprimarysource"/>
              <w:numPr>
                <w:ilvl w:val="0"/>
                <w:numId w:val="2"/>
              </w:numPr>
            </w:pPr>
            <w:r>
              <w:lastRenderedPageBreak/>
              <w:t xml:space="preserve">Dose-dependent micronucleus formation </w:t>
            </w:r>
            <w:r>
              <w:rPr>
                <w:i/>
              </w:rPr>
              <w:t>in vivo</w:t>
            </w:r>
            <w:r>
              <w:t xml:space="preserve"> in nasal epithelium from hardwood dust exposure (rats, no further details provided)</w:t>
            </w:r>
            <w:r w:rsidR="00BE3D0E">
              <w:t>.</w:t>
            </w:r>
          </w:p>
          <w:p w14:paraId="2D155CC9" w14:textId="77777777" w:rsidR="00BE3D0E" w:rsidRDefault="00BE3D0E" w:rsidP="00BE3D0E">
            <w:pPr>
              <w:pStyle w:val="Tabletextprimarysource"/>
            </w:pPr>
          </w:p>
          <w:p w14:paraId="282E8A66" w14:textId="77777777" w:rsidR="00DB6F89" w:rsidRDefault="00DB6F89" w:rsidP="003365A5">
            <w:pPr>
              <w:pStyle w:val="Tabletextprimarysource"/>
            </w:pPr>
            <w:r>
              <w:t>Insufficient data to recommend a TLV-STEL and skin notation.</w:t>
            </w:r>
          </w:p>
          <w:p w14:paraId="0CE4D35D" w14:textId="27955D71" w:rsidR="00BE3D0E" w:rsidRPr="00DA352E" w:rsidRDefault="00BE3D0E" w:rsidP="003365A5">
            <w:pPr>
              <w:pStyle w:val="Tabletextprimarysource"/>
            </w:pPr>
          </w:p>
        </w:tc>
      </w:tr>
      <w:tr w:rsidR="00C978F0" w:rsidRPr="00DA352E" w14:paraId="174F8B79" w14:textId="77777777" w:rsidTr="00B97A5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18ED3A6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61271">
                  <w:t>1983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61271">
                  <w:t>Not assigned</w:t>
                </w:r>
              </w:sdtContent>
            </w:sdt>
          </w:p>
        </w:tc>
      </w:tr>
      <w:tr w:rsidR="00C978F0" w:rsidRPr="00DA352E" w14:paraId="4433014F" w14:textId="77777777" w:rsidTr="00B97A56">
        <w:trPr>
          <w:gridAfter w:val="1"/>
          <w:wAfter w:w="8" w:type="pct"/>
          <w:cantSplit/>
        </w:trPr>
        <w:tc>
          <w:tcPr>
            <w:tcW w:w="4992" w:type="pct"/>
          </w:tcPr>
          <w:p w14:paraId="345B6646" w14:textId="67BFAB85" w:rsidR="00C978F0" w:rsidRDefault="00225C2A" w:rsidP="003365A5">
            <w:pPr>
              <w:pStyle w:val="Tabletextprimarysource"/>
            </w:pPr>
            <w:r>
              <w:t xml:space="preserve">Summary of </w:t>
            </w:r>
            <w:r w:rsidR="00293B00">
              <w:t>additional</w:t>
            </w:r>
            <w:r>
              <w:t xml:space="preserve"> information</w:t>
            </w:r>
          </w:p>
          <w:p w14:paraId="63E2420A" w14:textId="3F240175" w:rsidR="00225C2A" w:rsidRDefault="00E360AE" w:rsidP="003365A5">
            <w:pPr>
              <w:pStyle w:val="Tabletextprimarysource"/>
            </w:pPr>
            <w:r>
              <w:t>S</w:t>
            </w:r>
            <w:r w:rsidR="00225C2A">
              <w:t>eparate evaluations for beech and oak dust, and all other species</w:t>
            </w:r>
            <w:r>
              <w:t xml:space="preserve"> undertaken</w:t>
            </w:r>
            <w:r w:rsidR="00225C2A">
              <w:t xml:space="preserve">. MAK not established for either </w:t>
            </w:r>
            <w:r w:rsidR="00EA270B">
              <w:t>group</w:t>
            </w:r>
            <w:r w:rsidR="00225C2A">
              <w:t xml:space="preserve"> due to carcinogenicity in humans; beech and oak are confirmed human carcinogens (category 1), evidence for all other species is inconclusive, but suggestive of human </w:t>
            </w:r>
            <w:r w:rsidR="00293B00">
              <w:t>carcinogenicity</w:t>
            </w:r>
            <w:r w:rsidR="00225C2A">
              <w:t xml:space="preserve"> (category 3).</w:t>
            </w:r>
          </w:p>
          <w:p w14:paraId="695AF7D5" w14:textId="5C10C2E7" w:rsidR="00EA270B" w:rsidRDefault="00CB3895" w:rsidP="003365A5">
            <w:pPr>
              <w:pStyle w:val="Tabletextprimarysource"/>
            </w:pPr>
            <w:r>
              <w:t>Dermal and respiratory sensitisation</w:t>
            </w:r>
            <w:r w:rsidR="00C378F0">
              <w:t xml:space="preserve"> potential depends primarily on the chemical composition of the wood species.</w:t>
            </w:r>
            <w:r>
              <w:t xml:space="preserve"> </w:t>
            </w:r>
            <w:proofErr w:type="gramStart"/>
            <w:r w:rsidR="00E360AE">
              <w:t>Forty three</w:t>
            </w:r>
            <w:proofErr w:type="gramEnd"/>
            <w:r w:rsidR="00E360AE">
              <w:t xml:space="preserve"> </w:t>
            </w:r>
            <w:r>
              <w:t xml:space="preserve">tree species are </w:t>
            </w:r>
            <w:r w:rsidR="000F270B">
              <w:t>reported</w:t>
            </w:r>
            <w:r>
              <w:t xml:space="preserve"> individually in separate </w:t>
            </w:r>
            <w:r w:rsidR="000F270B">
              <w:t>assessments</w:t>
            </w:r>
            <w:r>
              <w:t xml:space="preserve">, </w:t>
            </w:r>
            <w:r w:rsidR="00A30CB8">
              <w:t xml:space="preserve">18 </w:t>
            </w:r>
            <w:r>
              <w:t>recommend a dermal sensitiser notation (</w:t>
            </w:r>
            <w:proofErr w:type="spellStart"/>
            <w:r>
              <w:t>Sh</w:t>
            </w:r>
            <w:proofErr w:type="spellEnd"/>
            <w:r>
              <w:t xml:space="preserve">); western </w:t>
            </w:r>
            <w:r w:rsidR="00A33219">
              <w:t>red cedar classified as a dermal and respiratory sensitiser</w:t>
            </w:r>
            <w:r w:rsidR="00957E43">
              <w:t xml:space="preserve"> (Sah)</w:t>
            </w:r>
            <w:r w:rsidR="00A33219">
              <w:t xml:space="preserve"> based on case repo</w:t>
            </w:r>
            <w:r w:rsidR="00C378F0">
              <w:t>r</w:t>
            </w:r>
            <w:r w:rsidR="00A33219">
              <w:t>ts of respiratory sensitisation and contact dermatitis in exposed workers</w:t>
            </w:r>
            <w:r w:rsidR="00957E43">
              <w:t xml:space="preserve"> (also </w:t>
            </w:r>
            <w:r w:rsidR="00E360AE">
              <w:t>reported</w:t>
            </w:r>
            <w:r w:rsidR="00957E43">
              <w:t xml:space="preserve"> in ACGIH, 2018)</w:t>
            </w:r>
            <w:r w:rsidR="00A33219">
              <w:t>.</w:t>
            </w:r>
          </w:p>
          <w:p w14:paraId="3B147789" w14:textId="77777777" w:rsidR="00293B00" w:rsidRPr="009106A3" w:rsidRDefault="00293B00" w:rsidP="003365A5">
            <w:pPr>
              <w:pStyle w:val="Tabletextprimarysource"/>
            </w:pPr>
            <w:r w:rsidRPr="009106A3">
              <w:t>Human data:</w:t>
            </w:r>
          </w:p>
          <w:p w14:paraId="5A79F13C" w14:textId="2328EB02" w:rsidR="009106A3" w:rsidRPr="009106A3" w:rsidRDefault="009106A3" w:rsidP="009106A3">
            <w:pPr>
              <w:pStyle w:val="Tabletextprimarysource"/>
              <w:numPr>
                <w:ilvl w:val="0"/>
                <w:numId w:val="2"/>
              </w:numPr>
            </w:pPr>
            <w:r w:rsidRPr="009106A3">
              <w:t>Inhibition of mucociliary clearance and resultant chronic inflammation may contribute to tumorigenicity, but carcinogenic mechanism of action not established in available studies</w:t>
            </w:r>
          </w:p>
          <w:p w14:paraId="7BBE2A3D" w14:textId="54D68D91" w:rsidR="00293B00" w:rsidRDefault="004A5E44" w:rsidP="004A5E44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additional </w:t>
            </w:r>
            <w:r w:rsidR="00EA270B">
              <w:t>carcinogenicity</w:t>
            </w:r>
            <w:r>
              <w:t xml:space="preserve"> information </w:t>
            </w:r>
            <w:r w:rsidR="00E360AE">
              <w:t>reported</w:t>
            </w:r>
            <w:r>
              <w:t>, human carcinogenicity studies used to support classifications are the same as ACGIH (2018) and consistent with the IARC (1995) evaluation</w:t>
            </w:r>
          </w:p>
          <w:p w14:paraId="723D641B" w14:textId="3E13503A" w:rsidR="00F716B0" w:rsidRDefault="00F716B0" w:rsidP="004A5E44">
            <w:pPr>
              <w:pStyle w:val="Tabletextprimarysource"/>
              <w:numPr>
                <w:ilvl w:val="0"/>
                <w:numId w:val="2"/>
              </w:numPr>
            </w:pPr>
            <w:r>
              <w:t>Positive airway and dermal sensitisation reported in several clinical studies of western red cedar dust exposure</w:t>
            </w:r>
            <w:r w:rsidR="00E158AA">
              <w:t>.</w:t>
            </w:r>
          </w:p>
          <w:p w14:paraId="627AA436" w14:textId="190D0723" w:rsidR="00F716B0" w:rsidRDefault="00F716B0" w:rsidP="00F716B0">
            <w:pPr>
              <w:pStyle w:val="Tabletextprimarysource"/>
            </w:pPr>
            <w:r>
              <w:t>Animal data:</w:t>
            </w:r>
          </w:p>
          <w:p w14:paraId="7DB50FD2" w14:textId="77777777" w:rsidR="00F716B0" w:rsidRDefault="007A357B" w:rsidP="007A357B">
            <w:pPr>
              <w:pStyle w:val="Tabletextprimarysource"/>
              <w:numPr>
                <w:ilvl w:val="0"/>
                <w:numId w:val="2"/>
              </w:numPr>
            </w:pPr>
            <w:r>
              <w:t>Dermal sensitisation following dermal induction with ethyl acetate extract of western red cedar wood (guinea pigs, induction: 3 times/wk, 2 wk, no further details provided)</w:t>
            </w:r>
            <w:r w:rsidR="00E158AA">
              <w:t>.</w:t>
            </w:r>
          </w:p>
          <w:p w14:paraId="61A64F09" w14:textId="1C80366F" w:rsidR="00BE3D0E" w:rsidRPr="00DA352E" w:rsidRDefault="00BE3D0E" w:rsidP="00BE3D0E">
            <w:pPr>
              <w:pStyle w:val="Tabletextprimarysource"/>
            </w:pPr>
          </w:p>
        </w:tc>
      </w:tr>
      <w:tr w:rsidR="00C978F0" w:rsidRPr="00DA352E" w14:paraId="0E6A0B2C" w14:textId="77777777" w:rsidTr="00B97A5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56C8C23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612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961271">
                  <w:t>NA</w:t>
                </w:r>
              </w:sdtContent>
            </w:sdt>
          </w:p>
        </w:tc>
      </w:tr>
      <w:tr w:rsidR="00C978F0" w:rsidRPr="00DA352E" w14:paraId="2008D281" w14:textId="77777777" w:rsidTr="00B97A56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1D131885" w:rsidR="00C978F0" w:rsidRPr="00DA352E" w:rsidRDefault="00961271" w:rsidP="003365A5">
            <w:pPr>
              <w:pStyle w:val="Tabletextprimarysource"/>
            </w:pPr>
            <w:r>
              <w:t>No report</w:t>
            </w:r>
            <w:r w:rsidR="00EC081C">
              <w:t>.</w:t>
            </w:r>
          </w:p>
        </w:tc>
      </w:tr>
      <w:tr w:rsidR="00DA352E" w:rsidRPr="00DA352E" w14:paraId="12BAB90D" w14:textId="77777777" w:rsidTr="00B97A5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4A5CE58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612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961271">
                  <w:t>NA</w:t>
                </w:r>
              </w:sdtContent>
            </w:sdt>
          </w:p>
        </w:tc>
      </w:tr>
      <w:tr w:rsidR="00DA352E" w:rsidRPr="00DA352E" w14:paraId="33AAF4A6" w14:textId="77777777" w:rsidTr="00B97A56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00A07213" w:rsidR="00DA352E" w:rsidRPr="00DA352E" w:rsidRDefault="00961271" w:rsidP="003365A5">
            <w:pPr>
              <w:pStyle w:val="Tabletextprimarysource"/>
            </w:pPr>
            <w:r>
              <w:t>No report</w:t>
            </w:r>
            <w:r w:rsidR="00EC081C">
              <w:t>.</w:t>
            </w:r>
          </w:p>
        </w:tc>
      </w:tr>
      <w:tr w:rsidR="00DA352E" w:rsidRPr="00DA352E" w14:paraId="605F758C" w14:textId="77777777" w:rsidTr="00B97A5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37DB8CB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612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61271">
                  <w:t>NA</w:t>
                </w:r>
              </w:sdtContent>
            </w:sdt>
          </w:p>
        </w:tc>
      </w:tr>
      <w:tr w:rsidR="00DA352E" w:rsidRPr="00DA352E" w14:paraId="7050CB3E" w14:textId="77777777" w:rsidTr="00B97A56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2644E885" w:rsidR="00DA352E" w:rsidRPr="00DA352E" w:rsidRDefault="00961271" w:rsidP="003365A5">
            <w:pPr>
              <w:pStyle w:val="Tabletextprimarysource"/>
            </w:pPr>
            <w:r>
              <w:t>No report</w:t>
            </w:r>
            <w:r w:rsidR="00EC081C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2"/>
        <w:gridCol w:w="421"/>
        <w:gridCol w:w="717"/>
        <w:gridCol w:w="6406"/>
      </w:tblGrid>
      <w:tr w:rsidR="00607E4E" w:rsidRPr="00263255" w14:paraId="6AE89AB3" w14:textId="77777777" w:rsidTr="00B97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2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607E4E" w:rsidRPr="004C23F4" w14:paraId="04FEEADE" w14:textId="77777777" w:rsidTr="00B97A56">
        <w:tc>
          <w:tcPr>
            <w:tcW w:w="1482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1" w:type="dxa"/>
          </w:tcPr>
          <w:p w14:paraId="184BEF97" w14:textId="0E7A4754" w:rsidR="004966BF" w:rsidRPr="00CE617F" w:rsidRDefault="00B97A5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07E4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717" w:type="dxa"/>
          </w:tcPr>
          <w:p w14:paraId="343344A1" w14:textId="3FC23F05" w:rsidR="004966BF" w:rsidRPr="004C23F4" w:rsidRDefault="00957E4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1995, 2012</w:t>
            </w:r>
          </w:p>
        </w:tc>
        <w:tc>
          <w:tcPr>
            <w:tcW w:w="6406" w:type="dxa"/>
          </w:tcPr>
          <w:p w14:paraId="706B23AC" w14:textId="1D11F947" w:rsidR="002E2491" w:rsidRDefault="0064080A" w:rsidP="009F5C00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Increased risk of cancer of nasal cavities and paranasal sinuses associated with wood dust exposure in available cohort and case-control studies </w:t>
            </w:r>
          </w:p>
          <w:p w14:paraId="0A026246" w14:textId="4601D54F" w:rsidR="0064080A" w:rsidRDefault="0064080A" w:rsidP="009F5C00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Insufficient data to evaluate cancer risk attributable to softwood dusts exposure alone due to frequent co-exposure to hardwood dusts</w:t>
            </w:r>
            <w:r w:rsidR="00474663">
              <w:rPr>
                <w:rFonts w:cs="Arial"/>
              </w:rPr>
              <w:t>:</w:t>
            </w:r>
          </w:p>
          <w:p w14:paraId="19361610" w14:textId="371B5E24" w:rsidR="0064080A" w:rsidRDefault="0064080A" w:rsidP="00EC081C">
            <w:pPr>
              <w:pStyle w:val="Tablefont"/>
              <w:numPr>
                <w:ilvl w:val="1"/>
                <w:numId w:val="2"/>
              </w:numPr>
              <w:ind w:left="1098"/>
              <w:rPr>
                <w:rFonts w:cs="Arial"/>
              </w:rPr>
            </w:pPr>
            <w:r>
              <w:rPr>
                <w:rFonts w:cs="Arial"/>
              </w:rPr>
              <w:t>risk of nasal cavity and paranasal sinus cancer elevated in available stu</w:t>
            </w:r>
            <w:r w:rsidR="000F270B">
              <w:rPr>
                <w:rFonts w:cs="Arial"/>
              </w:rPr>
              <w:t>dies of soft</w:t>
            </w:r>
            <w:r>
              <w:rPr>
                <w:rFonts w:cs="Arial"/>
              </w:rPr>
              <w:t xml:space="preserve">wood dust exposure, but not as </w:t>
            </w:r>
            <w:r>
              <w:rPr>
                <w:rFonts w:cs="Arial"/>
              </w:rPr>
              <w:lastRenderedPageBreak/>
              <w:t>high in those with mixed exposures or hardwood dust alone</w:t>
            </w:r>
          </w:p>
          <w:p w14:paraId="74F6E620" w14:textId="7B58FBE3" w:rsidR="0064080A" w:rsidRDefault="0064080A" w:rsidP="00EC081C">
            <w:pPr>
              <w:pStyle w:val="Tablefont"/>
              <w:numPr>
                <w:ilvl w:val="1"/>
                <w:numId w:val="2"/>
              </w:numPr>
              <w:ind w:left="1098"/>
              <w:rPr>
                <w:rFonts w:cs="Arial"/>
              </w:rPr>
            </w:pPr>
            <w:r w:rsidRPr="009F5C00">
              <w:rPr>
                <w:rFonts w:cs="Arial"/>
              </w:rPr>
              <w:t xml:space="preserve">difficult to attribute excess risk to </w:t>
            </w:r>
            <w:r>
              <w:rPr>
                <w:rFonts w:cs="Arial"/>
              </w:rPr>
              <w:t>specific</w:t>
            </w:r>
            <w:r w:rsidRPr="009F5C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tree species</w:t>
            </w:r>
          </w:p>
          <w:p w14:paraId="0CF5B1AB" w14:textId="074BF563" w:rsidR="00A34F6C" w:rsidRDefault="00A34F6C" w:rsidP="009F5C00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No causal association between wood dust exposure and cancer of </w:t>
            </w:r>
            <w:r w:rsidRPr="00B1390D">
              <w:rPr>
                <w:rFonts w:cs="Arial"/>
              </w:rPr>
              <w:t>oropharynx, hypopharynx, lung, lymphatic and haematopoietic systems, stomach, colon or rectum</w:t>
            </w:r>
            <w:r>
              <w:rPr>
                <w:rFonts w:cs="Arial"/>
              </w:rPr>
              <w:t xml:space="preserve"> in available epidemiological data</w:t>
            </w:r>
          </w:p>
          <w:p w14:paraId="16B2DF7C" w14:textId="4F61052D" w:rsidR="00607E4E" w:rsidRDefault="00607E4E" w:rsidP="00A34F6C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Polar extracts of beech wood (hardwood) are mutagenic in </w:t>
            </w:r>
            <w:r>
              <w:rPr>
                <w:rFonts w:cs="Arial"/>
                <w:i/>
              </w:rPr>
              <w:t>in vitro</w:t>
            </w:r>
            <w:r>
              <w:rPr>
                <w:rFonts w:cs="Arial"/>
              </w:rPr>
              <w:t xml:space="preserve"> in bacteria and mammalian cells and </w:t>
            </w:r>
            <w:r>
              <w:rPr>
                <w:rFonts w:cs="Arial"/>
                <w:i/>
              </w:rPr>
              <w:t>in vivo</w:t>
            </w:r>
            <w:r>
              <w:rPr>
                <w:rFonts w:cs="Arial"/>
              </w:rPr>
              <w:t xml:space="preserve"> in rodents</w:t>
            </w:r>
            <w:r w:rsidR="00474663">
              <w:rPr>
                <w:rFonts w:cs="Arial"/>
              </w:rPr>
              <w:t>:</w:t>
            </w:r>
          </w:p>
          <w:p w14:paraId="01586056" w14:textId="09F00435" w:rsidR="00607E4E" w:rsidRDefault="00607E4E" w:rsidP="00EC081C">
            <w:pPr>
              <w:pStyle w:val="Tablefont"/>
              <w:numPr>
                <w:ilvl w:val="1"/>
                <w:numId w:val="2"/>
              </w:numPr>
              <w:ind w:left="1098"/>
              <w:rPr>
                <w:rFonts w:cs="Arial"/>
              </w:rPr>
            </w:pPr>
            <w:r>
              <w:rPr>
                <w:rFonts w:cs="Arial"/>
              </w:rPr>
              <w:t xml:space="preserve">similar results obtained with </w:t>
            </w:r>
            <w:r w:rsidRPr="00B1390D">
              <w:rPr>
                <w:rFonts w:cs="Arial"/>
              </w:rPr>
              <w:t xml:space="preserve">oak wood </w:t>
            </w:r>
            <w:r>
              <w:rPr>
                <w:rFonts w:cs="Arial"/>
              </w:rPr>
              <w:t xml:space="preserve">(hardwood) extracts </w:t>
            </w:r>
          </w:p>
          <w:p w14:paraId="164CF2AD" w14:textId="77777777" w:rsidR="00A30CB8" w:rsidRDefault="00607E4E" w:rsidP="00EC081C">
            <w:pPr>
              <w:pStyle w:val="Tablefont"/>
              <w:numPr>
                <w:ilvl w:val="1"/>
                <w:numId w:val="2"/>
              </w:numPr>
              <w:ind w:left="1098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B1390D">
              <w:rPr>
                <w:rFonts w:cs="Arial"/>
              </w:rPr>
              <w:t>xtracts of spruce</w:t>
            </w:r>
            <w:r>
              <w:rPr>
                <w:rFonts w:cs="Arial"/>
              </w:rPr>
              <w:t xml:space="preserve"> (softwood) are non-mutagenic</w:t>
            </w:r>
          </w:p>
          <w:p w14:paraId="4D1FF4D1" w14:textId="53F61806" w:rsidR="00607E4E" w:rsidRDefault="00A30CB8" w:rsidP="00A30CB8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Mechanism of carcinogenicity is unknown</w:t>
            </w:r>
            <w:r w:rsidR="00607E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based on inconclusive mechanistic studies</w:t>
            </w:r>
          </w:p>
          <w:p w14:paraId="47B9E7E1" w14:textId="277F668B" w:rsidR="00B1390D" w:rsidRDefault="00607E4E" w:rsidP="00B1390D">
            <w:pPr>
              <w:pStyle w:val="Tablefont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B1390D">
              <w:rPr>
                <w:rFonts w:cs="Arial"/>
              </w:rPr>
              <w:t>ufficient</w:t>
            </w:r>
            <w:r w:rsidR="00B1390D" w:rsidRPr="00B1390D">
              <w:rPr>
                <w:rFonts w:cs="Arial"/>
              </w:rPr>
              <w:t xml:space="preserve"> evidence</w:t>
            </w:r>
            <w:r>
              <w:rPr>
                <w:rFonts w:cs="Arial"/>
              </w:rPr>
              <w:t xml:space="preserve"> for carcinogenicity of wood dust in humans; </w:t>
            </w:r>
            <w:r w:rsidR="00B1390D" w:rsidRPr="00B1390D">
              <w:rPr>
                <w:rFonts w:cs="Arial"/>
              </w:rPr>
              <w:t xml:space="preserve">inadequate evidence for carcinogenicity </w:t>
            </w:r>
            <w:r>
              <w:rPr>
                <w:rFonts w:cs="Arial"/>
              </w:rPr>
              <w:t>in animals</w:t>
            </w:r>
          </w:p>
          <w:p w14:paraId="2DDCA6FC" w14:textId="65023D7D" w:rsidR="00B1390D" w:rsidRPr="004C23F4" w:rsidRDefault="00607E4E" w:rsidP="00B1390D">
            <w:pPr>
              <w:pStyle w:val="Tablefon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Overall: </w:t>
            </w:r>
            <w:r w:rsidR="00B1390D" w:rsidRPr="00B1390D">
              <w:rPr>
                <w:rFonts w:cs="Arial"/>
              </w:rPr>
              <w:t>carcinogenic t</w:t>
            </w:r>
            <w:r>
              <w:rPr>
                <w:rFonts w:cs="Arial"/>
              </w:rPr>
              <w:t>o</w:t>
            </w:r>
            <w:r w:rsidR="00B1390D" w:rsidRPr="00B1390D">
              <w:rPr>
                <w:rFonts w:cs="Arial"/>
              </w:rPr>
              <w:t xml:space="preserve"> humans (Group 1)</w:t>
            </w:r>
            <w:r>
              <w:rPr>
                <w:rFonts w:cs="Arial"/>
              </w:rPr>
              <w:t>.</w:t>
            </w:r>
          </w:p>
        </w:tc>
      </w:tr>
      <w:tr w:rsidR="00607E4E" w:rsidRPr="004C23F4" w14:paraId="5319006C" w14:textId="77777777" w:rsidTr="00B97A56">
        <w:trPr>
          <w:cantSplit/>
        </w:trPr>
        <w:tc>
          <w:tcPr>
            <w:tcW w:w="1482" w:type="dxa"/>
          </w:tcPr>
          <w:p w14:paraId="071C9DBA" w14:textId="77777777" w:rsidR="004966BF" w:rsidRPr="004C23F4" w:rsidRDefault="004966BF" w:rsidP="00224EE2">
            <w:pPr>
              <w:pStyle w:val="Tablefont"/>
            </w:pPr>
            <w:r>
              <w:lastRenderedPageBreak/>
              <w:t>Nordic Council</w:t>
            </w:r>
          </w:p>
        </w:tc>
        <w:tc>
          <w:tcPr>
            <w:tcW w:w="421" w:type="dxa"/>
          </w:tcPr>
          <w:p w14:paraId="6FDB9F44" w14:textId="2ED4EB6D" w:rsidR="004966BF" w:rsidRPr="00CE617F" w:rsidRDefault="00B97A5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0487844"/>
                <w:placeholder>
                  <w:docPart w:val="CA68404C5F6B4780904F09DAAE62489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D75DF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717" w:type="dxa"/>
          </w:tcPr>
          <w:p w14:paraId="5779E478" w14:textId="4F35F1DC" w:rsidR="004966BF" w:rsidRPr="004C23F4" w:rsidRDefault="00FD75D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06" w:type="dxa"/>
          </w:tcPr>
          <w:p w14:paraId="7A3EB7AA" w14:textId="25C68701" w:rsidR="004966BF" w:rsidRPr="004C23F4" w:rsidRDefault="00FD75D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English report available; ongoing document</w:t>
            </w:r>
            <w:r w:rsidR="00EC081C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2335D3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6E9A8729" w:rsidR="002E0D61" w:rsidRDefault="002335D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618A4C0" w14:textId="77777777" w:rsidTr="002335D3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1326ACF7" w:rsidR="008A36CF" w:rsidRDefault="002335D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E3D0E" w14:paraId="4D6DDFA3" w14:textId="77777777" w:rsidTr="00B87E2F">
        <w:trPr>
          <w:trHeight w:val="454"/>
        </w:trPr>
        <w:sdt>
          <w:sdtPr>
            <w:rPr>
              <w:b/>
            </w:rPr>
            <w:id w:val="1830936485"/>
            <w:placeholder>
              <w:docPart w:val="F5E096672E9A4F9586239C75546876CC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37CEB028" w:rsidR="00BE3D0E" w:rsidRDefault="00BE3D0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B97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32D44898" w14:textId="77777777" w:rsidTr="00B97A56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E8922BD" w:rsidR="00687890" w:rsidRPr="00DD2F9B" w:rsidRDefault="00457D8D" w:rsidP="00DD2F9B">
            <w:pPr>
              <w:pStyle w:val="Tablefont"/>
            </w:pPr>
            <w:r w:rsidRPr="00457D8D">
              <w:t>Sen</w:t>
            </w:r>
          </w:p>
        </w:tc>
      </w:tr>
      <w:tr w:rsidR="007925F0" w:rsidRPr="004C23F4" w14:paraId="2A0C13EF" w14:textId="77777777" w:rsidTr="00B97A56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3E3D79FB" w:rsidR="007925F0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B97A56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697E783E" w:rsidR="00AF483F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B97A56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D227555" w:rsidR="00687890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B97A56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1800CC94" w:rsidR="00E41A26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B97A56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B23937C" w14:textId="2DA8E886" w:rsidR="002E0D61" w:rsidRDefault="00CB3895" w:rsidP="00DD2F9B">
            <w:pPr>
              <w:pStyle w:val="Tablefont"/>
            </w:pPr>
            <w:r w:rsidRPr="00CB3895">
              <w:rPr>
                <w:i/>
              </w:rPr>
              <w:t>Oak, beech</w:t>
            </w:r>
            <w:r>
              <w:t xml:space="preserve">: </w:t>
            </w:r>
            <w:r w:rsidR="00457D8D" w:rsidRPr="00457D8D">
              <w:t>Carcinogenicity – A1</w:t>
            </w:r>
          </w:p>
          <w:p w14:paraId="24C63E97" w14:textId="0A55717A" w:rsidR="00457D8D" w:rsidRDefault="00CB3895" w:rsidP="00457D8D">
            <w:r w:rsidRPr="00CB3895">
              <w:rPr>
                <w:i/>
              </w:rPr>
              <w:t>Birch, mahogany, teak, walnut</w:t>
            </w:r>
            <w:r>
              <w:t>: Carcinogenicity – A2</w:t>
            </w:r>
          </w:p>
          <w:p w14:paraId="64265B56" w14:textId="0D899154" w:rsidR="00CB3895" w:rsidRDefault="00CB3895" w:rsidP="00457D8D">
            <w:r w:rsidRPr="00CB3895">
              <w:rPr>
                <w:i/>
              </w:rPr>
              <w:t>Western red cedar</w:t>
            </w:r>
            <w:r>
              <w:t xml:space="preserve">: </w:t>
            </w:r>
            <w:r w:rsidRPr="00457D8D">
              <w:t>Carcinogenicity – A4</w:t>
            </w:r>
            <w:r>
              <w:t>, RSEN</w:t>
            </w:r>
            <w:r w:rsidR="00A9349C">
              <w:t>, DSEN</w:t>
            </w:r>
          </w:p>
          <w:p w14:paraId="4A591C6E" w14:textId="61367CEC" w:rsidR="00457D8D" w:rsidRPr="00DD2F9B" w:rsidRDefault="00CB3895" w:rsidP="00DD2F9B">
            <w:pPr>
              <w:pStyle w:val="Tablefont"/>
            </w:pPr>
            <w:r w:rsidRPr="00CB3895">
              <w:rPr>
                <w:i/>
              </w:rPr>
              <w:t>All other species</w:t>
            </w:r>
            <w:r>
              <w:t xml:space="preserve">: </w:t>
            </w:r>
            <w:r w:rsidR="00457D8D" w:rsidRPr="00457D8D">
              <w:t>Carcinogenicity – A4</w:t>
            </w:r>
          </w:p>
        </w:tc>
      </w:tr>
      <w:tr w:rsidR="002E0D61" w:rsidRPr="004C23F4" w14:paraId="43FA3590" w14:textId="77777777" w:rsidTr="00B97A56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63EB5186" w14:textId="56822A1D" w:rsidR="00457D8D" w:rsidRDefault="00A33219" w:rsidP="00DD2F9B">
            <w:pPr>
              <w:pStyle w:val="Tablefont"/>
            </w:pPr>
            <w:r w:rsidRPr="00A33219">
              <w:rPr>
                <w:i/>
              </w:rPr>
              <w:t>Oak, beech</w:t>
            </w:r>
            <w:r>
              <w:t xml:space="preserve">: </w:t>
            </w:r>
            <w:r w:rsidR="00457D8D" w:rsidRPr="00457D8D">
              <w:t>Carcinogenicity – 1</w:t>
            </w:r>
          </w:p>
          <w:p w14:paraId="5A96763F" w14:textId="44AC721C" w:rsidR="00A33219" w:rsidRDefault="00A33219" w:rsidP="00DD2F9B">
            <w:pPr>
              <w:pStyle w:val="Tablefont"/>
            </w:pPr>
            <w:r w:rsidRPr="00A33219">
              <w:rPr>
                <w:i/>
              </w:rPr>
              <w:t>Western red cedar</w:t>
            </w:r>
            <w:r>
              <w:t xml:space="preserve">: Carcinogenicity – 3, Sa (respiratory sensitiser), </w:t>
            </w:r>
            <w:proofErr w:type="spellStart"/>
            <w:r>
              <w:t>Sh</w:t>
            </w:r>
            <w:proofErr w:type="spellEnd"/>
            <w:r>
              <w:t xml:space="preserve"> (dermal sensitiser)</w:t>
            </w:r>
          </w:p>
          <w:p w14:paraId="76555DBE" w14:textId="6E67107F" w:rsidR="00457D8D" w:rsidRPr="00DD2F9B" w:rsidRDefault="00A33219" w:rsidP="00DD2F9B">
            <w:pPr>
              <w:pStyle w:val="Tablefont"/>
            </w:pPr>
            <w:r w:rsidRPr="00A33219">
              <w:rPr>
                <w:i/>
              </w:rPr>
              <w:t>All other species</w:t>
            </w:r>
            <w:r>
              <w:t>: Carcinogenicity – 3, species classified individually with respect to sensitisation potential</w:t>
            </w:r>
          </w:p>
        </w:tc>
      </w:tr>
      <w:tr w:rsidR="002E0D61" w:rsidRPr="004C23F4" w14:paraId="2AC7B866" w14:textId="77777777" w:rsidTr="00B97A56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8FBE716" w:rsidR="002E0D61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B97A56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71E714A" w:rsidR="002E0D61" w:rsidRPr="00DD2F9B" w:rsidRDefault="00457D8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B97A56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2599C0C" w:rsidR="00386093" w:rsidRPr="00DD2F9B" w:rsidRDefault="00320767" w:rsidP="00DD2F9B">
            <w:pPr>
              <w:pStyle w:val="Tablefont"/>
            </w:pPr>
            <w:r w:rsidRPr="00457D8D">
              <w:t xml:space="preserve">Carcinogenicity – </w:t>
            </w:r>
            <w:r>
              <w:t xml:space="preserve">Group </w:t>
            </w:r>
            <w:r w:rsidRPr="00457D8D">
              <w:t>1</w:t>
            </w:r>
          </w:p>
        </w:tc>
      </w:tr>
      <w:tr w:rsidR="00386093" w:rsidRPr="004C23F4" w14:paraId="7461DB0E" w14:textId="77777777" w:rsidTr="00B97A56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152CF14" w:rsidR="00386093" w:rsidRPr="00DD2F9B" w:rsidRDefault="00457D8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3819"/>
              <w:gridCol w:w="1134"/>
              <w:gridCol w:w="1134"/>
              <w:gridCol w:w="2723"/>
            </w:tblGrid>
            <w:tr w:rsidR="002335D3" w:rsidRPr="002335D3" w14:paraId="3F3001B8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9F8F1C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342060E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EF1B9B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02DEF4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60DE0E75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BEC9D5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51CFFD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A4EE0E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4D846C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034FD5E5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DD7592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43E6C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0BB404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05BDD0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796C7539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CD5316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942DE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872141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1395F4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0A8A1ADF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DA05C4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1C05FF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1EE0A6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9D386A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0E63C435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3580C0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99383D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0F6AFA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87EB8A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335D3" w:rsidRPr="002335D3" w14:paraId="0A5C60F0" w14:textId="77777777" w:rsidTr="002335D3">
              <w:trPr>
                <w:trHeight w:val="231"/>
              </w:trPr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6AEC23" w14:textId="77777777" w:rsidR="002335D3" w:rsidRPr="002335D3" w:rsidRDefault="002335D3" w:rsidP="00233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F1CE1C" w14:textId="77777777" w:rsidR="002335D3" w:rsidRPr="002335D3" w:rsidRDefault="002335D3" w:rsidP="00233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7CE861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BB3C5" w14:textId="77777777" w:rsidR="002335D3" w:rsidRPr="002335D3" w:rsidRDefault="002335D3" w:rsidP="002335D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335D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29D664C" w14:textId="728A4DD9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692914D7" w:rsidR="00EB3D1B" w:rsidRDefault="00EC6A3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91779EC" w:rsidR="001B79E5" w:rsidRPr="00A74AA8" w:rsidRDefault="00A74AA8" w:rsidP="001B79E5">
                <w:pPr>
                  <w:pStyle w:val="Tablefont"/>
                </w:pPr>
                <w:r w:rsidRPr="00A74AA8">
                  <w:t>N/A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1C5D4F60" w:rsidR="00A31D99" w:rsidRPr="00A74AA8" w:rsidRDefault="00A0643F" w:rsidP="00A174CC">
            <w:pPr>
              <w:pStyle w:val="Tablefont"/>
            </w:pPr>
            <w:r w:rsidRPr="00A74AA8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74AA8" w:rsidRPr="00A74AA8">
                  <w:t>N/A</w:t>
                </w:r>
              </w:sdtContent>
            </w:sdt>
            <w:r w:rsidRPr="00A74AA8">
              <w:t>; 1 mg/m</w:t>
            </w:r>
            <w:r w:rsidRPr="00A74AA8">
              <w:rPr>
                <w:vertAlign w:val="superscript"/>
              </w:rPr>
              <w:t>3</w:t>
            </w:r>
            <w:r w:rsidRPr="00A74AA8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74AA8" w:rsidRPr="00A74AA8">
                  <w:t>N/A</w:t>
                </w:r>
              </w:sdtContent>
            </w:sdt>
            <w:r w:rsidRPr="00A74AA8">
              <w:t xml:space="preserve"> 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013DA364" w:rsidR="00687890" w:rsidRPr="004C23F4" w:rsidRDefault="00EC081C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B97A5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8EB09D1" w:rsidR="008E4F1F" w:rsidRDefault="008E4F1F" w:rsidP="008E4F1F">
      <w:r w:rsidRPr="002022B6">
        <w:t>Deutsche Forschungsgemeinschaft (DFG)</w:t>
      </w:r>
      <w:r>
        <w:t xml:space="preserve"> (</w:t>
      </w:r>
      <w:r w:rsidR="00EC6A3F">
        <w:t>2002</w:t>
      </w:r>
      <w:r>
        <w:t xml:space="preserve">) </w:t>
      </w:r>
      <w:r w:rsidR="00EC6A3F" w:rsidRPr="00EC6A3F">
        <w:t>Wood dust</w:t>
      </w:r>
      <w:r>
        <w:t xml:space="preserve"> – MAK value documentation.</w:t>
      </w:r>
    </w:p>
    <w:p w14:paraId="5BC8E717" w14:textId="46BE37B5" w:rsidR="00797415" w:rsidRPr="00797415" w:rsidRDefault="00797415" w:rsidP="00797415">
      <w:pPr>
        <w:rPr>
          <w:b/>
          <w:bCs/>
        </w:rPr>
      </w:pPr>
      <w:r w:rsidRPr="00797415">
        <w:t xml:space="preserve">Deutsche Forschungsgemeinschaft (DFG) (2002) </w:t>
      </w:r>
      <w:r w:rsidRPr="00797415">
        <w:rPr>
          <w:bCs/>
        </w:rPr>
        <w:t>Thuja species</w:t>
      </w:r>
      <w:r w:rsidRPr="00797415">
        <w:t xml:space="preserve"> – MAK value documentation.</w:t>
      </w:r>
    </w:p>
    <w:p w14:paraId="63DFC39A" w14:textId="278B03D5" w:rsidR="00797415" w:rsidRPr="00797415" w:rsidRDefault="00797415" w:rsidP="00797415">
      <w:r w:rsidRPr="00797415">
        <w:t>Deutsche Forschungsgemeinschaft (DFG) (2018) List of MAK and BAT Values 2018.</w:t>
      </w:r>
    </w:p>
    <w:p w14:paraId="187E9D8B" w14:textId="710EBCA3" w:rsidR="00797415" w:rsidRPr="00DB0A36" w:rsidRDefault="00797415" w:rsidP="00797415">
      <w:r w:rsidRPr="00DB0A36">
        <w:t>International Agency for Research on Cancer (IARC)</w:t>
      </w:r>
      <w:r>
        <w:t xml:space="preserve"> (1995)</w:t>
      </w:r>
      <w:r w:rsidRPr="00DB0A36">
        <w:t xml:space="preserve">. </w:t>
      </w:r>
      <w:r>
        <w:t xml:space="preserve">Wood dust and formaldehyde. </w:t>
      </w:r>
      <w:r w:rsidRPr="00DB0A36">
        <w:t xml:space="preserve">IARC Monographs – </w:t>
      </w:r>
      <w:r>
        <w:t>62</w:t>
      </w:r>
      <w:r w:rsidRPr="00DB0A36">
        <w:t>.</w:t>
      </w:r>
    </w:p>
    <w:p w14:paraId="5BE45D5B" w14:textId="224BE328" w:rsidR="00797415" w:rsidRPr="00797415" w:rsidRDefault="00797415" w:rsidP="008E4F1F">
      <w:r w:rsidRPr="00DB0A36">
        <w:t>International Agency for Research on Cancer (IARC)</w:t>
      </w:r>
      <w:r>
        <w:t xml:space="preserve"> (2012)</w:t>
      </w:r>
      <w:r w:rsidRPr="00DB0A36">
        <w:t xml:space="preserve"> </w:t>
      </w:r>
      <w:r>
        <w:t>Arsenic, metals, fibres, and dusts</w:t>
      </w:r>
      <w:r w:rsidRPr="00DB0A36">
        <w:t>. IARC Monographs – 100C.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C42C" w16cex:dateUtc="2020-06-02T04:27:00Z"/>
  <w16cex:commentExtensible w16cex:durableId="2280C70C" w16cex:dateUtc="2020-06-02T04:39:00Z"/>
  <w16cex:commentExtensible w16cex:durableId="2280C69C" w16cex:dateUtc="2020-06-02T04:37:00Z"/>
  <w16cex:commentExtensible w16cex:durableId="2280BE9C" w16cex:dateUtc="2020-06-02T0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FAAF" w14:textId="77777777" w:rsidR="00C133A7" w:rsidRDefault="00C133A7" w:rsidP="00F43AD5">
      <w:pPr>
        <w:spacing w:after="0" w:line="240" w:lineRule="auto"/>
      </w:pPr>
      <w:r>
        <w:separator/>
      </w:r>
    </w:p>
  </w:endnote>
  <w:endnote w:type="continuationSeparator" w:id="0">
    <w:p w14:paraId="1E8EC72E" w14:textId="77777777" w:rsidR="00C133A7" w:rsidRDefault="00C133A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D39D" w14:textId="77777777" w:rsidR="00B97A56" w:rsidRDefault="00B97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0B3538C" w14:textId="77777777" w:rsidR="00225C2A" w:rsidRPr="003B5F8A" w:rsidRDefault="00225C2A" w:rsidP="003B5F8A">
        <w:pPr>
          <w:pStyle w:val="Footer"/>
          <w:rPr>
            <w:b/>
            <w:sz w:val="18"/>
            <w:szCs w:val="18"/>
          </w:rPr>
        </w:pPr>
      </w:p>
      <w:p w14:paraId="39026E62" w14:textId="501F0CB3" w:rsidR="00225C2A" w:rsidRDefault="00F935B2" w:rsidP="003B5F8A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Wood dusts</w:t>
        </w:r>
        <w:r w:rsidR="00225C2A" w:rsidRPr="00F43AD5">
          <w:rPr>
            <w:sz w:val="18"/>
            <w:szCs w:val="18"/>
          </w:rPr>
          <w:br/>
          <w:t xml:space="preserve">Safe Work Australia </w:t>
        </w:r>
        <w:r w:rsidR="00225C2A" w:rsidRPr="00F43AD5">
          <w:rPr>
            <w:rFonts w:ascii="Courier New" w:hAnsi="Courier New" w:cs="Courier New"/>
            <w:sz w:val="18"/>
            <w:szCs w:val="18"/>
          </w:rPr>
          <w:t>—</w:t>
        </w:r>
        <w:r w:rsidR="00225C2A"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029773B0" w:rsidR="00225C2A" w:rsidRPr="00F43AD5" w:rsidRDefault="00225C2A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378F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4376" w14:textId="77777777" w:rsidR="00B97A56" w:rsidRDefault="00B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DADC" w14:textId="77777777" w:rsidR="00C133A7" w:rsidRDefault="00C133A7" w:rsidP="00F43AD5">
      <w:pPr>
        <w:spacing w:after="0" w:line="240" w:lineRule="auto"/>
      </w:pPr>
      <w:r>
        <w:separator/>
      </w:r>
    </w:p>
  </w:footnote>
  <w:footnote w:type="continuationSeparator" w:id="0">
    <w:p w14:paraId="5EAC9494" w14:textId="77777777" w:rsidR="00C133A7" w:rsidRDefault="00C133A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3D65" w14:textId="77777777" w:rsidR="00B97A56" w:rsidRDefault="00B97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D9FC" w14:textId="746AEF45" w:rsidR="00B97A56" w:rsidRDefault="00B97A56" w:rsidP="00B97A56">
    <w:pPr>
      <w:pStyle w:val="Header"/>
      <w:jc w:val="right"/>
    </w:pPr>
    <w:r>
      <w:pict w14:anchorId="60DB2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433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34EBDEC" wp14:editId="56B838E1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253E449E" w:rsidR="00225C2A" w:rsidRPr="00B97A56" w:rsidRDefault="00225C2A" w:rsidP="00B97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98F1" w14:textId="77777777" w:rsidR="00B97A56" w:rsidRDefault="00B97A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22D2" w14:textId="10AB13BF" w:rsidR="00B97A56" w:rsidRDefault="00B97A56" w:rsidP="00B97A56">
    <w:pPr>
      <w:pStyle w:val="Header"/>
      <w:jc w:val="right"/>
    </w:pPr>
    <w:r>
      <w:pict w14:anchorId="4DD072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0B68884" wp14:editId="333EF0DD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225C2A" w:rsidRDefault="00225C2A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B91"/>
    <w:multiLevelType w:val="hybridMultilevel"/>
    <w:tmpl w:val="99E0B724"/>
    <w:lvl w:ilvl="0" w:tplc="16ECAB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AF4"/>
    <w:multiLevelType w:val="hybridMultilevel"/>
    <w:tmpl w:val="698A6EE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057CA"/>
    <w:multiLevelType w:val="hybridMultilevel"/>
    <w:tmpl w:val="9FB4563A"/>
    <w:lvl w:ilvl="0" w:tplc="C0868F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70B"/>
    <w:multiLevelType w:val="hybridMultilevel"/>
    <w:tmpl w:val="0F743E60"/>
    <w:lvl w:ilvl="0" w:tplc="B992A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5C18"/>
    <w:rsid w:val="00067F32"/>
    <w:rsid w:val="00071807"/>
    <w:rsid w:val="00077555"/>
    <w:rsid w:val="000803E1"/>
    <w:rsid w:val="000813E8"/>
    <w:rsid w:val="00084513"/>
    <w:rsid w:val="00084859"/>
    <w:rsid w:val="00092D94"/>
    <w:rsid w:val="000B079A"/>
    <w:rsid w:val="000B0868"/>
    <w:rsid w:val="000B3E12"/>
    <w:rsid w:val="000B3E78"/>
    <w:rsid w:val="000B7B48"/>
    <w:rsid w:val="000C096D"/>
    <w:rsid w:val="000C139A"/>
    <w:rsid w:val="000C2053"/>
    <w:rsid w:val="000C248C"/>
    <w:rsid w:val="000C52B0"/>
    <w:rsid w:val="000D0643"/>
    <w:rsid w:val="000D291C"/>
    <w:rsid w:val="000E33E8"/>
    <w:rsid w:val="000E5A54"/>
    <w:rsid w:val="000E63D3"/>
    <w:rsid w:val="000E67CF"/>
    <w:rsid w:val="000E7444"/>
    <w:rsid w:val="000F270B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1015"/>
    <w:rsid w:val="001D369E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5C2A"/>
    <w:rsid w:val="00227EC7"/>
    <w:rsid w:val="002335D3"/>
    <w:rsid w:val="00244AD1"/>
    <w:rsid w:val="002463BC"/>
    <w:rsid w:val="002465CE"/>
    <w:rsid w:val="00256AC6"/>
    <w:rsid w:val="0025734A"/>
    <w:rsid w:val="00263255"/>
    <w:rsid w:val="00276494"/>
    <w:rsid w:val="00277B0C"/>
    <w:rsid w:val="00286C49"/>
    <w:rsid w:val="00293B00"/>
    <w:rsid w:val="002B1A2C"/>
    <w:rsid w:val="002C34F2"/>
    <w:rsid w:val="002C58FF"/>
    <w:rsid w:val="002C7AFE"/>
    <w:rsid w:val="002D05D2"/>
    <w:rsid w:val="002E0D61"/>
    <w:rsid w:val="002E2491"/>
    <w:rsid w:val="002E3857"/>
    <w:rsid w:val="002E4C7B"/>
    <w:rsid w:val="002E71C3"/>
    <w:rsid w:val="0030740C"/>
    <w:rsid w:val="0031128B"/>
    <w:rsid w:val="00312F1B"/>
    <w:rsid w:val="00315833"/>
    <w:rsid w:val="00320767"/>
    <w:rsid w:val="003215EE"/>
    <w:rsid w:val="003224BF"/>
    <w:rsid w:val="003241A8"/>
    <w:rsid w:val="003253F0"/>
    <w:rsid w:val="003264E8"/>
    <w:rsid w:val="00330625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5F8A"/>
    <w:rsid w:val="003C0D58"/>
    <w:rsid w:val="003D4FA3"/>
    <w:rsid w:val="003D7C00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36F9"/>
    <w:rsid w:val="00430179"/>
    <w:rsid w:val="004414B5"/>
    <w:rsid w:val="00444482"/>
    <w:rsid w:val="00444B42"/>
    <w:rsid w:val="00445E44"/>
    <w:rsid w:val="004509E2"/>
    <w:rsid w:val="004515EE"/>
    <w:rsid w:val="004529F0"/>
    <w:rsid w:val="00457D8D"/>
    <w:rsid w:val="00460A03"/>
    <w:rsid w:val="00472A11"/>
    <w:rsid w:val="00472AAD"/>
    <w:rsid w:val="00474663"/>
    <w:rsid w:val="00474E33"/>
    <w:rsid w:val="00476803"/>
    <w:rsid w:val="00485BFD"/>
    <w:rsid w:val="004867A2"/>
    <w:rsid w:val="004873F2"/>
    <w:rsid w:val="00490D4C"/>
    <w:rsid w:val="00493A35"/>
    <w:rsid w:val="00494014"/>
    <w:rsid w:val="0049527A"/>
    <w:rsid w:val="004966BF"/>
    <w:rsid w:val="00497984"/>
    <w:rsid w:val="004A5088"/>
    <w:rsid w:val="004A5E44"/>
    <w:rsid w:val="004C1E3F"/>
    <w:rsid w:val="004C23F4"/>
    <w:rsid w:val="004C3475"/>
    <w:rsid w:val="004C47A9"/>
    <w:rsid w:val="004C58B6"/>
    <w:rsid w:val="004D16A3"/>
    <w:rsid w:val="004D4AA1"/>
    <w:rsid w:val="004D6D68"/>
    <w:rsid w:val="004E333B"/>
    <w:rsid w:val="004E5EDD"/>
    <w:rsid w:val="004F448A"/>
    <w:rsid w:val="004F493D"/>
    <w:rsid w:val="004F65E8"/>
    <w:rsid w:val="0050005E"/>
    <w:rsid w:val="00502B88"/>
    <w:rsid w:val="005142C4"/>
    <w:rsid w:val="0051509C"/>
    <w:rsid w:val="00523A4C"/>
    <w:rsid w:val="005272E2"/>
    <w:rsid w:val="00527B1F"/>
    <w:rsid w:val="0053108F"/>
    <w:rsid w:val="00532063"/>
    <w:rsid w:val="00532B56"/>
    <w:rsid w:val="00534B10"/>
    <w:rsid w:val="005446A2"/>
    <w:rsid w:val="00544D2F"/>
    <w:rsid w:val="00550528"/>
    <w:rsid w:val="00551477"/>
    <w:rsid w:val="00551BD8"/>
    <w:rsid w:val="0055409A"/>
    <w:rsid w:val="0056446C"/>
    <w:rsid w:val="00571767"/>
    <w:rsid w:val="00581055"/>
    <w:rsid w:val="00591557"/>
    <w:rsid w:val="00591E38"/>
    <w:rsid w:val="0059356B"/>
    <w:rsid w:val="005A19C5"/>
    <w:rsid w:val="005A3034"/>
    <w:rsid w:val="005A462D"/>
    <w:rsid w:val="005B253B"/>
    <w:rsid w:val="005B4433"/>
    <w:rsid w:val="005B771D"/>
    <w:rsid w:val="005C5D16"/>
    <w:rsid w:val="005D3193"/>
    <w:rsid w:val="005D32B1"/>
    <w:rsid w:val="005D4A6E"/>
    <w:rsid w:val="005E6979"/>
    <w:rsid w:val="005E75CB"/>
    <w:rsid w:val="006013C1"/>
    <w:rsid w:val="0060669E"/>
    <w:rsid w:val="00607E4E"/>
    <w:rsid w:val="00610F2E"/>
    <w:rsid w:val="00611399"/>
    <w:rsid w:val="00624C4E"/>
    <w:rsid w:val="00625200"/>
    <w:rsid w:val="0063339C"/>
    <w:rsid w:val="006363A8"/>
    <w:rsid w:val="00636DB7"/>
    <w:rsid w:val="0064080A"/>
    <w:rsid w:val="0064173D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3FA9"/>
    <w:rsid w:val="006B4E6C"/>
    <w:rsid w:val="006B50B6"/>
    <w:rsid w:val="006D79EA"/>
    <w:rsid w:val="006E5D05"/>
    <w:rsid w:val="006F7DE9"/>
    <w:rsid w:val="00700011"/>
    <w:rsid w:val="00701053"/>
    <w:rsid w:val="00701507"/>
    <w:rsid w:val="00714021"/>
    <w:rsid w:val="00716A0F"/>
    <w:rsid w:val="00717D45"/>
    <w:rsid w:val="007208F7"/>
    <w:rsid w:val="007218AF"/>
    <w:rsid w:val="00726A85"/>
    <w:rsid w:val="00733F5E"/>
    <w:rsid w:val="007365D1"/>
    <w:rsid w:val="00740E0E"/>
    <w:rsid w:val="00750212"/>
    <w:rsid w:val="00750571"/>
    <w:rsid w:val="00750FFD"/>
    <w:rsid w:val="0075232B"/>
    <w:rsid w:val="00752AA5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415"/>
    <w:rsid w:val="007A071F"/>
    <w:rsid w:val="007A357B"/>
    <w:rsid w:val="007A6E3D"/>
    <w:rsid w:val="007B1B42"/>
    <w:rsid w:val="007C30EB"/>
    <w:rsid w:val="007C7F3A"/>
    <w:rsid w:val="007D5DFF"/>
    <w:rsid w:val="007D6285"/>
    <w:rsid w:val="007E063C"/>
    <w:rsid w:val="007E2A4B"/>
    <w:rsid w:val="007E307D"/>
    <w:rsid w:val="007E5663"/>
    <w:rsid w:val="007E6A4E"/>
    <w:rsid w:val="007E6C94"/>
    <w:rsid w:val="007F1005"/>
    <w:rsid w:val="007F25E0"/>
    <w:rsid w:val="007F5328"/>
    <w:rsid w:val="008018D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41E4"/>
    <w:rsid w:val="0084508E"/>
    <w:rsid w:val="00857A8A"/>
    <w:rsid w:val="008630EE"/>
    <w:rsid w:val="008646C5"/>
    <w:rsid w:val="00864D13"/>
    <w:rsid w:val="00871CD5"/>
    <w:rsid w:val="008745A2"/>
    <w:rsid w:val="008768A8"/>
    <w:rsid w:val="0088798F"/>
    <w:rsid w:val="00887E4B"/>
    <w:rsid w:val="008915C8"/>
    <w:rsid w:val="008941C7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02FA2"/>
    <w:rsid w:val="009106A3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A99"/>
    <w:rsid w:val="00934028"/>
    <w:rsid w:val="0093760E"/>
    <w:rsid w:val="00946044"/>
    <w:rsid w:val="0094660B"/>
    <w:rsid w:val="00946A33"/>
    <w:rsid w:val="0095260E"/>
    <w:rsid w:val="00953C59"/>
    <w:rsid w:val="009578DD"/>
    <w:rsid w:val="00957E43"/>
    <w:rsid w:val="00961124"/>
    <w:rsid w:val="00961271"/>
    <w:rsid w:val="009621B6"/>
    <w:rsid w:val="00974F2D"/>
    <w:rsid w:val="00976903"/>
    <w:rsid w:val="00977524"/>
    <w:rsid w:val="00977E88"/>
    <w:rsid w:val="009837D3"/>
    <w:rsid w:val="00984920"/>
    <w:rsid w:val="0099303A"/>
    <w:rsid w:val="009971C2"/>
    <w:rsid w:val="009A1254"/>
    <w:rsid w:val="009B2FF2"/>
    <w:rsid w:val="009B380C"/>
    <w:rsid w:val="009B4843"/>
    <w:rsid w:val="009B6543"/>
    <w:rsid w:val="009C0D0C"/>
    <w:rsid w:val="009C199D"/>
    <w:rsid w:val="009C278F"/>
    <w:rsid w:val="009C2B94"/>
    <w:rsid w:val="009C5874"/>
    <w:rsid w:val="009D3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5C00"/>
    <w:rsid w:val="00A01D0C"/>
    <w:rsid w:val="00A0643F"/>
    <w:rsid w:val="00A067EE"/>
    <w:rsid w:val="00A10FCE"/>
    <w:rsid w:val="00A16D91"/>
    <w:rsid w:val="00A174CC"/>
    <w:rsid w:val="00A2073D"/>
    <w:rsid w:val="00A20751"/>
    <w:rsid w:val="00A24812"/>
    <w:rsid w:val="00A25FAB"/>
    <w:rsid w:val="00A279D7"/>
    <w:rsid w:val="00A27E2D"/>
    <w:rsid w:val="00A30CB8"/>
    <w:rsid w:val="00A31D99"/>
    <w:rsid w:val="00A33219"/>
    <w:rsid w:val="00A34F6C"/>
    <w:rsid w:val="00A357BA"/>
    <w:rsid w:val="00A35ADC"/>
    <w:rsid w:val="00A402A3"/>
    <w:rsid w:val="00A53681"/>
    <w:rsid w:val="00A633D4"/>
    <w:rsid w:val="00A6461A"/>
    <w:rsid w:val="00A74AA8"/>
    <w:rsid w:val="00A84504"/>
    <w:rsid w:val="00A85AE5"/>
    <w:rsid w:val="00A8672F"/>
    <w:rsid w:val="00A93057"/>
    <w:rsid w:val="00A9349C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4A5B"/>
    <w:rsid w:val="00B1390D"/>
    <w:rsid w:val="00B1422A"/>
    <w:rsid w:val="00B1765C"/>
    <w:rsid w:val="00B213C4"/>
    <w:rsid w:val="00B328CF"/>
    <w:rsid w:val="00B32961"/>
    <w:rsid w:val="00B356D6"/>
    <w:rsid w:val="00B35ED4"/>
    <w:rsid w:val="00B36102"/>
    <w:rsid w:val="00B40C60"/>
    <w:rsid w:val="00B479A9"/>
    <w:rsid w:val="00B518F4"/>
    <w:rsid w:val="00B52EDF"/>
    <w:rsid w:val="00B532AE"/>
    <w:rsid w:val="00B54AE8"/>
    <w:rsid w:val="00B71188"/>
    <w:rsid w:val="00B76A41"/>
    <w:rsid w:val="00B87D4C"/>
    <w:rsid w:val="00B93646"/>
    <w:rsid w:val="00B97A56"/>
    <w:rsid w:val="00BA0B38"/>
    <w:rsid w:val="00BA1045"/>
    <w:rsid w:val="00BA1DBB"/>
    <w:rsid w:val="00BA4510"/>
    <w:rsid w:val="00BA529A"/>
    <w:rsid w:val="00BB612A"/>
    <w:rsid w:val="00BC0B70"/>
    <w:rsid w:val="00BC43F3"/>
    <w:rsid w:val="00BD499F"/>
    <w:rsid w:val="00BD56DE"/>
    <w:rsid w:val="00BE0CBB"/>
    <w:rsid w:val="00BE3D0E"/>
    <w:rsid w:val="00BF2406"/>
    <w:rsid w:val="00C06E43"/>
    <w:rsid w:val="00C133A7"/>
    <w:rsid w:val="00C16315"/>
    <w:rsid w:val="00C3091E"/>
    <w:rsid w:val="00C378F0"/>
    <w:rsid w:val="00C40FF1"/>
    <w:rsid w:val="00C419E2"/>
    <w:rsid w:val="00C42125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437F"/>
    <w:rsid w:val="00CA58FE"/>
    <w:rsid w:val="00CB1CB1"/>
    <w:rsid w:val="00CB3895"/>
    <w:rsid w:val="00CB6BC1"/>
    <w:rsid w:val="00CB6CB8"/>
    <w:rsid w:val="00CC1A68"/>
    <w:rsid w:val="00CC2123"/>
    <w:rsid w:val="00CD2BFD"/>
    <w:rsid w:val="00CE5AD6"/>
    <w:rsid w:val="00CE617F"/>
    <w:rsid w:val="00CE78EF"/>
    <w:rsid w:val="00CE7CDB"/>
    <w:rsid w:val="00CF5D24"/>
    <w:rsid w:val="00CF7263"/>
    <w:rsid w:val="00D048F7"/>
    <w:rsid w:val="00D0517E"/>
    <w:rsid w:val="00D140FC"/>
    <w:rsid w:val="00D16D77"/>
    <w:rsid w:val="00D21D8C"/>
    <w:rsid w:val="00D31357"/>
    <w:rsid w:val="00D33220"/>
    <w:rsid w:val="00D334D1"/>
    <w:rsid w:val="00D42831"/>
    <w:rsid w:val="00D42F8E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14D6"/>
    <w:rsid w:val="00DA352E"/>
    <w:rsid w:val="00DA7833"/>
    <w:rsid w:val="00DB1B9E"/>
    <w:rsid w:val="00DB6F89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3290"/>
    <w:rsid w:val="00E158AA"/>
    <w:rsid w:val="00E16E86"/>
    <w:rsid w:val="00E26A07"/>
    <w:rsid w:val="00E32595"/>
    <w:rsid w:val="00E360AE"/>
    <w:rsid w:val="00E37CFD"/>
    <w:rsid w:val="00E41A26"/>
    <w:rsid w:val="00E46BCB"/>
    <w:rsid w:val="00E51CAF"/>
    <w:rsid w:val="00E60F04"/>
    <w:rsid w:val="00E62AAC"/>
    <w:rsid w:val="00E67C2F"/>
    <w:rsid w:val="00E67EF5"/>
    <w:rsid w:val="00E7204B"/>
    <w:rsid w:val="00E804EA"/>
    <w:rsid w:val="00E80A71"/>
    <w:rsid w:val="00E81755"/>
    <w:rsid w:val="00E82337"/>
    <w:rsid w:val="00E92499"/>
    <w:rsid w:val="00E949AF"/>
    <w:rsid w:val="00E96077"/>
    <w:rsid w:val="00EA0A06"/>
    <w:rsid w:val="00EA270B"/>
    <w:rsid w:val="00EA6243"/>
    <w:rsid w:val="00EA74AB"/>
    <w:rsid w:val="00EB3D1B"/>
    <w:rsid w:val="00EC081C"/>
    <w:rsid w:val="00EC6A3F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7FE"/>
    <w:rsid w:val="00F11C71"/>
    <w:rsid w:val="00F15914"/>
    <w:rsid w:val="00F16019"/>
    <w:rsid w:val="00F20E68"/>
    <w:rsid w:val="00F22093"/>
    <w:rsid w:val="00F236DF"/>
    <w:rsid w:val="00F23FE0"/>
    <w:rsid w:val="00F43AD5"/>
    <w:rsid w:val="00F4402E"/>
    <w:rsid w:val="00F56DD0"/>
    <w:rsid w:val="00F6491C"/>
    <w:rsid w:val="00F67BBB"/>
    <w:rsid w:val="00F716B0"/>
    <w:rsid w:val="00F87D92"/>
    <w:rsid w:val="00F90AA7"/>
    <w:rsid w:val="00F92498"/>
    <w:rsid w:val="00F935B2"/>
    <w:rsid w:val="00F93AE8"/>
    <w:rsid w:val="00F9496B"/>
    <w:rsid w:val="00F970C9"/>
    <w:rsid w:val="00FA06A8"/>
    <w:rsid w:val="00FA3DF5"/>
    <w:rsid w:val="00FA594A"/>
    <w:rsid w:val="00FA741F"/>
    <w:rsid w:val="00FB4E07"/>
    <w:rsid w:val="00FB755A"/>
    <w:rsid w:val="00FC1354"/>
    <w:rsid w:val="00FC60A2"/>
    <w:rsid w:val="00FD1871"/>
    <w:rsid w:val="00FD3110"/>
    <w:rsid w:val="00FD75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7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1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0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A68404C5F6B4780904F09DAAE6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F3A-3709-4B4B-A8CF-1DE054402F6A}"/>
      </w:docPartPr>
      <w:docPartBody>
        <w:p w:rsidR="00D21A9F" w:rsidRDefault="00D21A9F">
          <w:pPr>
            <w:pStyle w:val="CA68404C5F6B4780904F09DAAE62489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F5E096672E9A4F9586239C755468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6B82-D370-46CE-8A4B-FEE758782C70}"/>
      </w:docPartPr>
      <w:docPartBody>
        <w:p w:rsidR="00050B94" w:rsidRDefault="007507A9" w:rsidP="007507A9">
          <w:pPr>
            <w:pStyle w:val="F5E096672E9A4F9586239C75546876CC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50B94"/>
    <w:rsid w:val="00110D93"/>
    <w:rsid w:val="002859FD"/>
    <w:rsid w:val="00347D16"/>
    <w:rsid w:val="003E0149"/>
    <w:rsid w:val="005F5BEF"/>
    <w:rsid w:val="007507A9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7A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F5E096672E9A4F9586239C75546876CC">
    <w:name w:val="F5E096672E9A4F9586239C75546876CC"/>
    <w:rsid w:val="00750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86AB5-7CBF-46A0-B94D-127D4BE60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C3FA50-3C42-4A7A-8293-90E5ED15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2020-04-28T07:43:00Z</dcterms:created>
  <dcterms:modified xsi:type="dcterms:W3CDTF">2020-07-21T02:06:00Z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