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7E146D3B" w:rsidR="00BD499F" w:rsidRPr="004C23F4" w:rsidRDefault="000330EB" w:rsidP="00B40C60">
          <w:pPr>
            <w:pStyle w:val="Heading1"/>
            <w:jc w:val="center"/>
            <w:rPr>
              <w:rFonts w:ascii="Arial" w:hAnsi="Arial" w:cs="Arial"/>
            </w:rPr>
          </w:pPr>
          <w:r w:rsidRPr="000330EB">
            <w:rPr>
              <w:rFonts w:ascii="Arial" w:hAnsi="Arial" w:cs="Arial"/>
            </w:rPr>
            <w:t>Xylidine</w:t>
          </w:r>
          <w:r w:rsidR="000949F0">
            <w:rPr>
              <w:rFonts w:ascii="Arial" w:hAnsi="Arial" w:cs="Arial"/>
            </w:rPr>
            <w:t xml:space="preserve"> (all isomers)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0"/>
        <w:gridCol w:w="5056"/>
      </w:tblGrid>
      <w:tr w:rsidR="00F43AD5" w:rsidRPr="004C23F4" w14:paraId="189D6E38" w14:textId="77777777" w:rsidTr="00E86AA7">
        <w:trPr>
          <w:cantSplit/>
          <w:tblHeader/>
        </w:trPr>
        <w:tc>
          <w:tcPr>
            <w:tcW w:w="3970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6" w:type="dxa"/>
          </w:tcPr>
          <w:p w14:paraId="02692315" w14:textId="77777777" w:rsidR="00F43AD5" w:rsidRDefault="000330EB" w:rsidP="00B76A41">
            <w:pPr>
              <w:pStyle w:val="Tablefont"/>
            </w:pPr>
            <w:r w:rsidRPr="000330EB">
              <w:t>1300-73-8</w:t>
            </w:r>
          </w:p>
          <w:p w14:paraId="3EDBFD9E" w14:textId="0C8201F6" w:rsidR="00612A61" w:rsidRPr="00717D45" w:rsidRDefault="00612A61" w:rsidP="00B76A41">
            <w:pPr>
              <w:pStyle w:val="Tablefont"/>
            </w:pPr>
            <w:r>
              <w:t>87-62-7</w:t>
            </w:r>
            <w:bookmarkStart w:id="0" w:name="_GoBack"/>
            <w:bookmarkEnd w:id="0"/>
          </w:p>
        </w:tc>
      </w:tr>
      <w:tr w:rsidR="00F43AD5" w:rsidRPr="004C23F4" w14:paraId="562A9F51" w14:textId="77777777" w:rsidTr="00E86AA7">
        <w:trPr>
          <w:cantSplit/>
        </w:trPr>
        <w:tc>
          <w:tcPr>
            <w:tcW w:w="3970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6" w:type="dxa"/>
          </w:tcPr>
          <w:p w14:paraId="32648AB9" w14:textId="4572747C" w:rsidR="00F43AD5" w:rsidRPr="00717D45" w:rsidRDefault="000330EB" w:rsidP="00B76A41">
            <w:pPr>
              <w:pStyle w:val="Tablefont"/>
            </w:pPr>
            <w:r>
              <w:t>Aminodimethylbenzene, aminoxylene, dimethylaniline</w:t>
            </w:r>
          </w:p>
        </w:tc>
      </w:tr>
      <w:tr w:rsidR="00F43AD5" w:rsidRPr="004C23F4" w14:paraId="6EE54A08" w14:textId="77777777" w:rsidTr="00E86AA7">
        <w:trPr>
          <w:cantSplit/>
        </w:trPr>
        <w:tc>
          <w:tcPr>
            <w:tcW w:w="3970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6" w:type="dxa"/>
          </w:tcPr>
          <w:p w14:paraId="69369B00" w14:textId="6A94F5F8" w:rsidR="00F43AD5" w:rsidRPr="00717D45" w:rsidRDefault="000330EB" w:rsidP="00B76A41">
            <w:pPr>
              <w:pStyle w:val="Tablefont"/>
            </w:pPr>
            <w:r>
              <w:t>C</w:t>
            </w:r>
            <w:r w:rsidRPr="000330EB">
              <w:rPr>
                <w:vertAlign w:val="subscript"/>
              </w:rPr>
              <w:t>8</w:t>
            </w:r>
            <w:r>
              <w:t>H</w:t>
            </w:r>
            <w:r w:rsidRPr="000330EB">
              <w:rPr>
                <w:vertAlign w:val="subscript"/>
              </w:rPr>
              <w:t>11</w:t>
            </w:r>
            <w:r>
              <w:t>N</w:t>
            </w:r>
          </w:p>
        </w:tc>
      </w:tr>
    </w:tbl>
    <w:p w14:paraId="71D72173" w14:textId="7FA5A88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3738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43ADFC7C" w:rsidR="002C7AFE" w:rsidRPr="00166D29" w:rsidRDefault="00166D2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(2.5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5BE2E5B" w:rsidR="00037E52" w:rsidRPr="00EB3D1B" w:rsidRDefault="00166D29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Carc. 2, 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05C7D0F" w:rsidR="00037E52" w:rsidRPr="00EB3D1B" w:rsidRDefault="00166D29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50 ppm</w:t>
            </w:r>
          </w:p>
        </w:tc>
      </w:tr>
      <w:tr w:rsidR="00155999" w:rsidRPr="004C23F4" w14:paraId="27D0E012" w14:textId="77777777" w:rsidTr="0085432C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3B75D81C" w:rsidR="00155999" w:rsidRPr="00EB3D1B" w:rsidRDefault="00155999" w:rsidP="00037E52">
            <w:pPr>
              <w:pStyle w:val="Tablefont"/>
              <w:rPr>
                <w:b/>
              </w:rPr>
            </w:pPr>
            <w:r w:rsidRPr="00CE3A00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166D29" w:rsidRPr="00CE3A00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4C308827" w:rsidR="006639B4" w:rsidRDefault="00166D29" w:rsidP="000C139A">
      <w:pPr>
        <w:rPr>
          <w:rFonts w:cs="Arial"/>
        </w:rPr>
      </w:pPr>
      <w:r w:rsidRPr="00166D29">
        <w:rPr>
          <w:rFonts w:cs="Arial"/>
        </w:rPr>
        <w:t xml:space="preserve">A TWA of </w:t>
      </w:r>
      <w:r>
        <w:rPr>
          <w:rFonts w:cs="Arial"/>
        </w:rPr>
        <w:t>0.5</w:t>
      </w:r>
      <w:r w:rsidRPr="00166D29">
        <w:rPr>
          <w:rFonts w:cs="Arial"/>
        </w:rPr>
        <w:t xml:space="preserve"> </w:t>
      </w:r>
      <w:r>
        <w:rPr>
          <w:rFonts w:cs="Arial"/>
        </w:rPr>
        <w:t>ppm (2.5</w:t>
      </w:r>
      <w:r w:rsidRPr="00166D29">
        <w:rPr>
          <w:rFonts w:cs="Arial"/>
        </w:rPr>
        <w:t xml:space="preserve"> mg/m</w:t>
      </w:r>
      <w:r w:rsidRPr="00166D29">
        <w:rPr>
          <w:rFonts w:cs="Arial"/>
          <w:vertAlign w:val="superscript"/>
        </w:rPr>
        <w:t>3</w:t>
      </w:r>
      <w:r w:rsidRPr="00166D29">
        <w:rPr>
          <w:rFonts w:cs="Arial"/>
        </w:rPr>
        <w:t xml:space="preserve">) is recommended to protect for </w:t>
      </w:r>
      <w:r w:rsidR="002377D5" w:rsidRPr="00166D29">
        <w:rPr>
          <w:rFonts w:cs="Arial"/>
        </w:rPr>
        <w:t>methaemoglobinaemia</w:t>
      </w:r>
      <w:r w:rsidR="00786B20">
        <w:rPr>
          <w:rFonts w:cs="Arial"/>
        </w:rPr>
        <w:t xml:space="preserve"> and</w:t>
      </w:r>
      <w:r w:rsidR="00786B20" w:rsidRPr="00166D29">
        <w:rPr>
          <w:rFonts w:cs="Arial"/>
        </w:rPr>
        <w:t xml:space="preserve"> </w:t>
      </w:r>
      <w:r w:rsidRPr="00166D29">
        <w:rPr>
          <w:rFonts w:cs="Arial"/>
        </w:rPr>
        <w:t>liver toxicity</w:t>
      </w:r>
      <w:r w:rsidR="00EE51CC">
        <w:rPr>
          <w:rFonts w:cs="Arial"/>
        </w:rPr>
        <w:t xml:space="preserve"> </w:t>
      </w:r>
      <w:r>
        <w:rPr>
          <w:rFonts w:cs="Arial"/>
        </w:rPr>
        <w:t xml:space="preserve">in </w:t>
      </w:r>
      <w:r w:rsidRPr="00166D29">
        <w:rPr>
          <w:rFonts w:cs="Arial"/>
        </w:rPr>
        <w:t>exposed workers</w:t>
      </w:r>
      <w:r>
        <w:rPr>
          <w:rFonts w:cs="Arial"/>
        </w:rPr>
        <w:t>.</w:t>
      </w:r>
    </w:p>
    <w:p w14:paraId="15C1CC10" w14:textId="696094C3" w:rsidR="00537386" w:rsidRPr="00537386" w:rsidRDefault="00537386" w:rsidP="00537386">
      <w:r w:rsidRPr="00537386">
        <w:t>Given the data available from the primary sources</w:t>
      </w:r>
      <w:r>
        <w:t xml:space="preserve"> about the relevance of carcinogenicity in humans</w:t>
      </w:r>
      <w:r w:rsidRPr="00537386">
        <w:t>, it is recommended that a review of additional sources be conducted at the next scheduled review.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1EF54AF" w14:textId="77777777" w:rsidR="00D95F85" w:rsidRDefault="0058786D" w:rsidP="006639B4">
      <w:pPr>
        <w:rPr>
          <w:rFonts w:cs="Arial"/>
        </w:rPr>
      </w:pPr>
      <w:r>
        <w:rPr>
          <w:rFonts w:cs="Arial"/>
        </w:rPr>
        <w:t>Xylidine isomers are present as mixtures in raw materials used in the manufacture of dyes and pharmaceuticals.</w:t>
      </w:r>
      <w:r w:rsidR="00CE3A00">
        <w:rPr>
          <w:rFonts w:cs="Arial"/>
        </w:rPr>
        <w:t xml:space="preserve"> </w:t>
      </w:r>
    </w:p>
    <w:p w14:paraId="00CA9FEA" w14:textId="77777777" w:rsidR="002377D5" w:rsidRDefault="00D95F85" w:rsidP="006639B4">
      <w:pPr>
        <w:rPr>
          <w:rFonts w:cs="Arial"/>
        </w:rPr>
      </w:pPr>
      <w:r>
        <w:rPr>
          <w:rFonts w:cs="Arial"/>
        </w:rPr>
        <w:t>The c</w:t>
      </w:r>
      <w:r w:rsidR="0058786D">
        <w:rPr>
          <w:rFonts w:cs="Arial"/>
        </w:rPr>
        <w:t xml:space="preserve">ritical effects of exposure are </w:t>
      </w:r>
      <w:r w:rsidR="00B94061" w:rsidRPr="00B94061">
        <w:rPr>
          <w:rFonts w:cs="Arial"/>
        </w:rPr>
        <w:t>methaemoglobinaemia</w:t>
      </w:r>
      <w:r w:rsidR="00786B20">
        <w:rPr>
          <w:rFonts w:cs="Arial"/>
        </w:rPr>
        <w:t xml:space="preserve"> and</w:t>
      </w:r>
      <w:r w:rsidR="00B94061" w:rsidRPr="00B94061">
        <w:rPr>
          <w:rFonts w:cs="Arial"/>
        </w:rPr>
        <w:t xml:space="preserve"> liver toxicity</w:t>
      </w:r>
      <w:r w:rsidR="00EE51CC">
        <w:rPr>
          <w:rFonts w:cs="Arial"/>
        </w:rPr>
        <w:t xml:space="preserve"> </w:t>
      </w:r>
      <w:r w:rsidR="0058786D">
        <w:rPr>
          <w:rFonts w:cs="Arial"/>
        </w:rPr>
        <w:t>as observed in animals.</w:t>
      </w:r>
      <w:r w:rsidR="00786B20">
        <w:rPr>
          <w:rFonts w:cs="Arial"/>
        </w:rPr>
        <w:t xml:space="preserve"> </w:t>
      </w:r>
    </w:p>
    <w:p w14:paraId="40B12864" w14:textId="10C01D5D" w:rsidR="0058786D" w:rsidRDefault="00F379C3" w:rsidP="006639B4">
      <w:pPr>
        <w:rPr>
          <w:rFonts w:cs="Arial"/>
        </w:rPr>
      </w:pPr>
      <w:r>
        <w:rPr>
          <w:rFonts w:cs="Arial"/>
        </w:rPr>
        <w:t>No quantitative human exposure data</w:t>
      </w:r>
      <w:r w:rsidR="0058786D">
        <w:rPr>
          <w:rFonts w:cs="Arial"/>
        </w:rPr>
        <w:t xml:space="preserve"> are </w:t>
      </w:r>
      <w:r w:rsidR="00B61288">
        <w:rPr>
          <w:rFonts w:cs="Arial"/>
        </w:rPr>
        <w:t>reported</w:t>
      </w:r>
      <w:r w:rsidR="0058786D">
        <w:rPr>
          <w:rFonts w:cs="Arial"/>
        </w:rPr>
        <w:t xml:space="preserve"> in the available source material. Methaemoglobin </w:t>
      </w:r>
      <w:r w:rsidR="00E86AA7">
        <w:rPr>
          <w:rFonts w:cs="Arial"/>
        </w:rPr>
        <w:t xml:space="preserve">(MetHb) </w:t>
      </w:r>
      <w:r w:rsidR="0058786D">
        <w:rPr>
          <w:rFonts w:cs="Arial"/>
        </w:rPr>
        <w:t xml:space="preserve">formation due to internal exposure to </w:t>
      </w:r>
      <w:r w:rsidR="0085432C">
        <w:rPr>
          <w:rFonts w:cs="Arial"/>
        </w:rPr>
        <w:t xml:space="preserve">the </w:t>
      </w:r>
      <w:r w:rsidR="0058786D">
        <w:rPr>
          <w:rFonts w:cs="Arial"/>
        </w:rPr>
        <w:t>2,6</w:t>
      </w:r>
      <w:r w:rsidR="0058786D">
        <w:rPr>
          <w:rFonts w:cs="Arial"/>
        </w:rPr>
        <w:noBreakHyphen/>
        <w:t>xylidine</w:t>
      </w:r>
      <w:r w:rsidR="0085432C">
        <w:rPr>
          <w:rFonts w:cs="Arial"/>
        </w:rPr>
        <w:t xml:space="preserve"> metabolite</w:t>
      </w:r>
      <w:r w:rsidR="0058786D">
        <w:rPr>
          <w:rFonts w:cs="Arial"/>
        </w:rPr>
        <w:t xml:space="preserve">, is </w:t>
      </w:r>
      <w:r w:rsidR="002377D5">
        <w:rPr>
          <w:rFonts w:cs="Arial"/>
        </w:rPr>
        <w:t xml:space="preserve">reported </w:t>
      </w:r>
      <w:r w:rsidR="0058786D">
        <w:rPr>
          <w:rFonts w:cs="Arial"/>
        </w:rPr>
        <w:t>in patients treated with lidocaine</w:t>
      </w:r>
      <w:r w:rsidR="0085432C">
        <w:rPr>
          <w:rFonts w:cs="Arial"/>
        </w:rPr>
        <w:t xml:space="preserve"> (DFG, 2003).</w:t>
      </w:r>
      <w:r w:rsidR="0058786D">
        <w:rPr>
          <w:rFonts w:cs="Arial"/>
        </w:rPr>
        <w:t xml:space="preserve"> Exposure below 5 ppm is recommended to prevent unsatisfactory working conditions in one investigation of industrial exposures</w:t>
      </w:r>
      <w:r w:rsidR="00E86AA7">
        <w:rPr>
          <w:rFonts w:cs="Arial"/>
        </w:rPr>
        <w:t>.</w:t>
      </w:r>
      <w:r w:rsidR="0058786D">
        <w:rPr>
          <w:rFonts w:cs="Arial"/>
        </w:rPr>
        <w:t xml:space="preserve"> </w:t>
      </w:r>
      <w:r w:rsidR="00E86AA7">
        <w:rPr>
          <w:rFonts w:cs="Arial"/>
        </w:rPr>
        <w:t>H</w:t>
      </w:r>
      <w:r w:rsidR="0058786D">
        <w:rPr>
          <w:rFonts w:cs="Arial"/>
        </w:rPr>
        <w:t xml:space="preserve">owever, no further justification of this value is provided (ACGIH, 2018). </w:t>
      </w:r>
      <w:r>
        <w:rPr>
          <w:rFonts w:cs="Arial"/>
        </w:rPr>
        <w:t>In animals</w:t>
      </w:r>
      <w:r w:rsidR="000E76A0">
        <w:rPr>
          <w:rFonts w:cs="Arial"/>
        </w:rPr>
        <w:t>,</w:t>
      </w:r>
      <w:r>
        <w:rPr>
          <w:rFonts w:cs="Arial"/>
        </w:rPr>
        <w:t xml:space="preserve"> all isomers share the same toxic endpoints</w:t>
      </w:r>
      <w:r w:rsidR="00E86AA7">
        <w:rPr>
          <w:rFonts w:cs="Arial"/>
        </w:rPr>
        <w:t>.</w:t>
      </w:r>
      <w:r>
        <w:rPr>
          <w:rFonts w:cs="Arial"/>
        </w:rPr>
        <w:t xml:space="preserve"> </w:t>
      </w:r>
      <w:r w:rsidR="002377D5">
        <w:rPr>
          <w:rFonts w:cs="Arial"/>
        </w:rPr>
        <w:t>T</w:t>
      </w:r>
      <w:r>
        <w:rPr>
          <w:rFonts w:cs="Arial"/>
        </w:rPr>
        <w:t>heir potency varies slightly (</w:t>
      </w:r>
      <w:r w:rsidR="00404EC3">
        <w:rPr>
          <w:rFonts w:cs="Arial"/>
        </w:rPr>
        <w:t xml:space="preserve">NICNAS, 2015; </w:t>
      </w:r>
      <w:r>
        <w:rPr>
          <w:rFonts w:cs="Arial"/>
        </w:rPr>
        <w:t xml:space="preserve">OECD, 2012). </w:t>
      </w:r>
      <w:r w:rsidR="0085432C">
        <w:rPr>
          <w:rFonts w:cs="Arial"/>
        </w:rPr>
        <w:t xml:space="preserve">A NOAEC of 7.8 to 17.4 ppm for liver toxicity is reported in </w:t>
      </w:r>
      <w:r w:rsidR="00B61288">
        <w:rPr>
          <w:rFonts w:cs="Arial"/>
        </w:rPr>
        <w:t>sub-chronic</w:t>
      </w:r>
      <w:r w:rsidR="0085432C">
        <w:rPr>
          <w:rFonts w:cs="Arial"/>
        </w:rPr>
        <w:t xml:space="preserve"> inhalation studies with various model species (ACGIH, 2018).</w:t>
      </w:r>
      <w:r w:rsidR="00F43C3F">
        <w:rPr>
          <w:rFonts w:cs="Arial"/>
        </w:rPr>
        <w:t xml:space="preserve"> </w:t>
      </w:r>
      <w:r w:rsidR="00851ABE">
        <w:rPr>
          <w:rFonts w:cs="Arial"/>
        </w:rPr>
        <w:t>For</w:t>
      </w:r>
      <w:r w:rsidR="00F43C3F">
        <w:rPr>
          <w:rFonts w:cs="Arial"/>
        </w:rPr>
        <w:t xml:space="preserve"> all isomers except 2,6-xylidine, a</w:t>
      </w:r>
      <w:r>
        <w:rPr>
          <w:rFonts w:cs="Arial"/>
        </w:rPr>
        <w:t xml:space="preserve"> NOAEL of 2 mg/kg/day for </w:t>
      </w:r>
      <w:r w:rsidR="00851ABE">
        <w:rPr>
          <w:rFonts w:cs="Arial"/>
        </w:rPr>
        <w:t>hepatotoxicity</w:t>
      </w:r>
      <w:r w:rsidR="0085432C">
        <w:rPr>
          <w:rFonts w:cs="Arial"/>
        </w:rPr>
        <w:t xml:space="preserve"> is reported in sub</w:t>
      </w:r>
      <w:r w:rsidR="002377D5">
        <w:rPr>
          <w:rFonts w:cs="Arial"/>
        </w:rPr>
        <w:t>-</w:t>
      </w:r>
      <w:r w:rsidR="0085432C">
        <w:rPr>
          <w:rFonts w:cs="Arial"/>
        </w:rPr>
        <w:t>chronic</w:t>
      </w:r>
      <w:r w:rsidR="002377D5">
        <w:rPr>
          <w:rFonts w:cs="Arial"/>
        </w:rPr>
        <w:t xml:space="preserve"> feeding study in</w:t>
      </w:r>
      <w:r w:rsidR="0085432C">
        <w:rPr>
          <w:rFonts w:cs="Arial"/>
        </w:rPr>
        <w:t xml:space="preserve"> dogs (ACGIH, 2018</w:t>
      </w:r>
      <w:r w:rsidR="00F43C3F">
        <w:rPr>
          <w:rFonts w:cs="Arial"/>
        </w:rPr>
        <w:t>)</w:t>
      </w:r>
      <w:r w:rsidR="002377D5">
        <w:rPr>
          <w:rFonts w:cs="Arial"/>
        </w:rPr>
        <w:t xml:space="preserve"> which is considered</w:t>
      </w:r>
      <w:r w:rsidR="00483E75">
        <w:rPr>
          <w:rFonts w:cs="Arial"/>
        </w:rPr>
        <w:t xml:space="preserve"> the LOAEL for 2,6-xylidine </w:t>
      </w:r>
      <w:r w:rsidR="002377D5">
        <w:rPr>
          <w:rFonts w:cs="Arial"/>
        </w:rPr>
        <w:t xml:space="preserve">by </w:t>
      </w:r>
      <w:r w:rsidR="00483E75">
        <w:rPr>
          <w:rFonts w:cs="Arial"/>
        </w:rPr>
        <w:t xml:space="preserve">OECD </w:t>
      </w:r>
      <w:r w:rsidR="002377D5">
        <w:rPr>
          <w:rFonts w:cs="Arial"/>
        </w:rPr>
        <w:t>(</w:t>
      </w:r>
      <w:r w:rsidR="00483E75">
        <w:rPr>
          <w:rFonts w:cs="Arial"/>
        </w:rPr>
        <w:t>2012)</w:t>
      </w:r>
      <w:r w:rsidR="0085432C">
        <w:rPr>
          <w:rFonts w:cs="Arial"/>
        </w:rPr>
        <w:t xml:space="preserve">. Carcinogenicity is </w:t>
      </w:r>
      <w:r w:rsidR="002377D5">
        <w:rPr>
          <w:rFonts w:cs="Arial"/>
        </w:rPr>
        <w:t xml:space="preserve">reported </w:t>
      </w:r>
      <w:r w:rsidR="0085432C">
        <w:rPr>
          <w:rFonts w:cs="Arial"/>
        </w:rPr>
        <w:t>in rats c</w:t>
      </w:r>
      <w:r>
        <w:rPr>
          <w:rFonts w:cs="Arial"/>
        </w:rPr>
        <w:t>hronically exposed at 15 to 150 </w:t>
      </w:r>
      <w:r w:rsidR="0085432C">
        <w:rPr>
          <w:rFonts w:cs="Arial"/>
        </w:rPr>
        <w:t>mg/kg/day</w:t>
      </w:r>
      <w:r w:rsidR="00851ABE">
        <w:rPr>
          <w:rFonts w:cs="Arial"/>
        </w:rPr>
        <w:t xml:space="preserve"> of 2,6-xylidine in the diet</w:t>
      </w:r>
      <w:r w:rsidR="00786B20">
        <w:rPr>
          <w:rFonts w:cs="Arial"/>
        </w:rPr>
        <w:t xml:space="preserve">; however, no information on the dose response is available </w:t>
      </w:r>
      <w:r w:rsidR="00851ABE">
        <w:rPr>
          <w:rFonts w:cs="Arial"/>
        </w:rPr>
        <w:t>(DFG, 2003). T</w:t>
      </w:r>
      <w:r w:rsidR="0085432C">
        <w:rPr>
          <w:rFonts w:cs="Arial"/>
        </w:rPr>
        <w:t>he mutagenic potential of the pure substances is equivocal</w:t>
      </w:r>
      <w:r w:rsidR="00166D29">
        <w:rPr>
          <w:rFonts w:cs="Arial"/>
        </w:rPr>
        <w:t xml:space="preserve"> (ACGIH, 2018; DFG, 2003; HCOTN, 2002</w:t>
      </w:r>
      <w:r>
        <w:rPr>
          <w:rFonts w:cs="Arial"/>
        </w:rPr>
        <w:t>)</w:t>
      </w:r>
      <w:r w:rsidR="00EE51CC">
        <w:rPr>
          <w:rFonts w:cs="Arial"/>
        </w:rPr>
        <w:t xml:space="preserve"> and</w:t>
      </w:r>
      <w:r>
        <w:rPr>
          <w:rFonts w:cs="Arial"/>
        </w:rPr>
        <w:t xml:space="preserve"> t</w:t>
      </w:r>
      <w:r w:rsidR="0085432C">
        <w:rPr>
          <w:rFonts w:cs="Arial"/>
        </w:rPr>
        <w:t>he human relevance of the carcinogenic endpoint is disputed in the available source material (ACGIH, 2018; DFG, 2003; HCOTN, 2002).</w:t>
      </w:r>
    </w:p>
    <w:p w14:paraId="4DFF1D33" w14:textId="172CA487" w:rsidR="0085432C" w:rsidRPr="004C23F4" w:rsidRDefault="0085432C" w:rsidP="006639B4">
      <w:pPr>
        <w:rPr>
          <w:rFonts w:cs="Arial"/>
        </w:rPr>
      </w:pPr>
      <w:r>
        <w:rPr>
          <w:rFonts w:cs="Arial"/>
        </w:rPr>
        <w:lastRenderedPageBreak/>
        <w:t>Based on the weight of evidence of the available animal exposure studies, ACGIH (2018) recommends a TWA equivalent of 0.5 ppm, which is expected to be</w:t>
      </w:r>
      <w:r w:rsidR="00F43C3F">
        <w:rPr>
          <w:rFonts w:cs="Arial"/>
        </w:rPr>
        <w:t xml:space="preserve"> sufficiently low to protect for</w:t>
      </w:r>
      <w:r>
        <w:rPr>
          <w:rFonts w:cs="Arial"/>
        </w:rPr>
        <w:t xml:space="preserve"> methaemoglobinaemia, liver toxicity</w:t>
      </w:r>
      <w:r w:rsidR="00EE51CC">
        <w:rPr>
          <w:rFonts w:cs="Arial"/>
        </w:rPr>
        <w:t xml:space="preserve"> and</w:t>
      </w:r>
      <w:r>
        <w:rPr>
          <w:rFonts w:cs="Arial"/>
        </w:rPr>
        <w:t xml:space="preserve"> potential carcinogeni</w:t>
      </w:r>
      <w:r w:rsidR="00B32469">
        <w:rPr>
          <w:rFonts w:cs="Arial"/>
        </w:rPr>
        <w:t>city. However, due to the absence of a dose-response relationship for carcinogenicity in animals in the available database, DFG (2003) does not recommend a numerical TWA equivalent.</w:t>
      </w:r>
      <w:r w:rsidR="00166D29">
        <w:rPr>
          <w:rFonts w:cs="Arial"/>
        </w:rPr>
        <w:t xml:space="preserve"> In view of </w:t>
      </w:r>
      <w:r w:rsidR="00786B20">
        <w:rPr>
          <w:rFonts w:cs="Arial"/>
        </w:rPr>
        <w:t xml:space="preserve">the </w:t>
      </w:r>
      <w:r w:rsidR="00166D29">
        <w:rPr>
          <w:rFonts w:cs="Arial"/>
        </w:rPr>
        <w:t>uncertainty</w:t>
      </w:r>
      <w:r w:rsidR="00786B20">
        <w:rPr>
          <w:rFonts w:cs="Arial"/>
        </w:rPr>
        <w:t xml:space="preserve"> </w:t>
      </w:r>
      <w:r w:rsidR="002377D5">
        <w:rPr>
          <w:rFonts w:cs="Arial"/>
        </w:rPr>
        <w:t>about</w:t>
      </w:r>
      <w:r w:rsidR="00786B20">
        <w:rPr>
          <w:rFonts w:cs="Arial"/>
        </w:rPr>
        <w:t xml:space="preserve"> carcinogenic</w:t>
      </w:r>
      <w:r w:rsidR="002377D5">
        <w:rPr>
          <w:rFonts w:cs="Arial"/>
        </w:rPr>
        <w:t>ity</w:t>
      </w:r>
      <w:r w:rsidR="00786B20">
        <w:rPr>
          <w:rFonts w:cs="Arial"/>
        </w:rPr>
        <w:t xml:space="preserve"> of 2,6</w:t>
      </w:r>
      <w:r w:rsidR="00B61288">
        <w:rPr>
          <w:rFonts w:cs="Arial"/>
        </w:rPr>
        <w:noBreakHyphen/>
      </w:r>
      <w:r w:rsidR="00786B20">
        <w:rPr>
          <w:rFonts w:cs="Arial"/>
        </w:rPr>
        <w:t>xylidine and its relevance to humans</w:t>
      </w:r>
      <w:r w:rsidR="00166D29">
        <w:rPr>
          <w:rFonts w:cs="Arial"/>
        </w:rPr>
        <w:t xml:space="preserve">, the TWA of 0.5 ppm is retained in the interim and expected to be protective of </w:t>
      </w:r>
      <w:r w:rsidR="00B61288">
        <w:rPr>
          <w:rFonts w:cs="Arial"/>
        </w:rPr>
        <w:t>methaemoglobinaemia</w:t>
      </w:r>
      <w:r w:rsidR="00786B20">
        <w:rPr>
          <w:rFonts w:cs="Arial"/>
        </w:rPr>
        <w:t xml:space="preserve"> and</w:t>
      </w:r>
      <w:r w:rsidR="00786B20" w:rsidRPr="00B94061">
        <w:rPr>
          <w:rFonts w:cs="Arial"/>
        </w:rPr>
        <w:t xml:space="preserve"> liver toxicity</w:t>
      </w:r>
      <w:r w:rsidR="00166D29">
        <w:rPr>
          <w:rFonts w:cs="Arial"/>
        </w:rPr>
        <w:t>.</w:t>
      </w:r>
      <w:r w:rsidR="00F379C3">
        <w:rPr>
          <w:rFonts w:cs="Arial"/>
        </w:rPr>
        <w:t xml:space="preserve"> </w:t>
      </w:r>
      <w:r w:rsidR="001309BC">
        <w:rPr>
          <w:rFonts w:cs="Arial"/>
        </w:rPr>
        <w:t>F</w:t>
      </w:r>
      <w:r w:rsidR="00786B20">
        <w:rPr>
          <w:rFonts w:cs="Arial"/>
        </w:rPr>
        <w:t>u</w:t>
      </w:r>
      <w:r w:rsidR="00166D29">
        <w:rPr>
          <w:rFonts w:cs="Arial"/>
        </w:rPr>
        <w:t xml:space="preserve">rther assessment of additional </w:t>
      </w:r>
      <w:r w:rsidR="00F379C3">
        <w:rPr>
          <w:rFonts w:cs="Arial"/>
        </w:rPr>
        <w:t>information regarding</w:t>
      </w:r>
      <w:r w:rsidR="00166D29">
        <w:rPr>
          <w:rFonts w:cs="Arial"/>
        </w:rPr>
        <w:t xml:space="preserve"> the carcinogenic potential of the substance</w:t>
      </w:r>
      <w:r w:rsidR="00F379C3">
        <w:rPr>
          <w:rFonts w:cs="Arial"/>
        </w:rPr>
        <w:t>s</w:t>
      </w:r>
      <w:r w:rsidR="00166D29">
        <w:rPr>
          <w:rFonts w:cs="Arial"/>
        </w:rPr>
        <w:t xml:space="preserve"> should be prioritised during subsequent reviews of the WES.</w:t>
      </w:r>
    </w:p>
    <w:p w14:paraId="273B44AD" w14:textId="77777777" w:rsidR="004529F0" w:rsidRPr="00B94061" w:rsidRDefault="004529F0" w:rsidP="004529F0">
      <w:pPr>
        <w:pStyle w:val="Heading2"/>
      </w:pPr>
      <w:r w:rsidRPr="00B94061">
        <w:t>Recommendation for notations</w:t>
      </w:r>
    </w:p>
    <w:p w14:paraId="3ED608DF" w14:textId="37CFC6F5" w:rsidR="00166D29" w:rsidRPr="00B94061" w:rsidRDefault="00851ABE" w:rsidP="008E4F1F">
      <w:pPr>
        <w:rPr>
          <w:rFonts w:cs="Arial"/>
        </w:rPr>
      </w:pPr>
      <w:r>
        <w:rPr>
          <w:rFonts w:cs="Arial"/>
        </w:rPr>
        <w:t>2,6-xylidine is c</w:t>
      </w:r>
      <w:r w:rsidR="00166D29" w:rsidRPr="00B94061">
        <w:rPr>
          <w:rFonts w:cs="Arial"/>
        </w:rPr>
        <w:t>lassified as a category 2 carcinogen according to the Globally Harmonized System of Classification and Labelling of Chemicals (GHS)</w:t>
      </w:r>
      <w:r w:rsidR="00E86AA7">
        <w:rPr>
          <w:rFonts w:cs="Arial"/>
        </w:rPr>
        <w:t>.</w:t>
      </w:r>
      <w:r>
        <w:rPr>
          <w:rFonts w:cs="Arial"/>
        </w:rPr>
        <w:t xml:space="preserve"> </w:t>
      </w:r>
      <w:r w:rsidR="00E86AA7">
        <w:rPr>
          <w:rFonts w:cs="Arial"/>
        </w:rPr>
        <w:t>T</w:t>
      </w:r>
      <w:r>
        <w:rPr>
          <w:rFonts w:cs="Arial"/>
        </w:rPr>
        <w:t>he other isomers are not classified as carcinogens according to the GHS</w:t>
      </w:r>
      <w:r w:rsidR="00166D29" w:rsidRPr="00B94061">
        <w:rPr>
          <w:rFonts w:cs="Arial"/>
        </w:rPr>
        <w:t>.</w:t>
      </w:r>
    </w:p>
    <w:p w14:paraId="03916CCC" w14:textId="478E72C7" w:rsidR="008E4F1F" w:rsidRPr="00B94061" w:rsidRDefault="008E4F1F" w:rsidP="008E4F1F">
      <w:pPr>
        <w:rPr>
          <w:rFonts w:cs="Arial"/>
        </w:rPr>
      </w:pPr>
      <w:r w:rsidRPr="00B94061">
        <w:rPr>
          <w:rFonts w:cs="Arial"/>
        </w:rPr>
        <w:t xml:space="preserve">Not classified as a skin </w:t>
      </w:r>
      <w:r w:rsidR="00155999" w:rsidRPr="00B94061">
        <w:rPr>
          <w:rFonts w:cs="Arial"/>
        </w:rPr>
        <w:t xml:space="preserve">sensitiser </w:t>
      </w:r>
      <w:r w:rsidRPr="00B94061">
        <w:rPr>
          <w:rFonts w:cs="Arial"/>
        </w:rPr>
        <w:t>or respiratory sensitiser according to the GHS.</w:t>
      </w:r>
    </w:p>
    <w:p w14:paraId="21CCE2A5" w14:textId="593974E8" w:rsidR="0025734A" w:rsidRPr="00B94061" w:rsidRDefault="00B94061">
      <w:pPr>
        <w:rPr>
          <w:rFonts w:cs="Arial"/>
        </w:rPr>
      </w:pPr>
      <w:r w:rsidRPr="00B94061">
        <w:rPr>
          <w:rFonts w:cs="Arial"/>
        </w:rPr>
        <w:t>A skin notation is recommended due to evidence of dermal absorption and contribution to adverse systemic effects.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F873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F873A7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24B6368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330E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330EB">
                  <w:t>TWA: 0.5 ppm (2.5 mg/m</w:t>
                </w:r>
                <w:r w:rsidR="000330EB" w:rsidRPr="000330EB">
                  <w:rPr>
                    <w:vertAlign w:val="superscript"/>
                  </w:rPr>
                  <w:t>3</w:t>
                </w:r>
                <w:r w:rsidR="000330EB">
                  <w:t>)</w:t>
                </w:r>
              </w:sdtContent>
            </w:sdt>
          </w:p>
        </w:tc>
      </w:tr>
      <w:tr w:rsidR="00C978F0" w:rsidRPr="00DA352E" w14:paraId="26087DDB" w14:textId="77777777" w:rsidTr="00F873A7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F873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7001ADF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330EB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330EB">
                  <w:t xml:space="preserve">TLV-TWA: </w:t>
                </w:r>
                <w:r w:rsidR="002A4EC8">
                  <w:t>0.5 ppm (2.48 mg/m</w:t>
                </w:r>
                <w:r w:rsidR="002A4EC8" w:rsidRPr="002A4EC8">
                  <w:rPr>
                    <w:vertAlign w:val="superscript"/>
                  </w:rPr>
                  <w:t>3</w:t>
                </w:r>
                <w:r w:rsidR="002A4EC8">
                  <w:t>)</w:t>
                </w:r>
              </w:sdtContent>
            </w:sdt>
          </w:p>
        </w:tc>
      </w:tr>
      <w:tr w:rsidR="00C978F0" w:rsidRPr="00DA352E" w14:paraId="418D532D" w14:textId="77777777" w:rsidTr="00F873A7">
        <w:trPr>
          <w:gridAfter w:val="1"/>
          <w:wAfter w:w="8" w:type="pct"/>
        </w:trPr>
        <w:tc>
          <w:tcPr>
            <w:tcW w:w="4992" w:type="pct"/>
          </w:tcPr>
          <w:p w14:paraId="1CD3ACB2" w14:textId="39107A0C" w:rsidR="00363E98" w:rsidRDefault="00100064" w:rsidP="003365A5">
            <w:pPr>
              <w:pStyle w:val="Tabletextprimarysource"/>
            </w:pPr>
            <w:r>
              <w:t>TLV-TWA intended to protect for liver toxicity, methaemoglobinaemia</w:t>
            </w:r>
            <w:r w:rsidR="00EE51CC">
              <w:t xml:space="preserve"> and</w:t>
            </w:r>
            <w:r>
              <w:t xml:space="preserve"> </w:t>
            </w:r>
            <w:r w:rsidR="00363E98">
              <w:t xml:space="preserve">potential </w:t>
            </w:r>
            <w:r>
              <w:t>carcinogenicity</w:t>
            </w:r>
            <w:r w:rsidR="00E74201">
              <w:t>.</w:t>
            </w:r>
            <w:r w:rsidR="00363E98">
              <w:t xml:space="preserve"> Carcinogenicity notation recommended based on increased tumour incidence chronically exposed rats. Skin notation recommended based on </w:t>
            </w:r>
            <w:r w:rsidR="00CE3A00">
              <w:t>CNS</w:t>
            </w:r>
            <w:r w:rsidR="00363E98">
              <w:t xml:space="preserve"> effects observed in cats following dermal application.</w:t>
            </w:r>
          </w:p>
          <w:p w14:paraId="6F5F6F29" w14:textId="26B0866B" w:rsidR="00B61288" w:rsidRDefault="00363E98" w:rsidP="003365A5">
            <w:pPr>
              <w:pStyle w:val="Tabletextprimarysource"/>
            </w:pPr>
            <w:r>
              <w:t>Summary of information:</w:t>
            </w:r>
          </w:p>
          <w:p w14:paraId="3858FF12" w14:textId="78B6FABD" w:rsidR="00363E98" w:rsidRDefault="00E55447" w:rsidP="003365A5">
            <w:pPr>
              <w:pStyle w:val="Tabletextprimarysource"/>
            </w:pPr>
            <w:r>
              <w:t xml:space="preserve">Moderately resembles toxic profile of aniline. </w:t>
            </w:r>
            <w:r w:rsidR="00DA5F0E">
              <w:t xml:space="preserve">TLV-TWA based on weight of evidence of available animal toxicity data; LOAEL of 30 </w:t>
            </w:r>
            <w:r w:rsidR="004123FC">
              <w:t xml:space="preserve">mg/kg/d </w:t>
            </w:r>
            <w:r w:rsidR="00DA5F0E">
              <w:t xml:space="preserve">for </w:t>
            </w:r>
            <w:r w:rsidR="00CE3A00">
              <w:t>MetHb</w:t>
            </w:r>
            <w:r w:rsidR="00DA5F0E">
              <w:t xml:space="preserve"> formation in cats (most sensitive species to this endpoint), NOAEL of 10 </w:t>
            </w:r>
            <w:r w:rsidR="004123FC">
              <w:t xml:space="preserve">mg/kg/d </w:t>
            </w:r>
            <w:r w:rsidR="00DA5F0E">
              <w:t>in rats</w:t>
            </w:r>
            <w:r w:rsidR="00EE51CC">
              <w:t xml:space="preserve"> and</w:t>
            </w:r>
            <w:r w:rsidR="00DA5F0E">
              <w:t xml:space="preserve"> NOAEC of 7.8 ppm and LOAEC of 17.4–45 ppm for hepatoxicity in various species. </w:t>
            </w:r>
            <w:r>
              <w:t>Based on these data, TLV-TWA of 0.5</w:t>
            </w:r>
            <w:r w:rsidR="00CE3A00">
              <w:t> </w:t>
            </w:r>
            <w:r>
              <w:t xml:space="preserve">ppm expected to be protective, but no further justification of the value is </w:t>
            </w:r>
            <w:r w:rsidR="00B61288">
              <w:t>reported</w:t>
            </w:r>
            <w:r>
              <w:t xml:space="preserve">. BEI for </w:t>
            </w:r>
            <w:r w:rsidR="00CE3A00">
              <w:t xml:space="preserve">MetHb </w:t>
            </w:r>
            <w:r>
              <w:t>inducers is available.</w:t>
            </w:r>
          </w:p>
          <w:p w14:paraId="0E6A09D8" w14:textId="1EBE1F78" w:rsidR="00B61288" w:rsidRDefault="00363E98" w:rsidP="003365A5">
            <w:pPr>
              <w:pStyle w:val="Tabletextprimarysource"/>
            </w:pPr>
            <w:r>
              <w:t>Human data:</w:t>
            </w:r>
          </w:p>
          <w:p w14:paraId="35AF4A73" w14:textId="31743BCE" w:rsidR="00363E98" w:rsidRDefault="00DA5F0E" w:rsidP="00B235C7">
            <w:pPr>
              <w:pStyle w:val="Tabletextprimarysource"/>
              <w:numPr>
                <w:ilvl w:val="0"/>
                <w:numId w:val="1"/>
              </w:numPr>
            </w:pPr>
            <w:r>
              <w:t>No reports of poisoning or epidemiological data available</w:t>
            </w:r>
          </w:p>
          <w:p w14:paraId="532728E9" w14:textId="1AFB2378" w:rsidR="00DA5F0E" w:rsidRDefault="00DA5F0E" w:rsidP="00B235C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Exposure at 40 ppm (1 h) considered to cause severe toxic effects in humans, chronic exposure </w:t>
            </w:r>
            <w:r w:rsidR="00CE3A00">
              <w:t>&gt;</w:t>
            </w:r>
            <w:r>
              <w:t>5 ppm would indicate unsatisfactory conditions according to US NIOSH review (no further details provided)</w:t>
            </w:r>
            <w:r w:rsidR="00CE3A00">
              <w:t>.</w:t>
            </w:r>
          </w:p>
          <w:p w14:paraId="379FC0B2" w14:textId="7ECA0D57" w:rsidR="00B61288" w:rsidRDefault="00363E98" w:rsidP="003365A5">
            <w:pPr>
              <w:pStyle w:val="Tabletextprimarysource"/>
            </w:pPr>
            <w:r>
              <w:t>Animal data:</w:t>
            </w:r>
          </w:p>
          <w:p w14:paraId="640EBF95" w14:textId="286EBF23" w:rsidR="00363E98" w:rsidRDefault="000D3EA2" w:rsidP="00B235C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2,5- and 3,5-xylidine most active </w:t>
            </w:r>
            <w:r w:rsidR="00CE3A00">
              <w:t xml:space="preserve">MetHb </w:t>
            </w:r>
            <w:r>
              <w:t xml:space="preserve">inducers in cats, no significant differences in </w:t>
            </w:r>
            <w:r w:rsidR="00CE3A00">
              <w:t xml:space="preserve">MetHb </w:t>
            </w:r>
            <w:r>
              <w:t>producing potential of other isomers</w:t>
            </w:r>
            <w:r w:rsidR="001309BC">
              <w:t>:</w:t>
            </w:r>
          </w:p>
          <w:p w14:paraId="1909FEC9" w14:textId="2E742292" w:rsidR="000D3EA2" w:rsidRDefault="000D3EA2" w:rsidP="00C946C2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single IV injection of 30 mg/kg 2,4-xylidine produced mean </w:t>
            </w:r>
            <w:r w:rsidR="00CE3A00">
              <w:t xml:space="preserve">MetHb </w:t>
            </w:r>
            <w:r>
              <w:t>levels of 6.3% compared with 61.6% produced by same amount of aniline (cats, n=15)</w:t>
            </w:r>
          </w:p>
          <w:p w14:paraId="0FC4EC75" w14:textId="229ACF81" w:rsidR="000D3EA2" w:rsidRDefault="00AB7742" w:rsidP="00B235C7">
            <w:pPr>
              <w:pStyle w:val="Tabletextprimarysource"/>
              <w:numPr>
                <w:ilvl w:val="0"/>
                <w:numId w:val="1"/>
              </w:numPr>
            </w:pPr>
            <w:r>
              <w:t>NOAEL</w:t>
            </w:r>
            <w:r w:rsidR="004123FC">
              <w:t xml:space="preserve"> of </w:t>
            </w:r>
            <w:r>
              <w:t>10 mg/kg/d of 2,4-xylid</w:t>
            </w:r>
            <w:r w:rsidR="00983D51">
              <w:t>i</w:t>
            </w:r>
            <w:r>
              <w:t xml:space="preserve">ne for dose-dependent liver damage and decreased liver function in repeat gavage study with dose groups </w:t>
            </w:r>
            <w:r w:rsidR="004123FC">
              <w:t xml:space="preserve">0, </w:t>
            </w:r>
            <w:r>
              <w:t>10, 25, 50, 100, 250</w:t>
            </w:r>
            <w:r w:rsidR="00EE51CC">
              <w:t xml:space="preserve"> and</w:t>
            </w:r>
            <w:r>
              <w:t xml:space="preserve"> 400 </w:t>
            </w:r>
            <w:r w:rsidR="004123FC">
              <w:t xml:space="preserve">mg/kg/d </w:t>
            </w:r>
            <w:r>
              <w:t>(rats, 7 d); severe bile duct hyperplasia</w:t>
            </w:r>
            <w:r w:rsidR="00EE51CC">
              <w:t xml:space="preserve"> and</w:t>
            </w:r>
            <w:r>
              <w:t xml:space="preserve"> liver cell enlargement and necrosis </w:t>
            </w:r>
            <w:r w:rsidR="004123FC">
              <w:t xml:space="preserve">reported </w:t>
            </w:r>
            <w:r>
              <w:t>at 400 mg/kg/d</w:t>
            </w:r>
          </w:p>
          <w:p w14:paraId="2363C0B3" w14:textId="1E520A05" w:rsidR="00983D51" w:rsidRDefault="00983D51" w:rsidP="00B235C7">
            <w:pPr>
              <w:pStyle w:val="Tabletextprimarysource"/>
              <w:numPr>
                <w:ilvl w:val="0"/>
                <w:numId w:val="1"/>
              </w:numPr>
            </w:pPr>
            <w:r>
              <w:t>Increased liver weight at 20, 100</w:t>
            </w:r>
            <w:r w:rsidR="00EE51CC">
              <w:t xml:space="preserve"> and</w:t>
            </w:r>
            <w:r>
              <w:t xml:space="preserve"> 500–700 mg/kg/d of 2,4- and 2,6-xylidine (rats, 4 wk)</w:t>
            </w:r>
            <w:r w:rsidR="001309BC">
              <w:t>:</w:t>
            </w:r>
            <w:r>
              <w:t xml:space="preserve"> </w:t>
            </w:r>
          </w:p>
          <w:p w14:paraId="5C1CEB36" w14:textId="0344A7F2" w:rsidR="00983D51" w:rsidRDefault="00983D51" w:rsidP="00C946C2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500 mg/kg/d dose increased to 700 mg/kg/d after 2 wk</w:t>
            </w:r>
          </w:p>
          <w:p w14:paraId="7F9A7812" w14:textId="4C5732F7" w:rsidR="00983D51" w:rsidRDefault="00983D51" w:rsidP="00C946C2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mortality, </w:t>
            </w:r>
            <w:r w:rsidR="00B61288">
              <w:t>body weight</w:t>
            </w:r>
            <w:r>
              <w:t xml:space="preserve"> reduction, decreased </w:t>
            </w:r>
            <w:r w:rsidR="00CE3A00">
              <w:t>Hb</w:t>
            </w:r>
            <w:r>
              <w:t xml:space="preserve"> concentration and haematocrit</w:t>
            </w:r>
            <w:r w:rsidR="00EE51CC">
              <w:t xml:space="preserve"> and</w:t>
            </w:r>
            <w:r>
              <w:t xml:space="preserve"> liver cell necrosis at 500–700 mg/kg/d</w:t>
            </w:r>
          </w:p>
          <w:p w14:paraId="7F1E7BE8" w14:textId="68C37FC3" w:rsidR="00983D51" w:rsidRDefault="00983D51" w:rsidP="00C946C2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effects most pronounced in groups exposed to 2,4-xylidine</w:t>
            </w:r>
          </w:p>
          <w:p w14:paraId="2F0956A6" w14:textId="07604E5D" w:rsidR="00983D51" w:rsidRDefault="00983D51" w:rsidP="00B235C7">
            <w:pPr>
              <w:pStyle w:val="Tabletextprimarysource"/>
              <w:numPr>
                <w:ilvl w:val="0"/>
                <w:numId w:val="1"/>
              </w:numPr>
            </w:pPr>
            <w:r>
              <w:t>Fatty liver degeneration, increased liver weight</w:t>
            </w:r>
            <w:r w:rsidR="00EE51CC">
              <w:t xml:space="preserve"> and</w:t>
            </w:r>
            <w:r>
              <w:t xml:space="preserve"> vomiting at 10 and 50 mg/kg/d of 2,4</w:t>
            </w:r>
            <w:r w:rsidR="004123FC">
              <w:noBreakHyphen/>
              <w:t>, </w:t>
            </w:r>
            <w:r>
              <w:t>2,5-</w:t>
            </w:r>
            <w:r w:rsidR="00EE51CC">
              <w:t xml:space="preserve"> and</w:t>
            </w:r>
            <w:r>
              <w:t xml:space="preserve"> 2,6-xylidine in </w:t>
            </w:r>
            <w:r w:rsidR="00B61288">
              <w:t>sub-chronic</w:t>
            </w:r>
            <w:r>
              <w:t xml:space="preserve"> gavage study (dogs, 4 wk); NOAEL</w:t>
            </w:r>
            <w:r w:rsidR="004123FC">
              <w:t xml:space="preserve"> of </w:t>
            </w:r>
            <w:r>
              <w:t xml:space="preserve">2 mg/kg/d; effects were most severe in 2,6-xylidine groups </w:t>
            </w:r>
          </w:p>
          <w:p w14:paraId="055889D6" w14:textId="7FC73E63" w:rsidR="00EB58C9" w:rsidRDefault="003446E6" w:rsidP="00B235C7">
            <w:pPr>
              <w:pStyle w:val="Tabletextprimarysource"/>
              <w:numPr>
                <w:ilvl w:val="0"/>
                <w:numId w:val="1"/>
              </w:numPr>
            </w:pPr>
            <w:r>
              <w:t>Liver toxicity (cats) at 17.4 ppm</w:t>
            </w:r>
            <w:r w:rsidR="00EE51CC">
              <w:t xml:space="preserve"> and</w:t>
            </w:r>
            <w:r>
              <w:t xml:space="preserve"> increased mortality, pneumonitis</w:t>
            </w:r>
            <w:r w:rsidR="00EE51CC">
              <w:t xml:space="preserve"> and</w:t>
            </w:r>
            <w:r>
              <w:t xml:space="preserve"> degeneration of the heart, liver</w:t>
            </w:r>
            <w:r w:rsidR="00EE51CC">
              <w:t xml:space="preserve"> and</w:t>
            </w:r>
            <w:r>
              <w:t xml:space="preserve"> kidney cells at 50–142 ppm (rats, guinea pigs, rabbits, cats) </w:t>
            </w:r>
            <w:r w:rsidR="004123FC">
              <w:t xml:space="preserve">reported </w:t>
            </w:r>
            <w:r>
              <w:t xml:space="preserve">in </w:t>
            </w:r>
            <w:r w:rsidR="00B61288">
              <w:t>sub-chronic</w:t>
            </w:r>
            <w:r>
              <w:t xml:space="preserve"> inhalation study (7 h/d, 5 d/wk, 10 wk); NOAEC</w:t>
            </w:r>
            <w:r w:rsidR="004123FC">
              <w:t xml:space="preserve"> of </w:t>
            </w:r>
            <w:r>
              <w:t>7.8 ppm (cats), 17.4 ppm (all other species)</w:t>
            </w:r>
          </w:p>
          <w:p w14:paraId="505F8469" w14:textId="19B149BD" w:rsidR="003446E6" w:rsidRDefault="00B235C7" w:rsidP="00B235C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vascular tumours in males at 6,000 ppm, but not </w:t>
            </w:r>
            <w:r w:rsidR="00CE3A00">
              <w:t xml:space="preserve">at </w:t>
            </w:r>
            <w:r>
              <w:t>12,000 ppm</w:t>
            </w:r>
            <w:r w:rsidR="004123FC">
              <w:t>,</w:t>
            </w:r>
            <w:r>
              <w:t xml:space="preserve"> reported in chronic feeding study using 2,5-xylidine (mice, 18 mo)</w:t>
            </w:r>
          </w:p>
          <w:p w14:paraId="333FD6DB" w14:textId="41668F2F" w:rsidR="00B235C7" w:rsidRDefault="00B235C7" w:rsidP="00B235C7">
            <w:pPr>
              <w:pStyle w:val="Tabletextprimarysource"/>
              <w:numPr>
                <w:ilvl w:val="0"/>
                <w:numId w:val="1"/>
              </w:numPr>
            </w:pPr>
            <w:r>
              <w:t>Non-carcinogenic at 3,000–12,000 ppm in chronic feeding study (male rats, 18 mo)</w:t>
            </w:r>
          </w:p>
          <w:p w14:paraId="1A29855F" w14:textId="6351690E" w:rsidR="00B235C7" w:rsidRDefault="00B235C7" w:rsidP="00B235C7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Equivocal mutagenicity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>
              <w:t xml:space="preserve">; point mutations observed </w:t>
            </w:r>
            <w:r>
              <w:rPr>
                <w:i/>
              </w:rPr>
              <w:t>in vitro</w:t>
            </w:r>
            <w:r>
              <w:t xml:space="preserve"> in bacteria, inhibition of testicular DNA synthesis </w:t>
            </w:r>
            <w:r>
              <w:rPr>
                <w:i/>
              </w:rPr>
              <w:t>in vivo</w:t>
            </w:r>
            <w:r>
              <w:t xml:space="preserve"> (mice) with 2,3-, 2,6-</w:t>
            </w:r>
            <w:r w:rsidR="00EE51CC">
              <w:t xml:space="preserve"> and</w:t>
            </w:r>
            <w:r>
              <w:t xml:space="preserve"> 3,5-xylidine, but not with other isomers at 200 mg/kg oral dose or 100 mg/kg IP dose</w:t>
            </w:r>
            <w:r w:rsidR="00CE3A00">
              <w:t>.</w:t>
            </w:r>
          </w:p>
          <w:p w14:paraId="5D09FCEC" w14:textId="77777777" w:rsidR="00E86AA7" w:rsidRDefault="00E86AA7" w:rsidP="00B235C7">
            <w:pPr>
              <w:pStyle w:val="Tabletextprimarysource"/>
            </w:pPr>
          </w:p>
          <w:p w14:paraId="1729083F" w14:textId="77777777" w:rsidR="00E74201" w:rsidRDefault="00363E98" w:rsidP="00B235C7">
            <w:pPr>
              <w:pStyle w:val="Tabletextprimarysource"/>
            </w:pPr>
            <w:r>
              <w:t xml:space="preserve">Insufficient data to recommend a TLV-STEL or notations for </w:t>
            </w:r>
            <w:r w:rsidR="00CE3A00">
              <w:t xml:space="preserve">sensitisation. </w:t>
            </w:r>
          </w:p>
          <w:p w14:paraId="0CE4D35D" w14:textId="6338DAA6" w:rsidR="00E86AA7" w:rsidRPr="00DA352E" w:rsidRDefault="00E86AA7" w:rsidP="00B235C7">
            <w:pPr>
              <w:pStyle w:val="Tabletextprimarysource"/>
            </w:pPr>
          </w:p>
        </w:tc>
      </w:tr>
      <w:tr w:rsidR="00C978F0" w:rsidRPr="00DA352E" w14:paraId="174F8B79" w14:textId="77777777" w:rsidTr="00F873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3ABDFE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A4EC8">
                  <w:t>1966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A4EC8">
                  <w:t>Not assigned</w:t>
                </w:r>
              </w:sdtContent>
            </w:sdt>
          </w:p>
        </w:tc>
      </w:tr>
      <w:tr w:rsidR="00C978F0" w:rsidRPr="00DA352E" w14:paraId="4433014F" w14:textId="77777777" w:rsidTr="00F873A7">
        <w:trPr>
          <w:gridAfter w:val="1"/>
          <w:wAfter w:w="8" w:type="pct"/>
          <w:cantSplit/>
        </w:trPr>
        <w:tc>
          <w:tcPr>
            <w:tcW w:w="4992" w:type="pct"/>
          </w:tcPr>
          <w:p w14:paraId="16ADCF11" w14:textId="168FC868" w:rsidR="00B61288" w:rsidRDefault="00B62A30" w:rsidP="003365A5">
            <w:pPr>
              <w:pStyle w:val="Tabletextprimarysource"/>
            </w:pPr>
            <w:r>
              <w:t>Summary of additional information:</w:t>
            </w:r>
          </w:p>
          <w:p w14:paraId="108EC3C5" w14:textId="70656E7D" w:rsidR="00B62A30" w:rsidRDefault="00B62A30" w:rsidP="003365A5">
            <w:pPr>
              <w:pStyle w:val="Tabletextprimarysource"/>
            </w:pPr>
            <w:r>
              <w:t xml:space="preserve">MAK not established due to potential genotoxic carcinogenicity. Available data suggests xylidine isomers are candidates for category 5 carcinogenicity classification (substances for which weak genotoxic carcinogenic properties are observed that may be prevented if a MAK is observed), but there is currently insufficient supporting data on dose-dependence </w:t>
            </w:r>
            <w:r w:rsidR="00B94061">
              <w:t xml:space="preserve">of carcinogenicity </w:t>
            </w:r>
            <w:r>
              <w:t>and response</w:t>
            </w:r>
            <w:r w:rsidR="00B94061">
              <w:t>s</w:t>
            </w:r>
            <w:r>
              <w:t xml:space="preserve"> in different species.</w:t>
            </w:r>
          </w:p>
          <w:p w14:paraId="5C1DAB72" w14:textId="45381B86" w:rsidR="00C978F0" w:rsidRDefault="00B62A30" w:rsidP="003365A5">
            <w:pPr>
              <w:pStyle w:val="Tabletextprimarysource"/>
            </w:pPr>
            <w:r>
              <w:t>2,4- and 2,6-xylidine are classified as category 2 carcinogens based on positive carcinogenicity in animals. 2,3-, 2,5-, 3,4-</w:t>
            </w:r>
            <w:r w:rsidR="00EE51CC">
              <w:t xml:space="preserve"> and</w:t>
            </w:r>
            <w:r>
              <w:t xml:space="preserve"> 3,5-xylidine are</w:t>
            </w:r>
            <w:r w:rsidR="000949F0">
              <w:t xml:space="preserve"> provisionally</w:t>
            </w:r>
            <w:r>
              <w:t xml:space="preserve"> classified as </w:t>
            </w:r>
            <w:r w:rsidR="000949F0">
              <w:t>category 3A carcinogens based on analogy to 2,4- and 2,6-xylidine.</w:t>
            </w:r>
          </w:p>
          <w:p w14:paraId="0A6D699A" w14:textId="2CCBA2CF" w:rsidR="000949F0" w:rsidRDefault="000949F0" w:rsidP="003365A5">
            <w:pPr>
              <w:pStyle w:val="Tabletextprimarysource"/>
            </w:pPr>
            <w:r>
              <w:t>Skin notation recommended based on evidence for systemic effects following dermal absorption in animals.</w:t>
            </w:r>
          </w:p>
          <w:p w14:paraId="696FD97B" w14:textId="2507F874" w:rsidR="00B61288" w:rsidRDefault="000949F0" w:rsidP="003365A5">
            <w:pPr>
              <w:pStyle w:val="Tabletextprimarysource"/>
            </w:pPr>
            <w:r>
              <w:t>Human data:</w:t>
            </w:r>
          </w:p>
          <w:p w14:paraId="6F00BCD0" w14:textId="63E9FD55" w:rsidR="000949F0" w:rsidRDefault="00CE3A00" w:rsidP="003E553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MetHb </w:t>
            </w:r>
            <w:r w:rsidR="003E5536">
              <w:t>in patients treated with lidocaine, of which 2,6-xylidine is a metabolite</w:t>
            </w:r>
          </w:p>
          <w:p w14:paraId="5CA47A79" w14:textId="3DD3363C" w:rsidR="00B61288" w:rsidRDefault="000949F0" w:rsidP="003365A5">
            <w:pPr>
              <w:pStyle w:val="Tabletextprimarysource"/>
            </w:pPr>
            <w:r>
              <w:t>Animal data:</w:t>
            </w:r>
          </w:p>
          <w:p w14:paraId="68F6F908" w14:textId="6AD46932" w:rsidR="00AA7B95" w:rsidRDefault="00AA7B95" w:rsidP="000949F0">
            <w:pPr>
              <w:pStyle w:val="Tabletextprimarysource"/>
              <w:numPr>
                <w:ilvl w:val="0"/>
                <w:numId w:val="1"/>
              </w:numPr>
            </w:pPr>
            <w:r>
              <w:t>Dermal LD</w:t>
            </w:r>
            <w:r>
              <w:rPr>
                <w:vertAlign w:val="subscript"/>
              </w:rPr>
              <w:t>50</w:t>
            </w:r>
            <w:r>
              <w:t>: 1,500 mg/kg (rabbits), 2,000 mg/kg (rats), 1,670 mg/kg (mice)</w:t>
            </w:r>
            <w:r w:rsidR="001309BC">
              <w:t>:</w:t>
            </w:r>
          </w:p>
          <w:p w14:paraId="193D6F5C" w14:textId="1D0B3511" w:rsidR="00AA7B95" w:rsidRDefault="00AA7B95" w:rsidP="00C946C2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dermal LOAEL for signs of toxicity (not specified): 500 mg/kg (mice, rats, rabbits)</w:t>
            </w:r>
          </w:p>
          <w:p w14:paraId="51FF9F39" w14:textId="64F3EFAB" w:rsidR="00AA7B95" w:rsidRDefault="00AA7B95" w:rsidP="00C946C2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5% increased </w:t>
            </w:r>
            <w:r w:rsidR="00CE3A00">
              <w:t>MetHb</w:t>
            </w:r>
            <w:r>
              <w:t xml:space="preserve"> at 500–2,000 mg/kg dermal dose (dogs)</w:t>
            </w:r>
          </w:p>
          <w:p w14:paraId="576B7236" w14:textId="03729702" w:rsidR="000949F0" w:rsidRDefault="000949F0" w:rsidP="000949F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Significant increase in lung tumours at 250 </w:t>
            </w:r>
            <w:r w:rsidR="004123FC">
              <w:t xml:space="preserve">mg/kg/d </w:t>
            </w:r>
            <w:r>
              <w:t xml:space="preserve">(females), but not at 125 </w:t>
            </w:r>
            <w:r w:rsidR="004123FC">
              <w:t xml:space="preserve">mg/kg/d </w:t>
            </w:r>
            <w:r>
              <w:t>in chronic feeding study using 2,4-xylidine (mice, 18 mo)</w:t>
            </w:r>
          </w:p>
          <w:p w14:paraId="741A981B" w14:textId="54B42663" w:rsidR="00EC4F75" w:rsidRDefault="000A6008" w:rsidP="000949F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incidence of nasal cavity adenomas and carcinomas at 150 mg/kg/d </w:t>
            </w:r>
            <w:r w:rsidR="004B7E61">
              <w:t>of 2,6</w:t>
            </w:r>
            <w:r w:rsidR="004123FC">
              <w:noBreakHyphen/>
            </w:r>
            <w:r w:rsidR="004B7E61">
              <w:t xml:space="preserve">xylidine </w:t>
            </w:r>
            <w:r>
              <w:t>in progeny of 2-generation chronic feeding study with dose groups 0, 15, 50, 150</w:t>
            </w:r>
            <w:r w:rsidR="000272BB">
              <w:t> </w:t>
            </w:r>
            <w:r>
              <w:t>mg/kg/d (rats, 2 yr</w:t>
            </w:r>
            <w:r w:rsidR="004123FC">
              <w:t xml:space="preserve">) and </w:t>
            </w:r>
            <w:r>
              <w:t>increased incidence of subcutaneous fibromas and fibrosarcomas in all exposure groups (statistical significance of incidences not specified)</w:t>
            </w:r>
          </w:p>
          <w:p w14:paraId="10D8117C" w14:textId="409029B5" w:rsidR="00205830" w:rsidRDefault="00205830" w:rsidP="000949F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Equivocal genotoxicity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>
              <w:t xml:space="preserve">; isomers with </w:t>
            </w:r>
            <w:r>
              <w:rPr>
                <w:i/>
              </w:rPr>
              <w:t>o</w:t>
            </w:r>
            <w:r>
              <w:t>-substituents, e.g. 2,3-, 2,4-, 2,5-</w:t>
            </w:r>
            <w:r w:rsidR="00EE51CC">
              <w:t xml:space="preserve"> and</w:t>
            </w:r>
            <w:r>
              <w:t xml:space="preserve"> 2,6-xylidine, more mutagenic than other isomers </w:t>
            </w:r>
            <w:r>
              <w:rPr>
                <w:i/>
              </w:rPr>
              <w:t xml:space="preserve">in </w:t>
            </w:r>
            <w:r w:rsidRPr="00205830">
              <w:rPr>
                <w:i/>
              </w:rPr>
              <w:t>vitro</w:t>
            </w:r>
            <w:r>
              <w:t xml:space="preserve"> </w:t>
            </w:r>
            <w:r w:rsidRPr="00205830">
              <w:t>due</w:t>
            </w:r>
            <w:r>
              <w:t xml:space="preserve"> to conformation of resulting DNA adduct; 2,6-xylidine did not produce micronuclei in bone marrow (mice) or recessive lethal mutations (</w:t>
            </w:r>
            <w:r>
              <w:rPr>
                <w:i/>
              </w:rPr>
              <w:t>Drosophila melanogaster</w:t>
            </w:r>
            <w:r>
              <w:t xml:space="preserve">) </w:t>
            </w:r>
            <w:r>
              <w:rPr>
                <w:i/>
              </w:rPr>
              <w:t>in vivo</w:t>
            </w:r>
            <w:r w:rsidR="00CE3A00">
              <w:rPr>
                <w:i/>
              </w:rPr>
              <w:t>.</w:t>
            </w:r>
          </w:p>
          <w:p w14:paraId="2D0D63ED" w14:textId="77777777" w:rsidR="00E86AA7" w:rsidRDefault="00E86AA7" w:rsidP="003365A5">
            <w:pPr>
              <w:pStyle w:val="Tabletextprimarysource"/>
            </w:pPr>
          </w:p>
          <w:p w14:paraId="447B7747" w14:textId="77777777" w:rsidR="000949F0" w:rsidRDefault="000949F0" w:rsidP="003365A5">
            <w:pPr>
              <w:pStyle w:val="Tabletextprimarysource"/>
            </w:pPr>
            <w:r>
              <w:t>Insufficient data to recommend a sensitiser notation</w:t>
            </w:r>
            <w:r w:rsidR="00CE3A00">
              <w:t>.</w:t>
            </w:r>
          </w:p>
          <w:p w14:paraId="61A64F09" w14:textId="75BF3C5B" w:rsidR="00E86AA7" w:rsidRPr="00DA352E" w:rsidRDefault="00E86AA7" w:rsidP="003365A5">
            <w:pPr>
              <w:pStyle w:val="Tabletextprimarysource"/>
            </w:pPr>
          </w:p>
        </w:tc>
      </w:tr>
      <w:tr w:rsidR="00C978F0" w:rsidRPr="00DA352E" w14:paraId="0E6A0B2C" w14:textId="77777777" w:rsidTr="00F873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4B52D4B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A4EC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A4EC8">
                  <w:t>NA</w:t>
                </w:r>
              </w:sdtContent>
            </w:sdt>
          </w:p>
        </w:tc>
      </w:tr>
      <w:tr w:rsidR="00C978F0" w:rsidRPr="00DA352E" w14:paraId="2008D281" w14:textId="77777777" w:rsidTr="00F873A7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7325BC5D" w:rsidR="00C978F0" w:rsidRPr="00DA352E" w:rsidRDefault="002A4EC8" w:rsidP="003365A5">
            <w:pPr>
              <w:pStyle w:val="Tabletextprimarysource"/>
            </w:pPr>
            <w:r>
              <w:t>No report</w:t>
            </w:r>
            <w:r w:rsidR="00CE3A00">
              <w:t>.</w:t>
            </w:r>
          </w:p>
        </w:tc>
      </w:tr>
      <w:tr w:rsidR="00DA352E" w:rsidRPr="00DA352E" w14:paraId="12BAB90D" w14:textId="77777777" w:rsidTr="00F873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4F52C53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A4EC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A4EC8">
                  <w:t>NA</w:t>
                </w:r>
              </w:sdtContent>
            </w:sdt>
          </w:p>
        </w:tc>
      </w:tr>
      <w:tr w:rsidR="00DA352E" w:rsidRPr="00DA352E" w14:paraId="33AAF4A6" w14:textId="77777777" w:rsidTr="00F873A7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09B83ED7" w:rsidR="00DA352E" w:rsidRPr="00DA352E" w:rsidRDefault="002A4EC8" w:rsidP="003365A5">
            <w:pPr>
              <w:pStyle w:val="Tabletextprimarysource"/>
            </w:pPr>
            <w:r>
              <w:t>No report</w:t>
            </w:r>
            <w:r w:rsidR="00CE3A00">
              <w:t>.</w:t>
            </w:r>
          </w:p>
        </w:tc>
      </w:tr>
      <w:tr w:rsidR="00DA352E" w:rsidRPr="00DA352E" w14:paraId="605F758C" w14:textId="77777777" w:rsidTr="00F873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24EE9AE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A4EC8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A4EC8">
                  <w:t>Not assigned</w:t>
                </w:r>
              </w:sdtContent>
            </w:sdt>
          </w:p>
        </w:tc>
      </w:tr>
      <w:tr w:rsidR="00DA352E" w:rsidRPr="00DA352E" w14:paraId="7050CB3E" w14:textId="77777777" w:rsidTr="00F873A7">
        <w:trPr>
          <w:gridAfter w:val="1"/>
          <w:wAfter w:w="8" w:type="pct"/>
        </w:trPr>
        <w:tc>
          <w:tcPr>
            <w:tcW w:w="4992" w:type="pct"/>
          </w:tcPr>
          <w:p w14:paraId="1B2EDC4D" w14:textId="6FADABB9" w:rsidR="00B61288" w:rsidRDefault="00AA7B95" w:rsidP="003365A5">
            <w:pPr>
              <w:pStyle w:val="Tabletextprimarysource"/>
            </w:pPr>
            <w:r>
              <w:t>Summary of additional information</w:t>
            </w:r>
          </w:p>
          <w:p w14:paraId="35A605AE" w14:textId="74A1D6E8" w:rsidR="00AA7B95" w:rsidRDefault="002C1A87" w:rsidP="003365A5">
            <w:pPr>
              <w:pStyle w:val="Tabletextprimarysource"/>
            </w:pPr>
            <w:r>
              <w:t xml:space="preserve">Available report separately assesses carcinogenic risk of individual isomers; no administrative OEL or HBROEL are </w:t>
            </w:r>
            <w:r w:rsidR="00B61288">
              <w:t>reported</w:t>
            </w:r>
            <w:r>
              <w:t xml:space="preserve"> or discussed.</w:t>
            </w:r>
          </w:p>
          <w:p w14:paraId="4230F971" w14:textId="4B869672" w:rsidR="00B61288" w:rsidRDefault="002C1A87" w:rsidP="003365A5">
            <w:pPr>
              <w:pStyle w:val="Tabletextprimarysource"/>
            </w:pPr>
            <w:r w:rsidRPr="006572E1">
              <w:rPr>
                <w:i/>
              </w:rPr>
              <w:t>2,3-xylidine</w:t>
            </w:r>
          </w:p>
          <w:p w14:paraId="340156A6" w14:textId="77777777" w:rsidR="002C1A87" w:rsidRPr="00B61288" w:rsidRDefault="002C1A87" w:rsidP="002C1A87">
            <w:pPr>
              <w:pStyle w:val="Tabletextprimarysource"/>
              <w:numPr>
                <w:ilvl w:val="0"/>
                <w:numId w:val="1"/>
              </w:numPr>
            </w:pPr>
            <w:r w:rsidRPr="00B61288">
              <w:lastRenderedPageBreak/>
              <w:t xml:space="preserve">Non-mutagenic </w:t>
            </w:r>
            <w:r w:rsidRPr="00B61288">
              <w:rPr>
                <w:i/>
              </w:rPr>
              <w:t>in vitro</w:t>
            </w:r>
            <w:r w:rsidRPr="00B61288">
              <w:t xml:space="preserve"> in bacteria</w:t>
            </w:r>
          </w:p>
          <w:p w14:paraId="3F5E0392" w14:textId="6A0B0972" w:rsidR="002C1A87" w:rsidRDefault="002C1A87" w:rsidP="002C1A87">
            <w:pPr>
              <w:pStyle w:val="Tabletextprimarysource"/>
              <w:numPr>
                <w:ilvl w:val="0"/>
                <w:numId w:val="1"/>
              </w:numPr>
            </w:pPr>
            <w:r>
              <w:t>No other information on genotoxicity or carcinogenicity in animals or humans available</w:t>
            </w:r>
          </w:p>
          <w:p w14:paraId="20432D4E" w14:textId="27CD97F5" w:rsidR="002C1A87" w:rsidRDefault="006572E1" w:rsidP="002C1A87">
            <w:pPr>
              <w:pStyle w:val="Tabletextprimarysource"/>
              <w:numPr>
                <w:ilvl w:val="0"/>
                <w:numId w:val="1"/>
              </w:numPr>
            </w:pPr>
            <w:r>
              <w:t>Insufficient evidence to</w:t>
            </w:r>
            <w:r w:rsidR="002C1A87">
              <w:t xml:space="preserve"> recommend a classification</w:t>
            </w:r>
            <w:r w:rsidR="00C946C2">
              <w:t>.</w:t>
            </w:r>
          </w:p>
          <w:p w14:paraId="32DB9CFC" w14:textId="7D2D0200" w:rsidR="00B61288" w:rsidRDefault="002C1A87" w:rsidP="001309BC">
            <w:pPr>
              <w:pStyle w:val="Tabletextprimarysource"/>
              <w:keepNext/>
              <w:pageBreakBefore/>
            </w:pPr>
            <w:r w:rsidRPr="006572E1">
              <w:rPr>
                <w:i/>
              </w:rPr>
              <w:t>2,4-xylidine</w:t>
            </w:r>
          </w:p>
          <w:p w14:paraId="75FA4F61" w14:textId="0F7CFA7C" w:rsidR="002C1A87" w:rsidRDefault="002C1A87" w:rsidP="002C1A87">
            <w:pPr>
              <w:pStyle w:val="Tabletextprimarysource"/>
              <w:numPr>
                <w:ilvl w:val="0"/>
                <w:numId w:val="1"/>
              </w:numPr>
            </w:pPr>
            <w:r>
              <w:t>No human</w:t>
            </w:r>
            <w:r w:rsidR="004B7E61">
              <w:t xml:space="preserve"> exposure</w:t>
            </w:r>
            <w:r>
              <w:t xml:space="preserve"> data available</w:t>
            </w:r>
          </w:p>
          <w:p w14:paraId="095E53E6" w14:textId="5EB7E1F6" w:rsidR="002C1A87" w:rsidRDefault="002C1A87" w:rsidP="002C1A8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tumorigenicity in at 250 </w:t>
            </w:r>
            <w:r w:rsidR="004123FC">
              <w:t xml:space="preserve">mg/kg/d </w:t>
            </w:r>
            <w:r>
              <w:t xml:space="preserve">in chronic feeding study (mice, 18 mo, also </w:t>
            </w:r>
            <w:r w:rsidR="00B61288">
              <w:t>reported</w:t>
            </w:r>
            <w:r>
              <w:t xml:space="preserve"> in DFG, 2003) not considered in evaluation due to inadequate study design</w:t>
            </w:r>
          </w:p>
          <w:p w14:paraId="371020B8" w14:textId="5434400C" w:rsidR="002C1A87" w:rsidRDefault="002C1A87" w:rsidP="002C1A8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Limited evidence for mutagenicity </w:t>
            </w:r>
            <w:r>
              <w:rPr>
                <w:i/>
              </w:rPr>
              <w:t>in vitro</w:t>
            </w:r>
            <w:r>
              <w:t xml:space="preserve"> in bacteria and </w:t>
            </w:r>
            <w:r>
              <w:rPr>
                <w:i/>
              </w:rPr>
              <w:t>in vivo</w:t>
            </w:r>
            <w:r>
              <w:t xml:space="preserve"> in mice</w:t>
            </w:r>
          </w:p>
          <w:p w14:paraId="14FEE56C" w14:textId="154B628E" w:rsidR="006572E1" w:rsidRDefault="006572E1" w:rsidP="006572E1">
            <w:pPr>
              <w:pStyle w:val="Tabletextprimarysource"/>
              <w:numPr>
                <w:ilvl w:val="0"/>
                <w:numId w:val="1"/>
              </w:numPr>
            </w:pPr>
            <w:r>
              <w:t>Insufficient evidence to recommend a classification</w:t>
            </w:r>
            <w:r w:rsidR="00C946C2">
              <w:t>.</w:t>
            </w:r>
          </w:p>
          <w:p w14:paraId="7F942217" w14:textId="5F7C9C60" w:rsidR="00B61288" w:rsidRDefault="004B7E61" w:rsidP="002C1A87">
            <w:pPr>
              <w:pStyle w:val="Tabletextprimarysource"/>
            </w:pPr>
            <w:r w:rsidRPr="006572E1">
              <w:rPr>
                <w:i/>
              </w:rPr>
              <w:t>2,5-xylidine</w:t>
            </w:r>
          </w:p>
          <w:p w14:paraId="681A2C75" w14:textId="77777777" w:rsidR="004B7E61" w:rsidRDefault="004B7E61" w:rsidP="004B7E61">
            <w:pPr>
              <w:pStyle w:val="Tabletextprimarysource"/>
              <w:numPr>
                <w:ilvl w:val="0"/>
                <w:numId w:val="1"/>
              </w:numPr>
            </w:pPr>
            <w:r>
              <w:t>No human exposure data available</w:t>
            </w:r>
          </w:p>
          <w:p w14:paraId="08B835CB" w14:textId="77777777" w:rsidR="004B7E61" w:rsidRDefault="004B7E61" w:rsidP="004B7E6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Impairment of DNA repair activity </w:t>
            </w:r>
            <w:r>
              <w:rPr>
                <w:i/>
              </w:rPr>
              <w:t>in vitro</w:t>
            </w:r>
            <w:r>
              <w:t xml:space="preserve">, no information for </w:t>
            </w:r>
            <w:r>
              <w:rPr>
                <w:i/>
              </w:rPr>
              <w:t>in vivo</w:t>
            </w:r>
            <w:r>
              <w:t xml:space="preserve"> mutagenicity</w:t>
            </w:r>
          </w:p>
          <w:p w14:paraId="0170A732" w14:textId="08109F2E" w:rsidR="006572E1" w:rsidRDefault="006572E1" w:rsidP="006572E1">
            <w:pPr>
              <w:pStyle w:val="Tabletextprimarysource"/>
              <w:numPr>
                <w:ilvl w:val="0"/>
                <w:numId w:val="1"/>
              </w:numPr>
            </w:pPr>
            <w:r>
              <w:t>Insufficient evidence to recommend a classification</w:t>
            </w:r>
            <w:r w:rsidR="00C946C2">
              <w:t>.</w:t>
            </w:r>
          </w:p>
          <w:p w14:paraId="40869E70" w14:textId="5EAEFB58" w:rsidR="00B61288" w:rsidRDefault="004B7E61" w:rsidP="004B7E61">
            <w:pPr>
              <w:pStyle w:val="Tabletextprimarysource"/>
            </w:pPr>
            <w:r w:rsidRPr="006572E1">
              <w:rPr>
                <w:i/>
              </w:rPr>
              <w:t>2,6-xylidine</w:t>
            </w:r>
          </w:p>
          <w:p w14:paraId="3EB2B6B6" w14:textId="77777777" w:rsidR="004B7E61" w:rsidRDefault="004B7E61" w:rsidP="004B7E61">
            <w:pPr>
              <w:pStyle w:val="Tabletextprimarysource"/>
              <w:numPr>
                <w:ilvl w:val="0"/>
                <w:numId w:val="1"/>
              </w:numPr>
            </w:pPr>
            <w:r>
              <w:t>No human exposure data available</w:t>
            </w:r>
          </w:p>
          <w:p w14:paraId="755571CA" w14:textId="79ED495D" w:rsidR="004B7E61" w:rsidRDefault="004B7E61" w:rsidP="004B7E6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Evidence for carcinogenicity at 15–150 mg/kg/d in 2-generation chronic feeding study (rats, also </w:t>
            </w:r>
            <w:r w:rsidR="00B61288">
              <w:t>reported</w:t>
            </w:r>
            <w:r>
              <w:t xml:space="preserve"> in DFG, 2003)</w:t>
            </w:r>
          </w:p>
          <w:p w14:paraId="33B84769" w14:textId="77777777" w:rsidR="004B7E61" w:rsidRDefault="004B7E61" w:rsidP="004B7E61">
            <w:pPr>
              <w:pStyle w:val="Tabletextprimarysource"/>
              <w:numPr>
                <w:ilvl w:val="0"/>
                <w:numId w:val="1"/>
              </w:numPr>
            </w:pPr>
            <w:r>
              <w:t>Tumour-promoting effects in nasal cavity at 3,000 ppm of diet in chronic feeding study, tumour induction with single subcutaneous injection of known tumour inducer</w:t>
            </w:r>
          </w:p>
          <w:p w14:paraId="480E2569" w14:textId="77777777" w:rsidR="004B7E61" w:rsidRDefault="004B7E61" w:rsidP="004B7E6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Results of genotoxicity assays are equivocal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</w:p>
          <w:p w14:paraId="07BF4E13" w14:textId="1F24724B" w:rsidR="004B7E61" w:rsidRDefault="003F7A2A" w:rsidP="004B7E6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HCOTN </w:t>
            </w:r>
            <w:r w:rsidR="004B7E61">
              <w:t>recommends category 2 classification; substance should be regarded as carcinogenic to humans</w:t>
            </w:r>
            <w:r w:rsidR="00C946C2">
              <w:t>.</w:t>
            </w:r>
          </w:p>
          <w:p w14:paraId="49C25864" w14:textId="6BB22C53" w:rsidR="00B61288" w:rsidRDefault="006572E1" w:rsidP="004B7E61">
            <w:pPr>
              <w:pStyle w:val="Tabletextprimarysource"/>
            </w:pPr>
            <w:r w:rsidRPr="006572E1">
              <w:rPr>
                <w:i/>
              </w:rPr>
              <w:t>3,4-xylidine and 3,5 xylidine</w:t>
            </w:r>
          </w:p>
          <w:p w14:paraId="72D6C0D7" w14:textId="2D5B4F22" w:rsidR="006572E1" w:rsidRDefault="006572E1" w:rsidP="006572E1">
            <w:pPr>
              <w:pStyle w:val="Tabletextprimarysource"/>
              <w:numPr>
                <w:ilvl w:val="0"/>
                <w:numId w:val="1"/>
              </w:numPr>
            </w:pPr>
            <w:r>
              <w:t>No data available except for 1 bacterial mutagenicity assay, which was positive in the presence of metabolic activation</w:t>
            </w:r>
            <w:r w:rsidR="00EE51CC">
              <w:t xml:space="preserve"> and</w:t>
            </w:r>
            <w:r>
              <w:t xml:space="preserve"> 1 briefly reported case of testicular DNA synthesis inhibition at 100 </w:t>
            </w:r>
            <w:r w:rsidR="004123FC">
              <w:t xml:space="preserve">mg/kg/d </w:t>
            </w:r>
            <w:r>
              <w:t>IP injection of either substance (mice)</w:t>
            </w:r>
          </w:p>
          <w:p w14:paraId="0915F156" w14:textId="77777777" w:rsidR="006572E1" w:rsidRDefault="006572E1" w:rsidP="006572E1">
            <w:pPr>
              <w:pStyle w:val="Tabletextprimarysource"/>
              <w:numPr>
                <w:ilvl w:val="0"/>
                <w:numId w:val="1"/>
              </w:numPr>
            </w:pPr>
            <w:r>
              <w:t>Insufficient evidence to recommend a classification</w:t>
            </w:r>
            <w:r w:rsidR="00C946C2">
              <w:t>.</w:t>
            </w:r>
          </w:p>
          <w:p w14:paraId="492D7791" w14:textId="02D6E4D8" w:rsidR="00E86AA7" w:rsidRPr="00DA352E" w:rsidRDefault="00E86AA7" w:rsidP="00E86AA7">
            <w:pPr>
              <w:pStyle w:val="Tabletextprimarysource"/>
              <w:ind w:left="36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79"/>
        <w:gridCol w:w="421"/>
        <w:gridCol w:w="661"/>
        <w:gridCol w:w="6465"/>
      </w:tblGrid>
      <w:tr w:rsidR="004966BF" w:rsidRPr="00263255" w14:paraId="6AE89AB3" w14:textId="77777777" w:rsidTr="00F87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65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F873A7">
        <w:trPr>
          <w:cantSplit/>
        </w:trPr>
        <w:tc>
          <w:tcPr>
            <w:tcW w:w="1479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37DAB09E" w14:textId="3B44ECC0" w:rsidR="004966BF" w:rsidRPr="00CE617F" w:rsidRDefault="00612A6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45A4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7D4FD6E8" w:rsidR="004966BF" w:rsidRPr="004C23F4" w:rsidRDefault="00745A4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65" w:type="dxa"/>
          </w:tcPr>
          <w:p w14:paraId="0567BA5F" w14:textId="5FC5D5AC" w:rsidR="00F43C3F" w:rsidRDefault="00F43C3F" w:rsidP="00F43C3F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Grouped assessment of all xylidine isomers due to structural, physicochemical</w:t>
            </w:r>
            <w:r w:rsidR="00EE51CC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toxicological similarities</w:t>
            </w:r>
          </w:p>
          <w:p w14:paraId="7D8B111F" w14:textId="22F7A33F" w:rsidR="00F43C3F" w:rsidRDefault="00F43C3F" w:rsidP="00F43C3F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Substances in group considered genotoxic based on weight of available </w:t>
            </w:r>
            <w:r>
              <w:rPr>
                <w:rFonts w:cs="Arial"/>
                <w:i/>
              </w:rPr>
              <w:t>in vitro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  <w:i/>
              </w:rPr>
              <w:t xml:space="preserve">in vivo </w:t>
            </w:r>
            <w:r>
              <w:rPr>
                <w:rFonts w:cs="Arial"/>
              </w:rPr>
              <w:t>genotoxicity data</w:t>
            </w:r>
            <w:r w:rsidR="001309BC">
              <w:rPr>
                <w:rFonts w:cs="Arial"/>
              </w:rPr>
              <w:t>:</w:t>
            </w:r>
          </w:p>
          <w:p w14:paraId="59CDFDDC" w14:textId="72FD5BB4" w:rsidR="004966BF" w:rsidRDefault="00F43C3F" w:rsidP="00C946C2">
            <w:pPr>
              <w:pStyle w:val="Tablefont"/>
              <w:numPr>
                <w:ilvl w:val="1"/>
                <w:numId w:val="1"/>
              </w:numPr>
              <w:ind w:left="1158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485904" w:rsidRPr="00485904">
              <w:rPr>
                <w:rFonts w:cs="Arial"/>
              </w:rPr>
              <w:t>aemolysis and methaemoglobinaemia are markers o</w:t>
            </w:r>
            <w:r>
              <w:rPr>
                <w:rFonts w:cs="Arial"/>
              </w:rPr>
              <w:t>f formation of genotoxic metabolites and are associated with exposure to all isomers</w:t>
            </w:r>
          </w:p>
          <w:p w14:paraId="0076C2F1" w14:textId="02189A90" w:rsidR="00485904" w:rsidRPr="004C23F4" w:rsidRDefault="00F43C3F" w:rsidP="00F43C3F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2,4- and 2,6-xylidine not sensitising in OECD-compliant sensitisation study (no further details); no sensitisation data available for other isomers</w:t>
            </w:r>
            <w:r w:rsidR="00C946C2">
              <w:rPr>
                <w:rFonts w:cs="Arial"/>
              </w:rPr>
              <w:t>.</w:t>
            </w:r>
          </w:p>
        </w:tc>
      </w:tr>
      <w:tr w:rsidR="004966BF" w:rsidRPr="004C23F4" w14:paraId="1EE94A37" w14:textId="77777777" w:rsidTr="00F873A7">
        <w:tc>
          <w:tcPr>
            <w:tcW w:w="1479" w:type="dxa"/>
          </w:tcPr>
          <w:p w14:paraId="16EAA988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1" w:type="dxa"/>
          </w:tcPr>
          <w:p w14:paraId="437684AC" w14:textId="553D2C25" w:rsidR="004966BF" w:rsidRPr="00CE617F" w:rsidRDefault="00612A6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41EC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CC9227" w14:textId="7B7A427E" w:rsidR="004966BF" w:rsidRPr="004C23F4" w:rsidRDefault="00D41EC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2012</w:t>
            </w:r>
          </w:p>
        </w:tc>
        <w:tc>
          <w:tcPr>
            <w:tcW w:w="6465" w:type="dxa"/>
          </w:tcPr>
          <w:p w14:paraId="086EBE22" w14:textId="43A31D0C" w:rsidR="00BD6352" w:rsidRDefault="00745A4C" w:rsidP="00745A4C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Grouped assessment of all xylidine isomers due to structural, physicochemical</w:t>
            </w:r>
            <w:r w:rsidR="00EE51CC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toxicological similarities</w:t>
            </w:r>
          </w:p>
          <w:p w14:paraId="15AD0AEF" w14:textId="20A2AC31" w:rsidR="00745A4C" w:rsidRDefault="00745A4C" w:rsidP="00745A4C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Most general target organ of all isomers is the blood, all isomers cause </w:t>
            </w:r>
            <w:r w:rsidR="00C946C2">
              <w:t>MetHb</w:t>
            </w:r>
            <w:r w:rsidR="00C946C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formation at 50 mg/kg/d in animals </w:t>
            </w:r>
            <w:r>
              <w:rPr>
                <w:rFonts w:cs="Arial"/>
              </w:rPr>
              <w:lastRenderedPageBreak/>
              <w:t>(species not specified, no further exposure details), 2,4</w:t>
            </w:r>
            <w:r w:rsidR="003F7A2A">
              <w:rPr>
                <w:rFonts w:cs="Arial"/>
              </w:rPr>
              <w:noBreakHyphen/>
            </w:r>
            <w:r>
              <w:rPr>
                <w:rFonts w:cs="Arial"/>
              </w:rPr>
              <w:t>xylidine caused haematological changes at 10 mg/kg/d</w:t>
            </w:r>
            <w:r w:rsidR="001309BC">
              <w:rPr>
                <w:rFonts w:cs="Arial"/>
              </w:rPr>
              <w:t>:</w:t>
            </w:r>
          </w:p>
          <w:p w14:paraId="2082CADA" w14:textId="38BCAC4F" w:rsidR="00745A4C" w:rsidRDefault="00745A4C" w:rsidP="00C946C2">
            <w:pPr>
              <w:pStyle w:val="Tablefont"/>
              <w:numPr>
                <w:ilvl w:val="1"/>
                <w:numId w:val="1"/>
              </w:numPr>
              <w:ind w:left="1158"/>
              <w:rPr>
                <w:rFonts w:cs="Arial"/>
              </w:rPr>
            </w:pPr>
            <w:r>
              <w:rPr>
                <w:rFonts w:cs="Arial"/>
              </w:rPr>
              <w:t>papillary necrosis, tubule dilation and hyaline droplets observed in kidneys at 10 mg/kg/d of 2,4-xylidine in OECD 422- and 407-compliant studies (6 mo, no further details)</w:t>
            </w:r>
          </w:p>
          <w:p w14:paraId="7FCD97F7" w14:textId="4BC37704" w:rsidR="00745A4C" w:rsidRDefault="00745A4C" w:rsidP="00C946C2">
            <w:pPr>
              <w:pStyle w:val="Tablefont"/>
              <w:numPr>
                <w:ilvl w:val="1"/>
                <w:numId w:val="1"/>
              </w:numPr>
              <w:ind w:left="1158"/>
              <w:rPr>
                <w:rFonts w:cs="Arial"/>
              </w:rPr>
            </w:pPr>
            <w:r>
              <w:rPr>
                <w:rFonts w:cs="Arial"/>
              </w:rPr>
              <w:t>lowest NOAEL for blood, liver and kidney effects is 2 mg/kg/d with corresponding LOAEL of 10 mg/kg/d (no further details)</w:t>
            </w:r>
          </w:p>
          <w:p w14:paraId="24B9C20A" w14:textId="7A43031B" w:rsidR="00745A4C" w:rsidRDefault="00745A4C" w:rsidP="00745A4C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Fatty liver degeneration</w:t>
            </w:r>
            <w:r w:rsidR="00D41EC4">
              <w:rPr>
                <w:rFonts w:cs="Arial"/>
              </w:rPr>
              <w:t xml:space="preserve"> at 2 mg/kg/d of 2,6-xylidine, but not with the other tested isomers,</w:t>
            </w:r>
            <w:r>
              <w:rPr>
                <w:rFonts w:cs="Arial"/>
              </w:rPr>
              <w:t xml:space="preserve"> reported in non-GLP-compliant repeat oral dose study (dogs, 28 d</w:t>
            </w:r>
            <w:r w:rsidR="00D41EC4">
              <w:rPr>
                <w:rFonts w:cs="Arial"/>
              </w:rPr>
              <w:t xml:space="preserve">, also </w:t>
            </w:r>
            <w:r w:rsidR="00B61288">
              <w:rPr>
                <w:rFonts w:cs="Arial"/>
              </w:rPr>
              <w:t>reported</w:t>
            </w:r>
            <w:r w:rsidR="00D41EC4">
              <w:rPr>
                <w:rFonts w:cs="Arial"/>
              </w:rPr>
              <w:t xml:space="preserve"> in ACGIH</w:t>
            </w:r>
            <w:r>
              <w:rPr>
                <w:rFonts w:cs="Arial"/>
              </w:rPr>
              <w:t>)</w:t>
            </w:r>
            <w:r w:rsidR="001309BC">
              <w:rPr>
                <w:rFonts w:cs="Arial"/>
              </w:rPr>
              <w:t>:</w:t>
            </w:r>
          </w:p>
          <w:p w14:paraId="1C8750F2" w14:textId="7201738A" w:rsidR="00D41EC4" w:rsidRPr="00745A4C" w:rsidRDefault="00D41EC4" w:rsidP="00C946C2">
            <w:pPr>
              <w:pStyle w:val="Tablefont"/>
              <w:numPr>
                <w:ilvl w:val="1"/>
                <w:numId w:val="1"/>
              </w:numPr>
              <w:ind w:left="1158"/>
              <w:rPr>
                <w:rFonts w:cs="Arial"/>
              </w:rPr>
            </w:pPr>
            <w:r>
              <w:rPr>
                <w:rFonts w:cs="Arial"/>
              </w:rPr>
              <w:t>agency considers 2 mg/kg/d a LOAEL based on toxicity of 2,6-isomer</w:t>
            </w:r>
          </w:p>
          <w:p w14:paraId="68F81C0C" w14:textId="77A13221" w:rsidR="00D41EC4" w:rsidRDefault="00D41EC4" w:rsidP="00D41EC4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Agency summarises available animal exposure data</w:t>
            </w:r>
          </w:p>
          <w:p w14:paraId="3AB5D863" w14:textId="7623497F" w:rsidR="00D41EC4" w:rsidRDefault="00485904" w:rsidP="00D41EC4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485904">
              <w:rPr>
                <w:rFonts w:cs="Arial"/>
              </w:rPr>
              <w:t>NOAEL</w:t>
            </w:r>
            <w:r w:rsidR="003F7A2A">
              <w:rPr>
                <w:rFonts w:cs="Arial"/>
              </w:rPr>
              <w:t xml:space="preserve"> of</w:t>
            </w:r>
            <w:r w:rsidR="003F7A2A" w:rsidRPr="00485904">
              <w:rPr>
                <w:rFonts w:cs="Arial"/>
              </w:rPr>
              <w:t xml:space="preserve"> </w:t>
            </w:r>
            <w:r w:rsidR="00D41EC4" w:rsidRPr="00485904">
              <w:rPr>
                <w:rFonts w:cs="Arial"/>
              </w:rPr>
              <w:t>2</w:t>
            </w:r>
            <w:r w:rsidR="00D41EC4">
              <w:rPr>
                <w:rFonts w:cs="Arial"/>
              </w:rPr>
              <w:t>–</w:t>
            </w:r>
            <w:r w:rsidR="00D41EC4" w:rsidRPr="00485904">
              <w:rPr>
                <w:rFonts w:cs="Arial"/>
              </w:rPr>
              <w:t>12 mg/kg</w:t>
            </w:r>
            <w:r w:rsidR="00D41EC4">
              <w:rPr>
                <w:rFonts w:cs="Arial"/>
              </w:rPr>
              <w:t>/d</w:t>
            </w:r>
            <w:r w:rsidR="00D41EC4" w:rsidRPr="00485904">
              <w:rPr>
                <w:rFonts w:cs="Arial"/>
              </w:rPr>
              <w:t xml:space="preserve"> </w:t>
            </w:r>
            <w:r w:rsidR="00D41EC4">
              <w:rPr>
                <w:rFonts w:cs="Arial"/>
              </w:rPr>
              <w:t xml:space="preserve">and </w:t>
            </w:r>
            <w:r w:rsidRPr="00485904">
              <w:rPr>
                <w:rFonts w:cs="Arial"/>
              </w:rPr>
              <w:t>LOAEL</w:t>
            </w:r>
            <w:r w:rsidR="003F7A2A">
              <w:rPr>
                <w:rFonts w:cs="Arial"/>
              </w:rPr>
              <w:t xml:space="preserve"> of </w:t>
            </w:r>
            <w:r w:rsidR="00D41EC4">
              <w:rPr>
                <w:rFonts w:cs="Arial"/>
              </w:rPr>
              <w:t>10–60 mg/kg/d for adverse haemopoietic, liver and kidney effects</w:t>
            </w:r>
            <w:r w:rsidRPr="00485904">
              <w:rPr>
                <w:rFonts w:cs="Arial"/>
              </w:rPr>
              <w:t xml:space="preserve"> </w:t>
            </w:r>
          </w:p>
          <w:p w14:paraId="270FA994" w14:textId="54DB32B0" w:rsidR="00485904" w:rsidRPr="004C23F4" w:rsidRDefault="00D41EC4" w:rsidP="00D41EC4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A</w:t>
            </w:r>
            <w:r w:rsidR="00485904" w:rsidRPr="00485904">
              <w:rPr>
                <w:rFonts w:cs="Arial"/>
              </w:rPr>
              <w:t xml:space="preserve">vailable studies </w:t>
            </w:r>
            <w:r>
              <w:rPr>
                <w:rFonts w:cs="Arial"/>
              </w:rPr>
              <w:t>suggest</w:t>
            </w:r>
            <w:r w:rsidR="00485904" w:rsidRPr="004859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substances in group </w:t>
            </w:r>
            <w:r w:rsidR="00485904" w:rsidRPr="00485904">
              <w:rPr>
                <w:rFonts w:cs="Arial"/>
              </w:rPr>
              <w:t xml:space="preserve">are mutagenic </w:t>
            </w:r>
            <w:r w:rsidR="00485904" w:rsidRPr="00D41EC4">
              <w:rPr>
                <w:rFonts w:cs="Arial"/>
                <w:i/>
              </w:rPr>
              <w:t>in</w:t>
            </w:r>
            <w:r w:rsidR="00485904" w:rsidRPr="00485904">
              <w:rPr>
                <w:rFonts w:cs="Arial"/>
              </w:rPr>
              <w:t xml:space="preserve"> </w:t>
            </w:r>
            <w:r w:rsidR="00485904" w:rsidRPr="00D41EC4">
              <w:rPr>
                <w:rFonts w:cs="Arial"/>
                <w:i/>
              </w:rPr>
              <w:t>vitro</w:t>
            </w:r>
            <w:r w:rsidR="00485904" w:rsidRPr="00485904">
              <w:rPr>
                <w:rFonts w:cs="Arial"/>
              </w:rPr>
              <w:t xml:space="preserve"> and </w:t>
            </w:r>
            <w:r w:rsidR="00485904" w:rsidRPr="00D41EC4">
              <w:rPr>
                <w:rFonts w:cs="Arial"/>
                <w:i/>
              </w:rPr>
              <w:t>in</w:t>
            </w:r>
            <w:r w:rsidR="00485904" w:rsidRPr="00485904">
              <w:rPr>
                <w:rFonts w:cs="Arial"/>
              </w:rPr>
              <w:t xml:space="preserve"> </w:t>
            </w:r>
            <w:r w:rsidR="00485904" w:rsidRPr="00D41EC4">
              <w:rPr>
                <w:rFonts w:cs="Arial"/>
                <w:i/>
              </w:rPr>
              <w:t>vivo</w:t>
            </w:r>
            <w:r w:rsidR="00485904" w:rsidRPr="00485904">
              <w:rPr>
                <w:rFonts w:cs="Arial"/>
              </w:rPr>
              <w:t>.</w:t>
            </w:r>
          </w:p>
        </w:tc>
      </w:tr>
      <w:tr w:rsidR="004966BF" w:rsidRPr="004C23F4" w14:paraId="20C4323A" w14:textId="77777777" w:rsidTr="00F873A7">
        <w:trPr>
          <w:cantSplit/>
        </w:trPr>
        <w:tc>
          <w:tcPr>
            <w:tcW w:w="1479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lastRenderedPageBreak/>
              <w:t>US NIOSH</w:t>
            </w:r>
          </w:p>
        </w:tc>
        <w:tc>
          <w:tcPr>
            <w:tcW w:w="421" w:type="dxa"/>
          </w:tcPr>
          <w:p w14:paraId="46AE65C2" w14:textId="3A92FA24" w:rsidR="004966BF" w:rsidRDefault="00612A6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D220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36F86FFB" w:rsidR="004966BF" w:rsidRPr="004C23F4" w:rsidRDefault="001D220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65" w:type="dxa"/>
          </w:tcPr>
          <w:p w14:paraId="4E1BEF9D" w14:textId="7C5DD37C" w:rsidR="004966BF" w:rsidRPr="004C23F4" w:rsidRDefault="001D220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1D2208">
              <w:rPr>
                <w:rFonts w:cs="Arial"/>
              </w:rPr>
              <w:t>IDLH based on</w:t>
            </w:r>
            <w:r w:rsidR="00485904">
              <w:rPr>
                <w:rFonts w:cs="Arial"/>
              </w:rPr>
              <w:t xml:space="preserve"> acute toxicity data in animals.</w:t>
            </w:r>
          </w:p>
        </w:tc>
      </w:tr>
    </w:tbl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AA7B95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66AD1EEB" w:rsidR="002E0D61" w:rsidRDefault="000949F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AA7B95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4E44748C" w:rsidR="008A36CF" w:rsidRDefault="000949F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86AA7" w14:paraId="4D6DDFA3" w14:textId="77777777" w:rsidTr="00DC293B">
        <w:trPr>
          <w:trHeight w:val="454"/>
        </w:trPr>
        <w:sdt>
          <w:sdtPr>
            <w:rPr>
              <w:b/>
            </w:rPr>
            <w:id w:val="1830936485"/>
            <w:placeholder>
              <w:docPart w:val="E5D937A79309402CBC222F10D2B792DB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19F1F224" w:rsidR="00E86AA7" w:rsidRDefault="00E86AA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F87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F873A7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64ED613F" w:rsidR="00687890" w:rsidRPr="00DD2F9B" w:rsidRDefault="006C0FCF" w:rsidP="00DD2F9B">
            <w:pPr>
              <w:pStyle w:val="Tablefont"/>
            </w:pPr>
            <w:r w:rsidRPr="000949F0">
              <w:rPr>
                <w:i/>
              </w:rPr>
              <w:t>All isomers</w:t>
            </w:r>
            <w:r>
              <w:t xml:space="preserve">: </w:t>
            </w:r>
            <w:r w:rsidR="00EC4F75">
              <w:t xml:space="preserve">Carc. Cat 3, </w:t>
            </w:r>
            <w:r w:rsidR="002A4EC8">
              <w:t>Skin</w:t>
            </w:r>
          </w:p>
        </w:tc>
      </w:tr>
      <w:tr w:rsidR="007925F0" w:rsidRPr="004C23F4" w14:paraId="2A0C13EF" w14:textId="77777777" w:rsidTr="00F873A7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0AB9B73" w14:textId="77777777" w:rsidR="007925F0" w:rsidRDefault="00EC4F75" w:rsidP="00DD2F9B">
            <w:pPr>
              <w:pStyle w:val="Tablefont"/>
            </w:pPr>
            <w:r w:rsidRPr="00EC4F75">
              <w:rPr>
                <w:i/>
              </w:rPr>
              <w:t>2,6-xylidine</w:t>
            </w:r>
            <w:r>
              <w:t>: Carcinogenicity – category 2</w:t>
            </w:r>
          </w:p>
          <w:p w14:paraId="1A64DA01" w14:textId="6F553895" w:rsidR="00EC4F75" w:rsidRPr="00DD2F9B" w:rsidRDefault="00EC4F75" w:rsidP="00DD2F9B">
            <w:pPr>
              <w:pStyle w:val="Tablefont"/>
            </w:pPr>
            <w:r w:rsidRPr="00EC4F75">
              <w:rPr>
                <w:i/>
              </w:rPr>
              <w:t>All other isomers</w:t>
            </w:r>
            <w:r>
              <w:t>: —</w:t>
            </w:r>
          </w:p>
        </w:tc>
      </w:tr>
      <w:tr w:rsidR="00AF483F" w:rsidRPr="004C23F4" w14:paraId="4C1044B3" w14:textId="77777777" w:rsidTr="00F873A7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0F0C2EF3" w:rsidR="00AF483F" w:rsidRPr="00DD2F9B" w:rsidRDefault="00EC4F75" w:rsidP="00DD2F9B">
            <w:pPr>
              <w:pStyle w:val="Tablefont"/>
            </w:pPr>
            <w:r w:rsidRPr="00EC4F75">
              <w:rPr>
                <w:i/>
              </w:rPr>
              <w:t>2,6-xylidine</w:t>
            </w:r>
            <w:r>
              <w:t xml:space="preserve">: </w:t>
            </w:r>
            <w:r w:rsidRPr="00EC4F75">
              <w:t>Carc. Cat</w:t>
            </w:r>
            <w:r>
              <w:t>.</w:t>
            </w:r>
            <w:r w:rsidRPr="00EC4F75">
              <w:t xml:space="preserve"> 3</w:t>
            </w:r>
          </w:p>
        </w:tc>
      </w:tr>
      <w:tr w:rsidR="00687890" w:rsidRPr="004C23F4" w14:paraId="7812F0EC" w14:textId="77777777" w:rsidTr="00F873A7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F6507DD" w14:textId="77777777" w:rsidR="00EC4F75" w:rsidRPr="00EC4F75" w:rsidRDefault="00EC4F75" w:rsidP="00EC4F75">
            <w:pPr>
              <w:pStyle w:val="Tablefont"/>
            </w:pPr>
            <w:r w:rsidRPr="00EC4F75">
              <w:rPr>
                <w:i/>
              </w:rPr>
              <w:t>2,6-xylidine</w:t>
            </w:r>
            <w:r w:rsidRPr="00EC4F75">
              <w:t>: Carcinogenicity – category 2</w:t>
            </w:r>
          </w:p>
          <w:p w14:paraId="517B08F1" w14:textId="21EB70C5" w:rsidR="00687890" w:rsidRPr="00DD2F9B" w:rsidRDefault="00EC4F75" w:rsidP="00EC4F75">
            <w:pPr>
              <w:pStyle w:val="Tablefont"/>
            </w:pPr>
            <w:r w:rsidRPr="00EC4F75">
              <w:rPr>
                <w:i/>
              </w:rPr>
              <w:t>All other isomers</w:t>
            </w:r>
            <w:r w:rsidRPr="00EC4F75">
              <w:t>: —</w:t>
            </w:r>
          </w:p>
        </w:tc>
      </w:tr>
      <w:tr w:rsidR="00E41A26" w:rsidRPr="004C23F4" w14:paraId="403F0800" w14:textId="77777777" w:rsidTr="00F873A7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6B514065" w:rsidR="00E41A26" w:rsidRPr="00DD2F9B" w:rsidRDefault="006C0FCF" w:rsidP="00DD2F9B">
            <w:pPr>
              <w:pStyle w:val="Tablefont"/>
            </w:pPr>
            <w:r w:rsidRPr="000949F0">
              <w:rPr>
                <w:i/>
              </w:rPr>
              <w:t>All isomers</w:t>
            </w:r>
            <w:r>
              <w:t xml:space="preserve">: </w:t>
            </w:r>
            <w:r w:rsidR="001D2208">
              <w:t>Carcinogenicity – category 2</w:t>
            </w:r>
          </w:p>
        </w:tc>
      </w:tr>
      <w:tr w:rsidR="002E0D61" w:rsidRPr="004C23F4" w14:paraId="57A490EF" w14:textId="77777777" w:rsidTr="00F873A7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43AE7468" w:rsidR="002E0D61" w:rsidRPr="00DD2F9B" w:rsidRDefault="000949F0" w:rsidP="00DD2F9B">
            <w:pPr>
              <w:pStyle w:val="Tablefont"/>
            </w:pPr>
            <w:r w:rsidRPr="000949F0">
              <w:rPr>
                <w:i/>
              </w:rPr>
              <w:t>All isomers</w:t>
            </w:r>
            <w:r>
              <w:t xml:space="preserve">: </w:t>
            </w:r>
            <w:r w:rsidR="002A4EC8" w:rsidRPr="002A4EC8">
              <w:t>Carcinogenicity – A3</w:t>
            </w:r>
            <w:r w:rsidR="002A4EC8">
              <w:t>, Skin</w:t>
            </w:r>
          </w:p>
        </w:tc>
      </w:tr>
      <w:tr w:rsidR="002E0D61" w:rsidRPr="004C23F4" w14:paraId="43FA3590" w14:textId="77777777" w:rsidTr="00F873A7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47F55DC" w14:textId="29602714" w:rsidR="000949F0" w:rsidRDefault="000949F0" w:rsidP="00DD2F9B">
            <w:pPr>
              <w:pStyle w:val="Tablefont"/>
            </w:pPr>
            <w:r w:rsidRPr="000949F0">
              <w:rPr>
                <w:i/>
              </w:rPr>
              <w:t>2,4- and 2,6-xylidine</w:t>
            </w:r>
            <w:r>
              <w:t>: Carcinogenicity – 2</w:t>
            </w:r>
          </w:p>
          <w:p w14:paraId="47437293" w14:textId="639E2EF9" w:rsidR="000949F0" w:rsidRDefault="000949F0" w:rsidP="00DD2F9B">
            <w:pPr>
              <w:pStyle w:val="Tablefont"/>
            </w:pPr>
            <w:r w:rsidRPr="000949F0">
              <w:rPr>
                <w:i/>
              </w:rPr>
              <w:t>2,3-, 2,5-, 3,4-</w:t>
            </w:r>
            <w:r w:rsidR="00EE51CC">
              <w:rPr>
                <w:i/>
              </w:rPr>
              <w:t xml:space="preserve"> and</w:t>
            </w:r>
            <w:r w:rsidRPr="000949F0">
              <w:rPr>
                <w:i/>
              </w:rPr>
              <w:t xml:space="preserve"> 3,5-xylidine</w:t>
            </w:r>
            <w:r>
              <w:t xml:space="preserve">: </w:t>
            </w:r>
            <w:r w:rsidR="002A4EC8" w:rsidRPr="002A4EC8">
              <w:t>Carcinogenicity – 3A</w:t>
            </w:r>
            <w:r w:rsidR="002A4EC8">
              <w:t xml:space="preserve"> </w:t>
            </w:r>
          </w:p>
          <w:p w14:paraId="76555DBE" w14:textId="34D1CAC0" w:rsidR="002E0D61" w:rsidRPr="00DD2F9B" w:rsidRDefault="000949F0" w:rsidP="00DD2F9B">
            <w:pPr>
              <w:pStyle w:val="Tablefont"/>
            </w:pPr>
            <w:r w:rsidRPr="000949F0">
              <w:rPr>
                <w:i/>
              </w:rPr>
              <w:t>All isomers</w:t>
            </w:r>
            <w:r>
              <w:t xml:space="preserve">: </w:t>
            </w:r>
            <w:r w:rsidR="002A4EC8">
              <w:t>H</w:t>
            </w:r>
            <w:r>
              <w:t xml:space="preserve"> </w:t>
            </w:r>
            <w:r w:rsidR="002A4EC8">
              <w:t>(skin)</w:t>
            </w:r>
          </w:p>
        </w:tc>
      </w:tr>
      <w:tr w:rsidR="002E0D61" w:rsidRPr="004C23F4" w14:paraId="2AC7B866" w14:textId="77777777" w:rsidTr="00F873A7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6015" w:type="dxa"/>
          </w:tcPr>
          <w:p w14:paraId="370736A2" w14:textId="65322AD6" w:rsidR="002E0D61" w:rsidRPr="00DD2F9B" w:rsidRDefault="002A4EC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F873A7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ED8AAC0" w14:textId="77777777" w:rsidR="002E0D61" w:rsidRDefault="00AA7B95" w:rsidP="00DD2F9B">
            <w:pPr>
              <w:pStyle w:val="Tablefont"/>
            </w:pPr>
            <w:r w:rsidRPr="00AA7B95">
              <w:rPr>
                <w:i/>
              </w:rPr>
              <w:t>2,6-xylidine</w:t>
            </w:r>
            <w:r>
              <w:t xml:space="preserve">: </w:t>
            </w:r>
            <w:r w:rsidR="002A4EC8" w:rsidRPr="002A4EC8">
              <w:t>Carcinogenicity – category 2</w:t>
            </w:r>
          </w:p>
          <w:p w14:paraId="70663407" w14:textId="702122EC" w:rsidR="006572E1" w:rsidRPr="00DD2F9B" w:rsidRDefault="006572E1" w:rsidP="00DD2F9B">
            <w:pPr>
              <w:pStyle w:val="Tablefont"/>
            </w:pPr>
            <w:r w:rsidRPr="00EC4F75">
              <w:rPr>
                <w:i/>
              </w:rPr>
              <w:t>All other isomers</w:t>
            </w:r>
            <w:r w:rsidRPr="00EC4F75">
              <w:t>: —</w:t>
            </w:r>
          </w:p>
        </w:tc>
      </w:tr>
      <w:tr w:rsidR="00386093" w:rsidRPr="004C23F4" w14:paraId="5F6A6A8E" w14:textId="77777777" w:rsidTr="00F873A7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85DF754" w:rsidR="00386093" w:rsidRPr="00DD2F9B" w:rsidRDefault="006C0FCF" w:rsidP="00DD2F9B">
            <w:pPr>
              <w:pStyle w:val="Tablefont"/>
            </w:pPr>
            <w:r w:rsidRPr="006C0FCF">
              <w:rPr>
                <w:i/>
              </w:rPr>
              <w:t>2,4- and 2,5-xylidine</w:t>
            </w:r>
            <w:r>
              <w:t>: Carcinogenicity – group 3</w:t>
            </w:r>
          </w:p>
        </w:tc>
      </w:tr>
      <w:tr w:rsidR="00386093" w:rsidRPr="004C23F4" w14:paraId="7461DB0E" w14:textId="77777777" w:rsidTr="00F873A7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74945185" w:rsidR="00386093" w:rsidRPr="00DD2F9B" w:rsidRDefault="002A4EC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71" w:type="dxa"/>
              <w:tblLook w:val="04A0" w:firstRow="1" w:lastRow="0" w:firstColumn="1" w:lastColumn="0" w:noHBand="0" w:noVBand="1"/>
            </w:tblPr>
            <w:tblGrid>
              <w:gridCol w:w="3583"/>
              <w:gridCol w:w="1059"/>
              <w:gridCol w:w="1059"/>
              <w:gridCol w:w="3109"/>
            </w:tblGrid>
            <w:tr w:rsidR="00851ABE" w:rsidRPr="00851ABE" w14:paraId="61FF3C93" w14:textId="77777777" w:rsidTr="00851ABE">
              <w:trPr>
                <w:trHeight w:val="231"/>
              </w:trPr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E47A55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35CD25" w14:textId="77777777" w:rsidR="00851ABE" w:rsidRPr="00851ABE" w:rsidRDefault="00851ABE" w:rsidP="00851AB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0BDC1C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07E593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51ABE" w:rsidRPr="00851ABE" w14:paraId="55BB0A8B" w14:textId="77777777" w:rsidTr="00851ABE">
              <w:trPr>
                <w:trHeight w:val="231"/>
              </w:trPr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C3BD21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3B59C7" w14:textId="77777777" w:rsidR="00851ABE" w:rsidRPr="00851ABE" w:rsidRDefault="00851ABE" w:rsidP="00851AB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F00960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A478CD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51ABE" w:rsidRPr="00851ABE" w14:paraId="57B610BC" w14:textId="77777777" w:rsidTr="00851ABE">
              <w:trPr>
                <w:trHeight w:val="231"/>
              </w:trPr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904793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116740B" w14:textId="77777777" w:rsidR="00851ABE" w:rsidRPr="00851ABE" w:rsidRDefault="00851ABE" w:rsidP="00851AB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6EB930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C3558E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51ABE" w:rsidRPr="00851ABE" w14:paraId="12062B0C" w14:textId="77777777" w:rsidTr="00851ABE">
              <w:trPr>
                <w:trHeight w:val="231"/>
              </w:trPr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ACE891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62EE92" w14:textId="77777777" w:rsidR="00851ABE" w:rsidRPr="00851ABE" w:rsidRDefault="00851ABE" w:rsidP="00851AB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674675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06D42B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51ABE" w:rsidRPr="00851ABE" w14:paraId="359F28B8" w14:textId="77777777" w:rsidTr="00851ABE">
              <w:trPr>
                <w:trHeight w:val="231"/>
              </w:trPr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AE3265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D007A8" w14:textId="77777777" w:rsidR="00851ABE" w:rsidRPr="00851ABE" w:rsidRDefault="00851ABE" w:rsidP="00851AB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C2B65C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DACAB5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51ABE" w:rsidRPr="00851ABE" w14:paraId="5B3BEB40" w14:textId="77777777" w:rsidTr="00851ABE">
              <w:trPr>
                <w:trHeight w:val="231"/>
              </w:trPr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E9DFB4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837D375" w14:textId="77777777" w:rsidR="00851ABE" w:rsidRPr="00851ABE" w:rsidRDefault="00851ABE" w:rsidP="00851AB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B80BE4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AD023E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51ABE" w:rsidRPr="00851ABE" w14:paraId="36A3C840" w14:textId="77777777" w:rsidTr="00851ABE">
              <w:trPr>
                <w:trHeight w:val="231"/>
              </w:trPr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BCD14A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B5D1F4" w14:textId="77777777" w:rsidR="00851ABE" w:rsidRPr="00851ABE" w:rsidRDefault="00851ABE" w:rsidP="00851AB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44882F" w14:textId="77777777" w:rsidR="00851ABE" w:rsidRPr="00851ABE" w:rsidRDefault="00851ABE" w:rsidP="00851AB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2.5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29475E" w14:textId="77777777" w:rsidR="00851ABE" w:rsidRPr="00851ABE" w:rsidRDefault="00851ABE" w:rsidP="00851AB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51AB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27BBDC12" w:rsidR="00EB3D1B" w:rsidRDefault="00B94061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4A63EF22" w:rsidR="001B79E5" w:rsidRDefault="002A4EC8" w:rsidP="001B79E5">
                <w:pPr>
                  <w:pStyle w:val="Tablefont"/>
                </w:pPr>
                <w:r w:rsidRPr="002A4EC8">
                  <w:t>121.2</w:t>
                </w:r>
                <w:r>
                  <w:t>0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47677AF6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2A4EC8">
                  <w:t>4.9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</w:t>
            </w:r>
            <w:r w:rsidRPr="002A4EC8">
              <w:t xml:space="preserve">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2A4EC8">
                  <w:t>0.2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D76C78" w:rsidR="00E06F40" w:rsidRPr="00A006A0" w:rsidRDefault="00612A6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6093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6EC61CFB" w:rsidR="008E4F1F" w:rsidRDefault="008E4F1F" w:rsidP="008E4F1F">
      <w:pPr>
        <w:rPr>
          <w:b/>
        </w:rPr>
      </w:pPr>
      <w:r w:rsidRPr="002022B6">
        <w:lastRenderedPageBreak/>
        <w:t>Deutsche Forschungsgemeinschaft (DFG)</w:t>
      </w:r>
      <w:r>
        <w:t xml:space="preserve"> (</w:t>
      </w:r>
      <w:r w:rsidR="00A57D0D">
        <w:t>2003</w:t>
      </w:r>
      <w:r>
        <w:t xml:space="preserve">) </w:t>
      </w:r>
      <w:r w:rsidR="002A4EC8" w:rsidRPr="002A4EC8">
        <w:t>Xylidine (isomers)</w:t>
      </w:r>
      <w:r>
        <w:t xml:space="preserve"> – MAK value documentation.</w:t>
      </w:r>
    </w:p>
    <w:p w14:paraId="56201136" w14:textId="77777777" w:rsidR="00C946C2" w:rsidRPr="00E461B8" w:rsidRDefault="00C946C2" w:rsidP="00C946C2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28EAA9C1" w14:textId="513E464E" w:rsidR="008E4F1F" w:rsidRDefault="008E4F1F" w:rsidP="008E4F1F">
      <w:r w:rsidRPr="002022B6">
        <w:t>Health Council of the Netherlands</w:t>
      </w:r>
      <w:r>
        <w:t xml:space="preserve"> (HCOTN) (</w:t>
      </w:r>
      <w:r w:rsidR="00A57D0D" w:rsidRPr="00A57D0D">
        <w:t>2002</w:t>
      </w:r>
      <w:r>
        <w:t xml:space="preserve">) </w:t>
      </w:r>
      <w:r w:rsidR="00A57D0D" w:rsidRPr="00A57D0D">
        <w:t>Xylidine (isomers)</w:t>
      </w:r>
      <w:r w:rsidRPr="005F7416">
        <w:t xml:space="preserve">. Health-based calculated occupational cancer risk values. The Hague: Health Council of the Netherlands; publication no. </w:t>
      </w:r>
      <w:r w:rsidR="00A57D0D" w:rsidRPr="00A57D0D">
        <w:t>2002/10OSH</w:t>
      </w:r>
      <w:r>
        <w:t>.</w:t>
      </w:r>
    </w:p>
    <w:p w14:paraId="284EAA39" w14:textId="45765813" w:rsidR="00851ABE" w:rsidRDefault="00851ABE" w:rsidP="008E4F1F">
      <w:r w:rsidRPr="00DB0A36">
        <w:t xml:space="preserve">International Agency for Research on Cancer (IARC) </w:t>
      </w:r>
      <w:r>
        <w:t xml:space="preserve">(1987) </w:t>
      </w:r>
      <w:r w:rsidRPr="00485904">
        <w:t>An Updating of IARC Monographs Volumes 1 to 42</w:t>
      </w:r>
      <w:r>
        <w:t>. Supplement 7.</w:t>
      </w:r>
    </w:p>
    <w:p w14:paraId="681DB2AF" w14:textId="020A0955" w:rsidR="00851ABE" w:rsidRDefault="00851ABE" w:rsidP="008E4F1F">
      <w:r w:rsidRPr="00851ABE">
        <w:t xml:space="preserve">National Industrial Chemicals Notification and Assessment Scheme (NICNAS) (2016) </w:t>
      </w:r>
      <w:r>
        <w:t>Xylidines</w:t>
      </w:r>
      <w:r w:rsidRPr="00851ABE">
        <w:t xml:space="preserve">: Human health </w:t>
      </w:r>
      <w:sdt>
        <w:sdtPr>
          <w:id w:val="-1295753243"/>
          <w:temporary/>
          <w:showingPlcHdr/>
        </w:sdtPr>
        <w:sdtEndPr/>
        <w:sdtContent>
          <w:r w:rsidRPr="00851ABE">
            <w:t>tier II</w:t>
          </w:r>
        </w:sdtContent>
      </w:sdt>
      <w:r w:rsidRPr="00851ABE">
        <w:t xml:space="preserve"> assessment – IMAP report.</w:t>
      </w:r>
    </w:p>
    <w:p w14:paraId="798BF50A" w14:textId="603850B5" w:rsidR="00851ABE" w:rsidRDefault="00851ABE" w:rsidP="008E4F1F">
      <w:r w:rsidRPr="00E819F5">
        <w:t>Organisation for Economic Cooperation and Development (OECD) (</w:t>
      </w:r>
      <w:r>
        <w:t>2012</w:t>
      </w:r>
      <w:r w:rsidRPr="00E819F5">
        <w:t xml:space="preserve">) SIDS initial assessment profile – </w:t>
      </w:r>
      <w:r>
        <w:t>Dimethylaniline Category</w:t>
      </w:r>
      <w:r w:rsidRPr="00E819F5">
        <w:t>.</w:t>
      </w:r>
    </w:p>
    <w:p w14:paraId="3924F345" w14:textId="77777777" w:rsidR="00C946C2" w:rsidRDefault="00C946C2" w:rsidP="00C946C2">
      <w:pPr>
        <w:rPr>
          <w:color w:val="000000"/>
        </w:rPr>
      </w:pPr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74044732" w14:textId="71DF5617" w:rsidR="00C946C2" w:rsidRDefault="00C946C2" w:rsidP="00C946C2">
      <w:r>
        <w:t xml:space="preserve">US National Institute for Occupational Safety and Health (NIOSH) (1994) Immediately dangerous to life or health concentrations – </w:t>
      </w:r>
      <w:r w:rsidR="00F46B56">
        <w:t>xylidine</w:t>
      </w:r>
      <w:r>
        <w:t xml:space="preserve">. 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856C" w14:textId="77777777" w:rsidR="005D078C" w:rsidRDefault="005D078C" w:rsidP="00F43AD5">
      <w:pPr>
        <w:spacing w:after="0" w:line="240" w:lineRule="auto"/>
      </w:pPr>
      <w:r>
        <w:separator/>
      </w:r>
    </w:p>
  </w:endnote>
  <w:endnote w:type="continuationSeparator" w:id="0">
    <w:p w14:paraId="309B6D30" w14:textId="77777777" w:rsidR="005D078C" w:rsidRDefault="005D078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6F65" w14:textId="77777777" w:rsidR="00F873A7" w:rsidRDefault="00F87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260413" w14:textId="77777777" w:rsidR="0085432C" w:rsidRPr="000330EB" w:rsidRDefault="0085432C" w:rsidP="000330EB">
        <w:pPr>
          <w:pStyle w:val="Footer"/>
          <w:rPr>
            <w:b/>
            <w:sz w:val="18"/>
            <w:szCs w:val="18"/>
          </w:rPr>
        </w:pPr>
      </w:p>
      <w:p w14:paraId="39026E62" w14:textId="399D26C8" w:rsidR="0085432C" w:rsidRDefault="0085432C" w:rsidP="000330EB">
        <w:pPr>
          <w:pStyle w:val="Footer"/>
          <w:rPr>
            <w:sz w:val="18"/>
            <w:szCs w:val="18"/>
          </w:rPr>
        </w:pPr>
        <w:r w:rsidRPr="000330EB">
          <w:rPr>
            <w:b/>
            <w:sz w:val="18"/>
            <w:szCs w:val="18"/>
          </w:rPr>
          <w:t>Xylidine</w:t>
        </w:r>
        <w:r>
          <w:rPr>
            <w:b/>
            <w:sz w:val="18"/>
            <w:szCs w:val="18"/>
          </w:rPr>
          <w:t xml:space="preserve"> (</w:t>
        </w:r>
        <w:r w:rsidRPr="000330EB">
          <w:rPr>
            <w:b/>
            <w:sz w:val="18"/>
            <w:szCs w:val="18"/>
          </w:rPr>
          <w:t>1300-73-8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CE3A00">
          <w:rPr>
            <w:sz w:val="18"/>
            <w:szCs w:val="18"/>
          </w:rPr>
          <w:t>20</w:t>
        </w:r>
      </w:p>
      <w:p w14:paraId="2D517F5E" w14:textId="593A28D8" w:rsidR="0085432C" w:rsidRPr="00F43AD5" w:rsidRDefault="0085432C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039D4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C1F5" w14:textId="77777777" w:rsidR="00F873A7" w:rsidRDefault="00F87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5FA9E" w14:textId="77777777" w:rsidR="005D078C" w:rsidRDefault="005D078C" w:rsidP="00F43AD5">
      <w:pPr>
        <w:spacing w:after="0" w:line="240" w:lineRule="auto"/>
      </w:pPr>
      <w:r>
        <w:separator/>
      </w:r>
    </w:p>
  </w:footnote>
  <w:footnote w:type="continuationSeparator" w:id="0">
    <w:p w14:paraId="5F48F2B8" w14:textId="77777777" w:rsidR="005D078C" w:rsidRDefault="005D078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D0E1" w14:textId="77777777" w:rsidR="00F873A7" w:rsidRDefault="00F87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A7A8" w14:textId="72FC60F1" w:rsidR="00F873A7" w:rsidRDefault="00612A61" w:rsidP="00F873A7">
    <w:pPr>
      <w:pStyle w:val="Header"/>
      <w:jc w:val="right"/>
    </w:pPr>
    <w:r>
      <w:pict w14:anchorId="48EEF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873A7">
      <w:rPr>
        <w:noProof/>
        <w:lang w:eastAsia="en-AU"/>
      </w:rPr>
      <w:drawing>
        <wp:inline distT="0" distB="0" distL="0" distR="0" wp14:anchorId="1189A013" wp14:editId="51F30464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3B230120" w:rsidR="0085432C" w:rsidRPr="00F873A7" w:rsidRDefault="0085432C" w:rsidP="00F87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1399" w14:textId="77777777" w:rsidR="00F873A7" w:rsidRDefault="00F873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E5C5" w14:textId="6DBF4A75" w:rsidR="00F873A7" w:rsidRDefault="00612A61" w:rsidP="00F873A7">
    <w:pPr>
      <w:pStyle w:val="Header"/>
      <w:jc w:val="right"/>
    </w:pPr>
    <w:r>
      <w:pict w14:anchorId="1EA620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873A7">
      <w:rPr>
        <w:noProof/>
        <w:lang w:eastAsia="en-AU"/>
      </w:rPr>
      <w:drawing>
        <wp:inline distT="0" distB="0" distL="0" distR="0" wp14:anchorId="662F95D4" wp14:editId="77ED82C9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5432C" w:rsidRDefault="0085432C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0220F"/>
    <w:multiLevelType w:val="hybridMultilevel"/>
    <w:tmpl w:val="86C6E158"/>
    <w:lvl w:ilvl="0" w:tplc="BECE6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2BB"/>
    <w:rsid w:val="00032B88"/>
    <w:rsid w:val="000330EB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49F0"/>
    <w:rsid w:val="000970BE"/>
    <w:rsid w:val="000A6008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D3EA2"/>
    <w:rsid w:val="000E06BA"/>
    <w:rsid w:val="000E5A54"/>
    <w:rsid w:val="000E63D3"/>
    <w:rsid w:val="000E67CF"/>
    <w:rsid w:val="000E76A0"/>
    <w:rsid w:val="00100064"/>
    <w:rsid w:val="0010461E"/>
    <w:rsid w:val="00106FAA"/>
    <w:rsid w:val="00113443"/>
    <w:rsid w:val="001269A7"/>
    <w:rsid w:val="001309BC"/>
    <w:rsid w:val="00131092"/>
    <w:rsid w:val="00140E6A"/>
    <w:rsid w:val="00146545"/>
    <w:rsid w:val="00146B75"/>
    <w:rsid w:val="0015266D"/>
    <w:rsid w:val="0015288A"/>
    <w:rsid w:val="00155999"/>
    <w:rsid w:val="00160F47"/>
    <w:rsid w:val="00166D29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60B1"/>
    <w:rsid w:val="001B79E5"/>
    <w:rsid w:val="001D2208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5830"/>
    <w:rsid w:val="00213640"/>
    <w:rsid w:val="00221547"/>
    <w:rsid w:val="002216FC"/>
    <w:rsid w:val="00222533"/>
    <w:rsid w:val="00222F30"/>
    <w:rsid w:val="00224EE2"/>
    <w:rsid w:val="00227EC7"/>
    <w:rsid w:val="002377D5"/>
    <w:rsid w:val="00244AD1"/>
    <w:rsid w:val="002463BC"/>
    <w:rsid w:val="002465CE"/>
    <w:rsid w:val="0025734A"/>
    <w:rsid w:val="00263255"/>
    <w:rsid w:val="00276494"/>
    <w:rsid w:val="00277B0C"/>
    <w:rsid w:val="002A4EC8"/>
    <w:rsid w:val="002B1A2C"/>
    <w:rsid w:val="002C1A87"/>
    <w:rsid w:val="002C34F2"/>
    <w:rsid w:val="002C58FF"/>
    <w:rsid w:val="002C7AFE"/>
    <w:rsid w:val="002D05D2"/>
    <w:rsid w:val="002E0D61"/>
    <w:rsid w:val="002E16BC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46E6"/>
    <w:rsid w:val="00347192"/>
    <w:rsid w:val="0034744C"/>
    <w:rsid w:val="00351FE0"/>
    <w:rsid w:val="00352615"/>
    <w:rsid w:val="0035412B"/>
    <w:rsid w:val="00356093"/>
    <w:rsid w:val="003567A8"/>
    <w:rsid w:val="00362895"/>
    <w:rsid w:val="00363E98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16AC"/>
    <w:rsid w:val="003D4FA3"/>
    <w:rsid w:val="003E0807"/>
    <w:rsid w:val="003E51FB"/>
    <w:rsid w:val="003E5536"/>
    <w:rsid w:val="003E6B39"/>
    <w:rsid w:val="003F07E1"/>
    <w:rsid w:val="003F7A2A"/>
    <w:rsid w:val="004030BC"/>
    <w:rsid w:val="00403F7D"/>
    <w:rsid w:val="00404EC3"/>
    <w:rsid w:val="00406785"/>
    <w:rsid w:val="004079B4"/>
    <w:rsid w:val="004123FC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3E75"/>
    <w:rsid w:val="00485904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7E61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39D4"/>
    <w:rsid w:val="005117FF"/>
    <w:rsid w:val="005142C4"/>
    <w:rsid w:val="0051509C"/>
    <w:rsid w:val="005272E2"/>
    <w:rsid w:val="0053108F"/>
    <w:rsid w:val="00532B56"/>
    <w:rsid w:val="00534B10"/>
    <w:rsid w:val="00537386"/>
    <w:rsid w:val="005446A2"/>
    <w:rsid w:val="00544D2F"/>
    <w:rsid w:val="00551BD8"/>
    <w:rsid w:val="00574AD4"/>
    <w:rsid w:val="00581055"/>
    <w:rsid w:val="0058786D"/>
    <w:rsid w:val="00591E38"/>
    <w:rsid w:val="005A19C5"/>
    <w:rsid w:val="005A3034"/>
    <w:rsid w:val="005A462D"/>
    <w:rsid w:val="005B253B"/>
    <w:rsid w:val="005B771D"/>
    <w:rsid w:val="005C5D16"/>
    <w:rsid w:val="005D078C"/>
    <w:rsid w:val="005D3193"/>
    <w:rsid w:val="005D4A6E"/>
    <w:rsid w:val="005E6979"/>
    <w:rsid w:val="005E75CB"/>
    <w:rsid w:val="006013C1"/>
    <w:rsid w:val="0060669E"/>
    <w:rsid w:val="00610F2E"/>
    <w:rsid w:val="00611399"/>
    <w:rsid w:val="00612A61"/>
    <w:rsid w:val="00624C4E"/>
    <w:rsid w:val="00625200"/>
    <w:rsid w:val="006363A8"/>
    <w:rsid w:val="00636DB7"/>
    <w:rsid w:val="00650905"/>
    <w:rsid w:val="006532ED"/>
    <w:rsid w:val="006549F2"/>
    <w:rsid w:val="006567B7"/>
    <w:rsid w:val="00656A1E"/>
    <w:rsid w:val="006572E1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0590"/>
    <w:rsid w:val="006C0FCF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5A4C"/>
    <w:rsid w:val="00750212"/>
    <w:rsid w:val="00754779"/>
    <w:rsid w:val="0075716D"/>
    <w:rsid w:val="00765F14"/>
    <w:rsid w:val="00770E31"/>
    <w:rsid w:val="007770F1"/>
    <w:rsid w:val="00783FB1"/>
    <w:rsid w:val="00785CDD"/>
    <w:rsid w:val="00786B20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1ABE"/>
    <w:rsid w:val="0085432C"/>
    <w:rsid w:val="00857A8A"/>
    <w:rsid w:val="008624B7"/>
    <w:rsid w:val="008630EE"/>
    <w:rsid w:val="00864D13"/>
    <w:rsid w:val="00866B14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3D51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07B85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7D0D"/>
    <w:rsid w:val="00A633D4"/>
    <w:rsid w:val="00A6461A"/>
    <w:rsid w:val="00A84504"/>
    <w:rsid w:val="00A8672F"/>
    <w:rsid w:val="00A93057"/>
    <w:rsid w:val="00A968B0"/>
    <w:rsid w:val="00AA7B95"/>
    <w:rsid w:val="00AB2672"/>
    <w:rsid w:val="00AB2817"/>
    <w:rsid w:val="00AB43C4"/>
    <w:rsid w:val="00AB7742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35C7"/>
    <w:rsid w:val="00B32469"/>
    <w:rsid w:val="00B40C60"/>
    <w:rsid w:val="00B479A9"/>
    <w:rsid w:val="00B52EDF"/>
    <w:rsid w:val="00B61288"/>
    <w:rsid w:val="00B62A30"/>
    <w:rsid w:val="00B71188"/>
    <w:rsid w:val="00B76A41"/>
    <w:rsid w:val="00B87D4C"/>
    <w:rsid w:val="00B93646"/>
    <w:rsid w:val="00B94061"/>
    <w:rsid w:val="00BA0B38"/>
    <w:rsid w:val="00BA1DBB"/>
    <w:rsid w:val="00BA4510"/>
    <w:rsid w:val="00BA529A"/>
    <w:rsid w:val="00BB612A"/>
    <w:rsid w:val="00BD499F"/>
    <w:rsid w:val="00BD56DE"/>
    <w:rsid w:val="00BD6352"/>
    <w:rsid w:val="00BF2406"/>
    <w:rsid w:val="00C02C9B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46C2"/>
    <w:rsid w:val="00C978F0"/>
    <w:rsid w:val="00CA58FE"/>
    <w:rsid w:val="00CB1CB1"/>
    <w:rsid w:val="00CB6BC1"/>
    <w:rsid w:val="00CB6CB8"/>
    <w:rsid w:val="00CC1A68"/>
    <w:rsid w:val="00CC2123"/>
    <w:rsid w:val="00CD2BFD"/>
    <w:rsid w:val="00CE3A00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1EC4"/>
    <w:rsid w:val="00D44C89"/>
    <w:rsid w:val="00D516CD"/>
    <w:rsid w:val="00D60FDD"/>
    <w:rsid w:val="00D668E6"/>
    <w:rsid w:val="00D70670"/>
    <w:rsid w:val="00D74D80"/>
    <w:rsid w:val="00D76624"/>
    <w:rsid w:val="00D87570"/>
    <w:rsid w:val="00D91CB9"/>
    <w:rsid w:val="00D95F85"/>
    <w:rsid w:val="00D97989"/>
    <w:rsid w:val="00D97D8D"/>
    <w:rsid w:val="00DA352E"/>
    <w:rsid w:val="00DA383F"/>
    <w:rsid w:val="00DA5F0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5447"/>
    <w:rsid w:val="00E60F04"/>
    <w:rsid w:val="00E62AAC"/>
    <w:rsid w:val="00E67C2F"/>
    <w:rsid w:val="00E67EF5"/>
    <w:rsid w:val="00E74201"/>
    <w:rsid w:val="00E804EA"/>
    <w:rsid w:val="00E80A71"/>
    <w:rsid w:val="00E82337"/>
    <w:rsid w:val="00E86AA7"/>
    <w:rsid w:val="00E92499"/>
    <w:rsid w:val="00E949AF"/>
    <w:rsid w:val="00E96077"/>
    <w:rsid w:val="00EA0A06"/>
    <w:rsid w:val="00EA6243"/>
    <w:rsid w:val="00EA74AB"/>
    <w:rsid w:val="00EB3D1B"/>
    <w:rsid w:val="00EB58C9"/>
    <w:rsid w:val="00EC4F75"/>
    <w:rsid w:val="00EC6FD1"/>
    <w:rsid w:val="00ED1D89"/>
    <w:rsid w:val="00ED57DA"/>
    <w:rsid w:val="00ED66BC"/>
    <w:rsid w:val="00EE51C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9C3"/>
    <w:rsid w:val="00F43AD5"/>
    <w:rsid w:val="00F43C3F"/>
    <w:rsid w:val="00F4402E"/>
    <w:rsid w:val="00F46B56"/>
    <w:rsid w:val="00F56DD0"/>
    <w:rsid w:val="00F6491C"/>
    <w:rsid w:val="00F67BBB"/>
    <w:rsid w:val="00F873A7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6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D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D2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AA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E5D937A79309402CBC222F10D2B7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1977-9D9D-447F-9F15-CF53F7DDCBE5}"/>
      </w:docPartPr>
      <w:docPartBody>
        <w:p w:rsidR="00997C07" w:rsidRDefault="00A532DA" w:rsidP="00A532DA">
          <w:pPr>
            <w:pStyle w:val="E5D937A79309402CBC222F10D2B792DB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5D0863"/>
    <w:rsid w:val="00755FBF"/>
    <w:rsid w:val="00997C07"/>
    <w:rsid w:val="00A532DA"/>
    <w:rsid w:val="00B722F0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2D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E5D937A79309402CBC222F10D2B792DB">
    <w:name w:val="E5D937A79309402CBC222F10D2B792DB"/>
    <w:rsid w:val="00A53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CB18-4322-412A-BA10-D8A418989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1E90C-EA20-4722-9BFF-B69BF0C5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74CA0-F21C-499E-880F-1E93F00E3F42}">
  <ds:schemaRefs>
    <ds:schemaRef ds:uri="http://schemas.microsoft.com/office/2006/metadata/properties"/>
    <ds:schemaRef ds:uri="http://purl.org/dc/terms/"/>
    <ds:schemaRef ds:uri="http://purl.org/dc/elements/1.1/"/>
    <ds:schemaRef ds:uri="bf54d604-3e62-4e70-ba33-9e9084b96a6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9DC0A3-274D-4C53-8CA7-9E8CC2A2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2020-04-30T01:39:00Z</dcterms:created>
  <dcterms:modified xsi:type="dcterms:W3CDTF">2021-01-28T05:25:00Z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