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78EE11D" w14:textId="71984011" w:rsidR="00BD499F" w:rsidRPr="004C23F4" w:rsidRDefault="00F16EC2" w:rsidP="00B40C60">
          <w:pPr>
            <w:pStyle w:val="Heading1"/>
            <w:jc w:val="center"/>
            <w:rPr>
              <w:rFonts w:ascii="Arial" w:hAnsi="Arial" w:cs="Arial"/>
            </w:rPr>
          </w:pPr>
          <w:r w:rsidRPr="00F16EC2">
            <w:rPr>
              <w:rFonts w:ascii="Arial" w:hAnsi="Arial" w:cs="Arial"/>
            </w:rPr>
            <w:t>2-Ethoxyethanol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2218FD9C" w14:textId="77777777" w:rsidTr="00B76A41">
        <w:trPr>
          <w:cantSplit/>
          <w:tblHeader/>
        </w:trPr>
        <w:tc>
          <w:tcPr>
            <w:tcW w:w="4077" w:type="dxa"/>
          </w:tcPr>
          <w:p w14:paraId="5F5ECF9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34F3E61" w14:textId="7A1BD27A" w:rsidR="00F43AD5" w:rsidRPr="00717D45" w:rsidRDefault="000768B6" w:rsidP="00B76A41">
            <w:pPr>
              <w:pStyle w:val="Tablefont"/>
            </w:pPr>
            <w:r w:rsidRPr="000768B6">
              <w:t>110-80-5</w:t>
            </w:r>
          </w:p>
        </w:tc>
      </w:tr>
      <w:tr w:rsidR="00F43AD5" w:rsidRPr="004C23F4" w14:paraId="09EB408D" w14:textId="77777777" w:rsidTr="00B76A41">
        <w:trPr>
          <w:cantSplit/>
        </w:trPr>
        <w:tc>
          <w:tcPr>
            <w:tcW w:w="4077" w:type="dxa"/>
          </w:tcPr>
          <w:p w14:paraId="33C6128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0C0A79E" w14:textId="688E9966" w:rsidR="00F43AD5" w:rsidRPr="00717D45" w:rsidRDefault="002A2D51" w:rsidP="00B76A41">
            <w:pPr>
              <w:pStyle w:val="Tablefont"/>
            </w:pPr>
            <w:proofErr w:type="spellStart"/>
            <w:r>
              <w:t>Cellosolve</w:t>
            </w:r>
            <w:proofErr w:type="spellEnd"/>
            <w:r>
              <w:t xml:space="preserve">, EGEE, </w:t>
            </w:r>
            <w:r w:rsidR="00983F0C">
              <w:t>e</w:t>
            </w:r>
            <w:r>
              <w:t xml:space="preserve">thylene glycol </w:t>
            </w:r>
            <w:proofErr w:type="spellStart"/>
            <w:r>
              <w:t>monoethyl</w:t>
            </w:r>
            <w:proofErr w:type="spellEnd"/>
            <w:r>
              <w:t xml:space="preserve"> ether, </w:t>
            </w:r>
            <w:r w:rsidR="00983F0C">
              <w:t>e</w:t>
            </w:r>
            <w:r w:rsidR="00983F0C" w:rsidRPr="002A2D51">
              <w:t xml:space="preserve">thyl </w:t>
            </w:r>
            <w:r w:rsidRPr="002A2D51">
              <w:t>glycol</w:t>
            </w:r>
            <w:r>
              <w:t xml:space="preserve">, </w:t>
            </w:r>
            <w:r w:rsidR="00983F0C">
              <w:t>glycol</w:t>
            </w:r>
            <w:r>
              <w:t xml:space="preserve">, </w:t>
            </w:r>
            <w:proofErr w:type="spellStart"/>
            <w:r w:rsidR="00983F0C">
              <w:t>m</w:t>
            </w:r>
            <w:r w:rsidR="00983F0C" w:rsidRPr="002A2D51">
              <w:t>onoethyl</w:t>
            </w:r>
            <w:proofErr w:type="spellEnd"/>
            <w:r w:rsidR="00983F0C" w:rsidRPr="002A2D51">
              <w:t xml:space="preserve"> </w:t>
            </w:r>
            <w:r w:rsidRPr="002A2D51">
              <w:t>ether</w:t>
            </w:r>
          </w:p>
        </w:tc>
      </w:tr>
      <w:tr w:rsidR="00F43AD5" w:rsidRPr="004C23F4" w14:paraId="013BB586" w14:textId="77777777" w:rsidTr="00B76A41">
        <w:trPr>
          <w:cantSplit/>
        </w:trPr>
        <w:tc>
          <w:tcPr>
            <w:tcW w:w="4077" w:type="dxa"/>
          </w:tcPr>
          <w:p w14:paraId="2118272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6A208E3" w14:textId="7DD78AE7" w:rsidR="00F43AD5" w:rsidRPr="00717D45" w:rsidRDefault="002A2D51" w:rsidP="00B76A41">
            <w:pPr>
              <w:pStyle w:val="Tablefont"/>
            </w:pPr>
            <w:r>
              <w:t>C</w:t>
            </w:r>
            <w:r w:rsidRPr="002A2D51">
              <w:rPr>
                <w:vertAlign w:val="subscript"/>
              </w:rPr>
              <w:t>4</w:t>
            </w:r>
            <w:r>
              <w:t>H</w:t>
            </w:r>
            <w:r w:rsidRPr="002A2D51">
              <w:rPr>
                <w:vertAlign w:val="subscript"/>
              </w:rPr>
              <w:t>10</w:t>
            </w:r>
            <w:r>
              <w:t>O</w:t>
            </w:r>
            <w:r w:rsidRPr="002A2D51">
              <w:rPr>
                <w:vertAlign w:val="subscript"/>
              </w:rPr>
              <w:t>2</w:t>
            </w:r>
          </w:p>
        </w:tc>
      </w:tr>
      <w:tr w:rsidR="00F43AD5" w:rsidRPr="004C23F4" w14:paraId="46C8E92B" w14:textId="77777777" w:rsidTr="00B76A41">
        <w:trPr>
          <w:cantSplit/>
        </w:trPr>
        <w:tc>
          <w:tcPr>
            <w:tcW w:w="4077" w:type="dxa"/>
          </w:tcPr>
          <w:p w14:paraId="6AAF8CF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BC02E9B" w14:textId="61D1644A" w:rsidR="00F43AD5" w:rsidRPr="00B40C60" w:rsidRDefault="002A2D51" w:rsidP="00B76A41">
            <w:pPr>
              <w:pStyle w:val="Tablerowheading"/>
              <w:rPr>
                <w:b w:val="0"/>
              </w:rPr>
            </w:pPr>
            <w:r w:rsidRPr="002A2D51">
              <w:rPr>
                <w:b w:val="0"/>
              </w:rPr>
              <w:t>—</w:t>
            </w:r>
          </w:p>
        </w:tc>
      </w:tr>
    </w:tbl>
    <w:p w14:paraId="24A5F003" w14:textId="4666C8E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6135E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6BF3CB0" w14:textId="77777777" w:rsidTr="008546ED">
        <w:trPr>
          <w:cantSplit/>
          <w:tblHeader/>
        </w:trPr>
        <w:tc>
          <w:tcPr>
            <w:tcW w:w="4005" w:type="dxa"/>
            <w:vAlign w:val="center"/>
          </w:tcPr>
          <w:p w14:paraId="0CF5715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F08FC2E" w14:textId="21D8835C" w:rsidR="002C7AFE" w:rsidRPr="00C76AE8" w:rsidRDefault="00C76AE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 (7.6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638E2D8" w14:textId="77777777" w:rsidTr="008546ED">
        <w:trPr>
          <w:cantSplit/>
        </w:trPr>
        <w:tc>
          <w:tcPr>
            <w:tcW w:w="4005" w:type="dxa"/>
            <w:vAlign w:val="center"/>
          </w:tcPr>
          <w:p w14:paraId="01880CD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B60A8CF" w14:textId="2695EE83" w:rsidR="002C7AFE" w:rsidRPr="00EB3D1B" w:rsidRDefault="005F0B56" w:rsidP="00017C82">
            <w:pPr>
              <w:pStyle w:val="Tablefont"/>
              <w:rPr>
                <w:b/>
              </w:rPr>
            </w:pPr>
            <w:r w:rsidRPr="002A2D51">
              <w:t>—</w:t>
            </w:r>
          </w:p>
        </w:tc>
      </w:tr>
      <w:tr w:rsidR="002C7AFE" w:rsidRPr="004C23F4" w14:paraId="1E6B4CDD" w14:textId="77777777" w:rsidTr="008546ED">
        <w:trPr>
          <w:cantSplit/>
        </w:trPr>
        <w:tc>
          <w:tcPr>
            <w:tcW w:w="4005" w:type="dxa"/>
            <w:vAlign w:val="center"/>
          </w:tcPr>
          <w:p w14:paraId="6F634F0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FDAF810" w14:textId="706585B3" w:rsidR="002C7AFE" w:rsidRPr="00EB3D1B" w:rsidRDefault="005F0B56" w:rsidP="00017C82">
            <w:pPr>
              <w:pStyle w:val="Tablefont"/>
              <w:rPr>
                <w:b/>
              </w:rPr>
            </w:pPr>
            <w:r w:rsidRPr="002A2D51">
              <w:t>—</w:t>
            </w:r>
          </w:p>
        </w:tc>
      </w:tr>
      <w:tr w:rsidR="002C7AFE" w:rsidRPr="004C23F4" w14:paraId="02784CAB" w14:textId="77777777" w:rsidTr="008546ED">
        <w:trPr>
          <w:cantSplit/>
        </w:trPr>
        <w:tc>
          <w:tcPr>
            <w:tcW w:w="4005" w:type="dxa"/>
          </w:tcPr>
          <w:p w14:paraId="157085F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8D019BE" w14:textId="1C7466A9" w:rsidR="002C7AFE" w:rsidRPr="00EB3D1B" w:rsidRDefault="005F0B5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3D9D4851" w14:textId="77777777" w:rsidTr="008546ED">
        <w:trPr>
          <w:cantSplit/>
        </w:trPr>
        <w:tc>
          <w:tcPr>
            <w:tcW w:w="4005" w:type="dxa"/>
            <w:vAlign w:val="center"/>
          </w:tcPr>
          <w:p w14:paraId="5C21E9E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C171C16" w14:textId="2FEE87A2" w:rsidR="002C7AFE" w:rsidRPr="00EB3D1B" w:rsidRDefault="002A2D5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</w:p>
        </w:tc>
      </w:tr>
      <w:tr w:rsidR="008546ED" w:rsidRPr="004C23F4" w14:paraId="3DE17302" w14:textId="77777777" w:rsidTr="00571A28">
        <w:trPr>
          <w:cantSplit/>
        </w:trPr>
        <w:tc>
          <w:tcPr>
            <w:tcW w:w="9026" w:type="dxa"/>
            <w:gridSpan w:val="2"/>
            <w:vAlign w:val="center"/>
          </w:tcPr>
          <w:p w14:paraId="5DC085FF" w14:textId="276DA50C" w:rsidR="008546ED" w:rsidRPr="00EB3D1B" w:rsidRDefault="008546ED" w:rsidP="008546ED">
            <w:pPr>
              <w:pStyle w:val="Tablefont"/>
              <w:rPr>
                <w:b/>
              </w:rPr>
            </w:pPr>
            <w:r w:rsidRPr="00516D55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E77CE58C6544D0DA9ABA9B49A11907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516D5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D05F8B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923F214" w14:textId="5A2DD608" w:rsidR="006639B4" w:rsidRPr="004C23F4" w:rsidRDefault="00C76AE8" w:rsidP="000C139A">
      <w:pPr>
        <w:rPr>
          <w:rFonts w:cs="Arial"/>
        </w:rPr>
      </w:pPr>
      <w:r>
        <w:rPr>
          <w:rFonts w:cs="Arial"/>
        </w:rPr>
        <w:t>A TWA of 2 ppm (7.6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>
        <w:t>recommended to protect for reproductive and developmental effects in exposed workers.</w:t>
      </w:r>
    </w:p>
    <w:p w14:paraId="330AC26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97FAF88" w14:textId="359BE184" w:rsidR="001A4A35" w:rsidRDefault="00C76AE8" w:rsidP="002B6E39">
      <w:r>
        <w:t>2-Ethoxyethanol is used as a solvent for nitrocellulose, na</w:t>
      </w:r>
      <w:r w:rsidR="00E23D27">
        <w:t>tural and synthetic resins</w:t>
      </w:r>
      <w:r>
        <w:t xml:space="preserve"> and as a mutual solvent for the formulation of soluble oils. </w:t>
      </w:r>
    </w:p>
    <w:p w14:paraId="63F75FC0" w14:textId="5FEF2659" w:rsidR="001A4A35" w:rsidRDefault="00C76AE8" w:rsidP="00C2677E">
      <w:r>
        <w:t>Limit</w:t>
      </w:r>
      <w:r w:rsidR="00516D55">
        <w:t xml:space="preserve">ed data </w:t>
      </w:r>
      <w:r w:rsidR="001A4A35">
        <w:t>are</w:t>
      </w:r>
      <w:r w:rsidR="00516D55">
        <w:t xml:space="preserve"> available in humans. Critical effects include embryo</w:t>
      </w:r>
      <w:r w:rsidR="00D8413D">
        <w:t xml:space="preserve"> </w:t>
      </w:r>
      <w:r w:rsidR="00516D55">
        <w:t>mortality and growth retardation.</w:t>
      </w:r>
      <w:r w:rsidR="00D8413D">
        <w:t xml:space="preserve"> </w:t>
      </w:r>
      <w:r w:rsidR="002B6E39">
        <w:t>E</w:t>
      </w:r>
      <w:r w:rsidR="002B6E39" w:rsidRPr="00A831C4">
        <w:t>ffects on sperm parameters could not be excluded in the group of wo</w:t>
      </w:r>
      <w:r w:rsidR="002B6E39">
        <w:t xml:space="preserve">rkers who excreted approximately 100 mg/L of the metabolite </w:t>
      </w:r>
      <w:r w:rsidR="002B6E39" w:rsidRPr="00A831C4">
        <w:t xml:space="preserve">2-ethoxyacetic acid </w:t>
      </w:r>
      <w:r w:rsidR="002B6E39">
        <w:t xml:space="preserve">in urine. </w:t>
      </w:r>
    </w:p>
    <w:p w14:paraId="29507D92" w14:textId="015DF746" w:rsidR="00884483" w:rsidRDefault="002B6E39" w:rsidP="002B6E39">
      <w:r>
        <w:t>DFG (2007) used p</w:t>
      </w:r>
      <w:r w:rsidRPr="002B6E39">
        <w:t>hysiologically based pharmacokinetic (PBPK) modelling</w:t>
      </w:r>
      <w:r>
        <w:t xml:space="preserve"> to determine that exposure to 2 ppm over an </w:t>
      </w:r>
      <w:r w:rsidR="00295B04">
        <w:t>eight-</w:t>
      </w:r>
      <w:r w:rsidR="0016135E">
        <w:t>hour</w:t>
      </w:r>
      <w:r>
        <w:t xml:space="preserve"> work shift would result in the excretion of 50 mg/L </w:t>
      </w:r>
      <w:r w:rsidR="00295B04">
        <w:t xml:space="preserve">of </w:t>
      </w:r>
      <w:r>
        <w:t>the metabolite in urine.</w:t>
      </w:r>
      <w:r w:rsidR="00625A55" w:rsidRPr="00625A55">
        <w:t xml:space="preserve"> </w:t>
      </w:r>
      <w:r w:rsidR="001A4A35">
        <w:t>Noting that reproductive effects could not be excluded at 100 mg/L</w:t>
      </w:r>
      <w:r w:rsidR="00E209C7">
        <w:t xml:space="preserve"> of the metabolite</w:t>
      </w:r>
      <w:r w:rsidR="001A4A35">
        <w:t xml:space="preserve"> in a worker study, 2</w:t>
      </w:r>
      <w:r w:rsidR="00E209C7">
        <w:t xml:space="preserve"> </w:t>
      </w:r>
      <w:r w:rsidR="001A4A35">
        <w:t>ppm is expected to provide sufficient protection for reproductive and developmental effects in exposed workers.</w:t>
      </w:r>
      <w:r w:rsidR="00884483">
        <w:t xml:space="preserve"> </w:t>
      </w:r>
      <w:r w:rsidR="00FE22FA">
        <w:t xml:space="preserve">It is recommended that the </w:t>
      </w:r>
      <w:r w:rsidR="00295B04">
        <w:t xml:space="preserve">TWA </w:t>
      </w:r>
      <w:r w:rsidR="00FE22FA">
        <w:t>(</w:t>
      </w:r>
      <w:r w:rsidR="00295B04">
        <w:t>MAK</w:t>
      </w:r>
      <w:r w:rsidR="00FE22FA">
        <w:t>)</w:t>
      </w:r>
      <w:r w:rsidR="00295B04">
        <w:t xml:space="preserve"> o</w:t>
      </w:r>
      <w:r w:rsidR="00FE22FA">
        <w:t>f</w:t>
      </w:r>
      <w:r w:rsidR="00295B04">
        <w:t xml:space="preserve"> 2</w:t>
      </w:r>
      <w:r w:rsidR="00487524">
        <w:t xml:space="preserve"> </w:t>
      </w:r>
      <w:r w:rsidR="00295B04">
        <w:t xml:space="preserve">ppm </w:t>
      </w:r>
      <w:r w:rsidR="00FE22FA">
        <w:t>is adopted</w:t>
      </w:r>
      <w:r w:rsidR="00C63FD3">
        <w:t>.</w:t>
      </w:r>
    </w:p>
    <w:p w14:paraId="12FDF30F" w14:textId="0B928126" w:rsidR="004529F0" w:rsidRPr="004C23F4" w:rsidRDefault="004529F0" w:rsidP="004529F0">
      <w:pPr>
        <w:pStyle w:val="Heading2"/>
      </w:pPr>
      <w:r>
        <w:t>Recommendation for notations</w:t>
      </w:r>
    </w:p>
    <w:p w14:paraId="39B9F386" w14:textId="6EB7EF2D" w:rsidR="002A2D51" w:rsidRPr="002A2D51" w:rsidRDefault="002A2D51" w:rsidP="002A2D51">
      <w:pPr>
        <w:rPr>
          <w:rFonts w:cs="Arial"/>
        </w:rPr>
      </w:pPr>
      <w:r w:rsidRPr="002A2D51">
        <w:rPr>
          <w:rFonts w:cs="Arial"/>
        </w:rPr>
        <w:t>Not classified as a carcinogen according to the Globally Harmonized System of Classification and Labelling o</w:t>
      </w:r>
      <w:r w:rsidR="0016135E">
        <w:rPr>
          <w:rFonts w:cs="Arial"/>
        </w:rPr>
        <w:t>f</w:t>
      </w:r>
      <w:r w:rsidRPr="002A2D51">
        <w:rPr>
          <w:rFonts w:cs="Arial"/>
        </w:rPr>
        <w:t xml:space="preserve"> Chemicals (GHS). </w:t>
      </w:r>
    </w:p>
    <w:p w14:paraId="2DC03778" w14:textId="77554553" w:rsidR="002A2D51" w:rsidRPr="002A2D51" w:rsidRDefault="002A2D51" w:rsidP="002A2D51">
      <w:pPr>
        <w:rPr>
          <w:rFonts w:cs="Arial"/>
        </w:rPr>
      </w:pPr>
      <w:r w:rsidRPr="002A2D51">
        <w:rPr>
          <w:rFonts w:cs="Arial"/>
        </w:rPr>
        <w:t>Not classified as a skin</w:t>
      </w:r>
      <w:r w:rsidR="0016135E">
        <w:rPr>
          <w:rFonts w:cs="Arial"/>
        </w:rPr>
        <w:t xml:space="preserve"> </w:t>
      </w:r>
      <w:r w:rsidR="0016135E" w:rsidRPr="002A2D51">
        <w:rPr>
          <w:rFonts w:cs="Arial"/>
        </w:rPr>
        <w:t>sensitiser</w:t>
      </w:r>
      <w:r w:rsidRPr="002A2D51">
        <w:rPr>
          <w:rFonts w:cs="Arial"/>
        </w:rPr>
        <w:t xml:space="preserve"> or respiratory sensitiser according to the GHS.</w:t>
      </w:r>
    </w:p>
    <w:p w14:paraId="5DD5E26B" w14:textId="7B667FAF" w:rsidR="0025734A" w:rsidRPr="004C23F4" w:rsidRDefault="00C2677E" w:rsidP="002A2D51">
      <w:pPr>
        <w:rPr>
          <w:rFonts w:cs="Arial"/>
        </w:rPr>
      </w:pPr>
      <w:r>
        <w:rPr>
          <w:rFonts w:cs="Arial"/>
        </w:rPr>
        <w:t xml:space="preserve">A </w:t>
      </w:r>
      <w:r w:rsidRPr="00C2677E">
        <w:rPr>
          <w:rFonts w:cs="Arial"/>
        </w:rPr>
        <w:t xml:space="preserve">skin notation </w:t>
      </w:r>
      <w:r w:rsidR="001A4A35">
        <w:rPr>
          <w:rFonts w:cs="Arial"/>
        </w:rPr>
        <w:t xml:space="preserve">is </w:t>
      </w:r>
      <w:r w:rsidRPr="00C2677E">
        <w:rPr>
          <w:rFonts w:cs="Arial"/>
        </w:rPr>
        <w:t>recommended based on evidence suggesting potential dermal absorption and adverse systemic effects in animals.</w:t>
      </w:r>
      <w:r>
        <w:rPr>
          <w:rFonts w:cs="Arial"/>
        </w:rPr>
        <w:t xml:space="preserve"> </w:t>
      </w:r>
    </w:p>
    <w:p w14:paraId="35C03AB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A9A8BA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5ED40F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48F24F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9E22AC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A84C2F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2895B6A" w14:textId="2D34F13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A2D5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A2D51">
                  <w:t>TWA: 5 ppm (18 mg/m</w:t>
                </w:r>
                <w:r w:rsidR="002A2D51" w:rsidRPr="002A2D51">
                  <w:rPr>
                    <w:vertAlign w:val="superscript"/>
                  </w:rPr>
                  <w:t>3</w:t>
                </w:r>
                <w:r w:rsidR="002A2D51">
                  <w:t>)</w:t>
                </w:r>
              </w:sdtContent>
            </w:sdt>
          </w:p>
        </w:tc>
      </w:tr>
      <w:tr w:rsidR="00C978F0" w:rsidRPr="00DA352E" w14:paraId="27D197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237F57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DD0E80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9AA5A1" w14:textId="0047523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A2D5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A2D51">
                  <w:t>TLV-TWA: 5 ppm (18 mg/m</w:t>
                </w:r>
                <w:r w:rsidR="002A2D51" w:rsidRPr="002A2D51">
                  <w:rPr>
                    <w:vertAlign w:val="superscript"/>
                  </w:rPr>
                  <w:t>3</w:t>
                </w:r>
                <w:r w:rsidR="002A2D51">
                  <w:t>)</w:t>
                </w:r>
              </w:sdtContent>
            </w:sdt>
          </w:p>
        </w:tc>
      </w:tr>
      <w:tr w:rsidR="00C978F0" w:rsidRPr="00DA352E" w14:paraId="202C22C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8CAFA9F" w14:textId="3299CD8B" w:rsidR="00C978F0" w:rsidRDefault="00152F01" w:rsidP="003365A5">
            <w:pPr>
              <w:pStyle w:val="Tabletextprimarysource"/>
            </w:pPr>
            <w:r>
              <w:t>TLV-TWA recommended to minimise the potential for reproductive and developmental effects.</w:t>
            </w:r>
          </w:p>
          <w:p w14:paraId="74009689" w14:textId="238C1728" w:rsidR="00152F01" w:rsidRDefault="00152F01" w:rsidP="003365A5">
            <w:pPr>
              <w:pStyle w:val="Tabletextprimarysource"/>
            </w:pPr>
            <w:r>
              <w:t>Summary of data:</w:t>
            </w:r>
          </w:p>
          <w:p w14:paraId="5A18376B" w14:textId="10889B73" w:rsidR="00C2677E" w:rsidRDefault="00C2677E" w:rsidP="00C2677E">
            <w:pPr>
              <w:pStyle w:val="Tabletextprimarysource"/>
            </w:pPr>
            <w:r>
              <w:t>TLV-TWA based on analogy to 2-methoxyethanol and the fact that 2-ethoxyethanol is less toxic in animals.</w:t>
            </w:r>
          </w:p>
          <w:p w14:paraId="5CA9788D" w14:textId="30D442EC" w:rsidR="00152F01" w:rsidRDefault="00152F01" w:rsidP="00C2677E">
            <w:pPr>
              <w:pStyle w:val="Tabletextprimarysource"/>
            </w:pPr>
            <w:r>
              <w:t>Human data:</w:t>
            </w:r>
          </w:p>
          <w:p w14:paraId="47F4BEE6" w14:textId="77777777" w:rsidR="00152F01" w:rsidRDefault="00152F01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information in humans</w:t>
            </w:r>
          </w:p>
          <w:p w14:paraId="651B46F8" w14:textId="63C0437F" w:rsidR="001A4A35" w:rsidRDefault="00152F01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Workers exposed to </w:t>
            </w:r>
            <w:r>
              <w:rPr>
                <w:rFonts w:cs="Arial"/>
              </w:rPr>
              <w:t>≤</w:t>
            </w:r>
            <w:r>
              <w:t>88 mg/m</w:t>
            </w:r>
            <w:r>
              <w:rPr>
                <w:vertAlign w:val="superscript"/>
              </w:rPr>
              <w:t>3</w:t>
            </w:r>
            <w:r>
              <w:t xml:space="preserve"> had significantly lower average sperm counts than controls</w:t>
            </w:r>
          </w:p>
          <w:p w14:paraId="3FAE5454" w14:textId="61EA4C3B" w:rsidR="00152F01" w:rsidRDefault="00152F01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both</w:t>
            </w:r>
            <w:proofErr w:type="gramEnd"/>
            <w:r>
              <w:t xml:space="preserve"> exposed and control groups had lower sperm counts than those found in other occupational groups</w:t>
            </w:r>
            <w:r w:rsidR="00516D55">
              <w:t>.</w:t>
            </w:r>
          </w:p>
          <w:p w14:paraId="0B963F3B" w14:textId="77777777" w:rsidR="00152F01" w:rsidRDefault="00152F01" w:rsidP="00152F01">
            <w:pPr>
              <w:pStyle w:val="Tabletextprimarysource"/>
            </w:pPr>
            <w:r>
              <w:t>Animal data:</w:t>
            </w:r>
          </w:p>
          <w:p w14:paraId="38E786DC" w14:textId="75DE914C" w:rsidR="00152F01" w:rsidRDefault="000D02D6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Irritating and disagreeable in acutely toxic concentrations but not at concentrations considered safe for prolonged and repeated daily exposure</w:t>
            </w:r>
          </w:p>
          <w:p w14:paraId="622ABA35" w14:textId="747B5F41" w:rsidR="001A4A35" w:rsidRDefault="000D02D6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Individuals of several species died after repeated exposure to 1,400 ppm for up to 12 h</w:t>
            </w:r>
          </w:p>
          <w:p w14:paraId="767905DF" w14:textId="299C09A5" w:rsidR="000D02D6" w:rsidRDefault="000D02D6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kidney injury reported </w:t>
            </w:r>
          </w:p>
          <w:p w14:paraId="3346F0A9" w14:textId="65188241" w:rsidR="000D02D6" w:rsidRDefault="000D02D6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="0016135E">
              <w:rPr>
                <w:vertAlign w:val="subscript"/>
              </w:rPr>
              <w:t xml:space="preserve">50: </w:t>
            </w:r>
            <w:r w:rsidR="0016135E">
              <w:t>3.6 mL</w:t>
            </w:r>
            <w:r>
              <w:t xml:space="preserve">/kg </w:t>
            </w:r>
            <w:r w:rsidR="0016135E">
              <w:t>(</w:t>
            </w:r>
            <w:r>
              <w:t xml:space="preserve">rabbits; </w:t>
            </w:r>
            <w:r w:rsidR="0016135E">
              <w:t>dermal)</w:t>
            </w:r>
          </w:p>
          <w:p w14:paraId="3D2F601F" w14:textId="5B5BDA6F" w:rsidR="000D02D6" w:rsidRDefault="000D02D6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Mice given oral doses of 1,000 and 2,000 mg/kg/d 5</w:t>
            </w:r>
            <w:r w:rsidR="00983F0C">
              <w:t xml:space="preserve"> 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 xml:space="preserve"> for 5 </w:t>
            </w:r>
            <w:proofErr w:type="spellStart"/>
            <w:r>
              <w:t>wk</w:t>
            </w:r>
            <w:proofErr w:type="spellEnd"/>
            <w:r>
              <w:t xml:space="preserve"> presented depression of testicular weight and leukopenia</w:t>
            </w:r>
          </w:p>
          <w:p w14:paraId="77430447" w14:textId="6A072F42" w:rsidR="006A3FCF" w:rsidRDefault="006A3FCF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Study in rats and rabbits to evaluate developmental toxicity:</w:t>
            </w:r>
          </w:p>
          <w:p w14:paraId="152390A0" w14:textId="39EE2CBF" w:rsidR="000D02D6" w:rsidRDefault="00516D55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6A3FCF">
              <w:t>ats exposed for 7 h/d, 5 d/</w:t>
            </w:r>
            <w:proofErr w:type="spellStart"/>
            <w:r w:rsidR="006A3FCF">
              <w:t>wk</w:t>
            </w:r>
            <w:proofErr w:type="spellEnd"/>
            <w:r w:rsidR="006A3FCF">
              <w:t xml:space="preserve"> for 3 </w:t>
            </w:r>
            <w:proofErr w:type="spellStart"/>
            <w:r w:rsidR="006A3FCF">
              <w:t>wk</w:t>
            </w:r>
            <w:proofErr w:type="spellEnd"/>
            <w:r w:rsidR="006A3FCF">
              <w:t xml:space="preserve">; mated and exposed daily through </w:t>
            </w:r>
            <w:r w:rsidR="001A4A35">
              <w:t>to GD</w:t>
            </w:r>
            <w:r w:rsidR="006A3FCF">
              <w:t xml:space="preserve">; sacrificed and examined at </w:t>
            </w:r>
            <w:r w:rsidR="001A4A35">
              <w:t>GD</w:t>
            </w:r>
            <w:r w:rsidR="006A3FCF">
              <w:t xml:space="preserve"> 21</w:t>
            </w:r>
          </w:p>
          <w:p w14:paraId="2EF10E69" w14:textId="442C4B30" w:rsidR="006A3FCF" w:rsidRDefault="00516D55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r</w:t>
            </w:r>
            <w:r w:rsidR="006A3FCF">
              <w:t xml:space="preserve">abbits artificially inseminated; exposed for 7 h/d through </w:t>
            </w:r>
            <w:r w:rsidR="001A4A35">
              <w:t>to GD</w:t>
            </w:r>
            <w:r w:rsidR="006A3FCF">
              <w:t xml:space="preserve">18; sacrificed and examined at </w:t>
            </w:r>
            <w:r w:rsidR="001A4A35">
              <w:t>GD</w:t>
            </w:r>
            <w:r w:rsidR="006A3FCF">
              <w:t xml:space="preserve"> 30</w:t>
            </w:r>
          </w:p>
          <w:p w14:paraId="6C9AE558" w14:textId="308047A0" w:rsidR="006A3FCF" w:rsidRDefault="006A3FCF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617 ppm (rabbits) or 767 ppm (rats) induced significantly increased incidences of embryo mortality at maternally toxic concentrations</w:t>
            </w:r>
          </w:p>
          <w:p w14:paraId="171955F2" w14:textId="18BA535B" w:rsidR="006A3FCF" w:rsidRDefault="00516D55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e</w:t>
            </w:r>
            <w:r w:rsidR="006A3FCF">
              <w:t>xposure</w:t>
            </w:r>
            <w:proofErr w:type="gramEnd"/>
            <w:r w:rsidR="006A3FCF">
              <w:t xml:space="preserve"> of pregnant rabbits or rats </w:t>
            </w:r>
            <w:r w:rsidR="001A4A35">
              <w:t>at</w:t>
            </w:r>
            <w:r w:rsidR="006A3FCF">
              <w:t xml:space="preserve"> 160 or 202 ppm, respectively, induced significantly increased incidence of </w:t>
            </w:r>
            <w:proofErr w:type="spellStart"/>
            <w:r w:rsidR="006A3FCF">
              <w:t>terata</w:t>
            </w:r>
            <w:proofErr w:type="spellEnd"/>
            <w:r w:rsidR="006A3FCF">
              <w:t>,</w:t>
            </w:r>
            <w:r>
              <w:t xml:space="preserve"> growth retardation and embryo</w:t>
            </w:r>
            <w:r w:rsidR="00C2677E">
              <w:t xml:space="preserve"> </w:t>
            </w:r>
            <w:r w:rsidR="006A3FCF">
              <w:t>mortality</w:t>
            </w:r>
            <w:r w:rsidR="00983F0C">
              <w:t>.</w:t>
            </w:r>
          </w:p>
          <w:p w14:paraId="669281A6" w14:textId="77777777" w:rsidR="007B38D9" w:rsidRDefault="007B38D9" w:rsidP="007B38D9">
            <w:pPr>
              <w:pStyle w:val="Tabletextprimarysource"/>
            </w:pPr>
          </w:p>
          <w:p w14:paraId="3FF44529" w14:textId="77777777" w:rsidR="009C4D69" w:rsidRDefault="009C4D69" w:rsidP="007B38D9">
            <w:pPr>
              <w:pStyle w:val="Tabletextprimarysource"/>
            </w:pPr>
            <w:r>
              <w:t>Insufficient data to recommend sensitisation or carcinogenicity notations or a TLV-STEL.</w:t>
            </w:r>
          </w:p>
          <w:p w14:paraId="52624CE1" w14:textId="2EEFC8BA" w:rsidR="009C4D69" w:rsidRPr="00DA352E" w:rsidRDefault="009C4D69" w:rsidP="007B38D9">
            <w:pPr>
              <w:pStyle w:val="Tabletextprimarysource"/>
            </w:pPr>
          </w:p>
        </w:tc>
      </w:tr>
      <w:tr w:rsidR="00C978F0" w:rsidRPr="00DA352E" w14:paraId="13FB09D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83F6B0F" w14:textId="096D8AE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A2D51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A2D51">
                  <w:t>MAK: 2 ppm (7.6 mg/m</w:t>
                </w:r>
                <w:r w:rsidR="002A2D51" w:rsidRPr="002A2D51">
                  <w:rPr>
                    <w:vertAlign w:val="superscript"/>
                  </w:rPr>
                  <w:t>3</w:t>
                </w:r>
                <w:r w:rsidR="002A2D51">
                  <w:t>)</w:t>
                </w:r>
              </w:sdtContent>
            </w:sdt>
          </w:p>
        </w:tc>
      </w:tr>
      <w:tr w:rsidR="00C978F0" w:rsidRPr="00DA352E" w14:paraId="4CC2EB6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44DF802" w14:textId="77777777" w:rsidR="00C978F0" w:rsidRDefault="000A5666" w:rsidP="003365A5">
            <w:pPr>
              <w:pStyle w:val="Tabletextprimarysource"/>
            </w:pPr>
            <w:r>
              <w:t>Summary of additional data:</w:t>
            </w:r>
          </w:p>
          <w:p w14:paraId="44055913" w14:textId="327D86E5" w:rsidR="00C2677E" w:rsidRDefault="00C2677E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PBPK model shows 2 ppm </w:t>
            </w:r>
            <w:r>
              <w:rPr>
                <w:rFonts w:cs="Arial"/>
              </w:rPr>
              <w:t>≡</w:t>
            </w:r>
            <w:r>
              <w:t>50 mg/L 2-ethoxyacetic acid in urine; basis for MAK.</w:t>
            </w:r>
          </w:p>
          <w:p w14:paraId="02544B42" w14:textId="5B3DBF4F" w:rsidR="000A5666" w:rsidRPr="00A831C4" w:rsidRDefault="00C2677E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</w:t>
            </w:r>
            <w:r w:rsidR="00A831C4">
              <w:t xml:space="preserve">ermal absorption and accumulation of toxic metabolite </w:t>
            </w:r>
            <w:proofErr w:type="spellStart"/>
            <w:r w:rsidR="00A831C4">
              <w:rPr>
                <w:rFonts w:cs="Arial"/>
                <w:color w:val="1C1D1E"/>
                <w:shd w:val="clear" w:color="auto" w:fill="FFFFFF"/>
              </w:rPr>
              <w:t>ethoxyacetic</w:t>
            </w:r>
            <w:proofErr w:type="spellEnd"/>
            <w:r w:rsidR="00A831C4">
              <w:rPr>
                <w:rFonts w:cs="Arial"/>
                <w:color w:val="1C1D1E"/>
                <w:shd w:val="clear" w:color="auto" w:fill="FFFFFF"/>
              </w:rPr>
              <w:t xml:space="preserve"> acid over course of work week; internal exposure is crucial for toxicity; used as starting point for MAK</w:t>
            </w:r>
          </w:p>
          <w:p w14:paraId="402EE8B7" w14:textId="14ACDE5A" w:rsidR="00A831C4" w:rsidRDefault="00A831C4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</w:t>
            </w:r>
            <w:r w:rsidRPr="00A831C4">
              <w:t>ffects on sperm parameters could not be excluded in the group of wo</w:t>
            </w:r>
            <w:r>
              <w:t>rkers who excreted 85 ± 31.3 mg/</w:t>
            </w:r>
            <w:r w:rsidRPr="00A831C4">
              <w:t xml:space="preserve">g </w:t>
            </w:r>
            <w:r>
              <w:t>(</w:t>
            </w:r>
            <w:r w:rsidRPr="00A831C4">
              <w:t xml:space="preserve">2-ethoxyacetic acid </w:t>
            </w:r>
            <w:r>
              <w:t>/</w:t>
            </w:r>
            <w:r w:rsidRPr="00A831C4">
              <w:t>creatinine</w:t>
            </w:r>
            <w:r>
              <w:t>);</w:t>
            </w:r>
            <w:r w:rsidR="009C4D69">
              <w:t xml:space="preserve"> </w:t>
            </w:r>
            <w:r w:rsidR="00516D55">
              <w:rPr>
                <w:rFonts w:cs="Arial"/>
              </w:rPr>
              <w:t>≈</w:t>
            </w:r>
            <w:r>
              <w:t>100 mg/L urine</w:t>
            </w:r>
            <w:r w:rsidR="009C4D69">
              <w:t>.</w:t>
            </w:r>
          </w:p>
          <w:p w14:paraId="20B4A24B" w14:textId="0FC7EC9D" w:rsidR="00A831C4" w:rsidRPr="00DA352E" w:rsidRDefault="00A831C4" w:rsidP="001A4A3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763A57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CD347E" w14:textId="0FCE566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A2D5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A2D51">
                  <w:t>NA</w:t>
                </w:r>
                <w:proofErr w:type="spellEnd"/>
              </w:sdtContent>
            </w:sdt>
          </w:p>
        </w:tc>
      </w:tr>
      <w:tr w:rsidR="00C978F0" w:rsidRPr="00DA352E" w14:paraId="007DEB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4CF51B1" w14:textId="170E4E32" w:rsidR="00C978F0" w:rsidRPr="00DA352E" w:rsidRDefault="002A2D51" w:rsidP="003365A5">
            <w:pPr>
              <w:pStyle w:val="Tabletextprimarysource"/>
            </w:pPr>
            <w:r>
              <w:t>No report</w:t>
            </w:r>
            <w:r w:rsidR="0016135E">
              <w:t>.</w:t>
            </w:r>
          </w:p>
        </w:tc>
      </w:tr>
      <w:tr w:rsidR="00DA352E" w:rsidRPr="00DA352E" w14:paraId="504FB7D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9BFDB5F" w14:textId="31DA580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A2D5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A2D51">
                  <w:t>NA</w:t>
                </w:r>
                <w:proofErr w:type="spellEnd"/>
              </w:sdtContent>
            </w:sdt>
          </w:p>
        </w:tc>
      </w:tr>
      <w:tr w:rsidR="00DA352E" w:rsidRPr="00DA352E" w14:paraId="3941A99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4D4AF7" w14:textId="5888C337" w:rsidR="00DA352E" w:rsidRPr="00DA352E" w:rsidRDefault="002A2D51" w:rsidP="003365A5">
            <w:pPr>
              <w:pStyle w:val="Tabletextprimarysource"/>
            </w:pPr>
            <w:r>
              <w:t>No report</w:t>
            </w:r>
            <w:r w:rsidR="0016135E">
              <w:t>.</w:t>
            </w:r>
          </w:p>
        </w:tc>
      </w:tr>
      <w:tr w:rsidR="00DA352E" w:rsidRPr="00DA352E" w14:paraId="66398E8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14DB9B" w14:textId="1CFE420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A2D51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00877">
                  <w:t>TWA</w:t>
                </w:r>
                <w:r w:rsidR="002A2D51">
                  <w:t>: 0.16 ppm (0.5 mg/m</w:t>
                </w:r>
                <w:r w:rsidR="002A2D51" w:rsidRPr="002A2D51">
                  <w:rPr>
                    <w:vertAlign w:val="superscript"/>
                  </w:rPr>
                  <w:t>3</w:t>
                </w:r>
                <w:r w:rsidR="002A2D51">
                  <w:t>)</w:t>
                </w:r>
              </w:sdtContent>
            </w:sdt>
          </w:p>
        </w:tc>
      </w:tr>
      <w:tr w:rsidR="00DA352E" w:rsidRPr="00DA352E" w14:paraId="283EF3C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AF4B15F" w14:textId="77777777" w:rsidR="00DA352E" w:rsidRDefault="00000877" w:rsidP="003365A5">
            <w:pPr>
              <w:pStyle w:val="Tabletextprimarysource"/>
            </w:pPr>
            <w:r>
              <w:t>Summary of additional data:</w:t>
            </w:r>
          </w:p>
          <w:p w14:paraId="34318F26" w14:textId="72834EB1" w:rsidR="001A4A35" w:rsidRDefault="00000877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Induce testicular atrophy in rats after oral dosing, </w:t>
            </w:r>
            <w:r w:rsidR="001A4A35">
              <w:t>IP</w:t>
            </w:r>
            <w:r>
              <w:t xml:space="preserve"> injection, inhalation exposure and dermal application</w:t>
            </w:r>
          </w:p>
          <w:p w14:paraId="012829D2" w14:textId="51AE9D0F" w:rsidR="00000877" w:rsidRDefault="00000877" w:rsidP="001A4A35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NOAEL of 12.5 mg/kg</w:t>
            </w:r>
            <w:r w:rsidR="00295B04">
              <w:t>/d</w:t>
            </w:r>
            <w:r>
              <w:t xml:space="preserve"> in rabbits (</w:t>
            </w:r>
            <w:r w:rsidR="002B6E39">
              <w:t xml:space="preserve">affected spermatogenesis, </w:t>
            </w:r>
            <w:r>
              <w:t>oral dose)</w:t>
            </w:r>
          </w:p>
          <w:p w14:paraId="534D1581" w14:textId="62AC2B92" w:rsidR="008A139B" w:rsidRDefault="008A139B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U</w:t>
            </w:r>
            <w:r w:rsidR="00000877">
              <w:t>ses a study in which pregnant rabbits were exposed to EGME (0, 3, 10, 50 ppm) by inhalation as a starting point for bench mark dose (BMD) analys</w:t>
            </w:r>
            <w:r w:rsidR="001A4A35">
              <w:t>is</w:t>
            </w:r>
          </w:p>
          <w:p w14:paraId="533E8C9C" w14:textId="77777777" w:rsidR="00000877" w:rsidRDefault="008A139B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BMDL</w:t>
            </w:r>
            <w:r w:rsidRPr="008A139B">
              <w:rPr>
                <w:vertAlign w:val="subscript"/>
              </w:rPr>
              <w:t>10</w:t>
            </w:r>
            <w:r>
              <w:t xml:space="preserve"> is 1.3 ppm (4.1 mg/m</w:t>
            </w:r>
            <w:r w:rsidRPr="008A139B">
              <w:rPr>
                <w:vertAlign w:val="superscript"/>
              </w:rPr>
              <w:t>3</w:t>
            </w:r>
            <w:r>
              <w:t>) increase in number of foetuses with delayed ossifications</w:t>
            </w:r>
            <w:r w:rsidR="00DF062C">
              <w:t xml:space="preserve">; interspecies factor of 3 and </w:t>
            </w:r>
            <w:proofErr w:type="spellStart"/>
            <w:r w:rsidR="00DF062C">
              <w:t>intraspecies</w:t>
            </w:r>
            <w:proofErr w:type="spellEnd"/>
            <w:r w:rsidR="00C76AE8">
              <w:t xml:space="preserve"> factor of 3 to derive MAK</w:t>
            </w:r>
            <w:r w:rsidR="00983F0C">
              <w:t>.</w:t>
            </w:r>
          </w:p>
          <w:p w14:paraId="491E3E0A" w14:textId="3982352B" w:rsidR="009C4D69" w:rsidRPr="00DA352E" w:rsidRDefault="009C4D69" w:rsidP="001A4A3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121AF39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3"/>
        <w:gridCol w:w="661"/>
        <w:gridCol w:w="6452"/>
      </w:tblGrid>
      <w:tr w:rsidR="004966BF" w:rsidRPr="00263255" w14:paraId="005D94ED" w14:textId="77777777" w:rsidTr="00DB5AB2">
        <w:trPr>
          <w:cantSplit/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2EFF704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88207E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F766C7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0D2C87A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46D13A89" w14:textId="77777777" w:rsidTr="00DB5AB2">
        <w:trPr>
          <w:cantSplit/>
        </w:trPr>
        <w:tc>
          <w:tcPr>
            <w:tcW w:w="1490" w:type="dxa"/>
          </w:tcPr>
          <w:p w14:paraId="71AFDB96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028808CD" w14:textId="52783210" w:rsidR="004966BF" w:rsidRPr="00CE617F" w:rsidRDefault="00877B2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B5AB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7C644F7" w14:textId="57C4E116" w:rsidR="004966BF" w:rsidRPr="004C23F4" w:rsidRDefault="00DB5AB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2" w:type="dxa"/>
          </w:tcPr>
          <w:p w14:paraId="42ED63DB" w14:textId="77777777" w:rsidR="004966BF" w:rsidRPr="00DB5AB2" w:rsidRDefault="00DB5AB2" w:rsidP="001A4A3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Critical health effects include systemic long-term effects (reproductive toxicity and developmental toxicity) and systemic acute effects (acute toxicity from oral/dermal/inhalation exposure)</w:t>
            </w:r>
          </w:p>
          <w:p w14:paraId="4C507CD1" w14:textId="3A5684F3" w:rsidR="00DB5AB2" w:rsidRPr="004C23F4" w:rsidRDefault="00DB5AB2" w:rsidP="001A4A35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PBPK modelling indicates that an OEL</w:t>
            </w:r>
            <w:r w:rsidRPr="00DB5AB2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of 2 ppm</w:t>
            </w:r>
            <w:r w:rsidRPr="00DB5AB2">
              <w:rPr>
                <w:rStyle w:val="checkbox"/>
                <w:rFonts w:ascii="Arial" w:hAnsi="Arial" w:cs="Arial"/>
              </w:rPr>
              <w:t xml:space="preserve"> should protect workers from the most sensitive adverse effects</w:t>
            </w:r>
            <w:r w:rsidR="00983F0C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0AB092F" w14:textId="77777777" w:rsidTr="00DB5AB2">
        <w:trPr>
          <w:cantSplit/>
        </w:trPr>
        <w:tc>
          <w:tcPr>
            <w:tcW w:w="1490" w:type="dxa"/>
          </w:tcPr>
          <w:p w14:paraId="3A2E9BCE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291C0D4C" w14:textId="05DF5C32" w:rsidR="004966BF" w:rsidRPr="00CE617F" w:rsidRDefault="00877B2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B5AB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6DFD2" w14:textId="531D4DA6" w:rsidR="004966BF" w:rsidRPr="004C23F4" w:rsidRDefault="00DB5AB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1991</w:t>
            </w:r>
          </w:p>
        </w:tc>
        <w:tc>
          <w:tcPr>
            <w:tcW w:w="6452" w:type="dxa"/>
          </w:tcPr>
          <w:p w14:paraId="38355282" w14:textId="243742FC" w:rsidR="004966BF" w:rsidRPr="004C23F4" w:rsidRDefault="00DB5AB2" w:rsidP="001A4A35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NOAEL 103 ppm; d</w:t>
            </w:r>
            <w:r>
              <w:t>ecreased testis weight, seminiferous tubule degeneration and decreased haemoglobin; rabbits, sub chronic inhalation study</w:t>
            </w:r>
            <w:r w:rsidR="00983F0C">
              <w:t>.</w:t>
            </w:r>
          </w:p>
        </w:tc>
      </w:tr>
    </w:tbl>
    <w:bookmarkEnd w:id="0"/>
    <w:p w14:paraId="79BB67A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5BC4460" w14:textId="77777777" w:rsidTr="00DB5AB2">
        <w:trPr>
          <w:trHeight w:val="454"/>
          <w:tblHeader/>
        </w:trPr>
        <w:tc>
          <w:tcPr>
            <w:tcW w:w="6603" w:type="dxa"/>
            <w:vAlign w:val="center"/>
          </w:tcPr>
          <w:p w14:paraId="2584C0F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0ECC130" w14:textId="524718E8" w:rsidR="002E0D61" w:rsidRDefault="00DB5AB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274810CE" w14:textId="77777777" w:rsidTr="00DB5AB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3B9DD84" w14:textId="5F9E9E16" w:rsidR="008A36CF" w:rsidRPr="006901A2" w:rsidRDefault="00DB5AB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C73F34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2BDCB37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1281D8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629B14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882E8C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4F94B8B" w14:textId="77777777" w:rsidTr="00812887">
        <w:trPr>
          <w:cantSplit/>
        </w:trPr>
        <w:tc>
          <w:tcPr>
            <w:tcW w:w="3227" w:type="dxa"/>
          </w:tcPr>
          <w:p w14:paraId="5B02006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6D6AEB5" w14:textId="2BB9185C" w:rsidR="00687890" w:rsidRPr="00DD2F9B" w:rsidRDefault="002A2D51" w:rsidP="00DD2F9B">
            <w:pPr>
              <w:pStyle w:val="Tablefont"/>
            </w:pPr>
            <w:r w:rsidRPr="002A2D51">
              <w:t>Skin</w:t>
            </w:r>
          </w:p>
        </w:tc>
      </w:tr>
      <w:tr w:rsidR="007925F0" w:rsidRPr="004C23F4" w14:paraId="64B2C533" w14:textId="77777777" w:rsidTr="00812887">
        <w:trPr>
          <w:cantSplit/>
        </w:trPr>
        <w:tc>
          <w:tcPr>
            <w:tcW w:w="3227" w:type="dxa"/>
          </w:tcPr>
          <w:p w14:paraId="0AD3DBA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C9E6C6E" w14:textId="3C7507F6" w:rsidR="007925F0" w:rsidRPr="00DD2F9B" w:rsidRDefault="002A2D51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5C4E9197" w14:textId="77777777" w:rsidTr="00812887">
        <w:trPr>
          <w:cantSplit/>
        </w:trPr>
        <w:tc>
          <w:tcPr>
            <w:tcW w:w="3227" w:type="dxa"/>
          </w:tcPr>
          <w:p w14:paraId="39441E8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55300B3" w14:textId="26EAD559" w:rsidR="00AF483F" w:rsidRPr="00DD2F9B" w:rsidRDefault="00682982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4D3C0221" w14:textId="77777777" w:rsidTr="00812887">
        <w:trPr>
          <w:cantSplit/>
        </w:trPr>
        <w:tc>
          <w:tcPr>
            <w:tcW w:w="3227" w:type="dxa"/>
          </w:tcPr>
          <w:p w14:paraId="4D34416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8BD9CFA" w14:textId="6C84D8A7" w:rsidR="00687890" w:rsidRPr="00DD2F9B" w:rsidRDefault="0068298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1CB11B4" w14:textId="77777777" w:rsidTr="00812887">
        <w:trPr>
          <w:cantSplit/>
        </w:trPr>
        <w:tc>
          <w:tcPr>
            <w:tcW w:w="3227" w:type="dxa"/>
          </w:tcPr>
          <w:p w14:paraId="122A87A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4A1E496" w14:textId="7B3299C3" w:rsidR="00E41A26" w:rsidRPr="00DD2F9B" w:rsidRDefault="0068298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CAFD019" w14:textId="77777777" w:rsidTr="00812887">
        <w:trPr>
          <w:cantSplit/>
        </w:trPr>
        <w:tc>
          <w:tcPr>
            <w:tcW w:w="3227" w:type="dxa"/>
          </w:tcPr>
          <w:p w14:paraId="7672FD9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4780DA2" w14:textId="6C41BC52" w:rsidR="002E0D61" w:rsidRPr="00DD2F9B" w:rsidRDefault="00682982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3A6F69EC" w14:textId="77777777" w:rsidTr="00812887">
        <w:trPr>
          <w:cantSplit/>
        </w:trPr>
        <w:tc>
          <w:tcPr>
            <w:tcW w:w="3227" w:type="dxa"/>
          </w:tcPr>
          <w:p w14:paraId="7FCF3D8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C7833FE" w14:textId="187345FD" w:rsidR="002E0D61" w:rsidRPr="00DD2F9B" w:rsidRDefault="00682982" w:rsidP="00DD2F9B">
            <w:pPr>
              <w:pStyle w:val="Tablefont"/>
            </w:pPr>
            <w:r w:rsidRPr="00682982">
              <w:t>H (skin)</w:t>
            </w:r>
          </w:p>
        </w:tc>
      </w:tr>
      <w:tr w:rsidR="002E0D61" w:rsidRPr="004C23F4" w14:paraId="650205B3" w14:textId="77777777" w:rsidTr="00812887">
        <w:trPr>
          <w:cantSplit/>
        </w:trPr>
        <w:tc>
          <w:tcPr>
            <w:tcW w:w="3227" w:type="dxa"/>
          </w:tcPr>
          <w:p w14:paraId="5F3F439F" w14:textId="77777777" w:rsidR="004079B4" w:rsidRPr="004C23F4" w:rsidRDefault="002E0D61" w:rsidP="00F4402E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6015" w:type="dxa"/>
          </w:tcPr>
          <w:p w14:paraId="19121024" w14:textId="799C0033" w:rsidR="002E0D61" w:rsidRPr="00DD2F9B" w:rsidRDefault="0068298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E59540" w14:textId="77777777" w:rsidTr="00812887">
        <w:trPr>
          <w:cantSplit/>
        </w:trPr>
        <w:tc>
          <w:tcPr>
            <w:tcW w:w="3227" w:type="dxa"/>
          </w:tcPr>
          <w:p w14:paraId="19A18EF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5F5E1D5" w14:textId="2FE8EA5A" w:rsidR="002E0D61" w:rsidRPr="00DD2F9B" w:rsidRDefault="00682982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16441A33" w14:textId="77777777" w:rsidTr="00812887">
        <w:trPr>
          <w:cantSplit/>
        </w:trPr>
        <w:tc>
          <w:tcPr>
            <w:tcW w:w="3227" w:type="dxa"/>
          </w:tcPr>
          <w:p w14:paraId="169B8F2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8D03312" w14:textId="48B2DF49" w:rsidR="00386093" w:rsidRPr="00DD2F9B" w:rsidRDefault="0068298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5B8E6F3" w14:textId="77777777" w:rsidTr="00812887">
        <w:trPr>
          <w:cantSplit/>
        </w:trPr>
        <w:tc>
          <w:tcPr>
            <w:tcW w:w="3227" w:type="dxa"/>
          </w:tcPr>
          <w:p w14:paraId="4DADD62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0FD0516" w14:textId="7D701271" w:rsidR="00386093" w:rsidRPr="00DD2F9B" w:rsidRDefault="00682982" w:rsidP="00D87570">
            <w:pPr>
              <w:pStyle w:val="Tablefont"/>
              <w:keepNext/>
            </w:pPr>
            <w:r w:rsidRPr="00682982">
              <w:t>SK:SYS</w:t>
            </w:r>
          </w:p>
        </w:tc>
      </w:tr>
    </w:tbl>
    <w:bookmarkEnd w:id="2"/>
    <w:p w14:paraId="4180B67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1E4EA4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7932B5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5FD0AC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25C8A9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21" w:type="dxa"/>
              <w:tblLook w:val="04A0" w:firstRow="1" w:lastRow="0" w:firstColumn="1" w:lastColumn="0" w:noHBand="0" w:noVBand="1"/>
            </w:tblPr>
            <w:tblGrid>
              <w:gridCol w:w="3550"/>
              <w:gridCol w:w="1045"/>
              <w:gridCol w:w="1045"/>
              <w:gridCol w:w="3081"/>
            </w:tblGrid>
            <w:tr w:rsidR="004A0B94" w:rsidRPr="004A0B94" w14:paraId="7694BE5C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A2BC5C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20EEA9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70B00B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1E905A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A0B94" w:rsidRPr="004A0B94" w14:paraId="425901BB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7BE64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82FDC9F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2F6E83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AFA4FA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A0B94" w:rsidRPr="004A0B94" w14:paraId="0EB5930E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A446E3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405825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8249A5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5046B6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A0B94" w:rsidRPr="004A0B94" w14:paraId="3C601276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D738E1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AE03CD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D4B72C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83FBD0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A0B94" w:rsidRPr="004A0B94" w14:paraId="10F5B7BF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B0FFAD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D5C46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D9CDC2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B76DA2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A0B94" w:rsidRPr="004A0B94" w14:paraId="52220E4D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96D056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C344B0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2EFEC9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F13F9B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A0B94" w:rsidRPr="004A0B94" w14:paraId="3A1D4135" w14:textId="77777777" w:rsidTr="004A0B94">
              <w:trPr>
                <w:trHeight w:val="344"/>
              </w:trPr>
              <w:tc>
                <w:tcPr>
                  <w:tcW w:w="3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8B7683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4E77ED" w14:textId="77777777" w:rsidR="004A0B94" w:rsidRPr="004A0B94" w:rsidRDefault="004A0B94" w:rsidP="004A0B9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5B8E25" w14:textId="77777777" w:rsidR="004A0B94" w:rsidRPr="004A0B94" w:rsidRDefault="004A0B94" w:rsidP="004A0B9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69137B" w14:textId="77777777" w:rsidR="004A0B94" w:rsidRPr="004A0B94" w:rsidRDefault="004A0B94" w:rsidP="004A0B9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A0B9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03F3930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33DF09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5613E2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A44997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4C1442C" w14:textId="5BEF0DE0" w:rsidR="00EB3D1B" w:rsidRDefault="0068298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E9B174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0ED7FE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ED9750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76AA29E" w14:textId="0B543A23" w:rsidR="001B79E5" w:rsidRDefault="00682982" w:rsidP="001B79E5">
                <w:pPr>
                  <w:pStyle w:val="Tablefont"/>
                </w:pPr>
                <w:r w:rsidRPr="00682982">
                  <w:t>90.12</w:t>
                </w:r>
              </w:p>
            </w:tc>
          </w:sdtContent>
        </w:sdt>
      </w:tr>
      <w:tr w:rsidR="00A31D99" w:rsidRPr="004C23F4" w14:paraId="14FAF83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24FDDF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D021C0D" w14:textId="591867B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82982">
                  <w:t>3.68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82982">
                  <w:t>0.272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840628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B118E9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98995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102C928" w14:textId="77777777" w:rsidTr="00EA6243">
        <w:trPr>
          <w:cantSplit/>
        </w:trPr>
        <w:tc>
          <w:tcPr>
            <w:tcW w:w="4077" w:type="dxa"/>
            <w:vAlign w:val="center"/>
          </w:tcPr>
          <w:p w14:paraId="39106B2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5EB5AA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8BB90D0" w14:textId="77777777" w:rsidTr="00EA6243">
        <w:trPr>
          <w:cantSplit/>
        </w:trPr>
        <w:tc>
          <w:tcPr>
            <w:tcW w:w="4077" w:type="dxa"/>
            <w:vAlign w:val="center"/>
          </w:tcPr>
          <w:p w14:paraId="12EBFEB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977DA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B1013A5" w14:textId="77777777" w:rsidTr="00EA6243">
        <w:trPr>
          <w:cantSplit/>
        </w:trPr>
        <w:tc>
          <w:tcPr>
            <w:tcW w:w="4077" w:type="dxa"/>
            <w:vAlign w:val="center"/>
          </w:tcPr>
          <w:p w14:paraId="1EAF30B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EBB874" w14:textId="696E2235" w:rsidR="00E06F40" w:rsidRPr="00A006A0" w:rsidRDefault="00877B2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2982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2982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82982"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2CE667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931118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33E1F6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146838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9344A5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A7B7F4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ECEA8F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613EFC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5E168ED" w14:textId="7BA61F7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F1261DD" w14:textId="56700DF2" w:rsidR="00682982" w:rsidRDefault="00682982" w:rsidP="00084859">
      <w:r>
        <w:lastRenderedPageBreak/>
        <w:t xml:space="preserve">Deutsche </w:t>
      </w:r>
      <w:proofErr w:type="spellStart"/>
      <w:r>
        <w:t>Forschungsgemeinschaft</w:t>
      </w:r>
      <w:proofErr w:type="spellEnd"/>
      <w:r>
        <w:t xml:space="preserve"> (DFG) (2008) </w:t>
      </w:r>
      <w:r w:rsidRPr="00682982">
        <w:t>2-Ethoxyethanol</w:t>
      </w:r>
      <w:r>
        <w:t xml:space="preserve"> – MAK value documentation.</w:t>
      </w:r>
    </w:p>
    <w:p w14:paraId="658B99A5" w14:textId="7AE2E228" w:rsidR="00682982" w:rsidRDefault="00682982" w:rsidP="00682982">
      <w:r>
        <w:t xml:space="preserve">Health Council of the Netherlands (HCOTN) (2011) </w:t>
      </w:r>
      <w:proofErr w:type="spellStart"/>
      <w:r>
        <w:t>Ethyleneglycol</w:t>
      </w:r>
      <w:proofErr w:type="spellEnd"/>
      <w:r>
        <w:t xml:space="preserve"> monomethyl ether</w:t>
      </w:r>
      <w:r w:rsidR="00983F0C">
        <w:t xml:space="preserve"> </w:t>
      </w:r>
      <w:r>
        <w:t xml:space="preserve">(EGME) and </w:t>
      </w:r>
      <w:proofErr w:type="spellStart"/>
      <w:r>
        <w:t>ethyleneglycol</w:t>
      </w:r>
      <w:proofErr w:type="spellEnd"/>
      <w:r w:rsidR="00983F0C">
        <w:t xml:space="preserve"> </w:t>
      </w:r>
      <w:r>
        <w:t xml:space="preserve">monomethyl ether acetate (EGMEA). Health-based calculated occupational cancer risk values. The Hague: Health Council of the Netherlands; publication no. </w:t>
      </w:r>
      <w:r w:rsidRPr="00682982">
        <w:t>2011/10</w:t>
      </w:r>
      <w:r>
        <w:t>.</w:t>
      </w:r>
    </w:p>
    <w:p w14:paraId="7AF80E45" w14:textId="77777777" w:rsidR="00983F0C" w:rsidRPr="00351FE0" w:rsidRDefault="00983F0C" w:rsidP="00983F0C">
      <w:r>
        <w:t xml:space="preserve">National Industrial Chemicals Notification and Assessment Scheme (NICNAS) (2014) </w:t>
      </w:r>
      <w:proofErr w:type="spellStart"/>
      <w:r w:rsidRPr="00682982">
        <w:t>Alkoxyethanols</w:t>
      </w:r>
      <w:proofErr w:type="spellEnd"/>
      <w:r w:rsidRPr="00682982">
        <w:t xml:space="preserve"> (C1-C2) and their acetates</w:t>
      </w:r>
      <w:r>
        <w:t xml:space="preserve">: Human health </w:t>
      </w:r>
      <w:r w:rsidRPr="00682982">
        <w:t>tier II</w:t>
      </w:r>
      <w:r>
        <w:t xml:space="preserve"> assessment – IMAP report.</w:t>
      </w:r>
    </w:p>
    <w:p w14:paraId="6BE5CE52" w14:textId="266F2C83" w:rsidR="0016135E" w:rsidRDefault="0016135E" w:rsidP="00084859">
      <w:r>
        <w:t xml:space="preserve">US Environmental Protection Authority (US EPA) (1991)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2-</w:t>
      </w:r>
      <w:proofErr w:type="gramStart"/>
      <w:r>
        <w:t>Ethoxyethanol .</w:t>
      </w:r>
      <w:proofErr w:type="gramEnd"/>
    </w:p>
    <w:p w14:paraId="7A2004C4" w14:textId="52359018" w:rsidR="00682982" w:rsidRDefault="00682982" w:rsidP="00084859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682982">
        <w:t>2-Ethoxyethanol</w:t>
      </w:r>
      <w:r>
        <w:t>.</w:t>
      </w:r>
    </w:p>
    <w:p w14:paraId="5651C3B0" w14:textId="407C3282" w:rsidR="00682982" w:rsidRDefault="00682982" w:rsidP="00084859">
      <w:r>
        <w:t xml:space="preserve">US National Institute for Occupational Safety and Health (NIOSH) (2011) NIOSH Skin Notation Profiles: </w:t>
      </w:r>
      <w:r w:rsidRPr="00682982">
        <w:t>2-Ethoxyethanol (EE)</w:t>
      </w:r>
      <w:r>
        <w:t>.</w:t>
      </w:r>
    </w:p>
    <w:p w14:paraId="77AA6CA2" w14:textId="77777777" w:rsidR="0016135E" w:rsidRDefault="0016135E" w:rsidP="00084859"/>
    <w:p w14:paraId="00BECB6F" w14:textId="6418B565" w:rsidR="00682982" w:rsidRPr="00351FE0" w:rsidRDefault="00682982" w:rsidP="00084859"/>
    <w:sectPr w:rsidR="0068298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156C7" w14:textId="77777777" w:rsidR="004F1DD4" w:rsidRDefault="004F1DD4" w:rsidP="00F43AD5">
      <w:pPr>
        <w:spacing w:after="0" w:line="240" w:lineRule="auto"/>
      </w:pPr>
      <w:r>
        <w:separator/>
      </w:r>
    </w:p>
  </w:endnote>
  <w:endnote w:type="continuationSeparator" w:id="0">
    <w:p w14:paraId="599BC5A1" w14:textId="77777777" w:rsidR="004F1DD4" w:rsidRDefault="004F1DD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81DB" w14:textId="77777777" w:rsidR="00877B2D" w:rsidRDefault="0087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8D2C4C" w14:textId="424E613E" w:rsidR="008A36CF" w:rsidRDefault="002A2D51" w:rsidP="0034744C">
        <w:pPr>
          <w:pStyle w:val="Footer"/>
          <w:rPr>
            <w:sz w:val="18"/>
            <w:szCs w:val="18"/>
          </w:rPr>
        </w:pPr>
        <w:r w:rsidRPr="002A2D51">
          <w:rPr>
            <w:b/>
            <w:sz w:val="18"/>
            <w:szCs w:val="18"/>
          </w:rPr>
          <w:t>2-Ethoxyethanol</w:t>
        </w:r>
        <w:r w:rsidR="008A36CF">
          <w:rPr>
            <w:b/>
            <w:sz w:val="18"/>
            <w:szCs w:val="18"/>
          </w:rPr>
          <w:t xml:space="preserve"> (</w:t>
        </w:r>
        <w:r w:rsidRPr="002A2D51">
          <w:rPr>
            <w:b/>
            <w:sz w:val="18"/>
            <w:szCs w:val="18"/>
          </w:rPr>
          <w:t>110-80-5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4E95073" w14:textId="12E2CF7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77B2D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0174A" w14:textId="77777777" w:rsidR="00877B2D" w:rsidRDefault="0087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CD16" w14:textId="77777777" w:rsidR="004F1DD4" w:rsidRDefault="004F1DD4" w:rsidP="00F43AD5">
      <w:pPr>
        <w:spacing w:after="0" w:line="240" w:lineRule="auto"/>
      </w:pPr>
      <w:r>
        <w:separator/>
      </w:r>
    </w:p>
  </w:footnote>
  <w:footnote w:type="continuationSeparator" w:id="0">
    <w:p w14:paraId="01D6FA89" w14:textId="77777777" w:rsidR="004F1DD4" w:rsidRDefault="004F1DD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DEDE" w14:textId="77777777" w:rsidR="00877B2D" w:rsidRDefault="0087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72AD" w14:textId="07F9347D" w:rsidR="00877B2D" w:rsidRDefault="00877B2D" w:rsidP="00877B2D">
    <w:pPr>
      <w:pStyle w:val="Header"/>
      <w:jc w:val="right"/>
    </w:pPr>
    <w:r>
      <w:pict w14:anchorId="70D12A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3500372" wp14:editId="1F2089B2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2447D" w14:textId="5EC16C66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8D4" w14:textId="77777777" w:rsidR="00877B2D" w:rsidRDefault="00877B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F3CBF" w14:textId="301EF058" w:rsidR="00877B2D" w:rsidRDefault="00877B2D" w:rsidP="00877B2D">
    <w:pPr>
      <w:pStyle w:val="Header"/>
      <w:jc w:val="right"/>
    </w:pPr>
    <w:r>
      <w:pict w14:anchorId="74A057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6441C51" wp14:editId="7CF723A2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  <w:p w14:paraId="759EA489" w14:textId="51F39C7D" w:rsidR="008A36CF" w:rsidRDefault="008A36CF" w:rsidP="0087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288B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E79B0"/>
    <w:multiLevelType w:val="hybridMultilevel"/>
    <w:tmpl w:val="4074F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0877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68B6"/>
    <w:rsid w:val="000803E1"/>
    <w:rsid w:val="00084513"/>
    <w:rsid w:val="00084859"/>
    <w:rsid w:val="00092D94"/>
    <w:rsid w:val="000A5666"/>
    <w:rsid w:val="000B0868"/>
    <w:rsid w:val="000B3E12"/>
    <w:rsid w:val="000B3E78"/>
    <w:rsid w:val="000B7B48"/>
    <w:rsid w:val="000C096D"/>
    <w:rsid w:val="000C139A"/>
    <w:rsid w:val="000C2053"/>
    <w:rsid w:val="000C248C"/>
    <w:rsid w:val="000D02D6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2F01"/>
    <w:rsid w:val="00160F47"/>
    <w:rsid w:val="0016135E"/>
    <w:rsid w:val="00177CA1"/>
    <w:rsid w:val="00183823"/>
    <w:rsid w:val="00183942"/>
    <w:rsid w:val="001A009E"/>
    <w:rsid w:val="001A1287"/>
    <w:rsid w:val="001A3859"/>
    <w:rsid w:val="001A3C9D"/>
    <w:rsid w:val="001A43F8"/>
    <w:rsid w:val="001A4A35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5B04"/>
    <w:rsid w:val="002A2D51"/>
    <w:rsid w:val="002B1A2C"/>
    <w:rsid w:val="002B6E39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6FFD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87524"/>
    <w:rsid w:val="00490D4C"/>
    <w:rsid w:val="00493A35"/>
    <w:rsid w:val="0049527A"/>
    <w:rsid w:val="004966BF"/>
    <w:rsid w:val="00497984"/>
    <w:rsid w:val="004A0B9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1DD4"/>
    <w:rsid w:val="004F448A"/>
    <w:rsid w:val="004F493D"/>
    <w:rsid w:val="004F65E8"/>
    <w:rsid w:val="0050005E"/>
    <w:rsid w:val="00502B88"/>
    <w:rsid w:val="005142C4"/>
    <w:rsid w:val="0051509C"/>
    <w:rsid w:val="00516D55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0B56"/>
    <w:rsid w:val="006013C1"/>
    <w:rsid w:val="0060669E"/>
    <w:rsid w:val="00610F2E"/>
    <w:rsid w:val="00611399"/>
    <w:rsid w:val="00624C4E"/>
    <w:rsid w:val="00625200"/>
    <w:rsid w:val="00625A55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2982"/>
    <w:rsid w:val="006867F3"/>
    <w:rsid w:val="00687890"/>
    <w:rsid w:val="006901A2"/>
    <w:rsid w:val="00690368"/>
    <w:rsid w:val="0069079C"/>
    <w:rsid w:val="00690B53"/>
    <w:rsid w:val="00695B72"/>
    <w:rsid w:val="006A3FCF"/>
    <w:rsid w:val="006B160A"/>
    <w:rsid w:val="006B4E6C"/>
    <w:rsid w:val="006B50B6"/>
    <w:rsid w:val="006C4E35"/>
    <w:rsid w:val="006D0C1A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38D9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46ED"/>
    <w:rsid w:val="00857A8A"/>
    <w:rsid w:val="008630EE"/>
    <w:rsid w:val="00864D13"/>
    <w:rsid w:val="00871CD5"/>
    <w:rsid w:val="008745A2"/>
    <w:rsid w:val="008768A8"/>
    <w:rsid w:val="00877B2D"/>
    <w:rsid w:val="00884483"/>
    <w:rsid w:val="0088798F"/>
    <w:rsid w:val="00887E4B"/>
    <w:rsid w:val="008915C8"/>
    <w:rsid w:val="008A139B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3F0C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4D69"/>
    <w:rsid w:val="009C5874"/>
    <w:rsid w:val="009D3B5A"/>
    <w:rsid w:val="009E0C05"/>
    <w:rsid w:val="009E0D1C"/>
    <w:rsid w:val="009E2214"/>
    <w:rsid w:val="009E355A"/>
    <w:rsid w:val="009E4313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31C4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5F48"/>
    <w:rsid w:val="00C06E43"/>
    <w:rsid w:val="00C16315"/>
    <w:rsid w:val="00C2677E"/>
    <w:rsid w:val="00C3091E"/>
    <w:rsid w:val="00C40FF1"/>
    <w:rsid w:val="00C419E2"/>
    <w:rsid w:val="00C5020E"/>
    <w:rsid w:val="00C57452"/>
    <w:rsid w:val="00C61EDF"/>
    <w:rsid w:val="00C6239D"/>
    <w:rsid w:val="00C63FD3"/>
    <w:rsid w:val="00C6594B"/>
    <w:rsid w:val="00C67FFB"/>
    <w:rsid w:val="00C7155E"/>
    <w:rsid w:val="00C71D1E"/>
    <w:rsid w:val="00C71D7D"/>
    <w:rsid w:val="00C74833"/>
    <w:rsid w:val="00C76AE8"/>
    <w:rsid w:val="00C850A0"/>
    <w:rsid w:val="00C85A86"/>
    <w:rsid w:val="00C978F0"/>
    <w:rsid w:val="00CA58FE"/>
    <w:rsid w:val="00CB11BD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7543"/>
    <w:rsid w:val="00D44C89"/>
    <w:rsid w:val="00D516CD"/>
    <w:rsid w:val="00D668E6"/>
    <w:rsid w:val="00D70670"/>
    <w:rsid w:val="00D74D80"/>
    <w:rsid w:val="00D76624"/>
    <w:rsid w:val="00D8413D"/>
    <w:rsid w:val="00D87570"/>
    <w:rsid w:val="00D91CB9"/>
    <w:rsid w:val="00D97989"/>
    <w:rsid w:val="00D97D8D"/>
    <w:rsid w:val="00DA352E"/>
    <w:rsid w:val="00DB5AB2"/>
    <w:rsid w:val="00DC7694"/>
    <w:rsid w:val="00DD1BF6"/>
    <w:rsid w:val="00DD2F9B"/>
    <w:rsid w:val="00DE2513"/>
    <w:rsid w:val="00DE26E8"/>
    <w:rsid w:val="00DF062C"/>
    <w:rsid w:val="00DF2689"/>
    <w:rsid w:val="00DF6F36"/>
    <w:rsid w:val="00E0084C"/>
    <w:rsid w:val="00E025AB"/>
    <w:rsid w:val="00E02B23"/>
    <w:rsid w:val="00E06F40"/>
    <w:rsid w:val="00E07CE8"/>
    <w:rsid w:val="00E209C7"/>
    <w:rsid w:val="00E23D27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6AEF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6EC2"/>
    <w:rsid w:val="00F20E68"/>
    <w:rsid w:val="00F22093"/>
    <w:rsid w:val="00F236DF"/>
    <w:rsid w:val="00F43AD5"/>
    <w:rsid w:val="00F4402E"/>
    <w:rsid w:val="00F56DD0"/>
    <w:rsid w:val="00F6491C"/>
    <w:rsid w:val="00F67BBB"/>
    <w:rsid w:val="00F86F30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22F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52F0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D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D6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D6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E77CE58C6544D0DA9ABA9B49A11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6E90-5741-448F-BDD4-C051CAE08B47}"/>
      </w:docPartPr>
      <w:docPartBody>
        <w:p w:rsidR="008B6F29" w:rsidRDefault="005E6FD0" w:rsidP="005E6FD0">
          <w:pPr>
            <w:pStyle w:val="3E77CE58C6544D0DA9ABA9B49A11907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E6FD0"/>
    <w:rsid w:val="008B6F29"/>
    <w:rsid w:val="00C92713"/>
    <w:rsid w:val="00D21A9F"/>
    <w:rsid w:val="00EE3621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FD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E6FFFF2D18C40F39E140ADFBADBD934">
    <w:name w:val="AE6FFFF2D18C40F39E140ADFBADBD934"/>
    <w:rsid w:val="00EE3621"/>
  </w:style>
  <w:style w:type="paragraph" w:customStyle="1" w:styleId="B15716D6ACA843BFA5F1F2770A177227">
    <w:name w:val="B15716D6ACA843BFA5F1F2770A177227"/>
    <w:rsid w:val="00EE3621"/>
  </w:style>
  <w:style w:type="paragraph" w:customStyle="1" w:styleId="CC0804B0649C466AAD4EDCC35FF88EC1">
    <w:name w:val="CC0804B0649C466AAD4EDCC35FF88EC1"/>
    <w:rsid w:val="00EE3621"/>
  </w:style>
  <w:style w:type="paragraph" w:customStyle="1" w:styleId="70826DE676584B498C0BCC24C79A9160">
    <w:name w:val="70826DE676584B498C0BCC24C79A9160"/>
    <w:rsid w:val="00EE3621"/>
  </w:style>
  <w:style w:type="paragraph" w:customStyle="1" w:styleId="9BF99516D57A4C8F945FCB25E4255878">
    <w:name w:val="9BF99516D57A4C8F945FCB25E4255878"/>
    <w:rsid w:val="00EE3621"/>
  </w:style>
  <w:style w:type="paragraph" w:customStyle="1" w:styleId="FF08EA39840E4169ABE0D77895CCE969">
    <w:name w:val="FF08EA39840E4169ABE0D77895CCE969"/>
    <w:rsid w:val="00EE3621"/>
  </w:style>
  <w:style w:type="paragraph" w:customStyle="1" w:styleId="817D7D0A6CC944E58E1C39EDD70A5DF3">
    <w:name w:val="817D7D0A6CC944E58E1C39EDD70A5DF3"/>
    <w:rsid w:val="00EE3621"/>
  </w:style>
  <w:style w:type="paragraph" w:customStyle="1" w:styleId="A7D8C2D549424E15915BF104D08B3CC2">
    <w:name w:val="A7D8C2D549424E15915BF104D08B3CC2"/>
    <w:rsid w:val="00EE3621"/>
  </w:style>
  <w:style w:type="paragraph" w:customStyle="1" w:styleId="BBDE1E786ECB49D39B7C71B74C0A6805">
    <w:name w:val="BBDE1E786ECB49D39B7C71B74C0A6805"/>
    <w:rsid w:val="00EE3621"/>
  </w:style>
  <w:style w:type="paragraph" w:customStyle="1" w:styleId="D010684BAFF14175B5EF12F64626C8EF">
    <w:name w:val="D010684BAFF14175B5EF12F64626C8EF"/>
    <w:rsid w:val="00EE3621"/>
  </w:style>
  <w:style w:type="paragraph" w:customStyle="1" w:styleId="7EB66F10D9CF4C3F93372F3B8EABABAC">
    <w:name w:val="7EB66F10D9CF4C3F93372F3B8EABABAC"/>
    <w:rsid w:val="00EE3621"/>
  </w:style>
  <w:style w:type="paragraph" w:customStyle="1" w:styleId="A053C904B5DA497B981D3E894D15371C">
    <w:name w:val="A053C904B5DA497B981D3E894D15371C"/>
    <w:rsid w:val="00EE3621"/>
  </w:style>
  <w:style w:type="paragraph" w:customStyle="1" w:styleId="3E77CE58C6544D0DA9ABA9B49A119074">
    <w:name w:val="3E77CE58C6544D0DA9ABA9B49A119074"/>
    <w:rsid w:val="005E6FD0"/>
  </w:style>
  <w:style w:type="paragraph" w:customStyle="1" w:styleId="1913F1DD9D72450C8AC6277AC804FF3B">
    <w:name w:val="1913F1DD9D72450C8AC6277AC804FF3B"/>
    <w:rsid w:val="00C92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53557F-C6BD-49E5-AE7D-C2C0804BF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AA469-77F0-4AA7-BABC-89B4E0B1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F9247515.dotm</Template>
  <TotalTime>1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</cp:revision>
  <cp:lastPrinted>2018-10-22T22:41:00Z</cp:lastPrinted>
  <dcterms:created xsi:type="dcterms:W3CDTF">2019-11-07T07:44:00Z</dcterms:created>
  <dcterms:modified xsi:type="dcterms:W3CDTF">2019-11-07T22:03:00Z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