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113C18" w:rsidP="00113C18">
          <w:pPr>
            <w:pStyle w:val="Heading1"/>
            <w:jc w:val="center"/>
            <w:rPr>
              <w:rFonts w:ascii="Arial" w:hAnsi="Arial" w:cs="Arial"/>
            </w:rPr>
          </w:pPr>
          <w:r w:rsidRPr="00113C18">
            <w:rPr>
              <w:rFonts w:ascii="Arial" w:hAnsi="Arial" w:cs="Arial"/>
            </w:rPr>
            <w:t>2-Ethylhexanol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CB1F8B" w:rsidP="00B76A41">
            <w:pPr>
              <w:pStyle w:val="Tablefont"/>
            </w:pPr>
            <w:r w:rsidRPr="00CB1F8B">
              <w:t>104-76-7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717D45" w:rsidRDefault="00CB1F8B" w:rsidP="00B76A41">
            <w:pPr>
              <w:pStyle w:val="Tablefont"/>
            </w:pPr>
            <w:r>
              <w:t>2-Ethylhexan-1-ol, isooctanol, o</w:t>
            </w:r>
            <w:r w:rsidRPr="00CB1F8B">
              <w:t>ctyl alcohol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CB1F8B" w:rsidP="00B76A41">
            <w:pPr>
              <w:pStyle w:val="Tablefont"/>
            </w:pPr>
            <w:r w:rsidRPr="00CB1F8B">
              <w:t>C</w:t>
            </w:r>
            <w:r w:rsidRPr="00CB1F8B">
              <w:rPr>
                <w:vertAlign w:val="subscript"/>
              </w:rPr>
              <w:t>8</w:t>
            </w:r>
            <w:r w:rsidRPr="00CB1F8B">
              <w:t>H</w:t>
            </w:r>
            <w:r w:rsidRPr="00CB1F8B">
              <w:rPr>
                <w:vertAlign w:val="subscript"/>
              </w:rPr>
              <w:t>18</w:t>
            </w:r>
            <w:r w:rsidRPr="00CB1F8B">
              <w:t>O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B40C60" w:rsidRDefault="00CB1F8B" w:rsidP="00B76A41">
            <w:pPr>
              <w:pStyle w:val="Tablerowheading"/>
              <w:rPr>
                <w:b w:val="0"/>
              </w:rPr>
            </w:pPr>
            <w:r w:rsidRPr="00CB1F8B">
              <w:rPr>
                <w:b w:val="0"/>
              </w:rPr>
              <w:t>—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75225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:rsidTr="003B155E">
        <w:trPr>
          <w:cantSplit/>
          <w:tblHeader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:rsidR="002C7AFE" w:rsidRPr="003B155E" w:rsidRDefault="00693A8D" w:rsidP="00017C82">
            <w:pPr>
              <w:pStyle w:val="Tablefont"/>
              <w:rPr>
                <w:b/>
              </w:rPr>
            </w:pPr>
            <w:r w:rsidRPr="003B155E">
              <w:rPr>
                <w:b/>
              </w:rPr>
              <w:t>1 ppm (5.33 mg/m</w:t>
            </w:r>
            <w:r w:rsidRPr="003B155E">
              <w:rPr>
                <w:b/>
                <w:vertAlign w:val="superscript"/>
              </w:rPr>
              <w:t>3</w:t>
            </w:r>
            <w:r w:rsidRPr="003B155E">
              <w:rPr>
                <w:b/>
              </w:rPr>
              <w:t>)</w:t>
            </w:r>
          </w:p>
        </w:tc>
      </w:tr>
      <w:tr w:rsidR="002C7AFE" w:rsidRPr="004C23F4" w:rsidTr="003B155E">
        <w:trPr>
          <w:cantSplit/>
        </w:trPr>
        <w:tc>
          <w:tcPr>
            <w:tcW w:w="4005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133ACC" w:rsidRDefault="007600E4" w:rsidP="00017C82">
            <w:pPr>
              <w:pStyle w:val="Tablefont"/>
              <w:rPr>
                <w:b/>
              </w:rPr>
            </w:pPr>
            <w:r w:rsidRPr="003B155E">
              <w:rPr>
                <w:b/>
              </w:rPr>
              <w:t>—</w:t>
            </w:r>
          </w:p>
        </w:tc>
      </w:tr>
      <w:tr w:rsidR="002C7AFE" w:rsidRPr="004C23F4" w:rsidTr="003B155E">
        <w:trPr>
          <w:cantSplit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:rsidR="002C7AFE" w:rsidRPr="00133ACC" w:rsidRDefault="007600E4" w:rsidP="00017C82">
            <w:pPr>
              <w:pStyle w:val="Tablefont"/>
              <w:rPr>
                <w:b/>
              </w:rPr>
            </w:pPr>
            <w:r w:rsidRPr="003B155E">
              <w:rPr>
                <w:b/>
              </w:rPr>
              <w:t>—</w:t>
            </w:r>
          </w:p>
        </w:tc>
      </w:tr>
      <w:tr w:rsidR="002C7AFE" w:rsidRPr="004C23F4" w:rsidTr="003B155E">
        <w:trPr>
          <w:cantSplit/>
        </w:trPr>
        <w:tc>
          <w:tcPr>
            <w:tcW w:w="4005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133ACC" w:rsidRDefault="007600E4" w:rsidP="008A36CF">
            <w:pPr>
              <w:pStyle w:val="Tablefont"/>
              <w:rPr>
                <w:b/>
              </w:rPr>
            </w:pPr>
            <w:r w:rsidRPr="003B155E">
              <w:rPr>
                <w:b/>
              </w:rPr>
              <w:t>—</w:t>
            </w:r>
          </w:p>
        </w:tc>
      </w:tr>
      <w:tr w:rsidR="002C7AFE" w:rsidRPr="004C23F4" w:rsidTr="003B155E">
        <w:trPr>
          <w:cantSplit/>
        </w:trPr>
        <w:tc>
          <w:tcPr>
            <w:tcW w:w="4005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:rsidR="002C7AFE" w:rsidRPr="00133ACC" w:rsidRDefault="00E56F93" w:rsidP="00017C82">
            <w:pPr>
              <w:pStyle w:val="Tablefont"/>
              <w:rPr>
                <w:b/>
              </w:rPr>
            </w:pPr>
            <w:r w:rsidRPr="003B155E">
              <w:rPr>
                <w:b/>
              </w:rPr>
              <w:t>—</w:t>
            </w:r>
          </w:p>
        </w:tc>
      </w:tr>
      <w:tr w:rsidR="003B155E" w:rsidRPr="004C23F4" w:rsidTr="00E038F8">
        <w:trPr>
          <w:cantSplit/>
        </w:trPr>
        <w:tc>
          <w:tcPr>
            <w:tcW w:w="9026" w:type="dxa"/>
            <w:gridSpan w:val="2"/>
            <w:vAlign w:val="center"/>
          </w:tcPr>
          <w:p w:rsidR="003B155E" w:rsidRPr="00EB3D1B" w:rsidRDefault="003B155E" w:rsidP="003B155E">
            <w:pPr>
              <w:pStyle w:val="Tablefont"/>
              <w:rPr>
                <w:b/>
              </w:rPr>
            </w:pPr>
            <w:r w:rsidRPr="00BD745F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98B8F0195F74F78A99BA093BC464E38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BD745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Pr="007600E4" w:rsidRDefault="007600E4" w:rsidP="000C139A">
      <w:pPr>
        <w:rPr>
          <w:rFonts w:cs="Arial"/>
        </w:rPr>
      </w:pPr>
      <w:r>
        <w:rPr>
          <w:rFonts w:cs="Arial"/>
        </w:rPr>
        <w:t>A TWA of 1 ppm (5.33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</w:t>
      </w:r>
      <w:r w:rsidR="00166D08">
        <w:rPr>
          <w:rFonts w:cs="Arial"/>
        </w:rPr>
        <w:t>protect</w:t>
      </w:r>
      <w:r>
        <w:rPr>
          <w:rFonts w:cs="Arial"/>
        </w:rPr>
        <w:t xml:space="preserve"> </w:t>
      </w:r>
      <w:r w:rsidR="00B07EC5">
        <w:rPr>
          <w:rFonts w:cs="Arial"/>
        </w:rPr>
        <w:t>for</w:t>
      </w:r>
      <w:r>
        <w:rPr>
          <w:rFonts w:cs="Arial"/>
        </w:rPr>
        <w:t xml:space="preserve"> central nervous system</w:t>
      </w:r>
      <w:r w:rsidR="009F4BC0">
        <w:rPr>
          <w:rFonts w:cs="Arial"/>
        </w:rPr>
        <w:t xml:space="preserve"> (CNS)</w:t>
      </w:r>
      <w:r>
        <w:rPr>
          <w:rFonts w:cs="Arial"/>
        </w:rPr>
        <w:t xml:space="preserve"> depression </w:t>
      </w:r>
      <w:r w:rsidR="00166D08">
        <w:rPr>
          <w:rFonts w:cs="Arial"/>
        </w:rPr>
        <w:t xml:space="preserve">including </w:t>
      </w:r>
      <w:r>
        <w:rPr>
          <w:rFonts w:cs="Arial"/>
        </w:rPr>
        <w:t>headaches, fatigue, dizziness</w:t>
      </w:r>
      <w:r w:rsidR="00B86341">
        <w:rPr>
          <w:rFonts w:cs="Arial"/>
        </w:rPr>
        <w:t xml:space="preserve"> and </w:t>
      </w:r>
      <w:r>
        <w:rPr>
          <w:rFonts w:cs="Arial"/>
        </w:rPr>
        <w:t>nausea</w:t>
      </w:r>
      <w:r w:rsidR="00B86341">
        <w:rPr>
          <w:rFonts w:cs="Arial"/>
        </w:rPr>
        <w:t>;</w:t>
      </w:r>
      <w:r>
        <w:rPr>
          <w:rFonts w:cs="Arial"/>
        </w:rPr>
        <w:t xml:space="preserve"> as well as nasal and throat irritation</w:t>
      </w:r>
      <w:r w:rsidR="00166D08">
        <w:rPr>
          <w:rFonts w:cs="Arial"/>
        </w:rPr>
        <w:t xml:space="preserve"> in exposed workers</w:t>
      </w:r>
      <w:r>
        <w:rPr>
          <w:rFonts w:cs="Arial"/>
        </w:rPr>
        <w:t xml:space="preserve">. 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58561F" w:rsidRDefault="00134F9D" w:rsidP="006639B4">
      <w:pPr>
        <w:rPr>
          <w:rFonts w:cs="Arial"/>
        </w:rPr>
      </w:pPr>
      <w:r>
        <w:rPr>
          <w:rFonts w:cs="Arial"/>
        </w:rPr>
        <w:t>2-Ethylhexanol</w:t>
      </w:r>
      <w:r w:rsidR="003E03DC">
        <w:rPr>
          <w:rFonts w:cs="Arial"/>
        </w:rPr>
        <w:t xml:space="preserve"> </w:t>
      </w:r>
      <w:r w:rsidR="002E46C3">
        <w:rPr>
          <w:rFonts w:cs="Arial"/>
        </w:rPr>
        <w:t xml:space="preserve">(EH) </w:t>
      </w:r>
      <w:r w:rsidR="003E03DC">
        <w:rPr>
          <w:rFonts w:cs="Arial"/>
        </w:rPr>
        <w:t xml:space="preserve">is used in the production of </w:t>
      </w:r>
      <w:r>
        <w:rPr>
          <w:rFonts w:cs="Arial"/>
        </w:rPr>
        <w:t xml:space="preserve">plasticisers and lubricants. </w:t>
      </w:r>
    </w:p>
    <w:p w:rsidR="006639B4" w:rsidRDefault="003E03DC" w:rsidP="006639B4">
      <w:pPr>
        <w:rPr>
          <w:rFonts w:cs="Arial"/>
        </w:rPr>
      </w:pPr>
      <w:r>
        <w:rPr>
          <w:rFonts w:cs="Arial"/>
        </w:rPr>
        <w:t>Critical effects include</w:t>
      </w:r>
      <w:r w:rsidR="00BD745F">
        <w:rPr>
          <w:rFonts w:cs="Arial"/>
        </w:rPr>
        <w:t xml:space="preserve"> CNS depression and </w:t>
      </w:r>
      <w:r>
        <w:rPr>
          <w:rFonts w:cs="Arial"/>
        </w:rPr>
        <w:t xml:space="preserve">eye and </w:t>
      </w:r>
      <w:r w:rsidR="00BD745F">
        <w:rPr>
          <w:rFonts w:cs="Arial"/>
        </w:rPr>
        <w:t xml:space="preserve">upper respiratory irritation. </w:t>
      </w:r>
      <w:r w:rsidR="00B07EC5">
        <w:rPr>
          <w:rFonts w:cs="Arial"/>
        </w:rPr>
        <w:t>H</w:t>
      </w:r>
      <w:r w:rsidR="00D34F26">
        <w:rPr>
          <w:rFonts w:cs="Arial"/>
        </w:rPr>
        <w:t>uman exposure chamber studies</w:t>
      </w:r>
      <w:r w:rsidR="00B07EC5">
        <w:rPr>
          <w:rFonts w:cs="Arial"/>
        </w:rPr>
        <w:t xml:space="preserve"> where healthy volunteers were exposed for four hours determined a NOAEC of </w:t>
      </w:r>
      <w:r w:rsidR="0058561F">
        <w:rPr>
          <w:rFonts w:cs="Arial"/>
        </w:rPr>
        <w:br/>
      </w:r>
      <w:r w:rsidR="00B07EC5">
        <w:rPr>
          <w:rFonts w:cs="Arial"/>
        </w:rPr>
        <w:t>1.5 ppm for eye and nasal irritation</w:t>
      </w:r>
      <w:r w:rsidR="002E46C3">
        <w:rPr>
          <w:rFonts w:cs="Arial"/>
        </w:rPr>
        <w:t xml:space="preserve"> (SCOEL, 2011)</w:t>
      </w:r>
      <w:r w:rsidR="00D34F26">
        <w:rPr>
          <w:rFonts w:cs="Arial"/>
        </w:rPr>
        <w:t>.</w:t>
      </w:r>
      <w:r w:rsidR="00B07EC5">
        <w:rPr>
          <w:rFonts w:cs="Arial"/>
        </w:rPr>
        <w:t xml:space="preserve"> No </w:t>
      </w:r>
      <w:r w:rsidR="00DA0D95">
        <w:rPr>
          <w:rFonts w:cs="Arial"/>
        </w:rPr>
        <w:t>neurobehavioral</w:t>
      </w:r>
      <w:r w:rsidR="00B07EC5">
        <w:rPr>
          <w:rFonts w:cs="Arial"/>
        </w:rPr>
        <w:t xml:space="preserve"> impairment was observed at </w:t>
      </w:r>
      <w:r w:rsidR="00DA0D95">
        <w:rPr>
          <w:rFonts w:cs="Arial"/>
        </w:rPr>
        <w:t>20 ppm in the same study</w:t>
      </w:r>
      <w:r w:rsidR="00D34F26">
        <w:rPr>
          <w:rFonts w:cs="Arial"/>
        </w:rPr>
        <w:t xml:space="preserve">. No signs of irritation were reported in rats repeatedly exposed </w:t>
      </w:r>
      <w:r w:rsidR="00DA0D95">
        <w:rPr>
          <w:rFonts w:cs="Arial"/>
        </w:rPr>
        <w:t>at 120 ppm</w:t>
      </w:r>
      <w:r w:rsidR="005579ED">
        <w:rPr>
          <w:rFonts w:cs="Arial"/>
        </w:rPr>
        <w:t xml:space="preserve"> or under a single exposure event </w:t>
      </w:r>
      <w:r w:rsidR="00DA0D95">
        <w:rPr>
          <w:rFonts w:cs="Arial"/>
        </w:rPr>
        <w:t>at</w:t>
      </w:r>
      <w:r w:rsidR="005579ED">
        <w:rPr>
          <w:rFonts w:cs="Arial"/>
        </w:rPr>
        <w:t xml:space="preserve"> 164 ppm (SCOEL, 2011). Evidence of carcinogenicity in animals remains inconclusive</w:t>
      </w:r>
      <w:r w:rsidR="003B155E">
        <w:rPr>
          <w:rFonts w:cs="Arial"/>
        </w:rPr>
        <w:t>.</w:t>
      </w:r>
    </w:p>
    <w:p w:rsidR="00FC0383" w:rsidRPr="005579ED" w:rsidRDefault="00FC0383" w:rsidP="006639B4">
      <w:pPr>
        <w:rPr>
          <w:rFonts w:cs="Arial"/>
        </w:rPr>
      </w:pPr>
      <w:r>
        <w:rPr>
          <w:rFonts w:cs="Arial"/>
        </w:rPr>
        <w:t>Based on the NOAEC of 1.5 ppm</w:t>
      </w:r>
      <w:r w:rsidR="0058561F">
        <w:rPr>
          <w:rFonts w:cs="Arial"/>
        </w:rPr>
        <w:t xml:space="preserve"> in humans</w:t>
      </w:r>
      <w:r>
        <w:rPr>
          <w:rFonts w:cs="Arial"/>
        </w:rPr>
        <w:t>, the recommended TWA of 1 ppm is considered protective for irritation and CNS effects in exposed workers.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E56F93" w:rsidRDefault="00E56F93" w:rsidP="00E56F93">
      <w:pPr>
        <w:rPr>
          <w:rFonts w:cs="Arial"/>
        </w:rPr>
      </w:pPr>
      <w:r>
        <w:rPr>
          <w:rFonts w:cs="Arial"/>
        </w:rPr>
        <w:t>Not classified as a carcinogen according to the Globally Harmonized System of</w:t>
      </w:r>
      <w:r w:rsidR="003B155E">
        <w:rPr>
          <w:rFonts w:cs="Arial"/>
        </w:rPr>
        <w:t xml:space="preserve"> Classification and Labelling of</w:t>
      </w:r>
      <w:r>
        <w:rPr>
          <w:rFonts w:cs="Arial"/>
        </w:rPr>
        <w:t xml:space="preserve"> Chemicals (GHS). </w:t>
      </w:r>
    </w:p>
    <w:p w:rsidR="00E56F93" w:rsidRDefault="00E56F93" w:rsidP="00E56F93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3B155E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:rsidR="00E56F93" w:rsidRDefault="0058561F" w:rsidP="00E56F93">
      <w:pPr>
        <w:rPr>
          <w:rFonts w:cs="Arial"/>
        </w:rPr>
      </w:pPr>
      <w:r>
        <w:rPr>
          <w:rFonts w:cs="Arial"/>
        </w:rPr>
        <w:t>A</w:t>
      </w:r>
      <w:r w:rsidR="00E56F93">
        <w:rPr>
          <w:rFonts w:cs="Arial"/>
        </w:rPr>
        <w:t xml:space="preserve"> skin notation</w:t>
      </w:r>
      <w:r>
        <w:rPr>
          <w:rFonts w:cs="Arial"/>
        </w:rPr>
        <w:t xml:space="preserve"> is not recommended based on the data </w:t>
      </w:r>
      <w:r w:rsidR="00FB353A">
        <w:rPr>
          <w:rFonts w:cs="Arial"/>
        </w:rPr>
        <w:t>available</w:t>
      </w:r>
      <w:r w:rsidR="00E56F93">
        <w:rPr>
          <w:rFonts w:cs="Arial"/>
        </w:rPr>
        <w:t>.</w:t>
      </w:r>
    </w:p>
    <w:p w:rsidR="0025734A" w:rsidRPr="004C23F4" w:rsidRDefault="0025734A">
      <w:pPr>
        <w:rPr>
          <w:rFonts w:cs="Arial"/>
        </w:rPr>
      </w:pP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56F93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56F93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56F9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56F93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3B155E" w:rsidP="003365A5">
            <w:pPr>
              <w:pStyle w:val="Tabletextprimarysource"/>
            </w:pPr>
            <w:r>
              <w:t>No report.</w:t>
            </w: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B636A2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>
              <w:t>SCOEL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56F93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>
                  <w:t>TWA: 1 ppm</w:t>
                </w:r>
              </w:sdtContent>
            </w:sdt>
          </w:p>
        </w:tc>
      </w:tr>
      <w:tr w:rsidR="00C978F0" w:rsidRPr="00DA352E" w:rsidTr="0058561F">
        <w:trPr>
          <w:gridAfter w:val="1"/>
          <w:wAfter w:w="8" w:type="pct"/>
        </w:trPr>
        <w:tc>
          <w:tcPr>
            <w:tcW w:w="4992" w:type="pct"/>
          </w:tcPr>
          <w:p w:rsidR="003E03DC" w:rsidRDefault="003E03DC" w:rsidP="003365A5">
            <w:pPr>
              <w:pStyle w:val="Tabletextprimarysource"/>
            </w:pPr>
            <w:r>
              <w:t>TWA recommended to minimise t</w:t>
            </w:r>
            <w:r w:rsidRPr="003E03DC">
              <w:t>he ef</w:t>
            </w:r>
            <w:r>
              <w:t>f</w:t>
            </w:r>
            <w:r w:rsidRPr="003E03DC">
              <w:t>ect</w:t>
            </w:r>
            <w:r>
              <w:t>s</w:t>
            </w:r>
            <w:r w:rsidRPr="003E03DC">
              <w:t xml:space="preserve"> of irritation of the eyes and airways</w:t>
            </w:r>
            <w:r>
              <w:t>.</w:t>
            </w:r>
          </w:p>
          <w:p w:rsidR="00C978F0" w:rsidRDefault="00B636A2" w:rsidP="003365A5">
            <w:pPr>
              <w:pStyle w:val="Tabletextprimarysource"/>
            </w:pPr>
            <w:r>
              <w:t>Summary of data:</w:t>
            </w:r>
          </w:p>
          <w:p w:rsidR="0030726F" w:rsidRDefault="003E03DC" w:rsidP="003365A5">
            <w:pPr>
              <w:pStyle w:val="Tabletextprimarysource"/>
            </w:pPr>
            <w:r>
              <w:t>Occupational exposure</w:t>
            </w:r>
            <w:r w:rsidR="008A5B1E">
              <w:t xml:space="preserve"> result in headaches, dizziness and fatigue, but specific concentrations </w:t>
            </w:r>
            <w:r w:rsidR="00C2689F">
              <w:t>unavailable due to limited human data.</w:t>
            </w:r>
            <w:r w:rsidR="009F4BC0">
              <w:t xml:space="preserve"> A NOAEL </w:t>
            </w:r>
            <w:r w:rsidR="004B6293">
              <w:t>of 1.5 ppm for nasal and eye irritation was developed from human chamber studies.</w:t>
            </w:r>
            <w:r w:rsidR="00C2689F">
              <w:t xml:space="preserve"> Animal data suggests exposure to </w:t>
            </w:r>
            <w:r w:rsidR="00B71A5E">
              <w:rPr>
                <w:rFonts w:cs="Arial"/>
              </w:rPr>
              <w:t>≥</w:t>
            </w:r>
            <w:r w:rsidR="00C2689F">
              <w:t xml:space="preserve">164 ppm in rats can induce symptoms of </w:t>
            </w:r>
            <w:r w:rsidR="004B6293">
              <w:t xml:space="preserve">CNS </w:t>
            </w:r>
            <w:r w:rsidR="00C2689F">
              <w:t xml:space="preserve">depression, with a NOAEL of 120 ppm reported in some studies. </w:t>
            </w:r>
          </w:p>
          <w:p w:rsidR="0018234D" w:rsidRDefault="0018234D" w:rsidP="003365A5">
            <w:pPr>
              <w:pStyle w:val="Tabletextprimarysource"/>
            </w:pPr>
            <w:r>
              <w:t>Human data:</w:t>
            </w:r>
          </w:p>
          <w:p w:rsidR="006D451D" w:rsidRDefault="00B71A5E" w:rsidP="006D451D">
            <w:pPr>
              <w:pStyle w:val="Tabletextprimarysource"/>
              <w:numPr>
                <w:ilvl w:val="0"/>
                <w:numId w:val="2"/>
              </w:numPr>
            </w:pPr>
            <w:r>
              <w:t>Study</w:t>
            </w:r>
            <w:r w:rsidR="0018234D">
              <w:t xml:space="preserve"> involving healthy volunteers subjected to </w:t>
            </w:r>
            <w:r w:rsidR="006D451D">
              <w:t xml:space="preserve">1.5, 10 and 20 ppm </w:t>
            </w:r>
            <w:r>
              <w:t>(</w:t>
            </w:r>
            <w:r w:rsidR="006D451D">
              <w:t>4</w:t>
            </w:r>
            <w:r w:rsidR="000559E2">
              <w:t xml:space="preserve"> </w:t>
            </w:r>
            <w:r w:rsidR="006D451D">
              <w:t>h duration</w:t>
            </w:r>
            <w:r>
              <w:t>)</w:t>
            </w:r>
            <w:r w:rsidR="006D451D">
              <w:t xml:space="preserve"> determined NOAEL </w:t>
            </w:r>
            <w:r>
              <w:t xml:space="preserve">of 1.5 ppm </w:t>
            </w:r>
            <w:r w:rsidR="006D451D">
              <w:t>for nasal and eye irritation, and NOAEL of 20 ppm for neurobehavioral impairment</w:t>
            </w:r>
          </w:p>
          <w:p w:rsidR="006D451D" w:rsidRDefault="00B71A5E" w:rsidP="006D451D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29 workers in an EH production site did not </w:t>
            </w:r>
            <w:r w:rsidR="00AF7D31">
              <w:t>develop allergic reactions</w:t>
            </w:r>
            <w:r w:rsidR="003B155E">
              <w:t xml:space="preserve"> (sensitisation) </w:t>
            </w:r>
          </w:p>
          <w:p w:rsidR="0058561F" w:rsidRDefault="00B71A5E" w:rsidP="003926F0">
            <w:pPr>
              <w:pStyle w:val="Tabletextprimarysource"/>
              <w:numPr>
                <w:ilvl w:val="0"/>
                <w:numId w:val="2"/>
              </w:numPr>
            </w:pPr>
            <w:r>
              <w:t>L</w:t>
            </w:r>
            <w:r w:rsidR="00AF7D31">
              <w:t>ab</w:t>
            </w:r>
            <w:r w:rsidR="002E46C3">
              <w:t>oratory</w:t>
            </w:r>
            <w:r w:rsidR="00AF7D31">
              <w:t xml:space="preserve"> workers experienced headaches, dizziness, fatigue and gastrointestinal disorders</w:t>
            </w:r>
          </w:p>
          <w:p w:rsidR="0058561F" w:rsidRDefault="0058561F" w:rsidP="0058561F">
            <w:pPr>
              <w:pStyle w:val="Tabletextprimarysource"/>
              <w:numPr>
                <w:ilvl w:val="0"/>
                <w:numId w:val="5"/>
              </w:numPr>
            </w:pPr>
            <w:r>
              <w:t>t</w:t>
            </w:r>
            <w:r w:rsidR="00AF7D31">
              <w:t>he results could not be verified</w:t>
            </w:r>
            <w:r w:rsidR="002E46C3">
              <w:t xml:space="preserve"> because of c</w:t>
            </w:r>
            <w:r>
              <w:t>o-exposure with other compounds</w:t>
            </w:r>
          </w:p>
          <w:p w:rsidR="00AF7D31" w:rsidRDefault="0058561F" w:rsidP="0058561F">
            <w:pPr>
              <w:pStyle w:val="Tabletextprimarysource"/>
              <w:numPr>
                <w:ilvl w:val="0"/>
                <w:numId w:val="5"/>
              </w:numPr>
            </w:pPr>
            <w:r>
              <w:t>o</w:t>
            </w:r>
            <w:r w:rsidR="00AF7D31">
              <w:t xml:space="preserve">ther studies identifying similar </w:t>
            </w:r>
            <w:r w:rsidR="003926F0">
              <w:t>symptoms</w:t>
            </w:r>
            <w:r w:rsidR="00AF7D31">
              <w:t xml:space="preserve"> following EH exposure cannot </w:t>
            </w:r>
            <w:r w:rsidR="003926F0">
              <w:t xml:space="preserve">confidently report on the effects </w:t>
            </w:r>
            <w:r w:rsidR="002E46C3">
              <w:t>because of</w:t>
            </w:r>
            <w:r w:rsidR="003926F0">
              <w:t xml:space="preserve"> co-exposure with other agents</w:t>
            </w:r>
          </w:p>
          <w:p w:rsidR="00BD745F" w:rsidRDefault="00786E2D" w:rsidP="00BD745F">
            <w:pPr>
              <w:pStyle w:val="Tabletextprimarysource"/>
              <w:numPr>
                <w:ilvl w:val="0"/>
                <w:numId w:val="2"/>
              </w:numPr>
            </w:pPr>
            <w:r>
              <w:t>Reported o</w:t>
            </w:r>
            <w:r w:rsidR="00BD745F">
              <w:t>dour threshold</w:t>
            </w:r>
            <w:r w:rsidR="00BD745F" w:rsidRPr="00BD745F">
              <w:t xml:space="preserve"> </w:t>
            </w:r>
            <w:r w:rsidR="00BD745F">
              <w:t>of 0.08–0.13 ppm</w:t>
            </w:r>
            <w:r w:rsidR="00BD745F" w:rsidRPr="00BD745F">
              <w:t>.</w:t>
            </w:r>
          </w:p>
          <w:p w:rsidR="00B636A2" w:rsidRDefault="0018234D" w:rsidP="003365A5">
            <w:pPr>
              <w:pStyle w:val="Tabletextprimarysource"/>
            </w:pPr>
            <w:r>
              <w:t>Animal</w:t>
            </w:r>
            <w:r w:rsidR="00B636A2">
              <w:t xml:space="preserve"> data:</w:t>
            </w:r>
          </w:p>
          <w:p w:rsidR="00B636A2" w:rsidRDefault="0018234D" w:rsidP="00B636A2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 w:rsidR="004E6735">
              <w:rPr>
                <w:vertAlign w:val="subscript"/>
              </w:rPr>
              <w:t xml:space="preserve"> </w:t>
            </w:r>
            <w:r w:rsidR="004E6735">
              <w:t>(rats, 4</w:t>
            </w:r>
            <w:r w:rsidR="000559E2">
              <w:t xml:space="preserve"> </w:t>
            </w:r>
            <w:r w:rsidR="004E6735">
              <w:t xml:space="preserve">h): </w:t>
            </w:r>
            <w:r>
              <w:t>164 ppm (890 mg/m</w:t>
            </w:r>
            <w:r>
              <w:rPr>
                <w:vertAlign w:val="superscript"/>
              </w:rPr>
              <w:t>3</w:t>
            </w:r>
            <w:r>
              <w:t>)</w:t>
            </w:r>
            <w:r w:rsidR="00B86341">
              <w:t xml:space="preserve"> to </w:t>
            </w:r>
            <w:r>
              <w:t>978 ppm (5</w:t>
            </w:r>
            <w:r w:rsidR="000559E2">
              <w:t>,</w:t>
            </w:r>
            <w:r>
              <w:t>300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3926F0" w:rsidRDefault="003926F0" w:rsidP="00B636A2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 xml:space="preserve"> </w:t>
            </w:r>
            <w:r w:rsidR="004E6735">
              <w:t xml:space="preserve">(rats, oral): </w:t>
            </w:r>
            <w:r>
              <w:t>2</w:t>
            </w:r>
            <w:r w:rsidR="000559E2">
              <w:t>,</w:t>
            </w:r>
            <w:r>
              <w:t>049–7</w:t>
            </w:r>
            <w:r w:rsidR="000559E2">
              <w:t>,</w:t>
            </w:r>
            <w:r>
              <w:t>000 mg/kg</w:t>
            </w:r>
          </w:p>
          <w:p w:rsidR="003926F0" w:rsidRDefault="003926F0" w:rsidP="00B636A2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 xml:space="preserve">50 </w:t>
            </w:r>
            <w:r w:rsidR="004E6735">
              <w:t xml:space="preserve">(dermal): </w:t>
            </w:r>
            <w:r>
              <w:t>1</w:t>
            </w:r>
            <w:r w:rsidR="000559E2">
              <w:t>,</w:t>
            </w:r>
            <w:r w:rsidR="00BD745F">
              <w:t>980</w:t>
            </w:r>
            <w:r w:rsidR="00B86341">
              <w:t xml:space="preserve"> to </w:t>
            </w:r>
            <w:r w:rsidR="004E6735">
              <w:rPr>
                <w:rFonts w:cs="Arial"/>
              </w:rPr>
              <w:t>≥</w:t>
            </w:r>
            <w:r>
              <w:t>2</w:t>
            </w:r>
            <w:r w:rsidR="000559E2">
              <w:t>,</w:t>
            </w:r>
            <w:r>
              <w:t xml:space="preserve">600 mg/kg </w:t>
            </w:r>
            <w:r w:rsidR="004E6735">
              <w:t>(r</w:t>
            </w:r>
            <w:r>
              <w:t>abbits</w:t>
            </w:r>
            <w:r w:rsidR="004E6735">
              <w:t>)</w:t>
            </w:r>
            <w:r>
              <w:t>, &gt;3</w:t>
            </w:r>
            <w:r w:rsidR="000559E2">
              <w:t>,</w:t>
            </w:r>
            <w:r>
              <w:t xml:space="preserve">000 mg/kg </w:t>
            </w:r>
            <w:r w:rsidR="004E6735">
              <w:t>(</w:t>
            </w:r>
            <w:r>
              <w:t>rats</w:t>
            </w:r>
            <w:r w:rsidR="004E6735">
              <w:t>)</w:t>
            </w:r>
          </w:p>
          <w:p w:rsidR="003926F0" w:rsidRDefault="003926F0" w:rsidP="00B636A2">
            <w:pPr>
              <w:pStyle w:val="Tabletextprimarysource"/>
              <w:numPr>
                <w:ilvl w:val="0"/>
                <w:numId w:val="1"/>
              </w:numPr>
            </w:pPr>
            <w:r>
              <w:t>Symptoms of acute intoxication included apathy, dyspnoea, cyanosis and loss of coordination</w:t>
            </w:r>
          </w:p>
          <w:p w:rsidR="0058561F" w:rsidRDefault="00BF02B3" w:rsidP="00B636A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Inhalation </w:t>
            </w:r>
            <w:r w:rsidR="007E30E8">
              <w:t xml:space="preserve">study to 0, 15, 40 and 120 </w:t>
            </w:r>
            <w:r w:rsidR="000352C1">
              <w:t>ppm for 6</w:t>
            </w:r>
            <w:r>
              <w:t xml:space="preserve"> h</w:t>
            </w:r>
            <w:r w:rsidR="000352C1">
              <w:t>/d, 5 d/wk for 90 d</w:t>
            </w:r>
            <w:r>
              <w:t xml:space="preserve"> </w:t>
            </w:r>
            <w:r w:rsidR="000352C1">
              <w:t>reported no symptoms</w:t>
            </w:r>
            <w:r>
              <w:t xml:space="preserve"> for all dose groups</w:t>
            </w:r>
          </w:p>
          <w:p w:rsidR="003926F0" w:rsidRDefault="000352C1" w:rsidP="0058561F">
            <w:pPr>
              <w:pStyle w:val="Tabletextprimarysource"/>
              <w:numPr>
                <w:ilvl w:val="0"/>
                <w:numId w:val="5"/>
              </w:numPr>
            </w:pPr>
            <w:r>
              <w:t>NOAE</w:t>
            </w:r>
            <w:r w:rsidR="0058561F">
              <w:t>C</w:t>
            </w:r>
            <w:r>
              <w:t xml:space="preserve"> of 120 ppm </w:t>
            </w:r>
            <w:r w:rsidR="00BF02B3">
              <w:t xml:space="preserve">(in rats) </w:t>
            </w:r>
            <w:r>
              <w:t>determined</w:t>
            </w:r>
          </w:p>
          <w:p w:rsidR="0058561F" w:rsidRDefault="00BF02B3" w:rsidP="00B636A2">
            <w:pPr>
              <w:pStyle w:val="Tabletextprimarysource"/>
              <w:numPr>
                <w:ilvl w:val="0"/>
                <w:numId w:val="1"/>
              </w:numPr>
            </w:pPr>
            <w:r>
              <w:t>R</w:t>
            </w:r>
            <w:r w:rsidR="002801C1">
              <w:t>epeated dermal exposure to 0, 417 and 834 mg/kg</w:t>
            </w:r>
            <w:r w:rsidR="0083219E">
              <w:t>/d</w:t>
            </w:r>
            <w:r w:rsidR="00AD77C1">
              <w:t>, and female rats exposed to the higher concentrations developed lymphop</w:t>
            </w:r>
            <w:r w:rsidR="0058561F">
              <w:t>enia and reduced spleen weight</w:t>
            </w:r>
          </w:p>
          <w:p w:rsidR="000352C1" w:rsidRDefault="0058561F" w:rsidP="0058561F">
            <w:pPr>
              <w:pStyle w:val="Tabletextprimarysource"/>
              <w:numPr>
                <w:ilvl w:val="0"/>
                <w:numId w:val="5"/>
              </w:numPr>
            </w:pPr>
            <w:r>
              <w:t>f</w:t>
            </w:r>
            <w:r w:rsidR="004B6293">
              <w:t>emales exposed under all concentrations</w:t>
            </w:r>
            <w:r w:rsidR="00AD77C1">
              <w:t xml:space="preserve"> </w:t>
            </w:r>
            <w:r w:rsidR="004B6293">
              <w:t>showed</w:t>
            </w:r>
            <w:r w:rsidR="00AD77C1">
              <w:t xml:space="preserve"> increased triglyceride levels</w:t>
            </w:r>
          </w:p>
          <w:p w:rsidR="00AD77C1" w:rsidRDefault="00BF02B3" w:rsidP="00B636A2">
            <w:pPr>
              <w:pStyle w:val="Tabletextprimarysource"/>
              <w:numPr>
                <w:ilvl w:val="0"/>
                <w:numId w:val="1"/>
              </w:numPr>
            </w:pPr>
            <w:r>
              <w:t>M</w:t>
            </w:r>
            <w:r w:rsidR="00AD77C1">
              <w:t xml:space="preserve">ajority of genotoxicity studies reported negative results for </w:t>
            </w:r>
            <w:r w:rsidR="00AD77C1">
              <w:rPr>
                <w:i/>
              </w:rPr>
              <w:t>in vitro</w:t>
            </w:r>
            <w:r w:rsidR="00AD77C1">
              <w:t xml:space="preserve"> and </w:t>
            </w:r>
            <w:r w:rsidR="00AD77C1">
              <w:rPr>
                <w:i/>
              </w:rPr>
              <w:t xml:space="preserve">in vivo </w:t>
            </w:r>
            <w:r w:rsidR="00AD77C1">
              <w:t xml:space="preserve">test </w:t>
            </w:r>
          </w:p>
          <w:p w:rsidR="00AD77C1" w:rsidRDefault="002D562A" w:rsidP="00B636A2">
            <w:pPr>
              <w:pStyle w:val="Tabletextprimarysource"/>
              <w:numPr>
                <w:ilvl w:val="0"/>
                <w:numId w:val="1"/>
              </w:numPr>
            </w:pPr>
            <w:r>
              <w:t>There is insufficient evidence for a carcinogenic notation</w:t>
            </w:r>
            <w:r w:rsidR="00AD77C1">
              <w:t xml:space="preserve"> </w:t>
            </w:r>
          </w:p>
          <w:p w:rsidR="0058561F" w:rsidRDefault="0030726F" w:rsidP="00B636A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Adverse developmental effects not observed in rats or mice exposed to </w:t>
            </w:r>
            <w:r w:rsidR="00C61695">
              <w:t>an EH saturated atmosphere (approximately</w:t>
            </w:r>
            <w:r>
              <w:t xml:space="preserve"> 1</w:t>
            </w:r>
            <w:r w:rsidR="00C61695">
              <w:t xml:space="preserve">60 ppm or </w:t>
            </w:r>
            <w:r>
              <w:t>850 mg/m</w:t>
            </w:r>
            <w:r>
              <w:rPr>
                <w:vertAlign w:val="superscript"/>
              </w:rPr>
              <w:t>3</w:t>
            </w:r>
            <w:r>
              <w:t xml:space="preserve">) or oral doses </w:t>
            </w:r>
            <w:r w:rsidR="003B155E">
              <w:rPr>
                <w:rFonts w:cs="Arial"/>
              </w:rPr>
              <w:t>≤</w:t>
            </w:r>
            <w:r>
              <w:t>1</w:t>
            </w:r>
            <w:r w:rsidR="000559E2">
              <w:t>,</w:t>
            </w:r>
            <w:r>
              <w:t>300 mg/kg</w:t>
            </w:r>
            <w:r w:rsidR="000559E2">
              <w:t>/</w:t>
            </w:r>
            <w:r w:rsidR="0058561F">
              <w:t>d</w:t>
            </w:r>
          </w:p>
          <w:p w:rsidR="00B86341" w:rsidRDefault="0058561F" w:rsidP="0058561F">
            <w:pPr>
              <w:pStyle w:val="Tabletextprimarysource"/>
              <w:numPr>
                <w:ilvl w:val="0"/>
                <w:numId w:val="5"/>
              </w:numPr>
            </w:pPr>
            <w:r>
              <w:t>i</w:t>
            </w:r>
            <w:r w:rsidR="0030726F">
              <w:t>n female mice/rats, higher concentrations resulted in embryotoxic, fetotoxic and teratogenic effects.</w:t>
            </w:r>
          </w:p>
          <w:p w:rsidR="00B86341" w:rsidRDefault="00B86341" w:rsidP="00FC0383">
            <w:pPr>
              <w:pStyle w:val="Tabletextprimarysource"/>
            </w:pPr>
          </w:p>
          <w:p w:rsidR="00AD77C1" w:rsidRDefault="00B86341" w:rsidP="00FC0383">
            <w:pPr>
              <w:pStyle w:val="Tabletextprimarysource"/>
            </w:pPr>
            <w:r>
              <w:t xml:space="preserve">Insufficient evidence to assign carcinogenicity classification or skin notation for EH. </w:t>
            </w:r>
          </w:p>
          <w:p w:rsidR="00FC0383" w:rsidRPr="00B636A2" w:rsidRDefault="00FC0383" w:rsidP="00FC0383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B636A2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>
              <w:lastRenderedPageBreak/>
              <w:t>DFG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56F93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>
                  <w:t>MAK: 10 ppm (54 mg/m</w:t>
                </w:r>
                <w:r>
                  <w:rPr>
                    <w:vertAlign w:val="superscript"/>
                  </w:rPr>
                  <w:t>3</w:t>
                </w:r>
                <w:r>
                  <w:t>)</w:t>
                </w:r>
              </w:sdtContent>
            </w:sdt>
          </w:p>
        </w:tc>
      </w:tr>
      <w:tr w:rsidR="00C978F0" w:rsidRPr="00DA352E" w:rsidTr="0058561F">
        <w:trPr>
          <w:gridAfter w:val="1"/>
          <w:wAfter w:w="8" w:type="pct"/>
        </w:trPr>
        <w:tc>
          <w:tcPr>
            <w:tcW w:w="4992" w:type="pct"/>
          </w:tcPr>
          <w:p w:rsidR="00C978F0" w:rsidRDefault="00C2689F" w:rsidP="003365A5">
            <w:pPr>
              <w:pStyle w:val="Tabletextprimarysource"/>
            </w:pPr>
            <w:r>
              <w:t>Summary of additional data:</w:t>
            </w:r>
          </w:p>
          <w:p w:rsidR="00C2689F" w:rsidRDefault="00C2689F" w:rsidP="003365A5">
            <w:pPr>
              <w:pStyle w:val="Tabletextprimarysource"/>
            </w:pPr>
            <w:r>
              <w:t>Human data:</w:t>
            </w:r>
          </w:p>
          <w:p w:rsidR="005C5B0C" w:rsidRDefault="005C5B0C" w:rsidP="003365A5">
            <w:pPr>
              <w:pStyle w:val="Tabletextprimarysource"/>
            </w:pPr>
            <w:r>
              <w:t>No additional human toxicity info</w:t>
            </w:r>
            <w:r w:rsidR="004B6293">
              <w:t>rmation</w:t>
            </w:r>
            <w:r w:rsidR="003B155E">
              <w:t xml:space="preserve"> available.</w:t>
            </w:r>
          </w:p>
          <w:p w:rsidR="00C2689F" w:rsidRDefault="00C2689F" w:rsidP="003365A5">
            <w:pPr>
              <w:pStyle w:val="Tabletextprimarysource"/>
            </w:pPr>
            <w:r>
              <w:t>Animal data:</w:t>
            </w:r>
          </w:p>
          <w:p w:rsidR="0058561F" w:rsidRDefault="005C5B0C" w:rsidP="005C5B0C">
            <w:pPr>
              <w:pStyle w:val="Tabletextprimarysource"/>
              <w:numPr>
                <w:ilvl w:val="0"/>
                <w:numId w:val="3"/>
              </w:numPr>
            </w:pPr>
            <w:r>
              <w:t>Chronic oral</w:t>
            </w:r>
            <w:r w:rsidR="00BF02B3">
              <w:t xml:space="preserve"> study </w:t>
            </w:r>
            <w:r>
              <w:t>reported a NOAEL of 50 mg/kg</w:t>
            </w:r>
            <w:r w:rsidR="0083219E">
              <w:t>/d</w:t>
            </w:r>
            <w:r>
              <w:t xml:space="preserve"> </w:t>
            </w:r>
            <w:r w:rsidR="00AF3A86">
              <w:t>(</w:t>
            </w:r>
            <w:r>
              <w:t>rats</w:t>
            </w:r>
            <w:r w:rsidR="00AF3A86">
              <w:t>)</w:t>
            </w:r>
            <w:r>
              <w:t xml:space="preserve"> and 200 mg/kg</w:t>
            </w:r>
            <w:r w:rsidR="0083219E">
              <w:t>/d</w:t>
            </w:r>
            <w:r>
              <w:t xml:space="preserve"> </w:t>
            </w:r>
            <w:r w:rsidR="00AF3A86">
              <w:t>(</w:t>
            </w:r>
            <w:r>
              <w:t>mice</w:t>
            </w:r>
            <w:r w:rsidR="00AF3A86">
              <w:t>)</w:t>
            </w:r>
          </w:p>
          <w:p w:rsidR="005C5B0C" w:rsidRDefault="0058561F" w:rsidP="0058561F">
            <w:pPr>
              <w:pStyle w:val="Tabletextprimarysource"/>
              <w:numPr>
                <w:ilvl w:val="0"/>
                <w:numId w:val="5"/>
              </w:numPr>
            </w:pPr>
            <w:r>
              <w:t>h</w:t>
            </w:r>
            <w:r w:rsidR="005C5B0C">
              <w:t xml:space="preserve">igher concentrations can result in increased mortality, </w:t>
            </w:r>
            <w:r w:rsidR="003B155E">
              <w:t>and</w:t>
            </w:r>
            <w:r w:rsidR="005C5B0C">
              <w:t xml:space="preserve"> changes in weight of kidneys, liver and general </w:t>
            </w:r>
            <w:r>
              <w:t>bw</w:t>
            </w:r>
          </w:p>
          <w:p w:rsidR="00C54DDB" w:rsidRDefault="00C54DDB" w:rsidP="005C5B0C">
            <w:pPr>
              <w:pStyle w:val="Tabletextprimarysource"/>
              <w:numPr>
                <w:ilvl w:val="0"/>
                <w:numId w:val="3"/>
              </w:numPr>
            </w:pPr>
            <w:r>
              <w:t>Identified to be moderately irritating to rabbit skin, and a moderate</w:t>
            </w:r>
            <w:r w:rsidR="00217111">
              <w:t xml:space="preserve"> to </w:t>
            </w:r>
            <w:r>
              <w:t xml:space="preserve">severe eye irritant </w:t>
            </w:r>
            <w:r w:rsidR="00217111">
              <w:t>to</w:t>
            </w:r>
            <w:r>
              <w:t xml:space="preserve"> rabbit eyes</w:t>
            </w:r>
            <w:r w:rsidR="000559E2">
              <w:t>.</w:t>
            </w:r>
          </w:p>
          <w:p w:rsidR="00B86341" w:rsidRPr="00DA352E" w:rsidRDefault="00B86341" w:rsidP="00FC0383">
            <w:pPr>
              <w:pStyle w:val="Tabletextprimarysource"/>
            </w:pP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56F9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E56F93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3B155E" w:rsidP="003365A5">
            <w:pPr>
              <w:pStyle w:val="Tabletextprimarysource"/>
            </w:pPr>
            <w:r>
              <w:t xml:space="preserve">No report. 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56F9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56F93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3B155E" w:rsidP="003365A5">
            <w:pPr>
              <w:pStyle w:val="Tabletextprimarysource"/>
            </w:pPr>
            <w:r>
              <w:t xml:space="preserve">No report. </w:t>
            </w:r>
          </w:p>
        </w:tc>
      </w:tr>
    </w:tbl>
    <w:p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2"/>
        <w:gridCol w:w="661"/>
        <w:gridCol w:w="6449"/>
      </w:tblGrid>
      <w:tr w:rsidR="00E73219" w:rsidRPr="00263255" w:rsidTr="003B155E">
        <w:trPr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3B155E">
        <w:trPr>
          <w:cantSplit/>
        </w:trPr>
        <w:tc>
          <w:tcPr>
            <w:tcW w:w="1494" w:type="dxa"/>
          </w:tcPr>
          <w:p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:rsidR="004966BF" w:rsidRPr="00CE617F" w:rsidRDefault="0041786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246B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0246B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9" w:type="dxa"/>
          </w:tcPr>
          <w:p w:rsidR="000246B0" w:rsidRDefault="000246B0" w:rsidP="00FC0383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3B155E">
              <w:rPr>
                <w:rStyle w:val="checkbox"/>
                <w:rFonts w:ascii="Arial" w:hAnsi="Arial" w:cs="Arial"/>
              </w:rPr>
              <w:t xml:space="preserve">: </w:t>
            </w:r>
            <w:r>
              <w:rPr>
                <w:rStyle w:val="checkbox"/>
                <w:rFonts w:ascii="Arial" w:hAnsi="Arial" w:cs="Arial"/>
              </w:rPr>
              <w:t>3</w:t>
            </w:r>
            <w:r w:rsidR="000559E2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 xml:space="preserve">290 mg/kg </w:t>
            </w:r>
            <w:r w:rsidR="003B155E">
              <w:rPr>
                <w:rStyle w:val="checkbox"/>
                <w:rFonts w:ascii="Arial" w:hAnsi="Arial" w:cs="Arial"/>
              </w:rPr>
              <w:t>(</w:t>
            </w:r>
            <w:r>
              <w:rPr>
                <w:rStyle w:val="checkbox"/>
                <w:rFonts w:ascii="Arial" w:hAnsi="Arial" w:cs="Arial"/>
              </w:rPr>
              <w:t>rats</w:t>
            </w:r>
            <w:r w:rsidR="003B155E">
              <w:rPr>
                <w:rStyle w:val="checkbox"/>
                <w:rFonts w:ascii="Arial" w:hAnsi="Arial" w:cs="Arial"/>
              </w:rPr>
              <w:t>, oral)</w:t>
            </w:r>
          </w:p>
          <w:p w:rsidR="000246B0" w:rsidRDefault="000246B0" w:rsidP="00FC0383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Median LC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B86341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&lt;5 mg/L for rats</w:t>
            </w:r>
          </w:p>
          <w:p w:rsidR="004966BF" w:rsidRPr="004C23F4" w:rsidRDefault="000246B0" w:rsidP="00FC0383">
            <w:pPr>
              <w:pStyle w:val="Tablefont"/>
              <w:numPr>
                <w:ilvl w:val="0"/>
                <w:numId w:val="3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Dermal subacute NOAEL</w:t>
            </w:r>
            <w:r w:rsidR="00B86341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&lt; 1</w:t>
            </w:r>
            <w:r w:rsidR="000559E2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>660 mg/kg for rats</w:t>
            </w:r>
            <w:r w:rsidR="00B86341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:rsidTr="003B155E">
        <w:trPr>
          <w:cantSplit/>
        </w:trPr>
        <w:tc>
          <w:tcPr>
            <w:tcW w:w="1494" w:type="dxa"/>
          </w:tcPr>
          <w:p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:rsidR="004966BF" w:rsidRPr="00CE617F" w:rsidRDefault="0041786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54DD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C54DD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1995</w:t>
            </w:r>
          </w:p>
        </w:tc>
        <w:tc>
          <w:tcPr>
            <w:tcW w:w="6449" w:type="dxa"/>
          </w:tcPr>
          <w:p w:rsidR="00217111" w:rsidRDefault="00C54DDB" w:rsidP="00FC0383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 xml:space="preserve">Acute animal inhalation toxicity data determined </w:t>
            </w:r>
          </w:p>
          <w:p w:rsidR="00E73219" w:rsidRPr="00217111" w:rsidRDefault="00C54DDB" w:rsidP="00FC0383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217111">
              <w:rPr>
                <w:rStyle w:val="checkbox"/>
                <w:rFonts w:ascii="Arial" w:hAnsi="Arial" w:cs="Arial"/>
              </w:rPr>
              <w:t>LC</w:t>
            </w:r>
            <w:r w:rsidRPr="00217111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217111">
              <w:rPr>
                <w:rStyle w:val="checkbox"/>
                <w:rFonts w:ascii="Arial" w:hAnsi="Arial" w:cs="Arial"/>
              </w:rPr>
              <w:t>:</w:t>
            </w:r>
            <w:r w:rsidRPr="00217111">
              <w:rPr>
                <w:rStyle w:val="checkbox"/>
                <w:rFonts w:ascii="Arial" w:hAnsi="Arial" w:cs="Arial"/>
              </w:rPr>
              <w:t xml:space="preserve"> ≥1.2 </w:t>
            </w:r>
            <w:r w:rsidR="00217111" w:rsidRPr="00217111">
              <w:rPr>
                <w:rStyle w:val="checkbox"/>
                <w:rFonts w:ascii="Arial" w:hAnsi="Arial" w:cs="Arial"/>
              </w:rPr>
              <w:t>to</w:t>
            </w:r>
            <w:r w:rsidRPr="00217111">
              <w:rPr>
                <w:rStyle w:val="checkbox"/>
                <w:rFonts w:ascii="Arial" w:hAnsi="Arial" w:cs="Arial"/>
              </w:rPr>
              <w:t xml:space="preserve"> &lt;5.3 mg/</w:t>
            </w:r>
            <w:r w:rsidR="00AF3A86" w:rsidRPr="00217111">
              <w:rPr>
                <w:rStyle w:val="checkbox"/>
                <w:rFonts w:ascii="Arial" w:hAnsi="Arial" w:cs="Arial"/>
              </w:rPr>
              <w:t xml:space="preserve">L </w:t>
            </w:r>
          </w:p>
          <w:p w:rsidR="00E73219" w:rsidRPr="004C23F4" w:rsidRDefault="00E73219" w:rsidP="00FC0383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Repeat 90</w:t>
            </w:r>
            <w:r w:rsidR="000559E2">
              <w:rPr>
                <w:rStyle w:val="checkbox"/>
                <w:rFonts w:ascii="Arial" w:hAnsi="Arial" w:cs="Arial"/>
              </w:rPr>
              <w:t xml:space="preserve"> </w:t>
            </w:r>
            <w:r w:rsidR="003B155E">
              <w:rPr>
                <w:rStyle w:val="checkbox"/>
                <w:rFonts w:ascii="Arial" w:hAnsi="Arial" w:cs="Arial"/>
              </w:rPr>
              <w:t>d</w:t>
            </w:r>
            <w:r>
              <w:rPr>
                <w:rStyle w:val="checkbox"/>
                <w:rFonts w:ascii="Arial" w:hAnsi="Arial" w:cs="Arial"/>
              </w:rPr>
              <w:t xml:space="preserve"> toxicity studies </w:t>
            </w:r>
            <w:r w:rsidR="00AF3A86">
              <w:rPr>
                <w:rStyle w:val="checkbox"/>
                <w:rFonts w:ascii="Arial" w:hAnsi="Arial" w:cs="Arial"/>
              </w:rPr>
              <w:t xml:space="preserve">in </w:t>
            </w:r>
            <w:r>
              <w:rPr>
                <w:rStyle w:val="checkbox"/>
                <w:rFonts w:ascii="Arial" w:hAnsi="Arial" w:cs="Arial"/>
              </w:rPr>
              <w:t>rats determined inhalation NOAEL of ≥ 0.639 mg/</w:t>
            </w:r>
            <w:r w:rsidR="00AF3A86">
              <w:rPr>
                <w:rStyle w:val="checkbox"/>
                <w:rFonts w:ascii="Arial" w:hAnsi="Arial" w:cs="Arial"/>
              </w:rPr>
              <w:t>kg</w:t>
            </w:r>
            <w:r>
              <w:rPr>
                <w:rStyle w:val="checkbox"/>
                <w:rFonts w:ascii="Arial" w:hAnsi="Arial" w:cs="Arial"/>
              </w:rPr>
              <w:t>/d</w:t>
            </w:r>
            <w:r w:rsidR="00B86341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:rsidTr="003B155E">
        <w:trPr>
          <w:trHeight w:val="454"/>
          <w:tblHeader/>
        </w:trPr>
        <w:tc>
          <w:tcPr>
            <w:tcW w:w="6597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2E0D61" w:rsidRDefault="005B5D1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:rsidTr="003B155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:rsidR="008A36CF" w:rsidRPr="006901A2" w:rsidRDefault="003B155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E56F93" w:rsidP="00DD2F9B">
            <w:pPr>
              <w:pStyle w:val="Tablefont"/>
            </w:pPr>
            <w:r>
              <w:t>NA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3B155E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3B155E" w:rsidP="00DD2F9B">
            <w:pPr>
              <w:pStyle w:val="Tablefont"/>
            </w:pPr>
            <w:r>
              <w:t>—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6015" w:type="dxa"/>
          </w:tcPr>
          <w:p w:rsidR="00687890" w:rsidRPr="00DD2F9B" w:rsidRDefault="00E56F93" w:rsidP="00DD2F9B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E56F93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E56F93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222C71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222C71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222C71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222C71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222C7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282"/>
              <w:gridCol w:w="1141"/>
              <w:gridCol w:w="640"/>
              <w:gridCol w:w="1412"/>
              <w:gridCol w:w="2335"/>
            </w:tblGrid>
            <w:tr w:rsidR="005B5D17" w:rsidRPr="00FF1434" w:rsidTr="002F11FB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:rsidR="005B5D17" w:rsidRPr="00E1241A" w:rsidRDefault="005B5D17" w:rsidP="005B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B5D17" w:rsidRPr="00FF1434" w:rsidTr="002F11FB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:rsidR="005B5D17" w:rsidRPr="00E1241A" w:rsidRDefault="005B5D17" w:rsidP="005B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B5D17" w:rsidRPr="00FF1434" w:rsidTr="002F11FB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:rsidR="005B5D17" w:rsidRPr="00E1241A" w:rsidRDefault="005B5D17" w:rsidP="005B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Insufficient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B5D17" w:rsidRPr="00FF1434" w:rsidTr="002F11FB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:rsidR="005B5D17" w:rsidRPr="00E1241A" w:rsidRDefault="002F11FB" w:rsidP="005B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Insufficient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B5D17" w:rsidRPr="00FF1434" w:rsidTr="002F11FB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D9F1"/>
                  <w:noWrap/>
                  <w:vAlign w:val="center"/>
                </w:tcPr>
                <w:p w:rsidR="005B5D17" w:rsidRPr="00E1241A" w:rsidRDefault="005B5D17" w:rsidP="005B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B5D17" w:rsidRPr="00FF1434" w:rsidTr="002F11FB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</w:tcPr>
                <w:p w:rsidR="005B5D17" w:rsidRPr="00E1241A" w:rsidRDefault="005B5D17" w:rsidP="005B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i/>
                      <w:color w:val="0D0D0D" w:themeColor="text1" w:themeTint="F2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B5D17" w:rsidRPr="00FF1434" w:rsidTr="002F11FB">
              <w:trPr>
                <w:trHeight w:val="342"/>
              </w:trPr>
              <w:tc>
                <w:tcPr>
                  <w:tcW w:w="3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5B5D17" w:rsidP="005B5D1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7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5B5D17" w:rsidRPr="00FF1434" w:rsidRDefault="002F11FB" w:rsidP="005B5D1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3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222C7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222C71" w:rsidP="001B79E5">
                <w:pPr>
                  <w:pStyle w:val="Tablefont"/>
                </w:pPr>
                <w:r w:rsidRPr="00222C71">
                  <w:t>130.23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5B5D17">
                  <w:t>5.33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B5D17">
                  <w:t>0.19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C6014D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41786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222C71" w:rsidRDefault="00222C71" w:rsidP="00084859">
      <w:r w:rsidRPr="002022B6">
        <w:t>Deutsche Forschungsgemeinschaft (DFG)</w:t>
      </w:r>
      <w:r w:rsidR="00E97770">
        <w:t xml:space="preserve">. </w:t>
      </w:r>
      <w:r>
        <w:t>(2012)</w:t>
      </w:r>
      <w:r w:rsidR="00E97770">
        <w:t>.</w:t>
      </w:r>
      <w:r>
        <w:t xml:space="preserve"> </w:t>
      </w:r>
      <w:r w:rsidRPr="00222C71">
        <w:t>2-Ethylhexanol</w:t>
      </w:r>
      <w:r>
        <w:t xml:space="preserve"> – MAK value documentation.</w:t>
      </w:r>
    </w:p>
    <w:p w:rsidR="00E97770" w:rsidRDefault="00E97770" w:rsidP="00084859">
      <w:r w:rsidRPr="002022B6">
        <w:t>EU Scientific Committee on Occupational Exposure Limits (SCOEL)</w:t>
      </w:r>
      <w:r>
        <w:t>. (</w:t>
      </w:r>
      <w:r w:rsidRPr="00222C71">
        <w:t>2011</w:t>
      </w:r>
      <w:r>
        <w:t xml:space="preserve">). Recommendation from the Scientific Committee on Occupational Exposure Limits for </w:t>
      </w:r>
      <w:r w:rsidRPr="00222C71">
        <w:t>2-ethylhexanol</w:t>
      </w:r>
      <w:r>
        <w:t>. SCOEL/</w:t>
      </w:r>
      <w:r w:rsidRPr="00222C71">
        <w:t>SUM/158</w:t>
      </w:r>
      <w:r>
        <w:t>.</w:t>
      </w:r>
    </w:p>
    <w:p w:rsidR="000559E2" w:rsidRDefault="000559E2" w:rsidP="000559E2">
      <w:r w:rsidRPr="002022B6">
        <w:t>National Industrial Chemicals Notification and Assessment Scheme (NICNAS)</w:t>
      </w:r>
      <w:r>
        <w:t>. (</w:t>
      </w:r>
      <w:r w:rsidRPr="00222C71">
        <w:t>2013</w:t>
      </w:r>
      <w:r>
        <w:t xml:space="preserve">). </w:t>
      </w:r>
      <w:r w:rsidRPr="00222C71">
        <w:t>1-Hexanol, 2-ethyl</w:t>
      </w:r>
      <w:r w:rsidRPr="0071660C">
        <w:t xml:space="preserve">: Human health </w:t>
      </w:r>
      <w:r w:rsidRPr="00222C71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:rsidR="00E97770" w:rsidRDefault="00E97770" w:rsidP="00E97770">
      <w:pPr>
        <w:spacing w:after="0"/>
      </w:pPr>
      <w:r>
        <w:t>Organization for Economic Co-operation and Development (OECD). (1995). SIDS Initial Assessment Profile.</w:t>
      </w:r>
      <w:r w:rsidR="003B155E">
        <w:t>2-Ethylhexanol</w:t>
      </w:r>
      <w:r>
        <w:t xml:space="preserve">. </w:t>
      </w:r>
    </w:p>
    <w:p w:rsidR="00E97770" w:rsidRDefault="00E97770" w:rsidP="00084859"/>
    <w:sectPr w:rsidR="00E9777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43682" w16cid:durableId="216AE9C2"/>
  <w16cid:commentId w16cid:paraId="48520D21" w16cid:durableId="216AEA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1E" w:rsidRDefault="00C4101E" w:rsidP="00F43AD5">
      <w:pPr>
        <w:spacing w:after="0" w:line="240" w:lineRule="auto"/>
      </w:pPr>
      <w:r>
        <w:separator/>
      </w:r>
    </w:p>
  </w:endnote>
  <w:endnote w:type="continuationSeparator" w:id="0">
    <w:p w:rsidR="00C4101E" w:rsidRDefault="00C4101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67" w:rsidRDefault="00417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113C18" w:rsidRPr="00113C18" w:rsidRDefault="00113C18" w:rsidP="00113C18">
        <w:pPr>
          <w:pStyle w:val="Footer"/>
          <w:rPr>
            <w:b/>
            <w:sz w:val="18"/>
            <w:szCs w:val="18"/>
          </w:rPr>
        </w:pPr>
      </w:p>
      <w:p w:rsidR="008A36CF" w:rsidRDefault="00113C18" w:rsidP="00113C18">
        <w:pPr>
          <w:pStyle w:val="Footer"/>
          <w:rPr>
            <w:sz w:val="18"/>
            <w:szCs w:val="18"/>
          </w:rPr>
        </w:pPr>
        <w:r w:rsidRPr="00113C18">
          <w:rPr>
            <w:b/>
            <w:sz w:val="18"/>
            <w:szCs w:val="18"/>
          </w:rPr>
          <w:t>2-Ethylhexanol</w:t>
        </w:r>
        <w:r w:rsidR="008A36CF">
          <w:rPr>
            <w:b/>
            <w:sz w:val="18"/>
            <w:szCs w:val="18"/>
          </w:rPr>
          <w:t xml:space="preserve"> (</w:t>
        </w:r>
        <w:r w:rsidRPr="00113C18">
          <w:rPr>
            <w:b/>
            <w:sz w:val="18"/>
            <w:szCs w:val="18"/>
          </w:rPr>
          <w:t>104-76-7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17867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67" w:rsidRDefault="00417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1E" w:rsidRDefault="00C4101E" w:rsidP="00F43AD5">
      <w:pPr>
        <w:spacing w:after="0" w:line="240" w:lineRule="auto"/>
      </w:pPr>
      <w:r>
        <w:separator/>
      </w:r>
    </w:p>
  </w:footnote>
  <w:footnote w:type="continuationSeparator" w:id="0">
    <w:p w:rsidR="00C4101E" w:rsidRDefault="00C4101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67" w:rsidRDefault="00417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67" w:rsidRDefault="00417867" w:rsidP="00417867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598187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BF5720B" wp14:editId="6224CEC9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Pr="00417867" w:rsidRDefault="008A36CF" w:rsidP="00417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67" w:rsidRDefault="004178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67" w:rsidRDefault="00417867" w:rsidP="00417867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BF5720B" wp14:editId="6224CEC9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81F"/>
    <w:multiLevelType w:val="hybridMultilevel"/>
    <w:tmpl w:val="850A3C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4268B"/>
    <w:multiLevelType w:val="hybridMultilevel"/>
    <w:tmpl w:val="A1969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82E3F"/>
    <w:multiLevelType w:val="hybridMultilevel"/>
    <w:tmpl w:val="29506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1050C"/>
    <w:multiLevelType w:val="hybridMultilevel"/>
    <w:tmpl w:val="79DC7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6143"/>
    <w:multiLevelType w:val="hybridMultilevel"/>
    <w:tmpl w:val="5DE22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46B0"/>
    <w:rsid w:val="00032B88"/>
    <w:rsid w:val="000352C1"/>
    <w:rsid w:val="00046DF5"/>
    <w:rsid w:val="00052060"/>
    <w:rsid w:val="0005574A"/>
    <w:rsid w:val="000559E2"/>
    <w:rsid w:val="00055FE1"/>
    <w:rsid w:val="00056EC2"/>
    <w:rsid w:val="00060B48"/>
    <w:rsid w:val="00067F32"/>
    <w:rsid w:val="00071743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3C18"/>
    <w:rsid w:val="001269A7"/>
    <w:rsid w:val="00131092"/>
    <w:rsid w:val="00133ACC"/>
    <w:rsid w:val="00134F9D"/>
    <w:rsid w:val="00140E6A"/>
    <w:rsid w:val="00146545"/>
    <w:rsid w:val="00146B75"/>
    <w:rsid w:val="0015266D"/>
    <w:rsid w:val="0015288A"/>
    <w:rsid w:val="00160F47"/>
    <w:rsid w:val="00166D08"/>
    <w:rsid w:val="00177CA1"/>
    <w:rsid w:val="0018234D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7111"/>
    <w:rsid w:val="00221547"/>
    <w:rsid w:val="002216FC"/>
    <w:rsid w:val="00222533"/>
    <w:rsid w:val="00222C71"/>
    <w:rsid w:val="00222F30"/>
    <w:rsid w:val="00224EE2"/>
    <w:rsid w:val="00227EC7"/>
    <w:rsid w:val="00244AD1"/>
    <w:rsid w:val="002463BC"/>
    <w:rsid w:val="002465CE"/>
    <w:rsid w:val="0025035A"/>
    <w:rsid w:val="0025734A"/>
    <w:rsid w:val="00263255"/>
    <w:rsid w:val="00276494"/>
    <w:rsid w:val="00277B0C"/>
    <w:rsid w:val="002801C1"/>
    <w:rsid w:val="002B1A2C"/>
    <w:rsid w:val="002C34F2"/>
    <w:rsid w:val="002C58FF"/>
    <w:rsid w:val="002C7AFE"/>
    <w:rsid w:val="002D05D2"/>
    <w:rsid w:val="002D562A"/>
    <w:rsid w:val="002E0D61"/>
    <w:rsid w:val="002E46C3"/>
    <w:rsid w:val="002E4C7B"/>
    <w:rsid w:val="002F11FB"/>
    <w:rsid w:val="0030726F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C3E"/>
    <w:rsid w:val="00351FE0"/>
    <w:rsid w:val="00352615"/>
    <w:rsid w:val="0035412B"/>
    <w:rsid w:val="003567A8"/>
    <w:rsid w:val="00361C13"/>
    <w:rsid w:val="00362895"/>
    <w:rsid w:val="00370DBF"/>
    <w:rsid w:val="00386093"/>
    <w:rsid w:val="003904A4"/>
    <w:rsid w:val="00391841"/>
    <w:rsid w:val="00391B6D"/>
    <w:rsid w:val="003926F0"/>
    <w:rsid w:val="00394922"/>
    <w:rsid w:val="003A0E32"/>
    <w:rsid w:val="003A2B94"/>
    <w:rsid w:val="003B155E"/>
    <w:rsid w:val="003B387D"/>
    <w:rsid w:val="003C0D58"/>
    <w:rsid w:val="003D4FA3"/>
    <w:rsid w:val="003E03DC"/>
    <w:rsid w:val="003E0807"/>
    <w:rsid w:val="003E51FB"/>
    <w:rsid w:val="003E6B39"/>
    <w:rsid w:val="003F07E1"/>
    <w:rsid w:val="004030BC"/>
    <w:rsid w:val="00403F7D"/>
    <w:rsid w:val="00406785"/>
    <w:rsid w:val="004079B4"/>
    <w:rsid w:val="00417867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7901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6293"/>
    <w:rsid w:val="004C1E3F"/>
    <w:rsid w:val="004C23F4"/>
    <w:rsid w:val="004C3475"/>
    <w:rsid w:val="004C58B6"/>
    <w:rsid w:val="004D16A3"/>
    <w:rsid w:val="004D4AA1"/>
    <w:rsid w:val="004D6D68"/>
    <w:rsid w:val="004E5EDD"/>
    <w:rsid w:val="004E6735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79ED"/>
    <w:rsid w:val="0057020E"/>
    <w:rsid w:val="00581055"/>
    <w:rsid w:val="0058561F"/>
    <w:rsid w:val="00590518"/>
    <w:rsid w:val="00591E38"/>
    <w:rsid w:val="005A19C5"/>
    <w:rsid w:val="005A3034"/>
    <w:rsid w:val="005A462D"/>
    <w:rsid w:val="005B253B"/>
    <w:rsid w:val="005B5D17"/>
    <w:rsid w:val="005B771D"/>
    <w:rsid w:val="005C5B0C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5C3B"/>
    <w:rsid w:val="006867F3"/>
    <w:rsid w:val="00687890"/>
    <w:rsid w:val="006901A2"/>
    <w:rsid w:val="00690368"/>
    <w:rsid w:val="0069079C"/>
    <w:rsid w:val="00690B53"/>
    <w:rsid w:val="00693A8D"/>
    <w:rsid w:val="00695B72"/>
    <w:rsid w:val="006B160A"/>
    <w:rsid w:val="006B4E6C"/>
    <w:rsid w:val="006B50B6"/>
    <w:rsid w:val="006D451D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2A55"/>
    <w:rsid w:val="007365D1"/>
    <w:rsid w:val="00740E0E"/>
    <w:rsid w:val="00750212"/>
    <w:rsid w:val="00754779"/>
    <w:rsid w:val="0075716D"/>
    <w:rsid w:val="007600E4"/>
    <w:rsid w:val="00765F14"/>
    <w:rsid w:val="00770E31"/>
    <w:rsid w:val="00775225"/>
    <w:rsid w:val="007770F1"/>
    <w:rsid w:val="00783FB1"/>
    <w:rsid w:val="00785CDD"/>
    <w:rsid w:val="00786E2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30E8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219E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34C7"/>
    <w:rsid w:val="0088798F"/>
    <w:rsid w:val="00887E4B"/>
    <w:rsid w:val="008915C8"/>
    <w:rsid w:val="008A36CF"/>
    <w:rsid w:val="008A3BC4"/>
    <w:rsid w:val="008A5B1E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5F5F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96C"/>
    <w:rsid w:val="009F0F3A"/>
    <w:rsid w:val="009F4BC0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29E8"/>
    <w:rsid w:val="00A93057"/>
    <w:rsid w:val="00A968B0"/>
    <w:rsid w:val="00AB2672"/>
    <w:rsid w:val="00AB2817"/>
    <w:rsid w:val="00AB43C4"/>
    <w:rsid w:val="00AC32E7"/>
    <w:rsid w:val="00AC3A9F"/>
    <w:rsid w:val="00AC6D2F"/>
    <w:rsid w:val="00AD77C1"/>
    <w:rsid w:val="00AE2745"/>
    <w:rsid w:val="00AE2F64"/>
    <w:rsid w:val="00AF3A86"/>
    <w:rsid w:val="00AF42CB"/>
    <w:rsid w:val="00AF483F"/>
    <w:rsid w:val="00AF5E07"/>
    <w:rsid w:val="00AF5F06"/>
    <w:rsid w:val="00AF7D31"/>
    <w:rsid w:val="00B00A25"/>
    <w:rsid w:val="00B07EC5"/>
    <w:rsid w:val="00B1422A"/>
    <w:rsid w:val="00B1765C"/>
    <w:rsid w:val="00B213C4"/>
    <w:rsid w:val="00B40C60"/>
    <w:rsid w:val="00B479A9"/>
    <w:rsid w:val="00B52EDF"/>
    <w:rsid w:val="00B636A2"/>
    <w:rsid w:val="00B71188"/>
    <w:rsid w:val="00B71A5E"/>
    <w:rsid w:val="00B76A41"/>
    <w:rsid w:val="00B863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D745F"/>
    <w:rsid w:val="00BF02B3"/>
    <w:rsid w:val="00BF2406"/>
    <w:rsid w:val="00C06E43"/>
    <w:rsid w:val="00C16315"/>
    <w:rsid w:val="00C2689F"/>
    <w:rsid w:val="00C3091E"/>
    <w:rsid w:val="00C40FF1"/>
    <w:rsid w:val="00C4101E"/>
    <w:rsid w:val="00C419E2"/>
    <w:rsid w:val="00C5020E"/>
    <w:rsid w:val="00C54DDB"/>
    <w:rsid w:val="00C57452"/>
    <w:rsid w:val="00C6014D"/>
    <w:rsid w:val="00C61695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1F8B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4F26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0D95"/>
    <w:rsid w:val="00DA352E"/>
    <w:rsid w:val="00DC7694"/>
    <w:rsid w:val="00DD1375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6F93"/>
    <w:rsid w:val="00E60F04"/>
    <w:rsid w:val="00E62AAC"/>
    <w:rsid w:val="00E67C2F"/>
    <w:rsid w:val="00E67EF5"/>
    <w:rsid w:val="00E73219"/>
    <w:rsid w:val="00E804EA"/>
    <w:rsid w:val="00E80A71"/>
    <w:rsid w:val="00E82337"/>
    <w:rsid w:val="00E92499"/>
    <w:rsid w:val="00E949AF"/>
    <w:rsid w:val="00E96077"/>
    <w:rsid w:val="00E97770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353A"/>
    <w:rsid w:val="00FB4E07"/>
    <w:rsid w:val="00FB755A"/>
    <w:rsid w:val="00FC0383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7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5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9E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9E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9E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98B8F0195F74F78A99BA093BC46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7CA3-8891-4A1B-A68C-DB7D3632062B}"/>
      </w:docPartPr>
      <w:docPartBody>
        <w:p w:rsidR="00FC75DE" w:rsidRDefault="003B30E1" w:rsidP="003B30E1">
          <w:pPr>
            <w:pStyle w:val="798B8F0195F74F78A99BA093BC464E38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05C3"/>
    <w:rsid w:val="003B30E1"/>
    <w:rsid w:val="00413B92"/>
    <w:rsid w:val="00617963"/>
    <w:rsid w:val="00A01140"/>
    <w:rsid w:val="00A017DD"/>
    <w:rsid w:val="00AA5FB6"/>
    <w:rsid w:val="00D21A9F"/>
    <w:rsid w:val="00F450FF"/>
    <w:rsid w:val="00FC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0E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2BDC0B14DFA4F729A7AF594A1733474">
    <w:name w:val="B2BDC0B14DFA4F729A7AF594A1733474"/>
    <w:rsid w:val="00A01140"/>
  </w:style>
  <w:style w:type="paragraph" w:customStyle="1" w:styleId="0AE609ACA6854BCD972E304D2DBDFA9C">
    <w:name w:val="0AE609ACA6854BCD972E304D2DBDFA9C"/>
    <w:rsid w:val="00A01140"/>
  </w:style>
  <w:style w:type="paragraph" w:customStyle="1" w:styleId="4E9AEC37EC97436AA8030865074F0AF6">
    <w:name w:val="4E9AEC37EC97436AA8030865074F0AF6"/>
    <w:rsid w:val="00A01140"/>
  </w:style>
  <w:style w:type="paragraph" w:customStyle="1" w:styleId="E5467D740C9D48AE8B207919003988B7">
    <w:name w:val="E5467D740C9D48AE8B207919003988B7"/>
    <w:rsid w:val="00A01140"/>
  </w:style>
  <w:style w:type="paragraph" w:customStyle="1" w:styleId="EB92DF770FE3485FA475EFD2E55FC561">
    <w:name w:val="EB92DF770FE3485FA475EFD2E55FC561"/>
    <w:rsid w:val="00A01140"/>
  </w:style>
  <w:style w:type="paragraph" w:customStyle="1" w:styleId="F00328E3F2CC40B0A2859B162111217F">
    <w:name w:val="F00328E3F2CC40B0A2859B162111217F"/>
    <w:rsid w:val="00A01140"/>
  </w:style>
  <w:style w:type="paragraph" w:customStyle="1" w:styleId="35918CBD07D34C2B96C1837672823645">
    <w:name w:val="35918CBD07D34C2B96C1837672823645"/>
    <w:rsid w:val="00A01140"/>
  </w:style>
  <w:style w:type="paragraph" w:customStyle="1" w:styleId="CAA5BE0249844087974876AEC011F8C1">
    <w:name w:val="CAA5BE0249844087974876AEC011F8C1"/>
    <w:rsid w:val="00A01140"/>
  </w:style>
  <w:style w:type="paragraph" w:customStyle="1" w:styleId="798B8F0195F74F78A99BA093BC464E38">
    <w:name w:val="798B8F0195F74F78A99BA093BC464E38"/>
    <w:rsid w:val="003B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f54d604-3e62-4e70-ba33-9e9084b96a6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4F9FD-7FC3-4B06-980C-12D17733B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8A6A7-6311-49EE-9188-EE3EAEAF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1A33BC56.dotm</Template>
  <TotalTime>2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</cp:revision>
  <cp:lastPrinted>2018-10-22T22:41:00Z</cp:lastPrinted>
  <dcterms:created xsi:type="dcterms:W3CDTF">2019-11-07T03:55:00Z</dcterms:created>
  <dcterms:modified xsi:type="dcterms:W3CDTF">2019-11-07T05:01:00Z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