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8A5209" w:rsidP="00B40C60">
          <w:pPr>
            <w:pStyle w:val="Heading1"/>
            <w:jc w:val="center"/>
            <w:rPr>
              <w:rFonts w:ascii="Arial" w:hAnsi="Arial" w:cs="Arial"/>
            </w:rPr>
          </w:pPr>
          <w:r w:rsidRPr="008A5209">
            <w:rPr>
              <w:rFonts w:ascii="Arial" w:hAnsi="Arial" w:cs="Arial"/>
            </w:rPr>
            <w:t>EDTA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7"/>
        <w:gridCol w:w="5059"/>
      </w:tblGrid>
      <w:tr w:rsidR="00F43AD5" w:rsidRPr="004C23F4" w:rsidTr="006F646A">
        <w:trPr>
          <w:cantSplit/>
          <w:tblHeader/>
        </w:trPr>
        <w:tc>
          <w:tcPr>
            <w:tcW w:w="396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9" w:type="dxa"/>
          </w:tcPr>
          <w:p w:rsidR="00F43AD5" w:rsidRPr="00717D45" w:rsidRDefault="00056CE6" w:rsidP="00B76A41">
            <w:pPr>
              <w:pStyle w:val="Tablefont"/>
            </w:pPr>
            <w:r w:rsidRPr="00056CE6">
              <w:t>60-00-4</w:t>
            </w:r>
          </w:p>
        </w:tc>
      </w:tr>
      <w:tr w:rsidR="00F43AD5" w:rsidRPr="004C23F4" w:rsidTr="006F646A">
        <w:trPr>
          <w:cantSplit/>
        </w:trPr>
        <w:tc>
          <w:tcPr>
            <w:tcW w:w="396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9" w:type="dxa"/>
          </w:tcPr>
          <w:p w:rsidR="00F43AD5" w:rsidRPr="00717D45" w:rsidRDefault="000F3456" w:rsidP="00B76A41">
            <w:pPr>
              <w:pStyle w:val="Tablefont"/>
            </w:pPr>
            <w:proofErr w:type="spellStart"/>
            <w:r>
              <w:t>ethylenediaminetetracetic</w:t>
            </w:r>
            <w:proofErr w:type="spellEnd"/>
            <w:r>
              <w:t xml:space="preserve"> acid, </w:t>
            </w:r>
            <w:r w:rsidR="00681A31">
              <w:t>{[2-(</w:t>
            </w:r>
            <w:proofErr w:type="spellStart"/>
            <w:r w:rsidR="00681A31">
              <w:t>Biscarboxymethyl</w:t>
            </w:r>
            <w:proofErr w:type="spellEnd"/>
            <w:r w:rsidR="00681A31">
              <w:t>-amino)-ethyl]-</w:t>
            </w:r>
            <w:proofErr w:type="spellStart"/>
            <w:r w:rsidR="00681A31">
              <w:t>carboxymethyl</w:t>
            </w:r>
            <w:proofErr w:type="spellEnd"/>
            <w:r w:rsidR="00681A31">
              <w:t xml:space="preserve">-amino}acetic acid, </w:t>
            </w:r>
            <w:proofErr w:type="spellStart"/>
            <w:r w:rsidR="00DB2AE0">
              <w:t>ethylenedinitrilotetracetic</w:t>
            </w:r>
            <w:proofErr w:type="spellEnd"/>
            <w:r w:rsidR="00DB2AE0">
              <w:t xml:space="preserve"> </w:t>
            </w:r>
            <w:r w:rsidR="00681A31">
              <w:t>acid, N,N’</w:t>
            </w:r>
            <w:r w:rsidR="00EF25B7">
              <w:t> </w:t>
            </w:r>
            <w:proofErr w:type="spellStart"/>
            <w:r w:rsidR="00681A31">
              <w:t>ethanediylbis</w:t>
            </w:r>
            <w:proofErr w:type="spellEnd"/>
            <w:r w:rsidR="00681A31">
              <w:t>[N</w:t>
            </w:r>
            <w:r w:rsidR="00EF25B7">
              <w:noBreakHyphen/>
              <w:t>(</w:t>
            </w:r>
            <w:proofErr w:type="spellStart"/>
            <w:r w:rsidR="00681A31">
              <w:t>carboxymethyl</w:t>
            </w:r>
            <w:proofErr w:type="spellEnd"/>
            <w:r w:rsidR="00681A31">
              <w:t>)glycine], H</w:t>
            </w:r>
            <w:r w:rsidR="00681A31" w:rsidRPr="00681A31">
              <w:rPr>
                <w:vertAlign w:val="subscript"/>
              </w:rPr>
              <w:t>4</w:t>
            </w:r>
            <w:r w:rsidR="00681A31">
              <w:t>EDTA</w:t>
            </w:r>
          </w:p>
        </w:tc>
      </w:tr>
      <w:tr w:rsidR="00F43AD5" w:rsidRPr="004C23F4" w:rsidTr="006F646A">
        <w:trPr>
          <w:cantSplit/>
        </w:trPr>
        <w:tc>
          <w:tcPr>
            <w:tcW w:w="396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9" w:type="dxa"/>
          </w:tcPr>
          <w:p w:rsidR="00F43AD5" w:rsidRPr="00717D45" w:rsidRDefault="00681A31" w:rsidP="00B76A41">
            <w:pPr>
              <w:pStyle w:val="Tablefont"/>
            </w:pPr>
            <w:r>
              <w:t>C</w:t>
            </w:r>
            <w:r w:rsidRPr="00681A31">
              <w:rPr>
                <w:vertAlign w:val="subscript"/>
              </w:rPr>
              <w:t>10</w:t>
            </w:r>
            <w:r>
              <w:t>H</w:t>
            </w:r>
            <w:r w:rsidRPr="00681A31">
              <w:rPr>
                <w:vertAlign w:val="subscript"/>
              </w:rPr>
              <w:t>16</w:t>
            </w:r>
            <w:r>
              <w:t>N</w:t>
            </w:r>
            <w:r w:rsidRPr="00681A31">
              <w:rPr>
                <w:vertAlign w:val="subscript"/>
              </w:rPr>
              <w:t>2</w:t>
            </w:r>
            <w:r>
              <w:t>O</w:t>
            </w:r>
            <w:r w:rsidRPr="00681A31">
              <w:rPr>
                <w:vertAlign w:val="subscript"/>
              </w:rPr>
              <w:t>8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80E3F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:rsidTr="00E51C03">
        <w:trPr>
          <w:cantSplit/>
          <w:tblHeader/>
        </w:trPr>
        <w:tc>
          <w:tcPr>
            <w:tcW w:w="4010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:rsidR="002C7AFE" w:rsidRPr="00EB3D1B" w:rsidRDefault="00480E3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E51C03">
        <w:trPr>
          <w:cantSplit/>
        </w:trPr>
        <w:tc>
          <w:tcPr>
            <w:tcW w:w="4010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:rsidR="002C7AFE" w:rsidRPr="00EB3D1B" w:rsidRDefault="00480E3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E51C03">
        <w:trPr>
          <w:cantSplit/>
        </w:trPr>
        <w:tc>
          <w:tcPr>
            <w:tcW w:w="4010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:rsidR="002C7AFE" w:rsidRPr="00EB3D1B" w:rsidRDefault="00480E3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E51C03">
        <w:trPr>
          <w:cantSplit/>
        </w:trPr>
        <w:tc>
          <w:tcPr>
            <w:tcW w:w="4010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:rsidR="002C7AFE" w:rsidRPr="00EB3D1B" w:rsidRDefault="00480E3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E51C03">
        <w:trPr>
          <w:cantSplit/>
        </w:trPr>
        <w:tc>
          <w:tcPr>
            <w:tcW w:w="4010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:rsidR="002C7AFE" w:rsidRPr="00480E3F" w:rsidRDefault="00681A31" w:rsidP="00017C82">
            <w:pPr>
              <w:pStyle w:val="Tablefont"/>
              <w:rPr>
                <w:b/>
              </w:rPr>
            </w:pPr>
            <w:r w:rsidRPr="00480E3F">
              <w:rPr>
                <w:b/>
              </w:rPr>
              <w:t>—</w:t>
            </w:r>
          </w:p>
        </w:tc>
      </w:tr>
      <w:tr w:rsidR="00E51C03" w:rsidRPr="004C23F4" w:rsidTr="003B693F">
        <w:trPr>
          <w:cantSplit/>
        </w:trPr>
        <w:tc>
          <w:tcPr>
            <w:tcW w:w="9026" w:type="dxa"/>
            <w:gridSpan w:val="2"/>
            <w:vAlign w:val="center"/>
          </w:tcPr>
          <w:p w:rsidR="00E51C03" w:rsidRPr="000F3456" w:rsidRDefault="00E51C03" w:rsidP="00E51C03">
            <w:pPr>
              <w:pStyle w:val="Tablefont"/>
              <w:rPr>
                <w:b/>
              </w:rPr>
            </w:pPr>
            <w:r w:rsidRPr="000F3456">
              <w:rPr>
                <w:b/>
              </w:rPr>
              <w:t>Sampling and analysis:</w:t>
            </w:r>
            <w:r w:rsidRPr="000F3456">
              <w:rPr>
                <w:rStyle w:val="WESstatus"/>
                <w:b/>
                <w:color w:val="auto"/>
              </w:rPr>
              <w:t xml:space="preserve"> </w:t>
            </w:r>
            <w:r w:rsidR="000F3456">
              <w:rPr>
                <w:rStyle w:val="WESstatus"/>
                <w:color w:val="auto"/>
              </w:rPr>
              <w:t>N/A</w:t>
            </w:r>
            <w:r w:rsidRPr="000F3456">
              <w:rPr>
                <w:rStyle w:val="WESstatus"/>
                <w:color w:val="auto"/>
              </w:rPr>
              <w:t xml:space="preserve"> </w:t>
            </w:r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4C23F4" w:rsidRDefault="006F646A" w:rsidP="000C139A">
      <w:pPr>
        <w:rPr>
          <w:rFonts w:cs="Arial"/>
        </w:rPr>
      </w:pPr>
      <w:r>
        <w:rPr>
          <w:rFonts w:cs="Arial"/>
        </w:rPr>
        <w:t>A TWA is not recommended at this time. There are i</w:t>
      </w:r>
      <w:r w:rsidR="00E21EF0">
        <w:rPr>
          <w:rFonts w:cs="Arial"/>
        </w:rPr>
        <w:t xml:space="preserve">nsufficient data </w:t>
      </w:r>
      <w:r>
        <w:rPr>
          <w:rFonts w:cs="Arial"/>
        </w:rPr>
        <w:t xml:space="preserve">available </w:t>
      </w:r>
      <w:r w:rsidR="00986BFE">
        <w:rPr>
          <w:rFonts w:cs="Arial"/>
        </w:rPr>
        <w:t xml:space="preserve">to perform a risk </w:t>
      </w:r>
      <w:r w:rsidR="00480E3F" w:rsidRPr="00480E3F">
        <w:rPr>
          <w:rFonts w:cs="Arial"/>
        </w:rPr>
        <w:t xml:space="preserve">based assessment and it is recommended that a priority review </w:t>
      </w:r>
      <w:r>
        <w:rPr>
          <w:rFonts w:cs="Arial"/>
        </w:rPr>
        <w:t xml:space="preserve">of additional data sources </w:t>
      </w:r>
      <w:r w:rsidR="00480E3F" w:rsidRPr="00480E3F">
        <w:rPr>
          <w:rFonts w:cs="Arial"/>
        </w:rPr>
        <w:t>be undertaken at the next scheduled review of the WES.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6F646A" w:rsidRDefault="00480E3F" w:rsidP="006639B4">
      <w:pPr>
        <w:rPr>
          <w:rFonts w:cs="Arial"/>
        </w:rPr>
      </w:pPr>
      <w:r>
        <w:rPr>
          <w:rFonts w:cs="Arial"/>
        </w:rPr>
        <w:t xml:space="preserve">EDTA is used as a sequestering agent for aqueous metal ions and added to detergents, textile processing and water treatment formulations, and cosmetics. </w:t>
      </w:r>
    </w:p>
    <w:p w:rsidR="006F646A" w:rsidRPr="004C23F4" w:rsidRDefault="00986BFE" w:rsidP="006F646A">
      <w:pPr>
        <w:rPr>
          <w:rFonts w:cs="Arial"/>
        </w:rPr>
      </w:pPr>
      <w:r>
        <w:rPr>
          <w:rFonts w:cs="Arial"/>
        </w:rPr>
        <w:t>EDTA</w:t>
      </w:r>
      <w:r w:rsidR="00480E3F">
        <w:rPr>
          <w:rFonts w:cs="Arial"/>
        </w:rPr>
        <w:t xml:space="preserve"> </w:t>
      </w:r>
      <w:r>
        <w:rPr>
          <w:rFonts w:cs="Arial"/>
        </w:rPr>
        <w:t>displays low oral, inhalational</w:t>
      </w:r>
      <w:r w:rsidR="00480E3F">
        <w:rPr>
          <w:rFonts w:cs="Arial"/>
        </w:rPr>
        <w:t xml:space="preserve"> and dermal toxicity</w:t>
      </w:r>
      <w:r w:rsidR="006F646A">
        <w:rPr>
          <w:rFonts w:cs="Arial"/>
        </w:rPr>
        <w:t>.</w:t>
      </w:r>
      <w:r w:rsidR="00480E3F">
        <w:rPr>
          <w:rFonts w:cs="Arial"/>
        </w:rPr>
        <w:t xml:space="preserve"> </w:t>
      </w:r>
      <w:r w:rsidR="006F646A">
        <w:rPr>
          <w:rFonts w:cs="Arial"/>
        </w:rPr>
        <w:t>C</w:t>
      </w:r>
      <w:r w:rsidR="00480E3F">
        <w:rPr>
          <w:rFonts w:cs="Arial"/>
        </w:rPr>
        <w:t>ritical effects are</w:t>
      </w:r>
      <w:r w:rsidR="006F646A">
        <w:rPr>
          <w:rFonts w:cs="Arial"/>
        </w:rPr>
        <w:t xml:space="preserve"> acute</w:t>
      </w:r>
      <w:r w:rsidR="00480E3F">
        <w:rPr>
          <w:rFonts w:cs="Arial"/>
        </w:rPr>
        <w:t xml:space="preserve"> irritation of the eyes and mucous membranes and potential developmental toxicity at maternally toxic exposures (DFG, 2009). </w:t>
      </w:r>
      <w:r w:rsidR="006F646A">
        <w:rPr>
          <w:rFonts w:cs="Arial"/>
        </w:rPr>
        <w:t xml:space="preserve">The available data do not indicate genotoxic or carcinogenic </w:t>
      </w:r>
      <w:r w:rsidR="00EF25B7">
        <w:rPr>
          <w:rFonts w:cs="Arial"/>
        </w:rPr>
        <w:t xml:space="preserve">properties </w:t>
      </w:r>
      <w:r w:rsidR="006F646A">
        <w:rPr>
          <w:rFonts w:cs="Arial"/>
        </w:rPr>
        <w:t>based on well-conducted chronic feeding studies in animals (DFG, 2009). Systemic effects arising from dermal absorption is considered negligible due to a very low dermal absorption rate of 0.001% in humans (DFG, 2009).</w:t>
      </w:r>
    </w:p>
    <w:p w:rsidR="00480E3F" w:rsidRDefault="00480E3F" w:rsidP="006639B4">
      <w:pPr>
        <w:rPr>
          <w:rFonts w:cs="Arial"/>
        </w:rPr>
      </w:pPr>
      <w:r>
        <w:rPr>
          <w:rFonts w:cs="Arial"/>
        </w:rPr>
        <w:t xml:space="preserve">The available toxicological database lacks chronic inhalational data and does </w:t>
      </w:r>
      <w:r w:rsidR="00E21EF0">
        <w:rPr>
          <w:rFonts w:cs="Arial"/>
        </w:rPr>
        <w:t xml:space="preserve">not currently permit </w:t>
      </w:r>
      <w:r w:rsidR="006F646A">
        <w:rPr>
          <w:rFonts w:cs="Arial"/>
        </w:rPr>
        <w:t xml:space="preserve">the recommendation </w:t>
      </w:r>
      <w:r w:rsidR="00E21EF0">
        <w:rPr>
          <w:rFonts w:cs="Arial"/>
        </w:rPr>
        <w:t xml:space="preserve">of a WES (DFG, 2009; SCOEL, 2009). A detailed examination of </w:t>
      </w:r>
      <w:r w:rsidR="006F646A">
        <w:rPr>
          <w:rFonts w:cs="Arial"/>
        </w:rPr>
        <w:t>all</w:t>
      </w:r>
      <w:r w:rsidR="00E21EF0">
        <w:rPr>
          <w:rFonts w:cs="Arial"/>
        </w:rPr>
        <w:t xml:space="preserve"> available data should be prioritised for review.</w:t>
      </w:r>
    </w:p>
    <w:p w:rsidR="004529F0" w:rsidRPr="004C23F4" w:rsidRDefault="004529F0" w:rsidP="006F646A">
      <w:pPr>
        <w:pStyle w:val="Heading2"/>
        <w:keepNext w:val="0"/>
      </w:pPr>
      <w:r>
        <w:t>Recommendation for notations</w:t>
      </w:r>
    </w:p>
    <w:p w:rsidR="00681A31" w:rsidRPr="00681A31" w:rsidRDefault="00681A31" w:rsidP="006F646A">
      <w:pPr>
        <w:rPr>
          <w:rFonts w:cs="Arial"/>
        </w:rPr>
      </w:pPr>
      <w:r w:rsidRPr="00681A31">
        <w:rPr>
          <w:rFonts w:cs="Arial"/>
        </w:rPr>
        <w:t xml:space="preserve">Not classified as a carcinogen according to the Globally Harmonized System of Classification and Labelling </w:t>
      </w:r>
      <w:r w:rsidR="00226304" w:rsidRPr="00681A31">
        <w:rPr>
          <w:rFonts w:cs="Arial"/>
        </w:rPr>
        <w:t>o</w:t>
      </w:r>
      <w:r w:rsidR="00226304">
        <w:rPr>
          <w:rFonts w:cs="Arial"/>
        </w:rPr>
        <w:t>f</w:t>
      </w:r>
      <w:r w:rsidR="00226304" w:rsidRPr="00681A31">
        <w:rPr>
          <w:rFonts w:cs="Arial"/>
        </w:rPr>
        <w:t xml:space="preserve"> </w:t>
      </w:r>
      <w:r w:rsidRPr="00681A31">
        <w:rPr>
          <w:rFonts w:cs="Arial"/>
        </w:rPr>
        <w:t xml:space="preserve">Chemicals (GHS). </w:t>
      </w:r>
    </w:p>
    <w:p w:rsidR="00681A31" w:rsidRPr="00681A31" w:rsidRDefault="00681A31" w:rsidP="006F646A">
      <w:pPr>
        <w:rPr>
          <w:rFonts w:cs="Arial"/>
        </w:rPr>
      </w:pPr>
      <w:r w:rsidRPr="00681A31">
        <w:rPr>
          <w:rFonts w:cs="Arial"/>
        </w:rPr>
        <w:t>Not classified as a skin</w:t>
      </w:r>
      <w:r w:rsidR="000E4B31">
        <w:rPr>
          <w:rFonts w:cs="Arial"/>
        </w:rPr>
        <w:t xml:space="preserve"> </w:t>
      </w:r>
      <w:r w:rsidR="000E4B31" w:rsidRPr="00681A31">
        <w:rPr>
          <w:rFonts w:cs="Arial"/>
        </w:rPr>
        <w:t>sensitiser</w:t>
      </w:r>
      <w:r w:rsidRPr="00681A31">
        <w:rPr>
          <w:rFonts w:cs="Arial"/>
        </w:rPr>
        <w:t xml:space="preserve"> or respiratory sensitiser according to the GHS.</w:t>
      </w:r>
    </w:p>
    <w:p w:rsidR="005E6979" w:rsidRPr="004C23F4" w:rsidRDefault="00480E3F" w:rsidP="006F646A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480E3F">
        <w:rPr>
          <w:rFonts w:cs="Arial"/>
        </w:rPr>
        <w:t xml:space="preserve">A skin notation is not </w:t>
      </w:r>
      <w:r w:rsidR="006F646A">
        <w:rPr>
          <w:rFonts w:cs="Arial"/>
        </w:rPr>
        <w:t>recommended</w:t>
      </w:r>
      <w:r w:rsidR="006F646A" w:rsidRPr="00480E3F">
        <w:rPr>
          <w:rFonts w:cs="Arial"/>
        </w:rPr>
        <w:t xml:space="preserve"> </w:t>
      </w:r>
      <w:r w:rsidRPr="00480E3F">
        <w:rPr>
          <w:rFonts w:cs="Arial"/>
        </w:rPr>
        <w:t>as there is no indication of systemic effects resulting from skin absorption.</w:t>
      </w: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BE46C0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BE46C0">
            <w:pPr>
              <w:pStyle w:val="Tableheader"/>
              <w:tabs>
                <w:tab w:val="left" w:pos="990"/>
                <w:tab w:val="left" w:pos="1418"/>
                <w:tab w:val="left" w:pos="2552"/>
                <w:tab w:val="left" w:pos="4170"/>
                <w:tab w:val="left" w:pos="4410"/>
                <w:tab w:val="right" w:pos="8489"/>
              </w:tabs>
            </w:pPr>
            <w:r w:rsidRPr="00DA352E">
              <w:t>Source</w:t>
            </w:r>
            <w:r w:rsidR="00DA352E">
              <w:tab/>
            </w:r>
            <w:r w:rsidR="00BE46C0">
              <w:tab/>
            </w:r>
            <w:r w:rsidR="00DA352E">
              <w:t>Year set</w:t>
            </w:r>
            <w:r w:rsidR="00DA352E">
              <w:tab/>
              <w:t>Standard</w:t>
            </w:r>
            <w:r w:rsidR="00974F2D">
              <w:tab/>
            </w:r>
            <w:r w:rsidR="00BE46C0">
              <w:tab/>
            </w:r>
            <w:r w:rsidR="00BE46C0">
              <w:tab/>
            </w:r>
          </w:p>
        </w:tc>
      </w:tr>
      <w:tr w:rsidR="00DE26E8" w:rsidRPr="003365A5" w:rsidTr="00BE46C0"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81A31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681A31">
                  <w:t>NA</w:t>
                </w:r>
                <w:proofErr w:type="spellEnd"/>
              </w:sdtContent>
            </w:sdt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</w:tcPr>
          <w:p w:rsidR="00C978F0" w:rsidRPr="00DA352E" w:rsidRDefault="00681A31" w:rsidP="003365A5">
            <w:pPr>
              <w:pStyle w:val="Tabletextprimarysource"/>
            </w:pPr>
            <w:r>
              <w:t>No report</w:t>
            </w:r>
            <w:r w:rsidR="00226304">
              <w:t>.</w:t>
            </w:r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81A3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681A31">
                  <w:t>NA</w:t>
                </w:r>
                <w:proofErr w:type="spellEnd"/>
              </w:sdtContent>
            </w:sdt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</w:tcPr>
          <w:p w:rsidR="00C978F0" w:rsidRPr="00DA352E" w:rsidRDefault="00681A31" w:rsidP="003365A5">
            <w:pPr>
              <w:pStyle w:val="Tabletextprimarysource"/>
            </w:pPr>
            <w:r>
              <w:t>No report</w:t>
            </w:r>
            <w:r w:rsidR="00226304">
              <w:t>.</w:t>
            </w:r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81A31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B5155">
                  <w:t>MAK: n</w:t>
                </w:r>
                <w:r w:rsidR="00681A31">
                  <w:t xml:space="preserve">ot </w:t>
                </w:r>
                <w:r w:rsidR="00AB5155">
                  <w:t>established</w:t>
                </w:r>
              </w:sdtContent>
            </w:sdt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</w:tcPr>
          <w:p w:rsidR="003D094F" w:rsidRDefault="00AB5155" w:rsidP="003365A5">
            <w:pPr>
              <w:pStyle w:val="Tabletextprimarysource"/>
            </w:pPr>
            <w:r>
              <w:t>MAK not established due to absence of i</w:t>
            </w:r>
            <w:r w:rsidR="00C21F3C">
              <w:t xml:space="preserve">nhalational toxicity data. </w:t>
            </w:r>
            <w:r w:rsidR="003D094F">
              <w:t>Assessment also considers exposures to Na/Ca salts of EDTA</w:t>
            </w:r>
            <w:r w:rsidR="00E47726">
              <w:t xml:space="preserve"> due to comparable dissociation behaviour under physiological conditions</w:t>
            </w:r>
            <w:r w:rsidR="003D094F">
              <w:t>.</w:t>
            </w:r>
          </w:p>
          <w:p w:rsidR="003D094F" w:rsidRDefault="003D094F" w:rsidP="003365A5">
            <w:pPr>
              <w:pStyle w:val="Tabletextprimarysource"/>
            </w:pPr>
            <w:r>
              <w:t>Summary of data:</w:t>
            </w:r>
          </w:p>
          <w:p w:rsidR="006F646A" w:rsidRDefault="002D1F83" w:rsidP="003365A5">
            <w:pPr>
              <w:pStyle w:val="Tabletextprimarysource"/>
            </w:pPr>
            <w:r>
              <w:t>C</w:t>
            </w:r>
            <w:r w:rsidR="00A27720">
              <w:t xml:space="preserve">arcinogenicity studies with mice and rats report negative results at high relative doses, e.g. above the NOAEL for systemic toxicity in rats. </w:t>
            </w:r>
          </w:p>
          <w:p w:rsidR="006F646A" w:rsidRDefault="00B20787" w:rsidP="003365A5">
            <w:pPr>
              <w:pStyle w:val="Tabletextprimarysource"/>
            </w:pPr>
            <w:r>
              <w:t xml:space="preserve">Developmental toxicity observed in repeat subcutaneous injection studies is considered unlikely </w:t>
            </w:r>
            <w:r w:rsidR="00673B5B">
              <w:t>regarding</w:t>
            </w:r>
            <w:r>
              <w:t xml:space="preserve"> oral or inhalational exposure routes due to very low absorption (5%) </w:t>
            </w:r>
            <w:r w:rsidRPr="006F646A">
              <w:rPr>
                <w:i/>
              </w:rPr>
              <w:t>via</w:t>
            </w:r>
            <w:r>
              <w:t xml:space="preserve"> these routes</w:t>
            </w:r>
            <w:r w:rsidR="00A27720">
              <w:t xml:space="preserve">. </w:t>
            </w:r>
          </w:p>
          <w:p w:rsidR="006F646A" w:rsidRDefault="00A27720" w:rsidP="003365A5">
            <w:pPr>
              <w:pStyle w:val="Tabletextprimarysource"/>
            </w:pPr>
            <w:r>
              <w:t xml:space="preserve">Weak evidence exists for the sensitising potential of the substance; </w:t>
            </w:r>
            <w:r w:rsidR="008257A4">
              <w:t>DFG</w:t>
            </w:r>
            <w:r>
              <w:t xml:space="preserve"> does not assign a sensitiser notation on this basis. </w:t>
            </w:r>
          </w:p>
          <w:p w:rsidR="00C978F0" w:rsidRDefault="00A27720" w:rsidP="003365A5">
            <w:pPr>
              <w:pStyle w:val="Tabletextprimarysource"/>
            </w:pPr>
            <w:r>
              <w:t xml:space="preserve">A skin notation is not </w:t>
            </w:r>
            <w:r w:rsidR="003D094F">
              <w:t>recommended</w:t>
            </w:r>
            <w:r>
              <w:t xml:space="preserve"> due to low systemic toxicity</w:t>
            </w:r>
            <w:r w:rsidR="003D094F">
              <w:t xml:space="preserve">. Simultaneous exposure to iron and EDTA should be avoided to minimise potential for formation of iron-EDTA complexes, which have demonstrated renal toxicity; this effect is however considered highly unlikely </w:t>
            </w:r>
            <w:r w:rsidR="003D094F" w:rsidRPr="006F646A">
              <w:rPr>
                <w:i/>
              </w:rPr>
              <w:t>via</w:t>
            </w:r>
            <w:r w:rsidR="003D094F">
              <w:t xml:space="preserve"> repeat inhalational or oral pathways.</w:t>
            </w:r>
            <w:bookmarkStart w:id="0" w:name="_GoBack"/>
            <w:bookmarkEnd w:id="0"/>
          </w:p>
          <w:p w:rsidR="003D094F" w:rsidRDefault="003D094F" w:rsidP="003365A5">
            <w:pPr>
              <w:pStyle w:val="Tabletextprimarysource"/>
            </w:pPr>
            <w:r>
              <w:t>Human data:</w:t>
            </w:r>
          </w:p>
          <w:p w:rsidR="00E47726" w:rsidRDefault="00E47726" w:rsidP="00E4772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Volunteer study reported dermal uptake of 0.001% </w:t>
            </w:r>
            <w:r>
              <w:rPr>
                <w:rFonts w:cs="Arial"/>
              </w:rPr>
              <w:t>≡</w:t>
            </w:r>
            <w:r w:rsidR="00226304">
              <w:rPr>
                <w:rFonts w:cs="Arial"/>
              </w:rPr>
              <w:t xml:space="preserve"> </w:t>
            </w:r>
            <w:r>
              <w:t>0.02 mg assuming 2,000 cm</w:t>
            </w:r>
            <w:r>
              <w:rPr>
                <w:vertAlign w:val="superscript"/>
              </w:rPr>
              <w:t>2</w:t>
            </w:r>
            <w:r>
              <w:t xml:space="preserve"> skin exposed for 1 h</w:t>
            </w:r>
          </w:p>
          <w:p w:rsidR="00E47726" w:rsidRDefault="00E47726" w:rsidP="00E47726">
            <w:pPr>
              <w:pStyle w:val="Tabletextprimarysource"/>
              <w:numPr>
                <w:ilvl w:val="0"/>
                <w:numId w:val="2"/>
              </w:numPr>
            </w:pPr>
            <w:r>
              <w:t>Inconclusive evidence for allergenic effect in single dose inhalation study with asthmatic volunteers inhaling aqueous aerosol containing up to 500 mg/L EDTA</w:t>
            </w:r>
          </w:p>
          <w:p w:rsidR="00E47726" w:rsidRDefault="003F0932" w:rsidP="00E47726">
            <w:pPr>
              <w:pStyle w:val="Tabletextprimarysource"/>
              <w:numPr>
                <w:ilvl w:val="0"/>
                <w:numId w:val="2"/>
              </w:numPr>
            </w:pPr>
            <w:r>
              <w:t>Very low rate of positive results reported in several volunteer patch tests, treatment range 0.01–10% in water or petrolatum (n=50–1111)</w:t>
            </w:r>
          </w:p>
          <w:p w:rsidR="003D094F" w:rsidRDefault="003D094F" w:rsidP="003365A5">
            <w:pPr>
              <w:pStyle w:val="Tabletextprimarysource"/>
            </w:pPr>
            <w:r>
              <w:t>Animal data:</w:t>
            </w:r>
          </w:p>
          <w:p w:rsidR="003D094F" w:rsidRDefault="003D094F" w:rsidP="003D094F">
            <w:pPr>
              <w:pStyle w:val="Tabletextprimarysource"/>
              <w:numPr>
                <w:ilvl w:val="0"/>
                <w:numId w:val="1"/>
              </w:numPr>
            </w:pPr>
            <w:r>
              <w:t>Reversibl</w:t>
            </w:r>
            <w:r w:rsidR="003F0932">
              <w:t>e eye</w:t>
            </w:r>
            <w:r>
              <w:t xml:space="preserve"> </w:t>
            </w:r>
            <w:r w:rsidR="003F0932">
              <w:t>irritation (rabbits, no further details)</w:t>
            </w:r>
          </w:p>
          <w:p w:rsidR="00FF78F9" w:rsidRDefault="00FF78F9" w:rsidP="003D094F">
            <w:pPr>
              <w:pStyle w:val="Tabletextprimarysource"/>
              <w:numPr>
                <w:ilvl w:val="0"/>
                <w:numId w:val="1"/>
              </w:numPr>
            </w:pPr>
            <w:r>
              <w:t>No adverse effects in 2</w:t>
            </w:r>
            <w:r w:rsidR="00DB2AE0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chronic feeding studies at </w:t>
            </w:r>
            <w:r w:rsidR="00E21219">
              <w:t>250–</w:t>
            </w:r>
            <w:r>
              <w:t>500 mg/kg/d (</w:t>
            </w:r>
            <w:r w:rsidR="00E21219">
              <w:t>rats</w:t>
            </w:r>
            <w:r>
              <w:t xml:space="preserve">) or </w:t>
            </w:r>
            <w:r w:rsidR="00986BFE">
              <w:br/>
            </w:r>
            <w:r w:rsidR="00E21219">
              <w:t>470–940</w:t>
            </w:r>
            <w:r w:rsidR="00DB2AE0">
              <w:t xml:space="preserve"> </w:t>
            </w:r>
            <w:r>
              <w:t>mg/kg/d (</w:t>
            </w:r>
            <w:r w:rsidR="00E21219">
              <w:t>mice</w:t>
            </w:r>
            <w:r>
              <w:t>)</w:t>
            </w:r>
          </w:p>
          <w:p w:rsidR="00E21219" w:rsidRDefault="000F3456" w:rsidP="00AB0F5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</w:t>
            </w:r>
            <w:r w:rsidR="00E21219">
              <w:t>o evidence for carcinogenicity; tumour incidences in both species not attributable to substance exposure and comparable to controls</w:t>
            </w:r>
          </w:p>
          <w:p w:rsidR="00E21219" w:rsidRDefault="000F3456" w:rsidP="00AB0F5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E21219">
              <w:t xml:space="preserve">light dose-dependent reduced </w:t>
            </w:r>
            <w:proofErr w:type="spellStart"/>
            <w:r w:rsidR="00E21219">
              <w:t>bw</w:t>
            </w:r>
            <w:proofErr w:type="spellEnd"/>
            <w:r w:rsidR="00E21219">
              <w:t xml:space="preserve"> gain in female mice; male mice had reduced </w:t>
            </w:r>
            <w:proofErr w:type="spellStart"/>
            <w:r w:rsidR="00E21219">
              <w:t>bw</w:t>
            </w:r>
            <w:proofErr w:type="spellEnd"/>
            <w:r w:rsidR="00E21219">
              <w:t xml:space="preserve"> gain only in 940 mg/kg/d group</w:t>
            </w:r>
          </w:p>
          <w:p w:rsidR="00B20787" w:rsidRDefault="00B20787" w:rsidP="00E21219">
            <w:pPr>
              <w:pStyle w:val="Tabletextprimarysource"/>
              <w:numPr>
                <w:ilvl w:val="0"/>
                <w:numId w:val="1"/>
              </w:numPr>
            </w:pPr>
            <w:r>
              <w:t>Increased urinary zinc excretion, decreased zinc plasma concentrations, diarrh</w:t>
            </w:r>
            <w:r w:rsidR="00226304">
              <w:t>o</w:t>
            </w:r>
            <w:r>
              <w:t xml:space="preserve">ea (maternal), reduced </w:t>
            </w:r>
            <w:proofErr w:type="spellStart"/>
            <w:r>
              <w:t>bw</w:t>
            </w:r>
            <w:proofErr w:type="spellEnd"/>
            <w:r>
              <w:t xml:space="preserve"> (maternal and foetal), increased prenatal mortality in developmental study at 90 mg/kg </w:t>
            </w:r>
            <w:r w:rsidRPr="006F646A">
              <w:rPr>
                <w:i/>
              </w:rPr>
              <w:t>via</w:t>
            </w:r>
            <w:r>
              <w:t xml:space="preserve"> subcutaneous injection (rats, </w:t>
            </w:r>
            <w:r w:rsidR="006F646A">
              <w:t>GD</w:t>
            </w:r>
            <w:r w:rsidR="00673B5B">
              <w:t xml:space="preserve"> 11–15);</w:t>
            </w:r>
          </w:p>
          <w:p w:rsidR="00673B5B" w:rsidRDefault="000F3456" w:rsidP="00AB0F5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m</w:t>
            </w:r>
            <w:r w:rsidR="00673B5B">
              <w:t>aternal LOAEL 90 mg/kg, foetal NOAEL: 90 mg/kg; no lower concentration tested</w:t>
            </w:r>
          </w:p>
          <w:p w:rsidR="00673B5B" w:rsidRDefault="000F3456" w:rsidP="00AB0F5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d</w:t>
            </w:r>
            <w:r w:rsidR="00673B5B">
              <w:t>evelopmental effects likely caused by zinc sequestration/depletion</w:t>
            </w:r>
          </w:p>
          <w:p w:rsidR="00673B5B" w:rsidRDefault="000F3456" w:rsidP="00AB0F5A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</w:t>
            </w:r>
            <w:r w:rsidR="00673B5B">
              <w:t>oncentrations up 1,250 mg/kg required in equivalent diet/gavage administration studies due to poor gastrointestinal absorption</w:t>
            </w:r>
            <w:r w:rsidR="00FF78F9">
              <w:t xml:space="preserve">, toxicity also stems from zinc deficiency </w:t>
            </w:r>
            <w:r w:rsidR="00FF78F9" w:rsidRPr="006F646A">
              <w:rPr>
                <w:i/>
              </w:rPr>
              <w:t>via</w:t>
            </w:r>
            <w:r w:rsidR="00FF78F9">
              <w:t xml:space="preserve"> this route</w:t>
            </w:r>
          </w:p>
          <w:p w:rsidR="002D1F83" w:rsidRPr="00DA352E" w:rsidRDefault="002D1F83" w:rsidP="00E21219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 xml:space="preserve">No evidence for </w:t>
            </w:r>
            <w:proofErr w:type="spellStart"/>
            <w:r>
              <w:t>genotoxicity</w:t>
            </w:r>
            <w:proofErr w:type="spellEnd"/>
            <w:r>
              <w:t xml:space="preserve"> </w:t>
            </w:r>
            <w:r>
              <w:rPr>
                <w:i/>
              </w:rPr>
              <w:t>in vitro</w:t>
            </w:r>
            <w:r>
              <w:t xml:space="preserve"> or </w:t>
            </w:r>
            <w:r>
              <w:rPr>
                <w:i/>
              </w:rPr>
              <w:t>in vivo</w:t>
            </w:r>
            <w:r>
              <w:t>; current database suggests adverse effects to chromosomes occur at high concentrations possibly due to the chelating effect of EDTA</w:t>
            </w:r>
            <w:r w:rsidR="00E21219">
              <w:t>.</w:t>
            </w:r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81A31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A0CAD">
                  <w:t xml:space="preserve">TWA: </w:t>
                </w:r>
                <w:r w:rsidR="00681A31">
                  <w:t>Not assigned</w:t>
                </w:r>
              </w:sdtContent>
            </w:sdt>
          </w:p>
        </w:tc>
      </w:tr>
      <w:tr w:rsidR="00C978F0" w:rsidRPr="00DA352E" w:rsidTr="00BE46C0">
        <w:trPr>
          <w:gridAfter w:val="1"/>
          <w:wAfter w:w="8" w:type="pct"/>
        </w:trPr>
        <w:tc>
          <w:tcPr>
            <w:tcW w:w="4992" w:type="pct"/>
          </w:tcPr>
          <w:p w:rsidR="00C978F0" w:rsidRDefault="00DB0AD8" w:rsidP="003365A5">
            <w:pPr>
              <w:pStyle w:val="Tabletextprimarysource"/>
            </w:pPr>
            <w:r>
              <w:t>Summary of additional data:</w:t>
            </w:r>
          </w:p>
          <w:p w:rsidR="00D9759B" w:rsidRDefault="00D9759B" w:rsidP="003365A5">
            <w:pPr>
              <w:pStyle w:val="Tabletextprimarysource"/>
            </w:pPr>
            <w:r>
              <w:t xml:space="preserve">TWA not assigned due to insufficient data upon which to base a recommendation. </w:t>
            </w:r>
          </w:p>
          <w:p w:rsidR="005B6C5A" w:rsidRDefault="005B6C5A" w:rsidP="003365A5">
            <w:pPr>
              <w:pStyle w:val="Tabletextprimarysource"/>
            </w:pPr>
            <w:r>
              <w:t xml:space="preserve">Large particles are likely to be cleared from lungs and absorbed by </w:t>
            </w:r>
            <w:r w:rsidR="006F646A">
              <w:t>GIT</w:t>
            </w:r>
            <w:r>
              <w:t>; small particles likely to be absorbed directly in lungs (no further information).</w:t>
            </w:r>
          </w:p>
          <w:p w:rsidR="00DB0AD8" w:rsidRDefault="00DB0AD8" w:rsidP="003365A5">
            <w:pPr>
              <w:pStyle w:val="Tabletextprimarysource"/>
            </w:pPr>
            <w:r>
              <w:t>Animal data:</w:t>
            </w:r>
          </w:p>
          <w:p w:rsidR="005B6C5A" w:rsidRDefault="005B6C5A" w:rsidP="00DB0AD8">
            <w:pPr>
              <w:pStyle w:val="Tabletextprimarysource"/>
              <w:numPr>
                <w:ilvl w:val="0"/>
                <w:numId w:val="1"/>
              </w:numPr>
            </w:pPr>
            <w:r>
              <w:t>Mild irritation in single-dose inhalation study (rats, 8 h, concentration not specified)</w:t>
            </w:r>
          </w:p>
          <w:p w:rsidR="005B6C5A" w:rsidRDefault="005B6C5A" w:rsidP="00DB0AD8">
            <w:pPr>
              <w:pStyle w:val="Tabletextprimarysource"/>
              <w:numPr>
                <w:ilvl w:val="0"/>
                <w:numId w:val="1"/>
              </w:numPr>
            </w:pPr>
            <w:r>
              <w:t>Mild irritation on skin of ear with 50% aqueous solution (rabbits, 20 h); no irritation on skin of back</w:t>
            </w:r>
          </w:p>
          <w:p w:rsidR="005B6C5A" w:rsidRDefault="005B6C5A" w:rsidP="00DB0AD8">
            <w:pPr>
              <w:pStyle w:val="Tabletextprimarysource"/>
              <w:numPr>
                <w:ilvl w:val="0"/>
                <w:numId w:val="1"/>
              </w:numPr>
            </w:pPr>
            <w:r>
              <w:t>Strong irritant effect when 50 mg applied directly to rabbit eye; reversible in 8 d</w:t>
            </w:r>
          </w:p>
          <w:p w:rsidR="00DB0AD8" w:rsidRDefault="00DB0AD8" w:rsidP="00DB0AD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Chronic feeding/carcinogenicity study suggests no carcinogenic activity (mice, rats, 2 </w:t>
            </w:r>
            <w:proofErr w:type="spellStart"/>
            <w:r>
              <w:t>yr</w:t>
            </w:r>
            <w:proofErr w:type="spellEnd"/>
            <w:r>
              <w:t>, same study as presented in DFG, 2009)</w:t>
            </w:r>
          </w:p>
          <w:p w:rsidR="005B6C5A" w:rsidRDefault="005B6C5A" w:rsidP="00DB0AD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Changes in tissue concentrations of Ca, Mg, Fe, and P, but no signs of toxicity at </w:t>
            </w:r>
            <w:r w:rsidR="00D9759B">
              <w:t>293</w:t>
            </w:r>
            <w:r w:rsidR="00DB2AE0">
              <w:t xml:space="preserve"> </w:t>
            </w:r>
            <w:r>
              <w:t>mg/kg/d in repeat oral dose study</w:t>
            </w:r>
            <w:r w:rsidR="00D9759B">
              <w:t xml:space="preserve"> (rats, 35 d)</w:t>
            </w:r>
          </w:p>
          <w:p w:rsidR="00DB0AD8" w:rsidRDefault="00DB0AD8" w:rsidP="00DB0AD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Low potential for </w:t>
            </w:r>
            <w:proofErr w:type="spellStart"/>
            <w:r>
              <w:t>genotoxicity</w:t>
            </w:r>
            <w:proofErr w:type="spellEnd"/>
            <w:r>
              <w:t xml:space="preserve"> </w:t>
            </w:r>
            <w:r>
              <w:rPr>
                <w:i/>
              </w:rPr>
              <w:t>in vivo</w:t>
            </w:r>
            <w:r>
              <w:t xml:space="preserve"> and </w:t>
            </w:r>
            <w:r>
              <w:rPr>
                <w:i/>
              </w:rPr>
              <w:t>in vitro</w:t>
            </w:r>
            <w:r w:rsidR="00D9759B">
              <w:t>, only at high relative concentrations; agency concludes non-mutagenic to humans.</w:t>
            </w:r>
          </w:p>
          <w:p w:rsidR="006F646A" w:rsidRPr="00DA352E" w:rsidRDefault="006F646A" w:rsidP="006F646A">
            <w:pPr>
              <w:pStyle w:val="Tabletextprimarysource"/>
            </w:pPr>
          </w:p>
        </w:tc>
      </w:tr>
      <w:tr w:rsidR="00DA352E" w:rsidRPr="00DA352E" w:rsidTr="00BE46C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81A3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681A31">
                  <w:t>NA</w:t>
                </w:r>
                <w:proofErr w:type="spellEnd"/>
              </w:sdtContent>
            </w:sdt>
          </w:p>
        </w:tc>
      </w:tr>
      <w:tr w:rsidR="00DA352E" w:rsidRPr="00DA352E" w:rsidTr="00BE46C0">
        <w:trPr>
          <w:gridAfter w:val="1"/>
          <w:wAfter w:w="8" w:type="pct"/>
        </w:trPr>
        <w:tc>
          <w:tcPr>
            <w:tcW w:w="4992" w:type="pct"/>
          </w:tcPr>
          <w:p w:rsidR="00DA352E" w:rsidRPr="00DA352E" w:rsidRDefault="00681A31" w:rsidP="003365A5">
            <w:pPr>
              <w:pStyle w:val="Tabletextprimarysource"/>
            </w:pPr>
            <w:r>
              <w:t>No report</w:t>
            </w:r>
            <w:r w:rsidR="00226304">
              <w:t>.</w:t>
            </w:r>
          </w:p>
        </w:tc>
      </w:tr>
      <w:tr w:rsidR="00DA352E" w:rsidRPr="00DA352E" w:rsidTr="00BE46C0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81A3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681A31">
                  <w:t>NA</w:t>
                </w:r>
                <w:proofErr w:type="spellEnd"/>
              </w:sdtContent>
            </w:sdt>
          </w:p>
        </w:tc>
      </w:tr>
      <w:tr w:rsidR="00DA352E" w:rsidRPr="00DA352E" w:rsidTr="00BE46C0">
        <w:trPr>
          <w:gridAfter w:val="1"/>
          <w:wAfter w:w="8" w:type="pct"/>
        </w:trPr>
        <w:tc>
          <w:tcPr>
            <w:tcW w:w="4992" w:type="pct"/>
          </w:tcPr>
          <w:p w:rsidR="00DA352E" w:rsidRPr="00DA352E" w:rsidRDefault="00681A31" w:rsidP="003365A5">
            <w:pPr>
              <w:pStyle w:val="Tabletextprimarysource"/>
            </w:pPr>
            <w:r>
              <w:t>No report</w:t>
            </w:r>
            <w:r w:rsidR="00226304">
              <w:t>.</w:t>
            </w: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2"/>
        <w:gridCol w:w="661"/>
        <w:gridCol w:w="6447"/>
      </w:tblGrid>
      <w:tr w:rsidR="004966BF" w:rsidRPr="00263255" w:rsidTr="00226304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226304">
        <w:trPr>
          <w:cantSplit/>
        </w:trPr>
        <w:tc>
          <w:tcPr>
            <w:tcW w:w="1496" w:type="dxa"/>
          </w:tcPr>
          <w:p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:rsidR="004966BF" w:rsidRPr="00CE617F" w:rsidRDefault="00BE46C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80E3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17742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7" w:type="dxa"/>
          </w:tcPr>
          <w:p w:rsidR="004966BF" w:rsidRPr="004C23F4" w:rsidRDefault="0017742E" w:rsidP="000F345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Tier I </w:t>
            </w:r>
            <w:r w:rsidR="00480E3F">
              <w:rPr>
                <w:rStyle w:val="checkbox"/>
                <w:rFonts w:ascii="Arial" w:hAnsi="Arial" w:cs="Arial"/>
              </w:rPr>
              <w:t>assessment: A</w:t>
            </w:r>
            <w:r w:rsidRPr="0017742E">
              <w:rPr>
                <w:rStyle w:val="checkbox"/>
                <w:rFonts w:ascii="Arial" w:hAnsi="Arial" w:cs="Arial"/>
              </w:rPr>
              <w:t xml:space="preserve">vailable </w:t>
            </w:r>
            <w:r w:rsidR="00480E3F">
              <w:rPr>
                <w:rStyle w:val="checkbox"/>
                <w:rFonts w:ascii="Arial" w:hAnsi="Arial" w:cs="Arial"/>
              </w:rPr>
              <w:t>d</w:t>
            </w:r>
            <w:r w:rsidR="00480E3F" w:rsidRPr="0017742E">
              <w:rPr>
                <w:rStyle w:val="checkbox"/>
                <w:rFonts w:ascii="Arial" w:hAnsi="Arial" w:cs="Arial"/>
              </w:rPr>
              <w:t xml:space="preserve">ata </w:t>
            </w:r>
            <w:r w:rsidRPr="0017742E">
              <w:rPr>
                <w:rStyle w:val="checkbox"/>
                <w:rFonts w:ascii="Arial" w:hAnsi="Arial" w:cs="Arial"/>
              </w:rPr>
              <w:t>indicate that it may be used in cosmetics</w:t>
            </w:r>
            <w:r w:rsidR="00480E3F">
              <w:rPr>
                <w:rStyle w:val="checkbox"/>
                <w:rFonts w:ascii="Arial" w:hAnsi="Arial" w:cs="Arial"/>
              </w:rPr>
              <w:t>, but only at low concentrations</w:t>
            </w:r>
            <w:r w:rsidR="00DB2AE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:rsidTr="00226304">
        <w:trPr>
          <w:cantSplit/>
        </w:trPr>
        <w:tc>
          <w:tcPr>
            <w:tcW w:w="1496" w:type="dxa"/>
          </w:tcPr>
          <w:p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:rsidR="004966BF" w:rsidRPr="00CE617F" w:rsidRDefault="00BE46C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A0CA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8A0CA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2004</w:t>
            </w:r>
          </w:p>
        </w:tc>
        <w:tc>
          <w:tcPr>
            <w:tcW w:w="6447" w:type="dxa"/>
          </w:tcPr>
          <w:p w:rsidR="004966BF" w:rsidRPr="004C23F4" w:rsidRDefault="008A0CAD" w:rsidP="000F3456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Pr="00E21219">
              <w:rPr>
                <w:rStyle w:val="checkbox"/>
                <w:rFonts w:ascii="Arial" w:hAnsi="Arial" w:cs="Arial"/>
              </w:rPr>
              <w:t>egative results of the carcinogenicity study and of the cell transformation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E21219">
              <w:rPr>
                <w:rStyle w:val="checkbox"/>
                <w:rFonts w:ascii="Arial" w:hAnsi="Arial" w:cs="Arial"/>
              </w:rPr>
              <w:t>assays</w:t>
            </w:r>
            <w:r>
              <w:rPr>
                <w:rStyle w:val="checkbox"/>
                <w:rFonts w:ascii="Arial" w:hAnsi="Arial" w:cs="Arial"/>
              </w:rPr>
              <w:t>, and</w:t>
            </w:r>
            <w:r w:rsidRPr="00E21219">
              <w:rPr>
                <w:rStyle w:val="checkbox"/>
                <w:rFonts w:ascii="Arial" w:hAnsi="Arial" w:cs="Arial"/>
              </w:rPr>
              <w:t xml:space="preserve"> low mutagenic potential only </w:t>
            </w:r>
            <w:r>
              <w:rPr>
                <w:rStyle w:val="checkbox"/>
                <w:rFonts w:ascii="Arial" w:hAnsi="Arial" w:cs="Arial"/>
              </w:rPr>
              <w:t>reported</w:t>
            </w:r>
            <w:r w:rsidRPr="00E21219">
              <w:rPr>
                <w:rStyle w:val="checkbox"/>
                <w:rFonts w:ascii="Arial" w:hAnsi="Arial" w:cs="Arial"/>
              </w:rPr>
              <w:t xml:space="preserve"> at extremely high dose levels </w:t>
            </w:r>
            <w:r>
              <w:rPr>
                <w:rStyle w:val="checkbox"/>
                <w:rFonts w:ascii="Arial" w:hAnsi="Arial" w:cs="Arial"/>
              </w:rPr>
              <w:t>indicate</w:t>
            </w:r>
            <w:r w:rsidRPr="00E21219">
              <w:rPr>
                <w:rStyle w:val="checkbox"/>
                <w:rFonts w:ascii="Arial" w:hAnsi="Arial" w:cs="Arial"/>
              </w:rPr>
              <w:t xml:space="preserve"> there is no concern </w:t>
            </w:r>
            <w:r>
              <w:rPr>
                <w:rStyle w:val="checkbox"/>
                <w:rFonts w:ascii="Arial" w:hAnsi="Arial" w:cs="Arial"/>
              </w:rPr>
              <w:t>for</w:t>
            </w:r>
            <w:r w:rsidRPr="00E21219">
              <w:rPr>
                <w:rStyle w:val="checkbox"/>
                <w:rFonts w:ascii="Arial" w:hAnsi="Arial" w:cs="Arial"/>
              </w:rPr>
              <w:t xml:space="preserve"> carcinogenic </w:t>
            </w:r>
            <w:r>
              <w:rPr>
                <w:rStyle w:val="checkbox"/>
                <w:rFonts w:ascii="Arial" w:hAnsi="Arial" w:cs="Arial"/>
              </w:rPr>
              <w:t>potential</w:t>
            </w:r>
            <w:r w:rsidR="00DB2AE0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Tr="00DB0AD8">
        <w:trPr>
          <w:trHeight w:val="454"/>
          <w:tblHeader/>
        </w:trPr>
        <w:tc>
          <w:tcPr>
            <w:tcW w:w="6603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:rsidR="002E0D61" w:rsidRDefault="00FF78F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:rsidTr="00DB0AD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:rsidR="008A36CF" w:rsidRPr="006901A2" w:rsidRDefault="00FF78F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681A31" w:rsidP="00DD2F9B">
            <w:pPr>
              <w:pStyle w:val="Tablefont"/>
            </w:pPr>
            <w:r>
              <w:t>NA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lastRenderedPageBreak/>
              <w:t>HCIS</w:t>
            </w:r>
          </w:p>
        </w:tc>
        <w:tc>
          <w:tcPr>
            <w:tcW w:w="6015" w:type="dxa"/>
          </w:tcPr>
          <w:p w:rsidR="007925F0" w:rsidRPr="00DD2F9B" w:rsidRDefault="00681A31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681A31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681A31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681A31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681A31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24047C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24047C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681A3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681A3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681A3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p w:rsidR="00932DCE" w:rsidRPr="004C23F4" w:rsidRDefault="00DB2AE0" w:rsidP="00F9496B">
            <w:pPr>
              <w:pStyle w:val="Tablefont"/>
            </w:pPr>
            <w:r w:rsidRPr="00DB2AE0">
              <w:t>Insufficient data to assign a skin notation</w:t>
            </w:r>
            <w:r w:rsidR="006F646A">
              <w:t>.</w:t>
            </w: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24047C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DB2AE0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226304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2A2ADC" w:rsidP="00226304">
                <w:pPr>
                  <w:pStyle w:val="Tablefont"/>
                  <w:keepNext/>
                </w:pPr>
                <w:r w:rsidRPr="002A2ADC">
                  <w:t>292.24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226304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:rsidR="00A31D99" w:rsidRDefault="00A0643F" w:rsidP="00226304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26304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21EF0" w:rsidP="00226304">
                <w:pPr>
                  <w:pStyle w:val="Tablefont"/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26304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226304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26304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226304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226304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BE46C0" w:rsidP="00226304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8A0CAD" w:rsidRDefault="008A0CAD" w:rsidP="008A0CAD">
      <w:r>
        <w:t xml:space="preserve">Deutsche </w:t>
      </w:r>
      <w:proofErr w:type="spellStart"/>
      <w:r>
        <w:t>Forschungsgemeinschaft</w:t>
      </w:r>
      <w:proofErr w:type="spellEnd"/>
      <w:r>
        <w:t xml:space="preserve"> (DFG) (2009) </w:t>
      </w:r>
      <w:proofErr w:type="spellStart"/>
      <w:r w:rsidRPr="0024047C">
        <w:t>Ethylendiamintetraessigsäure</w:t>
      </w:r>
      <w:proofErr w:type="spellEnd"/>
      <w:r w:rsidRPr="0024047C">
        <w:t xml:space="preserve"> (EDTA) und </w:t>
      </w:r>
      <w:proofErr w:type="spellStart"/>
      <w:r w:rsidRPr="0024047C">
        <w:t>ihre</w:t>
      </w:r>
      <w:proofErr w:type="spellEnd"/>
      <w:r w:rsidRPr="0024047C">
        <w:t xml:space="preserve"> </w:t>
      </w:r>
      <w:proofErr w:type="spellStart"/>
      <w:r w:rsidRPr="0024047C">
        <w:t>Alkalisalze</w:t>
      </w:r>
      <w:proofErr w:type="spellEnd"/>
      <w:r>
        <w:t xml:space="preserve"> – MAK value documentation.</w:t>
      </w:r>
    </w:p>
    <w:p w:rsidR="0024047C" w:rsidRDefault="0024047C" w:rsidP="00084859">
      <w:r>
        <w:t xml:space="preserve">European Chemicals Agency (ECHA) (2019) </w:t>
      </w:r>
      <w:r w:rsidRPr="0024047C">
        <w:t>EDTA</w:t>
      </w:r>
      <w:r>
        <w:t xml:space="preserve"> – REACH assessment.</w:t>
      </w:r>
    </w:p>
    <w:p w:rsidR="00DB2AE0" w:rsidRDefault="00DB2AE0" w:rsidP="00DB2AE0">
      <w:r>
        <w:t xml:space="preserve">EU Scientific Committee on Occupational Exposure Limits (SCOEL) (2009) Recommendation from the Scientific Committee on Occupational Exposure Limits for </w:t>
      </w:r>
      <w:proofErr w:type="spellStart"/>
      <w:r>
        <w:t>E</w:t>
      </w:r>
      <w:r w:rsidRPr="0024047C">
        <w:t>detic</w:t>
      </w:r>
      <w:proofErr w:type="spellEnd"/>
      <w:r w:rsidRPr="0024047C">
        <w:t xml:space="preserve"> acid</w:t>
      </w:r>
      <w:r>
        <w:t>. SCOEL/</w:t>
      </w:r>
      <w:r w:rsidRPr="0024047C">
        <w:t>SUM/135</w:t>
      </w:r>
      <w:r>
        <w:t>.</w:t>
      </w:r>
    </w:p>
    <w:p w:rsidR="008A0CAD" w:rsidRDefault="008A0CAD" w:rsidP="008A0CAD">
      <w:r w:rsidRPr="008A0CAD">
        <w:t>National Industrial Chemicals Notification and Assessment Scheme (NICNAS) (</w:t>
      </w:r>
      <w:r>
        <w:t>2018</w:t>
      </w:r>
      <w:r w:rsidRPr="008A0CAD">
        <w:t xml:space="preserve">) </w:t>
      </w:r>
      <w:r>
        <w:rPr>
          <w:rFonts w:cs="Arial"/>
          <w:color w:val="262626"/>
          <w:shd w:val="clear" w:color="auto" w:fill="FFFFFF"/>
        </w:rPr>
        <w:t>Glycine, N</w:t>
      </w:r>
      <w:proofErr w:type="gramStart"/>
      <w:r>
        <w:rPr>
          <w:rFonts w:cs="Arial"/>
          <w:color w:val="262626"/>
          <w:shd w:val="clear" w:color="auto" w:fill="FFFFFF"/>
        </w:rPr>
        <w:t>,N'</w:t>
      </w:r>
      <w:proofErr w:type="gramEnd"/>
      <w:r>
        <w:rPr>
          <w:rFonts w:cs="Arial"/>
          <w:color w:val="262626"/>
          <w:shd w:val="clear" w:color="auto" w:fill="FFFFFF"/>
        </w:rPr>
        <w:t>-1,2-ethanediylbis[N-(</w:t>
      </w:r>
      <w:proofErr w:type="spellStart"/>
      <w:r>
        <w:rPr>
          <w:rFonts w:cs="Arial"/>
          <w:color w:val="262626"/>
          <w:shd w:val="clear" w:color="auto" w:fill="FFFFFF"/>
        </w:rPr>
        <w:t>carboxymethyl</w:t>
      </w:r>
      <w:proofErr w:type="spellEnd"/>
      <w:r>
        <w:rPr>
          <w:rFonts w:cs="Arial"/>
          <w:color w:val="262626"/>
          <w:shd w:val="clear" w:color="auto" w:fill="FFFFFF"/>
        </w:rPr>
        <w:t>)-</w:t>
      </w:r>
      <w:r w:rsidRPr="008A0CAD">
        <w:t xml:space="preserve">: Human health tier </w:t>
      </w:r>
      <w:r>
        <w:t xml:space="preserve">I assessment – IMAP report. </w:t>
      </w:r>
    </w:p>
    <w:p w:rsidR="008A0CAD" w:rsidRPr="00351FE0" w:rsidRDefault="008A0CAD" w:rsidP="008A0CAD">
      <w:r w:rsidRPr="008A0CAD">
        <w:t>Organisation for Economic Cooperation and Development (OECD) (</w:t>
      </w:r>
      <w:r>
        <w:t>2004</w:t>
      </w:r>
      <w:r w:rsidRPr="008A0CAD">
        <w:t xml:space="preserve">) Summary Risk Assessment Report – </w:t>
      </w:r>
      <w:proofErr w:type="spellStart"/>
      <w:r w:rsidRPr="008A0CAD">
        <w:t>Edetic</w:t>
      </w:r>
      <w:proofErr w:type="spellEnd"/>
      <w:r w:rsidRPr="008A0CAD">
        <w:t xml:space="preserve"> Acid (EDTA)</w:t>
      </w:r>
      <w:r w:rsidR="00E507E7">
        <w:t>.</w:t>
      </w:r>
    </w:p>
    <w:p w:rsidR="008A0CAD" w:rsidRPr="00351FE0" w:rsidRDefault="008A0CAD"/>
    <w:sectPr w:rsidR="008A0CAD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C94B6E" w16cid:durableId="216974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4C" w:rsidRDefault="00B1764C" w:rsidP="00F43AD5">
      <w:pPr>
        <w:spacing w:after="0" w:line="240" w:lineRule="auto"/>
      </w:pPr>
      <w:r>
        <w:separator/>
      </w:r>
    </w:p>
  </w:endnote>
  <w:endnote w:type="continuationSeparator" w:id="0">
    <w:p w:rsidR="00B1764C" w:rsidRDefault="00B1764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681A31" w:rsidP="0034744C">
        <w:pPr>
          <w:pStyle w:val="Footer"/>
          <w:rPr>
            <w:sz w:val="18"/>
            <w:szCs w:val="18"/>
          </w:rPr>
        </w:pPr>
        <w:r w:rsidRPr="00681A31">
          <w:rPr>
            <w:b/>
            <w:sz w:val="18"/>
            <w:szCs w:val="18"/>
          </w:rPr>
          <w:t>EDTA</w:t>
        </w:r>
        <w:r w:rsidR="008A36CF">
          <w:rPr>
            <w:b/>
            <w:sz w:val="18"/>
            <w:szCs w:val="18"/>
          </w:rPr>
          <w:t xml:space="preserve"> (</w:t>
        </w:r>
        <w:r w:rsidRPr="00681A31">
          <w:rPr>
            <w:b/>
            <w:sz w:val="18"/>
            <w:szCs w:val="18"/>
          </w:rPr>
          <w:t>60-00-4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E46C0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4C" w:rsidRDefault="00B1764C" w:rsidP="00F43AD5">
      <w:pPr>
        <w:spacing w:after="0" w:line="240" w:lineRule="auto"/>
      </w:pPr>
      <w:r>
        <w:separator/>
      </w:r>
    </w:p>
  </w:footnote>
  <w:footnote w:type="continuationSeparator" w:id="0">
    <w:p w:rsidR="00B1764C" w:rsidRDefault="00B1764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C0" w:rsidRDefault="00BE46C0" w:rsidP="00BE46C0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4455" o:spid="_x0000_s409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Pr="00BE46C0" w:rsidRDefault="008A36CF" w:rsidP="00BE4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C0" w:rsidRDefault="00BE46C0" w:rsidP="00BE46C0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380B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9113C"/>
    <w:multiLevelType w:val="hybridMultilevel"/>
    <w:tmpl w:val="D7D82D82"/>
    <w:lvl w:ilvl="0" w:tplc="58A88F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7204"/>
    <w:multiLevelType w:val="hybridMultilevel"/>
    <w:tmpl w:val="10280E8A"/>
    <w:lvl w:ilvl="0" w:tplc="7AB876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CE6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4B31"/>
    <w:rsid w:val="000E5A54"/>
    <w:rsid w:val="000E63D3"/>
    <w:rsid w:val="000E67CF"/>
    <w:rsid w:val="000F3456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42E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304"/>
    <w:rsid w:val="00227EC7"/>
    <w:rsid w:val="0024047C"/>
    <w:rsid w:val="00244AD1"/>
    <w:rsid w:val="002463BC"/>
    <w:rsid w:val="002465CE"/>
    <w:rsid w:val="0025734A"/>
    <w:rsid w:val="00263255"/>
    <w:rsid w:val="00276494"/>
    <w:rsid w:val="00277B0C"/>
    <w:rsid w:val="002A2ADC"/>
    <w:rsid w:val="002B1A2C"/>
    <w:rsid w:val="002C34F2"/>
    <w:rsid w:val="002C58FF"/>
    <w:rsid w:val="002C7AFE"/>
    <w:rsid w:val="002D05D2"/>
    <w:rsid w:val="002D1F83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094F"/>
    <w:rsid w:val="003D4FA3"/>
    <w:rsid w:val="003E0807"/>
    <w:rsid w:val="003E51FB"/>
    <w:rsid w:val="003E6B39"/>
    <w:rsid w:val="003F07E1"/>
    <w:rsid w:val="003F0932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0E3F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6C5A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3B5B"/>
    <w:rsid w:val="00677D9B"/>
    <w:rsid w:val="00681A31"/>
    <w:rsid w:val="006867F3"/>
    <w:rsid w:val="00687890"/>
    <w:rsid w:val="006901A2"/>
    <w:rsid w:val="00690368"/>
    <w:rsid w:val="0069079C"/>
    <w:rsid w:val="00690B53"/>
    <w:rsid w:val="00695B72"/>
    <w:rsid w:val="006B160A"/>
    <w:rsid w:val="006B1EEC"/>
    <w:rsid w:val="006B4E6C"/>
    <w:rsid w:val="006B50B6"/>
    <w:rsid w:val="006D79EA"/>
    <w:rsid w:val="006E5D05"/>
    <w:rsid w:val="006F646A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2ED9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57A4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6206"/>
    <w:rsid w:val="008A0CAD"/>
    <w:rsid w:val="008A36CF"/>
    <w:rsid w:val="008A3BC4"/>
    <w:rsid w:val="008A5209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6BFE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720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0F5A"/>
    <w:rsid w:val="00AB2672"/>
    <w:rsid w:val="00AB2817"/>
    <w:rsid w:val="00AB43C4"/>
    <w:rsid w:val="00AB5155"/>
    <w:rsid w:val="00AC32E7"/>
    <w:rsid w:val="00AC3A9F"/>
    <w:rsid w:val="00AC6D2F"/>
    <w:rsid w:val="00AD29A9"/>
    <w:rsid w:val="00AE2745"/>
    <w:rsid w:val="00AE2F64"/>
    <w:rsid w:val="00AF42CB"/>
    <w:rsid w:val="00AF483F"/>
    <w:rsid w:val="00AF5E07"/>
    <w:rsid w:val="00AF5F06"/>
    <w:rsid w:val="00B00A25"/>
    <w:rsid w:val="00B1422A"/>
    <w:rsid w:val="00B14AD7"/>
    <w:rsid w:val="00B1764C"/>
    <w:rsid w:val="00B1765C"/>
    <w:rsid w:val="00B20787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46C0"/>
    <w:rsid w:val="00BF2406"/>
    <w:rsid w:val="00C06E43"/>
    <w:rsid w:val="00C16315"/>
    <w:rsid w:val="00C21F3C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59B"/>
    <w:rsid w:val="00D97989"/>
    <w:rsid w:val="00D97D8D"/>
    <w:rsid w:val="00DA352E"/>
    <w:rsid w:val="00DB0AD8"/>
    <w:rsid w:val="00DB2AE0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1219"/>
    <w:rsid w:val="00E21EF0"/>
    <w:rsid w:val="00E26A07"/>
    <w:rsid w:val="00E32595"/>
    <w:rsid w:val="00E37CFD"/>
    <w:rsid w:val="00E41A26"/>
    <w:rsid w:val="00E46BCB"/>
    <w:rsid w:val="00E47726"/>
    <w:rsid w:val="00E507E7"/>
    <w:rsid w:val="00E51C03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25B7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356B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F3456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5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5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B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A28FB"/>
    <w:rsid w:val="002A447D"/>
    <w:rsid w:val="00546AEA"/>
    <w:rsid w:val="00A87195"/>
    <w:rsid w:val="00D21A9F"/>
    <w:rsid w:val="00E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8F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0302F9D7B1C4D87A71A8F53DFA77CC2">
    <w:name w:val="F0302F9D7B1C4D87A71A8F53DFA77CC2"/>
    <w:rsid w:val="00A87195"/>
  </w:style>
  <w:style w:type="paragraph" w:customStyle="1" w:styleId="280E4CFEE97E499C87C9A47A1A8CE6E9">
    <w:name w:val="280E4CFEE97E499C87C9A47A1A8CE6E9"/>
    <w:rsid w:val="00A87195"/>
  </w:style>
  <w:style w:type="paragraph" w:customStyle="1" w:styleId="BFBD9D3A2B5F4240AD79ABF7903B200A">
    <w:name w:val="BFBD9D3A2B5F4240AD79ABF7903B200A"/>
    <w:rsid w:val="00A87195"/>
  </w:style>
  <w:style w:type="paragraph" w:customStyle="1" w:styleId="538D2FFFAFEB4318A06BBEA7771C2BAC">
    <w:name w:val="538D2FFFAFEB4318A06BBEA7771C2BAC"/>
    <w:rsid w:val="00A87195"/>
  </w:style>
  <w:style w:type="paragraph" w:customStyle="1" w:styleId="C3E7ABE2CBB24D36B8821B1CE3B07028">
    <w:name w:val="C3E7ABE2CBB24D36B8821B1CE3B07028"/>
    <w:rsid w:val="00A87195"/>
  </w:style>
  <w:style w:type="paragraph" w:customStyle="1" w:styleId="7C04E4A02BA841A2A63E118DAD6AE48B">
    <w:name w:val="7C04E4A02BA841A2A63E118DAD6AE48B"/>
    <w:rsid w:val="00A87195"/>
  </w:style>
  <w:style w:type="paragraph" w:customStyle="1" w:styleId="BD6F57C1F05B4014B3AE8E28724111F6">
    <w:name w:val="BD6F57C1F05B4014B3AE8E28724111F6"/>
    <w:rsid w:val="00A87195"/>
  </w:style>
  <w:style w:type="paragraph" w:customStyle="1" w:styleId="E1279632B50D4F8D9E6614DE3235EE85">
    <w:name w:val="E1279632B50D4F8D9E6614DE3235EE85"/>
    <w:rsid w:val="001A2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A84B72-64E8-4B21-BF35-9FFC4F569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F143B-615C-4007-8501-6517310A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AD4FE6A9.dotm</Template>
  <TotalTime>386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2019-08-23T02:14:00Z</dcterms:created>
  <dcterms:modified xsi:type="dcterms:W3CDTF">2019-11-07T03:42:00Z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