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71D9D39F" w14:textId="79C383EB" w:rsidR="00BD499F" w:rsidRPr="004C23F4" w:rsidRDefault="00D52DB6" w:rsidP="00D52DB6">
          <w:pPr>
            <w:pStyle w:val="Heading1"/>
            <w:jc w:val="center"/>
            <w:rPr>
              <w:rFonts w:ascii="Arial" w:hAnsi="Arial" w:cs="Arial"/>
            </w:rPr>
          </w:pPr>
          <w:r w:rsidRPr="00D52DB6">
            <w:rPr>
              <w:rFonts w:ascii="Arial" w:hAnsi="Arial" w:cs="Arial"/>
            </w:rPr>
            <w:t>Diacetyl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2"/>
        <w:gridCol w:w="5044"/>
      </w:tblGrid>
      <w:tr w:rsidR="00F43AD5" w:rsidRPr="004C23F4" w14:paraId="07EADD98" w14:textId="77777777" w:rsidTr="00B76A41">
        <w:trPr>
          <w:cantSplit/>
          <w:tblHeader/>
        </w:trPr>
        <w:tc>
          <w:tcPr>
            <w:tcW w:w="4077" w:type="dxa"/>
          </w:tcPr>
          <w:p w14:paraId="4C9872F3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0F7EA0C8" w14:textId="184886FF" w:rsidR="00F43AD5" w:rsidRPr="00717D45" w:rsidRDefault="00D52DB6" w:rsidP="00B76A41">
            <w:pPr>
              <w:pStyle w:val="Tablefont"/>
            </w:pPr>
            <w:r w:rsidRPr="00D52DB6">
              <w:t>431-03-8</w:t>
            </w:r>
          </w:p>
        </w:tc>
      </w:tr>
      <w:tr w:rsidR="00F43AD5" w:rsidRPr="00560FA9" w14:paraId="45B8C782" w14:textId="77777777" w:rsidTr="00B76A41">
        <w:trPr>
          <w:cantSplit/>
        </w:trPr>
        <w:tc>
          <w:tcPr>
            <w:tcW w:w="4077" w:type="dxa"/>
          </w:tcPr>
          <w:p w14:paraId="5843C7E4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3B584E18" w14:textId="13C38C8F" w:rsidR="00F43AD5" w:rsidRPr="00CF6464" w:rsidRDefault="00D52DB6" w:rsidP="0095663E">
            <w:pPr>
              <w:pStyle w:val="Tablefont"/>
              <w:rPr>
                <w:lang w:val="it-IT"/>
              </w:rPr>
            </w:pPr>
            <w:r w:rsidRPr="00CF6464">
              <w:rPr>
                <w:lang w:val="it-IT"/>
              </w:rPr>
              <w:t>Biacetyl, 2,3-</w:t>
            </w:r>
            <w:r w:rsidR="0095663E">
              <w:rPr>
                <w:lang w:val="it-IT"/>
              </w:rPr>
              <w:t>b</w:t>
            </w:r>
            <w:r w:rsidRPr="00CF6464">
              <w:rPr>
                <w:lang w:val="it-IT"/>
              </w:rPr>
              <w:t xml:space="preserve">utanedione, </w:t>
            </w:r>
            <w:r w:rsidR="0095663E">
              <w:rPr>
                <w:lang w:val="it-IT"/>
              </w:rPr>
              <w:t>d</w:t>
            </w:r>
            <w:r w:rsidRPr="00CF6464">
              <w:rPr>
                <w:lang w:val="it-IT"/>
              </w:rPr>
              <w:t xml:space="preserve">imethylglyoxal, </w:t>
            </w:r>
            <w:r w:rsidR="0095663E">
              <w:rPr>
                <w:lang w:val="it-IT"/>
              </w:rPr>
              <w:br/>
              <w:t>d</w:t>
            </w:r>
            <w:r w:rsidRPr="00CF6464">
              <w:rPr>
                <w:lang w:val="it-IT"/>
              </w:rPr>
              <w:t>imethyl diketone, 2,3-</w:t>
            </w:r>
            <w:r w:rsidR="0095663E">
              <w:rPr>
                <w:lang w:val="it-IT"/>
              </w:rPr>
              <w:t>d</w:t>
            </w:r>
            <w:r w:rsidRPr="00CF6464">
              <w:rPr>
                <w:lang w:val="it-IT"/>
              </w:rPr>
              <w:t>iketobutane</w:t>
            </w:r>
          </w:p>
        </w:tc>
      </w:tr>
      <w:tr w:rsidR="00F43AD5" w:rsidRPr="004C23F4" w14:paraId="63297B8D" w14:textId="77777777" w:rsidTr="00B76A41">
        <w:trPr>
          <w:cantSplit/>
        </w:trPr>
        <w:tc>
          <w:tcPr>
            <w:tcW w:w="4077" w:type="dxa"/>
          </w:tcPr>
          <w:p w14:paraId="5CCAA96E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65D2CDAE" w14:textId="0A3DC3EE" w:rsidR="00F43AD5" w:rsidRPr="00717D45" w:rsidRDefault="00D52DB6" w:rsidP="00B76A41">
            <w:pPr>
              <w:pStyle w:val="Tablefont"/>
            </w:pPr>
            <w:r>
              <w:t>C</w:t>
            </w:r>
            <w:r w:rsidRPr="00D52DB6">
              <w:rPr>
                <w:vertAlign w:val="subscript"/>
              </w:rPr>
              <w:t>4</w:t>
            </w:r>
            <w:r>
              <w:t>H</w:t>
            </w:r>
            <w:r w:rsidRPr="00D52DB6">
              <w:rPr>
                <w:vertAlign w:val="subscript"/>
              </w:rPr>
              <w:t>6</w:t>
            </w:r>
            <w:r>
              <w:t>O</w:t>
            </w:r>
            <w:r w:rsidRPr="00D52DB6">
              <w:rPr>
                <w:vertAlign w:val="subscript"/>
              </w:rPr>
              <w:t>2</w:t>
            </w:r>
          </w:p>
        </w:tc>
      </w:tr>
      <w:tr w:rsidR="00F43AD5" w:rsidRPr="004C23F4" w14:paraId="08FB4C0D" w14:textId="77777777" w:rsidTr="00B76A41">
        <w:trPr>
          <w:cantSplit/>
        </w:trPr>
        <w:tc>
          <w:tcPr>
            <w:tcW w:w="4077" w:type="dxa"/>
          </w:tcPr>
          <w:p w14:paraId="4975CD47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4750FCB3" w14:textId="2735DFD0" w:rsidR="00F43AD5" w:rsidRPr="00B40C60" w:rsidRDefault="00D52DB6" w:rsidP="00B76A41">
            <w:pPr>
              <w:pStyle w:val="Tablerowheading"/>
              <w:rPr>
                <w:b w:val="0"/>
              </w:rPr>
            </w:pPr>
            <w:r>
              <w:t>—</w:t>
            </w:r>
          </w:p>
        </w:tc>
      </w:tr>
    </w:tbl>
    <w:p w14:paraId="2BA14D37" w14:textId="1AF0C3A1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343A9F">
            <w:rPr>
              <w:rStyle w:val="WESstatus"/>
            </w:rPr>
            <w:t>(new)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04E66C68" w14:textId="77777777" w:rsidTr="00013647">
        <w:trPr>
          <w:cantSplit/>
          <w:tblHeader/>
        </w:trPr>
        <w:tc>
          <w:tcPr>
            <w:tcW w:w="4005" w:type="dxa"/>
            <w:vAlign w:val="center"/>
          </w:tcPr>
          <w:p w14:paraId="661BFD30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5ACCFBD8" w14:textId="70061D19" w:rsidR="002C7AFE" w:rsidRPr="00F14FFE" w:rsidRDefault="00F14FFE" w:rsidP="0053545E">
            <w:pPr>
              <w:pStyle w:val="Tablefont"/>
              <w:rPr>
                <w:b/>
              </w:rPr>
            </w:pPr>
            <w:r w:rsidRPr="00F14FFE">
              <w:rPr>
                <w:b/>
              </w:rPr>
              <w:t>0.0</w:t>
            </w:r>
            <w:r w:rsidR="0053545E">
              <w:rPr>
                <w:b/>
              </w:rPr>
              <w:t>1</w:t>
            </w:r>
            <w:r w:rsidRPr="00F14FFE">
              <w:rPr>
                <w:b/>
              </w:rPr>
              <w:t xml:space="preserve"> ppm (0.0</w:t>
            </w:r>
            <w:r w:rsidR="0053545E">
              <w:rPr>
                <w:b/>
              </w:rPr>
              <w:t>4</w:t>
            </w:r>
            <w:r w:rsidRPr="00F14FFE">
              <w:rPr>
                <w:b/>
              </w:rPr>
              <w:t xml:space="preserve"> mg/m</w:t>
            </w:r>
            <w:r w:rsidRPr="00F14FFE">
              <w:rPr>
                <w:b/>
                <w:vertAlign w:val="superscript"/>
              </w:rPr>
              <w:t>3</w:t>
            </w:r>
            <w:r w:rsidRPr="00F14FFE">
              <w:rPr>
                <w:b/>
              </w:rPr>
              <w:t>)</w:t>
            </w:r>
          </w:p>
        </w:tc>
      </w:tr>
      <w:tr w:rsidR="002C7AFE" w:rsidRPr="004C23F4" w14:paraId="29C545EF" w14:textId="77777777" w:rsidTr="00013647">
        <w:trPr>
          <w:cantSplit/>
        </w:trPr>
        <w:tc>
          <w:tcPr>
            <w:tcW w:w="4005" w:type="dxa"/>
            <w:vAlign w:val="center"/>
          </w:tcPr>
          <w:p w14:paraId="16D98A94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32A61D78" w14:textId="19EC3224" w:rsidR="002C7AFE" w:rsidRPr="00EB3D1B" w:rsidRDefault="00EB6E9B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0.0</w:t>
            </w:r>
            <w:r w:rsidR="009933E2">
              <w:rPr>
                <w:b/>
              </w:rPr>
              <w:t>2</w:t>
            </w:r>
            <w:r>
              <w:rPr>
                <w:b/>
              </w:rPr>
              <w:t xml:space="preserve"> ppm (0.</w:t>
            </w:r>
            <w:r w:rsidR="009933E2">
              <w:rPr>
                <w:b/>
              </w:rPr>
              <w:t>07</w:t>
            </w:r>
            <w:r w:rsidR="00F50785" w:rsidRPr="00F50785">
              <w:rPr>
                <w:b/>
              </w:rPr>
              <w:t xml:space="preserve"> mg/m</w:t>
            </w:r>
            <w:r w:rsidR="00F50785" w:rsidRPr="00F50785">
              <w:rPr>
                <w:b/>
                <w:vertAlign w:val="superscript"/>
              </w:rPr>
              <w:t>3</w:t>
            </w:r>
            <w:r w:rsidR="00F50785" w:rsidRPr="00F50785">
              <w:rPr>
                <w:b/>
              </w:rPr>
              <w:t>)</w:t>
            </w:r>
          </w:p>
        </w:tc>
      </w:tr>
      <w:tr w:rsidR="002C7AFE" w:rsidRPr="004C23F4" w14:paraId="2BD15977" w14:textId="77777777" w:rsidTr="00013647">
        <w:trPr>
          <w:cantSplit/>
        </w:trPr>
        <w:tc>
          <w:tcPr>
            <w:tcW w:w="4005" w:type="dxa"/>
            <w:vAlign w:val="center"/>
          </w:tcPr>
          <w:p w14:paraId="1018A44A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1C6362C8" w14:textId="46339BAC" w:rsidR="002C7AFE" w:rsidRPr="00EB3D1B" w:rsidRDefault="00F14FFE" w:rsidP="00017C82">
            <w:pPr>
              <w:pStyle w:val="Tablefont"/>
              <w:rPr>
                <w:b/>
              </w:rPr>
            </w:pPr>
            <w:r>
              <w:t>—</w:t>
            </w:r>
          </w:p>
        </w:tc>
      </w:tr>
      <w:tr w:rsidR="002C7AFE" w:rsidRPr="004C23F4" w14:paraId="68FCFE93" w14:textId="77777777" w:rsidTr="00013647">
        <w:trPr>
          <w:cantSplit/>
        </w:trPr>
        <w:tc>
          <w:tcPr>
            <w:tcW w:w="4005" w:type="dxa"/>
          </w:tcPr>
          <w:p w14:paraId="1961F6A9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5E406F5C" w14:textId="1E1FFAE0" w:rsidR="002C7AFE" w:rsidRPr="00EB3D1B" w:rsidRDefault="00F14FFE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Sk</w:t>
            </w:r>
            <w:r w:rsidR="0074009A">
              <w:rPr>
                <w:b/>
              </w:rPr>
              <w:t>.</w:t>
            </w:r>
          </w:p>
        </w:tc>
      </w:tr>
      <w:tr w:rsidR="002C7AFE" w:rsidRPr="004C23F4" w14:paraId="0ED2296B" w14:textId="77777777" w:rsidTr="00013647">
        <w:trPr>
          <w:cantSplit/>
        </w:trPr>
        <w:tc>
          <w:tcPr>
            <w:tcW w:w="4005" w:type="dxa"/>
            <w:vAlign w:val="center"/>
          </w:tcPr>
          <w:p w14:paraId="4CBF4BA8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61C64857" w14:textId="1B1D5333" w:rsidR="002C7AFE" w:rsidRPr="00EB3D1B" w:rsidRDefault="00D52DB6" w:rsidP="00017C82">
            <w:pPr>
              <w:pStyle w:val="Tablefont"/>
              <w:rPr>
                <w:b/>
              </w:rPr>
            </w:pPr>
            <w:r>
              <w:t>—</w:t>
            </w:r>
          </w:p>
        </w:tc>
      </w:tr>
      <w:tr w:rsidR="00013647" w:rsidRPr="004C23F4" w14:paraId="276BD5EF" w14:textId="77777777" w:rsidTr="00303147">
        <w:trPr>
          <w:cantSplit/>
        </w:trPr>
        <w:tc>
          <w:tcPr>
            <w:tcW w:w="9026" w:type="dxa"/>
            <w:gridSpan w:val="2"/>
            <w:vAlign w:val="center"/>
          </w:tcPr>
          <w:p w14:paraId="1D4627A6" w14:textId="79A38147" w:rsidR="00013647" w:rsidRPr="00EB3D1B" w:rsidRDefault="00013647" w:rsidP="00017C82">
            <w:pPr>
              <w:pStyle w:val="Tablefont"/>
              <w:rPr>
                <w:b/>
              </w:rPr>
            </w:pPr>
            <w:r w:rsidRPr="00A45F97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FECD6BFB531445349DD0097B5D32717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A45F97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6EFB085D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1DF4C7F9" w14:textId="0C0E3718" w:rsidR="00E344AD" w:rsidRDefault="00E344AD" w:rsidP="00E344AD">
      <w:pPr>
        <w:rPr>
          <w:rFonts w:cs="Arial"/>
        </w:rPr>
      </w:pPr>
      <w:r w:rsidRPr="00F37E07">
        <w:rPr>
          <w:rFonts w:cs="Arial"/>
        </w:rPr>
        <w:t xml:space="preserve">A TWA of </w:t>
      </w:r>
      <w:r w:rsidRPr="00451F87">
        <w:rPr>
          <w:rFonts w:cs="Arial"/>
        </w:rPr>
        <w:t>0.0</w:t>
      </w:r>
      <w:r w:rsidR="00EB6E9B">
        <w:rPr>
          <w:rFonts w:cs="Arial"/>
        </w:rPr>
        <w:t>1</w:t>
      </w:r>
      <w:r w:rsidRPr="00451F87">
        <w:rPr>
          <w:rFonts w:cs="Arial"/>
        </w:rPr>
        <w:t xml:space="preserve"> </w:t>
      </w:r>
      <w:r w:rsidR="00EB6E9B">
        <w:rPr>
          <w:rFonts w:cs="Arial"/>
        </w:rPr>
        <w:t>ppm (0.04</w:t>
      </w:r>
      <w:r>
        <w:rPr>
          <w:rFonts w:cs="Arial"/>
        </w:rPr>
        <w:t xml:space="preserve"> </w:t>
      </w:r>
      <w:r w:rsidRPr="00451F87">
        <w:rPr>
          <w:rFonts w:cs="Arial"/>
        </w:rPr>
        <w:t>mg/m</w:t>
      </w:r>
      <w:r w:rsidRPr="00451F87">
        <w:rPr>
          <w:rFonts w:cs="Arial"/>
          <w:vertAlign w:val="superscript"/>
        </w:rPr>
        <w:t>3</w:t>
      </w:r>
      <w:r w:rsidR="00EB6E9B">
        <w:rPr>
          <w:rFonts w:cs="Arial"/>
        </w:rPr>
        <w:t>) and a STEL of 0.0</w:t>
      </w:r>
      <w:r w:rsidR="009933E2">
        <w:rPr>
          <w:rFonts w:cs="Arial"/>
        </w:rPr>
        <w:t>2</w:t>
      </w:r>
      <w:r>
        <w:rPr>
          <w:rFonts w:cs="Arial"/>
        </w:rPr>
        <w:t xml:space="preserve"> ppm </w:t>
      </w:r>
      <w:r w:rsidR="00EB6E9B">
        <w:rPr>
          <w:rFonts w:cs="Arial"/>
        </w:rPr>
        <w:t>(0.</w:t>
      </w:r>
      <w:r w:rsidR="009933E2">
        <w:rPr>
          <w:rFonts w:cs="Arial"/>
        </w:rPr>
        <w:t>07</w:t>
      </w:r>
      <w:r w:rsidRPr="00E344AD">
        <w:rPr>
          <w:rFonts w:cs="Arial"/>
        </w:rPr>
        <w:t xml:space="preserve"> mg/m</w:t>
      </w:r>
      <w:r w:rsidRPr="00EB6E9B">
        <w:rPr>
          <w:rFonts w:cs="Arial"/>
          <w:vertAlign w:val="superscript"/>
        </w:rPr>
        <w:t>3</w:t>
      </w:r>
      <w:r w:rsidRPr="00E344AD">
        <w:rPr>
          <w:rFonts w:cs="Arial"/>
        </w:rPr>
        <w:t>)</w:t>
      </w:r>
      <w:r w:rsidRPr="00F37E07">
        <w:rPr>
          <w:rFonts w:cs="Arial"/>
        </w:rPr>
        <w:t xml:space="preserve"> </w:t>
      </w:r>
      <w:r w:rsidR="008931D1">
        <w:rPr>
          <w:rFonts w:cs="Arial"/>
        </w:rPr>
        <w:t>are</w:t>
      </w:r>
      <w:r w:rsidRPr="00F37E07">
        <w:rPr>
          <w:rFonts w:cs="Arial"/>
        </w:rPr>
        <w:t xml:space="preserve"> recommended to protect </w:t>
      </w:r>
      <w:r w:rsidR="00E1092C">
        <w:rPr>
          <w:rFonts w:cs="Arial"/>
        </w:rPr>
        <w:t xml:space="preserve">for </w:t>
      </w:r>
      <w:r w:rsidR="001B53CC">
        <w:rPr>
          <w:rFonts w:cs="Arial"/>
        </w:rPr>
        <w:t xml:space="preserve">lung damage </w:t>
      </w:r>
      <w:r w:rsidR="00DB2E6D">
        <w:rPr>
          <w:rFonts w:cs="Arial"/>
        </w:rPr>
        <w:t xml:space="preserve">in </w:t>
      </w:r>
      <w:r w:rsidR="00E1092C">
        <w:rPr>
          <w:rFonts w:cs="Arial"/>
        </w:rPr>
        <w:t>exposed workers</w:t>
      </w:r>
      <w:r>
        <w:rPr>
          <w:rFonts w:cs="Arial"/>
        </w:rPr>
        <w:t>.</w:t>
      </w:r>
    </w:p>
    <w:p w14:paraId="6B6819D9" w14:textId="5C2E4243" w:rsidR="007E45DB" w:rsidRPr="004C23F4" w:rsidRDefault="008931D1" w:rsidP="00E344AD">
      <w:pPr>
        <w:rPr>
          <w:rFonts w:cs="Arial"/>
        </w:rPr>
      </w:pPr>
      <w:r w:rsidRPr="008931D1">
        <w:rPr>
          <w:rFonts w:cs="Arial"/>
        </w:rPr>
        <w:t>Given the limited data available from the primary sources, it is recommended that a review of additional sources be conduct</w:t>
      </w:r>
      <w:r>
        <w:rPr>
          <w:rFonts w:cs="Arial"/>
        </w:rPr>
        <w:t>ed at the next scheduled review</w:t>
      </w:r>
      <w:r w:rsidR="007E45DB" w:rsidRPr="007E45DB">
        <w:rPr>
          <w:rFonts w:cs="Arial"/>
        </w:rPr>
        <w:t>.</w:t>
      </w:r>
    </w:p>
    <w:p w14:paraId="6249044F" w14:textId="77777777" w:rsidR="00C7155E" w:rsidRPr="004C23F4" w:rsidRDefault="00F10C97" w:rsidP="003365A5">
      <w:pPr>
        <w:pStyle w:val="Heading2"/>
      </w:pPr>
      <w:r>
        <w:t>Discussion and conclusions</w:t>
      </w:r>
    </w:p>
    <w:p w14:paraId="26373CBE" w14:textId="4446BB2D" w:rsidR="006639B4" w:rsidRDefault="00DB2E6D" w:rsidP="006639B4">
      <w:proofErr w:type="spellStart"/>
      <w:r>
        <w:t>Diacetyl</w:t>
      </w:r>
      <w:proofErr w:type="spellEnd"/>
      <w:r>
        <w:t xml:space="preserve"> is a naturally occurring chemical found in butter, caramel and coffee. It is an aromatic component in tobacco smoke and occurs in fermented pr</w:t>
      </w:r>
      <w:r w:rsidR="00C46C6A">
        <w:t xml:space="preserve">oducts including beer and wine. </w:t>
      </w:r>
      <w:r>
        <w:t>Commercially</w:t>
      </w:r>
      <w:r w:rsidR="008931D1">
        <w:t>,</w:t>
      </w:r>
      <w:r>
        <w:t xml:space="preserve"> it is used a food additive where it is </w:t>
      </w:r>
      <w:r w:rsidR="00CF6464">
        <w:t xml:space="preserve">used </w:t>
      </w:r>
      <w:r>
        <w:t>for its buttery flavour.</w:t>
      </w:r>
    </w:p>
    <w:p w14:paraId="396333BD" w14:textId="66928830" w:rsidR="00A6572D" w:rsidRDefault="00DB2E6D" w:rsidP="00DB2E6D">
      <w:r>
        <w:t xml:space="preserve">The critical eﬀects of exposure to </w:t>
      </w:r>
      <w:proofErr w:type="spellStart"/>
      <w:r>
        <w:t>diacetyl</w:t>
      </w:r>
      <w:proofErr w:type="spellEnd"/>
      <w:r>
        <w:t xml:space="preserve"> were subclinical change</w:t>
      </w:r>
      <w:r w:rsidR="008931D1">
        <w:t>s</w:t>
      </w:r>
      <w:r>
        <w:t xml:space="preserve"> in lung function, airway obstruction and </w:t>
      </w:r>
      <w:r w:rsidR="00C46C6A">
        <w:t xml:space="preserve">irreversible </w:t>
      </w:r>
      <w:r>
        <w:t>bronchiolitis obliterans,</w:t>
      </w:r>
      <w:r w:rsidR="00A6572D">
        <w:t xml:space="preserve"> </w:t>
      </w:r>
      <w:r>
        <w:t>which</w:t>
      </w:r>
      <w:r w:rsidR="00841A46">
        <w:t xml:space="preserve"> in some,</w:t>
      </w:r>
      <w:r w:rsidR="00A6572D">
        <w:t xml:space="preserve"> </w:t>
      </w:r>
      <w:r>
        <w:t>led</w:t>
      </w:r>
      <w:r w:rsidR="00A6572D">
        <w:t xml:space="preserve"> </w:t>
      </w:r>
      <w:r>
        <w:t>to</w:t>
      </w:r>
      <w:r w:rsidR="00A6572D">
        <w:t xml:space="preserve"> death </w:t>
      </w:r>
      <w:r>
        <w:t>or</w:t>
      </w:r>
      <w:r w:rsidR="00A6572D">
        <w:t xml:space="preserve"> </w:t>
      </w:r>
      <w:r>
        <w:t>lung</w:t>
      </w:r>
      <w:r w:rsidR="00A6572D">
        <w:t xml:space="preserve"> transplant (DFG, 2014)</w:t>
      </w:r>
      <w:r>
        <w:t>.</w:t>
      </w:r>
      <w:r w:rsidR="00A6572D">
        <w:t xml:space="preserve"> </w:t>
      </w:r>
      <w:r w:rsidR="00EB6E9B">
        <w:t xml:space="preserve">Exposure to vapour in an occupational setting </w:t>
      </w:r>
      <w:r w:rsidR="008931D1">
        <w:t>causes</w:t>
      </w:r>
      <w:r w:rsidR="00EB6E9B">
        <w:t xml:space="preserve"> irritation of the eyes, skin, nose and throat. A </w:t>
      </w:r>
      <w:r w:rsidR="00E92197">
        <w:t xml:space="preserve">NOAEC </w:t>
      </w:r>
      <w:r w:rsidR="00EB6E9B">
        <w:t>of 0.02 ppm was identified in popcorn workers for airway obstruction</w:t>
      </w:r>
      <w:r w:rsidR="00E92197">
        <w:t xml:space="preserve"> (DFG, 2014)</w:t>
      </w:r>
      <w:r w:rsidR="00EB6E9B">
        <w:t xml:space="preserve">. </w:t>
      </w:r>
      <w:r w:rsidR="00E92197">
        <w:t xml:space="preserve">This was extrapolated </w:t>
      </w:r>
      <w:r w:rsidR="001668ED">
        <w:t>from a</w:t>
      </w:r>
      <w:r w:rsidR="00E92197">
        <w:t xml:space="preserve"> </w:t>
      </w:r>
      <w:r w:rsidR="001668ED">
        <w:t xml:space="preserve">cumulative </w:t>
      </w:r>
      <w:r w:rsidR="00A6572D">
        <w:t>NOAEL</w:t>
      </w:r>
      <w:r w:rsidR="00BA1728">
        <w:t>s</w:t>
      </w:r>
      <w:r w:rsidR="00A6572D">
        <w:t xml:space="preserve"> of 0.65 </w:t>
      </w:r>
      <w:r w:rsidR="00C46C6A">
        <w:t>ppm-</w:t>
      </w:r>
      <w:r w:rsidR="00C46C6A" w:rsidRPr="008931D1">
        <w:t>years</w:t>
      </w:r>
      <w:r w:rsidR="00C46C6A">
        <w:t xml:space="preserve"> </w:t>
      </w:r>
      <w:r w:rsidR="00BA1728">
        <w:t>and 0.8 ppm</w:t>
      </w:r>
      <w:r w:rsidR="008931D1">
        <w:t xml:space="preserve">-years </w:t>
      </w:r>
      <w:r w:rsidR="001668ED">
        <w:t xml:space="preserve">over </w:t>
      </w:r>
      <w:r w:rsidR="008931D1">
        <w:t>40 </w:t>
      </w:r>
      <w:r w:rsidR="001668ED">
        <w:t>years to</w:t>
      </w:r>
      <w:r w:rsidR="00AD5C45">
        <w:t xml:space="preserve"> </w:t>
      </w:r>
      <w:r w:rsidR="00EB6E9B">
        <w:t>concentration</w:t>
      </w:r>
      <w:r w:rsidR="008931D1">
        <w:t>s</w:t>
      </w:r>
      <w:r w:rsidR="00B01474">
        <w:t xml:space="preserve"> of 0.016 ppm </w:t>
      </w:r>
      <w:r w:rsidR="00BA1728">
        <w:t>and 0.02 ppm</w:t>
      </w:r>
      <w:r w:rsidR="008931D1">
        <w:t>,</w:t>
      </w:r>
      <w:r w:rsidR="00BA1728">
        <w:t xml:space="preserve"> respectively </w:t>
      </w:r>
      <w:r w:rsidR="00B01474">
        <w:t>(DFG, 2014).</w:t>
      </w:r>
      <w:r w:rsidR="00C46C6A">
        <w:t xml:space="preserve"> </w:t>
      </w:r>
      <w:r w:rsidR="005528BC">
        <w:t>ACGIH (2018) recommend</w:t>
      </w:r>
      <w:r w:rsidR="008931D1">
        <w:t>ed</w:t>
      </w:r>
      <w:r w:rsidR="005528BC">
        <w:t xml:space="preserve"> a TLV-TWA of 0.01 ppm</w:t>
      </w:r>
      <w:r w:rsidR="00FC0A02">
        <w:t xml:space="preserve"> in 2012</w:t>
      </w:r>
      <w:r w:rsidR="005528BC">
        <w:t xml:space="preserve"> based on the same </w:t>
      </w:r>
      <w:r w:rsidR="00FC0A02">
        <w:t>study later referenced by</w:t>
      </w:r>
      <w:r w:rsidR="005528BC">
        <w:t xml:space="preserve"> the DFG (2014). Based on th</w:t>
      </w:r>
      <w:r w:rsidR="00952BE1">
        <w:t>e weight of evidence</w:t>
      </w:r>
      <w:r w:rsidR="005528BC">
        <w:t xml:space="preserve"> and </w:t>
      </w:r>
      <w:r w:rsidR="009E2848">
        <w:t xml:space="preserve">applying caution due to </w:t>
      </w:r>
      <w:r w:rsidR="005528BC">
        <w:t>the severity of potential outcome, a</w:t>
      </w:r>
      <w:r w:rsidR="00EB6E9B">
        <w:t xml:space="preserve"> TWA of 0.01 ppm (0.04</w:t>
      </w:r>
      <w:r w:rsidR="003501DD">
        <w:t> </w:t>
      </w:r>
      <w:r w:rsidR="00EB6E9B">
        <w:t>mg/m</w:t>
      </w:r>
      <w:r w:rsidR="00EB6E9B">
        <w:rPr>
          <w:vertAlign w:val="superscript"/>
        </w:rPr>
        <w:t>3</w:t>
      </w:r>
      <w:r w:rsidR="00EB6E9B">
        <w:t>)</w:t>
      </w:r>
      <w:r w:rsidR="00C35635">
        <w:t xml:space="preserve"> </w:t>
      </w:r>
      <w:r w:rsidR="005528BC">
        <w:t>is recommended.</w:t>
      </w:r>
    </w:p>
    <w:p w14:paraId="0931F15F" w14:textId="32F06D98" w:rsidR="0074009A" w:rsidRPr="00A6572D" w:rsidRDefault="007E45DB" w:rsidP="00DB2E6D">
      <w:r>
        <w:t xml:space="preserve">Reports of </w:t>
      </w:r>
      <w:r w:rsidR="008D0FD4">
        <w:t>short-term</w:t>
      </w:r>
      <w:r w:rsidR="0074009A">
        <w:t xml:space="preserve"> onset of respiratory symptoms highlight the importance of a STEL in protecting against the onset of symptoms.</w:t>
      </w:r>
      <w:r w:rsidR="009933E2">
        <w:t xml:space="preserve"> </w:t>
      </w:r>
      <w:r w:rsidR="00C819CB">
        <w:t>The ACGIH (2018) have</w:t>
      </w:r>
      <w:r>
        <w:t xml:space="preserve"> recommended a STEL of 0.02 ppm with limited explanation.</w:t>
      </w:r>
      <w:r w:rsidR="00A45F97">
        <w:t xml:space="preserve"> </w:t>
      </w:r>
      <w:r w:rsidR="00955A86">
        <w:t>A</w:t>
      </w:r>
      <w:r>
        <w:t xml:space="preserve"> STEL of 0.02 ppm </w:t>
      </w:r>
      <w:r w:rsidR="008931D1">
        <w:t>is</w:t>
      </w:r>
      <w:r>
        <w:t xml:space="preserve"> recommended as a precautionary measure with a review of the data recommended at the next scheduled review.</w:t>
      </w:r>
    </w:p>
    <w:p w14:paraId="30220A09" w14:textId="77777777" w:rsidR="004529F0" w:rsidRPr="004C23F4" w:rsidRDefault="004529F0" w:rsidP="004529F0">
      <w:pPr>
        <w:pStyle w:val="Heading2"/>
      </w:pPr>
      <w:r>
        <w:lastRenderedPageBreak/>
        <w:t>Recommendation for notations</w:t>
      </w:r>
    </w:p>
    <w:p w14:paraId="11E0208C" w14:textId="729314A5" w:rsidR="00D52DB6" w:rsidRPr="00D52DB6" w:rsidRDefault="00D52DB6" w:rsidP="00D52DB6">
      <w:pPr>
        <w:rPr>
          <w:rFonts w:cs="Arial"/>
        </w:rPr>
      </w:pPr>
      <w:r w:rsidRPr="00D52DB6">
        <w:rPr>
          <w:rFonts w:cs="Arial"/>
        </w:rPr>
        <w:t xml:space="preserve">Not classified as a carcinogen according to the Globally Harmonized System of Classification and Labelling </w:t>
      </w:r>
      <w:r w:rsidR="00E1092C" w:rsidRPr="00D52DB6">
        <w:rPr>
          <w:rFonts w:cs="Arial"/>
        </w:rPr>
        <w:t>o</w:t>
      </w:r>
      <w:r w:rsidR="00E1092C">
        <w:rPr>
          <w:rFonts w:cs="Arial"/>
        </w:rPr>
        <w:t>f</w:t>
      </w:r>
      <w:r w:rsidR="00E1092C" w:rsidRPr="00D52DB6">
        <w:rPr>
          <w:rFonts w:cs="Arial"/>
        </w:rPr>
        <w:t xml:space="preserve"> </w:t>
      </w:r>
      <w:r w:rsidRPr="00D52DB6">
        <w:rPr>
          <w:rFonts w:cs="Arial"/>
        </w:rPr>
        <w:t xml:space="preserve">Chemicals (GHS). </w:t>
      </w:r>
    </w:p>
    <w:p w14:paraId="5E4D5228" w14:textId="43FE529F" w:rsidR="00D52DB6" w:rsidRPr="00D52DB6" w:rsidRDefault="00D52DB6" w:rsidP="00D52DB6">
      <w:pPr>
        <w:rPr>
          <w:rFonts w:cs="Arial"/>
        </w:rPr>
      </w:pPr>
      <w:r w:rsidRPr="00D52DB6">
        <w:rPr>
          <w:rFonts w:cs="Arial"/>
        </w:rPr>
        <w:t>Not classified as a skin</w:t>
      </w:r>
      <w:r w:rsidR="00E1092C">
        <w:rPr>
          <w:rFonts w:cs="Arial"/>
        </w:rPr>
        <w:t xml:space="preserve"> sensitiser</w:t>
      </w:r>
      <w:r w:rsidRPr="00D52DB6">
        <w:rPr>
          <w:rFonts w:cs="Arial"/>
        </w:rPr>
        <w:t xml:space="preserve"> or respiratory sensitiser according to the GHS.</w:t>
      </w:r>
    </w:p>
    <w:p w14:paraId="7BD22366" w14:textId="78D5BF79" w:rsidR="00ED0442" w:rsidRPr="004C23F4" w:rsidRDefault="00ED0442" w:rsidP="00ED0442">
      <w:pPr>
        <w:rPr>
          <w:rFonts w:cs="Arial"/>
        </w:rPr>
      </w:pPr>
      <w:r>
        <w:rPr>
          <w:rFonts w:cs="Arial"/>
        </w:rPr>
        <w:t>A skin notation is recommended based on human cases of contact dermatitis following dermal exposures.</w:t>
      </w:r>
    </w:p>
    <w:p w14:paraId="0680F97E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default" r:id="rId11"/>
          <w:footerReference w:type="default" r:id="rId12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1CEFFC51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3DAF62FA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91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170"/>
      </w:tblGrid>
      <w:tr w:rsidR="00C978F0" w:rsidRPr="00DA352E" w14:paraId="7C2D2922" w14:textId="77777777" w:rsidTr="00D52DB6">
        <w:trPr>
          <w:cantSplit/>
          <w:trHeight w:val="393"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C74E977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0C4FD5BC" w14:textId="77777777" w:rsidTr="00D52DB6">
        <w:trPr>
          <w:cantSplit/>
        </w:trPr>
        <w:tc>
          <w:tcPr>
            <w:tcW w:w="5000" w:type="pct"/>
            <w:shd w:val="clear" w:color="auto" w:fill="F2F2F2" w:themeFill="background1" w:themeFillShade="F2"/>
          </w:tcPr>
          <w:p w14:paraId="6B8FF250" w14:textId="60B5962F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D52DB6">
                  <w:t>NA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proofErr w:type="spellStart"/>
                <w:r w:rsidR="00D52DB6">
                  <w:t>NA</w:t>
                </w:r>
                <w:proofErr w:type="spellEnd"/>
              </w:sdtContent>
            </w:sdt>
          </w:p>
        </w:tc>
      </w:tr>
      <w:tr w:rsidR="00C978F0" w:rsidRPr="00DA352E" w14:paraId="11B06AB9" w14:textId="77777777" w:rsidTr="00D52DB6">
        <w:trPr>
          <w:cantSplit/>
        </w:trPr>
        <w:tc>
          <w:tcPr>
            <w:tcW w:w="5000" w:type="pct"/>
          </w:tcPr>
          <w:p w14:paraId="6DC74BB6" w14:textId="79F442E2" w:rsidR="00C978F0" w:rsidRPr="00DA352E" w:rsidRDefault="00D52DB6" w:rsidP="003365A5">
            <w:pPr>
              <w:pStyle w:val="Tabletextprimarysource"/>
            </w:pPr>
            <w:r>
              <w:t>No report</w:t>
            </w:r>
            <w:r w:rsidR="00B27DB2">
              <w:t>.</w:t>
            </w:r>
          </w:p>
        </w:tc>
      </w:tr>
      <w:tr w:rsidR="00C978F0" w:rsidRPr="00DA352E" w14:paraId="3263ED13" w14:textId="77777777" w:rsidTr="00A45F97">
        <w:trPr>
          <w:cantSplit/>
          <w:trHeight w:val="389"/>
        </w:trPr>
        <w:tc>
          <w:tcPr>
            <w:tcW w:w="0" w:type="pct"/>
            <w:shd w:val="clear" w:color="auto" w:fill="F2F2F2" w:themeFill="background1" w:themeFillShade="F2"/>
          </w:tcPr>
          <w:p w14:paraId="51E6A01E" w14:textId="43AE11EE" w:rsidR="00C978F0" w:rsidRPr="003501DD" w:rsidRDefault="00DA352E" w:rsidP="00B61785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D52DB6">
                  <w:t>2012</w:t>
                </w:r>
              </w:sdtContent>
            </w:sdt>
            <w:r w:rsidR="003501DD">
              <w:t xml:space="preserve">           </w:t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D52DB6">
                  <w:t>TLV-TWA: 0.01 ppm (0.04 mg/m</w:t>
                </w:r>
                <w:r w:rsidR="00D52DB6" w:rsidRPr="00D52DB6">
                  <w:rPr>
                    <w:vertAlign w:val="superscript"/>
                  </w:rPr>
                  <w:t>3</w:t>
                </w:r>
                <w:r w:rsidR="00D52DB6">
                  <w:t>); TLV-STEL: 0.02 ppm (0.0</w:t>
                </w:r>
                <w:r w:rsidR="003501DD">
                  <w:t>7 </w:t>
                </w:r>
                <w:r w:rsidR="00D52DB6">
                  <w:t>mg/m</w:t>
                </w:r>
                <w:r w:rsidR="00D52DB6" w:rsidRPr="00D52DB6">
                  <w:rPr>
                    <w:vertAlign w:val="superscript"/>
                  </w:rPr>
                  <w:t>3</w:t>
                </w:r>
                <w:r w:rsidR="00D52DB6">
                  <w:t>)</w:t>
                </w:r>
              </w:sdtContent>
            </w:sdt>
          </w:p>
        </w:tc>
      </w:tr>
      <w:tr w:rsidR="00C978F0" w:rsidRPr="00DA352E" w14:paraId="694A7CA6" w14:textId="77777777" w:rsidTr="00D52DB6">
        <w:trPr>
          <w:cantSplit/>
        </w:trPr>
        <w:tc>
          <w:tcPr>
            <w:tcW w:w="5000" w:type="pct"/>
          </w:tcPr>
          <w:p w14:paraId="58005B04" w14:textId="6BA21790" w:rsidR="00C978F0" w:rsidRDefault="00CD350B" w:rsidP="003365A5">
            <w:pPr>
              <w:pStyle w:val="Tabletextprimarysource"/>
            </w:pPr>
            <w:r>
              <w:t>TLV recommended for the occupational exposure and the effects on the respiratory system.</w:t>
            </w:r>
          </w:p>
          <w:p w14:paraId="016C0951" w14:textId="77777777" w:rsidR="00CD350B" w:rsidRDefault="00CD350B" w:rsidP="003365A5">
            <w:pPr>
              <w:pStyle w:val="Tabletextprimarysource"/>
            </w:pPr>
            <w:r>
              <w:t>Summary of Data:</w:t>
            </w:r>
          </w:p>
          <w:p w14:paraId="09DF7E91" w14:textId="77777777" w:rsidR="00CD350B" w:rsidRDefault="00CD350B" w:rsidP="003365A5">
            <w:pPr>
              <w:pStyle w:val="Tabletextprimarysource"/>
            </w:pPr>
            <w:r>
              <w:t>Human data:</w:t>
            </w:r>
          </w:p>
          <w:p w14:paraId="077BFD16" w14:textId="77777777" w:rsidR="000B0A80" w:rsidRDefault="000B0A80" w:rsidP="00B61785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>LOAEL of 0.02 ppm for fixed airway obstruction; 6 popcorn production plant workers</w:t>
            </w:r>
          </w:p>
          <w:p w14:paraId="1E9B7D6C" w14:textId="51DC83EE" w:rsidR="00CD11B2" w:rsidRDefault="000B0A80" w:rsidP="00B61785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 xml:space="preserve">Lung disease (bronchiolitis </w:t>
            </w:r>
            <w:r w:rsidR="00627C82">
              <w:t>obliterans</w:t>
            </w:r>
            <w:r>
              <w:t xml:space="preserve">-like illness) identified in </w:t>
            </w:r>
            <w:r w:rsidR="007C6A19">
              <w:t xml:space="preserve">8 former </w:t>
            </w:r>
            <w:r>
              <w:t xml:space="preserve">popcorn factory </w:t>
            </w:r>
            <w:r w:rsidR="007C6A19">
              <w:t>workers</w:t>
            </w:r>
            <w:r>
              <w:t>;</w:t>
            </w:r>
            <w:r w:rsidR="007C6A19">
              <w:t xml:space="preserve"> airflow obstruction was irreversible</w:t>
            </w:r>
          </w:p>
          <w:p w14:paraId="1F673AFE" w14:textId="1E7A9A22" w:rsidR="00701FC2" w:rsidRDefault="000B0A80" w:rsidP="00B61785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>Study</w:t>
            </w:r>
            <w:r w:rsidR="00701FC2">
              <w:t xml:space="preserve"> on </w:t>
            </w:r>
            <w:r w:rsidR="009153FC">
              <w:t>4</w:t>
            </w:r>
            <w:r w:rsidR="003501DD">
              <w:t>/</w:t>
            </w:r>
            <w:r w:rsidR="009153FC">
              <w:t>6</w:t>
            </w:r>
            <w:r w:rsidR="00701FC2">
              <w:t xml:space="preserve"> manufacturing plants from the study above concluded that a cumulative exposure of </w:t>
            </w:r>
            <w:r w:rsidR="00701FC2" w:rsidRPr="003501DD">
              <w:t>≥</w:t>
            </w:r>
            <w:r w:rsidR="00701FC2">
              <w:t>0.8 ppm</w:t>
            </w:r>
            <w:r w:rsidR="00701FC2" w:rsidRPr="008931D1">
              <w:t>-</w:t>
            </w:r>
            <w:proofErr w:type="spellStart"/>
            <w:r w:rsidR="008931D1">
              <w:t>y</w:t>
            </w:r>
            <w:r w:rsidR="00701FC2" w:rsidRPr="008931D1">
              <w:t>r</w:t>
            </w:r>
            <w:proofErr w:type="spellEnd"/>
            <w:r w:rsidR="00701FC2">
              <w:t xml:space="preserve"> was associated with airways obstruction</w:t>
            </w:r>
            <w:r w:rsidR="00C72D40">
              <w:t xml:space="preserve"> (increased risk of decreased FEV</w:t>
            </w:r>
            <w:r w:rsidR="00C72D40">
              <w:rPr>
                <w:vertAlign w:val="subscript"/>
              </w:rPr>
              <w:t>1</w:t>
            </w:r>
            <w:r w:rsidR="00C72D40">
              <w:t>); no reduction in mean FEV</w:t>
            </w:r>
            <w:r w:rsidR="00C72D40">
              <w:rPr>
                <w:vertAlign w:val="subscript"/>
              </w:rPr>
              <w:t>1</w:t>
            </w:r>
            <w:r w:rsidR="00C72D40">
              <w:t xml:space="preserve"> from exposure at mean concentration of </w:t>
            </w:r>
            <w:r w:rsidR="008931D1">
              <w:br/>
            </w:r>
            <w:r w:rsidR="00C72D40">
              <w:t>0.01-0.07 ppm</w:t>
            </w:r>
          </w:p>
          <w:p w14:paraId="00578E1A" w14:textId="2A310718" w:rsidR="00C819CB" w:rsidRDefault="009153FC" w:rsidP="00B61785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 xml:space="preserve">Reports of bronchiolitis </w:t>
            </w:r>
            <w:r w:rsidR="00627C82">
              <w:t>obliterans</w:t>
            </w:r>
            <w:r>
              <w:t>-like illness identified in othe</w:t>
            </w:r>
            <w:r w:rsidR="000B0A80">
              <w:t>r food manufacturing industries; no qualit</w:t>
            </w:r>
            <w:r w:rsidR="00B27DB2">
              <w:t>at</w:t>
            </w:r>
            <w:r w:rsidR="000B0A80">
              <w:t>ive or exposure data</w:t>
            </w:r>
          </w:p>
          <w:p w14:paraId="67912123" w14:textId="45A23C5A" w:rsidR="003501DD" w:rsidRDefault="00C819CB" w:rsidP="008931D1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>STEL based on potential for short-term peaks and genesis of disease; based on study that reported LOAEL of 0.02</w:t>
            </w:r>
            <w:r w:rsidR="007E45DB">
              <w:t xml:space="preserve"> ppm</w:t>
            </w:r>
            <w:r>
              <w:t>; no further details</w:t>
            </w:r>
          </w:p>
          <w:p w14:paraId="16466506" w14:textId="77777777" w:rsidR="009153FC" w:rsidRDefault="009153FC" w:rsidP="009153FC">
            <w:pPr>
              <w:pStyle w:val="ListBullet"/>
              <w:ind w:left="360" w:hanging="360"/>
            </w:pPr>
            <w:r>
              <w:t>Animal Data:</w:t>
            </w:r>
          </w:p>
          <w:p w14:paraId="5A0180BD" w14:textId="61460DF1" w:rsidR="00186D83" w:rsidRDefault="00186D83" w:rsidP="00B61785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>LD</w:t>
            </w:r>
            <w:r w:rsidRPr="003501DD">
              <w:rPr>
                <w:vertAlign w:val="subscript"/>
              </w:rPr>
              <w:t>50</w:t>
            </w:r>
            <w:r>
              <w:t>: 250 mg/kg (oral, mice)</w:t>
            </w:r>
          </w:p>
          <w:p w14:paraId="5791C5D1" w14:textId="7EF46EE6" w:rsidR="00186D83" w:rsidRDefault="00186D83" w:rsidP="00B61785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>LD</w:t>
            </w:r>
            <w:r w:rsidRPr="003501DD">
              <w:rPr>
                <w:vertAlign w:val="subscript"/>
              </w:rPr>
              <w:t>50</w:t>
            </w:r>
            <w:r>
              <w:t>: &gt;5</w:t>
            </w:r>
            <w:r w:rsidR="007D76DD">
              <w:t>,</w:t>
            </w:r>
            <w:r>
              <w:t>000 mg/kg (dermal, rabbits)</w:t>
            </w:r>
          </w:p>
          <w:p w14:paraId="5F16312A" w14:textId="3DBD1D6E" w:rsidR="00186D83" w:rsidRDefault="00F400CC" w:rsidP="00B61785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 xml:space="preserve">NOAEL: </w:t>
            </w:r>
            <w:r w:rsidR="000B0A80">
              <w:t xml:space="preserve">90 mg/kg/d </w:t>
            </w:r>
            <w:r>
              <w:t>(rats,</w:t>
            </w:r>
            <w:r w:rsidR="00186D83">
              <w:t xml:space="preserve"> intraperitoneal</w:t>
            </w:r>
            <w:r>
              <w:t>)</w:t>
            </w:r>
            <w:r w:rsidR="00186D83">
              <w:t xml:space="preserve"> </w:t>
            </w:r>
          </w:p>
          <w:p w14:paraId="77EA548C" w14:textId="2D281BF5" w:rsidR="00BF098B" w:rsidRDefault="00F400CC" w:rsidP="00B61785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 xml:space="preserve">NOAEL: 100 ppm (rats; </w:t>
            </w:r>
            <w:r w:rsidR="00BF098B">
              <w:t>acute inhalation</w:t>
            </w:r>
            <w:r>
              <w:t xml:space="preserve">); </w:t>
            </w:r>
            <w:r w:rsidR="00BF098B">
              <w:t>adverse effects</w:t>
            </w:r>
            <w:r>
              <w:t xml:space="preserve"> to the upper respiratory tract</w:t>
            </w:r>
          </w:p>
          <w:p w14:paraId="56EDBED0" w14:textId="06D00BD3" w:rsidR="00CF4B89" w:rsidRDefault="00CF4B89" w:rsidP="00B61785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>In a sub chronic study</w:t>
            </w:r>
            <w:r w:rsidR="00AB0763">
              <w:t xml:space="preserve"> on</w:t>
            </w:r>
            <w:r>
              <w:t xml:space="preserve"> mice </w:t>
            </w:r>
            <w:r w:rsidR="00612A43">
              <w:t xml:space="preserve">showed evidence of </w:t>
            </w:r>
            <w:proofErr w:type="spellStart"/>
            <w:r w:rsidR="00612A43">
              <w:t>peribr</w:t>
            </w:r>
            <w:r w:rsidR="0095663E">
              <w:t>o</w:t>
            </w:r>
            <w:r w:rsidR="00612A43">
              <w:t>nchial</w:t>
            </w:r>
            <w:proofErr w:type="spellEnd"/>
            <w:r w:rsidR="00612A43">
              <w:t xml:space="preserve"> lymphocytic inflammation a</w:t>
            </w:r>
            <w:r w:rsidR="00F400CC">
              <w:t xml:space="preserve">t 50 ppm (9/10 mice) and 25 </w:t>
            </w:r>
            <w:r w:rsidR="00612A43">
              <w:t xml:space="preserve">ppm (5/10 mice), </w:t>
            </w:r>
            <w:r w:rsidR="00627C82">
              <w:t>insufficient information to set a</w:t>
            </w:r>
            <w:r w:rsidR="00612A43">
              <w:t xml:space="preserve"> NOAEL.</w:t>
            </w:r>
          </w:p>
          <w:p w14:paraId="3E8AAE38" w14:textId="29DB2380" w:rsidR="003501DD" w:rsidRPr="00DA352E" w:rsidRDefault="003501DD" w:rsidP="00B61785">
            <w:pPr>
              <w:pStyle w:val="ListBullet"/>
              <w:ind w:left="720"/>
            </w:pPr>
          </w:p>
        </w:tc>
      </w:tr>
      <w:tr w:rsidR="00C978F0" w:rsidRPr="00DA352E" w14:paraId="4036366C" w14:textId="77777777" w:rsidTr="00D52DB6">
        <w:trPr>
          <w:cantSplit/>
        </w:trPr>
        <w:tc>
          <w:tcPr>
            <w:tcW w:w="5000" w:type="pct"/>
            <w:shd w:val="clear" w:color="auto" w:fill="F2F2F2" w:themeFill="background1" w:themeFillShade="F2"/>
          </w:tcPr>
          <w:p w14:paraId="699CD221" w14:textId="14A80F58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A855F2">
                  <w:t>2015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D52DB6">
                  <w:t>MAK: 0.02 ppm (0.07 mg/m</w:t>
                </w:r>
                <w:r w:rsidR="00D52DB6" w:rsidRPr="00D52DB6">
                  <w:rPr>
                    <w:vertAlign w:val="superscript"/>
                  </w:rPr>
                  <w:t>3</w:t>
                </w:r>
                <w:r w:rsidR="00D52DB6">
                  <w:t>)</w:t>
                </w:r>
              </w:sdtContent>
            </w:sdt>
          </w:p>
        </w:tc>
      </w:tr>
      <w:tr w:rsidR="00C978F0" w:rsidRPr="00DA352E" w14:paraId="7D3B22C3" w14:textId="77777777" w:rsidTr="008931D1">
        <w:tc>
          <w:tcPr>
            <w:tcW w:w="5000" w:type="pct"/>
          </w:tcPr>
          <w:p w14:paraId="1A4CF011" w14:textId="09894C32" w:rsidR="00E601E4" w:rsidRDefault="00E601E4" w:rsidP="00B061CE">
            <w:pPr>
              <w:pStyle w:val="Tabletextprimarysource"/>
            </w:pPr>
            <w:r>
              <w:t>MAK recommended to protect from</w:t>
            </w:r>
            <w:r w:rsidRPr="00E601E4">
              <w:t xml:space="preserve"> </w:t>
            </w:r>
            <w:proofErr w:type="spellStart"/>
            <w:r w:rsidRPr="00E601E4">
              <w:t>irritative</w:t>
            </w:r>
            <w:proofErr w:type="spellEnd"/>
            <w:r w:rsidRPr="00E601E4">
              <w:t xml:space="preserve"> eﬀects on the eyes, skin, nose and throat </w:t>
            </w:r>
            <w:r w:rsidR="00C72D40">
              <w:t>and</w:t>
            </w:r>
            <w:r w:rsidRPr="00E601E4">
              <w:t xml:space="preserve"> subclinical changes in lung function</w:t>
            </w:r>
            <w:r>
              <w:t xml:space="preserve"> </w:t>
            </w:r>
            <w:r w:rsidRPr="00E601E4">
              <w:t>and bronchiolitis o</w:t>
            </w:r>
            <w:r>
              <w:t>bliterans in workers</w:t>
            </w:r>
            <w:r w:rsidRPr="00E601E4">
              <w:t>.</w:t>
            </w:r>
          </w:p>
          <w:p w14:paraId="7E153F2B" w14:textId="444EB39A" w:rsidR="00B061CE" w:rsidRDefault="00B061CE" w:rsidP="00B061CE">
            <w:pPr>
              <w:pStyle w:val="Tabletextprimarysource"/>
            </w:pPr>
            <w:r>
              <w:t>Summary of additional data:</w:t>
            </w:r>
          </w:p>
          <w:p w14:paraId="3E5E315F" w14:textId="6107B212" w:rsidR="00C978F0" w:rsidRDefault="00B061CE" w:rsidP="003365A5">
            <w:pPr>
              <w:pStyle w:val="Tabletextprimarysource"/>
            </w:pPr>
            <w:r>
              <w:t>In humans compared to rats it has been determined that concentrations in bronchiolar tissue was 5</w:t>
            </w:r>
            <w:r w:rsidR="00627C82">
              <w:t> </w:t>
            </w:r>
            <w:r>
              <w:t xml:space="preserve"> times higher at rest when breathing through the nose, 7 times higher when breathing through the mouth and 40 times higher during low level activity whilst breathing through the mouth.</w:t>
            </w:r>
          </w:p>
          <w:p w14:paraId="6BFD9699" w14:textId="5CCCCC29" w:rsidR="00B061CE" w:rsidRDefault="00B061CE" w:rsidP="003365A5">
            <w:pPr>
              <w:pStyle w:val="Tabletextprimarysource"/>
            </w:pPr>
            <w:r>
              <w:t>Human data:</w:t>
            </w:r>
          </w:p>
          <w:p w14:paraId="37C125C0" w14:textId="2CE6C1F1" w:rsidR="00676302" w:rsidRDefault="00676302" w:rsidP="003365A5">
            <w:pPr>
              <w:pStyle w:val="Tabletextprimarysource"/>
            </w:pPr>
            <w:r>
              <w:t>Inhalation:</w:t>
            </w:r>
          </w:p>
          <w:p w14:paraId="0CAD284B" w14:textId="6373C4D6" w:rsidR="00B061CE" w:rsidRDefault="00B061CE" w:rsidP="00B61785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 xml:space="preserve">A single </w:t>
            </w:r>
            <w:r w:rsidR="00A74782">
              <w:t xml:space="preserve">worker </w:t>
            </w:r>
            <w:r>
              <w:t xml:space="preserve">exposure </w:t>
            </w:r>
            <w:r w:rsidR="00A74782">
              <w:t>(</w:t>
            </w:r>
            <w:r>
              <w:t>non-smoker</w:t>
            </w:r>
            <w:r w:rsidR="00A74782">
              <w:t>)</w:t>
            </w:r>
            <w:r>
              <w:t xml:space="preserve"> to heated mixture </w:t>
            </w:r>
            <w:r w:rsidR="00485028">
              <w:t>for several hours</w:t>
            </w:r>
            <w:r w:rsidR="000A4FA0">
              <w:t xml:space="preserve"> </w:t>
            </w:r>
            <w:r>
              <w:t xml:space="preserve">caused </w:t>
            </w:r>
            <w:r w:rsidR="00F27350">
              <w:t xml:space="preserve">reddened and sore eyes with sticky secretion which subsided with steroid and antihistamine treatment. After another exposure the same worker experienced respiratory distress and </w:t>
            </w:r>
            <w:r w:rsidR="005056AA">
              <w:t xml:space="preserve">&gt;9 </w:t>
            </w:r>
            <w:proofErr w:type="spellStart"/>
            <w:r w:rsidR="005056AA">
              <w:t>mo</w:t>
            </w:r>
            <w:proofErr w:type="spellEnd"/>
            <w:r w:rsidR="00F27350">
              <w:t xml:space="preserve"> worker had developed fixed airway obstruction of moderate severity</w:t>
            </w:r>
            <w:r w:rsidR="00485028">
              <w:t xml:space="preserve"> (no further detail provided)</w:t>
            </w:r>
          </w:p>
          <w:p w14:paraId="61E1B491" w14:textId="70845CA3" w:rsidR="00F27350" w:rsidRDefault="00C72D40" w:rsidP="00B61785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 xml:space="preserve">NOAEC </w:t>
            </w:r>
            <w:r w:rsidR="00F400CC">
              <w:t>of 0.65 ppm-</w:t>
            </w:r>
            <w:proofErr w:type="spellStart"/>
            <w:r w:rsidR="00163451">
              <w:t>yr</w:t>
            </w:r>
            <w:proofErr w:type="spellEnd"/>
            <w:r w:rsidR="00163451">
              <w:t xml:space="preserve"> </w:t>
            </w:r>
            <w:r w:rsidR="00F400CC">
              <w:t xml:space="preserve">cumulative exposure; </w:t>
            </w:r>
            <w:r w:rsidR="00F27350">
              <w:t>135 workers microwave p</w:t>
            </w:r>
            <w:r w:rsidR="00F400CC">
              <w:t xml:space="preserve">opcorn production plant; </w:t>
            </w:r>
            <w:r w:rsidR="00F27350">
              <w:t>excess rates of lung disease and lung function abnormalities</w:t>
            </w:r>
          </w:p>
          <w:p w14:paraId="25521BFF" w14:textId="77777777" w:rsidR="00135D36" w:rsidRDefault="00EE6658" w:rsidP="00B61785">
            <w:pPr>
              <w:pStyle w:val="ListParagraph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lastRenderedPageBreak/>
              <w:t>d</w:t>
            </w:r>
            <w:r w:rsidR="00B01474">
              <w:t>erivation</w:t>
            </w:r>
            <w:r w:rsidR="00EB6E9B">
              <w:t xml:space="preserve"> </w:t>
            </w:r>
            <w:r w:rsidR="00EB6E9B" w:rsidRPr="00EB6E9B">
              <w:t>(0.65 ppm-</w:t>
            </w:r>
            <w:r w:rsidR="00627C82" w:rsidRPr="00EB6E9B">
              <w:t>y</w:t>
            </w:r>
            <w:r w:rsidR="00627C82">
              <w:t>r</w:t>
            </w:r>
            <w:r w:rsidR="00FC7C09">
              <w:rPr>
                <w:rFonts w:cs="Arial"/>
              </w:rPr>
              <w:t>÷</w:t>
            </w:r>
            <w:r w:rsidR="00EB6E9B" w:rsidRPr="00EB6E9B">
              <w:t xml:space="preserve">40 </w:t>
            </w:r>
            <w:proofErr w:type="spellStart"/>
            <w:r w:rsidR="00627C82" w:rsidRPr="00EB6E9B">
              <w:t>y</w:t>
            </w:r>
            <w:r w:rsidR="00627C82">
              <w:t>r</w:t>
            </w:r>
            <w:proofErr w:type="spellEnd"/>
            <w:r w:rsidR="00627C82" w:rsidRPr="00EB6E9B">
              <w:t xml:space="preserve"> </w:t>
            </w:r>
            <w:r w:rsidR="00B27DB2">
              <w:t>[</w:t>
            </w:r>
            <w:r w:rsidR="00EB6E9B" w:rsidRPr="00EB6E9B">
              <w:t xml:space="preserve">working </w:t>
            </w:r>
            <w:r w:rsidR="00EB6E9B">
              <w:t>life</w:t>
            </w:r>
            <w:r w:rsidR="00B27DB2">
              <w:t>]</w:t>
            </w:r>
            <w:r w:rsidR="00EB6E9B">
              <w:t>) = 0.016</w:t>
            </w:r>
            <w:r w:rsidR="00EB6E9B" w:rsidRPr="00EB6E9B">
              <w:t xml:space="preserve"> ppm</w:t>
            </w:r>
          </w:p>
          <w:p w14:paraId="5A992682" w14:textId="35EE29EB" w:rsidR="007D76DD" w:rsidRDefault="00135D36" w:rsidP="00B73792">
            <w:pPr>
              <w:pStyle w:val="ListParagraph"/>
              <w:numPr>
                <w:ilvl w:val="0"/>
                <w:numId w:val="5"/>
              </w:numPr>
              <w:spacing w:before="60" w:after="60"/>
              <w:ind w:left="690"/>
              <w:contextualSpacing w:val="0"/>
            </w:pPr>
            <w:r>
              <w:t>NOAEC of 0.8 ppm-</w:t>
            </w:r>
            <w:proofErr w:type="spellStart"/>
            <w:r>
              <w:t>yr</w:t>
            </w:r>
            <w:proofErr w:type="spellEnd"/>
            <w:r>
              <w:t xml:space="preserve"> cumulative exposure; same as ACGIH (2018); no effects on the forced expiratory volume in one second and the vital capacity</w:t>
            </w:r>
          </w:p>
          <w:p w14:paraId="3236D65B" w14:textId="37E74927" w:rsidR="00135D36" w:rsidRDefault="00135D36" w:rsidP="00135D36">
            <w:pPr>
              <w:pStyle w:val="ListParagraph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derivation (0.8</w:t>
            </w:r>
            <w:r w:rsidRPr="00EB6E9B">
              <w:t xml:space="preserve"> ppm-y</w:t>
            </w:r>
            <w:r>
              <w:t>r</w:t>
            </w:r>
            <w:r>
              <w:rPr>
                <w:rFonts w:cs="Arial"/>
              </w:rPr>
              <w:t>÷</w:t>
            </w:r>
            <w:r w:rsidRPr="00EB6E9B">
              <w:t xml:space="preserve">40 </w:t>
            </w:r>
            <w:proofErr w:type="spellStart"/>
            <w:r w:rsidRPr="00EB6E9B">
              <w:t>y</w:t>
            </w:r>
            <w:r>
              <w:t>r</w:t>
            </w:r>
            <w:proofErr w:type="spellEnd"/>
            <w:r w:rsidRPr="00EB6E9B">
              <w:t xml:space="preserve"> </w:t>
            </w:r>
            <w:r>
              <w:t>[</w:t>
            </w:r>
            <w:r w:rsidRPr="00EB6E9B">
              <w:t xml:space="preserve">working </w:t>
            </w:r>
            <w:r>
              <w:t>life]</w:t>
            </w:r>
            <w:r w:rsidR="00BA1728">
              <w:t>) = 0.02</w:t>
            </w:r>
            <w:r w:rsidRPr="00EB6E9B">
              <w:t xml:space="preserve"> ppm</w:t>
            </w:r>
          </w:p>
          <w:p w14:paraId="343248AF" w14:textId="451D863A" w:rsidR="00B73792" w:rsidRDefault="00BA1728" w:rsidP="008931D1">
            <w:pPr>
              <w:pStyle w:val="ListBullet"/>
              <w:numPr>
                <w:ilvl w:val="0"/>
                <w:numId w:val="5"/>
              </w:numPr>
              <w:ind w:left="731" w:hanging="425"/>
            </w:pPr>
            <w:r>
              <w:t xml:space="preserve">MAK based on above derivations; safety margin between MAK and critical effects of lung damage due to underestimation of the </w:t>
            </w:r>
            <w:proofErr w:type="spellStart"/>
            <w:r>
              <w:t>diacetyl</w:t>
            </w:r>
            <w:proofErr w:type="spellEnd"/>
            <w:r>
              <w:t xml:space="preserve"> concentrations and by extrapolation to 40 working years</w:t>
            </w:r>
          </w:p>
          <w:p w14:paraId="0F1DA5E4" w14:textId="74806ED8" w:rsidR="00676302" w:rsidRDefault="00676302" w:rsidP="00676302">
            <w:pPr>
              <w:pStyle w:val="ListBullet"/>
              <w:ind w:left="360" w:hanging="360"/>
            </w:pPr>
            <w:r>
              <w:t>Skin and mucous membrane:</w:t>
            </w:r>
          </w:p>
          <w:p w14:paraId="0F123669" w14:textId="3F870066" w:rsidR="002B060A" w:rsidRDefault="002B060A" w:rsidP="00B61785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 xml:space="preserve">Workers </w:t>
            </w:r>
            <w:r w:rsidR="005056AA">
              <w:t>using</w:t>
            </w:r>
            <w:r>
              <w:t xml:space="preserve"> butter flavouring with amb</w:t>
            </w:r>
            <w:r w:rsidR="005056AA">
              <w:t>ient air concentrations of 98 mL</w:t>
            </w:r>
            <w:r>
              <w:t>/m</w:t>
            </w:r>
            <w:r w:rsidRPr="003501DD">
              <w:rPr>
                <w:vertAlign w:val="superscript"/>
              </w:rPr>
              <w:t>3</w:t>
            </w:r>
            <w:r>
              <w:t xml:space="preserve"> complained of eye, skin and nasal irritation </w:t>
            </w:r>
          </w:p>
          <w:p w14:paraId="36ED10AA" w14:textId="02DFEB7D" w:rsidR="002B060A" w:rsidRDefault="005056AA" w:rsidP="00B61785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>Skin i</w:t>
            </w:r>
            <w:r w:rsidR="002B060A">
              <w:t>rritation reported at</w:t>
            </w:r>
            <w:r w:rsidR="00676302">
              <w:t xml:space="preserve"> concentrations </w:t>
            </w:r>
            <w:r>
              <w:t>of 1.1 mL</w:t>
            </w:r>
            <w:r w:rsidR="002B060A">
              <w:t>/m</w:t>
            </w:r>
            <w:r w:rsidR="002B060A" w:rsidRPr="003501DD">
              <w:rPr>
                <w:vertAlign w:val="superscript"/>
              </w:rPr>
              <w:t>3</w:t>
            </w:r>
          </w:p>
          <w:p w14:paraId="79C86BA2" w14:textId="3FD60659" w:rsidR="007D76DD" w:rsidRDefault="001C105A" w:rsidP="0095663E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 xml:space="preserve">24-h patch test using undiluted </w:t>
            </w:r>
            <w:proofErr w:type="spellStart"/>
            <w:r>
              <w:t>diacetyl</w:t>
            </w:r>
            <w:proofErr w:type="spellEnd"/>
            <w:r>
              <w:t xml:space="preserve"> cream on 8 subjects, </w:t>
            </w:r>
            <w:r w:rsidR="00E344AD">
              <w:t>reported</w:t>
            </w:r>
            <w:r>
              <w:t xml:space="preserve"> work-related contact dermatitis from flavour handling, 1</w:t>
            </w:r>
            <w:r w:rsidR="006005B5">
              <w:t>/</w:t>
            </w:r>
            <w:r>
              <w:t>8 patients produced a 2+ reaction and 6 patients a 3+ reaction.</w:t>
            </w:r>
          </w:p>
          <w:p w14:paraId="13606C26" w14:textId="77777777" w:rsidR="00F14FFE" w:rsidRDefault="00F14FFE" w:rsidP="00F14FFE">
            <w:pPr>
              <w:pStyle w:val="ListBullet"/>
            </w:pPr>
            <w:r>
              <w:t>Animal data:</w:t>
            </w:r>
          </w:p>
          <w:p w14:paraId="1E2767DF" w14:textId="30F8A16F" w:rsidR="00F14FFE" w:rsidRDefault="00F400CC" w:rsidP="00B61785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>NOAE</w:t>
            </w:r>
            <w:r w:rsidR="00174C32">
              <w:t>C</w:t>
            </w:r>
            <w:r>
              <w:t xml:space="preserve">: 92.9 ppm (rats, acute inhalation); </w:t>
            </w:r>
            <w:r w:rsidR="00F14FFE">
              <w:t xml:space="preserve">effects to the upper respiratory tract </w:t>
            </w:r>
          </w:p>
          <w:p w14:paraId="01C6C7E4" w14:textId="7C80F33C" w:rsidR="00F14FFE" w:rsidRDefault="00C87DB1" w:rsidP="00B61785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>N</w:t>
            </w:r>
            <w:r w:rsidR="005056AA">
              <w:t>ecrotis</w:t>
            </w:r>
            <w:r w:rsidR="00F14FFE">
              <w:t>ing rhinitis and lesions of the trachea observed in male rats</w:t>
            </w:r>
            <w:r>
              <w:t xml:space="preserve"> after whole-body inhalation exposure to concentrations of 240 ppm for 6 h</w:t>
            </w:r>
          </w:p>
          <w:p w14:paraId="7A667B89" w14:textId="02A772A8" w:rsidR="00F50785" w:rsidRDefault="00C87DB1" w:rsidP="00B61785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 xml:space="preserve">A </w:t>
            </w:r>
            <w:r w:rsidR="00163451">
              <w:t>NOAE</w:t>
            </w:r>
            <w:r w:rsidR="00C35635">
              <w:t>C</w:t>
            </w:r>
            <w:r w:rsidR="00163451">
              <w:t xml:space="preserve"> of 349</w:t>
            </w:r>
            <w:r w:rsidR="00FC7C09">
              <w:t xml:space="preserve"> </w:t>
            </w:r>
            <w:r w:rsidR="00163451">
              <w:t>mg/m</w:t>
            </w:r>
            <w:r w:rsidR="00163451" w:rsidRPr="000130F1">
              <w:rPr>
                <w:vertAlign w:val="superscript"/>
              </w:rPr>
              <w:t>3</w:t>
            </w:r>
            <w:r w:rsidR="00163451">
              <w:t xml:space="preserve"> and a </w:t>
            </w:r>
            <w:r>
              <w:t>LOAEC of 697 mg/</w:t>
            </w:r>
            <w:r w:rsidRPr="00C87DB1">
              <w:t>m</w:t>
            </w:r>
            <w:r w:rsidRPr="00C87DB1">
              <w:rPr>
                <w:vertAlign w:val="superscript"/>
              </w:rPr>
              <w:t>3</w:t>
            </w:r>
            <w:r>
              <w:t xml:space="preserve"> w</w:t>
            </w:r>
            <w:r w:rsidR="00163451">
              <w:t>ere</w:t>
            </w:r>
            <w:r>
              <w:t xml:space="preserve"> reported in male rats based on increase</w:t>
            </w:r>
            <w:r w:rsidR="00163451">
              <w:t>d</w:t>
            </w:r>
            <w:r>
              <w:t xml:space="preserve"> in</w:t>
            </w:r>
            <w:r w:rsidR="00163451">
              <w:t>cidence</w:t>
            </w:r>
            <w:r>
              <w:t xml:space="preserve"> of epithelial necrosis in the nose </w:t>
            </w:r>
            <w:r w:rsidR="00163451">
              <w:t xml:space="preserve">in an </w:t>
            </w:r>
            <w:r w:rsidR="00F50785">
              <w:t xml:space="preserve">inhalation </w:t>
            </w:r>
            <w:r w:rsidR="00163451">
              <w:t>study</w:t>
            </w:r>
            <w:r w:rsidR="00F50785">
              <w:t>. At the highest concentration</w:t>
            </w:r>
            <w:r w:rsidR="00163451">
              <w:t xml:space="preserve"> (</w:t>
            </w:r>
            <w:r w:rsidR="00FC7C09">
              <w:t>1,039 mg</w:t>
            </w:r>
            <w:r w:rsidR="00163451">
              <w:t>/m</w:t>
            </w:r>
            <w:r w:rsidR="00163451" w:rsidRPr="003501DD">
              <w:rPr>
                <w:vertAlign w:val="superscript"/>
              </w:rPr>
              <w:t>3</w:t>
            </w:r>
            <w:r w:rsidR="00163451">
              <w:t xml:space="preserve"> for 6 h)</w:t>
            </w:r>
            <w:r w:rsidR="00F50785">
              <w:t>, necrosis occurred in the trachea. No significant eﬀects observed in the lungs</w:t>
            </w:r>
          </w:p>
          <w:p w14:paraId="6156733F" w14:textId="77777777" w:rsidR="00F50785" w:rsidRDefault="00F50785" w:rsidP="00B61785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 xml:space="preserve">Severe irritation of intact or shaved skin of rabbits exposed </w:t>
            </w:r>
            <w:r w:rsidR="0002133B">
              <w:t>(</w:t>
            </w:r>
            <w:r w:rsidR="002B060A">
              <w:t>un</w:t>
            </w:r>
            <w:r w:rsidR="0002133B">
              <w:t xml:space="preserve">diluted) </w:t>
            </w:r>
            <w:r w:rsidR="002B060A">
              <w:t xml:space="preserve">under occlusive conditions. </w:t>
            </w:r>
            <w:r w:rsidR="0002133B">
              <w:t>E</w:t>
            </w:r>
            <w:r w:rsidR="002B060A">
              <w:t xml:space="preserve">ye </w:t>
            </w:r>
            <w:r w:rsidR="0002133B">
              <w:t xml:space="preserve">application </w:t>
            </w:r>
            <w:r w:rsidR="002B060A">
              <w:t xml:space="preserve">caused severe damage to cornea and </w:t>
            </w:r>
            <w:r w:rsidR="002B060A" w:rsidRPr="002B060A">
              <w:t>conjunctiva</w:t>
            </w:r>
            <w:r w:rsidR="002B060A">
              <w:t xml:space="preserve"> which did n</w:t>
            </w:r>
            <w:r w:rsidR="005056AA">
              <w:t>ot subside for more than 21 d</w:t>
            </w:r>
            <w:r w:rsidR="002B060A">
              <w:t>.</w:t>
            </w:r>
          </w:p>
          <w:p w14:paraId="7AD29F6D" w14:textId="3C88A609" w:rsidR="007D76DD" w:rsidRPr="00DA352E" w:rsidRDefault="007D76DD" w:rsidP="00B61785">
            <w:pPr>
              <w:pStyle w:val="Tabletextprimarysource"/>
              <w:ind w:left="714"/>
            </w:pPr>
          </w:p>
        </w:tc>
      </w:tr>
      <w:tr w:rsidR="00C978F0" w:rsidRPr="00DA352E" w14:paraId="1712625E" w14:textId="77777777" w:rsidTr="00D52DB6">
        <w:trPr>
          <w:cantSplit/>
        </w:trPr>
        <w:tc>
          <w:tcPr>
            <w:tcW w:w="5000" w:type="pct"/>
            <w:shd w:val="clear" w:color="auto" w:fill="F2F2F2" w:themeFill="background1" w:themeFillShade="F2"/>
          </w:tcPr>
          <w:p w14:paraId="60B190F1" w14:textId="2CD9710D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A855F2">
                  <w:t>2014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A366E3">
                  <w:t>TWA: 0.02 ppm (0.07 mg/m</w:t>
                </w:r>
                <w:r w:rsidR="00A366E3" w:rsidRPr="00A366E3">
                  <w:rPr>
                    <w:vertAlign w:val="superscript"/>
                  </w:rPr>
                  <w:t>3</w:t>
                </w:r>
                <w:r w:rsidR="00A366E3">
                  <w:t>); STEL: 0.10 ppm (0.36 mg/m</w:t>
                </w:r>
                <w:r w:rsidR="00A366E3" w:rsidRPr="00A366E3">
                  <w:rPr>
                    <w:vertAlign w:val="superscript"/>
                  </w:rPr>
                  <w:t>3</w:t>
                </w:r>
                <w:r w:rsidR="00A366E3">
                  <w:t>)</w:t>
                </w:r>
              </w:sdtContent>
            </w:sdt>
          </w:p>
        </w:tc>
      </w:tr>
      <w:tr w:rsidR="00C978F0" w:rsidRPr="00DA352E" w14:paraId="3C845707" w14:textId="77777777" w:rsidTr="00D52DB6">
        <w:trPr>
          <w:cantSplit/>
        </w:trPr>
        <w:tc>
          <w:tcPr>
            <w:tcW w:w="5000" w:type="pct"/>
          </w:tcPr>
          <w:p w14:paraId="2AA03BB1" w14:textId="3F2DE25B" w:rsidR="004153E3" w:rsidRDefault="004153E3" w:rsidP="003365A5">
            <w:pPr>
              <w:pStyle w:val="Tabletextprimarysource"/>
            </w:pPr>
            <w:r>
              <w:t xml:space="preserve">Recommend OEL based on </w:t>
            </w:r>
            <w:r w:rsidRPr="004153E3">
              <w:t xml:space="preserve">the </w:t>
            </w:r>
            <w:r>
              <w:t xml:space="preserve">primary </w:t>
            </w:r>
            <w:r w:rsidRPr="004153E3">
              <w:t xml:space="preserve">critical health effect </w:t>
            </w:r>
            <w:r>
              <w:t>of</w:t>
            </w:r>
            <w:r w:rsidRPr="004153E3">
              <w:t xml:space="preserve"> subclinical to </w:t>
            </w:r>
            <w:r>
              <w:t>severe fixed airway obstruction</w:t>
            </w:r>
            <w:r w:rsidRPr="004153E3">
              <w:t>.</w:t>
            </w:r>
          </w:p>
          <w:p w14:paraId="5A1D1D06" w14:textId="60229AF9" w:rsidR="00C978F0" w:rsidRDefault="000C2696" w:rsidP="003365A5">
            <w:pPr>
              <w:pStyle w:val="Tabletextprimarysource"/>
            </w:pPr>
            <w:r>
              <w:t>Summary of additional data:</w:t>
            </w:r>
          </w:p>
          <w:p w14:paraId="6A040873" w14:textId="498D7413" w:rsidR="00F400CC" w:rsidRDefault="00F400CC" w:rsidP="003365A5">
            <w:pPr>
              <w:pStyle w:val="Tabletextprimarysource"/>
            </w:pPr>
            <w:r>
              <w:t>Human data:</w:t>
            </w:r>
          </w:p>
          <w:p w14:paraId="52AACDAD" w14:textId="403C7426" w:rsidR="00F400CC" w:rsidRDefault="00F400CC" w:rsidP="00B61785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 xml:space="preserve">NOAEC: 0.05 ppm derived from </w:t>
            </w:r>
            <w:r w:rsidR="00C46C6A">
              <w:t>NOAEL of 0.65 ppm-</w:t>
            </w:r>
            <w:proofErr w:type="spellStart"/>
            <w:r w:rsidR="00FC7C09">
              <w:t>yr</w:t>
            </w:r>
            <w:proofErr w:type="spellEnd"/>
            <w:r w:rsidR="00FC7C09">
              <w:t xml:space="preserve"> </w:t>
            </w:r>
            <w:r w:rsidR="00C46C6A">
              <w:t>cumulative exposure (DFG,</w:t>
            </w:r>
            <w:r w:rsidR="00B27DB2">
              <w:t> </w:t>
            </w:r>
            <w:r w:rsidR="00C46C6A">
              <w:t>2014)</w:t>
            </w:r>
            <w:r w:rsidR="00B27DB2">
              <w:t>:</w:t>
            </w:r>
          </w:p>
          <w:p w14:paraId="2AC78AAA" w14:textId="1620E124" w:rsidR="00C46C6A" w:rsidRDefault="00C46C6A" w:rsidP="00B61785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(0.65 ppm-</w:t>
            </w:r>
            <w:proofErr w:type="spellStart"/>
            <w:r>
              <w:t>y</w:t>
            </w:r>
            <w:r w:rsidR="00FC7C09">
              <w:t>r</w:t>
            </w:r>
            <w:proofErr w:type="spellEnd"/>
            <w:r w:rsidR="008931D1">
              <w:t xml:space="preserve"> </w:t>
            </w:r>
            <w:r w:rsidR="008931D1">
              <w:rPr>
                <w:rFonts w:cs="Arial"/>
              </w:rPr>
              <w:t xml:space="preserve">÷ </w:t>
            </w:r>
            <w:r>
              <w:t xml:space="preserve">40 </w:t>
            </w:r>
            <w:proofErr w:type="spellStart"/>
            <w:r w:rsidR="00163451">
              <w:t>yr</w:t>
            </w:r>
            <w:proofErr w:type="spellEnd"/>
            <w:r w:rsidR="00163451">
              <w:t xml:space="preserve"> </w:t>
            </w:r>
            <w:r w:rsidR="00B27DB2">
              <w:t>[</w:t>
            </w:r>
            <w:r>
              <w:t>working life</w:t>
            </w:r>
            <w:r w:rsidR="00B27DB2">
              <w:t>]</w:t>
            </w:r>
            <w:r>
              <w:t xml:space="preserve"> x 3 for analytical bias) = 0.05 ppm</w:t>
            </w:r>
          </w:p>
          <w:p w14:paraId="46D7E50C" w14:textId="3F5306FD" w:rsidR="007D76DD" w:rsidRDefault="00C46C6A" w:rsidP="008931D1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0.05/UF of 2 (sensitive groups) = 0.02 ppm (rounded)</w:t>
            </w:r>
            <w:r w:rsidR="007D76DD">
              <w:t>.</w:t>
            </w:r>
          </w:p>
          <w:p w14:paraId="09B53B5C" w14:textId="63C32D4F" w:rsidR="00C62640" w:rsidRDefault="00C62640" w:rsidP="00C62640">
            <w:pPr>
              <w:pStyle w:val="ListBullet"/>
              <w:ind w:left="360" w:hanging="360"/>
            </w:pPr>
            <w:r>
              <w:t>Animal data:</w:t>
            </w:r>
          </w:p>
          <w:p w14:paraId="03BCBA77" w14:textId="1A95711B" w:rsidR="000C2696" w:rsidRDefault="000C2696" w:rsidP="00B61785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>LC</w:t>
            </w:r>
            <w:r w:rsidRPr="003501DD">
              <w:rPr>
                <w:vertAlign w:val="subscript"/>
              </w:rPr>
              <w:t>50</w:t>
            </w:r>
            <w:r>
              <w:t>:</w:t>
            </w:r>
            <w:r w:rsidR="0002133B">
              <w:t xml:space="preserve"> 2,250</w:t>
            </w:r>
            <w:r w:rsidR="0082748C">
              <w:t>–</w:t>
            </w:r>
            <w:r w:rsidR="0002133B">
              <w:t>5,200 ppm (rats, 4 h, inhalation</w:t>
            </w:r>
            <w:r w:rsidR="00257AA9">
              <w:t>)</w:t>
            </w:r>
          </w:p>
          <w:p w14:paraId="2B4021C0" w14:textId="488EB58E" w:rsidR="000D498F" w:rsidRDefault="008749AD" w:rsidP="00B61785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>S</w:t>
            </w:r>
            <w:r w:rsidR="00AB0763">
              <w:t xml:space="preserve">ub chronic study on mice </w:t>
            </w:r>
            <w:r>
              <w:t xml:space="preserve">as </w:t>
            </w:r>
            <w:r w:rsidR="00AB0763">
              <w:t>summarised in ACGIH</w:t>
            </w:r>
            <w:r>
              <w:t xml:space="preserve"> </w:t>
            </w:r>
            <w:r w:rsidR="00F85EA1">
              <w:t>–</w:t>
            </w:r>
            <w:r>
              <w:t xml:space="preserve"> no NOAEL</w:t>
            </w:r>
            <w:r w:rsidR="00AB0763">
              <w:t xml:space="preserve"> determined due to evidence of </w:t>
            </w:r>
            <w:proofErr w:type="spellStart"/>
            <w:r w:rsidR="00AB0763">
              <w:t>peribranchial</w:t>
            </w:r>
            <w:proofErr w:type="spellEnd"/>
            <w:r w:rsidR="00AB0763">
              <w:t xml:space="preserve"> lymphocytic inflammation. </w:t>
            </w:r>
          </w:p>
          <w:p w14:paraId="5BC24A9A" w14:textId="77777777" w:rsidR="007E45DB" w:rsidRDefault="00AB0763" w:rsidP="007E45DB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 xml:space="preserve">SCOEL </w:t>
            </w:r>
            <w:r w:rsidR="008749AD">
              <w:t>reviews</w:t>
            </w:r>
            <w:r>
              <w:t xml:space="preserve"> concludes a LOAEL of 50 ppm and a NOAEL of 25 ppm.</w:t>
            </w:r>
            <w:r w:rsidR="007E45DB">
              <w:t xml:space="preserve"> </w:t>
            </w:r>
          </w:p>
          <w:p w14:paraId="040858C1" w14:textId="77777777" w:rsidR="008931D1" w:rsidRDefault="008931D1" w:rsidP="00E601E4">
            <w:pPr>
              <w:pStyle w:val="Tabletextprimarysource"/>
            </w:pPr>
          </w:p>
          <w:p w14:paraId="1E2A04E9" w14:textId="2C4C3E8C" w:rsidR="007E45DB" w:rsidRDefault="007E45DB" w:rsidP="00E601E4">
            <w:pPr>
              <w:pStyle w:val="Tabletextprimarysource"/>
            </w:pPr>
            <w:r>
              <w:t>Available data does not allow deriving a scientifically based STEL; STEL set by applying arbitrary assessment factor of 5 to TWA</w:t>
            </w:r>
            <w:r w:rsidR="004153E3">
              <w:t xml:space="preserve">. </w:t>
            </w:r>
          </w:p>
          <w:p w14:paraId="37546A72" w14:textId="202BA2DC" w:rsidR="007D76DD" w:rsidRPr="00DA352E" w:rsidRDefault="007D76DD" w:rsidP="00B23493">
            <w:pPr>
              <w:pStyle w:val="Tabletextprimarysource"/>
            </w:pPr>
          </w:p>
        </w:tc>
      </w:tr>
      <w:tr w:rsidR="00DA352E" w:rsidRPr="00DA352E" w14:paraId="21A8B02E" w14:textId="77777777" w:rsidTr="00D52DB6">
        <w:trPr>
          <w:cantSplit/>
        </w:trPr>
        <w:tc>
          <w:tcPr>
            <w:tcW w:w="5000" w:type="pct"/>
            <w:shd w:val="clear" w:color="auto" w:fill="F2F2F2" w:themeFill="background1" w:themeFillShade="F2"/>
          </w:tcPr>
          <w:p w14:paraId="3C0B898D" w14:textId="2E2E688E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A366E3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A366E3">
                  <w:t>NA</w:t>
                </w:r>
                <w:proofErr w:type="spellEnd"/>
              </w:sdtContent>
            </w:sdt>
          </w:p>
        </w:tc>
      </w:tr>
      <w:tr w:rsidR="00DA352E" w:rsidRPr="00DA352E" w14:paraId="22BF789E" w14:textId="77777777" w:rsidTr="00D52DB6">
        <w:trPr>
          <w:cantSplit/>
        </w:trPr>
        <w:tc>
          <w:tcPr>
            <w:tcW w:w="5000" w:type="pct"/>
          </w:tcPr>
          <w:p w14:paraId="5F7B92E6" w14:textId="5EF709C2" w:rsidR="00DA352E" w:rsidRPr="00DA352E" w:rsidRDefault="00A366E3" w:rsidP="003365A5">
            <w:pPr>
              <w:pStyle w:val="Tabletextprimarysource"/>
            </w:pPr>
            <w:r>
              <w:t>No report</w:t>
            </w:r>
            <w:r w:rsidR="00B27DB2">
              <w:t>.</w:t>
            </w:r>
          </w:p>
        </w:tc>
      </w:tr>
      <w:tr w:rsidR="00DA352E" w:rsidRPr="00DA352E" w14:paraId="0D2D3189" w14:textId="77777777" w:rsidTr="00D52DB6">
        <w:trPr>
          <w:cantSplit/>
        </w:trPr>
        <w:tc>
          <w:tcPr>
            <w:tcW w:w="5000" w:type="pct"/>
            <w:shd w:val="clear" w:color="auto" w:fill="F2F2F2" w:themeFill="background1" w:themeFillShade="F2"/>
          </w:tcPr>
          <w:p w14:paraId="268310EE" w14:textId="1835DD6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A366E3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A366E3">
                  <w:t>NA</w:t>
                </w:r>
                <w:proofErr w:type="spellEnd"/>
              </w:sdtContent>
            </w:sdt>
          </w:p>
        </w:tc>
      </w:tr>
      <w:tr w:rsidR="00DA352E" w:rsidRPr="00DA352E" w14:paraId="2C7BA911" w14:textId="77777777" w:rsidTr="00D52DB6">
        <w:trPr>
          <w:cantSplit/>
        </w:trPr>
        <w:tc>
          <w:tcPr>
            <w:tcW w:w="5000" w:type="pct"/>
          </w:tcPr>
          <w:p w14:paraId="19D21BA8" w14:textId="0F3FEF64" w:rsidR="00DA352E" w:rsidRPr="00DA352E" w:rsidRDefault="00A366E3" w:rsidP="003365A5">
            <w:pPr>
              <w:pStyle w:val="Tabletextprimarysource"/>
            </w:pPr>
            <w:r>
              <w:t>No report</w:t>
            </w:r>
            <w:r w:rsidR="00B27DB2">
              <w:t>.</w:t>
            </w:r>
          </w:p>
        </w:tc>
      </w:tr>
    </w:tbl>
    <w:p w14:paraId="1F11AB06" w14:textId="26B5C9EA" w:rsidR="00A20751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7"/>
        <w:gridCol w:w="424"/>
        <w:gridCol w:w="661"/>
        <w:gridCol w:w="6444"/>
      </w:tblGrid>
      <w:tr w:rsidR="001C409F" w:rsidRPr="00263255" w14:paraId="351954EF" w14:textId="77777777" w:rsidTr="00BE4B83">
        <w:trPr>
          <w:cantSplit/>
          <w:trHeight w:val="393"/>
          <w:tblHeader/>
        </w:trPr>
        <w:tc>
          <w:tcPr>
            <w:tcW w:w="1498" w:type="dxa"/>
            <w:shd w:val="clear" w:color="auto" w:fill="BFBFBF" w:themeFill="background1" w:themeFillShade="BF"/>
            <w:vAlign w:val="center"/>
          </w:tcPr>
          <w:bookmarkEnd w:id="1"/>
          <w:p w14:paraId="266ADC06" w14:textId="77777777" w:rsidR="001C409F" w:rsidRPr="00263255" w:rsidRDefault="001C409F" w:rsidP="003E71BA">
            <w:pPr>
              <w:pStyle w:val="Tableheader"/>
            </w:pPr>
            <w:r w:rsidRPr="00263255">
              <w:t>Source</w:t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14:paraId="6C878A86" w14:textId="77777777" w:rsidR="001C409F" w:rsidRPr="00263255" w:rsidRDefault="001C409F" w:rsidP="003E71BA">
            <w:pPr>
              <w:pStyle w:val="Tableheader"/>
            </w:pPr>
          </w:p>
        </w:tc>
        <w:tc>
          <w:tcPr>
            <w:tcW w:w="650" w:type="dxa"/>
            <w:shd w:val="clear" w:color="auto" w:fill="BFBFBF" w:themeFill="background1" w:themeFillShade="BF"/>
            <w:vAlign w:val="center"/>
          </w:tcPr>
          <w:p w14:paraId="26DA274C" w14:textId="77777777" w:rsidR="001C409F" w:rsidRPr="00263255" w:rsidRDefault="001C409F" w:rsidP="003E71BA">
            <w:pPr>
              <w:pStyle w:val="Tableheader"/>
            </w:pPr>
            <w:r>
              <w:t>Year</w:t>
            </w:r>
          </w:p>
        </w:tc>
        <w:tc>
          <w:tcPr>
            <w:tcW w:w="6454" w:type="dxa"/>
            <w:shd w:val="clear" w:color="auto" w:fill="BFBFBF" w:themeFill="background1" w:themeFillShade="BF"/>
            <w:vAlign w:val="center"/>
          </w:tcPr>
          <w:p w14:paraId="1A2268C0" w14:textId="77777777" w:rsidR="001C409F" w:rsidRPr="00263255" w:rsidRDefault="001C409F" w:rsidP="003E71BA">
            <w:pPr>
              <w:pStyle w:val="Tableheader"/>
            </w:pPr>
            <w:r>
              <w:t>Additional information</w:t>
            </w:r>
          </w:p>
        </w:tc>
      </w:tr>
      <w:tr w:rsidR="001C409F" w:rsidRPr="004C23F4" w14:paraId="52991ECE" w14:textId="77777777" w:rsidTr="00BE4B83">
        <w:trPr>
          <w:cantSplit/>
        </w:trPr>
        <w:tc>
          <w:tcPr>
            <w:tcW w:w="1498" w:type="dxa"/>
          </w:tcPr>
          <w:p w14:paraId="0BEA47CB" w14:textId="77777777" w:rsidR="001C409F" w:rsidRDefault="001C409F" w:rsidP="003E71BA">
            <w:pPr>
              <w:pStyle w:val="Tablefont"/>
            </w:pPr>
            <w:r>
              <w:t>US NIOSH</w:t>
            </w:r>
          </w:p>
        </w:tc>
        <w:tc>
          <w:tcPr>
            <w:tcW w:w="424" w:type="dxa"/>
          </w:tcPr>
          <w:p w14:paraId="35D0E74D" w14:textId="471D8A87" w:rsidR="001C409F" w:rsidRDefault="0061696A" w:rsidP="003E71BA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1646A1BF15834A99A5DF05AC27D52C9A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BE4B83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50" w:type="dxa"/>
          </w:tcPr>
          <w:p w14:paraId="2A46436D" w14:textId="1DCF48F9" w:rsidR="001C409F" w:rsidRPr="004C23F4" w:rsidRDefault="00BE4B83" w:rsidP="003E71BA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2016</w:t>
            </w:r>
          </w:p>
        </w:tc>
        <w:tc>
          <w:tcPr>
            <w:tcW w:w="6454" w:type="dxa"/>
          </w:tcPr>
          <w:p w14:paraId="66CD7E7D" w14:textId="4CAA27B1" w:rsidR="00BE4B83" w:rsidRPr="0002133B" w:rsidRDefault="00AF5DC0" w:rsidP="00B61785">
            <w:pPr>
              <w:pStyle w:val="Tablefont"/>
              <w:numPr>
                <w:ilvl w:val="0"/>
                <w:numId w:val="4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 w:rsidRPr="00A74782">
              <w:rPr>
                <w:rStyle w:val="checkbox"/>
                <w:rFonts w:ascii="Arial" w:hAnsi="Arial" w:cs="Arial"/>
              </w:rPr>
              <w:t xml:space="preserve">Used </w:t>
            </w:r>
            <w:r w:rsidR="008D0FD4" w:rsidRPr="00A74782">
              <w:rPr>
                <w:rStyle w:val="checkbox"/>
                <w:rFonts w:ascii="Arial" w:hAnsi="Arial" w:cs="Arial"/>
              </w:rPr>
              <w:t xml:space="preserve">same </w:t>
            </w:r>
            <w:r w:rsidRPr="00A74782">
              <w:rPr>
                <w:rStyle w:val="checkbox"/>
                <w:rFonts w:ascii="Arial" w:hAnsi="Arial" w:cs="Arial"/>
              </w:rPr>
              <w:t>study</w:t>
            </w:r>
            <w:r w:rsidR="00A74782">
              <w:rPr>
                <w:rStyle w:val="checkbox"/>
                <w:rFonts w:ascii="Arial" w:hAnsi="Arial" w:cs="Arial"/>
              </w:rPr>
              <w:t xml:space="preserve"> as ACGIH and DFG</w:t>
            </w:r>
            <w:r w:rsidR="008D0FD4" w:rsidRPr="00A74782">
              <w:rPr>
                <w:rStyle w:val="checkbox"/>
                <w:rFonts w:ascii="Arial" w:hAnsi="Arial" w:cs="Arial"/>
              </w:rPr>
              <w:t xml:space="preserve"> data but </w:t>
            </w:r>
            <w:r w:rsidR="0002133B">
              <w:rPr>
                <w:rStyle w:val="checkbox"/>
                <w:rFonts w:ascii="Arial" w:hAnsi="Arial" w:cs="Arial"/>
              </w:rPr>
              <w:t xml:space="preserve">determined 45-year </w:t>
            </w:r>
            <w:r w:rsidR="0002133B" w:rsidRPr="0002133B">
              <w:rPr>
                <w:rStyle w:val="checkbox"/>
                <w:rFonts w:ascii="Arial" w:hAnsi="Arial" w:cs="Arial"/>
              </w:rPr>
              <w:t xml:space="preserve">working lifetime </w:t>
            </w:r>
            <w:r w:rsidR="00A74782" w:rsidRPr="0002133B">
              <w:rPr>
                <w:rStyle w:val="checkbox"/>
                <w:rFonts w:ascii="Arial" w:hAnsi="Arial" w:cs="Arial"/>
              </w:rPr>
              <w:t xml:space="preserve">REL of 5 ppb (TWA) </w:t>
            </w:r>
            <w:r w:rsidR="0002133B" w:rsidRPr="0002133B">
              <w:rPr>
                <w:rStyle w:val="checkbox"/>
                <w:rFonts w:ascii="Arial" w:hAnsi="Arial" w:cs="Arial"/>
              </w:rPr>
              <w:t xml:space="preserve">based on </w:t>
            </w:r>
            <w:r w:rsidR="00A74782" w:rsidRPr="0002133B">
              <w:rPr>
                <w:rStyle w:val="checkbox"/>
                <w:rFonts w:ascii="Arial" w:hAnsi="Arial" w:cs="Arial"/>
              </w:rPr>
              <w:t xml:space="preserve">&lt;1/1,000 excess risk of lung function falling below </w:t>
            </w:r>
            <w:r w:rsidR="005A2787">
              <w:rPr>
                <w:rStyle w:val="checkbox"/>
                <w:rFonts w:ascii="Arial" w:hAnsi="Arial" w:cs="Arial"/>
              </w:rPr>
              <w:t xml:space="preserve">normal </w:t>
            </w:r>
            <w:r w:rsidR="00A74782" w:rsidRPr="0002133B">
              <w:rPr>
                <w:rStyle w:val="checkbox"/>
                <w:rFonts w:ascii="Arial" w:hAnsi="Arial" w:cs="Arial"/>
              </w:rPr>
              <w:t>lower limit</w:t>
            </w:r>
            <w:r w:rsidR="005A2787">
              <w:rPr>
                <w:rStyle w:val="checkbox"/>
                <w:rFonts w:ascii="Arial" w:hAnsi="Arial" w:cs="Arial"/>
              </w:rPr>
              <w:t>s</w:t>
            </w:r>
            <w:r w:rsidR="00A74782" w:rsidRPr="0002133B">
              <w:rPr>
                <w:rStyle w:val="checkbox"/>
                <w:rFonts w:ascii="Arial" w:hAnsi="Arial" w:cs="Arial"/>
              </w:rPr>
              <w:t xml:space="preserve"> due to exposure</w:t>
            </w:r>
            <w:r w:rsidR="0002133B" w:rsidRPr="0002133B">
              <w:rPr>
                <w:rStyle w:val="checkbox"/>
                <w:rFonts w:ascii="Arial" w:hAnsi="Arial" w:cs="Arial"/>
              </w:rPr>
              <w:t xml:space="preserve">. </w:t>
            </w:r>
          </w:p>
          <w:p w14:paraId="649566E4" w14:textId="7DBBA287" w:rsidR="00BE4B83" w:rsidRPr="004C23F4" w:rsidRDefault="00BE4B83" w:rsidP="00B61785">
            <w:pPr>
              <w:pStyle w:val="Tablefont"/>
              <w:numPr>
                <w:ilvl w:val="0"/>
                <w:numId w:val="4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 w:rsidRPr="0002133B">
              <w:rPr>
                <w:rStyle w:val="checkbox"/>
                <w:rFonts w:ascii="Arial" w:hAnsi="Arial" w:cs="Arial"/>
              </w:rPr>
              <w:t>STEL: 0.025 ppm</w:t>
            </w:r>
            <w:r w:rsidR="0002133B" w:rsidRPr="0002133B">
              <w:rPr>
                <w:rStyle w:val="checkbox"/>
                <w:rFonts w:ascii="Arial" w:hAnsi="Arial" w:cs="Arial"/>
              </w:rPr>
              <w:t xml:space="preserve"> based on concern of greater toxicity in peak exposure than over longer time</w:t>
            </w:r>
            <w:r w:rsidR="009933E2">
              <w:rPr>
                <w:rStyle w:val="checkbox"/>
                <w:rFonts w:ascii="Arial" w:hAnsi="Arial" w:cs="Arial"/>
              </w:rPr>
              <w:t>; 5 times the REL, based on past precautionary practices; limited evidence in animals to support; no further detail</w:t>
            </w:r>
          </w:p>
        </w:tc>
      </w:tr>
    </w:tbl>
    <w:p w14:paraId="765AB567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37462684" w14:textId="77777777" w:rsidTr="00E344AD">
        <w:trPr>
          <w:trHeight w:val="454"/>
          <w:tblHeader/>
        </w:trPr>
        <w:tc>
          <w:tcPr>
            <w:tcW w:w="6603" w:type="dxa"/>
            <w:vAlign w:val="center"/>
          </w:tcPr>
          <w:p w14:paraId="10EE2456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1AF4AAB8" w14:textId="32883CB2" w:rsidR="002E0D61" w:rsidRDefault="00F14FFE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64B0F67F" w14:textId="77777777" w:rsidTr="00E344AD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404D2159" w14:textId="09CB5528" w:rsidR="008A36CF" w:rsidRPr="006901A2" w:rsidRDefault="00185428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6A053436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7CE95488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1FF13BBF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1E5CD9B3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6B1857E7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430C5C15" w14:textId="77777777" w:rsidTr="00812887">
        <w:trPr>
          <w:cantSplit/>
        </w:trPr>
        <w:tc>
          <w:tcPr>
            <w:tcW w:w="3227" w:type="dxa"/>
          </w:tcPr>
          <w:p w14:paraId="048DC790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4E2D8321" w14:textId="0848A9E7" w:rsidR="00687890" w:rsidRPr="00DD2F9B" w:rsidRDefault="006C0656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0E88977F" w14:textId="77777777" w:rsidTr="00812887">
        <w:trPr>
          <w:cantSplit/>
        </w:trPr>
        <w:tc>
          <w:tcPr>
            <w:tcW w:w="3227" w:type="dxa"/>
          </w:tcPr>
          <w:p w14:paraId="4C357C54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3AEF6F2B" w14:textId="3256E02B" w:rsidR="007925F0" w:rsidRPr="00DD2F9B" w:rsidRDefault="006C0656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4B2D610C" w14:textId="77777777" w:rsidTr="00812887">
        <w:trPr>
          <w:cantSplit/>
        </w:trPr>
        <w:tc>
          <w:tcPr>
            <w:tcW w:w="3227" w:type="dxa"/>
          </w:tcPr>
          <w:p w14:paraId="29289291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148B9DB2" w14:textId="725B92E6" w:rsidR="00AF483F" w:rsidRPr="00DD2F9B" w:rsidRDefault="006C0656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3CAE9368" w14:textId="77777777" w:rsidTr="00812887">
        <w:trPr>
          <w:cantSplit/>
        </w:trPr>
        <w:tc>
          <w:tcPr>
            <w:tcW w:w="3227" w:type="dxa"/>
          </w:tcPr>
          <w:p w14:paraId="26F0E9B8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034301F4" w14:textId="6F4565AF" w:rsidR="00687890" w:rsidRPr="00DD2F9B" w:rsidRDefault="006C0656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4F14F460" w14:textId="77777777" w:rsidTr="00812887">
        <w:trPr>
          <w:cantSplit/>
        </w:trPr>
        <w:tc>
          <w:tcPr>
            <w:tcW w:w="3227" w:type="dxa"/>
          </w:tcPr>
          <w:p w14:paraId="1059C53E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5EF09870" w14:textId="62032721" w:rsidR="00E41A26" w:rsidRPr="00DD2F9B" w:rsidRDefault="006C0656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0F6C0E58" w14:textId="77777777" w:rsidTr="00812887">
        <w:trPr>
          <w:cantSplit/>
        </w:trPr>
        <w:tc>
          <w:tcPr>
            <w:tcW w:w="3227" w:type="dxa"/>
          </w:tcPr>
          <w:p w14:paraId="71EFF218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1D278027" w14:textId="1013CA4B" w:rsidR="002E0D61" w:rsidRPr="00DD2F9B" w:rsidRDefault="006C0656" w:rsidP="00DD2F9B">
            <w:pPr>
              <w:pStyle w:val="Tablefont"/>
            </w:pPr>
            <w:r w:rsidRPr="006C0656">
              <w:t>Carcinogenicity – A4</w:t>
            </w:r>
          </w:p>
        </w:tc>
      </w:tr>
      <w:tr w:rsidR="002E0D61" w:rsidRPr="004C23F4" w14:paraId="581CA51F" w14:textId="77777777" w:rsidTr="00812887">
        <w:trPr>
          <w:cantSplit/>
        </w:trPr>
        <w:tc>
          <w:tcPr>
            <w:tcW w:w="3227" w:type="dxa"/>
          </w:tcPr>
          <w:p w14:paraId="3F6F05F5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2144667E" w14:textId="7317BB9C" w:rsidR="002E0D61" w:rsidRPr="00DD2F9B" w:rsidRDefault="006C0656" w:rsidP="00DD2F9B">
            <w:pPr>
              <w:pStyle w:val="Tablefont"/>
            </w:pPr>
            <w:r w:rsidRPr="006C0656">
              <w:t>H (skin)</w:t>
            </w:r>
            <w:r>
              <w:t xml:space="preserve">, </w:t>
            </w:r>
            <w:proofErr w:type="spellStart"/>
            <w:r w:rsidRPr="006C0656">
              <w:t>Sh</w:t>
            </w:r>
            <w:proofErr w:type="spellEnd"/>
            <w:r w:rsidRPr="006C0656">
              <w:t xml:space="preserve"> (dermal sensitiser)</w:t>
            </w:r>
          </w:p>
        </w:tc>
      </w:tr>
      <w:tr w:rsidR="002E0D61" w:rsidRPr="004C23F4" w14:paraId="4E7A40EB" w14:textId="77777777" w:rsidTr="00812887">
        <w:trPr>
          <w:cantSplit/>
        </w:trPr>
        <w:tc>
          <w:tcPr>
            <w:tcW w:w="3227" w:type="dxa"/>
          </w:tcPr>
          <w:p w14:paraId="5DF77CB0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7A775163" w14:textId="1D3787CD" w:rsidR="002E0D61" w:rsidRPr="00DD2F9B" w:rsidRDefault="006C0656" w:rsidP="00DD2F9B">
            <w:pPr>
              <w:pStyle w:val="Tablefont"/>
            </w:pPr>
            <w:r w:rsidRPr="006C0656">
              <w:t>—</w:t>
            </w:r>
          </w:p>
        </w:tc>
      </w:tr>
      <w:tr w:rsidR="002E0D61" w:rsidRPr="004C23F4" w14:paraId="4ED0273F" w14:textId="77777777" w:rsidTr="00812887">
        <w:trPr>
          <w:cantSplit/>
        </w:trPr>
        <w:tc>
          <w:tcPr>
            <w:tcW w:w="3227" w:type="dxa"/>
          </w:tcPr>
          <w:p w14:paraId="43195E3F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3F417FC9" w14:textId="45BCD01B" w:rsidR="002E0D61" w:rsidRPr="00DD2F9B" w:rsidRDefault="006C0656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31A545B8" w14:textId="77777777" w:rsidTr="00812887">
        <w:trPr>
          <w:cantSplit/>
        </w:trPr>
        <w:tc>
          <w:tcPr>
            <w:tcW w:w="3227" w:type="dxa"/>
          </w:tcPr>
          <w:p w14:paraId="227E84F0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6ABEB7FD" w14:textId="2D345C4F" w:rsidR="00386093" w:rsidRPr="00DD2F9B" w:rsidRDefault="006C0656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2669835" w14:textId="77777777" w:rsidTr="00812887">
        <w:trPr>
          <w:cantSplit/>
        </w:trPr>
        <w:tc>
          <w:tcPr>
            <w:tcW w:w="3227" w:type="dxa"/>
          </w:tcPr>
          <w:p w14:paraId="2C707165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70BB0974" w14:textId="27B0B21D" w:rsidR="00386093" w:rsidRPr="00DD2F9B" w:rsidRDefault="006C0656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44EA06D7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61153AEC" w14:textId="77777777"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52D9B535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6826141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A8F838B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75" w:type="dxa"/>
              <w:tblLook w:val="04A0" w:firstRow="1" w:lastRow="0" w:firstColumn="1" w:lastColumn="0" w:noHBand="0" w:noVBand="1"/>
            </w:tblPr>
            <w:tblGrid>
              <w:gridCol w:w="3768"/>
              <w:gridCol w:w="1179"/>
              <w:gridCol w:w="1179"/>
              <w:gridCol w:w="2684"/>
            </w:tblGrid>
            <w:tr w:rsidR="00E344AD" w:rsidRPr="00E344AD" w14:paraId="420225A3" w14:textId="77777777" w:rsidTr="00E344AD">
              <w:trPr>
                <w:trHeight w:val="350"/>
              </w:trPr>
              <w:tc>
                <w:tcPr>
                  <w:tcW w:w="3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02B68EE" w14:textId="77777777" w:rsidR="00E344AD" w:rsidRPr="00E344AD" w:rsidRDefault="00E344AD" w:rsidP="00E344A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E344A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Adverse effects in human case study: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6C651EBE" w14:textId="77777777" w:rsidR="00E344AD" w:rsidRPr="00E344AD" w:rsidRDefault="00E344AD" w:rsidP="00E344A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val="en-US"/>
                    </w:rPr>
                  </w:pPr>
                  <w:r w:rsidRPr="00E344AD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val="en-US"/>
                    </w:rPr>
                    <w:t>yes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E594645" w14:textId="77777777" w:rsidR="00E344AD" w:rsidRPr="00E344AD" w:rsidRDefault="00E344AD" w:rsidP="00E344A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E344A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4.00</w:t>
                  </w:r>
                </w:p>
              </w:tc>
              <w:tc>
                <w:tcPr>
                  <w:tcW w:w="2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1E9D0F5" w14:textId="77777777" w:rsidR="00E344AD" w:rsidRPr="00E344AD" w:rsidRDefault="00E344AD" w:rsidP="00E344A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E344A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E344AD" w:rsidRPr="00E344AD" w14:paraId="4DD3B6FC" w14:textId="77777777" w:rsidTr="00E344AD">
              <w:trPr>
                <w:trHeight w:val="350"/>
              </w:trPr>
              <w:tc>
                <w:tcPr>
                  <w:tcW w:w="3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76AC7DD" w14:textId="77777777" w:rsidR="00E344AD" w:rsidRPr="00E344AD" w:rsidRDefault="00E344AD" w:rsidP="00E344A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E344A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LD</w:t>
                  </w:r>
                  <w:r w:rsidRPr="00E344A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E344A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≤1000 mg/kg: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6824779" w14:textId="77777777" w:rsidR="00E344AD" w:rsidRPr="00E344AD" w:rsidRDefault="00E344AD" w:rsidP="00E344A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E344A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EFCACCC" w14:textId="77777777" w:rsidR="00E344AD" w:rsidRPr="00E344AD" w:rsidRDefault="00E344AD" w:rsidP="00E344A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E344A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2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E7DDEA8" w14:textId="77777777" w:rsidR="00E344AD" w:rsidRPr="00E344AD" w:rsidRDefault="00E344AD" w:rsidP="00E344A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E344A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E344AD" w:rsidRPr="00E344AD" w14:paraId="29C60BD3" w14:textId="77777777" w:rsidTr="00E344AD">
              <w:trPr>
                <w:trHeight w:val="350"/>
              </w:trPr>
              <w:tc>
                <w:tcPr>
                  <w:tcW w:w="3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E1FC739" w14:textId="77777777" w:rsidR="00E344AD" w:rsidRPr="00E344AD" w:rsidRDefault="00E344AD" w:rsidP="00E344A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E344A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repeat-dose NOAEL ≤200 mg/kg: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42AC234" w14:textId="77777777" w:rsidR="00E344AD" w:rsidRPr="00E344AD" w:rsidRDefault="00E344AD" w:rsidP="00E344A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E344A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7691F54" w14:textId="77777777" w:rsidR="00E344AD" w:rsidRPr="00E344AD" w:rsidRDefault="00E344AD" w:rsidP="00E344A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E344A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2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6E3BC92" w14:textId="77777777" w:rsidR="00E344AD" w:rsidRPr="00E344AD" w:rsidRDefault="00E344AD" w:rsidP="00E344A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E344A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E344AD" w:rsidRPr="00E344AD" w14:paraId="6F08CF34" w14:textId="77777777" w:rsidTr="00E344AD">
              <w:trPr>
                <w:trHeight w:val="350"/>
              </w:trPr>
              <w:tc>
                <w:tcPr>
                  <w:tcW w:w="3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DC06EE0" w14:textId="77777777" w:rsidR="00E344AD" w:rsidRPr="00E344AD" w:rsidRDefault="00E344AD" w:rsidP="00E344A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E344A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LD</w:t>
                  </w:r>
                  <w:r w:rsidRPr="00E344A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E344A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/Inhalation LD</w:t>
                  </w:r>
                  <w:r w:rsidRPr="00E344A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E344A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&lt;10: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A6A5D51" w14:textId="77777777" w:rsidR="00E344AD" w:rsidRPr="00E344AD" w:rsidRDefault="00E344AD" w:rsidP="00E344A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E344A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D8AD360" w14:textId="77777777" w:rsidR="00E344AD" w:rsidRPr="00E344AD" w:rsidRDefault="00E344AD" w:rsidP="00E344A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E344A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-3.00</w:t>
                  </w:r>
                </w:p>
              </w:tc>
              <w:tc>
                <w:tcPr>
                  <w:tcW w:w="2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1DBF9BF" w14:textId="77777777" w:rsidR="00E344AD" w:rsidRPr="00E344AD" w:rsidRDefault="00E344AD" w:rsidP="00E344A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E344A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E344AD" w:rsidRPr="00E344AD" w14:paraId="3F6F63E3" w14:textId="77777777" w:rsidTr="00E344AD">
              <w:trPr>
                <w:trHeight w:val="350"/>
              </w:trPr>
              <w:tc>
                <w:tcPr>
                  <w:tcW w:w="3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001EE49" w14:textId="77777777" w:rsidR="00E344AD" w:rsidRPr="00E344AD" w:rsidRDefault="00E344AD" w:rsidP="00E344A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</w:pPr>
                  <w:r w:rsidRPr="00E344AD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In vivo</w:t>
                  </w:r>
                  <w:r w:rsidRPr="00E344A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dermal absorption rate &gt;10%: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51F42C2" w14:textId="77777777" w:rsidR="00E344AD" w:rsidRPr="00E344AD" w:rsidRDefault="00E344AD" w:rsidP="00E344A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E344A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B50D6F5" w14:textId="77777777" w:rsidR="00E344AD" w:rsidRPr="00E344AD" w:rsidRDefault="00E344AD" w:rsidP="00E344A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E344A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2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7533D9C" w14:textId="77777777" w:rsidR="00E344AD" w:rsidRPr="00E344AD" w:rsidRDefault="00E344AD" w:rsidP="00E344A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E344A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E344AD" w:rsidRPr="00E344AD" w14:paraId="349897D1" w14:textId="77777777" w:rsidTr="00E344AD">
              <w:trPr>
                <w:trHeight w:val="350"/>
              </w:trPr>
              <w:tc>
                <w:tcPr>
                  <w:tcW w:w="3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F57C99E" w14:textId="77777777" w:rsidR="00E344AD" w:rsidRPr="00E344AD" w:rsidRDefault="00E344AD" w:rsidP="00E344A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E344A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Estimated dermal exposure at WES &gt;10%: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5DE772E" w14:textId="77777777" w:rsidR="00E344AD" w:rsidRPr="00E344AD" w:rsidRDefault="00E344AD" w:rsidP="00E344A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E344A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28F162C" w14:textId="77777777" w:rsidR="00E344AD" w:rsidRPr="00E344AD" w:rsidRDefault="00E344AD" w:rsidP="00E344A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E344A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2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652767E" w14:textId="77777777" w:rsidR="00E344AD" w:rsidRPr="00E344AD" w:rsidRDefault="00E344AD" w:rsidP="00E344A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E344A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E344AD" w:rsidRPr="00E344AD" w14:paraId="1B91319A" w14:textId="77777777" w:rsidTr="00E344AD">
              <w:trPr>
                <w:trHeight w:val="350"/>
              </w:trPr>
              <w:tc>
                <w:tcPr>
                  <w:tcW w:w="3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D04F0CF" w14:textId="77777777" w:rsidR="00E344AD" w:rsidRPr="00E344AD" w:rsidRDefault="00E344AD" w:rsidP="00E344A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E344A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19724C5" w14:textId="77777777" w:rsidR="00E344AD" w:rsidRPr="00E344AD" w:rsidRDefault="00E344AD" w:rsidP="00E344A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E344A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E6A5ECD" w14:textId="77777777" w:rsidR="00E344AD" w:rsidRPr="00E344AD" w:rsidRDefault="00E344AD" w:rsidP="00E344A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E344A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-3</w:t>
                  </w:r>
                </w:p>
              </w:tc>
              <w:tc>
                <w:tcPr>
                  <w:tcW w:w="2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1C3B205" w14:textId="77777777" w:rsidR="00E344AD" w:rsidRPr="00E344AD" w:rsidRDefault="00E344AD" w:rsidP="00E344AD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E344AD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a skin notation is warranted</w:t>
                  </w:r>
                </w:p>
              </w:tc>
            </w:tr>
          </w:tbl>
          <w:p w14:paraId="05098DBF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4EB65D50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132E072B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45269C88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754FD868" w14:textId="248789E2" w:rsidR="00EB3D1B" w:rsidRDefault="006C0656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67D5B9FC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52E18EDA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D4CEFB0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5B93DF12" w14:textId="001E8C64" w:rsidR="001B79E5" w:rsidRDefault="006C0656" w:rsidP="001B79E5">
                <w:pPr>
                  <w:pStyle w:val="Tablefont"/>
                </w:pPr>
                <w:r w:rsidRPr="006C0656">
                  <w:t>86.09</w:t>
                </w:r>
              </w:p>
            </w:tc>
          </w:sdtContent>
        </w:sdt>
      </w:tr>
      <w:tr w:rsidR="00A31D99" w:rsidRPr="004C23F4" w14:paraId="4E759F1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2322ED1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4A3AD7CD" w14:textId="50252E08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6C0656">
                  <w:t>3.52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6C0656">
                  <w:t>0.284</w:t>
                </w:r>
              </w:sdtContent>
            </w:sdt>
            <w:r w:rsidRPr="006C0656">
              <w:t xml:space="preserve"> </w:t>
            </w:r>
            <w:r>
              <w:t>ppm</w:t>
            </w:r>
          </w:p>
        </w:tc>
      </w:tr>
      <w:tr w:rsidR="00687890" w:rsidRPr="004C23F4" w14:paraId="742C97A2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164804F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79B1976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634E37A8" w14:textId="77777777" w:rsidTr="00EA6243">
        <w:trPr>
          <w:cantSplit/>
        </w:trPr>
        <w:tc>
          <w:tcPr>
            <w:tcW w:w="4077" w:type="dxa"/>
            <w:vAlign w:val="center"/>
          </w:tcPr>
          <w:p w14:paraId="6DC224E6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C0E7FEB" w14:textId="1987B029" w:rsidR="00687890" w:rsidRPr="004C23F4" w:rsidRDefault="00E344AD" w:rsidP="00717D45">
                <w:pPr>
                  <w:pStyle w:val="Tablefon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87890" w:rsidRPr="004C23F4" w14:paraId="07B6D9FC" w14:textId="77777777" w:rsidTr="00EA6243">
        <w:trPr>
          <w:cantSplit/>
        </w:trPr>
        <w:tc>
          <w:tcPr>
            <w:tcW w:w="4077" w:type="dxa"/>
            <w:vAlign w:val="center"/>
          </w:tcPr>
          <w:p w14:paraId="4ABA0757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DB8703E" w14:textId="4CE6A777" w:rsidR="00687890" w:rsidRPr="004C23F4" w:rsidRDefault="00841A46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E06F40" w:rsidRPr="004C23F4" w14:paraId="2EAA88A0" w14:textId="77777777" w:rsidTr="00EA6243">
        <w:trPr>
          <w:cantSplit/>
        </w:trPr>
        <w:tc>
          <w:tcPr>
            <w:tcW w:w="4077" w:type="dxa"/>
            <w:vAlign w:val="center"/>
          </w:tcPr>
          <w:p w14:paraId="0CD55BC3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702DF8B1" w14:textId="77777777" w:rsidR="00E06F40" w:rsidRPr="00A006A0" w:rsidRDefault="0061696A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F48325F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7BDC458B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6FC154F4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66E50ACD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1ED8CFCD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4C64D4FD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534BD28A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7EA8B2E0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28E33F8D" w14:textId="2535621F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3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0C01F3CA" w14:textId="4F1DEC10" w:rsidR="006C0656" w:rsidRDefault="006C0656" w:rsidP="00084859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(2015) </w:t>
      </w:r>
      <w:proofErr w:type="spellStart"/>
      <w:r w:rsidRPr="006C0656">
        <w:t>Diacetyl</w:t>
      </w:r>
      <w:proofErr w:type="spellEnd"/>
      <w:r>
        <w:t xml:space="preserve"> – MAK value documentation.</w:t>
      </w:r>
    </w:p>
    <w:p w14:paraId="0B3CFE12" w14:textId="69C20D3F" w:rsidR="006C0656" w:rsidRDefault="006C0656" w:rsidP="00084859">
      <w:r w:rsidRPr="002022B6">
        <w:t>EU Scientific Committee on Occupational Exposure Limits (SCOEL)</w:t>
      </w:r>
      <w:r>
        <w:t xml:space="preserve"> (</w:t>
      </w:r>
      <w:r w:rsidR="008C2FC2">
        <w:t>2014</w:t>
      </w:r>
      <w:r>
        <w:t xml:space="preserve">) Recommendation from the Scientific Committee on Occupational Exposure Limits for </w:t>
      </w:r>
      <w:proofErr w:type="spellStart"/>
      <w:r w:rsidR="008C2FC2" w:rsidRPr="008C2FC2">
        <w:t>Diacetyl</w:t>
      </w:r>
      <w:proofErr w:type="spellEnd"/>
      <w:r>
        <w:t>. SCOEL/</w:t>
      </w:r>
      <w:r w:rsidR="008C2FC2" w:rsidRPr="008C2FC2">
        <w:t>SUM/149</w:t>
      </w:r>
      <w:r>
        <w:t>.</w:t>
      </w:r>
    </w:p>
    <w:p w14:paraId="548307B2" w14:textId="63E7F813" w:rsidR="00F85EA1" w:rsidRPr="00351FE0" w:rsidRDefault="00F85EA1" w:rsidP="00084859">
      <w:r>
        <w:t xml:space="preserve">US National Institute for Occupational Safety and Health (NIOSH) (2016) Criteria for a recommended standard: occupational exposure to </w:t>
      </w:r>
      <w:proofErr w:type="spellStart"/>
      <w:r>
        <w:t>diacetyl</w:t>
      </w:r>
      <w:proofErr w:type="spellEnd"/>
      <w:r>
        <w:t xml:space="preserve"> and 2</w:t>
      </w:r>
      <w:proofErr w:type="gramStart"/>
      <w:r>
        <w:t>,3</w:t>
      </w:r>
      <w:proofErr w:type="gramEnd"/>
      <w:r>
        <w:t>-pentan</w:t>
      </w:r>
      <w:r w:rsidR="005D0BFA">
        <w:t>edione.</w:t>
      </w:r>
    </w:p>
    <w:sectPr w:rsidR="00F85EA1" w:rsidRPr="00351FE0" w:rsidSect="00B87D4C">
      <w:headerReference w:type="default" r:id="rId14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E51CD" w14:textId="77777777" w:rsidR="00BA03F8" w:rsidRDefault="00BA03F8" w:rsidP="00F43AD5">
      <w:pPr>
        <w:spacing w:after="0" w:line="240" w:lineRule="auto"/>
      </w:pPr>
      <w:r>
        <w:separator/>
      </w:r>
    </w:p>
  </w:endnote>
  <w:endnote w:type="continuationSeparator" w:id="0">
    <w:p w14:paraId="6A914427" w14:textId="77777777" w:rsidR="00BA03F8" w:rsidRDefault="00BA03F8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483F0E4" w14:textId="74B1843C" w:rsidR="008A36CF" w:rsidRDefault="00A74228" w:rsidP="0034744C">
        <w:pPr>
          <w:pStyle w:val="Footer"/>
          <w:rPr>
            <w:sz w:val="18"/>
            <w:szCs w:val="18"/>
          </w:rPr>
        </w:pPr>
        <w:proofErr w:type="spellStart"/>
        <w:r w:rsidRPr="00A74228">
          <w:rPr>
            <w:b/>
            <w:sz w:val="18"/>
            <w:szCs w:val="18"/>
          </w:rPr>
          <w:t>Diacetyl</w:t>
        </w:r>
        <w:proofErr w:type="spellEnd"/>
        <w:r w:rsidR="008A36CF">
          <w:rPr>
            <w:b/>
            <w:sz w:val="18"/>
            <w:szCs w:val="18"/>
          </w:rPr>
          <w:t xml:space="preserve"> (</w:t>
        </w:r>
        <w:r w:rsidRPr="00A74228">
          <w:rPr>
            <w:b/>
            <w:sz w:val="18"/>
            <w:szCs w:val="18"/>
          </w:rPr>
          <w:t>431-03-8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24BD1FFD" w14:textId="600803DF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61696A">
          <w:rPr>
            <w:noProof/>
            <w:sz w:val="18"/>
            <w:szCs w:val="18"/>
          </w:rPr>
          <w:t>6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6B2F6" w14:textId="77777777" w:rsidR="00BA03F8" w:rsidRDefault="00BA03F8" w:rsidP="00F43AD5">
      <w:pPr>
        <w:spacing w:after="0" w:line="240" w:lineRule="auto"/>
      </w:pPr>
      <w:r>
        <w:separator/>
      </w:r>
    </w:p>
  </w:footnote>
  <w:footnote w:type="continuationSeparator" w:id="0">
    <w:p w14:paraId="16C63C1B" w14:textId="77777777" w:rsidR="00BA03F8" w:rsidRDefault="00BA03F8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B19D4" w14:textId="0535A2AB" w:rsidR="00992A18" w:rsidRDefault="0061696A" w:rsidP="00992A18">
    <w:pPr>
      <w:pStyle w:val="Header"/>
      <w:jc w:val="right"/>
    </w:pPr>
    <w:r>
      <w:pict w14:anchorId="0E2FC5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911533" o:spid="_x0000_s8193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992A18">
      <w:rPr>
        <w:noProof/>
        <w:lang w:eastAsia="en-AU"/>
      </w:rPr>
      <w:drawing>
        <wp:inline distT="0" distB="0" distL="0" distR="0" wp14:anchorId="59AC1EEC" wp14:editId="3FE66821">
          <wp:extent cx="2945130" cy="595630"/>
          <wp:effectExtent l="0" t="0" r="7620" b="0"/>
          <wp:docPr id="2" name="Picture 2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108B8A" w14:textId="35941D2B" w:rsidR="008A36CF" w:rsidRPr="00992A18" w:rsidRDefault="008A36CF" w:rsidP="00992A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59A84" w14:textId="28DC19D7" w:rsidR="00992A18" w:rsidRDefault="0061696A" w:rsidP="00992A18">
    <w:pPr>
      <w:pStyle w:val="Header"/>
      <w:jc w:val="right"/>
    </w:pPr>
    <w:r>
      <w:pict w14:anchorId="50AA80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8194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992A18">
      <w:rPr>
        <w:noProof/>
        <w:lang w:eastAsia="en-AU"/>
      </w:rPr>
      <w:drawing>
        <wp:inline distT="0" distB="0" distL="0" distR="0" wp14:anchorId="3808CDA2" wp14:editId="36064043">
          <wp:extent cx="2945130" cy="595630"/>
          <wp:effectExtent l="0" t="0" r="762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3A8448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161D5"/>
    <w:multiLevelType w:val="hybridMultilevel"/>
    <w:tmpl w:val="F4A04F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015070"/>
    <w:multiLevelType w:val="hybridMultilevel"/>
    <w:tmpl w:val="E30CFC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E464D"/>
    <w:multiLevelType w:val="hybridMultilevel"/>
    <w:tmpl w:val="991EB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B0490A"/>
    <w:multiLevelType w:val="hybridMultilevel"/>
    <w:tmpl w:val="98C6652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0F1"/>
    <w:rsid w:val="00013647"/>
    <w:rsid w:val="00013A22"/>
    <w:rsid w:val="00014C3F"/>
    <w:rsid w:val="00017C82"/>
    <w:rsid w:val="0002133B"/>
    <w:rsid w:val="00032B88"/>
    <w:rsid w:val="00046DF5"/>
    <w:rsid w:val="00052060"/>
    <w:rsid w:val="0005574A"/>
    <w:rsid w:val="00055FE1"/>
    <w:rsid w:val="00056EC2"/>
    <w:rsid w:val="00060B48"/>
    <w:rsid w:val="00061A59"/>
    <w:rsid w:val="00067F32"/>
    <w:rsid w:val="00071807"/>
    <w:rsid w:val="00074D53"/>
    <w:rsid w:val="000803E1"/>
    <w:rsid w:val="00084513"/>
    <w:rsid w:val="00084859"/>
    <w:rsid w:val="00092D94"/>
    <w:rsid w:val="000A0AAB"/>
    <w:rsid w:val="000A4FA0"/>
    <w:rsid w:val="000B0868"/>
    <w:rsid w:val="000B0A80"/>
    <w:rsid w:val="000B3E12"/>
    <w:rsid w:val="000B3E78"/>
    <w:rsid w:val="000B7B48"/>
    <w:rsid w:val="000C096D"/>
    <w:rsid w:val="000C139A"/>
    <w:rsid w:val="000C2053"/>
    <w:rsid w:val="000C248C"/>
    <w:rsid w:val="000C2696"/>
    <w:rsid w:val="000D291C"/>
    <w:rsid w:val="000D498F"/>
    <w:rsid w:val="000E5A54"/>
    <w:rsid w:val="000E63D3"/>
    <w:rsid w:val="000E67CF"/>
    <w:rsid w:val="0010461E"/>
    <w:rsid w:val="00106FAA"/>
    <w:rsid w:val="00113443"/>
    <w:rsid w:val="001269A7"/>
    <w:rsid w:val="001308D2"/>
    <w:rsid w:val="00131092"/>
    <w:rsid w:val="00135D36"/>
    <w:rsid w:val="00140E6A"/>
    <w:rsid w:val="00146545"/>
    <w:rsid w:val="00146B75"/>
    <w:rsid w:val="0015266D"/>
    <w:rsid w:val="0015288A"/>
    <w:rsid w:val="00160F47"/>
    <w:rsid w:val="00163451"/>
    <w:rsid w:val="001668ED"/>
    <w:rsid w:val="00174C32"/>
    <w:rsid w:val="001769AD"/>
    <w:rsid w:val="00177CA1"/>
    <w:rsid w:val="00183823"/>
    <w:rsid w:val="00183942"/>
    <w:rsid w:val="00185428"/>
    <w:rsid w:val="00186D83"/>
    <w:rsid w:val="001A009E"/>
    <w:rsid w:val="001A1287"/>
    <w:rsid w:val="001A3859"/>
    <w:rsid w:val="001A3C9D"/>
    <w:rsid w:val="001A43F8"/>
    <w:rsid w:val="001B53CC"/>
    <w:rsid w:val="001B79E5"/>
    <w:rsid w:val="001C105A"/>
    <w:rsid w:val="001C409F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57AA9"/>
    <w:rsid w:val="00263255"/>
    <w:rsid w:val="00276494"/>
    <w:rsid w:val="00277B0C"/>
    <w:rsid w:val="002A1CF8"/>
    <w:rsid w:val="002B060A"/>
    <w:rsid w:val="002B1A2C"/>
    <w:rsid w:val="002B4448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3A9F"/>
    <w:rsid w:val="00347192"/>
    <w:rsid w:val="0034744C"/>
    <w:rsid w:val="003501DD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786"/>
    <w:rsid w:val="003E0807"/>
    <w:rsid w:val="003E51FB"/>
    <w:rsid w:val="003E6B39"/>
    <w:rsid w:val="003F07E1"/>
    <w:rsid w:val="003F5174"/>
    <w:rsid w:val="004030BC"/>
    <w:rsid w:val="00403F7D"/>
    <w:rsid w:val="00406785"/>
    <w:rsid w:val="004079B4"/>
    <w:rsid w:val="004153E3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028"/>
    <w:rsid w:val="00485BFD"/>
    <w:rsid w:val="004867A2"/>
    <w:rsid w:val="004873F2"/>
    <w:rsid w:val="00490D4C"/>
    <w:rsid w:val="00493A35"/>
    <w:rsid w:val="0049527A"/>
    <w:rsid w:val="004966BF"/>
    <w:rsid w:val="00497984"/>
    <w:rsid w:val="004A428B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056AA"/>
    <w:rsid w:val="005142C4"/>
    <w:rsid w:val="0051509C"/>
    <w:rsid w:val="005272E2"/>
    <w:rsid w:val="0053108F"/>
    <w:rsid w:val="00532B56"/>
    <w:rsid w:val="00534B10"/>
    <w:rsid w:val="0053545E"/>
    <w:rsid w:val="005446A2"/>
    <w:rsid w:val="00544D2F"/>
    <w:rsid w:val="00551BD8"/>
    <w:rsid w:val="005528BC"/>
    <w:rsid w:val="00560FA9"/>
    <w:rsid w:val="00581055"/>
    <w:rsid w:val="00582B7D"/>
    <w:rsid w:val="00591E38"/>
    <w:rsid w:val="005A19C5"/>
    <w:rsid w:val="005A2787"/>
    <w:rsid w:val="005A3034"/>
    <w:rsid w:val="005A462D"/>
    <w:rsid w:val="005B253B"/>
    <w:rsid w:val="005B771D"/>
    <w:rsid w:val="005C5D16"/>
    <w:rsid w:val="005D0BFA"/>
    <w:rsid w:val="005D3193"/>
    <w:rsid w:val="005D4A6E"/>
    <w:rsid w:val="005E6979"/>
    <w:rsid w:val="005E75CB"/>
    <w:rsid w:val="006005B5"/>
    <w:rsid w:val="006013C1"/>
    <w:rsid w:val="0060669E"/>
    <w:rsid w:val="00610F2E"/>
    <w:rsid w:val="00611399"/>
    <w:rsid w:val="00612A43"/>
    <w:rsid w:val="0061696A"/>
    <w:rsid w:val="00624C4E"/>
    <w:rsid w:val="00625200"/>
    <w:rsid w:val="00627C82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6302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C0656"/>
    <w:rsid w:val="006D0C3C"/>
    <w:rsid w:val="006D79EA"/>
    <w:rsid w:val="006E5D05"/>
    <w:rsid w:val="006F3E34"/>
    <w:rsid w:val="00701053"/>
    <w:rsid w:val="00701507"/>
    <w:rsid w:val="00701FC2"/>
    <w:rsid w:val="00714021"/>
    <w:rsid w:val="00716A0F"/>
    <w:rsid w:val="00717D45"/>
    <w:rsid w:val="007208F7"/>
    <w:rsid w:val="007218AF"/>
    <w:rsid w:val="007365D1"/>
    <w:rsid w:val="0074009A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0C66"/>
    <w:rsid w:val="007C30EB"/>
    <w:rsid w:val="007C6A19"/>
    <w:rsid w:val="007D76DD"/>
    <w:rsid w:val="007E063C"/>
    <w:rsid w:val="007E2A4B"/>
    <w:rsid w:val="007E307D"/>
    <w:rsid w:val="007E45DB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2748C"/>
    <w:rsid w:val="00834CC8"/>
    <w:rsid w:val="00835E00"/>
    <w:rsid w:val="00837113"/>
    <w:rsid w:val="008414E4"/>
    <w:rsid w:val="00841A46"/>
    <w:rsid w:val="00843E21"/>
    <w:rsid w:val="0084508E"/>
    <w:rsid w:val="00857A8A"/>
    <w:rsid w:val="008630EE"/>
    <w:rsid w:val="00864D13"/>
    <w:rsid w:val="00871CD5"/>
    <w:rsid w:val="008745A2"/>
    <w:rsid w:val="008749AD"/>
    <w:rsid w:val="008768A8"/>
    <w:rsid w:val="0088798F"/>
    <w:rsid w:val="00887E4B"/>
    <w:rsid w:val="008915C8"/>
    <w:rsid w:val="008931D1"/>
    <w:rsid w:val="008A36CF"/>
    <w:rsid w:val="008A3BC4"/>
    <w:rsid w:val="008B403C"/>
    <w:rsid w:val="008B70E7"/>
    <w:rsid w:val="008B7983"/>
    <w:rsid w:val="008C2511"/>
    <w:rsid w:val="008C2FC2"/>
    <w:rsid w:val="008D026D"/>
    <w:rsid w:val="008D0FD4"/>
    <w:rsid w:val="008D23AB"/>
    <w:rsid w:val="008D4B8B"/>
    <w:rsid w:val="008D5A78"/>
    <w:rsid w:val="008E7B64"/>
    <w:rsid w:val="008F5DCD"/>
    <w:rsid w:val="00900951"/>
    <w:rsid w:val="009118A6"/>
    <w:rsid w:val="009153FC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2BE1"/>
    <w:rsid w:val="00955A86"/>
    <w:rsid w:val="0095663E"/>
    <w:rsid w:val="009578DD"/>
    <w:rsid w:val="00961124"/>
    <w:rsid w:val="009621B6"/>
    <w:rsid w:val="00974F2D"/>
    <w:rsid w:val="00977524"/>
    <w:rsid w:val="00977E88"/>
    <w:rsid w:val="00984920"/>
    <w:rsid w:val="00992A18"/>
    <w:rsid w:val="0099303A"/>
    <w:rsid w:val="009933E2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649"/>
    <w:rsid w:val="009C5874"/>
    <w:rsid w:val="009D3B5A"/>
    <w:rsid w:val="009E0C05"/>
    <w:rsid w:val="009E0D1C"/>
    <w:rsid w:val="009E1128"/>
    <w:rsid w:val="009E2214"/>
    <w:rsid w:val="009E2848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2D59"/>
    <w:rsid w:val="00A357BA"/>
    <w:rsid w:val="00A35ADC"/>
    <w:rsid w:val="00A366E3"/>
    <w:rsid w:val="00A402A3"/>
    <w:rsid w:val="00A45F97"/>
    <w:rsid w:val="00A53681"/>
    <w:rsid w:val="00A57FBB"/>
    <w:rsid w:val="00A633D4"/>
    <w:rsid w:val="00A6461A"/>
    <w:rsid w:val="00A6572D"/>
    <w:rsid w:val="00A74228"/>
    <w:rsid w:val="00A74782"/>
    <w:rsid w:val="00A84504"/>
    <w:rsid w:val="00A855F2"/>
    <w:rsid w:val="00A8672F"/>
    <w:rsid w:val="00A93057"/>
    <w:rsid w:val="00A968B0"/>
    <w:rsid w:val="00AA2973"/>
    <w:rsid w:val="00AA6557"/>
    <w:rsid w:val="00AB0763"/>
    <w:rsid w:val="00AB2672"/>
    <w:rsid w:val="00AB2817"/>
    <w:rsid w:val="00AB43C4"/>
    <w:rsid w:val="00AC32E7"/>
    <w:rsid w:val="00AC3A9F"/>
    <w:rsid w:val="00AC6D2F"/>
    <w:rsid w:val="00AD5C45"/>
    <w:rsid w:val="00AE2745"/>
    <w:rsid w:val="00AE2F64"/>
    <w:rsid w:val="00AF42CB"/>
    <w:rsid w:val="00AF483F"/>
    <w:rsid w:val="00AF5DC0"/>
    <w:rsid w:val="00AF5E07"/>
    <w:rsid w:val="00AF5F06"/>
    <w:rsid w:val="00B00A25"/>
    <w:rsid w:val="00B01474"/>
    <w:rsid w:val="00B061CE"/>
    <w:rsid w:val="00B1422A"/>
    <w:rsid w:val="00B1765C"/>
    <w:rsid w:val="00B213C4"/>
    <w:rsid w:val="00B23493"/>
    <w:rsid w:val="00B27DB2"/>
    <w:rsid w:val="00B40C60"/>
    <w:rsid w:val="00B479A9"/>
    <w:rsid w:val="00B52EDF"/>
    <w:rsid w:val="00B530E9"/>
    <w:rsid w:val="00B61785"/>
    <w:rsid w:val="00B71188"/>
    <w:rsid w:val="00B73792"/>
    <w:rsid w:val="00B76A41"/>
    <w:rsid w:val="00B87D4C"/>
    <w:rsid w:val="00B93646"/>
    <w:rsid w:val="00BA03F8"/>
    <w:rsid w:val="00BA0B38"/>
    <w:rsid w:val="00BA1728"/>
    <w:rsid w:val="00BA1DBB"/>
    <w:rsid w:val="00BA4510"/>
    <w:rsid w:val="00BA529A"/>
    <w:rsid w:val="00BB612A"/>
    <w:rsid w:val="00BC2A26"/>
    <w:rsid w:val="00BD499F"/>
    <w:rsid w:val="00BD56DE"/>
    <w:rsid w:val="00BE4B83"/>
    <w:rsid w:val="00BF098B"/>
    <w:rsid w:val="00BF2406"/>
    <w:rsid w:val="00C06E43"/>
    <w:rsid w:val="00C16315"/>
    <w:rsid w:val="00C3091E"/>
    <w:rsid w:val="00C35635"/>
    <w:rsid w:val="00C40FF1"/>
    <w:rsid w:val="00C419E2"/>
    <w:rsid w:val="00C46C6A"/>
    <w:rsid w:val="00C5020E"/>
    <w:rsid w:val="00C57452"/>
    <w:rsid w:val="00C61EDF"/>
    <w:rsid w:val="00C6239D"/>
    <w:rsid w:val="00C62640"/>
    <w:rsid w:val="00C6594B"/>
    <w:rsid w:val="00C67FFB"/>
    <w:rsid w:val="00C7155E"/>
    <w:rsid w:val="00C71D1E"/>
    <w:rsid w:val="00C71D7D"/>
    <w:rsid w:val="00C72D40"/>
    <w:rsid w:val="00C74833"/>
    <w:rsid w:val="00C819CB"/>
    <w:rsid w:val="00C850A0"/>
    <w:rsid w:val="00C85A86"/>
    <w:rsid w:val="00C87DB1"/>
    <w:rsid w:val="00C978F0"/>
    <w:rsid w:val="00CA58FE"/>
    <w:rsid w:val="00CB1CB1"/>
    <w:rsid w:val="00CB6BC1"/>
    <w:rsid w:val="00CB6CB8"/>
    <w:rsid w:val="00CC1A68"/>
    <w:rsid w:val="00CC2123"/>
    <w:rsid w:val="00CD11B2"/>
    <w:rsid w:val="00CD2BFD"/>
    <w:rsid w:val="00CD350B"/>
    <w:rsid w:val="00CE5AD6"/>
    <w:rsid w:val="00CE617F"/>
    <w:rsid w:val="00CE78EF"/>
    <w:rsid w:val="00CF4B89"/>
    <w:rsid w:val="00CF6464"/>
    <w:rsid w:val="00CF7D86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52DB6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B2E6D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1092C"/>
    <w:rsid w:val="00E26A07"/>
    <w:rsid w:val="00E32595"/>
    <w:rsid w:val="00E344AD"/>
    <w:rsid w:val="00E37CFD"/>
    <w:rsid w:val="00E41A26"/>
    <w:rsid w:val="00E46BCB"/>
    <w:rsid w:val="00E51CAF"/>
    <w:rsid w:val="00E601E4"/>
    <w:rsid w:val="00E60F04"/>
    <w:rsid w:val="00E62AAC"/>
    <w:rsid w:val="00E67C2F"/>
    <w:rsid w:val="00E67EF5"/>
    <w:rsid w:val="00E804EA"/>
    <w:rsid w:val="00E80A71"/>
    <w:rsid w:val="00E82337"/>
    <w:rsid w:val="00E92197"/>
    <w:rsid w:val="00E92499"/>
    <w:rsid w:val="00E949AF"/>
    <w:rsid w:val="00E96077"/>
    <w:rsid w:val="00EA0A06"/>
    <w:rsid w:val="00EA6243"/>
    <w:rsid w:val="00EA731A"/>
    <w:rsid w:val="00EA74AB"/>
    <w:rsid w:val="00EB3D1B"/>
    <w:rsid w:val="00EB6E9B"/>
    <w:rsid w:val="00ED0442"/>
    <w:rsid w:val="00ED1D89"/>
    <w:rsid w:val="00ED61D2"/>
    <w:rsid w:val="00ED66BC"/>
    <w:rsid w:val="00EE6658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4FFE"/>
    <w:rsid w:val="00F16019"/>
    <w:rsid w:val="00F20E68"/>
    <w:rsid w:val="00F22093"/>
    <w:rsid w:val="00F236DF"/>
    <w:rsid w:val="00F27350"/>
    <w:rsid w:val="00F400CC"/>
    <w:rsid w:val="00F43AD5"/>
    <w:rsid w:val="00F4402E"/>
    <w:rsid w:val="00F50785"/>
    <w:rsid w:val="00F56DD0"/>
    <w:rsid w:val="00F6491C"/>
    <w:rsid w:val="00F67BBB"/>
    <w:rsid w:val="00F85EA1"/>
    <w:rsid w:val="00F87D92"/>
    <w:rsid w:val="00F90AA7"/>
    <w:rsid w:val="00F92498"/>
    <w:rsid w:val="00F9496B"/>
    <w:rsid w:val="00F970C9"/>
    <w:rsid w:val="00FA06A8"/>
    <w:rsid w:val="00FA3DF5"/>
    <w:rsid w:val="00FA741F"/>
    <w:rsid w:val="00FB2579"/>
    <w:rsid w:val="00FB4E07"/>
    <w:rsid w:val="00FB755A"/>
    <w:rsid w:val="00FC0A02"/>
    <w:rsid w:val="00FC60A2"/>
    <w:rsid w:val="00FC7C09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090CA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CD11B2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40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09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09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0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09F"/>
    <w:rPr>
      <w:b/>
      <w:bCs/>
      <w:szCs w:val="20"/>
    </w:rPr>
  </w:style>
  <w:style w:type="paragraph" w:styleId="ListParagraph">
    <w:name w:val="List Paragraph"/>
    <w:basedOn w:val="Normal"/>
    <w:uiPriority w:val="34"/>
    <w:qFormat/>
    <w:rsid w:val="00EB6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8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cgih.org/tlv-bei-guidelines/policies-procedures-presentation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1646A1BF15834A99A5DF05AC27D52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E0DD6-D5DD-40B8-8380-CCDD7403EEF1}"/>
      </w:docPartPr>
      <w:docPartBody>
        <w:p w:rsidR="000128F9" w:rsidRDefault="004E7A78" w:rsidP="004E7A78">
          <w:pPr>
            <w:pStyle w:val="1646A1BF15834A99A5DF05AC27D52C9A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FECD6BFB531445349DD0097B5D327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61703-CFFD-4C33-A5AF-875F831C2BB2}"/>
      </w:docPartPr>
      <w:docPartBody>
        <w:p w:rsidR="005B77E1" w:rsidRDefault="007650F7" w:rsidP="007650F7">
          <w:pPr>
            <w:pStyle w:val="FECD6BFB531445349DD0097B5D32717C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128F9"/>
    <w:rsid w:val="004E7A78"/>
    <w:rsid w:val="005B77E1"/>
    <w:rsid w:val="00646FF4"/>
    <w:rsid w:val="006F2405"/>
    <w:rsid w:val="007650F7"/>
    <w:rsid w:val="00CB2C27"/>
    <w:rsid w:val="00D21A9F"/>
    <w:rsid w:val="00E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50F7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6B681ED5F131479F9A023775000C15A4">
    <w:name w:val="6B681ED5F131479F9A023775000C15A4"/>
    <w:rsid w:val="006F2405"/>
  </w:style>
  <w:style w:type="paragraph" w:customStyle="1" w:styleId="09EF529F3B1D4DF1A48570F02749C6B3">
    <w:name w:val="09EF529F3B1D4DF1A48570F02749C6B3"/>
    <w:rsid w:val="006F2405"/>
  </w:style>
  <w:style w:type="paragraph" w:customStyle="1" w:styleId="B4A0123B8AA74F2E9C5F648DFBEFDCFC">
    <w:name w:val="B4A0123B8AA74F2E9C5F648DFBEFDCFC"/>
    <w:rsid w:val="006F2405"/>
  </w:style>
  <w:style w:type="paragraph" w:customStyle="1" w:styleId="7E5E2E47F39543DCB0ED42E243575F19">
    <w:name w:val="7E5E2E47F39543DCB0ED42E243575F19"/>
    <w:rsid w:val="006F2405"/>
  </w:style>
  <w:style w:type="paragraph" w:customStyle="1" w:styleId="FE265B1F421246A599F7CB7094823048">
    <w:name w:val="FE265B1F421246A599F7CB7094823048"/>
    <w:rsid w:val="006F2405"/>
  </w:style>
  <w:style w:type="paragraph" w:customStyle="1" w:styleId="D0E3046164B143C98BAE4BAF83A3CC70">
    <w:name w:val="D0E3046164B143C98BAE4BAF83A3CC70"/>
    <w:rsid w:val="004E7A78"/>
    <w:rPr>
      <w:lang w:val="en-US" w:eastAsia="en-US"/>
    </w:rPr>
  </w:style>
  <w:style w:type="paragraph" w:customStyle="1" w:styleId="040691A354734518AB7CA3894F468F5B">
    <w:name w:val="040691A354734518AB7CA3894F468F5B"/>
    <w:rsid w:val="004E7A78"/>
    <w:rPr>
      <w:lang w:val="en-US" w:eastAsia="en-US"/>
    </w:rPr>
  </w:style>
  <w:style w:type="paragraph" w:customStyle="1" w:styleId="A1407712A8004BBEAE51150CE211A3F2">
    <w:name w:val="A1407712A8004BBEAE51150CE211A3F2"/>
    <w:rsid w:val="004E7A78"/>
    <w:rPr>
      <w:lang w:val="en-US" w:eastAsia="en-US"/>
    </w:rPr>
  </w:style>
  <w:style w:type="paragraph" w:customStyle="1" w:styleId="19D4F634D94B44D9A97F419D37B31199">
    <w:name w:val="19D4F634D94B44D9A97F419D37B31199"/>
    <w:rsid w:val="004E7A78"/>
    <w:rPr>
      <w:lang w:val="en-US" w:eastAsia="en-US"/>
    </w:rPr>
  </w:style>
  <w:style w:type="paragraph" w:customStyle="1" w:styleId="F82A08563B6E43D4A96D649C4F1E0A2F">
    <w:name w:val="F82A08563B6E43D4A96D649C4F1E0A2F"/>
    <w:rsid w:val="004E7A78"/>
    <w:rPr>
      <w:lang w:val="en-US" w:eastAsia="en-US"/>
    </w:rPr>
  </w:style>
  <w:style w:type="paragraph" w:customStyle="1" w:styleId="F0D24164244B41EA802B0B447456AB51">
    <w:name w:val="F0D24164244B41EA802B0B447456AB51"/>
    <w:rsid w:val="004E7A78"/>
    <w:rPr>
      <w:lang w:val="en-US" w:eastAsia="en-US"/>
    </w:rPr>
  </w:style>
  <w:style w:type="paragraph" w:customStyle="1" w:styleId="8C0856A0082441149D30D17FF163E891">
    <w:name w:val="8C0856A0082441149D30D17FF163E891"/>
    <w:rsid w:val="004E7A78"/>
    <w:rPr>
      <w:lang w:val="en-US" w:eastAsia="en-US"/>
    </w:rPr>
  </w:style>
  <w:style w:type="paragraph" w:customStyle="1" w:styleId="9B716679A4C048AAB916CA26D272A8E4">
    <w:name w:val="9B716679A4C048AAB916CA26D272A8E4"/>
    <w:rsid w:val="004E7A78"/>
    <w:rPr>
      <w:lang w:val="en-US" w:eastAsia="en-US"/>
    </w:rPr>
  </w:style>
  <w:style w:type="paragraph" w:customStyle="1" w:styleId="E6541213F2454A0080EBAC90195D4AFC">
    <w:name w:val="E6541213F2454A0080EBAC90195D4AFC"/>
    <w:rsid w:val="004E7A78"/>
    <w:rPr>
      <w:lang w:val="en-US" w:eastAsia="en-US"/>
    </w:rPr>
  </w:style>
  <w:style w:type="paragraph" w:customStyle="1" w:styleId="CCE2D575B1D94C4A9ACACEC76CC7AE48">
    <w:name w:val="CCE2D575B1D94C4A9ACACEC76CC7AE48"/>
    <w:rsid w:val="004E7A78"/>
    <w:rPr>
      <w:lang w:val="en-US" w:eastAsia="en-US"/>
    </w:rPr>
  </w:style>
  <w:style w:type="paragraph" w:customStyle="1" w:styleId="F1E5422A6B584AA4A1A0624825553972">
    <w:name w:val="F1E5422A6B584AA4A1A0624825553972"/>
    <w:rsid w:val="004E7A78"/>
    <w:rPr>
      <w:lang w:val="en-US" w:eastAsia="en-US"/>
    </w:rPr>
  </w:style>
  <w:style w:type="paragraph" w:customStyle="1" w:styleId="58BDD5E45D7047218F47B4F3C10212BF">
    <w:name w:val="58BDD5E45D7047218F47B4F3C10212BF"/>
    <w:rsid w:val="004E7A78"/>
    <w:rPr>
      <w:lang w:val="en-US" w:eastAsia="en-US"/>
    </w:rPr>
  </w:style>
  <w:style w:type="paragraph" w:customStyle="1" w:styleId="A89BBF24C07E4D3FA102F48642809C63">
    <w:name w:val="A89BBF24C07E4D3FA102F48642809C63"/>
    <w:rsid w:val="004E7A78"/>
    <w:rPr>
      <w:lang w:val="en-US" w:eastAsia="en-US"/>
    </w:rPr>
  </w:style>
  <w:style w:type="paragraph" w:customStyle="1" w:styleId="EAF29129B90B44C28BFE33BF29767B9D">
    <w:name w:val="EAF29129B90B44C28BFE33BF29767B9D"/>
    <w:rsid w:val="004E7A78"/>
    <w:rPr>
      <w:lang w:val="en-US" w:eastAsia="en-US"/>
    </w:rPr>
  </w:style>
  <w:style w:type="paragraph" w:customStyle="1" w:styleId="2CC94FE8BE17424CB15CD8B962EE8E8E">
    <w:name w:val="2CC94FE8BE17424CB15CD8B962EE8E8E"/>
    <w:rsid w:val="004E7A78"/>
    <w:rPr>
      <w:lang w:val="en-US" w:eastAsia="en-US"/>
    </w:rPr>
  </w:style>
  <w:style w:type="paragraph" w:customStyle="1" w:styleId="F84149B20E974DF7A8E03F8AC16696A7">
    <w:name w:val="F84149B20E974DF7A8E03F8AC16696A7"/>
    <w:rsid w:val="004E7A78"/>
    <w:rPr>
      <w:lang w:val="en-US" w:eastAsia="en-US"/>
    </w:rPr>
  </w:style>
  <w:style w:type="paragraph" w:customStyle="1" w:styleId="B3BB152A4CBC433D92E928BE1E9EE20D">
    <w:name w:val="B3BB152A4CBC433D92E928BE1E9EE20D"/>
    <w:rsid w:val="004E7A78"/>
    <w:rPr>
      <w:lang w:val="en-US" w:eastAsia="en-US"/>
    </w:rPr>
  </w:style>
  <w:style w:type="paragraph" w:customStyle="1" w:styleId="53B36B01AD144CAF81CAE0F189EEE4D8">
    <w:name w:val="53B36B01AD144CAF81CAE0F189EEE4D8"/>
    <w:rsid w:val="004E7A78"/>
    <w:rPr>
      <w:lang w:val="en-US" w:eastAsia="en-US"/>
    </w:rPr>
  </w:style>
  <w:style w:type="paragraph" w:customStyle="1" w:styleId="28FF25DD956A42B1BC357941AB602432">
    <w:name w:val="28FF25DD956A42B1BC357941AB602432"/>
    <w:rsid w:val="004E7A78"/>
    <w:rPr>
      <w:lang w:val="en-US" w:eastAsia="en-US"/>
    </w:rPr>
  </w:style>
  <w:style w:type="paragraph" w:customStyle="1" w:styleId="B46A0C762089449A9DD06C921576A25B">
    <w:name w:val="B46A0C762089449A9DD06C921576A25B"/>
    <w:rsid w:val="004E7A78"/>
    <w:rPr>
      <w:lang w:val="en-US" w:eastAsia="en-US"/>
    </w:rPr>
  </w:style>
  <w:style w:type="paragraph" w:customStyle="1" w:styleId="24A49971638E4DF6A19796F44A4A3AE2">
    <w:name w:val="24A49971638E4DF6A19796F44A4A3AE2"/>
    <w:rsid w:val="004E7A78"/>
    <w:rPr>
      <w:lang w:val="en-US" w:eastAsia="en-US"/>
    </w:rPr>
  </w:style>
  <w:style w:type="paragraph" w:customStyle="1" w:styleId="1646A1BF15834A99A5DF05AC27D52C9A">
    <w:name w:val="1646A1BF15834A99A5DF05AC27D52C9A"/>
    <w:rsid w:val="004E7A78"/>
    <w:rPr>
      <w:lang w:val="en-US" w:eastAsia="en-US"/>
    </w:rPr>
  </w:style>
  <w:style w:type="paragraph" w:customStyle="1" w:styleId="FECD6BFB531445349DD0097B5D32717C">
    <w:name w:val="FECD6BFB531445349DD0097B5D32717C"/>
    <w:rsid w:val="007650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769E3-F2A8-4E44-BBDB-1528F74EEB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7766A4-2183-4D55-8B27-5ABE5E946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D286BF-3B51-4775-91D3-842EDE9CA98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f54d604-3e62-4e70-ba33-9e9084b96a6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DC07978-A87E-41AB-894A-CCE54AAF0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E26D7D4C.dotm</Template>
  <TotalTime>0</TotalTime>
  <Pages>6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2019-10-10T03:00:00Z</dcterms:created>
  <dcterms:modified xsi:type="dcterms:W3CDTF">2019-11-06T23:05:00Z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