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740DE07" w14:textId="2CD5964F" w:rsidR="00BD499F" w:rsidRPr="004C23F4" w:rsidRDefault="00BF121E" w:rsidP="00B40C60">
          <w:pPr>
            <w:pStyle w:val="Heading1"/>
            <w:jc w:val="center"/>
            <w:rPr>
              <w:rFonts w:ascii="Arial" w:hAnsi="Arial" w:cs="Arial"/>
            </w:rPr>
          </w:pPr>
          <w:r w:rsidRPr="00BF121E">
            <w:rPr>
              <w:rFonts w:ascii="Arial" w:hAnsi="Arial" w:cs="Arial"/>
            </w:rPr>
            <w:t>Dichloropropene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7FE7BB71" w14:textId="77777777" w:rsidTr="00B456E7">
        <w:trPr>
          <w:cantSplit/>
          <w:tblHeader/>
        </w:trPr>
        <w:tc>
          <w:tcPr>
            <w:tcW w:w="3978" w:type="dxa"/>
          </w:tcPr>
          <w:p w14:paraId="5E926E8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8" w:type="dxa"/>
          </w:tcPr>
          <w:p w14:paraId="32A85C3F" w14:textId="52AB24D2" w:rsidR="00F43AD5" w:rsidRPr="00717D45" w:rsidRDefault="00DE3F82" w:rsidP="00B76A41">
            <w:pPr>
              <w:pStyle w:val="Tablefont"/>
            </w:pPr>
            <w:r w:rsidRPr="00DE3F82">
              <w:t>542-75-6</w:t>
            </w:r>
          </w:p>
        </w:tc>
      </w:tr>
      <w:tr w:rsidR="00F43AD5" w:rsidRPr="001040EA" w14:paraId="7F8DB9F3" w14:textId="77777777" w:rsidTr="00B456E7">
        <w:trPr>
          <w:cantSplit/>
        </w:trPr>
        <w:tc>
          <w:tcPr>
            <w:tcW w:w="3978" w:type="dxa"/>
          </w:tcPr>
          <w:p w14:paraId="780EE717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8" w:type="dxa"/>
          </w:tcPr>
          <w:p w14:paraId="6EC46619" w14:textId="42B2F941" w:rsidR="00F43AD5" w:rsidRPr="001040EA" w:rsidRDefault="001719D6" w:rsidP="00B76A41">
            <w:pPr>
              <w:pStyle w:val="Tablefont"/>
              <w:rPr>
                <w:lang w:val="it-IT"/>
              </w:rPr>
            </w:pPr>
            <w:r w:rsidRPr="001040EA">
              <w:rPr>
                <w:lang w:val="it-IT"/>
              </w:rPr>
              <w:t xml:space="preserve">DCP, </w:t>
            </w:r>
            <w:r w:rsidR="00BF5AED" w:rsidRPr="001040EA">
              <w:rPr>
                <w:lang w:val="it-IT"/>
              </w:rPr>
              <w:t>gamma-c</w:t>
            </w:r>
            <w:r w:rsidR="00DE3F82" w:rsidRPr="001040EA">
              <w:rPr>
                <w:lang w:val="it-IT"/>
              </w:rPr>
              <w:t>hloroallyl chloride</w:t>
            </w:r>
            <w:r w:rsidR="00BF5AED" w:rsidRPr="001040EA">
              <w:rPr>
                <w:lang w:val="it-IT"/>
              </w:rPr>
              <w:t>, d</w:t>
            </w:r>
            <w:r w:rsidRPr="001040EA">
              <w:rPr>
                <w:lang w:val="it-IT"/>
              </w:rPr>
              <w:t>ichloropropylene, 1,3 Dichloro-1-propene, Trilone</w:t>
            </w:r>
          </w:p>
        </w:tc>
      </w:tr>
      <w:tr w:rsidR="00F43AD5" w:rsidRPr="004C23F4" w14:paraId="56DEBB8C" w14:textId="77777777" w:rsidTr="00B456E7">
        <w:trPr>
          <w:cantSplit/>
        </w:trPr>
        <w:tc>
          <w:tcPr>
            <w:tcW w:w="3978" w:type="dxa"/>
          </w:tcPr>
          <w:p w14:paraId="7B239CA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8" w:type="dxa"/>
          </w:tcPr>
          <w:p w14:paraId="203CC859" w14:textId="48E871E2" w:rsidR="00F43AD5" w:rsidRPr="00717D45" w:rsidRDefault="00DE3F82" w:rsidP="00B76A41">
            <w:pPr>
              <w:pStyle w:val="Tablefont"/>
            </w:pPr>
            <w:r>
              <w:t>C</w:t>
            </w:r>
            <w:r w:rsidRPr="00DE3F82">
              <w:rPr>
                <w:vertAlign w:val="subscript"/>
              </w:rPr>
              <w:t>3</w:t>
            </w:r>
            <w:r>
              <w:t>H</w:t>
            </w:r>
            <w:r w:rsidRPr="00DE3F82">
              <w:rPr>
                <w:vertAlign w:val="subscript"/>
              </w:rPr>
              <w:t>4</w:t>
            </w:r>
            <w:r>
              <w:t>Cl</w:t>
            </w:r>
            <w:r w:rsidRPr="00DE3F82">
              <w:rPr>
                <w:vertAlign w:val="subscript"/>
              </w:rPr>
              <w:t>2</w:t>
            </w:r>
          </w:p>
        </w:tc>
      </w:tr>
    </w:tbl>
    <w:p w14:paraId="0CBB1FAB" w14:textId="0A4015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248F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DCFDE48" w14:textId="77777777" w:rsidTr="00AE1282">
        <w:trPr>
          <w:cantSplit/>
          <w:tblHeader/>
        </w:trPr>
        <w:tc>
          <w:tcPr>
            <w:tcW w:w="4005" w:type="dxa"/>
            <w:vAlign w:val="center"/>
          </w:tcPr>
          <w:p w14:paraId="01BA8F8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D220968" w14:textId="07C151E1" w:rsidR="002C7AFE" w:rsidRPr="00BF5AED" w:rsidRDefault="00DE3F82" w:rsidP="00017C82">
            <w:pPr>
              <w:pStyle w:val="Tablefont"/>
              <w:rPr>
                <w:b/>
              </w:rPr>
            </w:pPr>
            <w:r w:rsidRPr="00BF5AED">
              <w:rPr>
                <w:b/>
              </w:rPr>
              <w:t>1 ppm (4.5 mg/m</w:t>
            </w:r>
            <w:r w:rsidRPr="00BF5AED">
              <w:rPr>
                <w:b/>
                <w:vertAlign w:val="superscript"/>
              </w:rPr>
              <w:t>3</w:t>
            </w:r>
            <w:r w:rsidRPr="00BF5AED">
              <w:rPr>
                <w:b/>
              </w:rPr>
              <w:t>)</w:t>
            </w:r>
          </w:p>
        </w:tc>
      </w:tr>
      <w:tr w:rsidR="002C7AFE" w:rsidRPr="004C23F4" w14:paraId="5B9427E0" w14:textId="77777777" w:rsidTr="00AE1282">
        <w:trPr>
          <w:cantSplit/>
        </w:trPr>
        <w:tc>
          <w:tcPr>
            <w:tcW w:w="4005" w:type="dxa"/>
            <w:vAlign w:val="center"/>
          </w:tcPr>
          <w:p w14:paraId="3A8F588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8443439" w14:textId="3B9925D5" w:rsidR="002C7AFE" w:rsidRPr="00A52F7F" w:rsidRDefault="00DE3F82" w:rsidP="00017C82">
            <w:pPr>
              <w:pStyle w:val="Tablefont"/>
              <w:rPr>
                <w:b/>
              </w:rPr>
            </w:pPr>
            <w:r w:rsidRPr="00BF5AED">
              <w:rPr>
                <w:b/>
              </w:rPr>
              <w:t>—</w:t>
            </w:r>
          </w:p>
        </w:tc>
      </w:tr>
      <w:tr w:rsidR="002C7AFE" w:rsidRPr="004C23F4" w14:paraId="362B6DEE" w14:textId="77777777" w:rsidTr="00AE1282">
        <w:trPr>
          <w:cantSplit/>
        </w:trPr>
        <w:tc>
          <w:tcPr>
            <w:tcW w:w="4005" w:type="dxa"/>
            <w:vAlign w:val="center"/>
          </w:tcPr>
          <w:p w14:paraId="5DCAACE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3588677" w14:textId="11F8FFD1" w:rsidR="002C7AFE" w:rsidRPr="00A52F7F" w:rsidRDefault="00DE3F82" w:rsidP="00017C82">
            <w:pPr>
              <w:pStyle w:val="Tablefont"/>
              <w:rPr>
                <w:b/>
              </w:rPr>
            </w:pPr>
            <w:r w:rsidRPr="00BF5AED">
              <w:rPr>
                <w:b/>
              </w:rPr>
              <w:t>—</w:t>
            </w:r>
          </w:p>
        </w:tc>
      </w:tr>
      <w:tr w:rsidR="002C7AFE" w:rsidRPr="004C23F4" w14:paraId="39A49A93" w14:textId="77777777" w:rsidTr="00AE1282">
        <w:trPr>
          <w:cantSplit/>
        </w:trPr>
        <w:tc>
          <w:tcPr>
            <w:tcW w:w="4005" w:type="dxa"/>
          </w:tcPr>
          <w:p w14:paraId="3B25101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7E7FB69" w14:textId="44D66CAE" w:rsidR="002C7AFE" w:rsidRPr="00BF5AED" w:rsidRDefault="0058642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Carc. 2</w:t>
            </w:r>
            <w:r w:rsidR="00C9281A">
              <w:rPr>
                <w:b/>
              </w:rPr>
              <w:t>;</w:t>
            </w:r>
            <w:r w:rsidR="00B8565B">
              <w:rPr>
                <w:b/>
              </w:rPr>
              <w:t xml:space="preserve"> </w:t>
            </w:r>
            <w:r w:rsidR="00DD5F24" w:rsidRPr="00BF5AED">
              <w:rPr>
                <w:b/>
              </w:rPr>
              <w:t>Sk</w:t>
            </w:r>
            <w:r w:rsidR="00C9281A">
              <w:rPr>
                <w:b/>
              </w:rPr>
              <w:t>;</w:t>
            </w:r>
            <w:r w:rsidR="00FF5883" w:rsidRPr="00BF5AED">
              <w:rPr>
                <w:b/>
              </w:rPr>
              <w:t xml:space="preserve"> </w:t>
            </w:r>
            <w:r w:rsidR="00BF5AED">
              <w:rPr>
                <w:b/>
              </w:rPr>
              <w:t>DSEN</w:t>
            </w:r>
          </w:p>
        </w:tc>
      </w:tr>
      <w:tr w:rsidR="002C7AFE" w:rsidRPr="004C23F4" w14:paraId="1144A1D6" w14:textId="77777777" w:rsidTr="00AE1282">
        <w:trPr>
          <w:cantSplit/>
        </w:trPr>
        <w:tc>
          <w:tcPr>
            <w:tcW w:w="4005" w:type="dxa"/>
            <w:vAlign w:val="center"/>
          </w:tcPr>
          <w:p w14:paraId="7ACAD26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1F7249E" w14:textId="16285D79" w:rsidR="002C7AFE" w:rsidRPr="00A52F7F" w:rsidRDefault="00DE3F82" w:rsidP="00017C82">
            <w:pPr>
              <w:pStyle w:val="Tablefont"/>
              <w:rPr>
                <w:b/>
              </w:rPr>
            </w:pPr>
            <w:r w:rsidRPr="00BF5AED">
              <w:rPr>
                <w:b/>
              </w:rPr>
              <w:t>—</w:t>
            </w:r>
          </w:p>
        </w:tc>
      </w:tr>
      <w:tr w:rsidR="00AE1282" w:rsidRPr="004C23F4" w14:paraId="374E7DA3" w14:textId="77777777" w:rsidTr="00EB4BC2">
        <w:trPr>
          <w:cantSplit/>
        </w:trPr>
        <w:tc>
          <w:tcPr>
            <w:tcW w:w="9026" w:type="dxa"/>
            <w:gridSpan w:val="2"/>
            <w:vAlign w:val="center"/>
          </w:tcPr>
          <w:p w14:paraId="7705DF25" w14:textId="3C3B3BF1" w:rsidR="00AE1282" w:rsidRPr="00EB3D1B" w:rsidRDefault="00AE1282" w:rsidP="00017C82">
            <w:pPr>
              <w:pStyle w:val="Tablefont"/>
              <w:rPr>
                <w:b/>
              </w:rPr>
            </w:pPr>
            <w:r w:rsidRPr="00705D64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3762A59182B74B4D9EE695A6DE2438CE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705D6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  <w:r w:rsidDel="00AE1282">
              <w:t xml:space="preserve"> </w:t>
            </w:r>
          </w:p>
        </w:tc>
      </w:tr>
    </w:tbl>
    <w:p w14:paraId="59369EF8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F7D783F" w14:textId="391ED968" w:rsidR="006639B4" w:rsidRDefault="00586427" w:rsidP="000C139A">
      <w:pPr>
        <w:rPr>
          <w:rFonts w:cs="Arial"/>
        </w:rPr>
      </w:pPr>
      <w:r>
        <w:rPr>
          <w:rFonts w:cs="Arial"/>
        </w:rPr>
        <w:t>The</w:t>
      </w:r>
      <w:r w:rsidR="006C1CF4">
        <w:rPr>
          <w:rFonts w:cs="Arial"/>
        </w:rPr>
        <w:t xml:space="preserve"> TWA of 1 ppm (4.5 mg/m</w:t>
      </w:r>
      <w:r w:rsidR="006C1CF4">
        <w:rPr>
          <w:rFonts w:cs="Arial"/>
          <w:vertAlign w:val="superscript"/>
        </w:rPr>
        <w:t>3</w:t>
      </w:r>
      <w:r w:rsidR="006C1CF4">
        <w:rPr>
          <w:rFonts w:cs="Arial"/>
        </w:rPr>
        <w:t xml:space="preserve">) </w:t>
      </w:r>
      <w:r>
        <w:rPr>
          <w:rFonts w:cs="Arial"/>
        </w:rPr>
        <w:t xml:space="preserve">is recommended </w:t>
      </w:r>
      <w:r w:rsidR="006C1CF4">
        <w:rPr>
          <w:rFonts w:cs="Arial"/>
        </w:rPr>
        <w:t xml:space="preserve">to reduce potential for kidney damage and irritation of the eyes, skin and respiratory tract of exposed workers. </w:t>
      </w:r>
    </w:p>
    <w:p w14:paraId="6F874ECF" w14:textId="1E7DB98D" w:rsidR="00B248FD" w:rsidRDefault="00B36C3B" w:rsidP="000C139A">
      <w:pPr>
        <w:rPr>
          <w:rFonts w:cs="Arial"/>
        </w:rPr>
      </w:pPr>
      <w:r w:rsidRPr="00B36C3B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2B7ACEC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1B91BA1" w14:textId="77777777" w:rsidR="00B36C3B" w:rsidRDefault="00C606CA" w:rsidP="00B248FD">
      <w:pPr>
        <w:rPr>
          <w:rFonts w:cs="Arial"/>
        </w:rPr>
      </w:pPr>
      <w:proofErr w:type="spellStart"/>
      <w:r>
        <w:rPr>
          <w:rFonts w:cs="Arial"/>
        </w:rPr>
        <w:t>Dichloropropane</w:t>
      </w:r>
      <w:proofErr w:type="spellEnd"/>
      <w:r>
        <w:rPr>
          <w:rFonts w:cs="Arial"/>
        </w:rPr>
        <w:t xml:space="preserve"> (DCP) is t</w:t>
      </w:r>
      <w:r w:rsidR="00586427">
        <w:rPr>
          <w:rFonts w:cs="Arial"/>
        </w:rPr>
        <w:t xml:space="preserve">raditionally used in agriculture as </w:t>
      </w:r>
      <w:r>
        <w:rPr>
          <w:rFonts w:cs="Arial"/>
        </w:rPr>
        <w:t xml:space="preserve">a </w:t>
      </w:r>
      <w:r w:rsidR="00586427">
        <w:rPr>
          <w:rFonts w:cs="Arial"/>
        </w:rPr>
        <w:t xml:space="preserve">fumigant and pesticide through soil injection or drip irrigation. </w:t>
      </w:r>
    </w:p>
    <w:p w14:paraId="53E10720" w14:textId="63B665B9" w:rsidR="00B248FD" w:rsidRPr="004C23F4" w:rsidRDefault="006C1CF4" w:rsidP="00B248FD">
      <w:pPr>
        <w:rPr>
          <w:rFonts w:cs="Arial"/>
        </w:rPr>
      </w:pPr>
      <w:r>
        <w:rPr>
          <w:rFonts w:cs="Arial"/>
        </w:rPr>
        <w:t xml:space="preserve">Available human data for DCP is largely limited to observations of </w:t>
      </w:r>
      <w:r w:rsidR="008856DD">
        <w:rPr>
          <w:rFonts w:cs="Arial"/>
        </w:rPr>
        <w:t xml:space="preserve">workers exposed to elevated concentrations of DCP in industrial settings, which </w:t>
      </w:r>
      <w:r w:rsidR="00B36C3B">
        <w:rPr>
          <w:rFonts w:cs="Arial"/>
        </w:rPr>
        <w:t>reported</w:t>
      </w:r>
      <w:r w:rsidR="008856DD">
        <w:rPr>
          <w:rFonts w:cs="Arial"/>
        </w:rPr>
        <w:t xml:space="preserve"> </w:t>
      </w:r>
      <w:r w:rsidR="008856DD">
        <w:t xml:space="preserve">subclinical nephrotoxic effects. </w:t>
      </w:r>
      <w:r w:rsidR="00701F3C">
        <w:t>A sub-chronic study using various animal species reported a</w:t>
      </w:r>
      <w:r w:rsidR="00C12D67">
        <w:t xml:space="preserve"> </w:t>
      </w:r>
      <w:r w:rsidR="00701F3C">
        <w:t>NOAE</w:t>
      </w:r>
      <w:r w:rsidR="00C12D67">
        <w:t>C</w:t>
      </w:r>
      <w:r w:rsidR="00701F3C">
        <w:t xml:space="preserve"> of 1 ppm for effects on </w:t>
      </w:r>
      <w:r w:rsidR="00E95A58">
        <w:t xml:space="preserve">the </w:t>
      </w:r>
      <w:r w:rsidR="00701F3C">
        <w:t>kidney</w:t>
      </w:r>
      <w:r w:rsidR="00F226B5">
        <w:t xml:space="preserve"> </w:t>
      </w:r>
      <w:r w:rsidR="00EF00BC">
        <w:t>with a LOAE</w:t>
      </w:r>
      <w:r w:rsidR="00B456E7">
        <w:t>C</w:t>
      </w:r>
      <w:r w:rsidR="00EF00BC">
        <w:t xml:space="preserve"> </w:t>
      </w:r>
      <w:r w:rsidR="00EF00BC" w:rsidRPr="00EF00BC">
        <w:t xml:space="preserve">of 3 </w:t>
      </w:r>
      <w:r w:rsidR="00EF00BC">
        <w:t>ppm based on slight, reversible and</w:t>
      </w:r>
      <w:r w:rsidR="00EF00BC" w:rsidRPr="00EF00BC">
        <w:t xml:space="preserve"> microscopic changes </w:t>
      </w:r>
      <w:r w:rsidR="00EF00BC">
        <w:t xml:space="preserve">observed </w:t>
      </w:r>
      <w:r w:rsidR="00EF00BC" w:rsidRPr="00EF00BC">
        <w:t xml:space="preserve">in kidneys of male rats </w:t>
      </w:r>
      <w:r w:rsidR="00F226B5">
        <w:t>(ACGIH, 2018)</w:t>
      </w:r>
      <w:r w:rsidR="00701F3C">
        <w:t xml:space="preserve">. </w:t>
      </w:r>
      <w:r w:rsidR="00B248FD">
        <w:t xml:space="preserve">While reported cases of malignant histiocytic leukaemia in humans exposed to DCP (ACGIH, 2018) indicate its suspected carcinogenic potential, there are insufficient epidemiological data to support its classification as a known or presumed human carcinogen. </w:t>
      </w:r>
    </w:p>
    <w:p w14:paraId="3CE8AB48" w14:textId="1F547A80" w:rsidR="00064343" w:rsidRPr="00B248FD" w:rsidRDefault="00874898" w:rsidP="006639B4">
      <w:r>
        <w:t xml:space="preserve">The </w:t>
      </w:r>
      <w:r w:rsidR="007E3268">
        <w:t>recommended</w:t>
      </w:r>
      <w:r w:rsidR="005A0903">
        <w:t xml:space="preserve"> </w:t>
      </w:r>
      <w:r w:rsidR="00B248FD">
        <w:t xml:space="preserve">TWA of </w:t>
      </w:r>
      <w:r w:rsidR="005A0903">
        <w:t>1</w:t>
      </w:r>
      <w:r w:rsidR="00B248FD">
        <w:t xml:space="preserve"> ppm (</w:t>
      </w:r>
      <w:r w:rsidR="005A0903">
        <w:t>4.5</w:t>
      </w:r>
      <w:r w:rsidR="00B248FD">
        <w:t xml:space="preserve"> mg/m</w:t>
      </w:r>
      <w:r w:rsidR="00B248FD">
        <w:rPr>
          <w:vertAlign w:val="superscript"/>
        </w:rPr>
        <w:t>3</w:t>
      </w:r>
      <w:r w:rsidR="00B248FD">
        <w:t>)</w:t>
      </w:r>
      <w:r w:rsidR="007E3268">
        <w:t xml:space="preserve"> is</w:t>
      </w:r>
      <w:r>
        <w:t xml:space="preserve"> derived directly from the NOAEC in rats </w:t>
      </w:r>
      <w:r w:rsidR="007E3268">
        <w:t>in line with the</w:t>
      </w:r>
      <w:r>
        <w:t xml:space="preserve"> ACGIH</w:t>
      </w:r>
      <w:r w:rsidR="007E3268">
        <w:t xml:space="preserve"> recommendation.</w:t>
      </w:r>
      <w:r w:rsidR="00B248FD">
        <w:t xml:space="preserve"> Given the absence of supporting data in the </w:t>
      </w:r>
      <w:r w:rsidR="00705D64">
        <w:t xml:space="preserve">primary </w:t>
      </w:r>
      <w:r w:rsidR="00B248FD">
        <w:t>sources a priority evaluation is recommended at the next scheduled review.</w:t>
      </w:r>
    </w:p>
    <w:p w14:paraId="684FDBF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E46C6A5" w14:textId="216E6BEA" w:rsidR="00CE5C4C" w:rsidRPr="004C23F4" w:rsidRDefault="00BC20AB" w:rsidP="004529F0">
      <w:pPr>
        <w:rPr>
          <w:rFonts w:cs="Arial"/>
        </w:rPr>
      </w:pPr>
      <w:r>
        <w:rPr>
          <w:rFonts w:cs="Arial"/>
        </w:rPr>
        <w:t>C</w:t>
      </w:r>
      <w:r w:rsidR="00FC0D73">
        <w:rPr>
          <w:rFonts w:cs="Arial"/>
        </w:rPr>
        <w:t>lassified as a category</w:t>
      </w:r>
      <w:r w:rsidR="00B8565B">
        <w:rPr>
          <w:rFonts w:cs="Arial"/>
        </w:rPr>
        <w:t xml:space="preserve"> </w:t>
      </w:r>
      <w:r w:rsidR="00FC0D73">
        <w:rPr>
          <w:rFonts w:cs="Arial"/>
        </w:rPr>
        <w:t>2 carcinogen, according to the Globally Harmoni</w:t>
      </w:r>
      <w:r w:rsidR="00A52F7F">
        <w:rPr>
          <w:rFonts w:cs="Arial"/>
        </w:rPr>
        <w:t>z</w:t>
      </w:r>
      <w:r w:rsidR="00FC0D73">
        <w:rPr>
          <w:rFonts w:cs="Arial"/>
        </w:rPr>
        <w:t>ed System of Classification and Labelling o</w:t>
      </w:r>
      <w:r w:rsidR="002F4022">
        <w:rPr>
          <w:rFonts w:cs="Arial"/>
        </w:rPr>
        <w:t>f</w:t>
      </w:r>
      <w:r w:rsidR="00FC0D73">
        <w:rPr>
          <w:rFonts w:cs="Arial"/>
        </w:rPr>
        <w:t xml:space="preserve"> Chemicals (GHS). </w:t>
      </w:r>
    </w:p>
    <w:p w14:paraId="48C00C83" w14:textId="6FBB6797" w:rsidR="00FC0D73" w:rsidRDefault="00B8565B">
      <w:pPr>
        <w:rPr>
          <w:rFonts w:cs="Arial"/>
        </w:rPr>
      </w:pPr>
      <w:r>
        <w:rPr>
          <w:rFonts w:cs="Arial"/>
        </w:rPr>
        <w:t>C</w:t>
      </w:r>
      <w:r w:rsidR="00FC0D73">
        <w:rPr>
          <w:rFonts w:cs="Arial"/>
        </w:rPr>
        <w:t xml:space="preserve">lassified as skin sensitiser </w:t>
      </w:r>
      <w:r w:rsidR="00B456E7">
        <w:rPr>
          <w:rFonts w:cs="Arial"/>
        </w:rPr>
        <w:t>and</w:t>
      </w:r>
      <w:r w:rsidR="00BF5AED">
        <w:rPr>
          <w:rFonts w:cs="Arial"/>
        </w:rPr>
        <w:t xml:space="preserve"> not a respiratory sensitiser </w:t>
      </w:r>
      <w:r w:rsidR="00FC0D73">
        <w:rPr>
          <w:rFonts w:cs="Arial"/>
        </w:rPr>
        <w:t xml:space="preserve">according to the GHS. </w:t>
      </w:r>
    </w:p>
    <w:p w14:paraId="1E40EC5B" w14:textId="7BBC8ACD" w:rsidR="00CE5C4C" w:rsidRPr="004C23F4" w:rsidRDefault="00B8565B">
      <w:pPr>
        <w:rPr>
          <w:rFonts w:cs="Arial"/>
        </w:rPr>
        <w:sectPr w:rsidR="00CE5C4C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lastRenderedPageBreak/>
        <w:t xml:space="preserve">A skin notation </w:t>
      </w:r>
      <w:r w:rsidR="00B36C3B">
        <w:rPr>
          <w:rFonts w:cs="Arial"/>
        </w:rPr>
        <w:t>is</w:t>
      </w:r>
      <w:r>
        <w:rPr>
          <w:rFonts w:cs="Arial"/>
        </w:rPr>
        <w:t xml:space="preserve"> recommended based on e</w:t>
      </w:r>
      <w:r w:rsidR="00FC0D73">
        <w:rPr>
          <w:rFonts w:cs="Arial"/>
        </w:rPr>
        <w:t xml:space="preserve">vidence </w:t>
      </w:r>
      <w:r w:rsidR="002D0068">
        <w:rPr>
          <w:rFonts w:cs="Arial"/>
        </w:rPr>
        <w:t xml:space="preserve">of </w:t>
      </w:r>
      <w:r w:rsidR="002D0068" w:rsidRPr="002D0068">
        <w:rPr>
          <w:rFonts w:cs="Arial"/>
        </w:rPr>
        <w:t xml:space="preserve">dermal absorption and adverse systemic effects in animals and reports of acute </w:t>
      </w:r>
      <w:r w:rsidR="002D0068">
        <w:rPr>
          <w:rFonts w:cs="Arial"/>
        </w:rPr>
        <w:t>workplace exposures</w:t>
      </w:r>
      <w:r w:rsidR="00FC0D73">
        <w:rPr>
          <w:rFonts w:cs="Arial"/>
        </w:rPr>
        <w:t xml:space="preserve">. </w:t>
      </w:r>
    </w:p>
    <w:p w14:paraId="5F3152DC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244ACB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4584B46" w14:textId="77777777" w:rsidTr="007549F0">
        <w:trPr>
          <w:gridAfter w:val="1"/>
          <w:wAfter w:w="8" w:type="pct"/>
          <w:trHeight w:val="393"/>
          <w:tblHeader/>
        </w:trPr>
        <w:tc>
          <w:tcPr>
            <w:tcW w:w="0" w:type="pct"/>
            <w:shd w:val="clear" w:color="auto" w:fill="BFBFBF" w:themeFill="background1" w:themeFillShade="BF"/>
            <w:vAlign w:val="center"/>
          </w:tcPr>
          <w:p w14:paraId="1FA1FC4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14538797" w14:textId="77777777" w:rsidTr="007549F0">
        <w:tc>
          <w:tcPr>
            <w:tcW w:w="0" w:type="pct"/>
            <w:gridSpan w:val="2"/>
            <w:shd w:val="clear" w:color="auto" w:fill="F2F2F2" w:themeFill="background1" w:themeFillShade="F2"/>
          </w:tcPr>
          <w:p w14:paraId="6A4C833C" w14:textId="039157C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6770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67701">
                  <w:t>TWA: 1 ppm (4.5 mg/m</w:t>
                </w:r>
                <w:r w:rsidR="00567701" w:rsidRPr="00567701">
                  <w:rPr>
                    <w:vertAlign w:val="superscript"/>
                  </w:rPr>
                  <w:t>3</w:t>
                </w:r>
                <w:r w:rsidR="00567701">
                  <w:t>)</w:t>
                </w:r>
              </w:sdtContent>
            </w:sdt>
          </w:p>
        </w:tc>
      </w:tr>
      <w:tr w:rsidR="00C978F0" w:rsidRPr="00DA352E" w14:paraId="10397F73" w14:textId="77777777" w:rsidTr="007549F0">
        <w:trPr>
          <w:gridAfter w:val="1"/>
          <w:wAfter w:w="8" w:type="pct"/>
        </w:trPr>
        <w:tc>
          <w:tcPr>
            <w:tcW w:w="0" w:type="pct"/>
          </w:tcPr>
          <w:p w14:paraId="638569D2" w14:textId="3C7CB6ED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70D5CA6" w14:textId="77777777" w:rsidTr="007549F0">
        <w:trPr>
          <w:gridAfter w:val="1"/>
          <w:wAfter w:w="8" w:type="pct"/>
        </w:trPr>
        <w:tc>
          <w:tcPr>
            <w:tcW w:w="0" w:type="pct"/>
            <w:shd w:val="clear" w:color="auto" w:fill="F2F2F2" w:themeFill="background1" w:themeFillShade="F2"/>
          </w:tcPr>
          <w:p w14:paraId="08DB104F" w14:textId="0CA2173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67701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67701">
                  <w:t>TLV-TWA: 1 ppm (4.5 mg/m</w:t>
                </w:r>
                <w:r w:rsidR="00567701" w:rsidRPr="00567701">
                  <w:rPr>
                    <w:vertAlign w:val="superscript"/>
                  </w:rPr>
                  <w:t>3</w:t>
                </w:r>
                <w:r w:rsidR="00567701">
                  <w:t>)</w:t>
                </w:r>
              </w:sdtContent>
            </w:sdt>
          </w:p>
        </w:tc>
      </w:tr>
      <w:tr w:rsidR="00C978F0" w:rsidRPr="00DA352E" w14:paraId="6A8A3998" w14:textId="77777777" w:rsidTr="00AE1282">
        <w:trPr>
          <w:gridAfter w:val="1"/>
          <w:wAfter w:w="8" w:type="pct"/>
        </w:trPr>
        <w:tc>
          <w:tcPr>
            <w:tcW w:w="4992" w:type="pct"/>
          </w:tcPr>
          <w:p w14:paraId="0EC9F820" w14:textId="4256F59A" w:rsidR="0035625A" w:rsidRDefault="0035625A" w:rsidP="0035625A">
            <w:pPr>
              <w:pStyle w:val="Tabletextprimarysource"/>
            </w:pPr>
            <w:r>
              <w:t>TLV-TWA is recommended to minimise the potential for reversible kidney damage and irritation of the eyes, skin and respiratory tract in exposed workers.</w:t>
            </w:r>
          </w:p>
          <w:p w14:paraId="0F052BD0" w14:textId="72324D3C" w:rsidR="004C39BA" w:rsidRDefault="004C39BA" w:rsidP="004C39BA">
            <w:pPr>
              <w:pStyle w:val="Tabletextprimarysource"/>
            </w:pPr>
            <w:r>
              <w:t>Summary of data:</w:t>
            </w:r>
          </w:p>
          <w:p w14:paraId="31C51E8E" w14:textId="77777777" w:rsidR="00AE4787" w:rsidRDefault="00AE4787" w:rsidP="00BF5AED">
            <w:pPr>
              <w:pStyle w:val="Tabletextprimarysource"/>
            </w:pPr>
            <w:r>
              <w:t>Human data:</w:t>
            </w:r>
          </w:p>
          <w:p w14:paraId="68072BA2" w14:textId="77777777" w:rsidR="00B36C3B" w:rsidRDefault="00AE4787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The effects of sub</w:t>
            </w:r>
            <w:r w:rsidR="003516AD">
              <w:t>-</w:t>
            </w:r>
            <w:r>
              <w:t>chronic exposure on kidney and liver functions were examined for 14 Dutch workers employe</w:t>
            </w:r>
            <w:r w:rsidR="00B36C3B">
              <w:t>d in the flower bulb industry</w:t>
            </w:r>
          </w:p>
          <w:p w14:paraId="16B58C0E" w14:textId="770842F5" w:rsidR="00DC229A" w:rsidRDefault="00B36C3B" w:rsidP="00B36C3B">
            <w:pPr>
              <w:pStyle w:val="Tabletextprimarysource"/>
              <w:numPr>
                <w:ilvl w:val="0"/>
                <w:numId w:val="8"/>
              </w:numPr>
            </w:pPr>
            <w:r>
              <w:t>a</w:t>
            </w:r>
            <w:r w:rsidR="00AE4787">
              <w:t>verage airborne concentrations ranged 1.9</w:t>
            </w:r>
            <w:r w:rsidR="002F4022">
              <w:t>–</w:t>
            </w:r>
            <w:r w:rsidR="00AE4787">
              <w:t>18.9 mg/m</w:t>
            </w:r>
            <w:r w:rsidR="00AE4787" w:rsidRPr="0026048A">
              <w:rPr>
                <w:vertAlign w:val="superscript"/>
              </w:rPr>
              <w:t>3</w:t>
            </w:r>
            <w:r w:rsidR="00AE4787">
              <w:t xml:space="preserve"> </w:t>
            </w:r>
          </w:p>
          <w:p w14:paraId="36CC04A7" w14:textId="16097C66" w:rsidR="00DC229A" w:rsidRDefault="00423B98" w:rsidP="00214138">
            <w:pPr>
              <w:pStyle w:val="Tabletextprimarysource"/>
              <w:numPr>
                <w:ilvl w:val="0"/>
                <w:numId w:val="8"/>
              </w:numPr>
            </w:pPr>
            <w:r>
              <w:t>e</w:t>
            </w:r>
            <w:r w:rsidR="00AE4787">
              <w:t xml:space="preserve">xposure led to a decrease in serum total bilirubin and serum creatinine concentrations and an increase in urine albumin and RBP </w:t>
            </w:r>
          </w:p>
          <w:p w14:paraId="44D96429" w14:textId="04F5FFFE" w:rsidR="00C978F0" w:rsidRDefault="00423B98" w:rsidP="00214138">
            <w:pPr>
              <w:pStyle w:val="Tabletextprimarysource"/>
              <w:numPr>
                <w:ilvl w:val="0"/>
                <w:numId w:val="8"/>
              </w:numPr>
            </w:pPr>
            <w:r>
              <w:t>e</w:t>
            </w:r>
            <w:r w:rsidR="00AE4787">
              <w:t>xposure</w:t>
            </w:r>
            <w:r w:rsidR="00DC229A">
              <w:t>s</w:t>
            </w:r>
            <w:r w:rsidR="00AE4787">
              <w:t xml:space="preserve"> to elevated concentrations may induce </w:t>
            </w:r>
            <w:r w:rsidR="005F21DF">
              <w:t>subclinical nephrotoxic effects</w:t>
            </w:r>
            <w:r w:rsidR="00AE4787">
              <w:t xml:space="preserve"> </w:t>
            </w:r>
          </w:p>
          <w:p w14:paraId="2F3F5CDD" w14:textId="18680CA6" w:rsidR="00AE4787" w:rsidRDefault="00B456E7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C</w:t>
            </w:r>
            <w:r w:rsidR="00B36C3B">
              <w:t xml:space="preserve">ase study reported </w:t>
            </w:r>
            <w:r w:rsidR="00AE4787">
              <w:t>44</w:t>
            </w:r>
            <w:r w:rsidR="00A52F7F">
              <w:t xml:space="preserve"> </w:t>
            </w:r>
            <w:r w:rsidR="00AE4787">
              <w:t>y</w:t>
            </w:r>
            <w:r w:rsidR="007F65CC">
              <w:t>r</w:t>
            </w:r>
            <w:r w:rsidR="00AE4787">
              <w:t xml:space="preserve"> old male process operator in a pesticide manufacturing facility </w:t>
            </w:r>
            <w:r w:rsidR="003C49BF">
              <w:t>was likely sensiti</w:t>
            </w:r>
            <w:r w:rsidR="00BF5AED">
              <w:t>s</w:t>
            </w:r>
            <w:r w:rsidR="003C49BF">
              <w:t>ed to DD-95 (95% DCP) which led to acute bullous dermat</w:t>
            </w:r>
            <w:r w:rsidR="005F21DF">
              <w:t xml:space="preserve">itis on the </w:t>
            </w:r>
            <w:r w:rsidR="001040EA">
              <w:t xml:space="preserve">dorsal skin </w:t>
            </w:r>
            <w:r w:rsidR="005F21DF">
              <w:t>of both feet</w:t>
            </w:r>
            <w:r w:rsidR="003C49BF">
              <w:t xml:space="preserve"> </w:t>
            </w:r>
          </w:p>
          <w:p w14:paraId="440C3002" w14:textId="77777777" w:rsidR="00B456E7" w:rsidRDefault="00DC229A" w:rsidP="00B36C3B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M</w:t>
            </w:r>
            <w:r w:rsidR="003C49BF">
              <w:t xml:space="preserve">alignant histiocytic </w:t>
            </w:r>
            <w:r>
              <w:t>leukaemia</w:t>
            </w:r>
            <w:r w:rsidR="003C49BF">
              <w:t xml:space="preserve"> and a case of acute </w:t>
            </w:r>
            <w:proofErr w:type="spellStart"/>
            <w:r w:rsidR="003C49BF">
              <w:t>myelomonocytic</w:t>
            </w:r>
            <w:proofErr w:type="spellEnd"/>
            <w:r w:rsidR="003C49BF">
              <w:t xml:space="preserve"> leuk</w:t>
            </w:r>
            <w:r>
              <w:t>a</w:t>
            </w:r>
            <w:r w:rsidR="003C49BF">
              <w:t>emia reported in workers (firemen and a farmer) following exposure</w:t>
            </w:r>
          </w:p>
          <w:p w14:paraId="01BB9C43" w14:textId="55193B7E" w:rsidR="0026048A" w:rsidRDefault="003C49BF" w:rsidP="00B456E7">
            <w:pPr>
              <w:pStyle w:val="Tabletextprimarysource"/>
              <w:numPr>
                <w:ilvl w:val="0"/>
                <w:numId w:val="8"/>
              </w:numPr>
            </w:pPr>
            <w:proofErr w:type="gramStart"/>
            <w:r>
              <w:t>confounding</w:t>
            </w:r>
            <w:proofErr w:type="gramEnd"/>
            <w:r>
              <w:t xml:space="preserve"> factors </w:t>
            </w:r>
            <w:r w:rsidR="00DC229A">
              <w:t>suggested</w:t>
            </w:r>
            <w:r>
              <w:t xml:space="preserve"> inadequate evidence of human carcinogenicity</w:t>
            </w:r>
            <w:r w:rsidR="0026048A">
              <w:t>.</w:t>
            </w:r>
          </w:p>
          <w:p w14:paraId="668C1E96" w14:textId="142DF932" w:rsidR="003C49BF" w:rsidRDefault="003C49BF" w:rsidP="00BF5AED">
            <w:pPr>
              <w:pStyle w:val="Tabletextprimarysource"/>
            </w:pPr>
            <w:r>
              <w:t>Animal data:</w:t>
            </w:r>
          </w:p>
          <w:p w14:paraId="287E5695" w14:textId="08D7E880" w:rsidR="003C49BF" w:rsidRDefault="005B6FF3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LC</w:t>
            </w:r>
            <w:r w:rsidRPr="0026048A">
              <w:rPr>
                <w:vertAlign w:val="subscript"/>
              </w:rPr>
              <w:t>50</w:t>
            </w:r>
            <w:r w:rsidR="00DC229A">
              <w:t xml:space="preserve">: </w:t>
            </w:r>
            <w:r>
              <w:t>904 ppm</w:t>
            </w:r>
            <w:r w:rsidR="00DC229A">
              <w:t xml:space="preserve"> (</w:t>
            </w:r>
            <w:r w:rsidR="00140FE2">
              <w:t>female rats</w:t>
            </w:r>
            <w:r w:rsidR="00DC229A">
              <w:t>, 4</w:t>
            </w:r>
            <w:r w:rsidR="007549F0">
              <w:t xml:space="preserve"> </w:t>
            </w:r>
            <w:r w:rsidR="00DC229A">
              <w:t>h)</w:t>
            </w:r>
            <w:r w:rsidR="00140FE2">
              <w:t xml:space="preserve"> and </w:t>
            </w:r>
            <w:r w:rsidR="00C9281A">
              <w:t>846</w:t>
            </w:r>
            <w:r w:rsidR="0026048A">
              <w:t>–</w:t>
            </w:r>
            <w:r w:rsidR="005F21DF">
              <w:t xml:space="preserve">990 ppm </w:t>
            </w:r>
            <w:r w:rsidR="00DC229A">
              <w:t>(</w:t>
            </w:r>
            <w:r w:rsidR="005F21DF">
              <w:t>male rats</w:t>
            </w:r>
            <w:r w:rsidR="00DC229A">
              <w:t>, 4</w:t>
            </w:r>
            <w:r w:rsidR="007549F0">
              <w:t xml:space="preserve"> </w:t>
            </w:r>
            <w:r w:rsidR="00DC229A">
              <w:t>h)</w:t>
            </w:r>
            <w:r w:rsidR="00140FE2">
              <w:t xml:space="preserve"> </w:t>
            </w:r>
          </w:p>
          <w:p w14:paraId="74FA3D92" w14:textId="6711651E" w:rsidR="00140FE2" w:rsidRDefault="00140FE2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LD</w:t>
            </w:r>
            <w:r w:rsidRPr="0026048A">
              <w:rPr>
                <w:vertAlign w:val="subscript"/>
              </w:rPr>
              <w:t>50</w:t>
            </w:r>
            <w:r w:rsidR="00DC229A">
              <w:t>:</w:t>
            </w:r>
            <w:r w:rsidR="0026048A">
              <w:t xml:space="preserve"> </w:t>
            </w:r>
            <w:r w:rsidR="005F21DF">
              <w:t>140</w:t>
            </w:r>
            <w:r w:rsidR="0026048A">
              <w:t>–</w:t>
            </w:r>
            <w:r w:rsidR="005F21DF">
              <w:t>713 mg/kg</w:t>
            </w:r>
            <w:r w:rsidR="00DC229A">
              <w:t xml:space="preserve"> (</w:t>
            </w:r>
            <w:r w:rsidR="005F21DF">
              <w:t>rats</w:t>
            </w:r>
            <w:r w:rsidR="00DC229A">
              <w:t>, oral)</w:t>
            </w:r>
            <w:r>
              <w:t xml:space="preserve"> </w:t>
            </w:r>
          </w:p>
          <w:p w14:paraId="15F0F364" w14:textId="69F06418" w:rsidR="009549A5" w:rsidRDefault="00B456E7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NOAEC</w:t>
            </w:r>
            <w:r w:rsidR="009549A5">
              <w:t xml:space="preserve"> of 1 ppm for kidney effects (rats, guinea pigs, rabbits, dogs, inhalation, 7</w:t>
            </w:r>
            <w:r w:rsidR="0080211C">
              <w:t> </w:t>
            </w:r>
            <w:r w:rsidR="009549A5">
              <w:t>h/</w:t>
            </w:r>
            <w:r w:rsidR="0035625A">
              <w:t>d, 5</w:t>
            </w:r>
            <w:r w:rsidR="0080211C">
              <w:t> </w:t>
            </w:r>
            <w:r w:rsidR="009549A5">
              <w:t>d/wk, 6 mo)</w:t>
            </w:r>
          </w:p>
          <w:p w14:paraId="33B5362F" w14:textId="77777777" w:rsidR="00B456E7" w:rsidRDefault="00B456E7" w:rsidP="00AE1282">
            <w:pPr>
              <w:pStyle w:val="Tabletextprimarysource"/>
              <w:numPr>
                <w:ilvl w:val="0"/>
                <w:numId w:val="7"/>
              </w:numPr>
            </w:pPr>
            <w:r>
              <w:t>LOAEC</w:t>
            </w:r>
            <w:r w:rsidR="009549A5">
              <w:t xml:space="preserve"> of 3 ppm based on slight, reversible, microscopic changes in kidneys of male rats</w:t>
            </w:r>
          </w:p>
          <w:p w14:paraId="33AAC45A" w14:textId="7D940C9F" w:rsidR="009549A5" w:rsidRDefault="009457C8" w:rsidP="00AE1282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no effects identified upon sacrifice 3 mo </w:t>
            </w:r>
            <w:r w:rsidR="007549F0">
              <w:t>post exposure</w:t>
            </w:r>
          </w:p>
          <w:p w14:paraId="5E461A02" w14:textId="1F75D85E" w:rsidR="00140FE2" w:rsidRDefault="00317168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NOAEL of 20.9</w:t>
            </w:r>
            <w:r w:rsidR="00140FE2">
              <w:t xml:space="preserve"> mg/m</w:t>
            </w:r>
            <w:r w:rsidR="00140FE2" w:rsidRPr="0026048A">
              <w:rPr>
                <w:vertAlign w:val="superscript"/>
              </w:rPr>
              <w:t>3</w:t>
            </w:r>
            <w:r w:rsidR="00140FE2">
              <w:t xml:space="preserve"> </w:t>
            </w:r>
            <w:r w:rsidR="00C64C6A">
              <w:t xml:space="preserve">with </w:t>
            </w:r>
            <w:r>
              <w:t>LOAEL of 83.6 mg/m</w:t>
            </w:r>
            <w:r w:rsidRPr="0026048A">
              <w:rPr>
                <w:vertAlign w:val="superscript"/>
              </w:rPr>
              <w:t>3</w:t>
            </w:r>
            <w:r>
              <w:t xml:space="preserve"> reported </w:t>
            </w:r>
            <w:r w:rsidR="00C64C6A">
              <w:t>for mice and NOAEL of 83.6</w:t>
            </w:r>
            <w:r w:rsidR="0006382F">
              <w:t> </w:t>
            </w:r>
            <w:r w:rsidR="00C64C6A">
              <w:t>mg/m</w:t>
            </w:r>
            <w:r w:rsidR="00C64C6A" w:rsidRPr="0026048A">
              <w:rPr>
                <w:vertAlign w:val="superscript"/>
              </w:rPr>
              <w:t>3</w:t>
            </w:r>
            <w:r w:rsidR="00C64C6A">
              <w:t xml:space="preserve"> with a LOAEL of 250.5 mg/m</w:t>
            </w:r>
            <w:r w:rsidR="00C64C6A" w:rsidRPr="0026048A">
              <w:rPr>
                <w:vertAlign w:val="superscript"/>
              </w:rPr>
              <w:t>3</w:t>
            </w:r>
            <w:r w:rsidR="00C64C6A">
              <w:t xml:space="preserve"> for rats </w:t>
            </w:r>
            <w:r>
              <w:t xml:space="preserve">based on </w:t>
            </w:r>
            <w:r w:rsidR="00C64C6A">
              <w:t xml:space="preserve">urinary bladder and </w:t>
            </w:r>
            <w:r>
              <w:t>nasal epi</w:t>
            </w:r>
            <w:r w:rsidR="005F21DF">
              <w:t>thelial histopathology</w:t>
            </w:r>
          </w:p>
          <w:p w14:paraId="7DF6165D" w14:textId="67A4BF9C" w:rsidR="00317168" w:rsidRDefault="0080320F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I</w:t>
            </w:r>
            <w:r w:rsidR="00755273">
              <w:t xml:space="preserve">ncrease in the incidence of </w:t>
            </w:r>
            <w:proofErr w:type="spellStart"/>
            <w:r w:rsidR="00BF5AED">
              <w:t>bronchoalveolar</w:t>
            </w:r>
            <w:proofErr w:type="spellEnd"/>
            <w:r w:rsidR="00755273">
              <w:t xml:space="preserve"> adenomas observed in male</w:t>
            </w:r>
            <w:r>
              <w:t xml:space="preserve"> mice</w:t>
            </w:r>
            <w:r w:rsidR="00755273">
              <w:t xml:space="preserve"> exposed to 272 mg/m</w:t>
            </w:r>
            <w:r w:rsidR="00755273" w:rsidRPr="0026048A">
              <w:rPr>
                <w:vertAlign w:val="superscript"/>
              </w:rPr>
              <w:t>3</w:t>
            </w:r>
            <w:r w:rsidR="005F21DF">
              <w:t xml:space="preserve"> after 24 mo</w:t>
            </w:r>
          </w:p>
          <w:p w14:paraId="3657A681" w14:textId="67DCE3F2" w:rsidR="00F226B5" w:rsidRDefault="00F226B5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Death of some rabbits following dermal application of 125 and 250 mg/kg as a 10% solution in corn oil</w:t>
            </w:r>
          </w:p>
          <w:p w14:paraId="4B91CE7E" w14:textId="77777777" w:rsidR="00B36C3B" w:rsidRDefault="0080320F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G</w:t>
            </w:r>
            <w:r w:rsidR="00D35FBC">
              <w:t xml:space="preserve">enotoxic </w:t>
            </w:r>
            <w:r>
              <w:t xml:space="preserve">effects </w:t>
            </w:r>
            <w:r w:rsidR="00D35FBC">
              <w:t>inducing DNA damage in multiple organs whe</w:t>
            </w:r>
            <w:r w:rsidR="00B36C3B">
              <w:t xml:space="preserve">n administered orally; </w:t>
            </w:r>
          </w:p>
          <w:p w14:paraId="204AB5F0" w14:textId="38076ADB" w:rsidR="00D35FBC" w:rsidRDefault="00D35FBC" w:rsidP="00B36C3B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inhalation exposure studies concluded not mutagenic to the male germ cells of rats at </w:t>
            </w:r>
            <w:r w:rsidRPr="0026048A">
              <w:t>≤</w:t>
            </w:r>
            <w:r w:rsidR="005F21DF">
              <w:t>150 ppm</w:t>
            </w:r>
            <w:r>
              <w:t xml:space="preserve"> </w:t>
            </w:r>
          </w:p>
          <w:p w14:paraId="1AA061B1" w14:textId="3D5149ED" w:rsidR="00221BAE" w:rsidRDefault="0080320F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N</w:t>
            </w:r>
            <w:r w:rsidR="00755273">
              <w:t xml:space="preserve">ot </w:t>
            </w:r>
            <w:r>
              <w:t xml:space="preserve">determined as </w:t>
            </w:r>
            <w:r w:rsidR="00755273">
              <w:t xml:space="preserve">a reproductive or developmental toxin </w:t>
            </w:r>
            <w:r w:rsidR="00755273" w:rsidRPr="00B36C3B">
              <w:rPr>
                <w:i/>
              </w:rPr>
              <w:t>via</w:t>
            </w:r>
            <w:r w:rsidR="00755273">
              <w:t xml:space="preserve"> inhalation. </w:t>
            </w:r>
          </w:p>
          <w:p w14:paraId="728DE688" w14:textId="77777777" w:rsidR="00221BAE" w:rsidRDefault="00221BAE" w:rsidP="00AE1282">
            <w:pPr>
              <w:pStyle w:val="Tabletextprimarysource"/>
              <w:ind w:left="714"/>
            </w:pPr>
          </w:p>
          <w:p w14:paraId="50F43FD0" w14:textId="77777777" w:rsidR="009457C8" w:rsidRDefault="00221BAE" w:rsidP="00AE1282">
            <w:pPr>
              <w:pStyle w:val="Tabletextprimarysource"/>
            </w:pPr>
            <w:r>
              <w:t>Based on evidence of skin penetration with subsequent mortality of treated rabbits, a skin notation is assigned.</w:t>
            </w:r>
          </w:p>
          <w:p w14:paraId="37C7CD9F" w14:textId="7D89B193" w:rsidR="00D42698" w:rsidRDefault="009457C8" w:rsidP="00AE1282">
            <w:pPr>
              <w:pStyle w:val="Tabletextprimarysource"/>
            </w:pPr>
            <w:r>
              <w:lastRenderedPageBreak/>
              <w:t>TLV</w:t>
            </w:r>
            <w:r w:rsidR="00B456E7">
              <w:t xml:space="preserve">-TWA based directly on the NOAEC of 1 ppm and LOAEC </w:t>
            </w:r>
            <w:r>
              <w:t>of 3 ppm identified in animals</w:t>
            </w:r>
            <w:r w:rsidR="00874898">
              <w:t xml:space="preserve"> exposed</w:t>
            </w:r>
            <w:r w:rsidR="00B456E7">
              <w:t xml:space="preserve"> seven hours a day and the LOAEC</w:t>
            </w:r>
            <w:r w:rsidR="00874898">
              <w:t xml:space="preserve"> of 3 ppm reported in rats for slight, reversible effects on the kidneys, </w:t>
            </w:r>
            <w:r w:rsidR="007549F0">
              <w:t>.</w:t>
            </w:r>
          </w:p>
          <w:p w14:paraId="36A81DC1" w14:textId="69569C11" w:rsidR="0026048A" w:rsidRPr="00DA352E" w:rsidRDefault="00221BAE" w:rsidP="00B36C3B">
            <w:pPr>
              <w:pStyle w:val="Tabletextprimarysource"/>
            </w:pPr>
            <w:r>
              <w:t>Insufficient data available to recommend a SEN notation or a TLV-STEL.</w:t>
            </w:r>
          </w:p>
        </w:tc>
      </w:tr>
      <w:tr w:rsidR="00C978F0" w:rsidRPr="00DA352E" w14:paraId="005ECB9E" w14:textId="77777777" w:rsidTr="00AE128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3D07D2B" w14:textId="46A2394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676B9">
                  <w:t>1998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67701">
                  <w:t>NA</w:t>
                </w:r>
              </w:sdtContent>
            </w:sdt>
          </w:p>
        </w:tc>
      </w:tr>
      <w:tr w:rsidR="00C978F0" w:rsidRPr="00DA352E" w14:paraId="18732BBE" w14:textId="77777777" w:rsidTr="00AE1282">
        <w:trPr>
          <w:gridAfter w:val="1"/>
          <w:wAfter w:w="8" w:type="pct"/>
        </w:trPr>
        <w:tc>
          <w:tcPr>
            <w:tcW w:w="4992" w:type="pct"/>
          </w:tcPr>
          <w:p w14:paraId="207DC5F8" w14:textId="77777777" w:rsidR="00C978F0" w:rsidRDefault="0071031C" w:rsidP="003365A5">
            <w:pPr>
              <w:pStyle w:val="Tabletextprimarysource"/>
            </w:pPr>
            <w:r>
              <w:t>Summary of additional data:</w:t>
            </w:r>
          </w:p>
          <w:p w14:paraId="6B79C9DA" w14:textId="09AC0DFF" w:rsidR="0071031C" w:rsidRDefault="008C301C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 xml:space="preserve">Multiple studies indicated that skin absorption, relative to inhalation, contributes to </w:t>
            </w:r>
            <w:r w:rsidR="0006382F">
              <w:rPr>
                <w:rFonts w:cs="Arial"/>
              </w:rPr>
              <w:t>≈</w:t>
            </w:r>
            <w:r>
              <w:t>2</w:t>
            </w:r>
            <w:r w:rsidR="00A52F7F">
              <w:t>–</w:t>
            </w:r>
            <w:r>
              <w:t>5% of total</w:t>
            </w:r>
            <w:r w:rsidR="005F21DF">
              <w:t xml:space="preserve"> body uptake for exposed humans</w:t>
            </w:r>
            <w:r>
              <w:t xml:space="preserve"> </w:t>
            </w:r>
          </w:p>
          <w:p w14:paraId="5465AA2C" w14:textId="77777777" w:rsidR="008C301C" w:rsidRDefault="008C301C" w:rsidP="00AE1282">
            <w:pPr>
              <w:pStyle w:val="Tabletextprimarysource"/>
              <w:numPr>
                <w:ilvl w:val="0"/>
                <w:numId w:val="1"/>
              </w:numPr>
              <w:tabs>
                <w:tab w:val="clear" w:pos="360"/>
              </w:tabs>
              <w:ind w:left="714" w:hanging="357"/>
            </w:pPr>
            <w:r>
              <w:t>LD</w:t>
            </w:r>
            <w:r w:rsidRPr="0026048A">
              <w:rPr>
                <w:vertAlign w:val="subscript"/>
              </w:rPr>
              <w:t>50</w:t>
            </w:r>
            <w:r w:rsidR="0080320F">
              <w:t xml:space="preserve">: </w:t>
            </w:r>
            <w:r>
              <w:t xml:space="preserve">125–504 mg/kg </w:t>
            </w:r>
            <w:r w:rsidR="00045A0C">
              <w:t>(</w:t>
            </w:r>
            <w:r>
              <w:t>human</w:t>
            </w:r>
            <w:r w:rsidR="007E69EE">
              <w:t xml:space="preserve"> studies</w:t>
            </w:r>
            <w:r w:rsidR="00045A0C">
              <w:t>)</w:t>
            </w:r>
            <w:r>
              <w:t xml:space="preserve">; significant </w:t>
            </w:r>
            <w:r w:rsidR="007E1D04">
              <w:t xml:space="preserve">skin irritation observed. </w:t>
            </w:r>
          </w:p>
          <w:p w14:paraId="4FB61C94" w14:textId="4AE52913" w:rsidR="002F4022" w:rsidRPr="00DA352E" w:rsidRDefault="002F4022" w:rsidP="00AE1282">
            <w:pPr>
              <w:pStyle w:val="Tabletextprimarysource"/>
              <w:ind w:left="714"/>
            </w:pPr>
          </w:p>
        </w:tc>
      </w:tr>
      <w:tr w:rsidR="00C978F0" w:rsidRPr="00DA352E" w14:paraId="644CF939" w14:textId="77777777" w:rsidTr="00AE128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561CEF3" w14:textId="76C1C89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B56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B5628">
                  <w:t>NA</w:t>
                </w:r>
                <w:proofErr w:type="spellEnd"/>
              </w:sdtContent>
            </w:sdt>
          </w:p>
        </w:tc>
      </w:tr>
      <w:tr w:rsidR="00C978F0" w:rsidRPr="00DA352E" w14:paraId="7A489E6D" w14:textId="77777777" w:rsidTr="00AE1282">
        <w:trPr>
          <w:gridAfter w:val="1"/>
          <w:wAfter w:w="8" w:type="pct"/>
        </w:trPr>
        <w:tc>
          <w:tcPr>
            <w:tcW w:w="4992" w:type="pct"/>
          </w:tcPr>
          <w:p w14:paraId="7801DB57" w14:textId="0B0AD904" w:rsidR="00C978F0" w:rsidRPr="00DA352E" w:rsidRDefault="00CB5628" w:rsidP="003365A5">
            <w:pPr>
              <w:pStyle w:val="Tabletextprimarysource"/>
            </w:pPr>
            <w:r>
              <w:t>No report</w:t>
            </w:r>
            <w:r w:rsidR="002F4022">
              <w:t>.</w:t>
            </w:r>
          </w:p>
        </w:tc>
      </w:tr>
      <w:tr w:rsidR="00DA352E" w:rsidRPr="00DA352E" w14:paraId="4DBD2004" w14:textId="77777777" w:rsidTr="00AE128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EF2A552" w14:textId="7241544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B56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B5628">
                  <w:t>NA</w:t>
                </w:r>
                <w:proofErr w:type="spellEnd"/>
              </w:sdtContent>
            </w:sdt>
          </w:p>
        </w:tc>
      </w:tr>
      <w:tr w:rsidR="00DA352E" w:rsidRPr="00DA352E" w14:paraId="7A727BA9" w14:textId="77777777" w:rsidTr="00AE1282">
        <w:trPr>
          <w:gridAfter w:val="1"/>
          <w:wAfter w:w="8" w:type="pct"/>
        </w:trPr>
        <w:tc>
          <w:tcPr>
            <w:tcW w:w="4992" w:type="pct"/>
          </w:tcPr>
          <w:p w14:paraId="6B822280" w14:textId="42448F70" w:rsidR="00DA352E" w:rsidRPr="00DA352E" w:rsidRDefault="00CB5628" w:rsidP="003365A5">
            <w:pPr>
              <w:pStyle w:val="Tabletextprimarysource"/>
            </w:pPr>
            <w:r>
              <w:t>No report</w:t>
            </w:r>
            <w:r w:rsidR="002F4022">
              <w:t>.</w:t>
            </w:r>
          </w:p>
        </w:tc>
      </w:tr>
      <w:tr w:rsidR="00DA352E" w:rsidRPr="00DA352E" w14:paraId="1721AD2D" w14:textId="77777777" w:rsidTr="00AE128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4FF09A5" w14:textId="5D1C056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B56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B5628">
                  <w:t>NA</w:t>
                </w:r>
                <w:proofErr w:type="spellEnd"/>
              </w:sdtContent>
            </w:sdt>
          </w:p>
        </w:tc>
      </w:tr>
      <w:tr w:rsidR="00DA352E" w:rsidRPr="00DA352E" w14:paraId="6D96AD89" w14:textId="77777777" w:rsidTr="00AE1282">
        <w:trPr>
          <w:gridAfter w:val="1"/>
          <w:wAfter w:w="8" w:type="pct"/>
        </w:trPr>
        <w:tc>
          <w:tcPr>
            <w:tcW w:w="4992" w:type="pct"/>
          </w:tcPr>
          <w:p w14:paraId="01FD4D9A" w14:textId="744A87CC" w:rsidR="00DA352E" w:rsidRPr="00DA352E" w:rsidRDefault="00CB5628" w:rsidP="003365A5">
            <w:pPr>
              <w:pStyle w:val="Tabletextprimarysource"/>
            </w:pPr>
            <w:r>
              <w:t>No report</w:t>
            </w:r>
            <w:r w:rsidR="002F4022">
              <w:t>.</w:t>
            </w:r>
          </w:p>
        </w:tc>
      </w:tr>
    </w:tbl>
    <w:p w14:paraId="488C6180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35158985" w14:textId="77777777" w:rsidTr="002B149B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4C85384D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DCDC2C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9B6403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6FCA0B0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2B149B" w:rsidRPr="004C23F4" w14:paraId="1B330B23" w14:textId="77777777" w:rsidTr="002B149B">
        <w:trPr>
          <w:cantSplit/>
        </w:trPr>
        <w:tc>
          <w:tcPr>
            <w:tcW w:w="1498" w:type="dxa"/>
          </w:tcPr>
          <w:p w14:paraId="5EF8B02A" w14:textId="77777777" w:rsidR="002B149B" w:rsidRPr="004C23F4" w:rsidRDefault="002B149B" w:rsidP="002B149B">
            <w:pPr>
              <w:pStyle w:val="Tablefont"/>
            </w:pPr>
            <w:r>
              <w:t>IARC</w:t>
            </w:r>
          </w:p>
        </w:tc>
        <w:tc>
          <w:tcPr>
            <w:tcW w:w="423" w:type="dxa"/>
          </w:tcPr>
          <w:p w14:paraId="058B2C07" w14:textId="2660147F" w:rsidR="002B149B" w:rsidRPr="00CE617F" w:rsidRDefault="0010196D" w:rsidP="002B149B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18CAD491C45847CCA0229E1B0E339994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B149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724CA2E" w14:textId="0C197EF1" w:rsidR="002B149B" w:rsidRPr="004C23F4" w:rsidRDefault="002B149B" w:rsidP="002B149B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1999</w:t>
            </w:r>
          </w:p>
        </w:tc>
        <w:tc>
          <w:tcPr>
            <w:tcW w:w="6444" w:type="dxa"/>
          </w:tcPr>
          <w:p w14:paraId="5410BEB5" w14:textId="3B3F242D" w:rsidR="002B149B" w:rsidRDefault="002B149B" w:rsidP="00AE1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Sufficient evidence in experimental animals for carcinogenicity, but no epidemiological data relevant to its carcinogenicity in humans is available </w:t>
            </w:r>
          </w:p>
          <w:p w14:paraId="696D250B" w14:textId="72D2E472" w:rsidR="002B149B" w:rsidRPr="002B149B" w:rsidRDefault="002B149B" w:rsidP="00AE12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>
              <w:t>Clas</w:t>
            </w:r>
            <w:r w:rsidR="007E1D04">
              <w:t>sified as “possible carcinogen</w:t>
            </w:r>
            <w:r>
              <w:t xml:space="preserve"> to humans” (Group 2B).</w:t>
            </w:r>
          </w:p>
        </w:tc>
      </w:tr>
      <w:tr w:rsidR="002B149B" w:rsidRPr="004C23F4" w14:paraId="400BCF48" w14:textId="77777777" w:rsidTr="002B149B">
        <w:trPr>
          <w:cantSplit/>
        </w:trPr>
        <w:tc>
          <w:tcPr>
            <w:tcW w:w="1498" w:type="dxa"/>
          </w:tcPr>
          <w:p w14:paraId="103F0606" w14:textId="77777777" w:rsidR="002B149B" w:rsidRPr="004C23F4" w:rsidRDefault="002B149B" w:rsidP="002B149B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5CD6D285" w14:textId="07438963" w:rsidR="002B149B" w:rsidRPr="00CE617F" w:rsidRDefault="0010196D" w:rsidP="002B149B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49BA6FE4B0104EF89AC6255EEB772CF4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B149B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85716F4" w14:textId="271C9C76" w:rsidR="002B149B" w:rsidRPr="004C23F4" w:rsidRDefault="002B149B" w:rsidP="002B149B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001851EE" w14:textId="770AEFC6" w:rsidR="002B149B" w:rsidRPr="00AE1282" w:rsidRDefault="002B149B" w:rsidP="00AE1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testing for chromosome aberrations in mice.</w:t>
            </w:r>
          </w:p>
        </w:tc>
      </w:tr>
      <w:tr w:rsidR="00D922BE" w:rsidRPr="004C23F4" w14:paraId="1895310A" w14:textId="77777777" w:rsidTr="002B149B">
        <w:trPr>
          <w:cantSplit/>
        </w:trPr>
        <w:tc>
          <w:tcPr>
            <w:tcW w:w="1498" w:type="dxa"/>
          </w:tcPr>
          <w:p w14:paraId="49997FCC" w14:textId="5E712235" w:rsidR="00D922BE" w:rsidRPr="004C23F4" w:rsidRDefault="00D922BE" w:rsidP="00950000">
            <w:pPr>
              <w:pStyle w:val="Tablefont"/>
            </w:pPr>
            <w:r>
              <w:t>US EPA</w:t>
            </w:r>
            <w:r w:rsidR="00F34855">
              <w:t xml:space="preserve"> </w:t>
            </w:r>
          </w:p>
        </w:tc>
        <w:tc>
          <w:tcPr>
            <w:tcW w:w="423" w:type="dxa"/>
          </w:tcPr>
          <w:p w14:paraId="20C8A1AF" w14:textId="33704E13" w:rsidR="00D922BE" w:rsidRPr="00CE617F" w:rsidRDefault="0010196D" w:rsidP="00D922BE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AF64760E73A9442BAF574B3BB4559CE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922B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BEF719E" w14:textId="0A8BC998" w:rsidR="00D922BE" w:rsidRPr="004C23F4" w:rsidRDefault="00D922BE" w:rsidP="00D922BE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2000</w:t>
            </w:r>
          </w:p>
        </w:tc>
        <w:tc>
          <w:tcPr>
            <w:tcW w:w="6444" w:type="dxa"/>
          </w:tcPr>
          <w:p w14:paraId="65B1EEC5" w14:textId="4B2ECBFD" w:rsidR="00D922BE" w:rsidRDefault="00B36C3B" w:rsidP="00AE1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</w:t>
            </w:r>
            <w:r w:rsidR="00D922BE">
              <w:t>nh</w:t>
            </w:r>
            <w:r>
              <w:t xml:space="preserve">alation </w:t>
            </w:r>
            <w:r w:rsidR="00D922BE">
              <w:t>RfC of 0.02 mg/m</w:t>
            </w:r>
            <w:r w:rsidR="00D922BE" w:rsidRPr="00AE1282">
              <w:rPr>
                <w:vertAlign w:val="superscript"/>
              </w:rPr>
              <w:t>3</w:t>
            </w:r>
            <w:r>
              <w:t xml:space="preserve"> </w:t>
            </w:r>
            <w:r w:rsidR="00D922BE">
              <w:t xml:space="preserve">recommended based on a daily inhalation exposure of the general human population </w:t>
            </w:r>
          </w:p>
          <w:p w14:paraId="5DB54C62" w14:textId="67473F1E" w:rsidR="00560B99" w:rsidRDefault="00045A0C" w:rsidP="00AE1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560B99">
              <w:t>o available human epidemiological studies; as such, inhalation RfC was derived based on chronic inhalation study in mice and observed hypertrophy/hyperplasia of nasal respiratory epithelium</w:t>
            </w:r>
          </w:p>
          <w:p w14:paraId="160DF0E5" w14:textId="77777777" w:rsidR="00B36C3B" w:rsidRDefault="00D922BE" w:rsidP="00AE128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</w:t>
            </w:r>
            <w:r w:rsidR="00AE30EA">
              <w:t xml:space="preserve">ssessment of inhalation carcinogenicity is based on Lomax study (1989) in rats </w:t>
            </w:r>
            <w:r w:rsidR="00AE30EA" w:rsidRPr="00C9281A">
              <w:t>and mice</w:t>
            </w:r>
            <w:r w:rsidRPr="00C9281A">
              <w:t xml:space="preserve"> </w:t>
            </w:r>
            <w:r w:rsidR="00AE30EA" w:rsidRPr="00C9281A">
              <w:t>exposed to up to 272 mg/m</w:t>
            </w:r>
            <w:r w:rsidR="00AE30EA" w:rsidRPr="00033A1C">
              <w:rPr>
                <w:vertAlign w:val="superscript"/>
              </w:rPr>
              <w:t>3</w:t>
            </w:r>
            <w:r w:rsidR="00AE30EA" w:rsidRPr="00C9281A">
              <w:t xml:space="preserve"> for 6 h/d, 5</w:t>
            </w:r>
            <w:r w:rsidR="009A0702">
              <w:t> </w:t>
            </w:r>
            <w:r w:rsidR="00AE30EA" w:rsidRPr="00C9281A">
              <w:t>d/yr for 2 y</w:t>
            </w:r>
            <w:r w:rsidR="00A52F7F" w:rsidRPr="00C9281A">
              <w:t>r</w:t>
            </w:r>
          </w:p>
          <w:p w14:paraId="3BE69955" w14:textId="3584F4B2" w:rsidR="00D922BE" w:rsidRPr="00AE1282" w:rsidRDefault="00AE30EA" w:rsidP="00B36C3B">
            <w:pPr>
              <w:pStyle w:val="ListBullet"/>
              <w:spacing w:before="60" w:after="60"/>
              <w:ind w:left="714" w:hanging="357"/>
              <w:contextualSpacing w:val="0"/>
            </w:pPr>
            <w:r w:rsidRPr="00C9281A">
              <w:t>IUR</w:t>
            </w:r>
            <w:r w:rsidR="00D922BE" w:rsidRPr="00C9281A">
              <w:t xml:space="preserve"> of </w:t>
            </w:r>
            <w:r w:rsidR="00863110" w:rsidRPr="00C9281A">
              <w:t>4</w:t>
            </w:r>
            <w:r w:rsidR="00033A1C">
              <w:t> </w:t>
            </w:r>
            <w:r w:rsidR="00863110" w:rsidRPr="00C9281A">
              <w:t>x</w:t>
            </w:r>
            <w:r w:rsidR="00033A1C">
              <w:t> </w:t>
            </w:r>
            <w:r w:rsidR="00863110" w:rsidRPr="00C9281A">
              <w:t>10</w:t>
            </w:r>
            <w:r w:rsidR="00863110" w:rsidRPr="00AB02E2">
              <w:rPr>
                <w:vertAlign w:val="superscript"/>
              </w:rPr>
              <w:t>-6</w:t>
            </w:r>
            <w:r w:rsidR="00863110" w:rsidRPr="00C9281A">
              <w:t xml:space="preserve"> per </w:t>
            </w:r>
            <w:r w:rsidR="00863110" w:rsidRPr="00AE1282">
              <w:t>µg/m</w:t>
            </w:r>
            <w:r w:rsidR="00863110" w:rsidRPr="00AE1282">
              <w:rPr>
                <w:vertAlign w:val="superscript"/>
              </w:rPr>
              <w:t>3</w:t>
            </w:r>
            <w:r w:rsidR="00863110" w:rsidRPr="00AE1282">
              <w:t xml:space="preserve"> </w:t>
            </w:r>
            <w:r w:rsidRPr="00AE1282">
              <w:t xml:space="preserve">is based on protection of lung cancer. </w:t>
            </w:r>
          </w:p>
        </w:tc>
      </w:tr>
      <w:tr w:rsidR="00F676C7" w:rsidRPr="004C23F4" w14:paraId="56C4F903" w14:textId="77777777" w:rsidTr="002B149B">
        <w:trPr>
          <w:cantSplit/>
        </w:trPr>
        <w:tc>
          <w:tcPr>
            <w:tcW w:w="1498" w:type="dxa"/>
          </w:tcPr>
          <w:p w14:paraId="3A1A1AC8" w14:textId="77777777" w:rsidR="00F676C7" w:rsidRDefault="00F676C7" w:rsidP="00F676C7">
            <w:pPr>
              <w:pStyle w:val="Tablefont"/>
            </w:pPr>
            <w:r>
              <w:t>US NIOSH</w:t>
            </w:r>
          </w:p>
        </w:tc>
        <w:tc>
          <w:tcPr>
            <w:tcW w:w="423" w:type="dxa"/>
          </w:tcPr>
          <w:p w14:paraId="1682325E" w14:textId="444F66F4" w:rsidR="00F676C7" w:rsidRDefault="0010196D" w:rsidP="00F676C7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A5F91E6A8888440886CD8F490847065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676C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BD2ED1C" w14:textId="7EE712E7" w:rsidR="00F676C7" w:rsidRPr="004C23F4" w:rsidRDefault="00F676C7" w:rsidP="00F676C7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44" w:type="dxa"/>
          </w:tcPr>
          <w:p w14:paraId="05DEFE0D" w14:textId="6EFDFB3E" w:rsidR="00F676C7" w:rsidRPr="00F676C7" w:rsidRDefault="00C9281A" w:rsidP="00AE128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  <w:lang w:eastAsia="en-AU"/>
              </w:rPr>
            </w:pPr>
            <w:r>
              <w:t xml:space="preserve">TWA 1 </w:t>
            </w:r>
            <w:r w:rsidR="00F676C7">
              <w:t>ppm (5 mg/m</w:t>
            </w:r>
            <w:r w:rsidR="00F676C7" w:rsidRPr="00637955">
              <w:rPr>
                <w:vertAlign w:val="superscript"/>
              </w:rPr>
              <w:t>3</w:t>
            </w:r>
            <w:r w:rsidR="00F676C7">
              <w:t>) is recommended, with a skin notation.</w:t>
            </w:r>
          </w:p>
        </w:tc>
      </w:tr>
    </w:tbl>
    <w:bookmarkEnd w:id="1"/>
    <w:p w14:paraId="3AE96339" w14:textId="77777777" w:rsidR="007E2A4B" w:rsidRDefault="007E2A4B" w:rsidP="00B36C3B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918C539" w14:textId="77777777" w:rsidTr="00BF5AED">
        <w:trPr>
          <w:trHeight w:val="454"/>
          <w:tblHeader/>
        </w:trPr>
        <w:tc>
          <w:tcPr>
            <w:tcW w:w="6597" w:type="dxa"/>
            <w:vAlign w:val="center"/>
          </w:tcPr>
          <w:p w14:paraId="26904345" w14:textId="77777777" w:rsidR="002E0D61" w:rsidRDefault="00B1422A" w:rsidP="00B36C3B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7718570" w14:textId="39F5E7AD" w:rsidR="002E0D61" w:rsidRDefault="00A13DA7" w:rsidP="00B36C3B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7F6D7EE" w14:textId="77777777" w:rsidTr="00BF5AED">
        <w:trPr>
          <w:trHeight w:val="454"/>
        </w:trPr>
        <w:tc>
          <w:tcPr>
            <w:tcW w:w="6597" w:type="dxa"/>
            <w:vAlign w:val="center"/>
          </w:tcPr>
          <w:p w14:paraId="3652E3A4" w14:textId="77777777" w:rsidR="008A36CF" w:rsidRDefault="008A36CF" w:rsidP="00B36C3B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4F3CC71" w14:textId="28607B70" w:rsidR="008A36CF" w:rsidRDefault="00A13DA7" w:rsidP="00B36C3B">
                <w:pPr>
                  <w:pStyle w:val="Tablefont"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36C3B" w14:paraId="6E2BA0F9" w14:textId="77777777" w:rsidTr="00A94F4C">
        <w:trPr>
          <w:trHeight w:val="454"/>
        </w:trPr>
        <w:sdt>
          <w:sdtPr>
            <w:rPr>
              <w:b/>
            </w:rPr>
            <w:id w:val="1830936485"/>
            <w:placeholder>
              <w:docPart w:val="AD608B11710A415D9AED2912490DAE27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423108CE" w14:textId="2B80F3B0" w:rsidR="00B36C3B" w:rsidRDefault="00B36C3B" w:rsidP="00B36C3B">
                <w:pPr>
                  <w:pStyle w:val="Tablefont"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554B986A" w14:textId="77777777" w:rsidR="00687890" w:rsidRPr="004C23F4" w:rsidRDefault="00B479A9" w:rsidP="00474E33">
      <w:pPr>
        <w:pStyle w:val="Heading2"/>
      </w:pPr>
      <w:r w:rsidRPr="007E69EE">
        <w:lastRenderedPageBreak/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92C37B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022F1A6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9D50A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8461EC5" w14:textId="77777777" w:rsidTr="00812887">
        <w:trPr>
          <w:cantSplit/>
        </w:trPr>
        <w:tc>
          <w:tcPr>
            <w:tcW w:w="3227" w:type="dxa"/>
          </w:tcPr>
          <w:p w14:paraId="5061420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E2F5113" w14:textId="0D1C8EAB" w:rsidR="00D86455" w:rsidRPr="00DD2F9B" w:rsidRDefault="000E198E">
            <w:pPr>
              <w:pStyle w:val="Tablefont"/>
            </w:pPr>
            <w:r>
              <w:t>Skin</w:t>
            </w:r>
            <w:r w:rsidR="00A05ECF">
              <w:t>, Sen</w:t>
            </w:r>
            <w:r w:rsidR="00D86455">
              <w:t xml:space="preserve"> </w:t>
            </w:r>
          </w:p>
        </w:tc>
      </w:tr>
      <w:tr w:rsidR="007925F0" w:rsidRPr="004C23F4" w14:paraId="1F1237AD" w14:textId="77777777" w:rsidTr="00812887">
        <w:trPr>
          <w:cantSplit/>
        </w:trPr>
        <w:tc>
          <w:tcPr>
            <w:tcW w:w="3227" w:type="dxa"/>
          </w:tcPr>
          <w:p w14:paraId="75172F6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5815E7A" w14:textId="1105152F" w:rsidR="007925F0" w:rsidRPr="00DD2F9B" w:rsidRDefault="00CB5628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A1EBFCB" w14:textId="77777777" w:rsidTr="00812887">
        <w:trPr>
          <w:cantSplit/>
        </w:trPr>
        <w:tc>
          <w:tcPr>
            <w:tcW w:w="3227" w:type="dxa"/>
          </w:tcPr>
          <w:p w14:paraId="18EEBB0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9897A1F" w14:textId="5202D01D" w:rsidR="00AF483F" w:rsidRPr="00DD2F9B" w:rsidRDefault="00E029E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2B54244" w14:textId="77777777" w:rsidTr="00812887">
        <w:trPr>
          <w:cantSplit/>
        </w:trPr>
        <w:tc>
          <w:tcPr>
            <w:tcW w:w="3227" w:type="dxa"/>
          </w:tcPr>
          <w:p w14:paraId="18B0A1F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B435F8B" w14:textId="4DE4921D" w:rsidR="00687890" w:rsidRPr="00DD2F9B" w:rsidRDefault="00E029E0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D83301B" w14:textId="77777777" w:rsidTr="00812887">
        <w:trPr>
          <w:cantSplit/>
        </w:trPr>
        <w:tc>
          <w:tcPr>
            <w:tcW w:w="3227" w:type="dxa"/>
          </w:tcPr>
          <w:p w14:paraId="2EBC24B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2D842B1" w14:textId="53F74D86" w:rsidR="00E41A26" w:rsidRPr="00DD2F9B" w:rsidRDefault="00E029E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D0CD4EC" w14:textId="77777777" w:rsidTr="00812887">
        <w:trPr>
          <w:cantSplit/>
        </w:trPr>
        <w:tc>
          <w:tcPr>
            <w:tcW w:w="3227" w:type="dxa"/>
          </w:tcPr>
          <w:p w14:paraId="6CD9514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810F17A" w14:textId="637621B4" w:rsidR="002E0D61" w:rsidRPr="00DD2F9B" w:rsidRDefault="00E029E0" w:rsidP="00DD2F9B">
            <w:pPr>
              <w:pStyle w:val="Tablefont"/>
            </w:pPr>
            <w:r w:rsidRPr="00E029E0">
              <w:t>Carcinogenicity – A3</w:t>
            </w:r>
            <w:r w:rsidR="00A05ECF">
              <w:t>,</w:t>
            </w:r>
            <w:r w:rsidR="002D0068">
              <w:t xml:space="preserve"> </w:t>
            </w:r>
            <w:r w:rsidR="002D0068" w:rsidRPr="00E029E0">
              <w:t>Skin</w:t>
            </w:r>
          </w:p>
        </w:tc>
      </w:tr>
      <w:tr w:rsidR="002E0D61" w:rsidRPr="004C23F4" w14:paraId="29535557" w14:textId="77777777" w:rsidTr="00812887">
        <w:trPr>
          <w:cantSplit/>
        </w:trPr>
        <w:tc>
          <w:tcPr>
            <w:tcW w:w="3227" w:type="dxa"/>
          </w:tcPr>
          <w:p w14:paraId="20514863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952D21B" w14:textId="509A267B" w:rsidR="002E0D61" w:rsidRPr="00D86455" w:rsidRDefault="007E1D04" w:rsidP="00DD2F9B">
            <w:pPr>
              <w:pStyle w:val="Tablefont"/>
            </w:pPr>
            <w:r>
              <w:t>Carcinogenicity – 2; H (skin)</w:t>
            </w:r>
            <w:r w:rsidR="00A05ECF">
              <w:t>,</w:t>
            </w:r>
            <w:r w:rsidR="00E029E0" w:rsidRPr="00D86455">
              <w:t xml:space="preserve"> </w:t>
            </w:r>
            <w:proofErr w:type="spellStart"/>
            <w:r w:rsidR="00E029E0" w:rsidRPr="00D86455">
              <w:t>Sh</w:t>
            </w:r>
            <w:proofErr w:type="spellEnd"/>
            <w:r w:rsidR="00E029E0" w:rsidRPr="00D86455">
              <w:t xml:space="preserve"> (dermal sensitiser)</w:t>
            </w:r>
          </w:p>
        </w:tc>
      </w:tr>
      <w:tr w:rsidR="002E0D61" w:rsidRPr="004C23F4" w14:paraId="2ACA6FD6" w14:textId="77777777" w:rsidTr="00812887">
        <w:trPr>
          <w:cantSplit/>
        </w:trPr>
        <w:tc>
          <w:tcPr>
            <w:tcW w:w="3227" w:type="dxa"/>
          </w:tcPr>
          <w:p w14:paraId="7CFDA3E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9869337" w14:textId="26134FC3" w:rsidR="002E0D61" w:rsidRPr="00DD2F9B" w:rsidRDefault="00E029E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AD1D26" w14:textId="77777777" w:rsidTr="00812887">
        <w:trPr>
          <w:cantSplit/>
        </w:trPr>
        <w:tc>
          <w:tcPr>
            <w:tcW w:w="3227" w:type="dxa"/>
          </w:tcPr>
          <w:p w14:paraId="333129D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01E6FA1" w14:textId="0F09AE5D" w:rsidR="002E0D61" w:rsidRPr="00DD2F9B" w:rsidRDefault="00E029E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5AFD307" w14:textId="77777777" w:rsidTr="00812887">
        <w:trPr>
          <w:cantSplit/>
        </w:trPr>
        <w:tc>
          <w:tcPr>
            <w:tcW w:w="3227" w:type="dxa"/>
          </w:tcPr>
          <w:p w14:paraId="4E44145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4CD5E85" w14:textId="63022503" w:rsidR="00386093" w:rsidRPr="00DD2F9B" w:rsidRDefault="00E029E0" w:rsidP="00DD2F9B">
            <w:pPr>
              <w:pStyle w:val="Tablefont"/>
            </w:pPr>
            <w:r w:rsidRPr="00E029E0">
              <w:t>Carcinogenicity – Group 2B</w:t>
            </w:r>
          </w:p>
        </w:tc>
      </w:tr>
      <w:tr w:rsidR="00386093" w:rsidRPr="004C23F4" w14:paraId="15BAB90F" w14:textId="77777777" w:rsidTr="00812887">
        <w:trPr>
          <w:cantSplit/>
        </w:trPr>
        <w:tc>
          <w:tcPr>
            <w:tcW w:w="3227" w:type="dxa"/>
          </w:tcPr>
          <w:p w14:paraId="753FB504" w14:textId="77777777" w:rsidR="004079B4" w:rsidRDefault="00386093" w:rsidP="00BF5AE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US NIOSH</w:t>
            </w:r>
          </w:p>
        </w:tc>
        <w:tc>
          <w:tcPr>
            <w:tcW w:w="6015" w:type="dxa"/>
          </w:tcPr>
          <w:p w14:paraId="281055DD" w14:textId="386DF91C" w:rsidR="00386093" w:rsidRPr="00DD2F9B" w:rsidRDefault="00C9281A" w:rsidP="00D87570">
            <w:pPr>
              <w:pStyle w:val="Tablefont"/>
              <w:keepNext/>
            </w:pPr>
            <w:r>
              <w:t>SK:SEN</w:t>
            </w:r>
          </w:p>
        </w:tc>
      </w:tr>
    </w:tbl>
    <w:bookmarkEnd w:id="3"/>
    <w:p w14:paraId="375A29A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8FC9DCC" w14:textId="77777777" w:rsidR="00474E33" w:rsidRDefault="00474E33" w:rsidP="00474E33">
      <w:pPr>
        <w:pStyle w:val="Heading3"/>
      </w:pPr>
      <w:r>
        <w:t xml:space="preserve">Skin </w:t>
      </w:r>
      <w:r w:rsidRPr="001D5CB6">
        <w:t>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A535FE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E3E627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26AFA4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2" w:type="dxa"/>
              <w:tblLook w:val="04A0" w:firstRow="1" w:lastRow="0" w:firstColumn="1" w:lastColumn="0" w:noHBand="0" w:noVBand="1"/>
            </w:tblPr>
            <w:tblGrid>
              <w:gridCol w:w="3314"/>
              <w:gridCol w:w="976"/>
              <w:gridCol w:w="976"/>
              <w:gridCol w:w="1180"/>
              <w:gridCol w:w="2356"/>
            </w:tblGrid>
            <w:tr w:rsidR="007D0474" w:rsidRPr="00FF1434" w14:paraId="1A8332D3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B3F9EC" w14:textId="77777777" w:rsidR="007D0474" w:rsidRPr="00FF1434" w:rsidRDefault="007D0474" w:rsidP="007D047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A87A681" w14:textId="77777777" w:rsidR="007D0474" w:rsidRPr="00FF1434" w:rsidRDefault="007D0474" w:rsidP="007D047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0B7F8D" w14:textId="77777777" w:rsidR="007D0474" w:rsidRPr="00FF1434" w:rsidRDefault="007D0474" w:rsidP="007D047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291226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AA120C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D0474" w:rsidRPr="00FF1434" w14:paraId="5C2172A1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4181AC" w14:textId="77777777" w:rsidR="007D0474" w:rsidRPr="00FF1434" w:rsidRDefault="007D0474" w:rsidP="007D047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A188618" w14:textId="77777777" w:rsidR="007D0474" w:rsidRPr="00FF1434" w:rsidRDefault="007D0474" w:rsidP="007D047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DCFBB1" w14:textId="77777777" w:rsidR="007D0474" w:rsidRPr="00FF1434" w:rsidRDefault="007D0474" w:rsidP="007D047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B09F3F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DA2DF2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D0474" w:rsidRPr="00FF1434" w14:paraId="68642899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3782E7" w14:textId="77777777" w:rsidR="007D0474" w:rsidRPr="00FF1434" w:rsidRDefault="007D0474" w:rsidP="007D047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A5876D" w14:textId="017ED7E7" w:rsidR="007D0474" w:rsidRPr="00FE662E" w:rsidRDefault="00CF7A5C" w:rsidP="007D047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</w:pPr>
                  <w:r w:rsidRPr="00FE662E"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  <w:t>No data</w:t>
                  </w:r>
                  <w:r w:rsidR="007D0474" w:rsidRPr="00FE662E"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491A37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7FA3F8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C241D3" w14:textId="77777777" w:rsidR="007D0474" w:rsidRPr="00FF1434" w:rsidRDefault="007D0474" w:rsidP="007D047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A6F2A" w:rsidRPr="00FF1434" w14:paraId="5B36A8C0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765377" w14:textId="77777777" w:rsidR="00DA6F2A" w:rsidRPr="00FF1434" w:rsidRDefault="00DA6F2A" w:rsidP="00DA6F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B9C"/>
                  <w:noWrap/>
                  <w:vAlign w:val="center"/>
                  <w:hideMark/>
                </w:tcPr>
                <w:p w14:paraId="076CECED" w14:textId="32F0ECC4" w:rsidR="00DA6F2A" w:rsidRPr="00FF1434" w:rsidRDefault="00CF7A5C" w:rsidP="00DA6F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</w:t>
                  </w:r>
                  <w:r w:rsidR="00DA6F2A"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C9FAC3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A613A8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4D07F2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A6F2A" w:rsidRPr="00FF1434" w14:paraId="758E32F6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F4C5C9" w14:textId="77777777" w:rsidR="00DA6F2A" w:rsidRPr="00FF1434" w:rsidRDefault="00DA6F2A" w:rsidP="00DA6F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548968" w14:textId="4E89DE08" w:rsidR="00DA6F2A" w:rsidRPr="00FE662E" w:rsidRDefault="00CF7A5C" w:rsidP="00DA6F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</w:pPr>
                  <w:r w:rsidRPr="00FE662E"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284F5E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79BB44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11EBC2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A6F2A" w:rsidRPr="00FF1434" w14:paraId="27DDB24B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45FE20" w14:textId="77777777" w:rsidR="00DA6F2A" w:rsidRPr="00FF1434" w:rsidRDefault="00DA6F2A" w:rsidP="00DA6F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330E14" w14:textId="1CD34B88" w:rsidR="00DA6F2A" w:rsidRPr="00FE662E" w:rsidRDefault="00DA6F2A" w:rsidP="00DA6F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</w:pPr>
                  <w:r w:rsidRPr="00FE662E"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  <w:r w:rsidR="00CF7A5C" w:rsidRPr="00FE662E">
                    <w:rPr>
                      <w:rFonts w:ascii="Segoe UI" w:eastAsia="Times New Roman" w:hAnsi="Segoe UI" w:cs="Segoe UI"/>
                      <w:i/>
                      <w:color w:val="000000"/>
                      <w:sz w:val="18"/>
                      <w:szCs w:val="18"/>
                      <w:lang w:eastAsia="en-AU"/>
                    </w:rPr>
                    <w:t>No data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B00A3A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8541BE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37D46F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A6F2A" w:rsidRPr="00FF1434" w14:paraId="45E02014" w14:textId="77777777" w:rsidTr="00CF7A5C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0DA668" w14:textId="77777777" w:rsidR="00DA6F2A" w:rsidRPr="00FF1434" w:rsidRDefault="00DA6F2A" w:rsidP="00DA6F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B5E8B4" w14:textId="77777777" w:rsidR="00DA6F2A" w:rsidRPr="00FF1434" w:rsidRDefault="00DA6F2A" w:rsidP="00DA6F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AD2438" w14:textId="77777777" w:rsidR="00DA6F2A" w:rsidRPr="00FF1434" w:rsidRDefault="00DA6F2A" w:rsidP="00DA6F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536897" w14:textId="77777777" w:rsidR="00DA6F2A" w:rsidRPr="00FF1434" w:rsidRDefault="00DA6F2A" w:rsidP="00DA6F2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B929BA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7D0FC1F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389CA3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0902014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42B7DE7" w14:textId="64385CA0" w:rsidR="00EB3D1B" w:rsidRDefault="00C464F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81F0B1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B75A103" w14:textId="77777777" w:rsidTr="00FD7AF0">
        <w:trPr>
          <w:cantSplit/>
          <w:tblHeader/>
        </w:trPr>
        <w:tc>
          <w:tcPr>
            <w:tcW w:w="4077" w:type="dxa"/>
            <w:vAlign w:val="center"/>
          </w:tcPr>
          <w:p w14:paraId="19F8BE1B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6A1E25A" w14:textId="100AAF49" w:rsidR="001B79E5" w:rsidRDefault="00C464FF" w:rsidP="001B79E5">
                <w:pPr>
                  <w:pStyle w:val="Tablefont"/>
                </w:pPr>
                <w:r w:rsidRPr="00C464FF">
                  <w:t>110.97</w:t>
                </w:r>
              </w:p>
            </w:tc>
          </w:sdtContent>
        </w:sdt>
      </w:tr>
      <w:tr w:rsidR="00A31D99" w:rsidRPr="004C23F4" w14:paraId="1EB9FD40" w14:textId="77777777" w:rsidTr="00B36C3B">
        <w:trPr>
          <w:cantSplit/>
        </w:trPr>
        <w:tc>
          <w:tcPr>
            <w:tcW w:w="4077" w:type="dxa"/>
            <w:vAlign w:val="center"/>
          </w:tcPr>
          <w:p w14:paraId="2AAED5E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0516C72" w14:textId="0324C63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464FF">
                  <w:t>4.54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464FF" w:rsidRPr="00C464FF">
                  <w:t>0.22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B257F5F" w14:textId="77777777" w:rsidTr="00B36C3B">
        <w:trPr>
          <w:cantSplit/>
        </w:trPr>
        <w:tc>
          <w:tcPr>
            <w:tcW w:w="4077" w:type="dxa"/>
            <w:vAlign w:val="center"/>
          </w:tcPr>
          <w:p w14:paraId="60353DB1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8C870A" w14:textId="6500BFD8" w:rsidR="00687890" w:rsidRPr="004C23F4" w:rsidRDefault="00C464FF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5CB30689" w14:textId="77777777" w:rsidTr="00B36C3B">
        <w:trPr>
          <w:cantSplit/>
        </w:trPr>
        <w:tc>
          <w:tcPr>
            <w:tcW w:w="4077" w:type="dxa"/>
            <w:vAlign w:val="center"/>
          </w:tcPr>
          <w:p w14:paraId="5894395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969035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DDF2554" w14:textId="77777777" w:rsidTr="00B36C3B">
        <w:trPr>
          <w:cantSplit/>
        </w:trPr>
        <w:tc>
          <w:tcPr>
            <w:tcW w:w="4077" w:type="dxa"/>
            <w:vAlign w:val="center"/>
          </w:tcPr>
          <w:p w14:paraId="5B0EAA5B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AA572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9F0C608" w14:textId="77777777" w:rsidTr="00B36C3B">
        <w:trPr>
          <w:cantSplit/>
        </w:trPr>
        <w:tc>
          <w:tcPr>
            <w:tcW w:w="4077" w:type="dxa"/>
            <w:vAlign w:val="center"/>
          </w:tcPr>
          <w:p w14:paraId="44A7C20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2CBA7C9" w14:textId="77777777" w:rsidR="00E06F40" w:rsidRPr="00A006A0" w:rsidRDefault="0010196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4E9C5B1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09498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7521E9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6D956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383D62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E56102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6B6F28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3BB623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6B3E632" w14:textId="0FAFA515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05CBD97" w14:textId="2BA190EC" w:rsidR="0051368B" w:rsidRDefault="0051368B" w:rsidP="00084859">
      <w:r w:rsidRPr="002022B6">
        <w:t>Deutsche Forschungsgemeinschaft (DFG)</w:t>
      </w:r>
      <w:r>
        <w:t xml:space="preserve"> (</w:t>
      </w:r>
      <w:r w:rsidR="00F15168">
        <w:t>1998</w:t>
      </w:r>
      <w:r>
        <w:t xml:space="preserve">) </w:t>
      </w:r>
      <w:r w:rsidR="00F15168">
        <w:t>1</w:t>
      </w:r>
      <w:proofErr w:type="gramStart"/>
      <w:r w:rsidR="00F15168">
        <w:t>,3</w:t>
      </w:r>
      <w:proofErr w:type="gramEnd"/>
      <w:r w:rsidR="00F15168">
        <w:t>-Dichlorpropen (cis- und trans-)</w:t>
      </w:r>
      <w:r>
        <w:t xml:space="preserve"> – MAK value documentation.</w:t>
      </w:r>
    </w:p>
    <w:p w14:paraId="70418014" w14:textId="09775ED6" w:rsidR="00F15168" w:rsidRDefault="00F15168" w:rsidP="00084859">
      <w:r w:rsidRPr="002022B6">
        <w:t>International Agency for Research on Cancer</w:t>
      </w:r>
      <w:r>
        <w:t xml:space="preserve"> (IARC) (1999) </w:t>
      </w:r>
      <w:r w:rsidRPr="00F15168">
        <w:t>1</w:t>
      </w:r>
      <w:proofErr w:type="gramStart"/>
      <w:r w:rsidRPr="00F15168">
        <w:t>,3</w:t>
      </w:r>
      <w:proofErr w:type="gramEnd"/>
      <w:r w:rsidRPr="00F15168">
        <w:t>-Dichloropropene (technical-grade)</w:t>
      </w:r>
      <w:r>
        <w:t>. IARC Monographs on the evaluation of the carcinogenic risk to humans.</w:t>
      </w:r>
      <w:r w:rsidRPr="00F15168">
        <w:t xml:space="preserve"> 41, Sup 7, 71</w:t>
      </w:r>
      <w:r>
        <w:t>.</w:t>
      </w:r>
    </w:p>
    <w:p w14:paraId="667391B3" w14:textId="0A2CCBBC" w:rsidR="00B0164C" w:rsidRDefault="00B0164C" w:rsidP="00B0164C">
      <w:r>
        <w:t>National Toxicology Program (NTP) (2019). Testing Status of 1</w:t>
      </w:r>
      <w:proofErr w:type="gramStart"/>
      <w:r>
        <w:t>,3</w:t>
      </w:r>
      <w:proofErr w:type="gramEnd"/>
      <w:r>
        <w:t>-Dichloropropene (</w:t>
      </w:r>
      <w:proofErr w:type="spellStart"/>
      <w:r>
        <w:t>Telone</w:t>
      </w:r>
      <w:proofErr w:type="spellEnd"/>
      <w:r>
        <w:t xml:space="preserve"> II) 10560-H.</w:t>
      </w:r>
    </w:p>
    <w:p w14:paraId="437DF69B" w14:textId="42FD1F84" w:rsidR="00B0164C" w:rsidRDefault="00B0164C" w:rsidP="00084859">
      <w:r>
        <w:t>Safe Work Australia (SWA) (2018). Workplace Exposure Standards for Airborne Contaminants</w:t>
      </w:r>
    </w:p>
    <w:p w14:paraId="59B88EDB" w14:textId="1069A99C" w:rsidR="00B0164C" w:rsidRPr="00351FE0" w:rsidRDefault="00B0164C" w:rsidP="00B0164C">
      <w:r>
        <w:t>US Environmental Protection Agency (EPA). (2000). Chemical Assessment Summary – 1</w:t>
      </w:r>
      <w:proofErr w:type="gramStart"/>
      <w:r>
        <w:t>,3</w:t>
      </w:r>
      <w:proofErr w:type="gramEnd"/>
      <w:r>
        <w:t xml:space="preserve">-Dichloropropene (DCP); CASRN 542-75-6. Integrated Risk Information System (IRIS). </w:t>
      </w:r>
    </w:p>
    <w:p w14:paraId="5C68A6EC" w14:textId="470CBBC3" w:rsidR="00F15168" w:rsidRDefault="003D61E6" w:rsidP="003D61E6">
      <w:r w:rsidRPr="00D86E03">
        <w:t>US National Institute for Occupational Safety and Health (NIOSH)</w:t>
      </w:r>
      <w:r>
        <w:t xml:space="preserve"> (2011) </w:t>
      </w:r>
      <w:r w:rsidRPr="006B0272">
        <w:t xml:space="preserve">NIOSH Skin Notation Profiles: </w:t>
      </w:r>
      <w:r w:rsidRPr="003D61E6">
        <w:t>1</w:t>
      </w:r>
      <w:proofErr w:type="gramStart"/>
      <w:r w:rsidRPr="003D61E6">
        <w:t>,3</w:t>
      </w:r>
      <w:proofErr w:type="gramEnd"/>
      <w:r w:rsidRPr="003D61E6">
        <w:t>-Dichloropropene (1,3-D)</w:t>
      </w:r>
      <w:r>
        <w:t>.</w:t>
      </w:r>
    </w:p>
    <w:p w14:paraId="0D3ADA03" w14:textId="39C83D22" w:rsidR="00B62D7D" w:rsidRDefault="00B62D7D" w:rsidP="00B62D7D"/>
    <w:sectPr w:rsidR="00B62D7D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C5FF2" w16cid:durableId="215D5C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3F1C" w14:textId="77777777" w:rsidR="00742F15" w:rsidRDefault="00742F15" w:rsidP="00F43AD5">
      <w:pPr>
        <w:spacing w:after="0" w:line="240" w:lineRule="auto"/>
      </w:pPr>
      <w:r>
        <w:separator/>
      </w:r>
    </w:p>
  </w:endnote>
  <w:endnote w:type="continuationSeparator" w:id="0">
    <w:p w14:paraId="4FC03F61" w14:textId="77777777" w:rsidR="00742F15" w:rsidRDefault="00742F1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05444BB" w14:textId="77777777" w:rsidR="00AE30EA" w:rsidRPr="00276B8A" w:rsidRDefault="00AE30EA" w:rsidP="00276B8A">
        <w:pPr>
          <w:pStyle w:val="Footer"/>
          <w:rPr>
            <w:b/>
            <w:sz w:val="18"/>
            <w:szCs w:val="18"/>
          </w:rPr>
        </w:pPr>
      </w:p>
      <w:p w14:paraId="7DC6650C" w14:textId="2D93F753" w:rsidR="00AE30EA" w:rsidRDefault="00AE30EA" w:rsidP="00276B8A">
        <w:pPr>
          <w:pStyle w:val="Footer"/>
          <w:rPr>
            <w:sz w:val="18"/>
            <w:szCs w:val="18"/>
          </w:rPr>
        </w:pPr>
        <w:proofErr w:type="spellStart"/>
        <w:r w:rsidRPr="00276B8A">
          <w:rPr>
            <w:b/>
            <w:sz w:val="18"/>
            <w:szCs w:val="18"/>
          </w:rPr>
          <w:t>Dichloropropene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276B8A">
          <w:rPr>
            <w:b/>
            <w:sz w:val="18"/>
            <w:szCs w:val="18"/>
          </w:rPr>
          <w:t>542-75-6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3F1F6D14" w14:textId="21C8404A" w:rsidR="00AE30EA" w:rsidRPr="00F43AD5" w:rsidRDefault="00AE30EA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0196D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5E67" w14:textId="77777777" w:rsidR="00742F15" w:rsidRDefault="00742F15" w:rsidP="00F43AD5">
      <w:pPr>
        <w:spacing w:after="0" w:line="240" w:lineRule="auto"/>
      </w:pPr>
      <w:r>
        <w:separator/>
      </w:r>
    </w:p>
  </w:footnote>
  <w:footnote w:type="continuationSeparator" w:id="0">
    <w:p w14:paraId="1AFA2CDD" w14:textId="77777777" w:rsidR="00742F15" w:rsidRDefault="00742F1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7689" w14:textId="08E1B148" w:rsidR="00FD7AF0" w:rsidRDefault="0010196D" w:rsidP="00FD7AF0">
    <w:pPr>
      <w:pStyle w:val="Header"/>
      <w:jc w:val="right"/>
    </w:pPr>
    <w:r>
      <w:pict w14:anchorId="7CE262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D7AF0">
      <w:rPr>
        <w:noProof/>
        <w:lang w:eastAsia="en-AU"/>
      </w:rPr>
      <w:drawing>
        <wp:inline distT="0" distB="0" distL="0" distR="0" wp14:anchorId="13EA4623" wp14:editId="220131C1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CA353" w14:textId="68A6EA1E" w:rsidR="00AE30EA" w:rsidRDefault="00AE30EA" w:rsidP="00F43AD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5654" w14:textId="04B98232" w:rsidR="00AE30EA" w:rsidRDefault="0010196D" w:rsidP="00FD7AF0">
    <w:pPr>
      <w:pStyle w:val="Header"/>
      <w:jc w:val="right"/>
    </w:pPr>
    <w:r>
      <w:pict w14:anchorId="225F0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D7AF0">
      <w:rPr>
        <w:noProof/>
        <w:lang w:eastAsia="en-AU"/>
      </w:rPr>
      <w:drawing>
        <wp:inline distT="0" distB="0" distL="0" distR="0" wp14:anchorId="335F56C0" wp14:editId="0C49CDA4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86B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37F12"/>
    <w:multiLevelType w:val="hybridMultilevel"/>
    <w:tmpl w:val="51D4B222"/>
    <w:lvl w:ilvl="0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50532FF"/>
    <w:multiLevelType w:val="hybridMultilevel"/>
    <w:tmpl w:val="3822F21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3F3C"/>
    <w:rsid w:val="00014C3F"/>
    <w:rsid w:val="00017C82"/>
    <w:rsid w:val="00032B88"/>
    <w:rsid w:val="00033A1C"/>
    <w:rsid w:val="00045A0C"/>
    <w:rsid w:val="00046DF5"/>
    <w:rsid w:val="00052060"/>
    <w:rsid w:val="0005574A"/>
    <w:rsid w:val="00055FE1"/>
    <w:rsid w:val="00056EC2"/>
    <w:rsid w:val="00060B48"/>
    <w:rsid w:val="0006382F"/>
    <w:rsid w:val="00064343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198E"/>
    <w:rsid w:val="000E5A54"/>
    <w:rsid w:val="000E63D3"/>
    <w:rsid w:val="000E67CF"/>
    <w:rsid w:val="0010196D"/>
    <w:rsid w:val="001040EA"/>
    <w:rsid w:val="0010461E"/>
    <w:rsid w:val="00106FAA"/>
    <w:rsid w:val="00113443"/>
    <w:rsid w:val="001269A7"/>
    <w:rsid w:val="00131092"/>
    <w:rsid w:val="00140E6A"/>
    <w:rsid w:val="00140FE2"/>
    <w:rsid w:val="00146545"/>
    <w:rsid w:val="00146B75"/>
    <w:rsid w:val="0015266D"/>
    <w:rsid w:val="0015288A"/>
    <w:rsid w:val="00160F47"/>
    <w:rsid w:val="001719D6"/>
    <w:rsid w:val="00177CA1"/>
    <w:rsid w:val="00183823"/>
    <w:rsid w:val="00183942"/>
    <w:rsid w:val="001A009E"/>
    <w:rsid w:val="001A1287"/>
    <w:rsid w:val="001A3859"/>
    <w:rsid w:val="001A3C9D"/>
    <w:rsid w:val="001A43F8"/>
    <w:rsid w:val="001B3131"/>
    <w:rsid w:val="001B6B6C"/>
    <w:rsid w:val="001B79E5"/>
    <w:rsid w:val="001D4C43"/>
    <w:rsid w:val="001D56F0"/>
    <w:rsid w:val="001D5CB6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4138"/>
    <w:rsid w:val="00221547"/>
    <w:rsid w:val="002216FC"/>
    <w:rsid w:val="00221BAE"/>
    <w:rsid w:val="00222533"/>
    <w:rsid w:val="00222F30"/>
    <w:rsid w:val="00224EE2"/>
    <w:rsid w:val="00227EC7"/>
    <w:rsid w:val="00244AD1"/>
    <w:rsid w:val="002463BC"/>
    <w:rsid w:val="002465CE"/>
    <w:rsid w:val="0025734A"/>
    <w:rsid w:val="0026048A"/>
    <w:rsid w:val="00263255"/>
    <w:rsid w:val="00276494"/>
    <w:rsid w:val="00276B8A"/>
    <w:rsid w:val="00277B0C"/>
    <w:rsid w:val="0028044E"/>
    <w:rsid w:val="0028217E"/>
    <w:rsid w:val="002A5316"/>
    <w:rsid w:val="002B149B"/>
    <w:rsid w:val="002B1A2C"/>
    <w:rsid w:val="002C34F2"/>
    <w:rsid w:val="002C58FF"/>
    <w:rsid w:val="002C7AFE"/>
    <w:rsid w:val="002D0068"/>
    <w:rsid w:val="002D05D2"/>
    <w:rsid w:val="002E0D61"/>
    <w:rsid w:val="002E4C7B"/>
    <w:rsid w:val="002F4022"/>
    <w:rsid w:val="0030740C"/>
    <w:rsid w:val="00315833"/>
    <w:rsid w:val="003164F7"/>
    <w:rsid w:val="00317168"/>
    <w:rsid w:val="003215EE"/>
    <w:rsid w:val="003224BF"/>
    <w:rsid w:val="003241A8"/>
    <w:rsid w:val="003253F0"/>
    <w:rsid w:val="0032740A"/>
    <w:rsid w:val="003337DA"/>
    <w:rsid w:val="00334EFB"/>
    <w:rsid w:val="00334F19"/>
    <w:rsid w:val="00335CDE"/>
    <w:rsid w:val="003365A5"/>
    <w:rsid w:val="00347192"/>
    <w:rsid w:val="0034744C"/>
    <w:rsid w:val="003516AD"/>
    <w:rsid w:val="00351FE0"/>
    <w:rsid w:val="00352615"/>
    <w:rsid w:val="0035412B"/>
    <w:rsid w:val="0035625A"/>
    <w:rsid w:val="003567A8"/>
    <w:rsid w:val="00362151"/>
    <w:rsid w:val="00362895"/>
    <w:rsid w:val="00370DBF"/>
    <w:rsid w:val="00386093"/>
    <w:rsid w:val="00387F44"/>
    <w:rsid w:val="003904A4"/>
    <w:rsid w:val="00391841"/>
    <w:rsid w:val="00391846"/>
    <w:rsid w:val="00391B6D"/>
    <w:rsid w:val="00394922"/>
    <w:rsid w:val="003A0E32"/>
    <w:rsid w:val="003A2B94"/>
    <w:rsid w:val="003B387D"/>
    <w:rsid w:val="003C0D58"/>
    <w:rsid w:val="003C1B39"/>
    <w:rsid w:val="003C49BF"/>
    <w:rsid w:val="003D0883"/>
    <w:rsid w:val="003D4FA3"/>
    <w:rsid w:val="003D61E6"/>
    <w:rsid w:val="003E0807"/>
    <w:rsid w:val="003E51FB"/>
    <w:rsid w:val="003E6B39"/>
    <w:rsid w:val="003F07E1"/>
    <w:rsid w:val="0040228E"/>
    <w:rsid w:val="004030BC"/>
    <w:rsid w:val="00403F7D"/>
    <w:rsid w:val="00406785"/>
    <w:rsid w:val="004079B4"/>
    <w:rsid w:val="00417A56"/>
    <w:rsid w:val="00420957"/>
    <w:rsid w:val="00422A10"/>
    <w:rsid w:val="00423B98"/>
    <w:rsid w:val="00424656"/>
    <w:rsid w:val="00430179"/>
    <w:rsid w:val="004414B5"/>
    <w:rsid w:val="00444482"/>
    <w:rsid w:val="00444B42"/>
    <w:rsid w:val="00445E44"/>
    <w:rsid w:val="004509E2"/>
    <w:rsid w:val="004515EE"/>
    <w:rsid w:val="004529F0"/>
    <w:rsid w:val="00454CF5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09B3"/>
    <w:rsid w:val="004A5088"/>
    <w:rsid w:val="004C1E3F"/>
    <w:rsid w:val="004C23F4"/>
    <w:rsid w:val="004C3475"/>
    <w:rsid w:val="004C39BA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368B"/>
    <w:rsid w:val="005142C4"/>
    <w:rsid w:val="0051509C"/>
    <w:rsid w:val="005272E2"/>
    <w:rsid w:val="0053108F"/>
    <w:rsid w:val="00532B56"/>
    <w:rsid w:val="00534B10"/>
    <w:rsid w:val="005427E8"/>
    <w:rsid w:val="005446A2"/>
    <w:rsid w:val="00544D2F"/>
    <w:rsid w:val="00551BD8"/>
    <w:rsid w:val="00560B99"/>
    <w:rsid w:val="00567701"/>
    <w:rsid w:val="00581055"/>
    <w:rsid w:val="00586427"/>
    <w:rsid w:val="00591E38"/>
    <w:rsid w:val="005A0903"/>
    <w:rsid w:val="005A19C5"/>
    <w:rsid w:val="005A3034"/>
    <w:rsid w:val="005A462D"/>
    <w:rsid w:val="005B253B"/>
    <w:rsid w:val="005B6FF3"/>
    <w:rsid w:val="005B771D"/>
    <w:rsid w:val="005C0D14"/>
    <w:rsid w:val="005C5D16"/>
    <w:rsid w:val="005D3193"/>
    <w:rsid w:val="005D4A6E"/>
    <w:rsid w:val="005E6979"/>
    <w:rsid w:val="005E75CB"/>
    <w:rsid w:val="005F21DF"/>
    <w:rsid w:val="005F46BA"/>
    <w:rsid w:val="006013C1"/>
    <w:rsid w:val="0060669E"/>
    <w:rsid w:val="00610F2E"/>
    <w:rsid w:val="00611399"/>
    <w:rsid w:val="00613DB1"/>
    <w:rsid w:val="00624C4E"/>
    <w:rsid w:val="00625200"/>
    <w:rsid w:val="006363A8"/>
    <w:rsid w:val="00636DB7"/>
    <w:rsid w:val="00637955"/>
    <w:rsid w:val="00650905"/>
    <w:rsid w:val="006521CA"/>
    <w:rsid w:val="006532ED"/>
    <w:rsid w:val="006549F2"/>
    <w:rsid w:val="006567B7"/>
    <w:rsid w:val="00657BFB"/>
    <w:rsid w:val="0066333C"/>
    <w:rsid w:val="006639B4"/>
    <w:rsid w:val="00663D8D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1CF4"/>
    <w:rsid w:val="006C50C3"/>
    <w:rsid w:val="006D79EA"/>
    <w:rsid w:val="006E5D05"/>
    <w:rsid w:val="00701053"/>
    <w:rsid w:val="00701507"/>
    <w:rsid w:val="00701A30"/>
    <w:rsid w:val="00701F3C"/>
    <w:rsid w:val="00705D64"/>
    <w:rsid w:val="007102BD"/>
    <w:rsid w:val="0071031C"/>
    <w:rsid w:val="00714021"/>
    <w:rsid w:val="00716A0F"/>
    <w:rsid w:val="00717D45"/>
    <w:rsid w:val="007208F7"/>
    <w:rsid w:val="007218AF"/>
    <w:rsid w:val="007365D1"/>
    <w:rsid w:val="00740E0E"/>
    <w:rsid w:val="00742F15"/>
    <w:rsid w:val="00750212"/>
    <w:rsid w:val="00754779"/>
    <w:rsid w:val="007549F0"/>
    <w:rsid w:val="00755273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67CE"/>
    <w:rsid w:val="007B1B42"/>
    <w:rsid w:val="007C30EB"/>
    <w:rsid w:val="007D0474"/>
    <w:rsid w:val="007E063C"/>
    <w:rsid w:val="007E1D04"/>
    <w:rsid w:val="007E2A4B"/>
    <w:rsid w:val="007E307D"/>
    <w:rsid w:val="007E3268"/>
    <w:rsid w:val="007E69EE"/>
    <w:rsid w:val="007E6A4E"/>
    <w:rsid w:val="007E6C94"/>
    <w:rsid w:val="007F1005"/>
    <w:rsid w:val="007F25E0"/>
    <w:rsid w:val="007F5328"/>
    <w:rsid w:val="007F65CC"/>
    <w:rsid w:val="0080211C"/>
    <w:rsid w:val="0080320F"/>
    <w:rsid w:val="00804F5A"/>
    <w:rsid w:val="00810C6D"/>
    <w:rsid w:val="00812887"/>
    <w:rsid w:val="00822457"/>
    <w:rsid w:val="00826F21"/>
    <w:rsid w:val="00834CC8"/>
    <w:rsid w:val="00835E00"/>
    <w:rsid w:val="00837113"/>
    <w:rsid w:val="008414E4"/>
    <w:rsid w:val="00843E21"/>
    <w:rsid w:val="0084508E"/>
    <w:rsid w:val="008566BE"/>
    <w:rsid w:val="00857A8A"/>
    <w:rsid w:val="008630EE"/>
    <w:rsid w:val="00863110"/>
    <w:rsid w:val="00864D13"/>
    <w:rsid w:val="00871CD5"/>
    <w:rsid w:val="008745A2"/>
    <w:rsid w:val="00874898"/>
    <w:rsid w:val="008768A8"/>
    <w:rsid w:val="008856DD"/>
    <w:rsid w:val="0088798F"/>
    <w:rsid w:val="00887E4B"/>
    <w:rsid w:val="008915C8"/>
    <w:rsid w:val="008A1186"/>
    <w:rsid w:val="008A36CF"/>
    <w:rsid w:val="008A3BC4"/>
    <w:rsid w:val="008B403C"/>
    <w:rsid w:val="008B452D"/>
    <w:rsid w:val="008B7983"/>
    <w:rsid w:val="008C2511"/>
    <w:rsid w:val="008C301C"/>
    <w:rsid w:val="008D026D"/>
    <w:rsid w:val="008D23AB"/>
    <w:rsid w:val="008D4313"/>
    <w:rsid w:val="008D4B8B"/>
    <w:rsid w:val="008D5A78"/>
    <w:rsid w:val="008E7B64"/>
    <w:rsid w:val="008F3DBC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133"/>
    <w:rsid w:val="009323B9"/>
    <w:rsid w:val="00932DCE"/>
    <w:rsid w:val="0093327E"/>
    <w:rsid w:val="00934028"/>
    <w:rsid w:val="0093760E"/>
    <w:rsid w:val="009457C8"/>
    <w:rsid w:val="00946044"/>
    <w:rsid w:val="0094660B"/>
    <w:rsid w:val="00946A33"/>
    <w:rsid w:val="00950000"/>
    <w:rsid w:val="0095260E"/>
    <w:rsid w:val="009549A5"/>
    <w:rsid w:val="009578DD"/>
    <w:rsid w:val="00961124"/>
    <w:rsid w:val="009621B6"/>
    <w:rsid w:val="00965E55"/>
    <w:rsid w:val="00974F2D"/>
    <w:rsid w:val="00977524"/>
    <w:rsid w:val="00977E88"/>
    <w:rsid w:val="00984920"/>
    <w:rsid w:val="0099303A"/>
    <w:rsid w:val="009971C2"/>
    <w:rsid w:val="009A070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5ECF"/>
    <w:rsid w:val="00A0643F"/>
    <w:rsid w:val="00A067EE"/>
    <w:rsid w:val="00A10FCE"/>
    <w:rsid w:val="00A13DA7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2F7F"/>
    <w:rsid w:val="00A53681"/>
    <w:rsid w:val="00A633D4"/>
    <w:rsid w:val="00A6461A"/>
    <w:rsid w:val="00A84504"/>
    <w:rsid w:val="00A8672F"/>
    <w:rsid w:val="00A92FCB"/>
    <w:rsid w:val="00A93057"/>
    <w:rsid w:val="00A968B0"/>
    <w:rsid w:val="00AB02E2"/>
    <w:rsid w:val="00AB2672"/>
    <w:rsid w:val="00AB2817"/>
    <w:rsid w:val="00AB43C4"/>
    <w:rsid w:val="00AC0E33"/>
    <w:rsid w:val="00AC32E7"/>
    <w:rsid w:val="00AC39BF"/>
    <w:rsid w:val="00AC3A9F"/>
    <w:rsid w:val="00AC6D2F"/>
    <w:rsid w:val="00AE1282"/>
    <w:rsid w:val="00AE2745"/>
    <w:rsid w:val="00AE2F64"/>
    <w:rsid w:val="00AE30EA"/>
    <w:rsid w:val="00AE4787"/>
    <w:rsid w:val="00AE7C6E"/>
    <w:rsid w:val="00AF42CB"/>
    <w:rsid w:val="00AF483F"/>
    <w:rsid w:val="00AF5E07"/>
    <w:rsid w:val="00AF5F06"/>
    <w:rsid w:val="00B00A25"/>
    <w:rsid w:val="00B0164C"/>
    <w:rsid w:val="00B044F9"/>
    <w:rsid w:val="00B1422A"/>
    <w:rsid w:val="00B14D9F"/>
    <w:rsid w:val="00B1765C"/>
    <w:rsid w:val="00B20740"/>
    <w:rsid w:val="00B213C4"/>
    <w:rsid w:val="00B248FD"/>
    <w:rsid w:val="00B36C3B"/>
    <w:rsid w:val="00B40C60"/>
    <w:rsid w:val="00B456E7"/>
    <w:rsid w:val="00B45C4B"/>
    <w:rsid w:val="00B479A9"/>
    <w:rsid w:val="00B52EDF"/>
    <w:rsid w:val="00B62D7D"/>
    <w:rsid w:val="00B676B9"/>
    <w:rsid w:val="00B71188"/>
    <w:rsid w:val="00B73757"/>
    <w:rsid w:val="00B76A41"/>
    <w:rsid w:val="00B8565B"/>
    <w:rsid w:val="00B87D4C"/>
    <w:rsid w:val="00B93646"/>
    <w:rsid w:val="00BA0B38"/>
    <w:rsid w:val="00BA1DBB"/>
    <w:rsid w:val="00BA4510"/>
    <w:rsid w:val="00BA529A"/>
    <w:rsid w:val="00BB4292"/>
    <w:rsid w:val="00BB612A"/>
    <w:rsid w:val="00BC20AB"/>
    <w:rsid w:val="00BD499F"/>
    <w:rsid w:val="00BD56DE"/>
    <w:rsid w:val="00BF121E"/>
    <w:rsid w:val="00BF2406"/>
    <w:rsid w:val="00BF5AED"/>
    <w:rsid w:val="00C06E43"/>
    <w:rsid w:val="00C12D67"/>
    <w:rsid w:val="00C1376F"/>
    <w:rsid w:val="00C16315"/>
    <w:rsid w:val="00C3091E"/>
    <w:rsid w:val="00C40FF1"/>
    <w:rsid w:val="00C419E2"/>
    <w:rsid w:val="00C45A2F"/>
    <w:rsid w:val="00C464FF"/>
    <w:rsid w:val="00C5020E"/>
    <w:rsid w:val="00C57452"/>
    <w:rsid w:val="00C606CA"/>
    <w:rsid w:val="00C61EDF"/>
    <w:rsid w:val="00C6239D"/>
    <w:rsid w:val="00C64C6A"/>
    <w:rsid w:val="00C6594B"/>
    <w:rsid w:val="00C67FFB"/>
    <w:rsid w:val="00C7155E"/>
    <w:rsid w:val="00C71D1E"/>
    <w:rsid w:val="00C71D7D"/>
    <w:rsid w:val="00C74833"/>
    <w:rsid w:val="00C850A0"/>
    <w:rsid w:val="00C85A86"/>
    <w:rsid w:val="00C9281A"/>
    <w:rsid w:val="00C978F0"/>
    <w:rsid w:val="00CA58FE"/>
    <w:rsid w:val="00CB1CB1"/>
    <w:rsid w:val="00CB5628"/>
    <w:rsid w:val="00CB6BC1"/>
    <w:rsid w:val="00CB6CB8"/>
    <w:rsid w:val="00CC1A68"/>
    <w:rsid w:val="00CC2123"/>
    <w:rsid w:val="00CD2BFD"/>
    <w:rsid w:val="00CE5AD6"/>
    <w:rsid w:val="00CE5C4C"/>
    <w:rsid w:val="00CE617F"/>
    <w:rsid w:val="00CE78EF"/>
    <w:rsid w:val="00CF7A5C"/>
    <w:rsid w:val="00D048F7"/>
    <w:rsid w:val="00D0517E"/>
    <w:rsid w:val="00D140FC"/>
    <w:rsid w:val="00D21D8C"/>
    <w:rsid w:val="00D31357"/>
    <w:rsid w:val="00D33220"/>
    <w:rsid w:val="00D334D1"/>
    <w:rsid w:val="00D35FBC"/>
    <w:rsid w:val="00D36486"/>
    <w:rsid w:val="00D42698"/>
    <w:rsid w:val="00D44C89"/>
    <w:rsid w:val="00D516CD"/>
    <w:rsid w:val="00D668E6"/>
    <w:rsid w:val="00D70670"/>
    <w:rsid w:val="00D74D80"/>
    <w:rsid w:val="00D76624"/>
    <w:rsid w:val="00D86455"/>
    <w:rsid w:val="00D8754C"/>
    <w:rsid w:val="00D87570"/>
    <w:rsid w:val="00D91CB9"/>
    <w:rsid w:val="00D922BE"/>
    <w:rsid w:val="00D97989"/>
    <w:rsid w:val="00D97D8D"/>
    <w:rsid w:val="00DA352E"/>
    <w:rsid w:val="00DA6F2A"/>
    <w:rsid w:val="00DC229A"/>
    <w:rsid w:val="00DC7694"/>
    <w:rsid w:val="00DD1BF6"/>
    <w:rsid w:val="00DD2F9B"/>
    <w:rsid w:val="00DD5F24"/>
    <w:rsid w:val="00DE2513"/>
    <w:rsid w:val="00DE26E8"/>
    <w:rsid w:val="00DE3F82"/>
    <w:rsid w:val="00DF6F36"/>
    <w:rsid w:val="00E0084C"/>
    <w:rsid w:val="00E025AB"/>
    <w:rsid w:val="00E029E0"/>
    <w:rsid w:val="00E02B23"/>
    <w:rsid w:val="00E06F40"/>
    <w:rsid w:val="00E07CE8"/>
    <w:rsid w:val="00E26A07"/>
    <w:rsid w:val="00E3211F"/>
    <w:rsid w:val="00E32595"/>
    <w:rsid w:val="00E35A03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5A58"/>
    <w:rsid w:val="00E96077"/>
    <w:rsid w:val="00EA0A06"/>
    <w:rsid w:val="00EA6243"/>
    <w:rsid w:val="00EA74AB"/>
    <w:rsid w:val="00EB3D1B"/>
    <w:rsid w:val="00EC6731"/>
    <w:rsid w:val="00ED1D89"/>
    <w:rsid w:val="00ED66BC"/>
    <w:rsid w:val="00EF00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5168"/>
    <w:rsid w:val="00F16019"/>
    <w:rsid w:val="00F20E68"/>
    <w:rsid w:val="00F22093"/>
    <w:rsid w:val="00F226B5"/>
    <w:rsid w:val="00F236DF"/>
    <w:rsid w:val="00F34855"/>
    <w:rsid w:val="00F43AD5"/>
    <w:rsid w:val="00F4402E"/>
    <w:rsid w:val="00F56DD0"/>
    <w:rsid w:val="00F6491C"/>
    <w:rsid w:val="00F676C7"/>
    <w:rsid w:val="00F67BBB"/>
    <w:rsid w:val="00F87D92"/>
    <w:rsid w:val="00F90AA7"/>
    <w:rsid w:val="00F92498"/>
    <w:rsid w:val="00F9496B"/>
    <w:rsid w:val="00F970C9"/>
    <w:rsid w:val="00FA06A8"/>
    <w:rsid w:val="00FA2F30"/>
    <w:rsid w:val="00FA3DF5"/>
    <w:rsid w:val="00FA504F"/>
    <w:rsid w:val="00FA741F"/>
    <w:rsid w:val="00FB4E07"/>
    <w:rsid w:val="00FB755A"/>
    <w:rsid w:val="00FB7E2F"/>
    <w:rsid w:val="00FC0D73"/>
    <w:rsid w:val="00FC60A2"/>
    <w:rsid w:val="00FD1871"/>
    <w:rsid w:val="00FD3110"/>
    <w:rsid w:val="00FD7AF0"/>
    <w:rsid w:val="00FE662E"/>
    <w:rsid w:val="00FF5883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E02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9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9E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9E0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4C39BA"/>
    <w:pPr>
      <w:numPr>
        <w:numId w:val="1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6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8CAD491C45847CCA0229E1B0E33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6B72-9F3E-4311-8E3F-04BD25ABA7DE}"/>
      </w:docPartPr>
      <w:docPartBody>
        <w:p w:rsidR="00C97296" w:rsidRDefault="00C97296" w:rsidP="00C97296">
          <w:pPr>
            <w:pStyle w:val="18CAD491C45847CCA0229E1B0E339994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49BA6FE4B0104EF89AC6255EEB77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3510-42C5-4D2F-91BE-2BA655F066CB}"/>
      </w:docPartPr>
      <w:docPartBody>
        <w:p w:rsidR="00C97296" w:rsidRDefault="00C97296" w:rsidP="00C97296">
          <w:pPr>
            <w:pStyle w:val="49BA6FE4B0104EF89AC6255EEB772CF4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F64760E73A9442BAF574B3BB455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4CDF-89EF-4A5C-AFFE-87C06DB8B4F2}"/>
      </w:docPartPr>
      <w:docPartBody>
        <w:p w:rsidR="00C97296" w:rsidRDefault="00C97296" w:rsidP="00C97296">
          <w:pPr>
            <w:pStyle w:val="AF64760E73A9442BAF574B3BB4559CEB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A5F91E6A8888440886CD8F490847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CBF2-1D38-4B7F-8A0B-8A2B988EB1A3}"/>
      </w:docPartPr>
      <w:docPartBody>
        <w:p w:rsidR="00C97296" w:rsidRDefault="00C97296" w:rsidP="00C97296">
          <w:pPr>
            <w:pStyle w:val="A5F91E6A8888440886CD8F490847065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762A59182B74B4D9EE695A6DE24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CAEC-FB48-41D3-B3EB-C4C05720DA20}"/>
      </w:docPartPr>
      <w:docPartBody>
        <w:p w:rsidR="000228D3" w:rsidRDefault="00490382" w:rsidP="00490382">
          <w:pPr>
            <w:pStyle w:val="3762A59182B74B4D9EE695A6DE2438CE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AD608B11710A415D9AED2912490D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4CBB-D3BE-4B7D-85CC-114C90165935}"/>
      </w:docPartPr>
      <w:docPartBody>
        <w:p w:rsidR="00A9573D" w:rsidRDefault="009213EF" w:rsidP="009213EF">
          <w:pPr>
            <w:pStyle w:val="AD608B11710A415D9AED2912490DAE27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228D3"/>
    <w:rsid w:val="000F5BB0"/>
    <w:rsid w:val="002A46E8"/>
    <w:rsid w:val="00490382"/>
    <w:rsid w:val="004F0BE7"/>
    <w:rsid w:val="0052236E"/>
    <w:rsid w:val="00653231"/>
    <w:rsid w:val="006932DD"/>
    <w:rsid w:val="009213EF"/>
    <w:rsid w:val="00A9573D"/>
    <w:rsid w:val="00C97296"/>
    <w:rsid w:val="00CA069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3E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2E00DC13D0B4451198876CBFA0FE9D1E">
    <w:name w:val="2E00DC13D0B4451198876CBFA0FE9D1E"/>
    <w:rsid w:val="004F0BE7"/>
  </w:style>
  <w:style w:type="paragraph" w:customStyle="1" w:styleId="37504ADEE4584B99ABDB621428C4C499">
    <w:name w:val="37504ADEE4584B99ABDB621428C4C499"/>
    <w:rsid w:val="004F0BE7"/>
  </w:style>
  <w:style w:type="paragraph" w:customStyle="1" w:styleId="E1E18B033686466B9ED8B8E0A0E105CB">
    <w:name w:val="E1E18B033686466B9ED8B8E0A0E105CB"/>
    <w:rsid w:val="004F0BE7"/>
  </w:style>
  <w:style w:type="paragraph" w:customStyle="1" w:styleId="53CEC4C0D79A45099326088415603D44">
    <w:name w:val="53CEC4C0D79A45099326088415603D44"/>
    <w:rsid w:val="004F0BE7"/>
  </w:style>
  <w:style w:type="paragraph" w:customStyle="1" w:styleId="E77DC914C1C84C129E72E2148251BAEE">
    <w:name w:val="E77DC914C1C84C129E72E2148251BAEE"/>
    <w:rsid w:val="004F0BE7"/>
  </w:style>
  <w:style w:type="paragraph" w:customStyle="1" w:styleId="0257BE0A92124A7FB66CE72C613CAAD0">
    <w:name w:val="0257BE0A92124A7FB66CE72C613CAAD0"/>
    <w:rsid w:val="004F0BE7"/>
  </w:style>
  <w:style w:type="paragraph" w:customStyle="1" w:styleId="EE3D4CB68AE2406FBEBEB35ADD7AE978">
    <w:name w:val="EE3D4CB68AE2406FBEBEB35ADD7AE978"/>
    <w:rsid w:val="004F0BE7"/>
  </w:style>
  <w:style w:type="paragraph" w:customStyle="1" w:styleId="439A45B53D874F0B8F72F214CA9832CE">
    <w:name w:val="439A45B53D874F0B8F72F214CA9832CE"/>
    <w:rsid w:val="004F0BE7"/>
  </w:style>
  <w:style w:type="paragraph" w:customStyle="1" w:styleId="18CAD491C45847CCA0229E1B0E339994">
    <w:name w:val="18CAD491C45847CCA0229E1B0E339994"/>
    <w:rsid w:val="00C97296"/>
    <w:rPr>
      <w:lang w:val="en-US" w:eastAsia="en-US"/>
    </w:rPr>
  </w:style>
  <w:style w:type="paragraph" w:customStyle="1" w:styleId="D521F25F6B384FCAB4394F5E9B4467E5">
    <w:name w:val="D521F25F6B384FCAB4394F5E9B4467E5"/>
    <w:rsid w:val="00C97296"/>
    <w:rPr>
      <w:lang w:val="en-US" w:eastAsia="en-US"/>
    </w:rPr>
  </w:style>
  <w:style w:type="paragraph" w:customStyle="1" w:styleId="DECE123EEE5C491EAB133E0F6B4A4FF5">
    <w:name w:val="DECE123EEE5C491EAB133E0F6B4A4FF5"/>
    <w:rsid w:val="00C97296"/>
    <w:rPr>
      <w:lang w:val="en-US" w:eastAsia="en-US"/>
    </w:rPr>
  </w:style>
  <w:style w:type="paragraph" w:customStyle="1" w:styleId="284761E8BC5E43238B9B6F71E770E7A0">
    <w:name w:val="284761E8BC5E43238B9B6F71E770E7A0"/>
    <w:rsid w:val="00C97296"/>
    <w:rPr>
      <w:lang w:val="en-US" w:eastAsia="en-US"/>
    </w:rPr>
  </w:style>
  <w:style w:type="paragraph" w:customStyle="1" w:styleId="5885CB79784E4FFEB9B17A361DF8B46A">
    <w:name w:val="5885CB79784E4FFEB9B17A361DF8B46A"/>
    <w:rsid w:val="00C97296"/>
    <w:rPr>
      <w:lang w:val="en-US" w:eastAsia="en-US"/>
    </w:rPr>
  </w:style>
  <w:style w:type="paragraph" w:customStyle="1" w:styleId="E79912481B4A468995C4540E97B166EE">
    <w:name w:val="E79912481B4A468995C4540E97B166EE"/>
    <w:rsid w:val="00C97296"/>
    <w:rPr>
      <w:lang w:val="en-US" w:eastAsia="en-US"/>
    </w:rPr>
  </w:style>
  <w:style w:type="paragraph" w:customStyle="1" w:styleId="17B78305E04E4F849A0C056A5A46CD9C">
    <w:name w:val="17B78305E04E4F849A0C056A5A46CD9C"/>
    <w:rsid w:val="00C97296"/>
    <w:rPr>
      <w:lang w:val="en-US" w:eastAsia="en-US"/>
    </w:rPr>
  </w:style>
  <w:style w:type="paragraph" w:customStyle="1" w:styleId="49BA6FE4B0104EF89AC6255EEB772CF4">
    <w:name w:val="49BA6FE4B0104EF89AC6255EEB772CF4"/>
    <w:rsid w:val="00C97296"/>
    <w:rPr>
      <w:lang w:val="en-US" w:eastAsia="en-US"/>
    </w:rPr>
  </w:style>
  <w:style w:type="paragraph" w:customStyle="1" w:styleId="0C35B6997AB5488A88A975457AF3F13D">
    <w:name w:val="0C35B6997AB5488A88A975457AF3F13D"/>
    <w:rsid w:val="00C97296"/>
    <w:rPr>
      <w:lang w:val="en-US" w:eastAsia="en-US"/>
    </w:rPr>
  </w:style>
  <w:style w:type="paragraph" w:customStyle="1" w:styleId="869ECD23670F4167AC10C832FF96AE16">
    <w:name w:val="869ECD23670F4167AC10C832FF96AE16"/>
    <w:rsid w:val="00C97296"/>
    <w:rPr>
      <w:lang w:val="en-US" w:eastAsia="en-US"/>
    </w:rPr>
  </w:style>
  <w:style w:type="paragraph" w:customStyle="1" w:styleId="BEEF1E46182D40209E76D64D2223B177">
    <w:name w:val="BEEF1E46182D40209E76D64D2223B177"/>
    <w:rsid w:val="00C97296"/>
    <w:rPr>
      <w:lang w:val="en-US" w:eastAsia="en-US"/>
    </w:rPr>
  </w:style>
  <w:style w:type="paragraph" w:customStyle="1" w:styleId="607136B3EA324A018CEC21A0D38CA913">
    <w:name w:val="607136B3EA324A018CEC21A0D38CA913"/>
    <w:rsid w:val="00C97296"/>
    <w:rPr>
      <w:lang w:val="en-US" w:eastAsia="en-US"/>
    </w:rPr>
  </w:style>
  <w:style w:type="paragraph" w:customStyle="1" w:styleId="08B481A90A77472480347089A5DE2105">
    <w:name w:val="08B481A90A77472480347089A5DE2105"/>
    <w:rsid w:val="00C97296"/>
    <w:rPr>
      <w:lang w:val="en-US" w:eastAsia="en-US"/>
    </w:rPr>
  </w:style>
  <w:style w:type="paragraph" w:customStyle="1" w:styleId="65E7409DC1B242399726FC3D1963649A">
    <w:name w:val="65E7409DC1B242399726FC3D1963649A"/>
    <w:rsid w:val="00C97296"/>
    <w:rPr>
      <w:lang w:val="en-US" w:eastAsia="en-US"/>
    </w:rPr>
  </w:style>
  <w:style w:type="paragraph" w:customStyle="1" w:styleId="DD6E8EF42F6448839D13919053C95EC1">
    <w:name w:val="DD6E8EF42F6448839D13919053C95EC1"/>
    <w:rsid w:val="00C97296"/>
    <w:rPr>
      <w:lang w:val="en-US" w:eastAsia="en-US"/>
    </w:rPr>
  </w:style>
  <w:style w:type="paragraph" w:customStyle="1" w:styleId="1A3422DF0D85406580D1E25050C448F3">
    <w:name w:val="1A3422DF0D85406580D1E25050C448F3"/>
    <w:rsid w:val="00C97296"/>
    <w:rPr>
      <w:lang w:val="en-US" w:eastAsia="en-US"/>
    </w:rPr>
  </w:style>
  <w:style w:type="paragraph" w:customStyle="1" w:styleId="7E25F656C04C41349FF01B9AF15044A4">
    <w:name w:val="7E25F656C04C41349FF01B9AF15044A4"/>
    <w:rsid w:val="00C97296"/>
    <w:rPr>
      <w:lang w:val="en-US" w:eastAsia="en-US"/>
    </w:rPr>
  </w:style>
  <w:style w:type="paragraph" w:customStyle="1" w:styleId="355AFAFD9B3F41B1B3488175A5744FCF">
    <w:name w:val="355AFAFD9B3F41B1B3488175A5744FCF"/>
    <w:rsid w:val="00C97296"/>
    <w:rPr>
      <w:lang w:val="en-US" w:eastAsia="en-US"/>
    </w:rPr>
  </w:style>
  <w:style w:type="paragraph" w:customStyle="1" w:styleId="6D8D52FA893B4B3DB6A432EC6C05611A">
    <w:name w:val="6D8D52FA893B4B3DB6A432EC6C05611A"/>
    <w:rsid w:val="00C97296"/>
    <w:rPr>
      <w:lang w:val="en-US" w:eastAsia="en-US"/>
    </w:rPr>
  </w:style>
  <w:style w:type="paragraph" w:customStyle="1" w:styleId="721F13BB700C4EBBA6DC1A94BBD95AF6">
    <w:name w:val="721F13BB700C4EBBA6DC1A94BBD95AF6"/>
    <w:rsid w:val="00C97296"/>
    <w:rPr>
      <w:lang w:val="en-US" w:eastAsia="en-US"/>
    </w:rPr>
  </w:style>
  <w:style w:type="paragraph" w:customStyle="1" w:styleId="259E70818A354F0B91D753CF82908526">
    <w:name w:val="259E70818A354F0B91D753CF82908526"/>
    <w:rsid w:val="00C97296"/>
    <w:rPr>
      <w:lang w:val="en-US" w:eastAsia="en-US"/>
    </w:rPr>
  </w:style>
  <w:style w:type="paragraph" w:customStyle="1" w:styleId="2BE12996935D4D5E88AAA60CDB37E2E0">
    <w:name w:val="2BE12996935D4D5E88AAA60CDB37E2E0"/>
    <w:rsid w:val="00C97296"/>
    <w:rPr>
      <w:lang w:val="en-US" w:eastAsia="en-US"/>
    </w:rPr>
  </w:style>
  <w:style w:type="paragraph" w:customStyle="1" w:styleId="A0FCCC7C58864D179E2D5B5EF41467FF">
    <w:name w:val="A0FCCC7C58864D179E2D5B5EF41467FF"/>
    <w:rsid w:val="00C97296"/>
    <w:rPr>
      <w:lang w:val="en-US" w:eastAsia="en-US"/>
    </w:rPr>
  </w:style>
  <w:style w:type="paragraph" w:customStyle="1" w:styleId="AF64760E73A9442BAF574B3BB4559CEB">
    <w:name w:val="AF64760E73A9442BAF574B3BB4559CEB"/>
    <w:rsid w:val="00C97296"/>
    <w:rPr>
      <w:lang w:val="en-US" w:eastAsia="en-US"/>
    </w:rPr>
  </w:style>
  <w:style w:type="paragraph" w:customStyle="1" w:styleId="839E8C9B809D48C1BA88865A2633FDD9">
    <w:name w:val="839E8C9B809D48C1BA88865A2633FDD9"/>
    <w:rsid w:val="00C97296"/>
    <w:rPr>
      <w:lang w:val="en-US" w:eastAsia="en-US"/>
    </w:rPr>
  </w:style>
  <w:style w:type="paragraph" w:customStyle="1" w:styleId="40122674DCAB465788F555585E070A66">
    <w:name w:val="40122674DCAB465788F555585E070A66"/>
    <w:rsid w:val="00C97296"/>
    <w:rPr>
      <w:lang w:val="en-US" w:eastAsia="en-US"/>
    </w:rPr>
  </w:style>
  <w:style w:type="paragraph" w:customStyle="1" w:styleId="0B37138FAF9A463CB7D5FE9A9F008455">
    <w:name w:val="0B37138FAF9A463CB7D5FE9A9F008455"/>
    <w:rsid w:val="00C97296"/>
    <w:rPr>
      <w:lang w:val="en-US" w:eastAsia="en-US"/>
    </w:rPr>
  </w:style>
  <w:style w:type="paragraph" w:customStyle="1" w:styleId="A5F91E6A8888440886CD8F4908470659">
    <w:name w:val="A5F91E6A8888440886CD8F4908470659"/>
    <w:rsid w:val="00C97296"/>
    <w:rPr>
      <w:lang w:val="en-US" w:eastAsia="en-US"/>
    </w:rPr>
  </w:style>
  <w:style w:type="paragraph" w:customStyle="1" w:styleId="3762A59182B74B4D9EE695A6DE2438CE">
    <w:name w:val="3762A59182B74B4D9EE695A6DE2438CE"/>
    <w:rsid w:val="00490382"/>
  </w:style>
  <w:style w:type="paragraph" w:customStyle="1" w:styleId="AD608B11710A415D9AED2912490DAE27">
    <w:name w:val="AD608B11710A415D9AED2912490DAE27"/>
    <w:rsid w:val="009213EF"/>
  </w:style>
  <w:style w:type="paragraph" w:customStyle="1" w:styleId="99C48B3492D243399E16D9CBC35CFD44">
    <w:name w:val="99C48B3492D243399E16D9CBC35CFD44"/>
    <w:rsid w:val="000F5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274E-78F5-441A-82C4-96201A89C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E889B-5DD5-47B2-A42B-2A56A9052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C61AB-333B-4C6F-81AD-C33B3BCE5692}">
  <ds:schemaRefs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36E846-6262-49E2-B6C4-E8AEE485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338F42ED.dotm</Template>
  <TotalTime>0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2019-11-07T07:38:00Z</dcterms:created>
  <dcterms:modified xsi:type="dcterms:W3CDTF">2019-11-07T22:12:00Z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