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5FA9929A" w14:textId="5C5206B3" w:rsidR="00BD499F" w:rsidRPr="004C23F4" w:rsidRDefault="002A6632" w:rsidP="00B40C60">
          <w:pPr>
            <w:pStyle w:val="Heading1"/>
            <w:jc w:val="center"/>
            <w:rPr>
              <w:rFonts w:ascii="Arial" w:hAnsi="Arial" w:cs="Arial"/>
            </w:rPr>
          </w:pPr>
          <w:r w:rsidRPr="002A6632">
            <w:rPr>
              <w:rFonts w:ascii="Arial" w:hAnsi="Arial" w:cs="Arial"/>
            </w:rPr>
            <w:t>Dicyclopentadienyl iron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9"/>
        <w:gridCol w:w="5037"/>
      </w:tblGrid>
      <w:tr w:rsidR="00F43AD5" w:rsidRPr="004C23F4" w14:paraId="587AC591" w14:textId="77777777" w:rsidTr="002541D2">
        <w:trPr>
          <w:cantSplit/>
          <w:tblHeader/>
        </w:trPr>
        <w:tc>
          <w:tcPr>
            <w:tcW w:w="3989" w:type="dxa"/>
          </w:tcPr>
          <w:p w14:paraId="076A1815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037" w:type="dxa"/>
          </w:tcPr>
          <w:p w14:paraId="0C2A93F5" w14:textId="539DF0D7" w:rsidR="00F43AD5" w:rsidRPr="00717D45" w:rsidRDefault="002A6632" w:rsidP="00B76A41">
            <w:pPr>
              <w:pStyle w:val="Tablefont"/>
            </w:pPr>
            <w:r w:rsidRPr="002A6632">
              <w:t>102-54-5</w:t>
            </w:r>
          </w:p>
        </w:tc>
      </w:tr>
      <w:tr w:rsidR="00F43AD5" w:rsidRPr="004C23F4" w14:paraId="64369AE9" w14:textId="77777777" w:rsidTr="002541D2">
        <w:trPr>
          <w:cantSplit/>
        </w:trPr>
        <w:tc>
          <w:tcPr>
            <w:tcW w:w="3989" w:type="dxa"/>
          </w:tcPr>
          <w:p w14:paraId="78FA21EA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037" w:type="dxa"/>
          </w:tcPr>
          <w:p w14:paraId="2EF410D6" w14:textId="33CD9D17" w:rsidR="00F43AD5" w:rsidRPr="00717D45" w:rsidRDefault="002A6632" w:rsidP="00B76A41">
            <w:pPr>
              <w:pStyle w:val="Tablefont"/>
            </w:pPr>
            <w:r w:rsidRPr="002A6632">
              <w:t>Ferrocene</w:t>
            </w:r>
          </w:p>
        </w:tc>
      </w:tr>
      <w:tr w:rsidR="00F43AD5" w:rsidRPr="004C23F4" w14:paraId="07A1B51C" w14:textId="77777777" w:rsidTr="002541D2">
        <w:trPr>
          <w:cantSplit/>
        </w:trPr>
        <w:tc>
          <w:tcPr>
            <w:tcW w:w="3989" w:type="dxa"/>
          </w:tcPr>
          <w:p w14:paraId="1DE1CD30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037" w:type="dxa"/>
          </w:tcPr>
          <w:p w14:paraId="7A897D88" w14:textId="39A04130" w:rsidR="00F43AD5" w:rsidRPr="00717D45" w:rsidRDefault="002A6632" w:rsidP="00B76A41">
            <w:pPr>
              <w:pStyle w:val="Tablefont"/>
            </w:pPr>
            <w:r>
              <w:t>C</w:t>
            </w:r>
            <w:r w:rsidRPr="002A6632">
              <w:rPr>
                <w:vertAlign w:val="subscript"/>
              </w:rPr>
              <w:t>10</w:t>
            </w:r>
            <w:r>
              <w:t>H</w:t>
            </w:r>
            <w:r w:rsidRPr="002A6632">
              <w:rPr>
                <w:vertAlign w:val="subscript"/>
              </w:rPr>
              <w:t>10</w:t>
            </w:r>
            <w:r>
              <w:t>Fe</w:t>
            </w:r>
          </w:p>
        </w:tc>
      </w:tr>
    </w:tbl>
    <w:p w14:paraId="471E0928" w14:textId="7BAD9052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183105">
            <w:rPr>
              <w:rStyle w:val="WESstatus"/>
            </w:rPr>
            <w:t>(amended)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5"/>
        <w:gridCol w:w="5021"/>
      </w:tblGrid>
      <w:tr w:rsidR="002C7AFE" w:rsidRPr="004C23F4" w14:paraId="0B291347" w14:textId="77777777" w:rsidTr="000E6139">
        <w:trPr>
          <w:cantSplit/>
          <w:tblHeader/>
        </w:trPr>
        <w:tc>
          <w:tcPr>
            <w:tcW w:w="4005" w:type="dxa"/>
            <w:vAlign w:val="center"/>
          </w:tcPr>
          <w:p w14:paraId="66521547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21" w:type="dxa"/>
          </w:tcPr>
          <w:p w14:paraId="76072526" w14:textId="40D35D41" w:rsidR="002C7AFE" w:rsidRPr="00240D43" w:rsidRDefault="002A6632" w:rsidP="00017C82">
            <w:pPr>
              <w:pStyle w:val="Tablefont"/>
              <w:rPr>
                <w:b/>
              </w:rPr>
            </w:pPr>
            <w:r w:rsidRPr="00240D43">
              <w:rPr>
                <w:b/>
              </w:rPr>
              <w:t>0</w:t>
            </w:r>
            <w:r w:rsidR="00180D7C">
              <w:rPr>
                <w:b/>
              </w:rPr>
              <w:t>.1</w:t>
            </w:r>
            <w:r w:rsidRPr="00240D43">
              <w:rPr>
                <w:b/>
              </w:rPr>
              <w:t xml:space="preserve"> mg/m</w:t>
            </w:r>
            <w:r w:rsidRPr="00240D43">
              <w:rPr>
                <w:b/>
                <w:vertAlign w:val="superscript"/>
              </w:rPr>
              <w:t>3</w:t>
            </w:r>
          </w:p>
        </w:tc>
      </w:tr>
      <w:tr w:rsidR="002C7AFE" w:rsidRPr="004C23F4" w14:paraId="5DA719F3" w14:textId="77777777" w:rsidTr="000E6139">
        <w:trPr>
          <w:cantSplit/>
        </w:trPr>
        <w:tc>
          <w:tcPr>
            <w:tcW w:w="4005" w:type="dxa"/>
            <w:vAlign w:val="center"/>
          </w:tcPr>
          <w:p w14:paraId="41D530A2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021" w:type="dxa"/>
          </w:tcPr>
          <w:p w14:paraId="2AB78647" w14:textId="44B8FA93" w:rsidR="002C7AFE" w:rsidRPr="00240D43" w:rsidRDefault="00724520" w:rsidP="00017C82">
            <w:pPr>
              <w:pStyle w:val="Tablefont"/>
              <w:rPr>
                <w:b/>
              </w:rPr>
            </w:pPr>
            <w:r w:rsidRPr="00240D43">
              <w:rPr>
                <w:b/>
              </w:rPr>
              <w:t>—</w:t>
            </w:r>
          </w:p>
        </w:tc>
      </w:tr>
      <w:tr w:rsidR="002C7AFE" w:rsidRPr="004C23F4" w14:paraId="48B3B5FC" w14:textId="77777777" w:rsidTr="000E6139">
        <w:trPr>
          <w:cantSplit/>
        </w:trPr>
        <w:tc>
          <w:tcPr>
            <w:tcW w:w="4005" w:type="dxa"/>
            <w:vAlign w:val="center"/>
          </w:tcPr>
          <w:p w14:paraId="6E9B560B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021" w:type="dxa"/>
          </w:tcPr>
          <w:p w14:paraId="5840CADF" w14:textId="790AC7CC" w:rsidR="002C7AFE" w:rsidRPr="00240D43" w:rsidRDefault="00724520" w:rsidP="00017C82">
            <w:pPr>
              <w:pStyle w:val="Tablefont"/>
              <w:rPr>
                <w:b/>
              </w:rPr>
            </w:pPr>
            <w:r w:rsidRPr="00240D43">
              <w:rPr>
                <w:b/>
              </w:rPr>
              <w:t>—</w:t>
            </w:r>
          </w:p>
        </w:tc>
      </w:tr>
      <w:tr w:rsidR="002C7AFE" w:rsidRPr="004C23F4" w14:paraId="73EF16D0" w14:textId="77777777" w:rsidTr="000E6139">
        <w:trPr>
          <w:cantSplit/>
        </w:trPr>
        <w:tc>
          <w:tcPr>
            <w:tcW w:w="4005" w:type="dxa"/>
          </w:tcPr>
          <w:p w14:paraId="315970BF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21" w:type="dxa"/>
          </w:tcPr>
          <w:p w14:paraId="4F470DF4" w14:textId="2A1802FB" w:rsidR="002C7AFE" w:rsidRPr="00240D43" w:rsidRDefault="00724520" w:rsidP="008A36CF">
            <w:pPr>
              <w:pStyle w:val="Tablefont"/>
              <w:rPr>
                <w:b/>
              </w:rPr>
            </w:pPr>
            <w:r w:rsidRPr="00240D43">
              <w:rPr>
                <w:b/>
              </w:rPr>
              <w:t>—</w:t>
            </w:r>
          </w:p>
        </w:tc>
      </w:tr>
      <w:tr w:rsidR="002C7AFE" w:rsidRPr="004C23F4" w14:paraId="4293F29B" w14:textId="77777777" w:rsidTr="000E6139">
        <w:trPr>
          <w:cantSplit/>
        </w:trPr>
        <w:tc>
          <w:tcPr>
            <w:tcW w:w="4005" w:type="dxa"/>
            <w:vAlign w:val="center"/>
          </w:tcPr>
          <w:p w14:paraId="364B2D36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21" w:type="dxa"/>
          </w:tcPr>
          <w:p w14:paraId="7D124FFF" w14:textId="3583488F" w:rsidR="002C7AFE" w:rsidRPr="00240D43" w:rsidRDefault="00724520" w:rsidP="00017C82">
            <w:pPr>
              <w:pStyle w:val="Tablefont"/>
              <w:rPr>
                <w:b/>
              </w:rPr>
            </w:pPr>
            <w:r w:rsidRPr="00240D43">
              <w:rPr>
                <w:b/>
              </w:rPr>
              <w:t>—</w:t>
            </w:r>
          </w:p>
        </w:tc>
      </w:tr>
      <w:tr w:rsidR="000E6139" w:rsidRPr="004C23F4" w14:paraId="03D66C87" w14:textId="77777777" w:rsidTr="008A2C54">
        <w:trPr>
          <w:cantSplit/>
        </w:trPr>
        <w:tc>
          <w:tcPr>
            <w:tcW w:w="9026" w:type="dxa"/>
            <w:gridSpan w:val="2"/>
            <w:vAlign w:val="center"/>
          </w:tcPr>
          <w:p w14:paraId="603246E3" w14:textId="6319AB76" w:rsidR="000E6139" w:rsidRPr="00240D43" w:rsidRDefault="00D014BE" w:rsidP="00017C82">
            <w:pPr>
              <w:pStyle w:val="Tablefont"/>
              <w:rPr>
                <w:b/>
              </w:rPr>
            </w:pPr>
            <w:r w:rsidRPr="00C9508E">
              <w:rPr>
                <w:b/>
              </w:rPr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52296EE976044C14B51108195ED66587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>
                  <w:rPr>
                    <w:rStyle w:val="WESstatus"/>
                    <w:color w:val="auto"/>
                  </w:rPr>
                  <w:t>There is uncertainty regarding quantification of the recommended value with available sampling and/or analysis techniques.</w:t>
                </w:r>
              </w:sdtContent>
            </w:sdt>
          </w:p>
        </w:tc>
      </w:tr>
    </w:tbl>
    <w:p w14:paraId="540E2666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1BB825EA" w14:textId="77777777" w:rsidR="00496927" w:rsidRDefault="00180D7C" w:rsidP="000C139A">
      <w:pPr>
        <w:rPr>
          <w:rFonts w:cs="Arial"/>
        </w:rPr>
      </w:pPr>
      <w:r w:rsidRPr="00180D7C">
        <w:rPr>
          <w:rFonts w:cs="Arial"/>
        </w:rPr>
        <w:t xml:space="preserve">A TWA of </w:t>
      </w:r>
      <w:r>
        <w:rPr>
          <w:rFonts w:cs="Arial"/>
        </w:rPr>
        <w:t>0.1 mg/m</w:t>
      </w:r>
      <w:r w:rsidRPr="00180D7C">
        <w:rPr>
          <w:rFonts w:cs="Arial"/>
          <w:vertAlign w:val="superscript"/>
        </w:rPr>
        <w:t>3</w:t>
      </w:r>
      <w:r>
        <w:rPr>
          <w:rFonts w:cs="Arial"/>
        </w:rPr>
        <w:t xml:space="preserve"> is recommended </w:t>
      </w:r>
      <w:r w:rsidRPr="00180D7C">
        <w:rPr>
          <w:rFonts w:cs="Arial"/>
        </w:rPr>
        <w:t>to p</w:t>
      </w:r>
      <w:r w:rsidR="00183105">
        <w:rPr>
          <w:rFonts w:cs="Arial"/>
        </w:rPr>
        <w:t xml:space="preserve">rotect for irritation of the upper respiratory tract and bioaccumulation of iron </w:t>
      </w:r>
      <w:r w:rsidRPr="00180D7C">
        <w:rPr>
          <w:rFonts w:cs="Arial"/>
        </w:rPr>
        <w:t>in exposed workers.</w:t>
      </w:r>
      <w:r>
        <w:rPr>
          <w:rFonts w:cs="Arial"/>
        </w:rPr>
        <w:t xml:space="preserve"> </w:t>
      </w:r>
    </w:p>
    <w:p w14:paraId="6B726050" w14:textId="77777777" w:rsidR="00C7155E" w:rsidRPr="004C23F4" w:rsidRDefault="00F10C97" w:rsidP="003365A5">
      <w:pPr>
        <w:pStyle w:val="Heading2"/>
      </w:pPr>
      <w:r>
        <w:t>Discussion and conclusions</w:t>
      </w:r>
    </w:p>
    <w:p w14:paraId="4215CFAE" w14:textId="77777777" w:rsidR="002541D2" w:rsidRDefault="00183105" w:rsidP="006639B4">
      <w:pPr>
        <w:rPr>
          <w:rFonts w:cs="Arial"/>
        </w:rPr>
      </w:pPr>
      <w:r>
        <w:rPr>
          <w:rFonts w:cs="Arial"/>
        </w:rPr>
        <w:t>Dicyclopentadienyl iron is u</w:t>
      </w:r>
      <w:r w:rsidR="00180D7C">
        <w:rPr>
          <w:rFonts w:cs="Arial"/>
        </w:rPr>
        <w:t xml:space="preserve">sed as anti-knock agent and combustion catalyst. </w:t>
      </w:r>
    </w:p>
    <w:p w14:paraId="3B1EC031" w14:textId="05FFD187" w:rsidR="00CD70AF" w:rsidRDefault="00183105" w:rsidP="006639B4">
      <w:pPr>
        <w:rPr>
          <w:rFonts w:cs="Arial"/>
        </w:rPr>
      </w:pPr>
      <w:r>
        <w:rPr>
          <w:rFonts w:cs="Arial"/>
        </w:rPr>
        <w:t xml:space="preserve">Limited exposure data exist. From animal toxicity data, critical effects of exposure are irritation to the upper respiratory tract and, at higher concentrations, </w:t>
      </w:r>
      <w:r w:rsidR="000F7F67">
        <w:rPr>
          <w:rFonts w:cs="Arial"/>
        </w:rPr>
        <w:t>bio</w:t>
      </w:r>
      <w:r>
        <w:rPr>
          <w:rFonts w:cs="Arial"/>
        </w:rPr>
        <w:t>accumulation of iron</w:t>
      </w:r>
      <w:r w:rsidR="000F7F67">
        <w:rPr>
          <w:rFonts w:cs="Arial"/>
        </w:rPr>
        <w:t>,</w:t>
      </w:r>
      <w:r>
        <w:rPr>
          <w:rFonts w:cs="Arial"/>
        </w:rPr>
        <w:t xml:space="preserve"> particularly in the liver. </w:t>
      </w:r>
    </w:p>
    <w:p w14:paraId="052FFC01" w14:textId="16868BE2" w:rsidR="00773B1B" w:rsidRPr="003858AB" w:rsidRDefault="00183105" w:rsidP="006639B4">
      <w:pPr>
        <w:rPr>
          <w:rFonts w:cs="Arial"/>
        </w:rPr>
      </w:pPr>
      <w:r>
        <w:rPr>
          <w:rFonts w:cs="Arial"/>
        </w:rPr>
        <w:t xml:space="preserve">The recommended TWA </w:t>
      </w:r>
      <w:r w:rsidR="003746EB">
        <w:rPr>
          <w:rFonts w:cs="Arial"/>
        </w:rPr>
        <w:t>of 0.1 mg/m</w:t>
      </w:r>
      <w:r w:rsidR="003746EB">
        <w:rPr>
          <w:rFonts w:cs="Arial"/>
          <w:vertAlign w:val="superscript"/>
        </w:rPr>
        <w:t xml:space="preserve">3 </w:t>
      </w:r>
      <w:r w:rsidRPr="00150E34">
        <w:rPr>
          <w:rFonts w:cs="Arial"/>
        </w:rPr>
        <w:t>is</w:t>
      </w:r>
      <w:r>
        <w:rPr>
          <w:rFonts w:cs="Arial"/>
        </w:rPr>
        <w:t xml:space="preserve"> based on a LOAE</w:t>
      </w:r>
      <w:r w:rsidR="003746EB">
        <w:rPr>
          <w:rFonts w:cs="Arial"/>
        </w:rPr>
        <w:t>C</w:t>
      </w:r>
      <w:r>
        <w:rPr>
          <w:rFonts w:cs="Arial"/>
        </w:rPr>
        <w:t xml:space="preserve"> of 3.0 mg/m</w:t>
      </w:r>
      <w:r>
        <w:rPr>
          <w:rFonts w:cs="Arial"/>
          <w:vertAlign w:val="superscript"/>
        </w:rPr>
        <w:t>3</w:t>
      </w:r>
      <w:r>
        <w:rPr>
          <w:rFonts w:cs="Arial"/>
          <w:vertAlign w:val="subscript"/>
        </w:rPr>
        <w:t xml:space="preserve"> </w:t>
      </w:r>
      <w:r>
        <w:rPr>
          <w:rFonts w:cs="Arial"/>
        </w:rPr>
        <w:t>for the formation of lesions in the nasal epitheli</w:t>
      </w:r>
      <w:r w:rsidR="00773B1B">
        <w:rPr>
          <w:rFonts w:cs="Arial"/>
        </w:rPr>
        <w:t>a</w:t>
      </w:r>
      <w:r>
        <w:rPr>
          <w:rFonts w:cs="Arial"/>
        </w:rPr>
        <w:t xml:space="preserve"> of mice and rats in a 13</w:t>
      </w:r>
      <w:r w:rsidR="002541D2">
        <w:rPr>
          <w:rFonts w:cs="Arial"/>
        </w:rPr>
        <w:t xml:space="preserve"> </w:t>
      </w:r>
      <w:r>
        <w:rPr>
          <w:rFonts w:cs="Arial"/>
        </w:rPr>
        <w:t xml:space="preserve">week inhalation study </w:t>
      </w:r>
      <w:r w:rsidR="003746EB">
        <w:rPr>
          <w:rFonts w:cs="Arial"/>
        </w:rPr>
        <w:t>reported by</w:t>
      </w:r>
      <w:r w:rsidR="00773B1B">
        <w:rPr>
          <w:rFonts w:cs="Arial"/>
        </w:rPr>
        <w:t xml:space="preserve"> </w:t>
      </w:r>
      <w:r>
        <w:rPr>
          <w:rFonts w:cs="Arial"/>
        </w:rPr>
        <w:t>HCOT</w:t>
      </w:r>
      <w:r w:rsidR="00773B1B">
        <w:rPr>
          <w:rFonts w:cs="Arial"/>
        </w:rPr>
        <w:t>N (</w:t>
      </w:r>
      <w:r>
        <w:rPr>
          <w:rFonts w:cs="Arial"/>
        </w:rPr>
        <w:t>2002)</w:t>
      </w:r>
      <w:r w:rsidR="003746EB">
        <w:rPr>
          <w:rFonts w:cs="Arial"/>
        </w:rPr>
        <w:t>.</w:t>
      </w:r>
      <w:r w:rsidR="00773B1B">
        <w:rPr>
          <w:rFonts w:cs="Arial"/>
        </w:rPr>
        <w:t xml:space="preserve"> </w:t>
      </w:r>
      <w:r w:rsidR="003746EB">
        <w:rPr>
          <w:rFonts w:cs="Arial"/>
        </w:rPr>
        <w:t xml:space="preserve">This </w:t>
      </w:r>
      <w:r w:rsidR="00773B1B">
        <w:rPr>
          <w:rFonts w:cs="Arial"/>
        </w:rPr>
        <w:t>is absent from the ACGIH (2018) assessment</w:t>
      </w:r>
      <w:r>
        <w:rPr>
          <w:rFonts w:cs="Arial"/>
        </w:rPr>
        <w:t xml:space="preserve">. </w:t>
      </w:r>
      <w:r w:rsidR="003746EB">
        <w:rPr>
          <w:rFonts w:cs="Arial"/>
        </w:rPr>
        <w:t>The TWA was derived by dividing the LOAEC by</w:t>
      </w:r>
      <w:r w:rsidRPr="00183105">
        <w:rPr>
          <w:rFonts w:cs="Arial"/>
        </w:rPr>
        <w:t xml:space="preserve"> a 24</w:t>
      </w:r>
      <w:r w:rsidR="0097108D">
        <w:rPr>
          <w:rFonts w:cs="Arial"/>
        </w:rPr>
        <w:noBreakHyphen/>
      </w:r>
      <w:r w:rsidRPr="00183105">
        <w:rPr>
          <w:rFonts w:cs="Arial"/>
        </w:rPr>
        <w:t xml:space="preserve">fold </w:t>
      </w:r>
      <w:r w:rsidR="00773B1B">
        <w:rPr>
          <w:rFonts w:cs="Arial"/>
        </w:rPr>
        <w:t xml:space="preserve">(3 x 8) </w:t>
      </w:r>
      <w:r w:rsidR="003746EB">
        <w:rPr>
          <w:rFonts w:cs="Arial"/>
        </w:rPr>
        <w:t xml:space="preserve">uncertainty </w:t>
      </w:r>
      <w:r w:rsidRPr="00183105">
        <w:rPr>
          <w:rFonts w:cs="Arial"/>
        </w:rPr>
        <w:t xml:space="preserve">factor </w:t>
      </w:r>
      <w:r w:rsidR="00773B1B">
        <w:rPr>
          <w:rFonts w:cs="Arial"/>
        </w:rPr>
        <w:t xml:space="preserve">to </w:t>
      </w:r>
      <w:r w:rsidRPr="00183105">
        <w:rPr>
          <w:rFonts w:cs="Arial"/>
        </w:rPr>
        <w:t>account for the absence of NOAEL, in</w:t>
      </w:r>
      <w:r w:rsidR="002541D2">
        <w:rPr>
          <w:rFonts w:cs="Arial"/>
        </w:rPr>
        <w:t>tra- and interspecies variation</w:t>
      </w:r>
      <w:r w:rsidRPr="00183105">
        <w:rPr>
          <w:rFonts w:cs="Arial"/>
        </w:rPr>
        <w:t xml:space="preserve"> and differences between experim</w:t>
      </w:r>
      <w:r>
        <w:rPr>
          <w:rFonts w:cs="Arial"/>
        </w:rPr>
        <w:t xml:space="preserve">ental </w:t>
      </w:r>
      <w:r w:rsidR="003746EB">
        <w:rPr>
          <w:rFonts w:cs="Arial"/>
        </w:rPr>
        <w:t xml:space="preserve">exposures </w:t>
      </w:r>
      <w:r>
        <w:rPr>
          <w:rFonts w:cs="Arial"/>
        </w:rPr>
        <w:t>and workplace</w:t>
      </w:r>
      <w:r w:rsidRPr="00183105">
        <w:rPr>
          <w:rFonts w:cs="Arial"/>
        </w:rPr>
        <w:t xml:space="preserve"> conditions</w:t>
      </w:r>
      <w:r w:rsidR="003746EB">
        <w:rPr>
          <w:rFonts w:cs="Arial"/>
        </w:rPr>
        <w:t xml:space="preserve">; </w:t>
      </w:r>
      <w:r w:rsidR="00773B1B">
        <w:rPr>
          <w:rFonts w:cs="Arial"/>
        </w:rPr>
        <w:t>and rounding down</w:t>
      </w:r>
      <w:r w:rsidR="003746EB">
        <w:rPr>
          <w:rFonts w:cs="Arial"/>
        </w:rPr>
        <w:t xml:space="preserve"> the</w:t>
      </w:r>
      <w:r w:rsidR="00773B1B">
        <w:rPr>
          <w:rFonts w:cs="Arial"/>
        </w:rPr>
        <w:t xml:space="preserve"> </w:t>
      </w:r>
      <w:r w:rsidR="003858AB">
        <w:rPr>
          <w:rFonts w:cs="Arial"/>
        </w:rPr>
        <w:t>results.</w:t>
      </w:r>
    </w:p>
    <w:p w14:paraId="2A5A54BB" w14:textId="607D7995" w:rsidR="00AA0555" w:rsidRDefault="00AA0555" w:rsidP="006639B4">
      <w:pPr>
        <w:rPr>
          <w:rFonts w:cs="Arial"/>
        </w:rPr>
      </w:pPr>
      <w:r>
        <w:rPr>
          <w:rFonts w:cs="Arial"/>
        </w:rPr>
        <w:t>Carcinogenic activity</w:t>
      </w:r>
      <w:r w:rsidR="00C54450">
        <w:rPr>
          <w:rFonts w:cs="Arial"/>
        </w:rPr>
        <w:t>, dermal absorption, and sensitisation potential were</w:t>
      </w:r>
      <w:r>
        <w:rPr>
          <w:rFonts w:cs="Arial"/>
        </w:rPr>
        <w:t xml:space="preserve"> not evaluated in the available assessments (ACGIH, 2018; HCOTN, 2002) </w:t>
      </w:r>
      <w:r w:rsidR="00C54450">
        <w:rPr>
          <w:rFonts w:cs="Arial"/>
        </w:rPr>
        <w:t>or</w:t>
      </w:r>
      <w:r>
        <w:rPr>
          <w:rFonts w:cs="Arial"/>
        </w:rPr>
        <w:t xml:space="preserve"> other </w:t>
      </w:r>
      <w:r w:rsidR="00C54450">
        <w:rPr>
          <w:rFonts w:cs="Arial"/>
        </w:rPr>
        <w:t xml:space="preserve">available </w:t>
      </w:r>
      <w:r>
        <w:rPr>
          <w:rFonts w:cs="Arial"/>
        </w:rPr>
        <w:t>source documentation due to a lack of data.</w:t>
      </w:r>
      <w:r w:rsidR="00C54450">
        <w:rPr>
          <w:rFonts w:cs="Arial"/>
        </w:rPr>
        <w:t xml:space="preserve"> A detailed review of these properties should be prioritised in subsequent reviews.</w:t>
      </w:r>
    </w:p>
    <w:p w14:paraId="11924310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60FB9835" w14:textId="07D9D525" w:rsidR="005F4DDF" w:rsidRDefault="005F4DDF" w:rsidP="004529F0">
      <w:pPr>
        <w:rPr>
          <w:rFonts w:cs="Arial"/>
        </w:rPr>
      </w:pPr>
      <w:r w:rsidRPr="005F4DDF">
        <w:rPr>
          <w:rFonts w:cs="Arial"/>
        </w:rPr>
        <w:t>Not classified as a carcinogen according to the Globally Harmonized System of Classification and Labelling of Chemicals (GHS).</w:t>
      </w:r>
      <w:r w:rsidR="00773B1B">
        <w:rPr>
          <w:rFonts w:cs="Arial"/>
        </w:rPr>
        <w:t xml:space="preserve"> </w:t>
      </w:r>
      <w:r w:rsidR="00796985">
        <w:rPr>
          <w:rFonts w:cs="Arial"/>
        </w:rPr>
        <w:t>However, a</w:t>
      </w:r>
      <w:r w:rsidR="00AA0555" w:rsidRPr="00AA0555">
        <w:rPr>
          <w:rFonts w:cs="Arial"/>
        </w:rPr>
        <w:t xml:space="preserve"> review of the carcinogenicity notation is recommended as notation source data </w:t>
      </w:r>
      <w:r w:rsidR="00796985">
        <w:rPr>
          <w:rFonts w:cs="Arial"/>
        </w:rPr>
        <w:t>were found to be inadequate</w:t>
      </w:r>
      <w:r w:rsidR="00AA0555" w:rsidRPr="00AA0555">
        <w:rPr>
          <w:rFonts w:cs="Arial"/>
        </w:rPr>
        <w:t xml:space="preserve"> </w:t>
      </w:r>
      <w:r w:rsidR="00796985">
        <w:rPr>
          <w:rFonts w:cs="Arial"/>
        </w:rPr>
        <w:t xml:space="preserve">for </w:t>
      </w:r>
      <w:r w:rsidR="00AA0555" w:rsidRPr="00AA0555">
        <w:rPr>
          <w:rFonts w:cs="Arial"/>
        </w:rPr>
        <w:t>th</w:t>
      </w:r>
      <w:r w:rsidR="00796985">
        <w:rPr>
          <w:rFonts w:cs="Arial"/>
        </w:rPr>
        <w:t>is</w:t>
      </w:r>
      <w:r w:rsidR="00AA0555" w:rsidRPr="00AA0555">
        <w:rPr>
          <w:rFonts w:cs="Arial"/>
        </w:rPr>
        <w:t xml:space="preserve"> evaluation.</w:t>
      </w:r>
    </w:p>
    <w:p w14:paraId="67995F53" w14:textId="1BE86BA9" w:rsidR="005F4DDF" w:rsidRDefault="005F4DDF" w:rsidP="004529F0">
      <w:pPr>
        <w:rPr>
          <w:rFonts w:cs="Arial"/>
        </w:rPr>
      </w:pPr>
      <w:r w:rsidRPr="005F4DDF">
        <w:rPr>
          <w:rFonts w:cs="Arial"/>
        </w:rPr>
        <w:t>Not classified as a skin or respiratory sensitiser according to the GHS.</w:t>
      </w:r>
      <w:r w:rsidR="00796985">
        <w:rPr>
          <w:rFonts w:cs="Arial"/>
        </w:rPr>
        <w:t xml:space="preserve"> However, a</w:t>
      </w:r>
      <w:r w:rsidR="00796985" w:rsidRPr="00AA0555">
        <w:rPr>
          <w:rFonts w:cs="Arial"/>
        </w:rPr>
        <w:t xml:space="preserve"> review of the </w:t>
      </w:r>
      <w:r w:rsidR="00796985">
        <w:rPr>
          <w:rFonts w:cs="Arial"/>
        </w:rPr>
        <w:t>sensitiser</w:t>
      </w:r>
      <w:r w:rsidR="00796985" w:rsidRPr="00AA0555">
        <w:rPr>
          <w:rFonts w:cs="Arial"/>
        </w:rPr>
        <w:t xml:space="preserve"> notation is recommended as notation source data </w:t>
      </w:r>
      <w:r w:rsidR="00796985">
        <w:rPr>
          <w:rFonts w:cs="Arial"/>
        </w:rPr>
        <w:t xml:space="preserve">were inadequate for this </w:t>
      </w:r>
      <w:r w:rsidR="00796985" w:rsidRPr="00AA0555">
        <w:rPr>
          <w:rFonts w:cs="Arial"/>
        </w:rPr>
        <w:t>evaluation.</w:t>
      </w:r>
    </w:p>
    <w:p w14:paraId="73AB60A0" w14:textId="62288D34" w:rsidR="0025734A" w:rsidRPr="004C23F4" w:rsidRDefault="005F4DDF">
      <w:pPr>
        <w:rPr>
          <w:rFonts w:cs="Arial"/>
        </w:rPr>
      </w:pPr>
      <w:r w:rsidRPr="005F4DDF">
        <w:rPr>
          <w:rFonts w:cs="Arial"/>
        </w:rPr>
        <w:t xml:space="preserve">There </w:t>
      </w:r>
      <w:r w:rsidR="000E6139">
        <w:rPr>
          <w:rFonts w:cs="Arial"/>
        </w:rPr>
        <w:t>are</w:t>
      </w:r>
      <w:r w:rsidRPr="005F4DDF">
        <w:rPr>
          <w:rFonts w:cs="Arial"/>
        </w:rPr>
        <w:t xml:space="preserve"> insufficient </w:t>
      </w:r>
      <w:r w:rsidR="000E6139">
        <w:rPr>
          <w:rFonts w:cs="Arial"/>
        </w:rPr>
        <w:t>data</w:t>
      </w:r>
      <w:r w:rsidRPr="005F4DDF">
        <w:rPr>
          <w:rFonts w:cs="Arial"/>
        </w:rPr>
        <w:t xml:space="preserve"> to recommend a skin notation.</w:t>
      </w:r>
    </w:p>
    <w:p w14:paraId="22A1B2C6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305409C8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23080BCF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20603BA6" w14:textId="77777777" w:rsidTr="00D766B2">
        <w:trPr>
          <w:gridAfter w:val="1"/>
          <w:wAfter w:w="8" w:type="pct"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06B9C8FD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08C058D2" w14:textId="77777777" w:rsidTr="00D766B2">
        <w:tc>
          <w:tcPr>
            <w:tcW w:w="5000" w:type="pct"/>
            <w:gridSpan w:val="2"/>
            <w:shd w:val="clear" w:color="auto" w:fill="F2F2F2" w:themeFill="background1" w:themeFillShade="F2"/>
          </w:tcPr>
          <w:p w14:paraId="26DD0973" w14:textId="0B4EFEB1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724520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724520" w:rsidRPr="00724520">
                  <w:t>TWA:</w:t>
                </w:r>
                <w:r w:rsidR="00724520">
                  <w:t xml:space="preserve"> 10 mg/m</w:t>
                </w:r>
                <w:r w:rsidR="00724520" w:rsidRPr="00724520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130A6B8E" w14:textId="77777777" w:rsidTr="00D766B2">
        <w:trPr>
          <w:gridAfter w:val="1"/>
          <w:wAfter w:w="8" w:type="pct"/>
        </w:trPr>
        <w:tc>
          <w:tcPr>
            <w:tcW w:w="4992" w:type="pct"/>
          </w:tcPr>
          <w:p w14:paraId="561C342C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7D7FAAD5" w14:textId="77777777" w:rsidTr="00D766B2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11CCEBD3" w14:textId="5F498868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724520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724520">
                  <w:t>TWA: 10 mg/m</w:t>
                </w:r>
                <w:r w:rsidR="00724520" w:rsidRPr="00724520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42603E1E" w14:textId="77777777" w:rsidTr="00D766B2">
        <w:trPr>
          <w:gridAfter w:val="1"/>
          <w:wAfter w:w="8" w:type="pct"/>
        </w:trPr>
        <w:tc>
          <w:tcPr>
            <w:tcW w:w="4992" w:type="pct"/>
          </w:tcPr>
          <w:p w14:paraId="5D8FE6AA" w14:textId="3358E3BE" w:rsidR="00C978F0" w:rsidRDefault="00B7435E" w:rsidP="003365A5">
            <w:pPr>
              <w:pStyle w:val="Tabletextprimarysource"/>
            </w:pPr>
            <w:r>
              <w:t>TLV-TWA intended to minimise potential for excessive bioaccumulation of iron, particularly in the liver.</w:t>
            </w:r>
            <w:r w:rsidR="00800729">
              <w:t xml:space="preserve"> </w:t>
            </w:r>
          </w:p>
          <w:p w14:paraId="6B4BD555" w14:textId="77777777" w:rsidR="00B7435E" w:rsidRDefault="00B7435E" w:rsidP="003365A5">
            <w:pPr>
              <w:pStyle w:val="Tabletextprimarysource"/>
            </w:pPr>
            <w:r>
              <w:t>Summary of data:</w:t>
            </w:r>
          </w:p>
          <w:p w14:paraId="588610CA" w14:textId="2029138A" w:rsidR="00B7435E" w:rsidRDefault="00B7435E" w:rsidP="003365A5">
            <w:pPr>
              <w:pStyle w:val="Tabletextprimarysource"/>
            </w:pPr>
            <w:r>
              <w:t xml:space="preserve">Toxicological data are extremely limited and no human exposure data are </w:t>
            </w:r>
            <w:r w:rsidR="003746EB">
              <w:t>reported</w:t>
            </w:r>
            <w:r>
              <w:t>. However, the substance is considered to have relatively low toxicity based on the available animal data and absence of reported effects in exposed workers.</w:t>
            </w:r>
            <w:r w:rsidR="00800729">
              <w:t xml:space="preserve"> When used as an anti-knocking agent, the resulting combustion product is iron oxide. TLV-TWA derivation not discussed.</w:t>
            </w:r>
          </w:p>
          <w:p w14:paraId="3144C843" w14:textId="77777777" w:rsidR="00B7435E" w:rsidRDefault="00B7435E" w:rsidP="001178F3">
            <w:pPr>
              <w:pStyle w:val="Tabletextprimarysource"/>
            </w:pPr>
            <w:r>
              <w:t>Human data:</w:t>
            </w:r>
          </w:p>
          <w:p w14:paraId="1C23EEC8" w14:textId="2EFD9B46" w:rsidR="00B7435E" w:rsidRDefault="00B7435E" w:rsidP="001178F3">
            <w:pPr>
              <w:pStyle w:val="Tabletextprimarysource"/>
              <w:numPr>
                <w:ilvl w:val="0"/>
                <w:numId w:val="2"/>
              </w:numPr>
              <w:ind w:left="720"/>
            </w:pPr>
            <w:r>
              <w:t>None presented</w:t>
            </w:r>
            <w:r w:rsidR="000E6139">
              <w:t>.</w:t>
            </w:r>
          </w:p>
          <w:p w14:paraId="1B2C1410" w14:textId="77777777" w:rsidR="00B7435E" w:rsidRDefault="00B7435E" w:rsidP="001178F3">
            <w:pPr>
              <w:pStyle w:val="Tabletextprimarysource"/>
            </w:pPr>
            <w:r>
              <w:t>Animal data:</w:t>
            </w:r>
          </w:p>
          <w:p w14:paraId="34856B37" w14:textId="6D676787" w:rsidR="00B7435E" w:rsidRDefault="00B7435E" w:rsidP="001178F3">
            <w:pPr>
              <w:pStyle w:val="Tabletextprimarysource"/>
              <w:numPr>
                <w:ilvl w:val="0"/>
                <w:numId w:val="1"/>
              </w:numPr>
              <w:ind w:left="720"/>
            </w:pPr>
            <w:r>
              <w:t>LD</w:t>
            </w:r>
            <w:r>
              <w:rPr>
                <w:vertAlign w:val="subscript"/>
              </w:rPr>
              <w:t>50</w:t>
            </w:r>
            <w:r>
              <w:t>: 832 mg/kg (mice</w:t>
            </w:r>
            <w:r w:rsidR="000E6139">
              <w:t>, oral</w:t>
            </w:r>
            <w:r>
              <w:t>)</w:t>
            </w:r>
          </w:p>
          <w:p w14:paraId="2EBEE681" w14:textId="7C212F5F" w:rsidR="00B7435E" w:rsidRDefault="00B7435E" w:rsidP="001178F3">
            <w:pPr>
              <w:pStyle w:val="Tabletextprimarysource"/>
              <w:numPr>
                <w:ilvl w:val="0"/>
                <w:numId w:val="1"/>
              </w:numPr>
              <w:ind w:left="720"/>
            </w:pPr>
            <w:r>
              <w:t>May be used as a hematinic in animals</w:t>
            </w:r>
          </w:p>
          <w:p w14:paraId="618686D7" w14:textId="12A2E186" w:rsidR="00B7435E" w:rsidRDefault="00B7435E" w:rsidP="001178F3">
            <w:pPr>
              <w:pStyle w:val="Tabletextprimarysource"/>
              <w:numPr>
                <w:ilvl w:val="0"/>
                <w:numId w:val="1"/>
              </w:numPr>
              <w:ind w:left="720"/>
            </w:pPr>
            <w:r>
              <w:t>Intracellular accumulation of iron (haemosiderosis) reported in sub-chronic daily feeding study</w:t>
            </w:r>
            <w:r w:rsidR="00556179">
              <w:t xml:space="preserve"> with dogs</w:t>
            </w:r>
            <w:r>
              <w:t>, tr</w:t>
            </w:r>
            <w:r w:rsidR="00556179">
              <w:t>eatment range: 30</w:t>
            </w:r>
            <w:r w:rsidR="00496927">
              <w:t>–</w:t>
            </w:r>
            <w:r w:rsidR="00556179">
              <w:t>300 mg/kg</w:t>
            </w:r>
            <w:r w:rsidR="002541D2">
              <w:t>/d</w:t>
            </w:r>
            <w:r w:rsidR="00556179">
              <w:t xml:space="preserve"> (</w:t>
            </w:r>
            <w:r>
              <w:t>6 mo</w:t>
            </w:r>
            <w:r w:rsidR="00556179">
              <w:t>)</w:t>
            </w:r>
            <w:r>
              <w:t>, 1</w:t>
            </w:r>
            <w:r w:rsidR="00556179">
              <w:t>,</w:t>
            </w:r>
            <w:r>
              <w:t>000 mg/kg</w:t>
            </w:r>
            <w:r w:rsidR="002541D2">
              <w:t>/d</w:t>
            </w:r>
            <w:r w:rsidR="00556179">
              <w:t xml:space="preserve"> (</w:t>
            </w:r>
            <w:r>
              <w:t>3 mo</w:t>
            </w:r>
            <w:r w:rsidR="00556179">
              <w:t>)</w:t>
            </w:r>
          </w:p>
          <w:p w14:paraId="13FD18DF" w14:textId="4A5D19E6" w:rsidR="00556179" w:rsidRDefault="000E6139" w:rsidP="001178F3">
            <w:pPr>
              <w:pStyle w:val="Tabletextprimarysource"/>
              <w:numPr>
                <w:ilvl w:val="1"/>
                <w:numId w:val="1"/>
              </w:numPr>
              <w:ind w:left="1098"/>
            </w:pPr>
            <w:r>
              <w:t>d</w:t>
            </w:r>
            <w:r w:rsidR="00556179">
              <w:t xml:space="preserve">ose-dependent haemosiderosis reported in 1,000 mg/kg group; cirrhosis </w:t>
            </w:r>
            <w:r w:rsidR="00800729">
              <w:t xml:space="preserve">and liver haemosiderosis </w:t>
            </w:r>
            <w:r w:rsidR="00556179">
              <w:t>in</w:t>
            </w:r>
            <w:r w:rsidR="00800729">
              <w:t xml:space="preserve"> the</w:t>
            </w:r>
            <w:r w:rsidR="00556179">
              <w:t xml:space="preserve"> 300</w:t>
            </w:r>
            <w:r w:rsidR="00496927">
              <w:t>–</w:t>
            </w:r>
            <w:r w:rsidR="00556179">
              <w:t>1,000 mg/kg</w:t>
            </w:r>
            <w:r w:rsidR="002541D2">
              <w:t>/d</w:t>
            </w:r>
            <w:r w:rsidR="00556179">
              <w:t xml:space="preserve"> groups</w:t>
            </w:r>
          </w:p>
          <w:p w14:paraId="5D9A723D" w14:textId="76DB30D3" w:rsidR="00556179" w:rsidRDefault="000E6139" w:rsidP="001178F3">
            <w:pPr>
              <w:pStyle w:val="Tabletextprimarysource"/>
              <w:numPr>
                <w:ilvl w:val="1"/>
                <w:numId w:val="1"/>
              </w:numPr>
              <w:ind w:left="1098"/>
            </w:pPr>
            <w:r>
              <w:t>t</w:t>
            </w:r>
            <w:r w:rsidR="00556179">
              <w:t>esticular hyperplasia noted after 6 mo in 100</w:t>
            </w:r>
            <w:r w:rsidR="00496927">
              <w:t>–</w:t>
            </w:r>
            <w:r w:rsidR="00556179">
              <w:t>300 mg/kg</w:t>
            </w:r>
            <w:r w:rsidR="002541D2">
              <w:t>/d</w:t>
            </w:r>
            <w:r w:rsidR="00556179">
              <w:t xml:space="preserve"> groups; no other evidence of latent effects of excess iron</w:t>
            </w:r>
          </w:p>
          <w:p w14:paraId="20A4445B" w14:textId="40C4A233" w:rsidR="00B7435E" w:rsidRDefault="000E6139" w:rsidP="001178F3">
            <w:pPr>
              <w:pStyle w:val="Tabletextprimarysource"/>
              <w:numPr>
                <w:ilvl w:val="1"/>
                <w:numId w:val="1"/>
              </w:numPr>
              <w:ind w:left="1098"/>
            </w:pPr>
            <w:r>
              <w:t>u</w:t>
            </w:r>
            <w:r w:rsidR="00556179">
              <w:t>ncertain if 30 mg/kg</w:t>
            </w:r>
            <w:r w:rsidR="002541D2">
              <w:t>/d</w:t>
            </w:r>
            <w:r w:rsidR="00556179">
              <w:t xml:space="preserve"> group represents a NOAEL</w:t>
            </w:r>
          </w:p>
          <w:p w14:paraId="6D1D9F81" w14:textId="104D851B" w:rsidR="00556179" w:rsidRDefault="00556179" w:rsidP="001178F3">
            <w:pPr>
              <w:pStyle w:val="Tabletextprimarysource"/>
              <w:numPr>
                <w:ilvl w:val="0"/>
                <w:numId w:val="1"/>
              </w:numPr>
              <w:ind w:left="720"/>
            </w:pPr>
            <w:r>
              <w:t xml:space="preserve">Mutagenic in </w:t>
            </w:r>
            <w:r w:rsidRPr="00556179">
              <w:rPr>
                <w:i/>
              </w:rPr>
              <w:t>Drosophila</w:t>
            </w:r>
            <w:r>
              <w:t xml:space="preserve"> </w:t>
            </w:r>
            <w:r w:rsidR="00240D43" w:rsidRPr="00240D43">
              <w:rPr>
                <w:i/>
              </w:rPr>
              <w:t>melanogaster</w:t>
            </w:r>
            <w:r w:rsidR="00240D43">
              <w:t xml:space="preserve"> </w:t>
            </w:r>
            <w:r>
              <w:t>recessive lethal test at concentrations that were lethal to 30% of the experimental animals within 24 h (concertation not specified)</w:t>
            </w:r>
          </w:p>
          <w:p w14:paraId="5C6E4152" w14:textId="77777777" w:rsidR="00556179" w:rsidRDefault="00556179" w:rsidP="001178F3">
            <w:pPr>
              <w:pStyle w:val="Tabletextprimarysource"/>
              <w:numPr>
                <w:ilvl w:val="0"/>
                <w:numId w:val="1"/>
              </w:numPr>
              <w:ind w:left="720"/>
            </w:pPr>
            <w:r>
              <w:t xml:space="preserve">Inhalation study with rats showed deposition of the substance in </w:t>
            </w:r>
            <w:r w:rsidR="00800729">
              <w:t>the nasopharynx and lungs (17 min exposure)</w:t>
            </w:r>
          </w:p>
          <w:p w14:paraId="6B09CAC4" w14:textId="77777777" w:rsidR="002541D2" w:rsidRDefault="000E6139" w:rsidP="001178F3">
            <w:pPr>
              <w:pStyle w:val="Tabletextprimarysource"/>
              <w:numPr>
                <w:ilvl w:val="1"/>
                <w:numId w:val="1"/>
              </w:numPr>
              <w:ind w:left="1098"/>
            </w:pPr>
            <w:r>
              <w:t>r</w:t>
            </w:r>
            <w:r w:rsidR="00800729">
              <w:t>espiratory retention lasted</w:t>
            </w:r>
            <w:r w:rsidR="002541D2">
              <w:t xml:space="preserve"> several weeks (not specified)</w:t>
            </w:r>
          </w:p>
          <w:p w14:paraId="1C9727BF" w14:textId="099317EE" w:rsidR="000E6139" w:rsidRDefault="00800729" w:rsidP="001178F3">
            <w:pPr>
              <w:pStyle w:val="Tabletextprimarysource"/>
              <w:numPr>
                <w:ilvl w:val="1"/>
                <w:numId w:val="1"/>
              </w:numPr>
              <w:ind w:left="1098"/>
            </w:pPr>
            <w:r>
              <w:t>clearance half-time of 200 d in the bronchopulmonary region, 70 d in nasopharynx.</w:t>
            </w:r>
            <w:r w:rsidR="000E6139">
              <w:t xml:space="preserve"> </w:t>
            </w:r>
          </w:p>
          <w:p w14:paraId="2D364AA8" w14:textId="77777777" w:rsidR="002541D2" w:rsidRDefault="002541D2" w:rsidP="000E6139">
            <w:pPr>
              <w:pStyle w:val="Tabletextprimarysource"/>
            </w:pPr>
          </w:p>
          <w:p w14:paraId="3B92D458" w14:textId="301EEB51" w:rsidR="00800729" w:rsidRDefault="000E6139" w:rsidP="000E6139">
            <w:pPr>
              <w:pStyle w:val="Tabletextprimarysource"/>
            </w:pPr>
            <w:r>
              <w:t>Insufficient data to recommend a STEL or notations for carcinogenicity, sensitisation, or skin absorption.</w:t>
            </w:r>
          </w:p>
          <w:p w14:paraId="25C99B87" w14:textId="1DD2D06E" w:rsidR="00150E34" w:rsidRPr="00B7435E" w:rsidRDefault="00150E34" w:rsidP="000E6139">
            <w:pPr>
              <w:pStyle w:val="Tabletextprimarysource"/>
            </w:pPr>
          </w:p>
        </w:tc>
      </w:tr>
      <w:tr w:rsidR="00C978F0" w:rsidRPr="00DA352E" w14:paraId="723E5A6C" w14:textId="77777777" w:rsidTr="00D766B2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013BE7F5" w14:textId="4DB4B55C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724520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724520">
                  <w:t>NA</w:t>
                </w:r>
              </w:sdtContent>
            </w:sdt>
          </w:p>
        </w:tc>
      </w:tr>
      <w:tr w:rsidR="00C978F0" w:rsidRPr="00DA352E" w14:paraId="29CDD1C6" w14:textId="77777777" w:rsidTr="00D766B2">
        <w:trPr>
          <w:gridAfter w:val="1"/>
          <w:wAfter w:w="8" w:type="pct"/>
        </w:trPr>
        <w:tc>
          <w:tcPr>
            <w:tcW w:w="4992" w:type="pct"/>
          </w:tcPr>
          <w:p w14:paraId="5D1FD8D2" w14:textId="11B7F32D" w:rsidR="00C978F0" w:rsidRPr="00DA352E" w:rsidRDefault="00724520" w:rsidP="003365A5">
            <w:pPr>
              <w:pStyle w:val="Tabletextprimarysource"/>
            </w:pPr>
            <w:r w:rsidRPr="000505F1">
              <w:t>No report</w:t>
            </w:r>
            <w:r w:rsidR="00D766B2">
              <w:t>.</w:t>
            </w:r>
          </w:p>
        </w:tc>
      </w:tr>
      <w:tr w:rsidR="00C978F0" w:rsidRPr="00DA352E" w14:paraId="7A4FCEA1" w14:textId="77777777" w:rsidTr="00D766B2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57F55878" w14:textId="0F82D459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724520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724520">
                  <w:t>NA</w:t>
                </w:r>
              </w:sdtContent>
            </w:sdt>
          </w:p>
        </w:tc>
      </w:tr>
      <w:tr w:rsidR="00C978F0" w:rsidRPr="00DA352E" w14:paraId="1E5F6A6E" w14:textId="77777777" w:rsidTr="00D766B2">
        <w:trPr>
          <w:gridAfter w:val="1"/>
          <w:wAfter w:w="8" w:type="pct"/>
        </w:trPr>
        <w:tc>
          <w:tcPr>
            <w:tcW w:w="4992" w:type="pct"/>
          </w:tcPr>
          <w:p w14:paraId="62B6EAED" w14:textId="2F1F509F" w:rsidR="00C978F0" w:rsidRPr="00DA352E" w:rsidRDefault="00724520" w:rsidP="003365A5">
            <w:pPr>
              <w:pStyle w:val="Tabletextprimarysource"/>
            </w:pPr>
            <w:r w:rsidRPr="000505F1">
              <w:t>No report</w:t>
            </w:r>
            <w:r w:rsidR="00D766B2">
              <w:t>.</w:t>
            </w:r>
          </w:p>
        </w:tc>
      </w:tr>
      <w:tr w:rsidR="00DA352E" w:rsidRPr="00DA352E" w14:paraId="2B1CF901" w14:textId="77777777" w:rsidTr="00D766B2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4D82B9C1" w14:textId="17AAC46F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724520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r w:rsidR="00724520">
                  <w:t>NA</w:t>
                </w:r>
              </w:sdtContent>
            </w:sdt>
          </w:p>
        </w:tc>
      </w:tr>
      <w:tr w:rsidR="00DA352E" w:rsidRPr="00DA352E" w14:paraId="61C0F94B" w14:textId="77777777" w:rsidTr="00D766B2">
        <w:trPr>
          <w:gridAfter w:val="1"/>
          <w:wAfter w:w="8" w:type="pct"/>
        </w:trPr>
        <w:tc>
          <w:tcPr>
            <w:tcW w:w="4992" w:type="pct"/>
          </w:tcPr>
          <w:p w14:paraId="118977AE" w14:textId="1DC3BBC6" w:rsidR="00DA352E" w:rsidRPr="00DA352E" w:rsidRDefault="00724520" w:rsidP="003365A5">
            <w:pPr>
              <w:pStyle w:val="Tabletextprimarysource"/>
            </w:pPr>
            <w:r w:rsidRPr="000505F1">
              <w:t>No report</w:t>
            </w:r>
            <w:r w:rsidR="00D766B2">
              <w:t>.</w:t>
            </w:r>
          </w:p>
        </w:tc>
      </w:tr>
      <w:tr w:rsidR="00DA352E" w:rsidRPr="00DA352E" w14:paraId="081F7C50" w14:textId="77777777" w:rsidTr="00D766B2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43289D18" w14:textId="5E94C168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724520">
                  <w:t>2002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724520">
                  <w:t>TWA: 10</w:t>
                </w:r>
                <w:r w:rsidR="00800729">
                  <w:t xml:space="preserve"> </w:t>
                </w:r>
                <w:r w:rsidR="00724520">
                  <w:t>mg/mg</w:t>
                </w:r>
                <w:r w:rsidR="00724520" w:rsidRPr="00724520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DA352E" w:rsidRPr="00DA352E" w14:paraId="3E36460F" w14:textId="77777777" w:rsidTr="00D766B2">
        <w:trPr>
          <w:gridAfter w:val="1"/>
          <w:wAfter w:w="8" w:type="pct"/>
        </w:trPr>
        <w:tc>
          <w:tcPr>
            <w:tcW w:w="4992" w:type="pct"/>
          </w:tcPr>
          <w:p w14:paraId="2CC7052E" w14:textId="220B5560" w:rsidR="00240D43" w:rsidRDefault="00240D43" w:rsidP="00800729">
            <w:pPr>
              <w:pStyle w:val="Tabletextprimarysource"/>
            </w:pPr>
            <w:r>
              <w:t>Summary of additional data:</w:t>
            </w:r>
          </w:p>
          <w:p w14:paraId="1B6FE923" w14:textId="15CB580D" w:rsidR="00240D43" w:rsidRPr="00AF3AFA" w:rsidRDefault="00AF3AFA" w:rsidP="00240D43">
            <w:pPr>
              <w:pStyle w:val="Tabletextprimarysource"/>
            </w:pPr>
            <w:r w:rsidRPr="00AF3AFA">
              <w:lastRenderedPageBreak/>
              <w:t>Current administrative TWA considered too high due to the lack of human exposure data or animal experiments regarding irritation and sensitisation, carcinogen</w:t>
            </w:r>
            <w:r w:rsidR="002541D2">
              <w:t>icity, reproduction toxicity and</w:t>
            </w:r>
            <w:r w:rsidRPr="00AF3AFA">
              <w:t xml:space="preserve"> </w:t>
            </w:r>
            <w:r w:rsidRPr="001178F3">
              <w:rPr>
                <w:i/>
              </w:rPr>
              <w:t>in vivo</w:t>
            </w:r>
            <w:r w:rsidRPr="00AF3AFA">
              <w:t xml:space="preserve"> genotoxicity studies. Nasal epithelial lesions</w:t>
            </w:r>
            <w:r w:rsidR="00240D43" w:rsidRPr="00AF3AFA">
              <w:t xml:space="preserve"> </w:t>
            </w:r>
            <w:r w:rsidRPr="00AF3AFA">
              <w:t xml:space="preserve">considered as the critical effect, which has a reported </w:t>
            </w:r>
            <w:r w:rsidR="00240D43" w:rsidRPr="00AF3AFA">
              <w:t>LOAE</w:t>
            </w:r>
            <w:r w:rsidR="002541D2">
              <w:t>C</w:t>
            </w:r>
            <w:r w:rsidR="00240D43" w:rsidRPr="00AF3AFA">
              <w:t xml:space="preserve"> of 3.0 mg/m</w:t>
            </w:r>
            <w:r w:rsidR="00240D43" w:rsidRPr="00AF3AFA">
              <w:rPr>
                <w:vertAlign w:val="superscript"/>
              </w:rPr>
              <w:t>3</w:t>
            </w:r>
            <w:r w:rsidR="00240D43" w:rsidRPr="00AF3AFA">
              <w:t xml:space="preserve"> from </w:t>
            </w:r>
            <w:r w:rsidRPr="00AF3AFA">
              <w:t>a sub</w:t>
            </w:r>
            <w:r w:rsidR="003746EB">
              <w:t>-</w:t>
            </w:r>
            <w:r w:rsidRPr="00AF3AFA">
              <w:t>chronic inhalation study.</w:t>
            </w:r>
            <w:r w:rsidR="00240D43" w:rsidRPr="00AF3AFA">
              <w:t xml:space="preserve"> </w:t>
            </w:r>
            <w:r w:rsidRPr="00AF3AFA">
              <w:t xml:space="preserve">Application of a 24-fold factor to account for the absence of NOAEL, intra- and interspecies variation, and differences between experimental exposure conditions and exposure in the workplace. Following the </w:t>
            </w:r>
            <w:r w:rsidR="00240D43" w:rsidRPr="00AF3AFA">
              <w:t xml:space="preserve">preferred value approach, a health-based </w:t>
            </w:r>
            <w:r w:rsidR="001178F3">
              <w:t>OEL</w:t>
            </w:r>
            <w:r w:rsidR="00240D43" w:rsidRPr="00AF3AFA">
              <w:t xml:space="preserve"> of 0.1 mg/m</w:t>
            </w:r>
            <w:r w:rsidR="00240D43" w:rsidRPr="00AF3AFA">
              <w:rPr>
                <w:vertAlign w:val="superscript"/>
              </w:rPr>
              <w:t>3</w:t>
            </w:r>
            <w:r w:rsidR="00240D43" w:rsidRPr="00AF3AFA">
              <w:t xml:space="preserve"> is recommended.</w:t>
            </w:r>
          </w:p>
          <w:p w14:paraId="111A795F" w14:textId="39A736FD" w:rsidR="00240D43" w:rsidRDefault="00240D43" w:rsidP="00800729">
            <w:pPr>
              <w:pStyle w:val="Tabletextprimarysource"/>
            </w:pPr>
            <w:r>
              <w:t>Human data:</w:t>
            </w:r>
          </w:p>
          <w:p w14:paraId="5EF55ADB" w14:textId="034B8E04" w:rsidR="00240D43" w:rsidRDefault="00240D43" w:rsidP="001178F3">
            <w:pPr>
              <w:pStyle w:val="Tabletextprimarysource"/>
              <w:numPr>
                <w:ilvl w:val="0"/>
                <w:numId w:val="1"/>
              </w:numPr>
              <w:ind w:left="731"/>
            </w:pPr>
            <w:r>
              <w:t>None presented</w:t>
            </w:r>
          </w:p>
          <w:p w14:paraId="109656B9" w14:textId="5E1A0A45" w:rsidR="00240D43" w:rsidRDefault="00240D43" w:rsidP="001178F3">
            <w:pPr>
              <w:pStyle w:val="Tabletextprimarysource"/>
            </w:pPr>
            <w:r>
              <w:t>Animal data:</w:t>
            </w:r>
          </w:p>
          <w:p w14:paraId="79C35C07" w14:textId="382A840C" w:rsidR="00AF3AFA" w:rsidRPr="00DB37D0" w:rsidRDefault="00AF3AFA" w:rsidP="001178F3">
            <w:pPr>
              <w:pStyle w:val="Tabletextprimarysource"/>
              <w:numPr>
                <w:ilvl w:val="0"/>
                <w:numId w:val="1"/>
              </w:numPr>
              <w:ind w:left="731"/>
            </w:pPr>
            <w:r w:rsidRPr="00DB37D0">
              <w:t>LD</w:t>
            </w:r>
            <w:r w:rsidRPr="00DB37D0">
              <w:rPr>
                <w:vertAlign w:val="subscript"/>
              </w:rPr>
              <w:t>50</w:t>
            </w:r>
            <w:r w:rsidRPr="00DB37D0">
              <w:t>: 1320 mg/kg (rats</w:t>
            </w:r>
            <w:r w:rsidR="001178F3">
              <w:t>,</w:t>
            </w:r>
            <w:r w:rsidR="001178F3" w:rsidRPr="00DB37D0">
              <w:t xml:space="preserve"> </w:t>
            </w:r>
            <w:r w:rsidR="001178F3">
              <w:t>o</w:t>
            </w:r>
            <w:r w:rsidR="001178F3" w:rsidRPr="00DB37D0">
              <w:t>ral</w:t>
            </w:r>
            <w:r w:rsidR="001178F3">
              <w:t>)</w:t>
            </w:r>
          </w:p>
          <w:p w14:paraId="4E995875" w14:textId="576F0253" w:rsidR="00AF3AFA" w:rsidRPr="00835990" w:rsidRDefault="00DB37D0" w:rsidP="001178F3">
            <w:pPr>
              <w:pStyle w:val="Tabletextprimarysource"/>
              <w:numPr>
                <w:ilvl w:val="0"/>
                <w:numId w:val="1"/>
              </w:numPr>
              <w:ind w:left="731"/>
            </w:pPr>
            <w:r w:rsidRPr="00DB37D0">
              <w:t>Sub</w:t>
            </w:r>
            <w:r w:rsidR="003746EB">
              <w:t>-</w:t>
            </w:r>
            <w:r w:rsidRPr="00DB37D0">
              <w:t xml:space="preserve">chronic inhalation study with exposure </w:t>
            </w:r>
            <w:r w:rsidRPr="00835990">
              <w:t xml:space="preserve">groups </w:t>
            </w:r>
            <w:r w:rsidR="00835990" w:rsidRPr="00835990">
              <w:t>0, 2.5, 5.0, 10, 20, and 40 mg/m</w:t>
            </w:r>
            <w:r w:rsidR="00835990" w:rsidRPr="00835990">
              <w:rPr>
                <w:vertAlign w:val="superscript"/>
              </w:rPr>
              <w:t>3</w:t>
            </w:r>
            <w:r w:rsidRPr="00835990">
              <w:t xml:space="preserve"> (rats, mice, 6</w:t>
            </w:r>
            <w:r w:rsidR="00496927">
              <w:t xml:space="preserve"> </w:t>
            </w:r>
            <w:r w:rsidRPr="00835990">
              <w:t>h/d, 5 d/wk, 2 wk):</w:t>
            </w:r>
          </w:p>
          <w:p w14:paraId="402D4CE5" w14:textId="3F6BC560" w:rsidR="00DB37D0" w:rsidRPr="00835990" w:rsidRDefault="00D766B2" w:rsidP="001178F3">
            <w:pPr>
              <w:pStyle w:val="Tabletextprimarysource"/>
              <w:numPr>
                <w:ilvl w:val="1"/>
                <w:numId w:val="1"/>
              </w:numPr>
            </w:pPr>
            <w:r>
              <w:t>n</w:t>
            </w:r>
            <w:r w:rsidR="00DB37D0" w:rsidRPr="00835990">
              <w:t>o signs of substance-related toxicity; highest exposure concentration represents highest concentration below vapour saturation and aerosol formation</w:t>
            </w:r>
          </w:p>
          <w:p w14:paraId="37796136" w14:textId="2C89F44A" w:rsidR="00DB37D0" w:rsidRPr="00835990" w:rsidRDefault="00D766B2" w:rsidP="001178F3">
            <w:pPr>
              <w:pStyle w:val="Tabletextprimarysource"/>
              <w:numPr>
                <w:ilvl w:val="1"/>
                <w:numId w:val="1"/>
              </w:numPr>
            </w:pPr>
            <w:r>
              <w:t>n</w:t>
            </w:r>
            <w:r w:rsidR="00DB37D0" w:rsidRPr="00835990">
              <w:t>o histopathological changes to liver, spleen, kidney, and lungs</w:t>
            </w:r>
          </w:p>
          <w:p w14:paraId="62F48B96" w14:textId="03A8394D" w:rsidR="00DB37D0" w:rsidRPr="00835990" w:rsidRDefault="00D766B2" w:rsidP="001178F3">
            <w:pPr>
              <w:pStyle w:val="Tabletextprimarysource"/>
              <w:numPr>
                <w:ilvl w:val="1"/>
                <w:numId w:val="1"/>
              </w:numPr>
            </w:pPr>
            <w:r>
              <w:t>i</w:t>
            </w:r>
            <w:r w:rsidR="00DB37D0" w:rsidRPr="00835990">
              <w:t xml:space="preserve">nflammatory nasal epithelium lesions noted in necropsies of all exposure groups </w:t>
            </w:r>
          </w:p>
          <w:p w14:paraId="792BF8D2" w14:textId="03227A58" w:rsidR="00DB37D0" w:rsidRPr="00835990" w:rsidRDefault="00D766B2" w:rsidP="001178F3">
            <w:pPr>
              <w:pStyle w:val="Tabletextprimarysource"/>
              <w:numPr>
                <w:ilvl w:val="1"/>
                <w:numId w:val="1"/>
              </w:numPr>
            </w:pPr>
            <w:r>
              <w:t>s</w:t>
            </w:r>
            <w:r w:rsidR="00DB37D0" w:rsidRPr="00835990">
              <w:t>everity of lesions was dose-dependent and minimal to mild in 0.32</w:t>
            </w:r>
            <w:r w:rsidR="00496927">
              <w:t>–</w:t>
            </w:r>
            <w:r w:rsidR="00DB37D0" w:rsidRPr="00835990">
              <w:t>1.3 ppm groups</w:t>
            </w:r>
          </w:p>
          <w:p w14:paraId="5847181E" w14:textId="5C87D4A6" w:rsidR="0073116E" w:rsidRPr="00835990" w:rsidRDefault="001459F3" w:rsidP="001178F3">
            <w:pPr>
              <w:pStyle w:val="Tabletextprimarysource"/>
              <w:numPr>
                <w:ilvl w:val="0"/>
                <w:numId w:val="1"/>
              </w:numPr>
              <w:ind w:left="731"/>
            </w:pPr>
            <w:r w:rsidRPr="00835990">
              <w:t>Second sub</w:t>
            </w:r>
            <w:r w:rsidR="00066417">
              <w:t>-</w:t>
            </w:r>
            <w:r w:rsidRPr="00835990">
              <w:t xml:space="preserve">chronic inhalation study with exposure groups </w:t>
            </w:r>
            <w:r w:rsidR="00835990" w:rsidRPr="00835990">
              <w:t>0, 3.0, 10, and 30 mg/m</w:t>
            </w:r>
            <w:r w:rsidR="00835990" w:rsidRPr="00835990">
              <w:rPr>
                <w:vertAlign w:val="superscript"/>
              </w:rPr>
              <w:t>3</w:t>
            </w:r>
            <w:r w:rsidR="00835990" w:rsidRPr="00835990">
              <w:t xml:space="preserve"> </w:t>
            </w:r>
            <w:r w:rsidRPr="00835990">
              <w:t>(rats, mice, 6 h/d, 5 d/wk, 13 wk):</w:t>
            </w:r>
          </w:p>
          <w:p w14:paraId="262D3D9A" w14:textId="5BB04AC0" w:rsidR="00835990" w:rsidRDefault="00D766B2" w:rsidP="001178F3">
            <w:pPr>
              <w:pStyle w:val="Tabletextprimarysource"/>
              <w:numPr>
                <w:ilvl w:val="1"/>
                <w:numId w:val="1"/>
              </w:numPr>
            </w:pPr>
            <w:r>
              <w:t>d</w:t>
            </w:r>
            <w:r w:rsidR="00835990">
              <w:t>ose-dependent nasal lesions observed in all exposure groups, as in 2 wk study</w:t>
            </w:r>
          </w:p>
          <w:p w14:paraId="0A7A9AB2" w14:textId="7CF7AE26" w:rsidR="001459F3" w:rsidRPr="00835990" w:rsidRDefault="00D766B2" w:rsidP="001178F3">
            <w:pPr>
              <w:pStyle w:val="Tabletextprimarysource"/>
              <w:numPr>
                <w:ilvl w:val="1"/>
                <w:numId w:val="1"/>
              </w:numPr>
            </w:pPr>
            <w:r>
              <w:t>m</w:t>
            </w:r>
            <w:r w:rsidR="001459F3" w:rsidRPr="00835990">
              <w:t>ean iron lung burden of highest exposure group was 4 times greater than controls (rats)</w:t>
            </w:r>
          </w:p>
          <w:p w14:paraId="3CC50C90" w14:textId="34748D41" w:rsidR="001459F3" w:rsidRPr="00835990" w:rsidRDefault="00D766B2" w:rsidP="001178F3">
            <w:pPr>
              <w:pStyle w:val="Tabletextprimarysource"/>
              <w:numPr>
                <w:ilvl w:val="1"/>
                <w:numId w:val="1"/>
              </w:numPr>
            </w:pPr>
            <w:r>
              <w:t>d</w:t>
            </w:r>
            <w:r w:rsidR="001459F3" w:rsidRPr="00835990">
              <w:t>ose-related increase in relative liver weights (rats) in highest exposure group for and highest 2 for females; liver weight decreased in female mice</w:t>
            </w:r>
          </w:p>
          <w:p w14:paraId="74AC9594" w14:textId="77777777" w:rsidR="00240D43" w:rsidRDefault="00240D43" w:rsidP="001178F3">
            <w:pPr>
              <w:pStyle w:val="Tabletextprimarysource"/>
              <w:numPr>
                <w:ilvl w:val="0"/>
                <w:numId w:val="1"/>
              </w:numPr>
              <w:ind w:left="731"/>
            </w:pPr>
            <w:r w:rsidRPr="00835990">
              <w:t xml:space="preserve">Available </w:t>
            </w:r>
            <w:r w:rsidRPr="00835990">
              <w:rPr>
                <w:i/>
              </w:rPr>
              <w:t xml:space="preserve">in vivo </w:t>
            </w:r>
            <w:r w:rsidRPr="00835990">
              <w:t xml:space="preserve">and </w:t>
            </w:r>
            <w:r w:rsidRPr="00835990">
              <w:rPr>
                <w:i/>
              </w:rPr>
              <w:t>in vitro</w:t>
            </w:r>
            <w:r w:rsidRPr="00835990">
              <w:t xml:space="preserve"> </w:t>
            </w:r>
            <w:r w:rsidR="001459F3" w:rsidRPr="00835990">
              <w:t xml:space="preserve">mutagenicity </w:t>
            </w:r>
            <w:r w:rsidRPr="00835990">
              <w:t>data are equivocal</w:t>
            </w:r>
            <w:r w:rsidR="00835990">
              <w:t>.</w:t>
            </w:r>
          </w:p>
          <w:p w14:paraId="3AF0AD54" w14:textId="6E41FDA5" w:rsidR="00150E34" w:rsidRPr="00240D43" w:rsidRDefault="00150E34" w:rsidP="003858AB">
            <w:pPr>
              <w:pStyle w:val="Tabletextprimarysource"/>
            </w:pPr>
          </w:p>
        </w:tc>
      </w:tr>
    </w:tbl>
    <w:p w14:paraId="432A7F6C" w14:textId="77777777" w:rsidR="00A20751" w:rsidRPr="004C23F4" w:rsidRDefault="00A20751" w:rsidP="003365A5">
      <w:pPr>
        <w:pStyle w:val="Heading3"/>
      </w:pPr>
      <w:bookmarkStart w:id="0" w:name="SecondSource"/>
      <w:r w:rsidRPr="004C23F4">
        <w:lastRenderedPageBreak/>
        <w:t xml:space="preserve">Secondary </w:t>
      </w:r>
      <w:r w:rsidR="0088798F">
        <w:t xml:space="preserve">source reports relied upon </w:t>
      </w:r>
    </w:p>
    <w:p w14:paraId="59D3F8DC" w14:textId="7A8DEC30" w:rsidR="007E2A4B" w:rsidRDefault="001178F3">
      <w:r>
        <w:t>NIL</w:t>
      </w:r>
      <w:r w:rsidR="002541D2">
        <w:t>.</w:t>
      </w:r>
    </w:p>
    <w:bookmarkEnd w:id="0"/>
    <w:p w14:paraId="33FF0629" w14:textId="57CBD9BD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14:paraId="327BE142" w14:textId="77777777" w:rsidTr="005F4DDF">
        <w:trPr>
          <w:trHeight w:val="454"/>
          <w:tblHeader/>
        </w:trPr>
        <w:tc>
          <w:tcPr>
            <w:tcW w:w="6597" w:type="dxa"/>
            <w:vAlign w:val="center"/>
          </w:tcPr>
          <w:p w14:paraId="599C1E7F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554AD28A" w14:textId="75657FB8" w:rsidR="002E0D61" w:rsidRDefault="00240D43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A36CF" w14:paraId="6BADC6D3" w14:textId="77777777" w:rsidTr="005F4DDF">
        <w:trPr>
          <w:trHeight w:val="454"/>
        </w:trPr>
        <w:tc>
          <w:tcPr>
            <w:tcW w:w="6597" w:type="dxa"/>
            <w:vAlign w:val="center"/>
          </w:tcPr>
          <w:p w14:paraId="557D74BF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48F4A013" w14:textId="69F355CD" w:rsidR="008A36CF" w:rsidRDefault="005F4DDF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2541D2" w14:paraId="4B6DD8F1" w14:textId="77777777" w:rsidTr="00F02866">
        <w:trPr>
          <w:trHeight w:val="454"/>
        </w:trPr>
        <w:sdt>
          <w:sdtPr>
            <w:rPr>
              <w:b/>
            </w:rPr>
            <w:id w:val="1830936485"/>
            <w:placeholder>
              <w:docPart w:val="52AE70E1659C487793C0C933CF19BD57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9026" w:type="dxa"/>
                <w:gridSpan w:val="2"/>
                <w:vAlign w:val="center"/>
              </w:tcPr>
              <w:p w14:paraId="29EB8584" w14:textId="0B860E8A" w:rsidR="002541D2" w:rsidRDefault="002541D2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rPr>
                    <w:b/>
                  </w:rPr>
                  <w:t>Insufficient data are available to determine if the chemical is a non-threshold based genotoxic carcinogen.</w:t>
                </w:r>
              </w:p>
            </w:tc>
          </w:sdtContent>
        </w:sdt>
      </w:tr>
    </w:tbl>
    <w:bookmarkEnd w:id="1"/>
    <w:p w14:paraId="1B879DFB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397FEF54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3CC4753C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57D24A79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3DD9401B" w14:textId="77777777" w:rsidTr="00812887">
        <w:trPr>
          <w:cantSplit/>
        </w:trPr>
        <w:tc>
          <w:tcPr>
            <w:tcW w:w="3227" w:type="dxa"/>
          </w:tcPr>
          <w:p w14:paraId="7C0D4E84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258A1876" w14:textId="5EA8A581" w:rsidR="00687890" w:rsidRPr="00DD2F9B" w:rsidRDefault="00791E3B" w:rsidP="00DD2F9B">
            <w:pPr>
              <w:pStyle w:val="Tablefont"/>
            </w:pPr>
            <w:r>
              <w:t>—</w:t>
            </w:r>
          </w:p>
        </w:tc>
      </w:tr>
      <w:tr w:rsidR="007925F0" w:rsidRPr="004C23F4" w14:paraId="7CC56583" w14:textId="77777777" w:rsidTr="00812887">
        <w:trPr>
          <w:cantSplit/>
        </w:trPr>
        <w:tc>
          <w:tcPr>
            <w:tcW w:w="3227" w:type="dxa"/>
          </w:tcPr>
          <w:p w14:paraId="527D3276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2805ACDD" w14:textId="4AED07AB" w:rsidR="007925F0" w:rsidRPr="00DD2F9B" w:rsidRDefault="00791E3B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3C03488F" w14:textId="77777777" w:rsidTr="00812887">
        <w:trPr>
          <w:cantSplit/>
        </w:trPr>
        <w:tc>
          <w:tcPr>
            <w:tcW w:w="3227" w:type="dxa"/>
          </w:tcPr>
          <w:p w14:paraId="3BD43A84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57D5B165" w14:textId="698F80A1" w:rsidR="00AF483F" w:rsidRPr="00DD2F9B" w:rsidRDefault="00791E3B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63E7D89E" w14:textId="77777777" w:rsidTr="00812887">
        <w:trPr>
          <w:cantSplit/>
        </w:trPr>
        <w:tc>
          <w:tcPr>
            <w:tcW w:w="3227" w:type="dxa"/>
          </w:tcPr>
          <w:p w14:paraId="650359C2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4C975013" w14:textId="20C0C744" w:rsidR="00687890" w:rsidRPr="00DD2F9B" w:rsidRDefault="00791E3B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077DF486" w14:textId="77777777" w:rsidTr="00812887">
        <w:trPr>
          <w:cantSplit/>
        </w:trPr>
        <w:tc>
          <w:tcPr>
            <w:tcW w:w="3227" w:type="dxa"/>
          </w:tcPr>
          <w:p w14:paraId="506E1EEE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2BA58221" w14:textId="76FA6C37" w:rsidR="00E41A26" w:rsidRPr="00DD2F9B" w:rsidRDefault="00791E3B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341099E7" w14:textId="77777777" w:rsidTr="00812887">
        <w:trPr>
          <w:cantSplit/>
        </w:trPr>
        <w:tc>
          <w:tcPr>
            <w:tcW w:w="3227" w:type="dxa"/>
          </w:tcPr>
          <w:p w14:paraId="061A6591" w14:textId="77777777" w:rsidR="004079B4" w:rsidRPr="004C23F4" w:rsidRDefault="002E0D61" w:rsidP="00F4402E">
            <w:pPr>
              <w:pStyle w:val="Tablefont"/>
            </w:pPr>
            <w:r>
              <w:lastRenderedPageBreak/>
              <w:t>ACGIH</w:t>
            </w:r>
          </w:p>
        </w:tc>
        <w:tc>
          <w:tcPr>
            <w:tcW w:w="6015" w:type="dxa"/>
          </w:tcPr>
          <w:p w14:paraId="3DB71796" w14:textId="71B7950C" w:rsidR="002E0D61" w:rsidRPr="00DD2F9B" w:rsidRDefault="00791E3B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33487658" w14:textId="77777777" w:rsidTr="00812887">
        <w:trPr>
          <w:cantSplit/>
        </w:trPr>
        <w:tc>
          <w:tcPr>
            <w:tcW w:w="3227" w:type="dxa"/>
          </w:tcPr>
          <w:p w14:paraId="7BED0689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4F20AAE2" w14:textId="3E66E091" w:rsidR="002E0D61" w:rsidRPr="00DD2F9B" w:rsidRDefault="00791E3B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252FDBA7" w14:textId="77777777" w:rsidTr="00812887">
        <w:trPr>
          <w:cantSplit/>
        </w:trPr>
        <w:tc>
          <w:tcPr>
            <w:tcW w:w="3227" w:type="dxa"/>
          </w:tcPr>
          <w:p w14:paraId="7DF0EA6D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1E5E5D59" w14:textId="53A6E24D" w:rsidR="002E0D61" w:rsidRPr="00DD2F9B" w:rsidRDefault="00791E3B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66980991" w14:textId="77777777" w:rsidTr="00812887">
        <w:trPr>
          <w:cantSplit/>
        </w:trPr>
        <w:tc>
          <w:tcPr>
            <w:tcW w:w="3227" w:type="dxa"/>
          </w:tcPr>
          <w:p w14:paraId="380A519D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7EE9B37F" w14:textId="4C64158A" w:rsidR="002E0D61" w:rsidRPr="00DD2F9B" w:rsidRDefault="00791E3B" w:rsidP="00DD2F9B">
            <w:pPr>
              <w:pStyle w:val="Tablefont"/>
            </w:pPr>
            <w:r>
              <w:t>—</w:t>
            </w:r>
          </w:p>
        </w:tc>
      </w:tr>
      <w:tr w:rsidR="00386093" w:rsidRPr="004C23F4" w14:paraId="3A6F349E" w14:textId="77777777" w:rsidTr="00812887">
        <w:trPr>
          <w:cantSplit/>
        </w:trPr>
        <w:tc>
          <w:tcPr>
            <w:tcW w:w="3227" w:type="dxa"/>
          </w:tcPr>
          <w:p w14:paraId="71B3F862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204CB958" w14:textId="1FC08A65" w:rsidR="00386093" w:rsidRPr="00DD2F9B" w:rsidRDefault="00791E3B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1B7D9212" w14:textId="77777777" w:rsidTr="00812887">
        <w:trPr>
          <w:cantSplit/>
        </w:trPr>
        <w:tc>
          <w:tcPr>
            <w:tcW w:w="3227" w:type="dxa"/>
          </w:tcPr>
          <w:p w14:paraId="57426E75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2A946F46" w14:textId="3A0479B3" w:rsidR="00386093" w:rsidRPr="00DD2F9B" w:rsidRDefault="00791E3B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3B597483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71D7935D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279E57EC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763D4574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3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0A6490DC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p w14:paraId="009FB80E" w14:textId="0728B66A" w:rsidR="00932DCE" w:rsidRPr="004C23F4" w:rsidRDefault="005F4DDF" w:rsidP="00F9496B">
            <w:pPr>
              <w:pStyle w:val="Tablefont"/>
            </w:pPr>
            <w:r>
              <w:t>Insufficient data to assign a skin notation</w:t>
            </w:r>
            <w:r w:rsidR="00806AE8">
              <w:t>.</w:t>
            </w:r>
          </w:p>
        </w:tc>
      </w:tr>
    </w:tbl>
    <w:bookmarkEnd w:id="3"/>
    <w:p w14:paraId="4F15FBFF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44AE647F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19715432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2BB7C933" w14:textId="232EA284" w:rsidR="00EB3D1B" w:rsidRDefault="00791E3B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7152341A" w14:textId="77777777" w:rsidR="00687890" w:rsidRPr="004C23F4" w:rsidRDefault="00B479A9" w:rsidP="00496927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2990A45C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79A5ACB9" w14:textId="77777777" w:rsidR="001B79E5" w:rsidRDefault="001B79E5" w:rsidP="001178F3">
            <w:pPr>
              <w:pStyle w:val="Tablefont"/>
              <w:keepNext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63E028F8" w14:textId="15505FE0" w:rsidR="001B79E5" w:rsidRDefault="00DD5981" w:rsidP="001178F3">
                <w:pPr>
                  <w:pStyle w:val="Tablefont"/>
                  <w:keepNext/>
                </w:pPr>
                <w:r w:rsidRPr="00DD5981">
                  <w:t>186.04</w:t>
                </w:r>
              </w:p>
            </w:tc>
          </w:sdtContent>
        </w:sdt>
      </w:tr>
      <w:tr w:rsidR="00A31D99" w:rsidRPr="004C23F4" w14:paraId="507DD15F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2CFE3756" w14:textId="77777777" w:rsidR="00A31D99" w:rsidRPr="00263255" w:rsidRDefault="00A31D99" w:rsidP="001178F3">
            <w:pPr>
              <w:pStyle w:val="Tablefont"/>
              <w:keepNext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2F9DB6E2" w14:textId="77777777" w:rsidR="00A31D99" w:rsidRDefault="00A0643F" w:rsidP="001178F3">
            <w:pPr>
              <w:pStyle w:val="Tablefont"/>
              <w:keepNext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103A94F1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05D5F81E" w14:textId="77777777" w:rsidR="00687890" w:rsidRPr="00263255" w:rsidRDefault="00687890" w:rsidP="001178F3">
            <w:pPr>
              <w:pStyle w:val="Tablefont"/>
              <w:keepNext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7C9C38C3" w14:textId="706B9EEA" w:rsidR="00687890" w:rsidRPr="004C23F4" w:rsidRDefault="00E46BCB" w:rsidP="001178F3">
                <w:pPr>
                  <w:pStyle w:val="Tablefont"/>
                  <w:keepNext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127A5D41" w14:textId="77777777" w:rsidTr="00EA6243">
        <w:trPr>
          <w:cantSplit/>
        </w:trPr>
        <w:tc>
          <w:tcPr>
            <w:tcW w:w="4077" w:type="dxa"/>
            <w:vAlign w:val="center"/>
          </w:tcPr>
          <w:p w14:paraId="32709E05" w14:textId="77777777" w:rsidR="00687890" w:rsidRPr="00263255" w:rsidRDefault="00687890" w:rsidP="001178F3">
            <w:pPr>
              <w:pStyle w:val="Tablefont"/>
              <w:keepNext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256AEFB3" w14:textId="6593C316" w:rsidR="00687890" w:rsidRPr="004C23F4" w:rsidRDefault="00A20751" w:rsidP="001178F3">
                <w:pPr>
                  <w:pStyle w:val="Tablefont"/>
                  <w:keepNext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3EB86D55" w14:textId="77777777" w:rsidTr="00EA6243">
        <w:trPr>
          <w:cantSplit/>
        </w:trPr>
        <w:tc>
          <w:tcPr>
            <w:tcW w:w="4077" w:type="dxa"/>
            <w:vAlign w:val="center"/>
          </w:tcPr>
          <w:p w14:paraId="7B583511" w14:textId="77777777" w:rsidR="00687890" w:rsidRPr="00263255" w:rsidRDefault="00687890" w:rsidP="001178F3">
            <w:pPr>
              <w:pStyle w:val="Tablefont"/>
              <w:keepNext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01F8BEB2" w14:textId="21216FB1" w:rsidR="00687890" w:rsidRPr="004C23F4" w:rsidRDefault="00687890" w:rsidP="001178F3">
                <w:pPr>
                  <w:pStyle w:val="Tablefont"/>
                  <w:keepNext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3F4FE611" w14:textId="77777777" w:rsidTr="00EA6243">
        <w:trPr>
          <w:cantSplit/>
        </w:trPr>
        <w:tc>
          <w:tcPr>
            <w:tcW w:w="4077" w:type="dxa"/>
            <w:vAlign w:val="center"/>
          </w:tcPr>
          <w:p w14:paraId="44473856" w14:textId="77777777" w:rsidR="00E06F40" w:rsidRPr="00263255" w:rsidRDefault="00E06F40" w:rsidP="001178F3">
            <w:pPr>
              <w:pStyle w:val="Tablefont"/>
              <w:keepNext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7B491FA5" w14:textId="2F617195" w:rsidR="00E06F40" w:rsidRPr="00A006A0" w:rsidRDefault="00F540A1" w:rsidP="001178F3">
            <w:pPr>
              <w:pStyle w:val="Tablefont"/>
              <w:keepNext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7739EE04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386ACF33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046D197A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687700E9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7398BF04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749BA839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1291849A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4"/>
    <w:p w14:paraId="45E4E9B3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79E64B92" w14:textId="16703B2B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6A9A9F2F" w14:textId="0097F987" w:rsidR="00DD5981" w:rsidRPr="00351FE0" w:rsidRDefault="00DD5981" w:rsidP="00084859">
      <w:r w:rsidRPr="002022B6">
        <w:t>Health Council of the Netherlands</w:t>
      </w:r>
      <w:r>
        <w:t xml:space="preserve"> (HCOTN) (2002) </w:t>
      </w:r>
      <w:r w:rsidRPr="00DD5981">
        <w:t>Dicyclopentadienyl iron (ferrocene)</w:t>
      </w:r>
      <w:r w:rsidRPr="005F7416">
        <w:t xml:space="preserve">. Health-based calculated occupational cancer risk values. The Hague: Health Council of the Netherlands; publication no. </w:t>
      </w:r>
      <w:r w:rsidRPr="00DD5981">
        <w:t>2000/15OSH/047</w:t>
      </w:r>
      <w:r>
        <w:t>.</w:t>
      </w:r>
    </w:p>
    <w:sectPr w:rsidR="00DD5981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F62BD" w14:textId="77777777" w:rsidR="00765CC8" w:rsidRDefault="00765CC8" w:rsidP="00F43AD5">
      <w:pPr>
        <w:spacing w:after="0" w:line="240" w:lineRule="auto"/>
      </w:pPr>
      <w:r>
        <w:separator/>
      </w:r>
    </w:p>
  </w:endnote>
  <w:endnote w:type="continuationSeparator" w:id="0">
    <w:p w14:paraId="678E4458" w14:textId="77777777" w:rsidR="00765CC8" w:rsidRDefault="00765CC8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D0A3E" w14:textId="77777777" w:rsidR="00F540A1" w:rsidRDefault="00F540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06606F24" w14:textId="3B392A49" w:rsidR="008A36CF" w:rsidRDefault="002D5834" w:rsidP="0034744C">
        <w:pPr>
          <w:pStyle w:val="Footer"/>
          <w:rPr>
            <w:sz w:val="18"/>
            <w:szCs w:val="18"/>
          </w:rPr>
        </w:pPr>
        <w:r w:rsidRPr="002D5834">
          <w:rPr>
            <w:b/>
            <w:sz w:val="18"/>
            <w:szCs w:val="18"/>
          </w:rPr>
          <w:t>Dicyclopentadienyl iron</w:t>
        </w:r>
        <w:r w:rsidR="008A36CF">
          <w:rPr>
            <w:b/>
            <w:sz w:val="18"/>
            <w:szCs w:val="18"/>
          </w:rPr>
          <w:t xml:space="preserve"> (</w:t>
        </w:r>
        <w:r w:rsidRPr="002D5834">
          <w:rPr>
            <w:b/>
            <w:sz w:val="18"/>
            <w:szCs w:val="18"/>
          </w:rPr>
          <w:t>102-54-5</w:t>
        </w:r>
        <w:r w:rsidR="008A36CF">
          <w:rPr>
            <w:b/>
            <w:sz w:val="18"/>
            <w:szCs w:val="18"/>
          </w:rPr>
          <w:t>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3C945C32" w14:textId="5821BD33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F540A1">
          <w:rPr>
            <w:noProof/>
            <w:sz w:val="18"/>
            <w:szCs w:val="18"/>
          </w:rPr>
          <w:t>3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0D1E7" w14:textId="77777777" w:rsidR="00F540A1" w:rsidRDefault="00F540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3DAF8" w14:textId="77777777" w:rsidR="00765CC8" w:rsidRDefault="00765CC8" w:rsidP="00F43AD5">
      <w:pPr>
        <w:spacing w:after="0" w:line="240" w:lineRule="auto"/>
      </w:pPr>
      <w:r>
        <w:separator/>
      </w:r>
    </w:p>
  </w:footnote>
  <w:footnote w:type="continuationSeparator" w:id="0">
    <w:p w14:paraId="67DF05A3" w14:textId="77777777" w:rsidR="00765CC8" w:rsidRDefault="00765CC8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46C5A" w14:textId="77777777" w:rsidR="00F540A1" w:rsidRDefault="00F540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F9AF3" w14:textId="734EF81E" w:rsidR="00F540A1" w:rsidRDefault="00F540A1">
    <w:pPr>
      <w:pStyle w:val="Header"/>
    </w:pPr>
  </w:p>
  <w:p w14:paraId="4A7C5683" w14:textId="5D698D06" w:rsidR="00F540A1" w:rsidRDefault="00F540A1" w:rsidP="00F540A1">
    <w:pPr>
      <w:pStyle w:val="Header"/>
      <w:jc w:val="right"/>
    </w:pPr>
    <w:r>
      <w:pict w14:anchorId="09A770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911533" o:spid="_x0000_s8193" type="#_x0000_t136" style="position:absolute;left:0;text-align:left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77A379E0" wp14:editId="3D9030D5">
          <wp:extent cx="2947670" cy="586740"/>
          <wp:effectExtent l="0" t="0" r="0" b="3810"/>
          <wp:docPr id="2" name="Picture 2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BC32B4" w14:textId="1AAB393D" w:rsidR="008A36CF" w:rsidRDefault="008A36CF" w:rsidP="00F43AD5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92372" w14:textId="77777777" w:rsidR="00F540A1" w:rsidRDefault="00F540A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8FDB3" w14:textId="3BADE509" w:rsidR="00F540A1" w:rsidRDefault="00F540A1" w:rsidP="00F540A1">
    <w:pPr>
      <w:pStyle w:val="Header"/>
      <w:jc w:val="right"/>
    </w:pPr>
    <w:r>
      <w:pict w14:anchorId="2FEC08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8194" type="#_x0000_t136" style="position:absolute;left:0;text-align:left;margin-left:0;margin-top:0;width:454.5pt;height:181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0D1020DA" wp14:editId="302CA475">
          <wp:extent cx="2947670" cy="586740"/>
          <wp:effectExtent l="0" t="0" r="0" b="381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A2FB83" w14:textId="6D28714A" w:rsidR="008A36CF" w:rsidRDefault="008A36CF" w:rsidP="00F540A1">
    <w:pPr>
      <w:pStyle w:val="Header"/>
    </w:pPr>
    <w:bookmarkStart w:id="5" w:name="_GoBack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85A18"/>
    <w:multiLevelType w:val="hybridMultilevel"/>
    <w:tmpl w:val="56B259C8"/>
    <w:lvl w:ilvl="0" w:tplc="23B67EAE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377E7A"/>
    <w:multiLevelType w:val="hybridMultilevel"/>
    <w:tmpl w:val="408EFBA0"/>
    <w:lvl w:ilvl="0" w:tplc="EB8ACA4C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2B88"/>
    <w:rsid w:val="00046DF5"/>
    <w:rsid w:val="00052060"/>
    <w:rsid w:val="0005574A"/>
    <w:rsid w:val="00055FE1"/>
    <w:rsid w:val="00056EC2"/>
    <w:rsid w:val="00060B48"/>
    <w:rsid w:val="00066417"/>
    <w:rsid w:val="00067F32"/>
    <w:rsid w:val="00071807"/>
    <w:rsid w:val="000803E1"/>
    <w:rsid w:val="00084513"/>
    <w:rsid w:val="00084859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E5A54"/>
    <w:rsid w:val="000E6139"/>
    <w:rsid w:val="000E63D3"/>
    <w:rsid w:val="000E67CF"/>
    <w:rsid w:val="000F2230"/>
    <w:rsid w:val="000F7F67"/>
    <w:rsid w:val="0010461E"/>
    <w:rsid w:val="00106FAA"/>
    <w:rsid w:val="00113443"/>
    <w:rsid w:val="001178F3"/>
    <w:rsid w:val="001260BD"/>
    <w:rsid w:val="001269A7"/>
    <w:rsid w:val="00131092"/>
    <w:rsid w:val="00140E6A"/>
    <w:rsid w:val="001459F3"/>
    <w:rsid w:val="00146545"/>
    <w:rsid w:val="00146B75"/>
    <w:rsid w:val="00150E34"/>
    <w:rsid w:val="0015266D"/>
    <w:rsid w:val="0015288A"/>
    <w:rsid w:val="00160F47"/>
    <w:rsid w:val="00177CA1"/>
    <w:rsid w:val="00180D7C"/>
    <w:rsid w:val="00183105"/>
    <w:rsid w:val="00183823"/>
    <w:rsid w:val="00183942"/>
    <w:rsid w:val="001A009E"/>
    <w:rsid w:val="001A1287"/>
    <w:rsid w:val="001A3859"/>
    <w:rsid w:val="001A3C9D"/>
    <w:rsid w:val="001A43F8"/>
    <w:rsid w:val="001B79E5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40D43"/>
    <w:rsid w:val="00244AD1"/>
    <w:rsid w:val="002463BC"/>
    <w:rsid w:val="002465CE"/>
    <w:rsid w:val="002541D2"/>
    <w:rsid w:val="0025734A"/>
    <w:rsid w:val="00263255"/>
    <w:rsid w:val="00276494"/>
    <w:rsid w:val="00277B0C"/>
    <w:rsid w:val="002A6632"/>
    <w:rsid w:val="002B1A2C"/>
    <w:rsid w:val="002C34F2"/>
    <w:rsid w:val="002C58FF"/>
    <w:rsid w:val="002C7AFE"/>
    <w:rsid w:val="002D05D2"/>
    <w:rsid w:val="002D5834"/>
    <w:rsid w:val="002E0D61"/>
    <w:rsid w:val="002E4C7B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746EB"/>
    <w:rsid w:val="003858AB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D4FA3"/>
    <w:rsid w:val="003E0807"/>
    <w:rsid w:val="003E51FB"/>
    <w:rsid w:val="003E6B39"/>
    <w:rsid w:val="003F07E1"/>
    <w:rsid w:val="004030BC"/>
    <w:rsid w:val="00403F7D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234"/>
    <w:rsid w:val="004966BF"/>
    <w:rsid w:val="00496927"/>
    <w:rsid w:val="00497984"/>
    <w:rsid w:val="004A5088"/>
    <w:rsid w:val="004C1E3F"/>
    <w:rsid w:val="004C23F4"/>
    <w:rsid w:val="004C3475"/>
    <w:rsid w:val="004C58B6"/>
    <w:rsid w:val="004D16A3"/>
    <w:rsid w:val="004D4AA1"/>
    <w:rsid w:val="004D6D68"/>
    <w:rsid w:val="004E5EDD"/>
    <w:rsid w:val="004F448A"/>
    <w:rsid w:val="004F493D"/>
    <w:rsid w:val="004F65E8"/>
    <w:rsid w:val="0050005E"/>
    <w:rsid w:val="00502B88"/>
    <w:rsid w:val="005142C4"/>
    <w:rsid w:val="0051509C"/>
    <w:rsid w:val="005272E2"/>
    <w:rsid w:val="0053108F"/>
    <w:rsid w:val="00532B56"/>
    <w:rsid w:val="00534B10"/>
    <w:rsid w:val="005446A2"/>
    <w:rsid w:val="00544D2F"/>
    <w:rsid w:val="00551BD8"/>
    <w:rsid w:val="00556179"/>
    <w:rsid w:val="00581055"/>
    <w:rsid w:val="00591E38"/>
    <w:rsid w:val="005A19C5"/>
    <w:rsid w:val="005A3034"/>
    <w:rsid w:val="005A462D"/>
    <w:rsid w:val="005B253B"/>
    <w:rsid w:val="005B771D"/>
    <w:rsid w:val="005C5D16"/>
    <w:rsid w:val="005D3193"/>
    <w:rsid w:val="005D4A6E"/>
    <w:rsid w:val="005E6979"/>
    <w:rsid w:val="005E75CB"/>
    <w:rsid w:val="005F28A6"/>
    <w:rsid w:val="005F4DDF"/>
    <w:rsid w:val="006013C1"/>
    <w:rsid w:val="0060669E"/>
    <w:rsid w:val="00607B09"/>
    <w:rsid w:val="00610F2E"/>
    <w:rsid w:val="00611399"/>
    <w:rsid w:val="00624C4E"/>
    <w:rsid w:val="00625200"/>
    <w:rsid w:val="006363A8"/>
    <w:rsid w:val="00636DB7"/>
    <w:rsid w:val="00650905"/>
    <w:rsid w:val="006532ED"/>
    <w:rsid w:val="006549F2"/>
    <w:rsid w:val="006567B7"/>
    <w:rsid w:val="00657BFB"/>
    <w:rsid w:val="00662927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D79EA"/>
    <w:rsid w:val="006E5D05"/>
    <w:rsid w:val="00701053"/>
    <w:rsid w:val="00701507"/>
    <w:rsid w:val="00714021"/>
    <w:rsid w:val="00716A0F"/>
    <w:rsid w:val="00717D45"/>
    <w:rsid w:val="007208F7"/>
    <w:rsid w:val="007218AF"/>
    <w:rsid w:val="00724520"/>
    <w:rsid w:val="0073116E"/>
    <w:rsid w:val="007365D1"/>
    <w:rsid w:val="00740E0E"/>
    <w:rsid w:val="00750212"/>
    <w:rsid w:val="00754779"/>
    <w:rsid w:val="0075716D"/>
    <w:rsid w:val="00765CC8"/>
    <w:rsid w:val="00765F14"/>
    <w:rsid w:val="00770E31"/>
    <w:rsid w:val="00773B1B"/>
    <w:rsid w:val="007770F1"/>
    <w:rsid w:val="00783FB1"/>
    <w:rsid w:val="00785CDD"/>
    <w:rsid w:val="00791847"/>
    <w:rsid w:val="00791E3B"/>
    <w:rsid w:val="007925F0"/>
    <w:rsid w:val="007939B3"/>
    <w:rsid w:val="0079509C"/>
    <w:rsid w:val="00796708"/>
    <w:rsid w:val="00796985"/>
    <w:rsid w:val="007B1B42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0729"/>
    <w:rsid w:val="00804F5A"/>
    <w:rsid w:val="00806AE8"/>
    <w:rsid w:val="00810C6D"/>
    <w:rsid w:val="00812887"/>
    <w:rsid w:val="00826F21"/>
    <w:rsid w:val="00834CC8"/>
    <w:rsid w:val="00835990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A36CF"/>
    <w:rsid w:val="008A3BC4"/>
    <w:rsid w:val="008B403C"/>
    <w:rsid w:val="008B7983"/>
    <w:rsid w:val="008C2511"/>
    <w:rsid w:val="008D026D"/>
    <w:rsid w:val="008D23AB"/>
    <w:rsid w:val="008D4B8B"/>
    <w:rsid w:val="008D5A78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108D"/>
    <w:rsid w:val="00974F2D"/>
    <w:rsid w:val="00977524"/>
    <w:rsid w:val="00977E88"/>
    <w:rsid w:val="00984920"/>
    <w:rsid w:val="0099303A"/>
    <w:rsid w:val="009971C2"/>
    <w:rsid w:val="009A1254"/>
    <w:rsid w:val="009B2FF2"/>
    <w:rsid w:val="009B380C"/>
    <w:rsid w:val="009B4843"/>
    <w:rsid w:val="009B5AC0"/>
    <w:rsid w:val="009B6543"/>
    <w:rsid w:val="009B6B7A"/>
    <w:rsid w:val="009C199D"/>
    <w:rsid w:val="009C278F"/>
    <w:rsid w:val="009C2B94"/>
    <w:rsid w:val="009C5874"/>
    <w:rsid w:val="009D3B5A"/>
    <w:rsid w:val="009D6363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53681"/>
    <w:rsid w:val="00A633D4"/>
    <w:rsid w:val="00A6461A"/>
    <w:rsid w:val="00A84504"/>
    <w:rsid w:val="00A8672F"/>
    <w:rsid w:val="00A93057"/>
    <w:rsid w:val="00A968B0"/>
    <w:rsid w:val="00AA0555"/>
    <w:rsid w:val="00AB2672"/>
    <w:rsid w:val="00AB2817"/>
    <w:rsid w:val="00AB43C4"/>
    <w:rsid w:val="00AC32E7"/>
    <w:rsid w:val="00AC3A9F"/>
    <w:rsid w:val="00AC6D2F"/>
    <w:rsid w:val="00AE2745"/>
    <w:rsid w:val="00AE2F64"/>
    <w:rsid w:val="00AF3AFA"/>
    <w:rsid w:val="00AF42CB"/>
    <w:rsid w:val="00AF483F"/>
    <w:rsid w:val="00AF5E07"/>
    <w:rsid w:val="00AF5F06"/>
    <w:rsid w:val="00B00A25"/>
    <w:rsid w:val="00B1422A"/>
    <w:rsid w:val="00B1765C"/>
    <w:rsid w:val="00B213C4"/>
    <w:rsid w:val="00B40C60"/>
    <w:rsid w:val="00B479A9"/>
    <w:rsid w:val="00B52EDF"/>
    <w:rsid w:val="00B71188"/>
    <w:rsid w:val="00B7435E"/>
    <w:rsid w:val="00B76A41"/>
    <w:rsid w:val="00B87D4C"/>
    <w:rsid w:val="00B93646"/>
    <w:rsid w:val="00BA0B38"/>
    <w:rsid w:val="00BA1DBB"/>
    <w:rsid w:val="00BA4510"/>
    <w:rsid w:val="00BA529A"/>
    <w:rsid w:val="00BB612A"/>
    <w:rsid w:val="00BC7BB6"/>
    <w:rsid w:val="00BD499F"/>
    <w:rsid w:val="00BD56DE"/>
    <w:rsid w:val="00BF2406"/>
    <w:rsid w:val="00C06E43"/>
    <w:rsid w:val="00C16315"/>
    <w:rsid w:val="00C3091E"/>
    <w:rsid w:val="00C40FF1"/>
    <w:rsid w:val="00C419E2"/>
    <w:rsid w:val="00C5020E"/>
    <w:rsid w:val="00C54450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D2BFD"/>
    <w:rsid w:val="00CD70AF"/>
    <w:rsid w:val="00CE5AD6"/>
    <w:rsid w:val="00CE617F"/>
    <w:rsid w:val="00CE78EF"/>
    <w:rsid w:val="00D014BE"/>
    <w:rsid w:val="00D048F7"/>
    <w:rsid w:val="00D0517E"/>
    <w:rsid w:val="00D140FC"/>
    <w:rsid w:val="00D21D8C"/>
    <w:rsid w:val="00D31357"/>
    <w:rsid w:val="00D33220"/>
    <w:rsid w:val="00D334D1"/>
    <w:rsid w:val="00D44C89"/>
    <w:rsid w:val="00D516CD"/>
    <w:rsid w:val="00D668E6"/>
    <w:rsid w:val="00D70670"/>
    <w:rsid w:val="00D74D80"/>
    <w:rsid w:val="00D76624"/>
    <w:rsid w:val="00D766B2"/>
    <w:rsid w:val="00D87570"/>
    <w:rsid w:val="00D91CB9"/>
    <w:rsid w:val="00D97989"/>
    <w:rsid w:val="00D97D8D"/>
    <w:rsid w:val="00DA352E"/>
    <w:rsid w:val="00DB37D0"/>
    <w:rsid w:val="00DC7694"/>
    <w:rsid w:val="00DD1BF6"/>
    <w:rsid w:val="00DD2F9B"/>
    <w:rsid w:val="00DD5981"/>
    <w:rsid w:val="00DE2513"/>
    <w:rsid w:val="00DE26E8"/>
    <w:rsid w:val="00DF4CE8"/>
    <w:rsid w:val="00DF6F36"/>
    <w:rsid w:val="00E0084C"/>
    <w:rsid w:val="00E025AB"/>
    <w:rsid w:val="00E02B23"/>
    <w:rsid w:val="00E06F40"/>
    <w:rsid w:val="00E07CE8"/>
    <w:rsid w:val="00E26A07"/>
    <w:rsid w:val="00E32595"/>
    <w:rsid w:val="00E37CFD"/>
    <w:rsid w:val="00E41A26"/>
    <w:rsid w:val="00E46BCB"/>
    <w:rsid w:val="00E51CAF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D1D89"/>
    <w:rsid w:val="00ED66BC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43AD5"/>
    <w:rsid w:val="00F4402E"/>
    <w:rsid w:val="00F540A1"/>
    <w:rsid w:val="00F56DD0"/>
    <w:rsid w:val="00F6491C"/>
    <w:rsid w:val="00F67BBB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."/>
  <w:listSeparator w:val=","/>
  <w14:docId w14:val="090CACBD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9D63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636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6363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63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6363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6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52296EE976044C14B51108195ED66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BD82C-DAC5-4AFB-BFDC-948C06648884}"/>
      </w:docPartPr>
      <w:docPartBody>
        <w:p w:rsidR="00B6197E" w:rsidRDefault="00EF4C14" w:rsidP="00EF4C14">
          <w:pPr>
            <w:pStyle w:val="52296EE976044C14B51108195ED66587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52AE70E1659C487793C0C933CF19B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B63F9-86C8-49A7-ABE6-1ECACABACE2E}"/>
      </w:docPartPr>
      <w:docPartBody>
        <w:p w:rsidR="00585EF1" w:rsidRDefault="005B0FE0" w:rsidP="005B0FE0">
          <w:pPr>
            <w:pStyle w:val="52AE70E1659C487793C0C933CF19BD57"/>
          </w:pPr>
          <w:r w:rsidRPr="001D56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585EF1"/>
    <w:rsid w:val="005B0FE0"/>
    <w:rsid w:val="00611D02"/>
    <w:rsid w:val="00B6197E"/>
    <w:rsid w:val="00D21A9F"/>
    <w:rsid w:val="00E065F7"/>
    <w:rsid w:val="00EF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0FE0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1DEEE3D550FB4BCFA83A0F41BDD43734">
    <w:name w:val="1DEEE3D550FB4BCFA83A0F41BDD43734"/>
    <w:rsid w:val="00611D02"/>
  </w:style>
  <w:style w:type="paragraph" w:customStyle="1" w:styleId="06EE6C90BDE64B56859F0AC86321FB3A">
    <w:name w:val="06EE6C90BDE64B56859F0AC86321FB3A"/>
    <w:rsid w:val="00611D02"/>
  </w:style>
  <w:style w:type="paragraph" w:customStyle="1" w:styleId="536ADD7E95D9419685E1617B307E7010">
    <w:name w:val="536ADD7E95D9419685E1617B307E7010"/>
    <w:rsid w:val="00611D02"/>
  </w:style>
  <w:style w:type="paragraph" w:customStyle="1" w:styleId="52296EE976044C14B51108195ED66587">
    <w:name w:val="52296EE976044C14B51108195ED66587"/>
    <w:rsid w:val="00EF4C14"/>
  </w:style>
  <w:style w:type="paragraph" w:customStyle="1" w:styleId="52AE70E1659C487793C0C933CF19BD57">
    <w:name w:val="52AE70E1659C487793C0C933CF19BD57"/>
    <w:rsid w:val="005B0FE0"/>
  </w:style>
  <w:style w:type="paragraph" w:customStyle="1" w:styleId="3BA9165E88AC4656850262ECA4A9C97B">
    <w:name w:val="3BA9165E88AC4656850262ECA4A9C97B"/>
    <w:rsid w:val="00585E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3E711-758E-4B6D-91CF-F786F969C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6FD3B4-E5FF-44D0-A85D-1656AEB7AF7B}">
  <ds:schemaRefs>
    <ds:schemaRef ds:uri="http://purl.org/dc/dcmitype/"/>
    <ds:schemaRef ds:uri="bf54d604-3e62-4e70-ba33-9e9084b96a66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BABF0E-3541-476B-AAE4-F048CAA1C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EFBD3D5A.dotm</Template>
  <TotalTime>1</TotalTime>
  <Pages>5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3</cp:revision>
  <cp:lastPrinted>2018-10-22T22:41:00Z</cp:lastPrinted>
  <dcterms:created xsi:type="dcterms:W3CDTF">2019-11-07T07:52:00Z</dcterms:created>
  <dcterms:modified xsi:type="dcterms:W3CDTF">2019-11-07T22:05:00Z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