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73B910A" w14:textId="77777777" w:rsidR="00BD499F" w:rsidRPr="004C23F4" w:rsidRDefault="006876D7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Diethyl phthalate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50C1F119" w14:textId="77777777" w:rsidTr="00B76A41">
        <w:trPr>
          <w:cantSplit/>
          <w:tblHeader/>
        </w:trPr>
        <w:tc>
          <w:tcPr>
            <w:tcW w:w="4077" w:type="dxa"/>
          </w:tcPr>
          <w:p w14:paraId="7338115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8FDEEE0" w14:textId="77777777" w:rsidR="00F43AD5" w:rsidRPr="00717D45" w:rsidRDefault="006876D7" w:rsidP="00B76A41">
            <w:pPr>
              <w:pStyle w:val="Tablefont"/>
            </w:pPr>
            <w:r>
              <w:t>84-66-2</w:t>
            </w:r>
          </w:p>
        </w:tc>
      </w:tr>
      <w:tr w:rsidR="00F43AD5" w:rsidRPr="004C23F4" w14:paraId="517104A9" w14:textId="77777777" w:rsidTr="00B76A41">
        <w:trPr>
          <w:cantSplit/>
        </w:trPr>
        <w:tc>
          <w:tcPr>
            <w:tcW w:w="4077" w:type="dxa"/>
          </w:tcPr>
          <w:p w14:paraId="3B4B313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EACACE1" w14:textId="77777777" w:rsidR="00F43AD5" w:rsidRPr="00717D45" w:rsidRDefault="006876D7" w:rsidP="00B76A41">
            <w:pPr>
              <w:pStyle w:val="Tablefont"/>
            </w:pPr>
            <w:r>
              <w:t>1,2-Benzenedicarboxylic acid diethyl ester, DEP, ethyl phthalate, phthalic acid, diethyl ester</w:t>
            </w:r>
          </w:p>
        </w:tc>
      </w:tr>
      <w:tr w:rsidR="00F43AD5" w:rsidRPr="004C23F4" w14:paraId="5880D783" w14:textId="77777777" w:rsidTr="00B76A41">
        <w:trPr>
          <w:cantSplit/>
        </w:trPr>
        <w:tc>
          <w:tcPr>
            <w:tcW w:w="4077" w:type="dxa"/>
          </w:tcPr>
          <w:p w14:paraId="77CCA7D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14F4118" w14:textId="77777777" w:rsidR="00F43AD5" w:rsidRPr="00717D45" w:rsidRDefault="00CB126C" w:rsidP="00B76A41">
            <w:pPr>
              <w:pStyle w:val="Tablefont"/>
            </w:pPr>
            <w:r>
              <w:t>C</w:t>
            </w:r>
            <w:r w:rsidRPr="00CB126C">
              <w:rPr>
                <w:vertAlign w:val="subscript"/>
              </w:rPr>
              <w:t>12</w:t>
            </w:r>
            <w:r>
              <w:t>H</w:t>
            </w:r>
            <w:r w:rsidRPr="00CB126C">
              <w:rPr>
                <w:vertAlign w:val="subscript"/>
              </w:rPr>
              <w:t>14</w:t>
            </w:r>
            <w:r>
              <w:t>O</w:t>
            </w:r>
            <w:r w:rsidRPr="00CB126C">
              <w:rPr>
                <w:vertAlign w:val="subscript"/>
              </w:rPr>
              <w:t>4</w:t>
            </w:r>
          </w:p>
        </w:tc>
      </w:tr>
      <w:tr w:rsidR="00F43AD5" w:rsidRPr="004C23F4" w14:paraId="4A74B5F0" w14:textId="77777777" w:rsidTr="00B76A41">
        <w:trPr>
          <w:cantSplit/>
        </w:trPr>
        <w:tc>
          <w:tcPr>
            <w:tcW w:w="4077" w:type="dxa"/>
          </w:tcPr>
          <w:p w14:paraId="61D8935B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C99FC66" w14:textId="77777777" w:rsidR="00F43AD5" w:rsidRPr="00221859" w:rsidRDefault="00221859" w:rsidP="00B76A41">
            <w:pPr>
              <w:pStyle w:val="Tablerowheading"/>
              <w:rPr>
                <w:b w:val="0"/>
              </w:rPr>
            </w:pPr>
            <w:r w:rsidRPr="00221859">
              <w:rPr>
                <w:b w:val="0"/>
              </w:rPr>
              <w:t>—</w:t>
            </w:r>
          </w:p>
        </w:tc>
      </w:tr>
    </w:tbl>
    <w:p w14:paraId="7A748CB4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F4414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1"/>
        <w:gridCol w:w="5015"/>
      </w:tblGrid>
      <w:tr w:rsidR="00221859" w:rsidRPr="004C23F4" w14:paraId="12272F37" w14:textId="77777777" w:rsidTr="00221859">
        <w:trPr>
          <w:cantSplit/>
          <w:tblHeader/>
        </w:trPr>
        <w:tc>
          <w:tcPr>
            <w:tcW w:w="4011" w:type="dxa"/>
            <w:vAlign w:val="center"/>
          </w:tcPr>
          <w:p w14:paraId="6446D165" w14:textId="77777777" w:rsidR="00221859" w:rsidRPr="002C58FF" w:rsidRDefault="00221859" w:rsidP="00221859">
            <w:pPr>
              <w:pStyle w:val="Tablerowright"/>
            </w:pPr>
            <w:r>
              <w:t>TWA:</w:t>
            </w:r>
          </w:p>
        </w:tc>
        <w:tc>
          <w:tcPr>
            <w:tcW w:w="5015" w:type="dxa"/>
          </w:tcPr>
          <w:p w14:paraId="0BDC0136" w14:textId="77777777" w:rsidR="00221859" w:rsidRPr="00195CCC" w:rsidRDefault="003F4414" w:rsidP="00195CCC">
            <w:pPr>
              <w:pStyle w:val="Tablerowheading"/>
            </w:pPr>
            <w:r w:rsidRPr="001A663B">
              <w:t>5 mg/m</w:t>
            </w:r>
            <w:r w:rsidRPr="001A663B">
              <w:rPr>
                <w:vertAlign w:val="superscript"/>
              </w:rPr>
              <w:t>3</w:t>
            </w:r>
          </w:p>
        </w:tc>
      </w:tr>
      <w:tr w:rsidR="00221859" w:rsidRPr="004C23F4" w14:paraId="2D5D8755" w14:textId="77777777" w:rsidTr="00221859">
        <w:trPr>
          <w:cantSplit/>
        </w:trPr>
        <w:tc>
          <w:tcPr>
            <w:tcW w:w="4011" w:type="dxa"/>
            <w:vAlign w:val="center"/>
          </w:tcPr>
          <w:p w14:paraId="044B061C" w14:textId="77777777" w:rsidR="00221859" w:rsidRPr="002C58FF" w:rsidRDefault="00221859" w:rsidP="00221859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5" w:type="dxa"/>
          </w:tcPr>
          <w:p w14:paraId="4D360B55" w14:textId="77777777" w:rsidR="00221859" w:rsidRPr="001A663B" w:rsidRDefault="00221859" w:rsidP="00195CCC">
            <w:pPr>
              <w:pStyle w:val="Tablerowheading"/>
            </w:pPr>
            <w:r w:rsidRPr="001A663B">
              <w:t>—</w:t>
            </w:r>
          </w:p>
        </w:tc>
      </w:tr>
      <w:tr w:rsidR="00221859" w:rsidRPr="004C23F4" w14:paraId="6364C156" w14:textId="77777777" w:rsidTr="00221859">
        <w:trPr>
          <w:cantSplit/>
        </w:trPr>
        <w:tc>
          <w:tcPr>
            <w:tcW w:w="4011" w:type="dxa"/>
            <w:vAlign w:val="center"/>
          </w:tcPr>
          <w:p w14:paraId="781D9E58" w14:textId="77777777" w:rsidR="00221859" w:rsidRPr="002C58FF" w:rsidRDefault="00221859" w:rsidP="00221859">
            <w:pPr>
              <w:pStyle w:val="Tablerowright"/>
            </w:pPr>
            <w:r>
              <w:t>Peak limitation:</w:t>
            </w:r>
          </w:p>
        </w:tc>
        <w:tc>
          <w:tcPr>
            <w:tcW w:w="5015" w:type="dxa"/>
          </w:tcPr>
          <w:p w14:paraId="23508756" w14:textId="77777777" w:rsidR="00221859" w:rsidRPr="001A663B" w:rsidRDefault="00221859" w:rsidP="00195CCC">
            <w:pPr>
              <w:pStyle w:val="Tablerowheading"/>
            </w:pPr>
            <w:r w:rsidRPr="001A663B">
              <w:t>—</w:t>
            </w:r>
          </w:p>
        </w:tc>
      </w:tr>
      <w:tr w:rsidR="00221859" w:rsidRPr="004C23F4" w14:paraId="3FF059C3" w14:textId="77777777" w:rsidTr="00221859">
        <w:trPr>
          <w:cantSplit/>
        </w:trPr>
        <w:tc>
          <w:tcPr>
            <w:tcW w:w="4011" w:type="dxa"/>
          </w:tcPr>
          <w:p w14:paraId="2B59EAF1" w14:textId="77777777" w:rsidR="00221859" w:rsidRPr="002C58FF" w:rsidRDefault="00221859" w:rsidP="00221859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5" w:type="dxa"/>
          </w:tcPr>
          <w:p w14:paraId="3396EC34" w14:textId="77777777" w:rsidR="00221859" w:rsidRPr="001A663B" w:rsidRDefault="00221859" w:rsidP="00195CCC">
            <w:pPr>
              <w:pStyle w:val="Tablerowheading"/>
            </w:pPr>
            <w:r w:rsidRPr="001A663B">
              <w:t>—</w:t>
            </w:r>
          </w:p>
        </w:tc>
      </w:tr>
      <w:tr w:rsidR="00221859" w:rsidRPr="004C23F4" w14:paraId="2CD91466" w14:textId="77777777" w:rsidTr="00221859">
        <w:trPr>
          <w:cantSplit/>
        </w:trPr>
        <w:tc>
          <w:tcPr>
            <w:tcW w:w="4011" w:type="dxa"/>
            <w:vAlign w:val="center"/>
          </w:tcPr>
          <w:p w14:paraId="02B063A3" w14:textId="77777777" w:rsidR="00221859" w:rsidRPr="002C58FF" w:rsidRDefault="00221859" w:rsidP="00221859">
            <w:pPr>
              <w:pStyle w:val="Tablerowright"/>
            </w:pPr>
            <w:r>
              <w:t>IDLH:</w:t>
            </w:r>
          </w:p>
        </w:tc>
        <w:tc>
          <w:tcPr>
            <w:tcW w:w="5015" w:type="dxa"/>
          </w:tcPr>
          <w:p w14:paraId="43EB16DE" w14:textId="77777777" w:rsidR="00221859" w:rsidRPr="001A663B" w:rsidRDefault="00221859" w:rsidP="00195CCC">
            <w:pPr>
              <w:pStyle w:val="Tablerowheading"/>
            </w:pPr>
            <w:r w:rsidRPr="001A663B">
              <w:t>—</w:t>
            </w:r>
          </w:p>
        </w:tc>
      </w:tr>
      <w:tr w:rsidR="000D485B" w:rsidRPr="004C23F4" w14:paraId="05F29895" w14:textId="77777777" w:rsidTr="00375E6F">
        <w:trPr>
          <w:cantSplit/>
        </w:trPr>
        <w:tc>
          <w:tcPr>
            <w:tcW w:w="9026" w:type="dxa"/>
            <w:gridSpan w:val="2"/>
            <w:vAlign w:val="center"/>
          </w:tcPr>
          <w:p w14:paraId="06550021" w14:textId="7AFBE90F" w:rsidR="000D485B" w:rsidRDefault="000D485B" w:rsidP="00221859">
            <w:r w:rsidRPr="00437B7F"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53D702CB26A74D858F9EA3C11179DCC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437B7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6D42E2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4FB2D1D" w14:textId="543D892C" w:rsidR="006639B4" w:rsidRPr="003F4414" w:rsidRDefault="003F4F26" w:rsidP="000C139A">
      <w:pPr>
        <w:rPr>
          <w:rFonts w:cs="Arial"/>
        </w:rPr>
      </w:pPr>
      <w:r>
        <w:rPr>
          <w:rFonts w:cs="Arial"/>
        </w:rPr>
        <w:t>A</w:t>
      </w:r>
      <w:r w:rsidR="003F4414">
        <w:rPr>
          <w:rFonts w:cs="Arial"/>
        </w:rPr>
        <w:t xml:space="preserve"> TWA of 5 mg/m</w:t>
      </w:r>
      <w:r w:rsidR="003F4414">
        <w:rPr>
          <w:rFonts w:cs="Arial"/>
          <w:vertAlign w:val="superscript"/>
        </w:rPr>
        <w:t>3</w:t>
      </w:r>
      <w:r w:rsidR="003F4414">
        <w:rPr>
          <w:rFonts w:cs="Arial"/>
        </w:rPr>
        <w:t xml:space="preserve"> is recommended to protect for nasal and upper respiratory tract irritation</w:t>
      </w:r>
      <w:r>
        <w:rPr>
          <w:rFonts w:cs="Arial"/>
        </w:rPr>
        <w:t xml:space="preserve"> in exposed workers</w:t>
      </w:r>
      <w:r w:rsidR="003F4414">
        <w:rPr>
          <w:rFonts w:cs="Arial"/>
        </w:rPr>
        <w:t>.</w:t>
      </w:r>
    </w:p>
    <w:p w14:paraId="42FE8C0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715455C" w14:textId="77777777" w:rsidR="008A4B1E" w:rsidRDefault="003F4414" w:rsidP="006639B4">
      <w:r>
        <w:t>Diethyl phthalate</w:t>
      </w:r>
      <w:r w:rsidR="002B4375">
        <w:t xml:space="preserve"> (DEP)</w:t>
      </w:r>
      <w:r>
        <w:t xml:space="preserve"> is used in plastic packaging, is present in toiletries and cosmetics, dental impression materials, adhesives, and in food and pharmaceutical packaging. </w:t>
      </w:r>
    </w:p>
    <w:p w14:paraId="3A4F9262" w14:textId="22F7727B" w:rsidR="006639B4" w:rsidRDefault="003F4414" w:rsidP="006639B4">
      <w:r>
        <w:t>Limited data in humans exist, but exposure to the heated vapo</w:t>
      </w:r>
      <w:r w:rsidR="0010786E">
        <w:t>u</w:t>
      </w:r>
      <w:r>
        <w:t xml:space="preserve">r of DEP </w:t>
      </w:r>
      <w:r w:rsidR="008A4B1E">
        <w:t xml:space="preserve">is </w:t>
      </w:r>
      <w:r>
        <w:t>reported to produce transient irritation of the nose and throat</w:t>
      </w:r>
      <w:r w:rsidR="00417B6C">
        <w:t xml:space="preserve">. Published data in animals </w:t>
      </w:r>
      <w:r w:rsidR="001A663B">
        <w:t>indicates</w:t>
      </w:r>
      <w:r w:rsidR="00417B6C">
        <w:t xml:space="preserve"> low toxicity.</w:t>
      </w:r>
      <w:r w:rsidR="001A663B">
        <w:t xml:space="preserve"> </w:t>
      </w:r>
      <w:r w:rsidR="00417B6C">
        <w:t>ACGIH (2018) recommend</w:t>
      </w:r>
      <w:r w:rsidR="001A663B">
        <w:t>s</w:t>
      </w:r>
      <w:r w:rsidR="00417B6C">
        <w:t xml:space="preserve"> a TLV-TWA of 5 mg/m</w:t>
      </w:r>
      <w:r w:rsidR="00417B6C">
        <w:rPr>
          <w:vertAlign w:val="superscript"/>
        </w:rPr>
        <w:t>3</w:t>
      </w:r>
      <w:r w:rsidR="00417B6C">
        <w:t xml:space="preserve"> as an equivalent to that recommended for </w:t>
      </w:r>
      <w:proofErr w:type="gramStart"/>
      <w:r w:rsidR="00417B6C">
        <w:t>di(</w:t>
      </w:r>
      <w:proofErr w:type="gramEnd"/>
      <w:r w:rsidR="00417B6C">
        <w:t>2</w:t>
      </w:r>
      <w:r w:rsidR="00742D7C">
        <w:noBreakHyphen/>
      </w:r>
      <w:r w:rsidR="00417B6C">
        <w:t>ethylhexyl) phthalate.</w:t>
      </w:r>
    </w:p>
    <w:p w14:paraId="19AF9444" w14:textId="51330125" w:rsidR="00417B6C" w:rsidRPr="004C23F4" w:rsidRDefault="008A4B1E" w:rsidP="006639B4">
      <w:pPr>
        <w:rPr>
          <w:rFonts w:cs="Arial"/>
        </w:rPr>
      </w:pPr>
      <w:r>
        <w:t xml:space="preserve">In </w:t>
      </w:r>
      <w:r w:rsidR="00417B6C">
        <w:t>the absence of</w:t>
      </w:r>
      <w:r>
        <w:t xml:space="preserve"> additional</w:t>
      </w:r>
      <w:r w:rsidR="00417B6C">
        <w:t xml:space="preserve"> information, </w:t>
      </w:r>
      <w:r w:rsidR="00742D7C">
        <w:t xml:space="preserve">the current </w:t>
      </w:r>
      <w:r w:rsidR="00417B6C">
        <w:t xml:space="preserve">TWA </w:t>
      </w:r>
      <w:r>
        <w:t xml:space="preserve">of 5 </w:t>
      </w:r>
      <w:r w:rsidRPr="00625C7F">
        <w:rPr>
          <w:rFonts w:cs="Arial"/>
          <w:szCs w:val="20"/>
        </w:rPr>
        <w:t>mg/m</w:t>
      </w:r>
      <w:r w:rsidRPr="00625C7F">
        <w:rPr>
          <w:rFonts w:cs="Arial"/>
          <w:szCs w:val="20"/>
          <w:vertAlign w:val="superscript"/>
        </w:rPr>
        <w:t>3</w:t>
      </w:r>
      <w:r w:rsidRPr="00625C7F">
        <w:rPr>
          <w:szCs w:val="20"/>
        </w:rPr>
        <w:t xml:space="preserve"> </w:t>
      </w:r>
      <w:r w:rsidR="00417B6C" w:rsidRPr="00625C7F">
        <w:rPr>
          <w:szCs w:val="20"/>
        </w:rPr>
        <w:t>is</w:t>
      </w:r>
      <w:r w:rsidR="00417B6C">
        <w:t xml:space="preserve"> recommended to be retained to protect for possible irritation of the upper respiratory tract.</w:t>
      </w:r>
      <w:r w:rsidR="00A41CF2" w:rsidRPr="00A41CF2">
        <w:t xml:space="preserve"> Investigation of additional data sources is recommended at the next scheduled review</w:t>
      </w:r>
      <w:r w:rsidR="00A41CF2">
        <w:t>.</w:t>
      </w:r>
    </w:p>
    <w:p w14:paraId="7FD7C64C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3DF4A66" w14:textId="0FA75D14" w:rsidR="00221859" w:rsidRPr="00417B6C" w:rsidRDefault="00221859" w:rsidP="00221859">
      <w:pPr>
        <w:rPr>
          <w:rFonts w:cs="Arial"/>
        </w:rPr>
      </w:pPr>
      <w:r w:rsidRPr="00417B6C">
        <w:rPr>
          <w:rFonts w:cs="Arial"/>
        </w:rPr>
        <w:t>Not classified as a carcinogen according to the Globally Harmonized System of Classification and Labelling o</w:t>
      </w:r>
      <w:r w:rsidR="000D485B">
        <w:rPr>
          <w:rFonts w:cs="Arial"/>
        </w:rPr>
        <w:t>f</w:t>
      </w:r>
      <w:r w:rsidRPr="00417B6C">
        <w:rPr>
          <w:rFonts w:cs="Arial"/>
        </w:rPr>
        <w:t xml:space="preserve"> Chemicals (GHS). </w:t>
      </w:r>
    </w:p>
    <w:p w14:paraId="7835D709" w14:textId="1BB43832" w:rsidR="00221859" w:rsidRPr="00417B6C" w:rsidRDefault="00221859" w:rsidP="00221859">
      <w:pPr>
        <w:rPr>
          <w:rFonts w:cs="Arial"/>
        </w:rPr>
      </w:pPr>
      <w:r w:rsidRPr="00417B6C">
        <w:rPr>
          <w:rFonts w:cs="Arial"/>
        </w:rPr>
        <w:t>Not classified as a skin</w:t>
      </w:r>
      <w:r w:rsidR="000D485B">
        <w:rPr>
          <w:rFonts w:cs="Arial"/>
        </w:rPr>
        <w:t xml:space="preserve"> </w:t>
      </w:r>
      <w:r w:rsidR="000D485B" w:rsidRPr="00417B6C">
        <w:rPr>
          <w:rFonts w:cs="Arial"/>
        </w:rPr>
        <w:t>sensitiser</w:t>
      </w:r>
      <w:r w:rsidRPr="00417B6C">
        <w:rPr>
          <w:rFonts w:cs="Arial"/>
        </w:rPr>
        <w:t xml:space="preserve"> or respiratory sensitiser according to the GHS.</w:t>
      </w:r>
    </w:p>
    <w:p w14:paraId="08504EA8" w14:textId="429B67EF" w:rsidR="00195CCC" w:rsidRPr="00195CCC" w:rsidRDefault="00195CCC" w:rsidP="00195CCC">
      <w:pPr>
        <w:rPr>
          <w:rFonts w:cs="Arial"/>
        </w:rPr>
      </w:pPr>
      <w:r w:rsidRPr="00195CCC">
        <w:rPr>
          <w:rFonts w:cs="Arial"/>
        </w:rPr>
        <w:t xml:space="preserve">A skin notation is not </w:t>
      </w:r>
      <w:r w:rsidR="008A4B1E">
        <w:rPr>
          <w:rFonts w:cs="Arial"/>
        </w:rPr>
        <w:t>recommended</w:t>
      </w:r>
      <w:r w:rsidR="008A4B1E" w:rsidRPr="00195CCC">
        <w:rPr>
          <w:rFonts w:cs="Arial"/>
        </w:rPr>
        <w:t xml:space="preserve"> </w:t>
      </w:r>
      <w:r w:rsidRPr="00195CCC">
        <w:rPr>
          <w:rFonts w:cs="Arial"/>
        </w:rPr>
        <w:t>based on the available evidence.</w:t>
      </w:r>
    </w:p>
    <w:p w14:paraId="196150BE" w14:textId="77777777" w:rsidR="0025734A" w:rsidRPr="004C23F4" w:rsidRDefault="0025734A">
      <w:pPr>
        <w:rPr>
          <w:rFonts w:cs="Arial"/>
        </w:rPr>
      </w:pPr>
    </w:p>
    <w:p w14:paraId="45633FB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B90669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DBD56A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0B46011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3B2E2D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EA83763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2D6347B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2185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21859">
                  <w:t>TWA: 5 mg/m</w:t>
                </w:r>
                <w:r w:rsidR="00221859" w:rsidRPr="00221859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C9A6A3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661AF9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6648EA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EA379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D2829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D2829">
                  <w:t>TLV-TWA: 5 mg/m</w:t>
                </w:r>
                <w:r w:rsidR="000D2829" w:rsidRPr="000D2829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503C3B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AC25A70" w14:textId="76E828FB" w:rsidR="00C978F0" w:rsidRDefault="00D84929" w:rsidP="003365A5">
            <w:pPr>
              <w:pStyle w:val="Tabletextprimarysource"/>
            </w:pPr>
            <w:r>
              <w:t>TLV-TWA recommended to minimise the potential for nasal and throat irritation.</w:t>
            </w:r>
          </w:p>
          <w:p w14:paraId="12E530B3" w14:textId="489E3215" w:rsidR="007101D8" w:rsidRDefault="00077EA5" w:rsidP="003365A5">
            <w:pPr>
              <w:pStyle w:val="Tabletextprimarysource"/>
            </w:pPr>
            <w:r>
              <w:t>Summary of data:</w:t>
            </w:r>
          </w:p>
          <w:p w14:paraId="36812508" w14:textId="77777777" w:rsidR="00077EA5" w:rsidRDefault="00077EA5" w:rsidP="003365A5">
            <w:pPr>
              <w:pStyle w:val="Tabletextprimarysource"/>
            </w:pPr>
            <w:r>
              <w:t>Human data:</w:t>
            </w:r>
          </w:p>
          <w:p w14:paraId="13766D30" w14:textId="77777777" w:rsidR="00077EA5" w:rsidRDefault="00077EA5" w:rsidP="00625C7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 data in humans</w:t>
            </w:r>
          </w:p>
          <w:p w14:paraId="414796A4" w14:textId="1F4AD2E7" w:rsidR="003F4414" w:rsidRDefault="003F4414" w:rsidP="00625C7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to heated vapo</w:t>
            </w:r>
            <w:r w:rsidR="0010786E">
              <w:t>u</w:t>
            </w:r>
            <w:r>
              <w:t>r of DEP produce</w:t>
            </w:r>
            <w:r w:rsidR="00195CCC">
              <w:t>d</w:t>
            </w:r>
            <w:r>
              <w:t xml:space="preserve"> transient irritation of the nose and throat; no further information</w:t>
            </w:r>
          </w:p>
          <w:p w14:paraId="61FEF23A" w14:textId="6D28DD4B" w:rsidR="007101D8" w:rsidRDefault="00077EA5" w:rsidP="00625C7F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Worker complaints of pain, numbness, and spasms in the upper and lower extremities </w:t>
            </w:r>
            <w:r w:rsidR="00A17E04">
              <w:t>after 6</w:t>
            </w:r>
            <w:r w:rsidR="007101D8">
              <w:t xml:space="preserve"> </w:t>
            </w:r>
            <w:proofErr w:type="spellStart"/>
            <w:r w:rsidR="007101D8">
              <w:t>yr</w:t>
            </w:r>
            <w:proofErr w:type="spellEnd"/>
            <w:r w:rsidR="00A17E04">
              <w:t xml:space="preserve"> </w:t>
            </w:r>
            <w:r>
              <w:t>ambient air concentrations of 1.7</w:t>
            </w:r>
            <w:r w:rsidR="007101D8">
              <w:t>–</w:t>
            </w:r>
            <w:r>
              <w:t>66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A17E04">
              <w:t>for range of related plasticisers; co-exposure to tri-o-</w:t>
            </w:r>
            <w:proofErr w:type="spellStart"/>
            <w:r w:rsidR="00A17E04">
              <w:t>cresyl</w:t>
            </w:r>
            <w:proofErr w:type="spellEnd"/>
            <w:r w:rsidR="00A17E04">
              <w:t xml:space="preserve"> phosphate (TOCP) was likely; TOCP is a known potent cause of human peripheral neuropathy</w:t>
            </w:r>
            <w:r w:rsidR="000D485B">
              <w:t>.</w:t>
            </w:r>
          </w:p>
          <w:p w14:paraId="0946AB86" w14:textId="77777777" w:rsidR="00A17E04" w:rsidRDefault="00A17E04" w:rsidP="00A17E04">
            <w:pPr>
              <w:pStyle w:val="Tabletextprimarysource"/>
            </w:pPr>
            <w:r>
              <w:t>Animal data:</w:t>
            </w:r>
          </w:p>
          <w:p w14:paraId="772EE428" w14:textId="45C2A573" w:rsidR="00A17E04" w:rsidRDefault="00A17E04" w:rsidP="00625C7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NOEL 1.25 g/kg</w:t>
            </w:r>
            <w:r w:rsidR="00742D7C">
              <w:t>/d</w:t>
            </w:r>
            <w:r>
              <w:t xml:space="preserve"> (dog, 6</w:t>
            </w:r>
            <w:r w:rsidR="001A663B">
              <w:t xml:space="preserve"> </w:t>
            </w:r>
            <w:proofErr w:type="spellStart"/>
            <w:r w:rsidR="000D485B">
              <w:t>w</w:t>
            </w:r>
            <w:r w:rsidR="00742D7C">
              <w:t>k</w:t>
            </w:r>
            <w:proofErr w:type="spellEnd"/>
            <w:r>
              <w:t xml:space="preserve"> feeding study)</w:t>
            </w:r>
          </w:p>
          <w:p w14:paraId="5CF3C060" w14:textId="4FE1AB27" w:rsidR="003F4414" w:rsidRDefault="003F4414" w:rsidP="00625C7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NOEL 625 mg/kg</w:t>
            </w:r>
            <w:r w:rsidR="00742D7C">
              <w:t>/d</w:t>
            </w:r>
            <w:r>
              <w:t xml:space="preserve"> (dog, 1</w:t>
            </w:r>
            <w:r w:rsidR="001A663B">
              <w:t xml:space="preserve"> </w:t>
            </w:r>
            <w:proofErr w:type="spellStart"/>
            <w:r>
              <w:t>y</w:t>
            </w:r>
            <w:r w:rsidR="00742D7C">
              <w:t>r</w:t>
            </w:r>
            <w:proofErr w:type="spellEnd"/>
            <w:r>
              <w:t xml:space="preserve"> feeding study)</w:t>
            </w:r>
          </w:p>
          <w:p w14:paraId="0E2807CF" w14:textId="071C6532" w:rsidR="003F4414" w:rsidRDefault="003F4414" w:rsidP="00625C7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195CCC">
              <w:t>:</w:t>
            </w:r>
            <w:r>
              <w:rPr>
                <w:vertAlign w:val="subscript"/>
              </w:rPr>
              <w:t xml:space="preserve"> </w:t>
            </w:r>
            <w:r>
              <w:t>9.5</w:t>
            </w:r>
            <w:r w:rsidR="007101D8">
              <w:t>–</w:t>
            </w:r>
            <w:r>
              <w:t>31 g/kg (rat, oral); very low acute toxicity</w:t>
            </w:r>
          </w:p>
          <w:p w14:paraId="30C03703" w14:textId="77777777" w:rsidR="003F4414" w:rsidRDefault="003F4414" w:rsidP="00625C7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sign of toxicity in mice via topical application to shaved skin</w:t>
            </w:r>
            <w:r w:rsidR="001A663B">
              <w:t>.</w:t>
            </w:r>
          </w:p>
          <w:p w14:paraId="1BDC37FA" w14:textId="77777777" w:rsidR="0010786E" w:rsidRDefault="0010786E" w:rsidP="00417B6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682ECED2" w14:textId="77777777" w:rsidR="00417B6C" w:rsidRDefault="00417B6C" w:rsidP="00417B6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TLV-TWA is set as an equivalent to that recommended for </w:t>
            </w:r>
            <w:proofErr w:type="gramStart"/>
            <w:r>
              <w:t>di(</w:t>
            </w:r>
            <w:proofErr w:type="gramEnd"/>
            <w:r>
              <w:t>2-ethylhexyl) phthalate (DEHP)</w:t>
            </w:r>
            <w:r w:rsidR="001A663B">
              <w:t>.</w:t>
            </w:r>
          </w:p>
          <w:p w14:paraId="21578130" w14:textId="79485D43" w:rsidR="007101D8" w:rsidRPr="00DA352E" w:rsidRDefault="007101D8" w:rsidP="00417B6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52217CF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C77FC9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4131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C41317">
                  <w:t>NA</w:t>
                </w:r>
                <w:proofErr w:type="spellEnd"/>
              </w:sdtContent>
            </w:sdt>
          </w:p>
        </w:tc>
      </w:tr>
      <w:tr w:rsidR="00C978F0" w:rsidRPr="00DA352E" w14:paraId="2CC1D57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9C45A1C" w14:textId="6EBFDA08" w:rsidR="00C978F0" w:rsidRPr="00DA352E" w:rsidRDefault="00C41317" w:rsidP="003365A5">
            <w:pPr>
              <w:pStyle w:val="Tabletextprimarysource"/>
            </w:pPr>
            <w:r>
              <w:t>No report</w:t>
            </w:r>
            <w:r w:rsidR="000D485B">
              <w:t>.</w:t>
            </w:r>
          </w:p>
        </w:tc>
      </w:tr>
      <w:tr w:rsidR="00C978F0" w:rsidRPr="00DA352E" w14:paraId="2A8F6C0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3270249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635F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635FA">
                  <w:t>NA</w:t>
                </w:r>
                <w:proofErr w:type="spellEnd"/>
              </w:sdtContent>
            </w:sdt>
          </w:p>
        </w:tc>
      </w:tr>
      <w:tr w:rsidR="00C978F0" w:rsidRPr="00DA352E" w14:paraId="427AF6A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2F5920" w14:textId="5148976D" w:rsidR="00C978F0" w:rsidRPr="00DA352E" w:rsidRDefault="004635FA" w:rsidP="003365A5">
            <w:pPr>
              <w:pStyle w:val="Tabletextprimarysource"/>
            </w:pPr>
            <w:r>
              <w:t>No report</w:t>
            </w:r>
            <w:r w:rsidR="000D485B">
              <w:t>.</w:t>
            </w:r>
          </w:p>
        </w:tc>
      </w:tr>
      <w:tr w:rsidR="00DA352E" w:rsidRPr="00DA352E" w14:paraId="0D0EF6E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254DF81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06D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06D66">
                  <w:t>NA</w:t>
                </w:r>
                <w:proofErr w:type="spellEnd"/>
              </w:sdtContent>
            </w:sdt>
          </w:p>
        </w:tc>
      </w:tr>
      <w:tr w:rsidR="00DA352E" w:rsidRPr="00DA352E" w14:paraId="41D5DA0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221D97" w14:textId="204EFAC7" w:rsidR="00DA352E" w:rsidRPr="00DA352E" w:rsidRDefault="00506D66" w:rsidP="003365A5">
            <w:pPr>
              <w:pStyle w:val="Tabletextprimarysource"/>
            </w:pPr>
            <w:r>
              <w:t>No report</w:t>
            </w:r>
            <w:r w:rsidR="000D485B">
              <w:t>.</w:t>
            </w:r>
          </w:p>
        </w:tc>
      </w:tr>
      <w:tr w:rsidR="00DA352E" w:rsidRPr="00DA352E" w14:paraId="34AF713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1A0144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06D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506D66">
                  <w:t>NA</w:t>
                </w:r>
                <w:proofErr w:type="spellEnd"/>
              </w:sdtContent>
            </w:sdt>
          </w:p>
        </w:tc>
      </w:tr>
      <w:tr w:rsidR="00DA352E" w:rsidRPr="00DA352E" w14:paraId="3C2ED3E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996E07C" w14:textId="7AD73377" w:rsidR="00DA352E" w:rsidRPr="00DA352E" w:rsidRDefault="00506D66" w:rsidP="003365A5">
            <w:pPr>
              <w:pStyle w:val="Tabletextprimarysource"/>
            </w:pPr>
            <w:r>
              <w:t>No report</w:t>
            </w:r>
            <w:r w:rsidR="000D485B">
              <w:t>.</w:t>
            </w:r>
          </w:p>
        </w:tc>
      </w:tr>
    </w:tbl>
    <w:p w14:paraId="6B84437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4C1D4AC7" w14:textId="3D6EAB47" w:rsidR="007E2A4B" w:rsidRDefault="00195CCC">
      <w:r>
        <w:t>NIL</w:t>
      </w:r>
      <w:r w:rsidR="008A4B1E">
        <w:t>.</w:t>
      </w:r>
    </w:p>
    <w:bookmarkEnd w:id="0"/>
    <w:p w14:paraId="1ACA9B9F" w14:textId="77777777" w:rsidR="007E2A4B" w:rsidRDefault="007E2A4B" w:rsidP="00195CCC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ADAF6C4" w14:textId="77777777" w:rsidTr="00417B6C">
        <w:trPr>
          <w:trHeight w:val="454"/>
          <w:tblHeader/>
        </w:trPr>
        <w:tc>
          <w:tcPr>
            <w:tcW w:w="6603" w:type="dxa"/>
            <w:vAlign w:val="center"/>
          </w:tcPr>
          <w:p w14:paraId="69C0E8BE" w14:textId="77777777" w:rsidR="002E0D61" w:rsidRDefault="00B1422A" w:rsidP="00195CCC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8ADB3E4" w14:textId="77777777" w:rsidR="002E0D61" w:rsidRDefault="00417B6C" w:rsidP="00195CCC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04EBB0DB" w14:textId="77777777" w:rsidTr="00417B6C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86FEA5A" w14:textId="77777777" w:rsidR="008A36CF" w:rsidRPr="006901A2" w:rsidRDefault="00417B6C" w:rsidP="00195CCC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87E6B6A" w14:textId="77777777" w:rsidR="008A36CF" w:rsidRDefault="008A36CF" w:rsidP="00195CCC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60EC71E3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E20644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9D9F15F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90DB68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A473FA4" w14:textId="77777777" w:rsidTr="00812887">
        <w:trPr>
          <w:cantSplit/>
        </w:trPr>
        <w:tc>
          <w:tcPr>
            <w:tcW w:w="3227" w:type="dxa"/>
          </w:tcPr>
          <w:p w14:paraId="4BB3248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28DF044" w14:textId="77777777" w:rsidR="00687890" w:rsidRPr="00DD2F9B" w:rsidRDefault="000D2829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424461A" w14:textId="77777777" w:rsidTr="00812887">
        <w:trPr>
          <w:cantSplit/>
        </w:trPr>
        <w:tc>
          <w:tcPr>
            <w:tcW w:w="3227" w:type="dxa"/>
          </w:tcPr>
          <w:p w14:paraId="6A612F5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D634394" w14:textId="77777777" w:rsidR="007925F0" w:rsidRPr="00DD2F9B" w:rsidRDefault="000D2829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C12BA52" w14:textId="77777777" w:rsidTr="00812887">
        <w:trPr>
          <w:cantSplit/>
        </w:trPr>
        <w:tc>
          <w:tcPr>
            <w:tcW w:w="3227" w:type="dxa"/>
          </w:tcPr>
          <w:p w14:paraId="0EA23C4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0EF0155" w14:textId="77777777" w:rsidR="00AF483F" w:rsidRPr="00DD2F9B" w:rsidRDefault="00506D66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4FE6EF5" w14:textId="77777777" w:rsidTr="00812887">
        <w:trPr>
          <w:cantSplit/>
        </w:trPr>
        <w:tc>
          <w:tcPr>
            <w:tcW w:w="3227" w:type="dxa"/>
          </w:tcPr>
          <w:p w14:paraId="2582CE9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63BF3A3" w14:textId="77777777" w:rsidR="00687890" w:rsidRPr="00DD2F9B" w:rsidRDefault="00506D66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2F4EDBB" w14:textId="77777777" w:rsidTr="00812887">
        <w:trPr>
          <w:cantSplit/>
        </w:trPr>
        <w:tc>
          <w:tcPr>
            <w:tcW w:w="3227" w:type="dxa"/>
          </w:tcPr>
          <w:p w14:paraId="0FF3966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EDEC33E" w14:textId="77777777" w:rsidR="00E41A26" w:rsidRPr="00DD2F9B" w:rsidRDefault="00506D6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ABCC783" w14:textId="77777777" w:rsidTr="00812887">
        <w:trPr>
          <w:cantSplit/>
        </w:trPr>
        <w:tc>
          <w:tcPr>
            <w:tcW w:w="3227" w:type="dxa"/>
          </w:tcPr>
          <w:p w14:paraId="5950C7F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B1549CC" w14:textId="77777777" w:rsidR="002E0D61" w:rsidRPr="00DD2F9B" w:rsidRDefault="00A56FD6" w:rsidP="00A56FD6">
            <w:r>
              <w:t>Carcinogenicity – A4</w:t>
            </w:r>
          </w:p>
        </w:tc>
      </w:tr>
      <w:tr w:rsidR="002E0D61" w:rsidRPr="004C23F4" w14:paraId="448B8837" w14:textId="77777777" w:rsidTr="00812887">
        <w:trPr>
          <w:cantSplit/>
        </w:trPr>
        <w:tc>
          <w:tcPr>
            <w:tcW w:w="3227" w:type="dxa"/>
          </w:tcPr>
          <w:p w14:paraId="473ED377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0436521" w14:textId="77777777" w:rsidR="002E0D61" w:rsidRPr="00DD2F9B" w:rsidRDefault="004635F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E77EA8F" w14:textId="77777777" w:rsidTr="00812887">
        <w:trPr>
          <w:cantSplit/>
        </w:trPr>
        <w:tc>
          <w:tcPr>
            <w:tcW w:w="3227" w:type="dxa"/>
          </w:tcPr>
          <w:p w14:paraId="37F58F08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27CF2B5" w14:textId="77777777" w:rsidR="002E0D61" w:rsidRPr="00DD2F9B" w:rsidRDefault="004635F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157704D" w14:textId="77777777" w:rsidTr="00812887">
        <w:trPr>
          <w:cantSplit/>
        </w:trPr>
        <w:tc>
          <w:tcPr>
            <w:tcW w:w="3227" w:type="dxa"/>
          </w:tcPr>
          <w:p w14:paraId="096E63D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AF9EF1F" w14:textId="77777777" w:rsidR="002E0D61" w:rsidRPr="00DD2F9B" w:rsidRDefault="00506D6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6233B9A" w14:textId="77777777" w:rsidTr="00812887">
        <w:trPr>
          <w:cantSplit/>
        </w:trPr>
        <w:tc>
          <w:tcPr>
            <w:tcW w:w="3227" w:type="dxa"/>
          </w:tcPr>
          <w:p w14:paraId="627BED2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745A6F7" w14:textId="77777777" w:rsidR="00386093" w:rsidRPr="00DD2F9B" w:rsidRDefault="007400D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20830D9" w14:textId="77777777" w:rsidTr="00812887">
        <w:trPr>
          <w:cantSplit/>
        </w:trPr>
        <w:tc>
          <w:tcPr>
            <w:tcW w:w="3227" w:type="dxa"/>
          </w:tcPr>
          <w:p w14:paraId="20B2760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967111B" w14:textId="77777777" w:rsidR="00386093" w:rsidRPr="00DD2F9B" w:rsidRDefault="00A56FD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F46A80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4A830E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96A74A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3687557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CFCECC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43" w:type="dxa"/>
              <w:tblLook w:val="04A0" w:firstRow="1" w:lastRow="0" w:firstColumn="1" w:lastColumn="0" w:noHBand="0" w:noVBand="1"/>
            </w:tblPr>
            <w:tblGrid>
              <w:gridCol w:w="1310"/>
              <w:gridCol w:w="901"/>
              <w:gridCol w:w="2993"/>
              <w:gridCol w:w="642"/>
              <w:gridCol w:w="1159"/>
              <w:gridCol w:w="901"/>
              <w:gridCol w:w="904"/>
            </w:tblGrid>
            <w:tr w:rsidR="00195CCC" w:rsidRPr="00195CCC" w14:paraId="297A91D2" w14:textId="77777777" w:rsidTr="00195CCC">
              <w:trPr>
                <w:trHeight w:val="171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BD6850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Conclusion: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57A259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FC0FA4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F0E237" w14:textId="77777777" w:rsidR="00195CCC" w:rsidRPr="00195CCC" w:rsidRDefault="00195CCC" w:rsidP="00195C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12AD44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8DBA8F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3AC3E9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5CCC" w:rsidRPr="00195CCC" w14:paraId="10DFD6E6" w14:textId="77777777" w:rsidTr="00195CCC">
              <w:trPr>
                <w:trHeight w:val="244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38E666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EBD156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CABADE" w14:textId="77777777" w:rsidR="00195CCC" w:rsidRPr="00195CCC" w:rsidRDefault="00195CCC" w:rsidP="00195C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6F9C55" w14:textId="77777777" w:rsidR="00195CCC" w:rsidRPr="00195CCC" w:rsidRDefault="00195CCC" w:rsidP="00195C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18236E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140F7F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A3617D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5CCC" w:rsidRPr="00195CCC" w14:paraId="64E0FDA6" w14:textId="77777777" w:rsidTr="00195CCC">
              <w:trPr>
                <w:trHeight w:val="244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43EAE7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978659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09C380" w14:textId="77777777" w:rsidR="00195CCC" w:rsidRPr="00195CCC" w:rsidRDefault="00195CCC" w:rsidP="00195C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9DBDB1" w14:textId="77777777" w:rsidR="00195CCC" w:rsidRPr="00195CCC" w:rsidRDefault="00195CCC" w:rsidP="00195C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156A5A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9DC533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A332CE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5CCC" w:rsidRPr="00195CCC" w14:paraId="27CA464C" w14:textId="77777777" w:rsidTr="00195CCC">
              <w:trPr>
                <w:trHeight w:val="244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6FA9F7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D82859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9099FA" w14:textId="77777777" w:rsidR="00195CCC" w:rsidRPr="00195CCC" w:rsidRDefault="00195CCC" w:rsidP="00195C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6FD5C7" w14:textId="77777777" w:rsidR="00195CCC" w:rsidRPr="00195CCC" w:rsidRDefault="00195CCC" w:rsidP="00195C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04F2BE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E154EB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837272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5CCC" w:rsidRPr="00195CCC" w14:paraId="103F4D02" w14:textId="77777777" w:rsidTr="00195CCC">
              <w:trPr>
                <w:trHeight w:val="244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F7A502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81F792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037E93" w14:textId="77777777" w:rsidR="00195CCC" w:rsidRPr="00195CCC" w:rsidRDefault="00195CCC" w:rsidP="00195C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1B7B68" w14:textId="77777777" w:rsidR="00195CCC" w:rsidRPr="00195CCC" w:rsidRDefault="00195CCC" w:rsidP="00195C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5DA883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16A931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65A388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5CCC" w:rsidRPr="00195CCC" w14:paraId="5498C3EC" w14:textId="77777777" w:rsidTr="00195CCC">
              <w:trPr>
                <w:trHeight w:val="244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7A0CD5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4B46AE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E3725A" w14:textId="77777777" w:rsidR="00195CCC" w:rsidRPr="00195CCC" w:rsidRDefault="00195CCC" w:rsidP="00195C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A6CB2D" w14:textId="77777777" w:rsidR="00195CCC" w:rsidRPr="00195CCC" w:rsidRDefault="00195CCC" w:rsidP="00195C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2F79C9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5FECF7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126425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5CCC" w:rsidRPr="00195CCC" w14:paraId="123C4F69" w14:textId="77777777" w:rsidTr="00195CCC">
              <w:trPr>
                <w:trHeight w:val="244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A109EF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06B717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AAE013" w14:textId="77777777" w:rsidR="00195CCC" w:rsidRPr="00195CCC" w:rsidRDefault="00195CCC" w:rsidP="00195C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62EFE6" w14:textId="77777777" w:rsidR="00195CCC" w:rsidRPr="00195CCC" w:rsidRDefault="00195CCC" w:rsidP="00195C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5032E5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BD5B06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59DB3C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5CCC" w:rsidRPr="00195CCC" w14:paraId="43A2A2F8" w14:textId="77777777" w:rsidTr="00195CCC">
              <w:trPr>
                <w:trHeight w:val="244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BF34FB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604E1D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A1A526" w14:textId="77777777" w:rsidR="00195CCC" w:rsidRPr="00195CCC" w:rsidRDefault="00195CCC" w:rsidP="00195C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496AF6" w14:textId="77777777" w:rsidR="00195CCC" w:rsidRPr="00195CCC" w:rsidRDefault="00195CCC" w:rsidP="00195C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BE9D3A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  <w:tr w:rsidR="00195CCC" w:rsidRPr="00195CCC" w14:paraId="571573A6" w14:textId="77777777" w:rsidTr="00195CCC">
              <w:trPr>
                <w:trHeight w:val="171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52E952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CDD7D6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DE1FE9" w14:textId="77777777" w:rsidR="00195CCC" w:rsidRPr="00195CCC" w:rsidRDefault="00195CCC" w:rsidP="00195CC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7AE82A" w14:textId="77777777" w:rsidR="00195CCC" w:rsidRPr="00195CCC" w:rsidRDefault="00195CCC" w:rsidP="00195CC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7F12EF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064C44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A8A6D7" w14:textId="77777777" w:rsidR="00195CCC" w:rsidRPr="00195CCC" w:rsidRDefault="00195CCC" w:rsidP="00195CC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5CC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</w:tbl>
          <w:p w14:paraId="44091F27" w14:textId="67417B8B" w:rsidR="00932DCE" w:rsidRPr="004C23F4" w:rsidRDefault="00932DCE" w:rsidP="00F9496B">
            <w:pPr>
              <w:pStyle w:val="Tablefont"/>
            </w:pPr>
          </w:p>
        </w:tc>
        <w:bookmarkStart w:id="4" w:name="_GoBack"/>
        <w:bookmarkEnd w:id="4"/>
      </w:tr>
    </w:tbl>
    <w:bookmarkEnd w:id="3"/>
    <w:p w14:paraId="7E13ED9F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992789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D8FE57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4631E68" w14:textId="77777777" w:rsidR="00EB3D1B" w:rsidRDefault="00DF29E0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329EA3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AA0B03B" w14:textId="77777777" w:rsidTr="00554AA9">
        <w:trPr>
          <w:cantSplit/>
          <w:tblHeader/>
        </w:trPr>
        <w:tc>
          <w:tcPr>
            <w:tcW w:w="4077" w:type="dxa"/>
            <w:vAlign w:val="center"/>
          </w:tcPr>
          <w:p w14:paraId="1A0A146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FBD422F" w14:textId="77777777" w:rsidR="001B79E5" w:rsidRDefault="00DF29E0" w:rsidP="001B79E5">
                <w:pPr>
                  <w:pStyle w:val="Tablefont"/>
                </w:pPr>
                <w:r>
                  <w:t>222.23</w:t>
                </w:r>
              </w:p>
            </w:tc>
          </w:sdtContent>
        </w:sdt>
      </w:tr>
      <w:tr w:rsidR="00A31D99" w:rsidRPr="004C23F4" w14:paraId="459F37D9" w14:textId="77777777" w:rsidTr="00625C7F">
        <w:trPr>
          <w:cantSplit/>
        </w:trPr>
        <w:tc>
          <w:tcPr>
            <w:tcW w:w="4077" w:type="dxa"/>
            <w:vAlign w:val="center"/>
          </w:tcPr>
          <w:p w14:paraId="3195B94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7F0A2B7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AB94CE0" w14:textId="77777777" w:rsidTr="00625C7F">
        <w:trPr>
          <w:cantSplit/>
        </w:trPr>
        <w:tc>
          <w:tcPr>
            <w:tcW w:w="4077" w:type="dxa"/>
            <w:vAlign w:val="center"/>
          </w:tcPr>
          <w:p w14:paraId="082E52D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42D58EC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93A548A" w14:textId="77777777" w:rsidTr="00625C7F">
        <w:trPr>
          <w:cantSplit/>
        </w:trPr>
        <w:tc>
          <w:tcPr>
            <w:tcW w:w="4077" w:type="dxa"/>
            <w:vAlign w:val="center"/>
          </w:tcPr>
          <w:p w14:paraId="01C6D9A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498E94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5DE1C3D" w14:textId="77777777" w:rsidTr="00625C7F">
        <w:trPr>
          <w:cantSplit/>
        </w:trPr>
        <w:tc>
          <w:tcPr>
            <w:tcW w:w="4077" w:type="dxa"/>
            <w:vAlign w:val="center"/>
          </w:tcPr>
          <w:p w14:paraId="0DC9F366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78B4B8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B6C2D37" w14:textId="77777777" w:rsidTr="00625C7F">
        <w:trPr>
          <w:cantSplit/>
        </w:trPr>
        <w:tc>
          <w:tcPr>
            <w:tcW w:w="4077" w:type="dxa"/>
            <w:vAlign w:val="center"/>
          </w:tcPr>
          <w:p w14:paraId="44EE3CF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2A552F5" w14:textId="77777777" w:rsidR="00E06F40" w:rsidRPr="00A006A0" w:rsidRDefault="00554AA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00F50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D2805C2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69F880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1336EA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034273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371B33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BF48F8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BD1EAC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F29E203" w14:textId="77777777" w:rsidR="007F1005" w:rsidRPr="00351FE0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sectPr w:rsidR="007F1005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1764" w14:textId="77777777" w:rsidR="002913A6" w:rsidRDefault="002913A6" w:rsidP="00F43AD5">
      <w:pPr>
        <w:spacing w:after="0" w:line="240" w:lineRule="auto"/>
      </w:pPr>
      <w:r>
        <w:separator/>
      </w:r>
    </w:p>
  </w:endnote>
  <w:endnote w:type="continuationSeparator" w:id="0">
    <w:p w14:paraId="49AB7722" w14:textId="77777777" w:rsidR="002913A6" w:rsidRDefault="002913A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85A3" w14:textId="77777777" w:rsidR="00554AA9" w:rsidRDefault="00554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E5BC2E3" w14:textId="09C5AE8B" w:rsidR="008A36CF" w:rsidRDefault="00221859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Diethyl </w:t>
        </w:r>
        <w:r w:rsidR="001A663B">
          <w:rPr>
            <w:b/>
            <w:sz w:val="18"/>
            <w:szCs w:val="18"/>
          </w:rPr>
          <w:t>p</w:t>
        </w:r>
        <w:r>
          <w:rPr>
            <w:b/>
            <w:sz w:val="18"/>
            <w:szCs w:val="18"/>
          </w:rPr>
          <w:t>hthalate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84-66-2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1505516" w14:textId="1A6A0AA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54AA9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4451" w14:textId="77777777" w:rsidR="00554AA9" w:rsidRDefault="00554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B26CD" w14:textId="77777777" w:rsidR="002913A6" w:rsidRDefault="002913A6" w:rsidP="00F43AD5">
      <w:pPr>
        <w:spacing w:after="0" w:line="240" w:lineRule="auto"/>
      </w:pPr>
      <w:r>
        <w:separator/>
      </w:r>
    </w:p>
  </w:footnote>
  <w:footnote w:type="continuationSeparator" w:id="0">
    <w:p w14:paraId="694317A9" w14:textId="77777777" w:rsidR="002913A6" w:rsidRDefault="002913A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68A7" w14:textId="77777777" w:rsidR="00554AA9" w:rsidRDefault="00554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57AF" w14:textId="5AF01C6A" w:rsidR="00554AA9" w:rsidRDefault="00554AA9" w:rsidP="00554AA9">
    <w:pPr>
      <w:pStyle w:val="Header"/>
      <w:jc w:val="right"/>
    </w:pPr>
    <w:r>
      <w:pict w14:anchorId="36EC92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CC38C47" wp14:editId="6ED0CA5C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F2F26" w14:textId="3609F444" w:rsidR="008A36CF" w:rsidRPr="00554AA9" w:rsidRDefault="008A36CF" w:rsidP="00554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0E11" w14:textId="77777777" w:rsidR="00554AA9" w:rsidRDefault="00554A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18BD" w14:textId="40B43CCC" w:rsidR="00554AA9" w:rsidRDefault="00554AA9" w:rsidP="00554AA9">
    <w:pPr>
      <w:pStyle w:val="Header"/>
      <w:jc w:val="right"/>
    </w:pPr>
    <w:r>
      <w:pict w14:anchorId="60B76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7F2DFD0" wp14:editId="2FB1526F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9AED2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ACE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7EA5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829"/>
    <w:rsid w:val="000D291C"/>
    <w:rsid w:val="000D485B"/>
    <w:rsid w:val="000E5A54"/>
    <w:rsid w:val="000E63D3"/>
    <w:rsid w:val="000E67CF"/>
    <w:rsid w:val="0010461E"/>
    <w:rsid w:val="00106FAA"/>
    <w:rsid w:val="0010786E"/>
    <w:rsid w:val="00113443"/>
    <w:rsid w:val="00116CBA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5CCC"/>
    <w:rsid w:val="001A009E"/>
    <w:rsid w:val="001A1287"/>
    <w:rsid w:val="001A3859"/>
    <w:rsid w:val="001A3C9D"/>
    <w:rsid w:val="001A43F8"/>
    <w:rsid w:val="001A663B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1494"/>
    <w:rsid w:val="00213640"/>
    <w:rsid w:val="00221547"/>
    <w:rsid w:val="002216FC"/>
    <w:rsid w:val="00221859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13A6"/>
    <w:rsid w:val="002B1A2C"/>
    <w:rsid w:val="002B4375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4414"/>
    <w:rsid w:val="003F4F26"/>
    <w:rsid w:val="004030BC"/>
    <w:rsid w:val="00403F7D"/>
    <w:rsid w:val="00406785"/>
    <w:rsid w:val="004079B4"/>
    <w:rsid w:val="00417A56"/>
    <w:rsid w:val="00417B6C"/>
    <w:rsid w:val="00420957"/>
    <w:rsid w:val="00422A10"/>
    <w:rsid w:val="00430179"/>
    <w:rsid w:val="00437B7F"/>
    <w:rsid w:val="004414B5"/>
    <w:rsid w:val="00444482"/>
    <w:rsid w:val="00444B42"/>
    <w:rsid w:val="00445E44"/>
    <w:rsid w:val="004509E2"/>
    <w:rsid w:val="004515EE"/>
    <w:rsid w:val="004529F0"/>
    <w:rsid w:val="00460A03"/>
    <w:rsid w:val="004635FA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6D66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4AA9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25C7F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52C5"/>
    <w:rsid w:val="006867F3"/>
    <w:rsid w:val="006876D7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01D8"/>
    <w:rsid w:val="00714021"/>
    <w:rsid w:val="00716A0F"/>
    <w:rsid w:val="00717D45"/>
    <w:rsid w:val="007208F7"/>
    <w:rsid w:val="007218AF"/>
    <w:rsid w:val="007365D1"/>
    <w:rsid w:val="007400DD"/>
    <w:rsid w:val="00740E0E"/>
    <w:rsid w:val="00742D7C"/>
    <w:rsid w:val="00750212"/>
    <w:rsid w:val="00754779"/>
    <w:rsid w:val="0075716D"/>
    <w:rsid w:val="00765F14"/>
    <w:rsid w:val="00770E31"/>
    <w:rsid w:val="007770F1"/>
    <w:rsid w:val="00783FB1"/>
    <w:rsid w:val="00784F9B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4B1E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17E04"/>
    <w:rsid w:val="00A2073D"/>
    <w:rsid w:val="00A20751"/>
    <w:rsid w:val="00A27E2D"/>
    <w:rsid w:val="00A31D99"/>
    <w:rsid w:val="00A357BA"/>
    <w:rsid w:val="00A35ADC"/>
    <w:rsid w:val="00A402A3"/>
    <w:rsid w:val="00A41CF2"/>
    <w:rsid w:val="00A53681"/>
    <w:rsid w:val="00A56FD6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46A8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317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26C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2B34"/>
    <w:rsid w:val="00D44C89"/>
    <w:rsid w:val="00D516CD"/>
    <w:rsid w:val="00D668E6"/>
    <w:rsid w:val="00D70670"/>
    <w:rsid w:val="00D74D80"/>
    <w:rsid w:val="00D76624"/>
    <w:rsid w:val="00D84929"/>
    <w:rsid w:val="00D87570"/>
    <w:rsid w:val="00D91CB9"/>
    <w:rsid w:val="00D9549E"/>
    <w:rsid w:val="00D97989"/>
    <w:rsid w:val="00D97D8D"/>
    <w:rsid w:val="00DA352E"/>
    <w:rsid w:val="00DC7694"/>
    <w:rsid w:val="00DD1BF6"/>
    <w:rsid w:val="00DD2F9B"/>
    <w:rsid w:val="00DE2513"/>
    <w:rsid w:val="00DE26E8"/>
    <w:rsid w:val="00DF29E0"/>
    <w:rsid w:val="00DF6F36"/>
    <w:rsid w:val="00E0084C"/>
    <w:rsid w:val="00E025AB"/>
    <w:rsid w:val="00E02B23"/>
    <w:rsid w:val="00E06F40"/>
    <w:rsid w:val="00E07CE8"/>
    <w:rsid w:val="00E17C3A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4CFA994F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077EA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6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6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63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63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3D702CB26A74D858F9EA3C11179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3377-DCA4-48BF-901B-D144D31A8DE7}"/>
      </w:docPartPr>
      <w:docPartBody>
        <w:p w:rsidR="00251965" w:rsidRDefault="00615952" w:rsidP="00615952">
          <w:pPr>
            <w:pStyle w:val="53D702CB26A74D858F9EA3C11179DCC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55247"/>
    <w:rsid w:val="00251965"/>
    <w:rsid w:val="00615952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952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53D702CB26A74D858F9EA3C11179DCC0">
    <w:name w:val="53D702CB26A74D858F9EA3C11179DCC0"/>
    <w:rsid w:val="00615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475C-DC51-459D-ABFB-00F6A4CDE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51C55B-ACB4-45CE-9078-C8D9D907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FF0EA91D.dotm</Template>
  <TotalTime>269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34</cp:revision>
  <cp:lastPrinted>2018-10-22T22:41:00Z</cp:lastPrinted>
  <dcterms:created xsi:type="dcterms:W3CDTF">2019-04-14T23:55:00Z</dcterms:created>
  <dcterms:modified xsi:type="dcterms:W3CDTF">2019-11-06T22:05:00Z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