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DDB35B8" w14:textId="77777777" w:rsidR="00BD499F" w:rsidRPr="004C23F4" w:rsidRDefault="008B5061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Diethyl sulfate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3"/>
        <w:gridCol w:w="5043"/>
      </w:tblGrid>
      <w:tr w:rsidR="00F43AD5" w:rsidRPr="004C23F4" w14:paraId="16B1488A" w14:textId="77777777" w:rsidTr="00B76A41">
        <w:trPr>
          <w:cantSplit/>
          <w:tblHeader/>
        </w:trPr>
        <w:tc>
          <w:tcPr>
            <w:tcW w:w="4077" w:type="dxa"/>
          </w:tcPr>
          <w:p w14:paraId="5DA8C775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EF8B7D6" w14:textId="77777777" w:rsidR="00F43AD5" w:rsidRPr="003279F9" w:rsidRDefault="003910F2" w:rsidP="00B76A41">
            <w:pPr>
              <w:pStyle w:val="Tablefont"/>
              <w:rPr>
                <w:rFonts w:cs="Arial"/>
                <w:szCs w:val="20"/>
              </w:rPr>
            </w:pPr>
            <w:r w:rsidRPr="00190A0E">
              <w:rPr>
                <w:rFonts w:cs="Arial"/>
                <w:color w:val="333333"/>
                <w:szCs w:val="20"/>
              </w:rPr>
              <w:t>64-67-5</w:t>
            </w:r>
          </w:p>
        </w:tc>
      </w:tr>
      <w:tr w:rsidR="00F43AD5" w:rsidRPr="004C23F4" w14:paraId="3E0E0334" w14:textId="77777777" w:rsidTr="00B76A41">
        <w:trPr>
          <w:cantSplit/>
        </w:trPr>
        <w:tc>
          <w:tcPr>
            <w:tcW w:w="4077" w:type="dxa"/>
          </w:tcPr>
          <w:p w14:paraId="2A3887A9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5B93AB5" w14:textId="680737D4" w:rsidR="00F43AD5" w:rsidRPr="00190A0E" w:rsidRDefault="003910F2" w:rsidP="003910F2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333333"/>
                <w:szCs w:val="20"/>
              </w:rPr>
            </w:pPr>
            <w:r w:rsidRPr="00190A0E">
              <w:rPr>
                <w:rFonts w:cs="Arial"/>
                <w:color w:val="333333"/>
                <w:szCs w:val="20"/>
              </w:rPr>
              <w:t>Diethyl sul</w:t>
            </w:r>
            <w:r w:rsidR="00190A0E">
              <w:rPr>
                <w:rFonts w:cs="Arial"/>
                <w:color w:val="333333"/>
                <w:szCs w:val="20"/>
              </w:rPr>
              <w:t>ph</w:t>
            </w:r>
            <w:r w:rsidRPr="00190A0E">
              <w:rPr>
                <w:rFonts w:cs="Arial"/>
                <w:color w:val="333333"/>
                <w:szCs w:val="20"/>
              </w:rPr>
              <w:t xml:space="preserve">ate, diethyl </w:t>
            </w:r>
            <w:proofErr w:type="spellStart"/>
            <w:r w:rsidRPr="00190A0E">
              <w:rPr>
                <w:rFonts w:cs="Arial"/>
                <w:color w:val="333333"/>
                <w:szCs w:val="20"/>
              </w:rPr>
              <w:t>monosulphate</w:t>
            </w:r>
            <w:proofErr w:type="spellEnd"/>
            <w:r w:rsidRPr="00190A0E">
              <w:rPr>
                <w:rFonts w:cs="Arial"/>
                <w:color w:val="333333"/>
                <w:szCs w:val="20"/>
              </w:rPr>
              <w:t xml:space="preserve">, ethyl sulphate, ethyl </w:t>
            </w:r>
            <w:proofErr w:type="spellStart"/>
            <w:r w:rsidRPr="00190A0E">
              <w:rPr>
                <w:rFonts w:cs="Arial"/>
                <w:color w:val="333333"/>
                <w:szCs w:val="20"/>
              </w:rPr>
              <w:t>sulfate</w:t>
            </w:r>
            <w:proofErr w:type="spellEnd"/>
            <w:r w:rsidRPr="00190A0E">
              <w:rPr>
                <w:rFonts w:cs="Arial"/>
                <w:color w:val="333333"/>
                <w:szCs w:val="20"/>
              </w:rPr>
              <w:t xml:space="preserve">, diethyl </w:t>
            </w:r>
            <w:proofErr w:type="spellStart"/>
            <w:r w:rsidRPr="00190A0E">
              <w:rPr>
                <w:rFonts w:cs="Arial"/>
                <w:color w:val="333333"/>
                <w:szCs w:val="20"/>
              </w:rPr>
              <w:t>tetraoxosulfate</w:t>
            </w:r>
            <w:proofErr w:type="spellEnd"/>
          </w:p>
        </w:tc>
      </w:tr>
      <w:tr w:rsidR="00F43AD5" w:rsidRPr="004C23F4" w14:paraId="42671EDC" w14:textId="77777777" w:rsidTr="00B76A41">
        <w:trPr>
          <w:cantSplit/>
        </w:trPr>
        <w:tc>
          <w:tcPr>
            <w:tcW w:w="4077" w:type="dxa"/>
          </w:tcPr>
          <w:p w14:paraId="3A9DA66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D048B76" w14:textId="77777777" w:rsidR="00F43AD5" w:rsidRPr="003279F9" w:rsidRDefault="006E6198" w:rsidP="006E6198">
            <w:pPr>
              <w:pStyle w:val="Tablerowheading"/>
              <w:rPr>
                <w:rFonts w:cs="Arial"/>
                <w:b w:val="0"/>
                <w:szCs w:val="20"/>
              </w:rPr>
            </w:pPr>
            <w:r w:rsidRPr="003279F9">
              <w:rPr>
                <w:rFonts w:cs="Arial"/>
                <w:b w:val="0"/>
                <w:szCs w:val="20"/>
              </w:rPr>
              <w:t>C</w:t>
            </w:r>
            <w:r w:rsidRPr="003279F9">
              <w:rPr>
                <w:rFonts w:cs="Arial"/>
                <w:b w:val="0"/>
                <w:szCs w:val="20"/>
                <w:vertAlign w:val="subscript"/>
              </w:rPr>
              <w:t>4</w:t>
            </w:r>
            <w:r w:rsidRPr="003279F9">
              <w:rPr>
                <w:rFonts w:cs="Arial"/>
                <w:b w:val="0"/>
                <w:szCs w:val="20"/>
              </w:rPr>
              <w:t>H</w:t>
            </w:r>
            <w:r w:rsidRPr="003279F9">
              <w:rPr>
                <w:rFonts w:cs="Arial"/>
                <w:b w:val="0"/>
                <w:szCs w:val="20"/>
                <w:vertAlign w:val="subscript"/>
              </w:rPr>
              <w:t>10</w:t>
            </w:r>
            <w:r w:rsidRPr="003279F9">
              <w:rPr>
                <w:rFonts w:cs="Arial"/>
                <w:b w:val="0"/>
                <w:szCs w:val="20"/>
              </w:rPr>
              <w:t>O</w:t>
            </w:r>
            <w:r w:rsidRPr="003279F9">
              <w:rPr>
                <w:rFonts w:cs="Arial"/>
                <w:b w:val="0"/>
                <w:szCs w:val="20"/>
                <w:vertAlign w:val="subscript"/>
              </w:rPr>
              <w:t>4</w:t>
            </w:r>
            <w:r w:rsidRPr="003279F9">
              <w:rPr>
                <w:rFonts w:cs="Arial"/>
                <w:b w:val="0"/>
                <w:szCs w:val="20"/>
              </w:rPr>
              <w:t>S</w:t>
            </w:r>
          </w:p>
        </w:tc>
      </w:tr>
      <w:tr w:rsidR="00F43AD5" w:rsidRPr="004C23F4" w14:paraId="718198CA" w14:textId="77777777" w:rsidTr="00B76A41">
        <w:trPr>
          <w:cantSplit/>
        </w:trPr>
        <w:tc>
          <w:tcPr>
            <w:tcW w:w="4077" w:type="dxa"/>
          </w:tcPr>
          <w:p w14:paraId="0917B478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6D730B33" w14:textId="77777777" w:rsidR="00F43AD5" w:rsidRPr="003279F9" w:rsidRDefault="00F26AF7" w:rsidP="00B76A41">
            <w:pPr>
              <w:pStyle w:val="Tablerowheading"/>
              <w:rPr>
                <w:rFonts w:cs="Arial"/>
                <w:b w:val="0"/>
                <w:szCs w:val="20"/>
              </w:rPr>
            </w:pPr>
            <w:r w:rsidRPr="003279F9">
              <w:rPr>
                <w:rFonts w:cs="Arial"/>
                <w:b w:val="0"/>
                <w:szCs w:val="20"/>
              </w:rPr>
              <w:t>—</w:t>
            </w:r>
          </w:p>
        </w:tc>
      </w:tr>
    </w:tbl>
    <w:p w14:paraId="13CF6191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D1A98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1"/>
        <w:gridCol w:w="5015"/>
      </w:tblGrid>
      <w:tr w:rsidR="00F26AF7" w:rsidRPr="004C23F4" w14:paraId="7AC31D95" w14:textId="77777777" w:rsidTr="00F26AF7">
        <w:trPr>
          <w:cantSplit/>
          <w:tblHeader/>
        </w:trPr>
        <w:tc>
          <w:tcPr>
            <w:tcW w:w="4011" w:type="dxa"/>
            <w:vAlign w:val="center"/>
          </w:tcPr>
          <w:p w14:paraId="15DEA59C" w14:textId="77777777" w:rsidR="00F26AF7" w:rsidRPr="002C58FF" w:rsidRDefault="00F26AF7" w:rsidP="00F26AF7">
            <w:pPr>
              <w:pStyle w:val="Tablerowright"/>
            </w:pPr>
            <w:r>
              <w:t>TWA:</w:t>
            </w:r>
          </w:p>
        </w:tc>
        <w:tc>
          <w:tcPr>
            <w:tcW w:w="5015" w:type="dxa"/>
          </w:tcPr>
          <w:p w14:paraId="1984126A" w14:textId="77777777" w:rsidR="00F26AF7" w:rsidRPr="003279F9" w:rsidRDefault="00F26AF7" w:rsidP="00190A0E">
            <w:pPr>
              <w:pStyle w:val="Tablerowheading"/>
              <w:rPr>
                <w:rFonts w:cs="Arial"/>
                <w:szCs w:val="20"/>
              </w:rPr>
            </w:pPr>
            <w:r w:rsidRPr="003279F9">
              <w:rPr>
                <w:rFonts w:cs="Arial"/>
                <w:szCs w:val="20"/>
              </w:rPr>
              <w:t>—</w:t>
            </w:r>
          </w:p>
        </w:tc>
      </w:tr>
      <w:tr w:rsidR="00F26AF7" w:rsidRPr="004C23F4" w14:paraId="702974C6" w14:textId="77777777" w:rsidTr="00F26AF7">
        <w:trPr>
          <w:cantSplit/>
        </w:trPr>
        <w:tc>
          <w:tcPr>
            <w:tcW w:w="4011" w:type="dxa"/>
            <w:vAlign w:val="center"/>
          </w:tcPr>
          <w:p w14:paraId="2A52DC5C" w14:textId="77777777" w:rsidR="00F26AF7" w:rsidRPr="002C58FF" w:rsidRDefault="00F26AF7" w:rsidP="00F26AF7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5" w:type="dxa"/>
          </w:tcPr>
          <w:p w14:paraId="47DC7962" w14:textId="77777777" w:rsidR="00F26AF7" w:rsidRPr="003279F9" w:rsidRDefault="00F26AF7" w:rsidP="00190A0E">
            <w:pPr>
              <w:pStyle w:val="Tablerowheading"/>
              <w:rPr>
                <w:rFonts w:cs="Arial"/>
                <w:szCs w:val="20"/>
              </w:rPr>
            </w:pPr>
            <w:r w:rsidRPr="003279F9">
              <w:rPr>
                <w:rFonts w:cs="Arial"/>
                <w:szCs w:val="20"/>
              </w:rPr>
              <w:t>—</w:t>
            </w:r>
          </w:p>
        </w:tc>
      </w:tr>
      <w:tr w:rsidR="00F26AF7" w:rsidRPr="004C23F4" w14:paraId="4B767186" w14:textId="77777777" w:rsidTr="00F26AF7">
        <w:trPr>
          <w:cantSplit/>
        </w:trPr>
        <w:tc>
          <w:tcPr>
            <w:tcW w:w="4011" w:type="dxa"/>
            <w:vAlign w:val="center"/>
          </w:tcPr>
          <w:p w14:paraId="0171B769" w14:textId="77777777" w:rsidR="00F26AF7" w:rsidRPr="002C58FF" w:rsidRDefault="00F26AF7" w:rsidP="00F26AF7">
            <w:pPr>
              <w:pStyle w:val="Tablerowright"/>
            </w:pPr>
            <w:r>
              <w:t>Peak limitation:</w:t>
            </w:r>
          </w:p>
        </w:tc>
        <w:tc>
          <w:tcPr>
            <w:tcW w:w="5015" w:type="dxa"/>
          </w:tcPr>
          <w:p w14:paraId="0295E4C8" w14:textId="77777777" w:rsidR="00F26AF7" w:rsidRPr="003279F9" w:rsidRDefault="00F26AF7" w:rsidP="00190A0E">
            <w:pPr>
              <w:pStyle w:val="Tablerowheading"/>
              <w:rPr>
                <w:rFonts w:cs="Arial"/>
                <w:szCs w:val="20"/>
              </w:rPr>
            </w:pPr>
            <w:r w:rsidRPr="003279F9">
              <w:rPr>
                <w:rFonts w:cs="Arial"/>
                <w:szCs w:val="20"/>
              </w:rPr>
              <w:t>—</w:t>
            </w:r>
          </w:p>
        </w:tc>
      </w:tr>
      <w:tr w:rsidR="00F26AF7" w:rsidRPr="004C23F4" w14:paraId="3044AA95" w14:textId="77777777" w:rsidTr="00F26AF7">
        <w:trPr>
          <w:cantSplit/>
        </w:trPr>
        <w:tc>
          <w:tcPr>
            <w:tcW w:w="4011" w:type="dxa"/>
          </w:tcPr>
          <w:p w14:paraId="19EDEEBE" w14:textId="77777777" w:rsidR="00F26AF7" w:rsidRPr="002C58FF" w:rsidRDefault="00F26AF7" w:rsidP="00F26AF7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5" w:type="dxa"/>
          </w:tcPr>
          <w:p w14:paraId="57ECBE12" w14:textId="7607F122" w:rsidR="00F26AF7" w:rsidRPr="003279F9" w:rsidRDefault="00B3213D" w:rsidP="00190A0E">
            <w:pPr>
              <w:pStyle w:val="Tablerowheading"/>
              <w:rPr>
                <w:rFonts w:cs="Arial"/>
                <w:szCs w:val="20"/>
              </w:rPr>
            </w:pPr>
            <w:proofErr w:type="spellStart"/>
            <w:r w:rsidRPr="003279F9">
              <w:rPr>
                <w:rFonts w:cs="Arial"/>
                <w:szCs w:val="20"/>
              </w:rPr>
              <w:t>Carc</w:t>
            </w:r>
            <w:proofErr w:type="spellEnd"/>
            <w:r w:rsidRPr="003279F9">
              <w:rPr>
                <w:rFonts w:cs="Arial"/>
                <w:szCs w:val="20"/>
              </w:rPr>
              <w:t>. 1B</w:t>
            </w:r>
          </w:p>
        </w:tc>
      </w:tr>
      <w:tr w:rsidR="00F26AF7" w:rsidRPr="004C23F4" w14:paraId="351C10FD" w14:textId="77777777" w:rsidTr="00F26AF7">
        <w:trPr>
          <w:cantSplit/>
        </w:trPr>
        <w:tc>
          <w:tcPr>
            <w:tcW w:w="4011" w:type="dxa"/>
            <w:vAlign w:val="center"/>
          </w:tcPr>
          <w:p w14:paraId="5550DB23" w14:textId="77777777" w:rsidR="00F26AF7" w:rsidRPr="002C58FF" w:rsidRDefault="00F26AF7" w:rsidP="00F26AF7">
            <w:pPr>
              <w:pStyle w:val="Tablerowright"/>
            </w:pPr>
            <w:r>
              <w:t>IDLH:</w:t>
            </w:r>
          </w:p>
        </w:tc>
        <w:tc>
          <w:tcPr>
            <w:tcW w:w="5015" w:type="dxa"/>
          </w:tcPr>
          <w:p w14:paraId="19F3B2B9" w14:textId="77777777" w:rsidR="00F26AF7" w:rsidRPr="003279F9" w:rsidRDefault="00F26AF7" w:rsidP="00190A0E">
            <w:pPr>
              <w:pStyle w:val="Tablerowheading"/>
              <w:rPr>
                <w:rFonts w:cs="Arial"/>
                <w:szCs w:val="20"/>
              </w:rPr>
            </w:pPr>
            <w:r w:rsidRPr="003279F9">
              <w:rPr>
                <w:rFonts w:cs="Arial"/>
                <w:szCs w:val="20"/>
              </w:rPr>
              <w:t>—</w:t>
            </w:r>
          </w:p>
        </w:tc>
      </w:tr>
      <w:tr w:rsidR="000F3A90" w:rsidRPr="004C23F4" w14:paraId="3D07959C" w14:textId="77777777" w:rsidTr="002D5B3C">
        <w:trPr>
          <w:cantSplit/>
        </w:trPr>
        <w:tc>
          <w:tcPr>
            <w:tcW w:w="9026" w:type="dxa"/>
            <w:gridSpan w:val="2"/>
            <w:vAlign w:val="center"/>
          </w:tcPr>
          <w:p w14:paraId="604B1F96" w14:textId="6AAAFDF1" w:rsidR="000F3A90" w:rsidRPr="003279F9" w:rsidRDefault="000F3A90" w:rsidP="00190A0E">
            <w:pPr>
              <w:pStyle w:val="Tablerowheading"/>
              <w:rPr>
                <w:rFonts w:cs="Arial"/>
                <w:szCs w:val="20"/>
              </w:rPr>
            </w:pPr>
            <w:r>
              <w:t>Sampling and analysis:</w:t>
            </w:r>
            <w:r>
              <w:rPr>
                <w:rStyle w:val="WESstatus"/>
              </w:rPr>
              <w:t xml:space="preserve"> </w:t>
            </w:r>
            <w:sdt>
              <w:sdtPr>
                <w:rPr>
                  <w:rStyle w:val="WESstatus"/>
                  <w:b w:val="0"/>
                </w:rPr>
                <w:id w:val="-2105258949"/>
                <w:placeholder>
                  <w:docPart w:val="53CADDC5505A4F23816AD84C294BE7E1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b w:val="0"/>
                  </w:rPr>
                  <w:t>N/A</w:t>
                </w:r>
              </w:sdtContent>
            </w:sdt>
          </w:p>
        </w:tc>
      </w:tr>
    </w:tbl>
    <w:p w14:paraId="67034C86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6C7B631" w14:textId="5FA53536" w:rsidR="000F3A90" w:rsidRDefault="0020262A" w:rsidP="000C139A">
      <w:r>
        <w:rPr>
          <w:rFonts w:cs="Arial"/>
        </w:rPr>
        <w:t xml:space="preserve">A </w:t>
      </w:r>
      <w:r w:rsidR="008D1A98">
        <w:rPr>
          <w:rFonts w:cs="Arial"/>
        </w:rPr>
        <w:t>TWA</w:t>
      </w:r>
      <w:r w:rsidR="008D1A98" w:rsidRPr="008D1A98">
        <w:t xml:space="preserve"> </w:t>
      </w:r>
      <w:r>
        <w:t xml:space="preserve">is not </w:t>
      </w:r>
      <w:r w:rsidR="008D1A98">
        <w:t>recommended due to insufficient data to derive</w:t>
      </w:r>
      <w:r w:rsidR="000F3A90">
        <w:t xml:space="preserve"> a concentration.</w:t>
      </w:r>
      <w:r w:rsidR="009F360F">
        <w:t xml:space="preserve"> </w:t>
      </w:r>
      <w:r w:rsidR="009F360F" w:rsidRPr="009F360F">
        <w:t>Exposure should be minimised as far as possible to protect for potential carcinogenic effects.</w:t>
      </w:r>
    </w:p>
    <w:p w14:paraId="7B2D9AFF" w14:textId="79575549" w:rsidR="00435F79" w:rsidRPr="0064580F" w:rsidRDefault="0020262A" w:rsidP="00435F79">
      <w:pPr>
        <w:rPr>
          <w:rFonts w:cs="Arial"/>
        </w:rPr>
      </w:pPr>
      <w:r w:rsidRPr="0020262A">
        <w:rPr>
          <w:rFonts w:cs="Arial"/>
        </w:rPr>
        <w:t xml:space="preserve">Given the limited data available from the primary sources, it is recommended that a </w:t>
      </w:r>
      <w:r w:rsidR="00C469B7">
        <w:rPr>
          <w:rFonts w:cs="Arial"/>
        </w:rPr>
        <w:t xml:space="preserve">broader </w:t>
      </w:r>
      <w:r w:rsidRPr="0020262A">
        <w:rPr>
          <w:rFonts w:cs="Arial"/>
        </w:rPr>
        <w:t>review of additional sources be conducted at the next scheduled review.</w:t>
      </w:r>
    </w:p>
    <w:p w14:paraId="60C16398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ECFD5BA" w14:textId="77777777" w:rsidR="000F3A90" w:rsidRDefault="008D1A98" w:rsidP="008F11D2">
      <w:r>
        <w:t xml:space="preserve">Diethyl </w:t>
      </w:r>
      <w:proofErr w:type="spellStart"/>
      <w:r w:rsidR="003279F9">
        <w:t>sulfate</w:t>
      </w:r>
      <w:proofErr w:type="spellEnd"/>
      <w:r w:rsidR="003279F9">
        <w:t xml:space="preserve"> </w:t>
      </w:r>
      <w:r>
        <w:t>is primarily used as an ethylating agent in the manufacture of dyes, pigments and textile chemicals, and as a finishing agent in textile production</w:t>
      </w:r>
      <w:r w:rsidR="008F11D2">
        <w:t xml:space="preserve">. </w:t>
      </w:r>
    </w:p>
    <w:p w14:paraId="23CE015B" w14:textId="4860F7D2" w:rsidR="008F11D2" w:rsidRDefault="009F360F" w:rsidP="008F11D2">
      <w:pPr>
        <w:rPr>
          <w:rStyle w:val="checkbox"/>
          <w:rFonts w:ascii="Arial" w:hAnsi="Arial" w:cs="Arial"/>
        </w:rPr>
      </w:pPr>
      <w:r>
        <w:t xml:space="preserve">Diethyl </w:t>
      </w:r>
      <w:proofErr w:type="spellStart"/>
      <w:r>
        <w:t>sulfate</w:t>
      </w:r>
      <w:proofErr w:type="spellEnd"/>
      <w:r w:rsidR="000F3A90">
        <w:t xml:space="preserve"> is</w:t>
      </w:r>
      <w:r w:rsidR="008F11D2" w:rsidRPr="00B3213D">
        <w:rPr>
          <w:rStyle w:val="checkbox"/>
          <w:rFonts w:ascii="Arial" w:hAnsi="Arial" w:cs="Arial"/>
        </w:rPr>
        <w:t xml:space="preserve"> antic</w:t>
      </w:r>
      <w:r w:rsidR="008F11D2">
        <w:rPr>
          <w:rStyle w:val="checkbox"/>
          <w:rFonts w:ascii="Arial" w:hAnsi="Arial" w:cs="Arial"/>
        </w:rPr>
        <w:t xml:space="preserve">ipated to be a human carcinogen. </w:t>
      </w:r>
      <w:r w:rsidR="008F11D2" w:rsidRPr="008F11D2">
        <w:rPr>
          <w:rStyle w:val="checkbox"/>
          <w:rFonts w:ascii="Arial" w:hAnsi="Arial" w:cs="Arial"/>
        </w:rPr>
        <w:t xml:space="preserve">A nested case control study of </w:t>
      </w:r>
      <w:r w:rsidR="008F11D2">
        <w:rPr>
          <w:rStyle w:val="checkbox"/>
          <w:rFonts w:ascii="Arial" w:hAnsi="Arial" w:cs="Arial"/>
        </w:rPr>
        <w:t xml:space="preserve">17 benign brain tumours in </w:t>
      </w:r>
      <w:r w:rsidR="008F11D2" w:rsidRPr="008F11D2">
        <w:rPr>
          <w:rStyle w:val="checkbox"/>
          <w:rFonts w:ascii="Arial" w:hAnsi="Arial" w:cs="Arial"/>
        </w:rPr>
        <w:t>workers at</w:t>
      </w:r>
      <w:r w:rsidR="008F11D2">
        <w:rPr>
          <w:rStyle w:val="checkbox"/>
          <w:rFonts w:ascii="Arial" w:hAnsi="Arial" w:cs="Arial"/>
        </w:rPr>
        <w:t xml:space="preserve"> </w:t>
      </w:r>
      <w:r w:rsidR="008F11D2" w:rsidRPr="008F11D2">
        <w:rPr>
          <w:rStyle w:val="checkbox"/>
          <w:rFonts w:ascii="Arial" w:hAnsi="Arial" w:cs="Arial"/>
        </w:rPr>
        <w:t>a petrochemical plant found the risk o</w:t>
      </w:r>
      <w:r w:rsidR="008F11D2">
        <w:rPr>
          <w:rStyle w:val="checkbox"/>
          <w:rFonts w:ascii="Arial" w:hAnsi="Arial" w:cs="Arial"/>
        </w:rPr>
        <w:t xml:space="preserve">f brain cancer to be associated </w:t>
      </w:r>
      <w:r w:rsidR="008F11D2" w:rsidRPr="008F11D2">
        <w:rPr>
          <w:rStyle w:val="checkbox"/>
          <w:rFonts w:ascii="Arial" w:hAnsi="Arial" w:cs="Arial"/>
        </w:rPr>
        <w:t xml:space="preserve">with exposure to diethyl </w:t>
      </w:r>
      <w:proofErr w:type="spellStart"/>
      <w:r w:rsidR="008F11D2" w:rsidRPr="008F11D2">
        <w:rPr>
          <w:rStyle w:val="checkbox"/>
          <w:rFonts w:ascii="Arial" w:hAnsi="Arial" w:cs="Arial"/>
        </w:rPr>
        <w:t>sulfate</w:t>
      </w:r>
      <w:proofErr w:type="spellEnd"/>
      <w:r w:rsidR="008F11D2">
        <w:rPr>
          <w:rStyle w:val="checkbox"/>
          <w:rFonts w:ascii="Arial" w:hAnsi="Arial" w:cs="Arial"/>
        </w:rPr>
        <w:t xml:space="preserve"> (</w:t>
      </w:r>
      <w:r w:rsidR="00190A0E">
        <w:rPr>
          <w:rStyle w:val="checkbox"/>
          <w:rFonts w:ascii="Arial" w:hAnsi="Arial" w:cs="Arial"/>
        </w:rPr>
        <w:t xml:space="preserve">NTP, 2016). </w:t>
      </w:r>
      <w:r w:rsidR="0020262A">
        <w:rPr>
          <w:rStyle w:val="checkbox"/>
          <w:rFonts w:ascii="Arial" w:hAnsi="Arial" w:cs="Arial"/>
        </w:rPr>
        <w:t>It is r</w:t>
      </w:r>
      <w:r w:rsidR="008F11D2">
        <w:rPr>
          <w:rStyle w:val="checkbox"/>
          <w:rFonts w:ascii="Arial" w:hAnsi="Arial" w:cs="Arial"/>
        </w:rPr>
        <w:t xml:space="preserve">eported </w:t>
      </w:r>
      <w:r w:rsidR="003279F9">
        <w:rPr>
          <w:rStyle w:val="checkbox"/>
          <w:rFonts w:ascii="Arial" w:hAnsi="Arial" w:cs="Arial"/>
        </w:rPr>
        <w:t>to cause</w:t>
      </w:r>
      <w:r w:rsidR="008F11D2" w:rsidRPr="008F11D2">
        <w:rPr>
          <w:rStyle w:val="checkbox"/>
          <w:rFonts w:ascii="Arial" w:hAnsi="Arial" w:cs="Arial"/>
        </w:rPr>
        <w:t xml:space="preserve"> tumours </w:t>
      </w:r>
      <w:r w:rsidR="008F11D2">
        <w:rPr>
          <w:rStyle w:val="checkbox"/>
          <w:rFonts w:ascii="Arial" w:hAnsi="Arial" w:cs="Arial"/>
        </w:rPr>
        <w:t xml:space="preserve">both locally and systemically </w:t>
      </w:r>
      <w:r w:rsidR="008F11D2" w:rsidRPr="008F11D2">
        <w:rPr>
          <w:rStyle w:val="checkbox"/>
          <w:rFonts w:ascii="Arial" w:hAnsi="Arial" w:cs="Arial"/>
        </w:rPr>
        <w:t>in rats at several different tissue sites</w:t>
      </w:r>
      <w:r w:rsidR="008F11D2">
        <w:rPr>
          <w:rStyle w:val="checkbox"/>
          <w:rFonts w:ascii="Arial" w:hAnsi="Arial" w:cs="Arial"/>
        </w:rPr>
        <w:t xml:space="preserve"> </w:t>
      </w:r>
      <w:r w:rsidR="008F11D2" w:rsidRPr="008F11D2">
        <w:rPr>
          <w:rStyle w:val="checkbox"/>
          <w:rFonts w:ascii="Arial" w:hAnsi="Arial" w:cs="Arial"/>
        </w:rPr>
        <w:t>and by several different routes of exposure</w:t>
      </w:r>
      <w:r w:rsidR="00E860E4">
        <w:rPr>
          <w:rStyle w:val="checkbox"/>
          <w:rFonts w:ascii="Arial" w:hAnsi="Arial" w:cs="Arial"/>
        </w:rPr>
        <w:t xml:space="preserve">. </w:t>
      </w:r>
      <w:r w:rsidR="00E860E4">
        <w:t xml:space="preserve">Positive results </w:t>
      </w:r>
      <w:r w:rsidR="0020262A">
        <w:t xml:space="preserve">are reported </w:t>
      </w:r>
      <w:r w:rsidR="00E860E4">
        <w:t xml:space="preserve">in several </w:t>
      </w:r>
      <w:r w:rsidR="00E860E4" w:rsidRPr="00F329F8">
        <w:rPr>
          <w:i/>
        </w:rPr>
        <w:t>in vitro</w:t>
      </w:r>
      <w:r w:rsidR="00E860E4">
        <w:t xml:space="preserve"> tests for mutagenicity </w:t>
      </w:r>
      <w:r w:rsidR="008F11D2">
        <w:rPr>
          <w:rStyle w:val="checkbox"/>
          <w:rFonts w:ascii="Arial" w:hAnsi="Arial" w:cs="Arial"/>
        </w:rPr>
        <w:t>(</w:t>
      </w:r>
      <w:r w:rsidR="00303DFF">
        <w:rPr>
          <w:rStyle w:val="checkbox"/>
          <w:rFonts w:ascii="Arial" w:hAnsi="Arial" w:cs="Arial"/>
        </w:rPr>
        <w:t xml:space="preserve">DFG, 2003; HCOTN, 1999; </w:t>
      </w:r>
      <w:r w:rsidR="008F11D2">
        <w:rPr>
          <w:rStyle w:val="checkbox"/>
          <w:rFonts w:ascii="Arial" w:hAnsi="Arial" w:cs="Arial"/>
        </w:rPr>
        <w:t>SCOEL, 2009).</w:t>
      </w:r>
    </w:p>
    <w:p w14:paraId="7616B49A" w14:textId="75409BA7" w:rsidR="008D1A98" w:rsidRDefault="0020262A" w:rsidP="008F11D2">
      <w:r>
        <w:rPr>
          <w:rStyle w:val="checkbox"/>
          <w:rFonts w:ascii="Arial" w:hAnsi="Arial" w:cs="Arial"/>
        </w:rPr>
        <w:t>E</w:t>
      </w:r>
      <w:r w:rsidR="00E860E4" w:rsidRPr="00E860E4">
        <w:rPr>
          <w:rStyle w:val="checkbox"/>
          <w:rFonts w:ascii="Arial" w:hAnsi="Arial" w:cs="Arial"/>
        </w:rPr>
        <w:t>vidence in animals and humans</w:t>
      </w:r>
      <w:r>
        <w:rPr>
          <w:rStyle w:val="checkbox"/>
          <w:rFonts w:ascii="Arial" w:hAnsi="Arial" w:cs="Arial"/>
        </w:rPr>
        <w:t xml:space="preserve"> suggest that carcinogenicity may be due to a mutagenic mode of action. However, </w:t>
      </w:r>
      <w:r w:rsidR="00E860E4">
        <w:rPr>
          <w:rStyle w:val="checkbox"/>
          <w:rFonts w:ascii="Arial" w:hAnsi="Arial" w:cs="Arial"/>
        </w:rPr>
        <w:t xml:space="preserve">insufficient data exists to </w:t>
      </w:r>
      <w:r>
        <w:rPr>
          <w:rStyle w:val="checkbox"/>
          <w:rFonts w:ascii="Arial" w:hAnsi="Arial" w:cs="Arial"/>
        </w:rPr>
        <w:t xml:space="preserve">recommend </w:t>
      </w:r>
      <w:r w:rsidR="00E860E4">
        <w:rPr>
          <w:rStyle w:val="checkbox"/>
          <w:rFonts w:ascii="Arial" w:hAnsi="Arial" w:cs="Arial"/>
        </w:rPr>
        <w:t>a suitable TWA.</w:t>
      </w:r>
      <w:r w:rsidR="00BD66DF" w:rsidRPr="00BD66DF">
        <w:t xml:space="preserve"> </w:t>
      </w:r>
      <w:r w:rsidR="00BD66DF" w:rsidRPr="00BD66DF">
        <w:rPr>
          <w:rStyle w:val="checkbox"/>
          <w:rFonts w:ascii="Arial" w:hAnsi="Arial" w:cs="Arial"/>
        </w:rPr>
        <w:t>Investigation of additional data sources is recommended at the next scheduled review</w:t>
      </w:r>
      <w:r w:rsidR="00BD66DF">
        <w:rPr>
          <w:rStyle w:val="checkbox"/>
          <w:rFonts w:ascii="Arial" w:hAnsi="Arial" w:cs="Arial"/>
        </w:rPr>
        <w:t>.</w:t>
      </w:r>
    </w:p>
    <w:p w14:paraId="18D19C12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3C5D2905" w14:textId="4F5C91EC" w:rsidR="00F26AF7" w:rsidRPr="00B3213D" w:rsidRDefault="00B3213D" w:rsidP="00F26AF7">
      <w:pPr>
        <w:rPr>
          <w:rFonts w:cs="Arial"/>
        </w:rPr>
      </w:pPr>
      <w:r w:rsidRPr="00B3213D">
        <w:rPr>
          <w:rFonts w:cs="Arial"/>
        </w:rPr>
        <w:t>C</w:t>
      </w:r>
      <w:r w:rsidR="00F26AF7" w:rsidRPr="00B3213D">
        <w:rPr>
          <w:rFonts w:cs="Arial"/>
        </w:rPr>
        <w:t xml:space="preserve">lassified as a </w:t>
      </w:r>
      <w:r w:rsidR="00190A0E" w:rsidRPr="00B3213D">
        <w:rPr>
          <w:rFonts w:cs="Arial"/>
        </w:rPr>
        <w:t xml:space="preserve">category 1B </w:t>
      </w:r>
      <w:r w:rsidR="00F26AF7" w:rsidRPr="00B3213D">
        <w:rPr>
          <w:rFonts w:cs="Arial"/>
        </w:rPr>
        <w:t>carcinogen according to the Globally Harmonized System of Classification and Labelling o</w:t>
      </w:r>
      <w:r w:rsidR="000F3A90">
        <w:rPr>
          <w:rFonts w:cs="Arial"/>
        </w:rPr>
        <w:t>f Chemicals (GHS).</w:t>
      </w:r>
    </w:p>
    <w:p w14:paraId="5CFB6D6C" w14:textId="2E0C1A78" w:rsidR="00F26AF7" w:rsidRPr="00B3213D" w:rsidRDefault="00F26AF7" w:rsidP="00F26AF7">
      <w:pPr>
        <w:rPr>
          <w:rFonts w:cs="Arial"/>
        </w:rPr>
      </w:pPr>
      <w:r w:rsidRPr="00B3213D">
        <w:rPr>
          <w:rFonts w:cs="Arial"/>
        </w:rPr>
        <w:t xml:space="preserve">Not classified as a skin </w:t>
      </w:r>
      <w:r w:rsidR="000F3A90" w:rsidRPr="00B3213D">
        <w:rPr>
          <w:rFonts w:cs="Arial"/>
        </w:rPr>
        <w:t xml:space="preserve">sensitiser </w:t>
      </w:r>
      <w:r w:rsidRPr="00B3213D">
        <w:rPr>
          <w:rFonts w:cs="Arial"/>
        </w:rPr>
        <w:t>or respiratory sensitiser according to the GHS.</w:t>
      </w:r>
    </w:p>
    <w:p w14:paraId="278EB578" w14:textId="77777777" w:rsidR="000F3A90" w:rsidRDefault="000F3A90" w:rsidP="000F3A90">
      <w:pPr>
        <w:rPr>
          <w:rFonts w:cs="Arial"/>
        </w:rPr>
      </w:pPr>
      <w:r>
        <w:rPr>
          <w:rFonts w:cs="Arial"/>
        </w:rPr>
        <w:t>There are insufficient data to recommend a skin notation.</w:t>
      </w:r>
    </w:p>
    <w:p w14:paraId="6FF1E63E" w14:textId="5EA6FBD5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E1ACEFD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5837A21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0D876C3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FF12300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E7E0EBC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B5106C9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DE7730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proofErr w:type="spellStart"/>
                <w:r w:rsidR="00DE7730">
                  <w:t>NA</w:t>
                </w:r>
                <w:proofErr w:type="spellEnd"/>
              </w:sdtContent>
            </w:sdt>
          </w:p>
        </w:tc>
      </w:tr>
      <w:tr w:rsidR="00C978F0" w:rsidRPr="00DA352E" w14:paraId="6F244AD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508013D" w14:textId="7654451B" w:rsidR="00C978F0" w:rsidRPr="00DA352E" w:rsidRDefault="00DE7730" w:rsidP="003365A5">
            <w:pPr>
              <w:pStyle w:val="Tabletextprimarysource"/>
            </w:pPr>
            <w:r>
              <w:t>No report</w:t>
            </w:r>
            <w:r w:rsidR="000F3A90">
              <w:t>.</w:t>
            </w:r>
          </w:p>
        </w:tc>
      </w:tr>
      <w:tr w:rsidR="00C978F0" w:rsidRPr="00DA352E" w14:paraId="4A25A7A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E56FC9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DE773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proofErr w:type="spellStart"/>
                <w:r w:rsidR="00DE7730">
                  <w:t>NA</w:t>
                </w:r>
                <w:proofErr w:type="spellEnd"/>
              </w:sdtContent>
            </w:sdt>
          </w:p>
        </w:tc>
      </w:tr>
      <w:tr w:rsidR="00C978F0" w:rsidRPr="00DA352E" w14:paraId="2276B5C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19D168C" w14:textId="23C9765A" w:rsidR="00C978F0" w:rsidRPr="00DA352E" w:rsidRDefault="00DE7730" w:rsidP="003365A5">
            <w:pPr>
              <w:pStyle w:val="Tabletextprimarysource"/>
            </w:pPr>
            <w:r>
              <w:t>No report</w:t>
            </w:r>
            <w:r w:rsidR="000F3A90">
              <w:t>.</w:t>
            </w:r>
          </w:p>
        </w:tc>
      </w:tr>
      <w:tr w:rsidR="00C978F0" w:rsidRPr="00DA352E" w14:paraId="0B0F78A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F28609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DE7730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DE7730">
                  <w:t>Not assigned</w:t>
                </w:r>
              </w:sdtContent>
            </w:sdt>
          </w:p>
        </w:tc>
      </w:tr>
      <w:tr w:rsidR="00C978F0" w:rsidRPr="00DA352E" w14:paraId="157521C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B9342D3" w14:textId="77777777" w:rsidR="00C978F0" w:rsidRDefault="00F329F8" w:rsidP="003365A5">
            <w:pPr>
              <w:pStyle w:val="Tabletextprimarysource"/>
            </w:pPr>
            <w:r>
              <w:t>No MAK assigned due to clear carcinogenicity in animals.</w:t>
            </w:r>
          </w:p>
          <w:p w14:paraId="0B779B68" w14:textId="77777777" w:rsidR="00F329F8" w:rsidRDefault="00F329F8" w:rsidP="003365A5">
            <w:pPr>
              <w:pStyle w:val="Tabletextprimarysource"/>
            </w:pPr>
            <w:r>
              <w:t>Summary of data:</w:t>
            </w:r>
          </w:p>
          <w:p w14:paraId="1A572FFB" w14:textId="77777777" w:rsidR="00F329F8" w:rsidRDefault="00F329F8" w:rsidP="003365A5">
            <w:pPr>
              <w:pStyle w:val="Tabletextprimarysource"/>
            </w:pPr>
            <w:r>
              <w:t>Human data:</w:t>
            </w:r>
          </w:p>
          <w:p w14:paraId="788ED050" w14:textId="03381E4A" w:rsidR="00303DFF" w:rsidRDefault="00F329F8" w:rsidP="0020262A">
            <w:pPr>
              <w:pStyle w:val="ListBullet"/>
              <w:spacing w:before="60" w:after="60"/>
              <w:ind w:left="726" w:hanging="357"/>
              <w:contextualSpacing w:val="0"/>
            </w:pPr>
            <w:r>
              <w:t>No reports of effects of short-term or long-term exposure or of toxicity</w:t>
            </w:r>
            <w:r w:rsidR="00303DFF">
              <w:t>.</w:t>
            </w:r>
          </w:p>
          <w:p w14:paraId="1101213E" w14:textId="77777777" w:rsidR="00F329F8" w:rsidRDefault="00F329F8" w:rsidP="00F329F8">
            <w:pPr>
              <w:pStyle w:val="Tabletextprimarysource"/>
            </w:pPr>
            <w:r>
              <w:t>Animal data:</w:t>
            </w:r>
          </w:p>
          <w:p w14:paraId="736505F0" w14:textId="37E8741A" w:rsidR="00561A1C" w:rsidRDefault="00561A1C" w:rsidP="0020262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250</w:t>
            </w:r>
            <w:r w:rsidR="000F3A90">
              <w:t xml:space="preserve"> ppm for 4 h for 14 d; 0/6 rat fatalities </w:t>
            </w:r>
          </w:p>
          <w:p w14:paraId="05A1ADCB" w14:textId="2260FC2C" w:rsidR="00561A1C" w:rsidRDefault="00561A1C" w:rsidP="0020262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500 ppm for 4 h for 14 d; 6/6 </w:t>
            </w:r>
            <w:r w:rsidR="000F3A90">
              <w:t>rat fatalities</w:t>
            </w:r>
          </w:p>
          <w:p w14:paraId="269503EA" w14:textId="77777777" w:rsidR="00F329F8" w:rsidRDefault="00ED280B" w:rsidP="0020262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Reported as l</w:t>
            </w:r>
            <w:r w:rsidR="00F329F8">
              <w:t xml:space="preserve">ess acutely toxic than dimethyl </w:t>
            </w:r>
            <w:proofErr w:type="spellStart"/>
            <w:r w:rsidR="00F329F8">
              <w:t>sulfate</w:t>
            </w:r>
            <w:proofErr w:type="spellEnd"/>
          </w:p>
          <w:p w14:paraId="3DC3E034" w14:textId="77777777" w:rsidR="00F329F8" w:rsidRDefault="00ED280B" w:rsidP="0020262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</w:t>
            </w:r>
            <w:r w:rsidRPr="00ED280B">
              <w:t>o reports of effects on animals of long-term inhalation</w:t>
            </w:r>
          </w:p>
          <w:p w14:paraId="1E7D0D93" w14:textId="60E3AB1B" w:rsidR="00724B4C" w:rsidRDefault="00724B4C" w:rsidP="0020262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Causes malignant tumours</w:t>
            </w:r>
            <w:r w:rsidR="00190A0E">
              <w:t xml:space="preserve"> in rats</w:t>
            </w:r>
            <w:r>
              <w:t xml:space="preserve"> at the injection site after subcutaneous injection, in the stomach after administration by gavage, and </w:t>
            </w:r>
            <w:proofErr w:type="spellStart"/>
            <w:r>
              <w:t>neurinomas</w:t>
            </w:r>
            <w:proofErr w:type="spellEnd"/>
            <w:r>
              <w:t xml:space="preserve"> after </w:t>
            </w:r>
            <w:proofErr w:type="spellStart"/>
            <w:r>
              <w:t>transplacental</w:t>
            </w:r>
            <w:proofErr w:type="spellEnd"/>
            <w:r>
              <w:t xml:space="preserve"> exposure</w:t>
            </w:r>
            <w:r w:rsidR="003279F9">
              <w:t>.</w:t>
            </w:r>
          </w:p>
          <w:p w14:paraId="19280759" w14:textId="77777777" w:rsidR="00303DFF" w:rsidRDefault="00303DFF" w:rsidP="0020262A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608583E5" w14:textId="77777777" w:rsidR="00F329F8" w:rsidRDefault="00F329F8" w:rsidP="00ED280B">
            <w:pPr>
              <w:pStyle w:val="Tabletextprimarysource"/>
              <w:tabs>
                <w:tab w:val="left" w:pos="6837"/>
              </w:tabs>
            </w:pPr>
            <w:r>
              <w:t xml:space="preserve">Positive results in </w:t>
            </w:r>
            <w:r w:rsidR="00ED280B">
              <w:t>several</w:t>
            </w:r>
            <w:r>
              <w:t xml:space="preserve"> </w:t>
            </w:r>
            <w:r w:rsidRPr="00F329F8">
              <w:rPr>
                <w:i/>
              </w:rPr>
              <w:t>in vitro</w:t>
            </w:r>
            <w:r>
              <w:t xml:space="preserve"> tests for mutagenicity</w:t>
            </w:r>
            <w:r w:rsidR="00724B4C">
              <w:t xml:space="preserve"> including</w:t>
            </w:r>
            <w:r w:rsidR="00ED280B">
              <w:t xml:space="preserve"> </w:t>
            </w:r>
            <w:r w:rsidR="00190A0E" w:rsidRPr="00ED280B">
              <w:rPr>
                <w:i/>
              </w:rPr>
              <w:t>E</w:t>
            </w:r>
            <w:r w:rsidR="00190A0E">
              <w:rPr>
                <w:i/>
              </w:rPr>
              <w:t>.</w:t>
            </w:r>
            <w:r w:rsidR="00ED280B" w:rsidRPr="00ED280B">
              <w:rPr>
                <w:i/>
              </w:rPr>
              <w:t>coli</w:t>
            </w:r>
            <w:r w:rsidR="003279F9" w:rsidRPr="00FC6CF0">
              <w:t>.</w:t>
            </w:r>
          </w:p>
          <w:p w14:paraId="3E7E7C58" w14:textId="136D3B38" w:rsidR="00303DFF" w:rsidRPr="00724B4C" w:rsidRDefault="00303DFF" w:rsidP="00ED280B">
            <w:pPr>
              <w:pStyle w:val="Tabletextprimarysource"/>
              <w:tabs>
                <w:tab w:val="left" w:pos="6837"/>
              </w:tabs>
            </w:pPr>
          </w:p>
        </w:tc>
      </w:tr>
      <w:tr w:rsidR="00C978F0" w:rsidRPr="00DA352E" w14:paraId="5C4FADE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99E632E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D54EC2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D54EC2">
                  <w:t>Not assigned</w:t>
                </w:r>
              </w:sdtContent>
            </w:sdt>
          </w:p>
        </w:tc>
      </w:tr>
      <w:tr w:rsidR="00C978F0" w:rsidRPr="00DA352E" w14:paraId="0863750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7CF8115" w14:textId="1115FEC5" w:rsidR="00C978F0" w:rsidRDefault="00724B4C" w:rsidP="003365A5">
            <w:pPr>
              <w:pStyle w:val="Tabletextprimarysource"/>
            </w:pPr>
            <w:r>
              <w:t>A health-based OEL cannot be derived</w:t>
            </w:r>
            <w:r w:rsidR="003279F9">
              <w:t>.</w:t>
            </w:r>
          </w:p>
          <w:p w14:paraId="6E9800BB" w14:textId="77777777" w:rsidR="00724B4C" w:rsidRDefault="00724B4C" w:rsidP="003365A5">
            <w:pPr>
              <w:pStyle w:val="Tabletextprimarysource"/>
            </w:pPr>
            <w:r>
              <w:t>Summary of additional data:</w:t>
            </w:r>
          </w:p>
          <w:p w14:paraId="739FF3A9" w14:textId="24DAF6C2" w:rsidR="001D5D49" w:rsidRDefault="00724B4C" w:rsidP="009F360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Clearly directly mutagenic in virtually all test systems examined</w:t>
            </w:r>
            <w:r w:rsidR="001D5D49">
              <w:t xml:space="preserve"> (</w:t>
            </w:r>
            <w:r w:rsidR="00F2647A" w:rsidRPr="001D5D49">
              <w:rPr>
                <w:i/>
              </w:rPr>
              <w:t xml:space="preserve">S. </w:t>
            </w:r>
            <w:proofErr w:type="spellStart"/>
            <w:r w:rsidR="00F2647A" w:rsidRPr="001D5D49">
              <w:rPr>
                <w:i/>
              </w:rPr>
              <w:t>typhimurium</w:t>
            </w:r>
            <w:proofErr w:type="spellEnd"/>
            <w:r w:rsidR="001D5D49" w:rsidRPr="001D5D49">
              <w:rPr>
                <w:i/>
              </w:rPr>
              <w:t xml:space="preserve">, </w:t>
            </w:r>
            <w:r w:rsidR="00F2647A">
              <w:t>plant cells</w:t>
            </w:r>
            <w:r w:rsidR="001D5D49">
              <w:t xml:space="preserve">, </w:t>
            </w:r>
            <w:r w:rsidR="00F2647A">
              <w:t>yeast</w:t>
            </w:r>
            <w:r w:rsidR="001D5D49">
              <w:t xml:space="preserve">, </w:t>
            </w:r>
            <w:r w:rsidR="00F2647A" w:rsidRPr="001D5D49">
              <w:rPr>
                <w:i/>
              </w:rPr>
              <w:t>Drosophila melanogaster</w:t>
            </w:r>
            <w:r w:rsidR="001D5D49" w:rsidRPr="001D5D49">
              <w:rPr>
                <w:i/>
              </w:rPr>
              <w:t xml:space="preserve">, </w:t>
            </w:r>
            <w:r w:rsidR="00F2647A">
              <w:t>cultured mammalian cells</w:t>
            </w:r>
            <w:r w:rsidR="001D5D49">
              <w:t>, rat hepatocytes, human lymphocytes and leucocytes, mice and rats)</w:t>
            </w:r>
          </w:p>
          <w:p w14:paraId="24DB35D9" w14:textId="77777777" w:rsidR="00724B4C" w:rsidRDefault="00724B4C" w:rsidP="0020262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Reported as carcinogenic both systemically and locally</w:t>
            </w:r>
          </w:p>
          <w:p w14:paraId="08AD7D5C" w14:textId="46F39382" w:rsidR="00724B4C" w:rsidRDefault="00724B4C" w:rsidP="0020262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Carcinogenicity data comparable with dimethyl </w:t>
            </w:r>
            <w:proofErr w:type="spellStart"/>
            <w:r>
              <w:t>sul</w:t>
            </w:r>
            <w:r w:rsidR="00FC6CF0">
              <w:t>f</w:t>
            </w:r>
            <w:r>
              <w:t>ate</w:t>
            </w:r>
            <w:proofErr w:type="spellEnd"/>
            <w:r>
              <w:t>; 0.5 ppm</w:t>
            </w:r>
            <w:r w:rsidR="00FA1226">
              <w:t xml:space="preserve"> 6 h </w:t>
            </w:r>
            <w:r w:rsidR="00190A0E">
              <w:t>2/</w:t>
            </w:r>
            <w:proofErr w:type="spellStart"/>
            <w:r w:rsidR="00FA1226">
              <w:t>wk</w:t>
            </w:r>
            <w:proofErr w:type="spellEnd"/>
            <w:r w:rsidR="00FA1226">
              <w:t xml:space="preserve"> carcinogenic in rats</w:t>
            </w:r>
            <w:r w:rsidR="00AF0FAF">
              <w:t xml:space="preserve"> upon long-term inhalation exposure</w:t>
            </w:r>
          </w:p>
          <w:p w14:paraId="4E35086B" w14:textId="77777777" w:rsidR="00FA1226" w:rsidRDefault="00FA1226" w:rsidP="0020262A">
            <w:pPr>
              <w:pStyle w:val="ListBullet"/>
              <w:spacing w:before="60" w:after="60"/>
              <w:ind w:left="714" w:hanging="357"/>
              <w:contextualSpacing w:val="0"/>
            </w:pPr>
            <w:r w:rsidRPr="00FA1226">
              <w:t xml:space="preserve">By analogy to dimethyl </w:t>
            </w:r>
            <w:proofErr w:type="spellStart"/>
            <w:r w:rsidR="00FC6CF0" w:rsidRPr="00FA1226">
              <w:t>sul</w:t>
            </w:r>
            <w:r w:rsidR="00FC6CF0">
              <w:t>f</w:t>
            </w:r>
            <w:r w:rsidR="00FC6CF0" w:rsidRPr="00FA1226">
              <w:t>ate</w:t>
            </w:r>
            <w:proofErr w:type="spellEnd"/>
            <w:r w:rsidRPr="00FA1226">
              <w:t>, a skin notation is applied</w:t>
            </w:r>
            <w:r w:rsidR="003279F9">
              <w:t>.</w:t>
            </w:r>
          </w:p>
          <w:p w14:paraId="02AED664" w14:textId="04B927B5" w:rsidR="00303DFF" w:rsidRPr="00DA352E" w:rsidRDefault="00303DFF" w:rsidP="0020262A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DA352E" w:rsidRPr="00DA352E" w14:paraId="2110A61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A8C3D18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D54EC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D54EC2">
                  <w:t>NA</w:t>
                </w:r>
                <w:proofErr w:type="spellEnd"/>
              </w:sdtContent>
            </w:sdt>
          </w:p>
        </w:tc>
      </w:tr>
      <w:tr w:rsidR="00DA352E" w:rsidRPr="00DA352E" w14:paraId="1866B48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6C18061" w14:textId="4E520673" w:rsidR="00DA352E" w:rsidRPr="00DA352E" w:rsidRDefault="000F3A90" w:rsidP="003365A5">
            <w:pPr>
              <w:pStyle w:val="Tabletextprimarysource"/>
            </w:pPr>
            <w:r>
              <w:t>No report.</w:t>
            </w:r>
          </w:p>
        </w:tc>
      </w:tr>
      <w:tr w:rsidR="00DA352E" w:rsidRPr="00DA352E" w14:paraId="435FBD7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7293840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D54EC2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D54EC2">
                  <w:t>Not assigned</w:t>
                </w:r>
              </w:sdtContent>
            </w:sdt>
          </w:p>
        </w:tc>
      </w:tr>
      <w:tr w:rsidR="00DA352E" w:rsidRPr="00DA352E" w14:paraId="4EE6919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AF4BD13" w14:textId="77777777" w:rsidR="00DA352E" w:rsidRDefault="00FA1226" w:rsidP="003365A5">
            <w:pPr>
              <w:pStyle w:val="Tabletextprimarysource"/>
            </w:pPr>
            <w:r>
              <w:t>Summary of additional data:</w:t>
            </w:r>
          </w:p>
          <w:p w14:paraId="708C2410" w14:textId="77777777" w:rsidR="00FA1226" w:rsidRDefault="00FA1226" w:rsidP="0020262A">
            <w:pPr>
              <w:pStyle w:val="ListBullet"/>
              <w:spacing w:before="60" w:after="60"/>
              <w:ind w:left="726" w:hanging="357"/>
              <w:contextualSpacing w:val="0"/>
            </w:pPr>
            <w:r>
              <w:t>Insufficient evidence to undertake quantitative extrapolation to a health-based occupational lifetime cancer risk value for inhalation exposure</w:t>
            </w:r>
            <w:r w:rsidR="003279F9">
              <w:t>.</w:t>
            </w:r>
          </w:p>
          <w:p w14:paraId="2A064DE2" w14:textId="57A859DC" w:rsidR="00303DFF" w:rsidRPr="00DA352E" w:rsidRDefault="00303DFF" w:rsidP="0020262A">
            <w:pPr>
              <w:pStyle w:val="ListBullet"/>
              <w:numPr>
                <w:ilvl w:val="0"/>
                <w:numId w:val="0"/>
              </w:numPr>
              <w:ind w:left="731"/>
            </w:pPr>
          </w:p>
        </w:tc>
      </w:tr>
    </w:tbl>
    <w:p w14:paraId="7E6D5547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54BDAF6B" w14:textId="77777777" w:rsidTr="008D1A98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436D80CD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5AF303A0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37DEF215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4" w:type="dxa"/>
            <w:shd w:val="clear" w:color="auto" w:fill="BFBFBF" w:themeFill="background1" w:themeFillShade="BF"/>
            <w:vAlign w:val="center"/>
          </w:tcPr>
          <w:p w14:paraId="7EF9EB1D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5D39D48D" w14:textId="77777777" w:rsidTr="008D1A98">
        <w:trPr>
          <w:cantSplit/>
        </w:trPr>
        <w:tc>
          <w:tcPr>
            <w:tcW w:w="1498" w:type="dxa"/>
          </w:tcPr>
          <w:p w14:paraId="43687665" w14:textId="77777777" w:rsidR="004966BF" w:rsidRPr="004C23F4" w:rsidRDefault="004966BF" w:rsidP="00224EE2">
            <w:pPr>
              <w:pStyle w:val="Tablefont"/>
            </w:pPr>
            <w:r>
              <w:t>NTP</w:t>
            </w:r>
          </w:p>
        </w:tc>
        <w:tc>
          <w:tcPr>
            <w:tcW w:w="424" w:type="dxa"/>
          </w:tcPr>
          <w:p w14:paraId="1992E7F2" w14:textId="1926713B" w:rsidR="004966BF" w:rsidRPr="00CE617F" w:rsidRDefault="00EC03E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0599BE4318CD4CC0836196E577CC2921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3213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33D8EDEE" w14:textId="5A5E1D80" w:rsidR="004966BF" w:rsidRPr="004C23F4" w:rsidRDefault="00190A0E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54" w:type="dxa"/>
          </w:tcPr>
          <w:p w14:paraId="4131288D" w14:textId="77777777" w:rsidR="004966BF" w:rsidRDefault="00B3213D" w:rsidP="0020262A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R</w:t>
            </w:r>
            <w:r w:rsidRPr="00B3213D">
              <w:rPr>
                <w:rStyle w:val="checkbox"/>
                <w:rFonts w:ascii="Arial" w:hAnsi="Arial" w:cs="Arial"/>
              </w:rPr>
              <w:t>easonably antic</w:t>
            </w:r>
            <w:r w:rsidR="008F11D2">
              <w:rPr>
                <w:rStyle w:val="checkbox"/>
                <w:rFonts w:ascii="Arial" w:hAnsi="Arial" w:cs="Arial"/>
              </w:rPr>
              <w:t>ipated to be a human carcinogen</w:t>
            </w:r>
          </w:p>
          <w:p w14:paraId="629A50BD" w14:textId="4793DD07" w:rsidR="008F11D2" w:rsidRPr="008F11D2" w:rsidRDefault="008F11D2" w:rsidP="0020262A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8F11D2">
              <w:rPr>
                <w:rStyle w:val="checkbox"/>
                <w:rFonts w:ascii="Arial" w:hAnsi="Arial" w:cs="Arial"/>
              </w:rPr>
              <w:t xml:space="preserve">A nested case control study of </w:t>
            </w:r>
            <w:r>
              <w:rPr>
                <w:rStyle w:val="checkbox"/>
                <w:rFonts w:ascii="Arial" w:hAnsi="Arial" w:cs="Arial"/>
              </w:rPr>
              <w:t xml:space="preserve">17 benign brain tumours in </w:t>
            </w:r>
            <w:r w:rsidRPr="008F11D2">
              <w:rPr>
                <w:rStyle w:val="checkbox"/>
                <w:rFonts w:ascii="Arial" w:hAnsi="Arial" w:cs="Arial"/>
              </w:rPr>
              <w:t>workers at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8F11D2">
              <w:rPr>
                <w:rStyle w:val="checkbox"/>
                <w:rFonts w:ascii="Arial" w:hAnsi="Arial" w:cs="Arial"/>
              </w:rPr>
              <w:t xml:space="preserve">a petrochemical plant found </w:t>
            </w:r>
            <w:r>
              <w:rPr>
                <w:rStyle w:val="checkbox"/>
                <w:rFonts w:ascii="Arial" w:hAnsi="Arial" w:cs="Arial"/>
              </w:rPr>
              <w:t xml:space="preserve">brain cancer </w:t>
            </w:r>
            <w:r w:rsidR="000F3A90">
              <w:rPr>
                <w:rStyle w:val="checkbox"/>
                <w:rFonts w:ascii="Arial" w:hAnsi="Arial" w:cs="Arial"/>
              </w:rPr>
              <w:t xml:space="preserve">risk </w:t>
            </w:r>
            <w:r>
              <w:rPr>
                <w:rStyle w:val="checkbox"/>
                <w:rFonts w:ascii="Arial" w:hAnsi="Arial" w:cs="Arial"/>
              </w:rPr>
              <w:t xml:space="preserve">associated </w:t>
            </w:r>
            <w:r w:rsidRPr="008F11D2">
              <w:rPr>
                <w:rStyle w:val="checkbox"/>
                <w:rFonts w:ascii="Arial" w:hAnsi="Arial" w:cs="Arial"/>
              </w:rPr>
              <w:t xml:space="preserve">with estimated exposure to diethyl </w:t>
            </w:r>
            <w:proofErr w:type="spellStart"/>
            <w:r w:rsidRPr="008F11D2">
              <w:rPr>
                <w:rStyle w:val="checkbox"/>
                <w:rFonts w:ascii="Arial" w:hAnsi="Arial" w:cs="Arial"/>
              </w:rPr>
              <w:t>sulfate</w:t>
            </w:r>
            <w:proofErr w:type="spellEnd"/>
          </w:p>
          <w:p w14:paraId="43787FCE" w14:textId="51988104" w:rsidR="008F11D2" w:rsidRDefault="008F11D2" w:rsidP="0020262A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Data</w:t>
            </w:r>
            <w:r w:rsidRPr="008F11D2">
              <w:rPr>
                <w:rStyle w:val="checkbox"/>
                <w:rFonts w:ascii="Arial" w:hAnsi="Arial" w:cs="Arial"/>
              </w:rPr>
              <w:t xml:space="preserve"> available from epidemiological studies are inadequate to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8F11D2">
              <w:rPr>
                <w:rStyle w:val="checkbox"/>
                <w:rFonts w:ascii="Arial" w:hAnsi="Arial" w:cs="Arial"/>
              </w:rPr>
              <w:t>evaluate the relationship between human cancer and exposure</w:t>
            </w:r>
          </w:p>
          <w:p w14:paraId="242C9416" w14:textId="79C7B8B4" w:rsidR="008F11D2" w:rsidRPr="008F11D2" w:rsidRDefault="008F11D2" w:rsidP="0020262A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</w:t>
            </w:r>
            <w:r w:rsidRPr="008F11D2">
              <w:rPr>
                <w:rStyle w:val="checkbox"/>
                <w:rFonts w:ascii="Arial" w:hAnsi="Arial" w:cs="Arial"/>
              </w:rPr>
              <w:t>aused tumours in rats at several different tissue sites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Pr="008F11D2">
              <w:rPr>
                <w:rStyle w:val="checkbox"/>
                <w:rFonts w:ascii="Arial" w:hAnsi="Arial" w:cs="Arial"/>
              </w:rPr>
              <w:t>and several routes of exposure</w:t>
            </w:r>
            <w:r w:rsidR="003279F9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00E6173A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14:paraId="477132EF" w14:textId="77777777" w:rsidTr="00FC6CF0">
        <w:trPr>
          <w:trHeight w:val="454"/>
          <w:tblHeader/>
        </w:trPr>
        <w:tc>
          <w:tcPr>
            <w:tcW w:w="6609" w:type="dxa"/>
            <w:vAlign w:val="center"/>
          </w:tcPr>
          <w:p w14:paraId="1615B4D6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59C72206" w14:textId="77777777" w:rsidR="002E0D61" w:rsidRDefault="00FA1226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17509C2D" w14:textId="77777777" w:rsidTr="00FC6CF0">
        <w:trPr>
          <w:trHeight w:val="454"/>
        </w:trPr>
        <w:tc>
          <w:tcPr>
            <w:tcW w:w="6609" w:type="dxa"/>
            <w:vAlign w:val="center"/>
          </w:tcPr>
          <w:p w14:paraId="5CBBC8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2B05C483" w14:textId="77777777" w:rsidR="008A36CF" w:rsidRDefault="00FA1226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43DC14A3" w14:textId="77777777" w:rsidTr="00FC6CF0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9" w:type="dxa"/>
                <w:vAlign w:val="center"/>
              </w:tcPr>
              <w:p w14:paraId="0A8421E0" w14:textId="77777777" w:rsidR="008A36CF" w:rsidRPr="006901A2" w:rsidRDefault="00FA1226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a non-threshold based genotoxic carcinogen.</w:t>
                </w:r>
              </w:p>
            </w:tc>
          </w:sdtContent>
        </w:sdt>
        <w:tc>
          <w:tcPr>
            <w:tcW w:w="2417" w:type="dxa"/>
            <w:vAlign w:val="center"/>
          </w:tcPr>
          <w:p w14:paraId="0A143258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  <w:tr w:rsidR="008A36CF" w14:paraId="3D8EA25E" w14:textId="77777777" w:rsidTr="00FC6CF0">
        <w:trPr>
          <w:trHeight w:val="454"/>
        </w:trPr>
        <w:tc>
          <w:tcPr>
            <w:tcW w:w="6609" w:type="dxa"/>
            <w:vAlign w:val="center"/>
          </w:tcPr>
          <w:p w14:paraId="6D1093AB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 w:rsidRPr="008A36CF">
              <w:t>Is a cancer slope factor or inhalation unit risk value available?</w:t>
            </w:r>
          </w:p>
        </w:tc>
        <w:sdt>
          <w:sdtPr>
            <w:id w:val="1304347970"/>
            <w:placeholder>
              <w:docPart w:val="047AD93791DC493F8562BB3488160D64"/>
            </w:placeholder>
            <w:comboBox>
              <w:listItem w:value="Choose an item."/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2FFDFAE3" w14:textId="77777777" w:rsidR="008A36CF" w:rsidRDefault="00FA1226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</w:tbl>
    <w:bookmarkEnd w:id="1"/>
    <w:p w14:paraId="11477242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05F028BD" w14:textId="77777777" w:rsidTr="00D1440D">
        <w:trPr>
          <w:cantSplit/>
          <w:tblHeader/>
        </w:trPr>
        <w:tc>
          <w:tcPr>
            <w:tcW w:w="3153" w:type="dxa"/>
            <w:shd w:val="clear" w:color="auto" w:fill="BFBFBF" w:themeFill="background1" w:themeFillShade="BF"/>
            <w:vAlign w:val="center"/>
          </w:tcPr>
          <w:p w14:paraId="7CF70199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5873" w:type="dxa"/>
            <w:shd w:val="clear" w:color="auto" w:fill="BFBFBF" w:themeFill="background1" w:themeFillShade="BF"/>
            <w:vAlign w:val="center"/>
          </w:tcPr>
          <w:p w14:paraId="2B05508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4BE0335" w14:textId="77777777" w:rsidTr="00D1440D">
        <w:trPr>
          <w:cantSplit/>
        </w:trPr>
        <w:tc>
          <w:tcPr>
            <w:tcW w:w="3153" w:type="dxa"/>
          </w:tcPr>
          <w:p w14:paraId="69578345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5873" w:type="dxa"/>
          </w:tcPr>
          <w:p w14:paraId="5D53D923" w14:textId="77777777" w:rsidR="00687890" w:rsidRPr="00190A0E" w:rsidRDefault="00DE7730" w:rsidP="00DD2F9B">
            <w:pPr>
              <w:pStyle w:val="Tablefont"/>
              <w:rPr>
                <w:rFonts w:cs="Arial"/>
                <w:szCs w:val="20"/>
              </w:rPr>
            </w:pPr>
            <w:r w:rsidRPr="00190A0E">
              <w:rPr>
                <w:rFonts w:cs="Arial"/>
                <w:szCs w:val="20"/>
              </w:rPr>
              <w:t>NA</w:t>
            </w:r>
          </w:p>
        </w:tc>
      </w:tr>
      <w:tr w:rsidR="007925F0" w:rsidRPr="004C23F4" w14:paraId="2CAD39D8" w14:textId="77777777" w:rsidTr="00D1440D">
        <w:trPr>
          <w:cantSplit/>
        </w:trPr>
        <w:tc>
          <w:tcPr>
            <w:tcW w:w="3153" w:type="dxa"/>
          </w:tcPr>
          <w:p w14:paraId="388DECE2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5873" w:type="dxa"/>
          </w:tcPr>
          <w:p w14:paraId="37C571D8" w14:textId="77777777" w:rsidR="007925F0" w:rsidRPr="00190A0E" w:rsidRDefault="00F26AF7" w:rsidP="00DD2F9B">
            <w:pPr>
              <w:pStyle w:val="Tablefont"/>
              <w:rPr>
                <w:rFonts w:cs="Arial"/>
                <w:szCs w:val="20"/>
              </w:rPr>
            </w:pPr>
            <w:r w:rsidRPr="00FC6CF0">
              <w:rPr>
                <w:rFonts w:cs="Arial"/>
                <w:szCs w:val="20"/>
              </w:rPr>
              <w:t>Carcinogenicity – category 1B</w:t>
            </w:r>
          </w:p>
        </w:tc>
      </w:tr>
      <w:tr w:rsidR="00AF483F" w:rsidRPr="004C23F4" w14:paraId="6F365F1E" w14:textId="77777777" w:rsidTr="00D1440D">
        <w:trPr>
          <w:cantSplit/>
        </w:trPr>
        <w:tc>
          <w:tcPr>
            <w:tcW w:w="3153" w:type="dxa"/>
          </w:tcPr>
          <w:p w14:paraId="0C90ED29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5873" w:type="dxa"/>
          </w:tcPr>
          <w:p w14:paraId="2EE701A2" w14:textId="77777777" w:rsidR="00AF483F" w:rsidRPr="00190A0E" w:rsidRDefault="00A6573B" w:rsidP="00DD2F9B">
            <w:pPr>
              <w:pStyle w:val="Tablefont"/>
              <w:rPr>
                <w:rFonts w:cs="Arial"/>
                <w:szCs w:val="20"/>
              </w:rPr>
            </w:pPr>
            <w:proofErr w:type="spellStart"/>
            <w:r w:rsidRPr="00190A0E">
              <w:rPr>
                <w:rFonts w:cs="Arial"/>
                <w:szCs w:val="20"/>
              </w:rPr>
              <w:t>Carc</w:t>
            </w:r>
            <w:proofErr w:type="spellEnd"/>
            <w:r w:rsidRPr="00190A0E">
              <w:rPr>
                <w:rFonts w:cs="Arial"/>
                <w:szCs w:val="20"/>
              </w:rPr>
              <w:t>. Cat. 2</w:t>
            </w:r>
          </w:p>
        </w:tc>
      </w:tr>
      <w:tr w:rsidR="00687890" w:rsidRPr="004C23F4" w14:paraId="37B8E512" w14:textId="77777777" w:rsidTr="00D1440D">
        <w:trPr>
          <w:cantSplit/>
        </w:trPr>
        <w:tc>
          <w:tcPr>
            <w:tcW w:w="3153" w:type="dxa"/>
          </w:tcPr>
          <w:p w14:paraId="13EBF5BE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5873" w:type="dxa"/>
          </w:tcPr>
          <w:p w14:paraId="5E3F269B" w14:textId="77777777" w:rsidR="00687890" w:rsidRPr="00190A0E" w:rsidRDefault="00A6573B" w:rsidP="00A6573B">
            <w:pPr>
              <w:rPr>
                <w:rFonts w:cs="Arial"/>
                <w:szCs w:val="20"/>
              </w:rPr>
            </w:pPr>
            <w:r w:rsidRPr="00190A0E">
              <w:rPr>
                <w:rFonts w:cs="Arial"/>
                <w:szCs w:val="20"/>
              </w:rPr>
              <w:t>Carcinogenicity – category 1B</w:t>
            </w:r>
          </w:p>
        </w:tc>
      </w:tr>
      <w:tr w:rsidR="00D1440D" w:rsidRPr="004C23F4" w14:paraId="0B698E41" w14:textId="77777777" w:rsidTr="00D1440D">
        <w:trPr>
          <w:cantSplit/>
        </w:trPr>
        <w:tc>
          <w:tcPr>
            <w:tcW w:w="3153" w:type="dxa"/>
          </w:tcPr>
          <w:p w14:paraId="4B38B86F" w14:textId="77777777" w:rsidR="00D1440D" w:rsidRDefault="00D1440D" w:rsidP="00D1440D">
            <w:pPr>
              <w:pStyle w:val="Tablefont"/>
            </w:pPr>
            <w:r>
              <w:t>ECHA</w:t>
            </w:r>
          </w:p>
        </w:tc>
        <w:tc>
          <w:tcPr>
            <w:tcW w:w="5873" w:type="dxa"/>
          </w:tcPr>
          <w:p w14:paraId="5A084C72" w14:textId="77777777" w:rsidR="00D1440D" w:rsidRPr="00190A0E" w:rsidRDefault="00D1440D" w:rsidP="00D1440D">
            <w:pPr>
              <w:rPr>
                <w:rFonts w:cs="Arial"/>
                <w:szCs w:val="20"/>
              </w:rPr>
            </w:pPr>
            <w:r w:rsidRPr="00190A0E">
              <w:rPr>
                <w:rFonts w:cs="Arial"/>
                <w:szCs w:val="20"/>
              </w:rPr>
              <w:t>Carcinogenicity – category 1B</w:t>
            </w:r>
          </w:p>
        </w:tc>
      </w:tr>
      <w:tr w:rsidR="002E0D61" w:rsidRPr="004C23F4" w14:paraId="5A87440E" w14:textId="77777777" w:rsidTr="00D1440D">
        <w:trPr>
          <w:cantSplit/>
        </w:trPr>
        <w:tc>
          <w:tcPr>
            <w:tcW w:w="3153" w:type="dxa"/>
          </w:tcPr>
          <w:p w14:paraId="6B83091C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5873" w:type="dxa"/>
          </w:tcPr>
          <w:p w14:paraId="1D016B8A" w14:textId="77777777" w:rsidR="002E0D61" w:rsidRPr="003279F9" w:rsidRDefault="00DE7730" w:rsidP="00DD2F9B">
            <w:pPr>
              <w:pStyle w:val="Tablefont"/>
              <w:rPr>
                <w:rFonts w:cs="Arial"/>
                <w:szCs w:val="20"/>
              </w:rPr>
            </w:pPr>
            <w:r w:rsidRPr="003279F9">
              <w:rPr>
                <w:rFonts w:cs="Arial"/>
                <w:szCs w:val="20"/>
              </w:rPr>
              <w:t>NA</w:t>
            </w:r>
          </w:p>
        </w:tc>
      </w:tr>
      <w:tr w:rsidR="002E0D61" w:rsidRPr="004C23F4" w14:paraId="6D95C7F9" w14:textId="77777777" w:rsidTr="00D1440D">
        <w:trPr>
          <w:cantSplit/>
        </w:trPr>
        <w:tc>
          <w:tcPr>
            <w:tcW w:w="3153" w:type="dxa"/>
          </w:tcPr>
          <w:p w14:paraId="124AAC66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5873" w:type="dxa"/>
          </w:tcPr>
          <w:p w14:paraId="55C47A54" w14:textId="77777777" w:rsidR="002E0D61" w:rsidRPr="003279F9" w:rsidRDefault="00D54EC2" w:rsidP="00DD2F9B">
            <w:pPr>
              <w:pStyle w:val="Tablefont"/>
              <w:rPr>
                <w:rFonts w:cs="Arial"/>
                <w:szCs w:val="20"/>
              </w:rPr>
            </w:pPr>
            <w:r w:rsidRPr="003279F9">
              <w:rPr>
                <w:rFonts w:cs="Arial"/>
                <w:szCs w:val="20"/>
              </w:rPr>
              <w:t>Carcinogenicity – 2</w:t>
            </w:r>
          </w:p>
        </w:tc>
      </w:tr>
      <w:tr w:rsidR="002E0D61" w:rsidRPr="004C23F4" w14:paraId="66507E74" w14:textId="77777777" w:rsidTr="00D1440D">
        <w:trPr>
          <w:cantSplit/>
        </w:trPr>
        <w:tc>
          <w:tcPr>
            <w:tcW w:w="3153" w:type="dxa"/>
          </w:tcPr>
          <w:p w14:paraId="26258508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5873" w:type="dxa"/>
          </w:tcPr>
          <w:p w14:paraId="086D5B34" w14:textId="77777777" w:rsidR="002E0D61" w:rsidRPr="003279F9" w:rsidRDefault="00D54EC2" w:rsidP="00D54EC2">
            <w:pPr>
              <w:rPr>
                <w:rFonts w:cs="Arial"/>
                <w:szCs w:val="20"/>
              </w:rPr>
            </w:pPr>
            <w:r w:rsidRPr="003279F9">
              <w:rPr>
                <w:rFonts w:cs="Arial"/>
                <w:szCs w:val="20"/>
              </w:rPr>
              <w:t>Carcinogenicity – A, Skin</w:t>
            </w:r>
          </w:p>
        </w:tc>
      </w:tr>
      <w:tr w:rsidR="002E0D61" w:rsidRPr="004C23F4" w14:paraId="20591616" w14:textId="77777777" w:rsidTr="00D1440D">
        <w:trPr>
          <w:cantSplit/>
        </w:trPr>
        <w:tc>
          <w:tcPr>
            <w:tcW w:w="3153" w:type="dxa"/>
          </w:tcPr>
          <w:p w14:paraId="39101A8F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5873" w:type="dxa"/>
          </w:tcPr>
          <w:p w14:paraId="39D7A170" w14:textId="77777777" w:rsidR="002E0D61" w:rsidRPr="003279F9" w:rsidRDefault="00FB265D" w:rsidP="00DD2F9B">
            <w:pPr>
              <w:pStyle w:val="Tablefont"/>
              <w:rPr>
                <w:rFonts w:cs="Arial"/>
                <w:szCs w:val="20"/>
              </w:rPr>
            </w:pPr>
            <w:r w:rsidRPr="003279F9">
              <w:rPr>
                <w:rFonts w:cs="Arial"/>
                <w:szCs w:val="20"/>
              </w:rPr>
              <w:t>—</w:t>
            </w:r>
          </w:p>
        </w:tc>
      </w:tr>
      <w:tr w:rsidR="00386093" w:rsidRPr="004C23F4" w14:paraId="4941D7B0" w14:textId="77777777" w:rsidTr="00D1440D">
        <w:trPr>
          <w:cantSplit/>
        </w:trPr>
        <w:tc>
          <w:tcPr>
            <w:tcW w:w="3153" w:type="dxa"/>
          </w:tcPr>
          <w:p w14:paraId="14B12003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5873" w:type="dxa"/>
          </w:tcPr>
          <w:p w14:paraId="6A25DAA5" w14:textId="77777777" w:rsidR="00386093" w:rsidRPr="003279F9" w:rsidRDefault="006135B5" w:rsidP="006135B5">
            <w:pPr>
              <w:rPr>
                <w:rFonts w:cs="Arial"/>
                <w:szCs w:val="20"/>
              </w:rPr>
            </w:pPr>
            <w:r w:rsidRPr="003279F9">
              <w:rPr>
                <w:rFonts w:cs="Arial"/>
                <w:szCs w:val="20"/>
              </w:rPr>
              <w:t>Carcinogenicity – Group 2A</w:t>
            </w:r>
          </w:p>
        </w:tc>
      </w:tr>
      <w:tr w:rsidR="00386093" w:rsidRPr="004C23F4" w14:paraId="1F1138F8" w14:textId="77777777" w:rsidTr="00D1440D">
        <w:trPr>
          <w:cantSplit/>
        </w:trPr>
        <w:tc>
          <w:tcPr>
            <w:tcW w:w="3153" w:type="dxa"/>
          </w:tcPr>
          <w:p w14:paraId="7DFC5C6A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5873" w:type="dxa"/>
          </w:tcPr>
          <w:p w14:paraId="55725AC6" w14:textId="77777777" w:rsidR="00386093" w:rsidRPr="003279F9" w:rsidRDefault="006E6198" w:rsidP="00D87570">
            <w:pPr>
              <w:pStyle w:val="Tablefont"/>
              <w:keepNext/>
              <w:rPr>
                <w:rFonts w:cs="Arial"/>
                <w:szCs w:val="20"/>
              </w:rPr>
            </w:pPr>
            <w:r w:rsidRPr="003279F9">
              <w:rPr>
                <w:rFonts w:cs="Arial"/>
                <w:szCs w:val="20"/>
              </w:rPr>
              <w:t>NA</w:t>
            </w:r>
          </w:p>
        </w:tc>
      </w:tr>
    </w:tbl>
    <w:bookmarkEnd w:id="2"/>
    <w:p w14:paraId="72C3502B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9E765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8036F4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D393DC4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C2DD28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26D1DAC7" w14:textId="790EDFB7" w:rsidR="00932DCE" w:rsidRPr="004C23F4" w:rsidRDefault="00190A0E" w:rsidP="00F9496B">
            <w:pPr>
              <w:pStyle w:val="Tablefont"/>
            </w:pPr>
            <w:r w:rsidRPr="00190A0E">
              <w:t>Insufficient data to assign a skin notation</w:t>
            </w:r>
            <w:r w:rsidR="0020262A">
              <w:t>.</w:t>
            </w:r>
          </w:p>
        </w:tc>
      </w:tr>
    </w:tbl>
    <w:bookmarkEnd w:id="3"/>
    <w:p w14:paraId="5DAB31B4" w14:textId="77777777" w:rsidR="00EB3D1B" w:rsidRDefault="00EB3D1B" w:rsidP="00EB3D1B">
      <w:pPr>
        <w:pStyle w:val="Heading3"/>
      </w:pPr>
      <w:r>
        <w:lastRenderedPageBreak/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20E066A9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B9EAEF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1AC0FA0" w14:textId="79511D62" w:rsidR="00EB3D1B" w:rsidRDefault="009F360F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BCF2CB2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A1F7C7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5F2978F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6AD1C32" w14:textId="77777777" w:rsidR="001B79E5" w:rsidRDefault="006E6198" w:rsidP="001B79E5">
                <w:pPr>
                  <w:pStyle w:val="Tablefont"/>
                </w:pPr>
                <w:r>
                  <w:t>154.2</w:t>
                </w:r>
              </w:p>
            </w:tc>
          </w:sdtContent>
        </w:sdt>
      </w:tr>
      <w:tr w:rsidR="00A31D99" w:rsidRPr="004C23F4" w14:paraId="53A2F32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4F5991A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2CFF27B4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57CECB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D56823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ACF806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5F5B526" w14:textId="77777777" w:rsidTr="00EA6243">
        <w:trPr>
          <w:cantSplit/>
        </w:trPr>
        <w:tc>
          <w:tcPr>
            <w:tcW w:w="4077" w:type="dxa"/>
            <w:vAlign w:val="center"/>
          </w:tcPr>
          <w:p w14:paraId="14931742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9EFF778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C5E4920" w14:textId="77777777" w:rsidTr="00EA6243">
        <w:trPr>
          <w:cantSplit/>
        </w:trPr>
        <w:tc>
          <w:tcPr>
            <w:tcW w:w="4077" w:type="dxa"/>
            <w:vAlign w:val="center"/>
          </w:tcPr>
          <w:p w14:paraId="2E3344A1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FDC9573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617F28C" w14:textId="77777777" w:rsidTr="00EA6243">
        <w:trPr>
          <w:cantSplit/>
        </w:trPr>
        <w:tc>
          <w:tcPr>
            <w:tcW w:w="4077" w:type="dxa"/>
            <w:vAlign w:val="center"/>
          </w:tcPr>
          <w:p w14:paraId="58281D47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5F7FFAB" w14:textId="77777777" w:rsidR="00E06F40" w:rsidRPr="00A006A0" w:rsidRDefault="00EC03E6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FC0E43D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FCEC2A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600C9E8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74EA9A4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732251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A0F7FB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FA2E4D9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79C67990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E7A9B54" w14:textId="77777777" w:rsidR="00BD37F7" w:rsidRDefault="00BD37F7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432C74">
        <w:t>2003</w:t>
      </w:r>
      <w:r>
        <w:t xml:space="preserve">) </w:t>
      </w:r>
      <w:r w:rsidR="00432C74">
        <w:t xml:space="preserve">Diethyl </w:t>
      </w:r>
      <w:proofErr w:type="spellStart"/>
      <w:r w:rsidR="00432C74">
        <w:t>sulfate</w:t>
      </w:r>
      <w:proofErr w:type="spellEnd"/>
      <w:r>
        <w:t xml:space="preserve"> – MAK value documentation.</w:t>
      </w:r>
    </w:p>
    <w:p w14:paraId="20A5E02D" w14:textId="77777777" w:rsidR="00BD37F7" w:rsidRDefault="00BD37F7" w:rsidP="00084859">
      <w:r w:rsidRPr="002022B6">
        <w:t>EU Scientific Committee on Occupational Exposure Limits (SCOEL)</w:t>
      </w:r>
      <w:r>
        <w:t xml:space="preserve"> (</w:t>
      </w:r>
      <w:r w:rsidR="00432C74">
        <w:t>2009</w:t>
      </w:r>
      <w:r>
        <w:t xml:space="preserve">) Recommendation from the Scientific Committee on Occupational Exposure Limits for </w:t>
      </w:r>
      <w:r w:rsidR="00432C74">
        <w:t>diethyl sulphate</w:t>
      </w:r>
      <w:r>
        <w:t>. SCOEL/</w:t>
      </w:r>
      <w:r w:rsidR="00432C74">
        <w:t>SUM/154</w:t>
      </w:r>
      <w:r>
        <w:t>.</w:t>
      </w:r>
    </w:p>
    <w:p w14:paraId="19B63B4B" w14:textId="77777777" w:rsidR="003279F9" w:rsidRDefault="003279F9" w:rsidP="003279F9">
      <w:r w:rsidRPr="00BD37F7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1695EA8D" w14:textId="77777777" w:rsidR="004007D6" w:rsidRPr="004007D6" w:rsidRDefault="004007D6" w:rsidP="00084859">
      <w:pPr>
        <w:rPr>
          <w:b/>
        </w:rPr>
      </w:pPr>
      <w:r w:rsidRPr="002022B6">
        <w:t>Health Council of the Netherlands</w:t>
      </w:r>
      <w:r>
        <w:t xml:space="preserve"> (HCOTN) (1999) </w:t>
      </w:r>
      <w:proofErr w:type="spellStart"/>
      <w:r>
        <w:t>Diethylsulphate</w:t>
      </w:r>
      <w:proofErr w:type="spellEnd"/>
      <w:r w:rsidRPr="005F7416">
        <w:t xml:space="preserve">. Health-based calculated occupational cancer risk values. The Hague: Health Council of the Netherlands; publication no. </w:t>
      </w:r>
      <w:r>
        <w:t>1999/08OSH.</w:t>
      </w:r>
    </w:p>
    <w:p w14:paraId="1053F2A6" w14:textId="77777777" w:rsidR="00D402B2" w:rsidRDefault="00D402B2" w:rsidP="00D10734">
      <w:r w:rsidRPr="00D402B2">
        <w:t>International Agency for Research on Cancer (IARC) (1999) Volume 71 re-evaluation of some organic chemicals, hydrazine and hydrogen peroxide. IARC Monographs on the evaluation of the carcinogenic risk to humans.</w:t>
      </w:r>
    </w:p>
    <w:p w14:paraId="7F909275" w14:textId="7F62716B" w:rsidR="00D10734" w:rsidRDefault="00D10734" w:rsidP="00D10734">
      <w:r w:rsidRPr="002022B6">
        <w:t>National Industrial Chemicals Notification and Assessment Scheme (NICNAS)</w:t>
      </w:r>
      <w:r>
        <w:t xml:space="preserve"> (</w:t>
      </w:r>
      <w:r w:rsidR="00ED71A7">
        <w:t>2014</w:t>
      </w:r>
      <w:r>
        <w:t xml:space="preserve">) </w:t>
      </w:r>
      <w:proofErr w:type="spellStart"/>
      <w:r w:rsidR="00ED71A7" w:rsidRPr="00ED71A7">
        <w:t>Sulfuric</w:t>
      </w:r>
      <w:proofErr w:type="spellEnd"/>
      <w:r w:rsidR="00ED71A7" w:rsidRPr="00ED71A7">
        <w:t xml:space="preserve"> acid, diethyl ester</w:t>
      </w:r>
      <w:r w:rsidRPr="0071660C">
        <w:t xml:space="preserve">: Human </w:t>
      </w:r>
      <w:r w:rsidRPr="000F3A90">
        <w:t xml:space="preserve">health </w:t>
      </w:r>
      <w:sdt>
        <w:sdtPr>
          <w:id w:val="-1295753243"/>
          <w:placeholder>
            <w:docPart w:val="E74615E914F04879A8456A7556D796B4"/>
          </w:placeholder>
          <w:temporary/>
          <w:showingPlcHdr/>
        </w:sdtPr>
        <w:sdtEndPr/>
        <w:sdtContent>
          <w:r w:rsidRPr="000F3A90">
            <w:t>tier II</w:t>
          </w:r>
        </w:sdtContent>
      </w:sdt>
      <w:r w:rsidRPr="000F3A90">
        <w:t xml:space="preserve"> assessment </w:t>
      </w:r>
      <w:r>
        <w:t>– IMAP report.</w:t>
      </w:r>
    </w:p>
    <w:p w14:paraId="7EA61C70" w14:textId="385A0A21" w:rsidR="00190A0E" w:rsidRDefault="00190A0E" w:rsidP="00D10734">
      <w:r>
        <w:t>National Toxicology Program (NTP) (2016) NTP-</w:t>
      </w:r>
      <w:proofErr w:type="spellStart"/>
      <w:r>
        <w:t>RoC</w:t>
      </w:r>
      <w:proofErr w:type="spellEnd"/>
      <w:r>
        <w:t xml:space="preserve">: </w:t>
      </w:r>
      <w:r w:rsidR="00FC6CF0">
        <w:t xml:space="preserve">Diethyl </w:t>
      </w:r>
      <w:proofErr w:type="spellStart"/>
      <w:r w:rsidR="00FC6CF0">
        <w:t>Sulfate</w:t>
      </w:r>
      <w:proofErr w:type="spellEnd"/>
      <w:r>
        <w:t>.</w:t>
      </w:r>
    </w:p>
    <w:p w14:paraId="684F8FA2" w14:textId="66FC06B5" w:rsidR="00BD37F7" w:rsidRPr="00351FE0" w:rsidRDefault="003279F9" w:rsidP="00084859">
      <w:r w:rsidRPr="00BD37F7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sectPr w:rsidR="00BD37F7" w:rsidRPr="00351FE0" w:rsidSect="00B87D4C">
      <w:headerReference w:type="defaul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A7EE20" w16cid:durableId="21644A6F"/>
  <w16cid:commentId w16cid:paraId="4C5E775C" w16cid:durableId="21644ABF"/>
  <w16cid:commentId w16cid:paraId="0180BF88" w16cid:durableId="21644B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D0C3E" w14:textId="77777777" w:rsidR="002526B5" w:rsidRDefault="002526B5" w:rsidP="00F43AD5">
      <w:pPr>
        <w:spacing w:after="0" w:line="240" w:lineRule="auto"/>
      </w:pPr>
      <w:r>
        <w:separator/>
      </w:r>
    </w:p>
  </w:endnote>
  <w:endnote w:type="continuationSeparator" w:id="0">
    <w:p w14:paraId="2D72C208" w14:textId="77777777" w:rsidR="002526B5" w:rsidRDefault="002526B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4CC2A" w14:textId="77777777" w:rsidR="00EC03E6" w:rsidRDefault="00EC0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D404B5E" w14:textId="77777777" w:rsidR="008A36CF" w:rsidRDefault="00DE7730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 xml:space="preserve">Diethyl </w:t>
        </w:r>
        <w:proofErr w:type="spellStart"/>
        <w:r>
          <w:rPr>
            <w:b/>
            <w:sz w:val="18"/>
            <w:szCs w:val="18"/>
          </w:rPr>
          <w:t>sulfate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64-67-5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6984266" w14:textId="2AB27B37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EC03E6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6E23" w14:textId="77777777" w:rsidR="00EC03E6" w:rsidRDefault="00EC0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F087A" w14:textId="77777777" w:rsidR="002526B5" w:rsidRDefault="002526B5" w:rsidP="00F43AD5">
      <w:pPr>
        <w:spacing w:after="0" w:line="240" w:lineRule="auto"/>
      </w:pPr>
      <w:r>
        <w:separator/>
      </w:r>
    </w:p>
  </w:footnote>
  <w:footnote w:type="continuationSeparator" w:id="0">
    <w:p w14:paraId="3B90C940" w14:textId="77777777" w:rsidR="002526B5" w:rsidRDefault="002526B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E758D" w14:textId="77777777" w:rsidR="00EC03E6" w:rsidRDefault="00EC0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8CC0A" w14:textId="6D0B0923" w:rsidR="00EC03E6" w:rsidRDefault="00EC03E6" w:rsidP="00EC03E6">
    <w:pPr>
      <w:pStyle w:val="Header"/>
      <w:jc w:val="right"/>
    </w:pPr>
    <w:r>
      <w:pict w14:anchorId="02C546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10241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5313E88" wp14:editId="3FC7BF84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A05D4" w14:textId="55ED1180" w:rsidR="008A36CF" w:rsidRPr="00EC03E6" w:rsidRDefault="008A36CF" w:rsidP="00EC03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415F6" w14:textId="77777777" w:rsidR="00EC03E6" w:rsidRDefault="00EC03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77D5E" w14:textId="50E42DED" w:rsidR="00EC03E6" w:rsidRDefault="00EC03E6" w:rsidP="00EC03E6">
    <w:pPr>
      <w:pStyle w:val="Header"/>
      <w:jc w:val="right"/>
    </w:pPr>
    <w:r>
      <w:pict w14:anchorId="5DEA80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863288E" wp14:editId="2A81CEB8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025C33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B9C4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B22D15"/>
    <w:multiLevelType w:val="hybridMultilevel"/>
    <w:tmpl w:val="57B29832"/>
    <w:lvl w:ilvl="0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4FE1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3A90"/>
    <w:rsid w:val="0010461E"/>
    <w:rsid w:val="00106FAA"/>
    <w:rsid w:val="00113443"/>
    <w:rsid w:val="001269A7"/>
    <w:rsid w:val="00131092"/>
    <w:rsid w:val="00140E6A"/>
    <w:rsid w:val="00146545"/>
    <w:rsid w:val="00146B75"/>
    <w:rsid w:val="00152553"/>
    <w:rsid w:val="0015266D"/>
    <w:rsid w:val="0015288A"/>
    <w:rsid w:val="00160F47"/>
    <w:rsid w:val="00177CA1"/>
    <w:rsid w:val="00183823"/>
    <w:rsid w:val="00183942"/>
    <w:rsid w:val="00190A0E"/>
    <w:rsid w:val="001A009E"/>
    <w:rsid w:val="001A1287"/>
    <w:rsid w:val="001A3859"/>
    <w:rsid w:val="001A3C9D"/>
    <w:rsid w:val="001A43F8"/>
    <w:rsid w:val="001B79E5"/>
    <w:rsid w:val="001D56F0"/>
    <w:rsid w:val="001D5D49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262A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26B5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2F6B0C"/>
    <w:rsid w:val="00303DFF"/>
    <w:rsid w:val="0030740C"/>
    <w:rsid w:val="00315833"/>
    <w:rsid w:val="00317F9D"/>
    <w:rsid w:val="003215EE"/>
    <w:rsid w:val="003224BF"/>
    <w:rsid w:val="003241A8"/>
    <w:rsid w:val="00324B15"/>
    <w:rsid w:val="003253F0"/>
    <w:rsid w:val="003279F9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0F2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07D6"/>
    <w:rsid w:val="004030BC"/>
    <w:rsid w:val="00403F7D"/>
    <w:rsid w:val="00406785"/>
    <w:rsid w:val="004079B4"/>
    <w:rsid w:val="00417A56"/>
    <w:rsid w:val="00420957"/>
    <w:rsid w:val="00422A10"/>
    <w:rsid w:val="00430179"/>
    <w:rsid w:val="00432C74"/>
    <w:rsid w:val="00435F79"/>
    <w:rsid w:val="004414B5"/>
    <w:rsid w:val="00444482"/>
    <w:rsid w:val="00444B42"/>
    <w:rsid w:val="00445E44"/>
    <w:rsid w:val="004509E2"/>
    <w:rsid w:val="004515EE"/>
    <w:rsid w:val="004529F0"/>
    <w:rsid w:val="00460303"/>
    <w:rsid w:val="00460A03"/>
    <w:rsid w:val="00472A11"/>
    <w:rsid w:val="00472AAD"/>
    <w:rsid w:val="00474E33"/>
    <w:rsid w:val="0047604C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61A1C"/>
    <w:rsid w:val="005651B8"/>
    <w:rsid w:val="00581055"/>
    <w:rsid w:val="0058477B"/>
    <w:rsid w:val="00591E38"/>
    <w:rsid w:val="005A19C5"/>
    <w:rsid w:val="005A3034"/>
    <w:rsid w:val="005A462D"/>
    <w:rsid w:val="005A6FB3"/>
    <w:rsid w:val="005B253B"/>
    <w:rsid w:val="005B5F29"/>
    <w:rsid w:val="005B771D"/>
    <w:rsid w:val="005C5D16"/>
    <w:rsid w:val="005D3193"/>
    <w:rsid w:val="005D4A6E"/>
    <w:rsid w:val="005E02AC"/>
    <w:rsid w:val="005E6979"/>
    <w:rsid w:val="005E75CB"/>
    <w:rsid w:val="006013C1"/>
    <w:rsid w:val="0060669E"/>
    <w:rsid w:val="00610F2E"/>
    <w:rsid w:val="00611399"/>
    <w:rsid w:val="006135B5"/>
    <w:rsid w:val="00624C4E"/>
    <w:rsid w:val="00625200"/>
    <w:rsid w:val="006363A8"/>
    <w:rsid w:val="00636DB7"/>
    <w:rsid w:val="00650905"/>
    <w:rsid w:val="006532ED"/>
    <w:rsid w:val="006549F2"/>
    <w:rsid w:val="00654DEA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6841"/>
    <w:rsid w:val="006B160A"/>
    <w:rsid w:val="006B4E6C"/>
    <w:rsid w:val="006B50B6"/>
    <w:rsid w:val="006D79EA"/>
    <w:rsid w:val="006E5D05"/>
    <w:rsid w:val="006E6198"/>
    <w:rsid w:val="006F5430"/>
    <w:rsid w:val="00701053"/>
    <w:rsid w:val="00701507"/>
    <w:rsid w:val="00714021"/>
    <w:rsid w:val="00716A0F"/>
    <w:rsid w:val="00717D45"/>
    <w:rsid w:val="007208F7"/>
    <w:rsid w:val="007218AF"/>
    <w:rsid w:val="00724B4C"/>
    <w:rsid w:val="007365D1"/>
    <w:rsid w:val="00740E0E"/>
    <w:rsid w:val="00750212"/>
    <w:rsid w:val="00754779"/>
    <w:rsid w:val="0075716D"/>
    <w:rsid w:val="00765F14"/>
    <w:rsid w:val="00770E31"/>
    <w:rsid w:val="007770F1"/>
    <w:rsid w:val="0078052D"/>
    <w:rsid w:val="00783FB1"/>
    <w:rsid w:val="00785CDD"/>
    <w:rsid w:val="00791847"/>
    <w:rsid w:val="007925F0"/>
    <w:rsid w:val="007939B3"/>
    <w:rsid w:val="0079509C"/>
    <w:rsid w:val="00796708"/>
    <w:rsid w:val="007B1B42"/>
    <w:rsid w:val="007B7E65"/>
    <w:rsid w:val="007C30EB"/>
    <w:rsid w:val="007E063C"/>
    <w:rsid w:val="007E2A4B"/>
    <w:rsid w:val="007E307D"/>
    <w:rsid w:val="007E522B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1915"/>
    <w:rsid w:val="008B403C"/>
    <w:rsid w:val="008B5061"/>
    <w:rsid w:val="008B7983"/>
    <w:rsid w:val="008C2511"/>
    <w:rsid w:val="008D026D"/>
    <w:rsid w:val="008D1A98"/>
    <w:rsid w:val="008D23AB"/>
    <w:rsid w:val="008D4B8B"/>
    <w:rsid w:val="008D5A78"/>
    <w:rsid w:val="008E4E86"/>
    <w:rsid w:val="008E7B64"/>
    <w:rsid w:val="008F11D2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360F"/>
    <w:rsid w:val="00A01D0C"/>
    <w:rsid w:val="00A022DD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6573B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0FAF"/>
    <w:rsid w:val="00AF42CB"/>
    <w:rsid w:val="00AF483F"/>
    <w:rsid w:val="00AF5E07"/>
    <w:rsid w:val="00AF5F06"/>
    <w:rsid w:val="00B00A25"/>
    <w:rsid w:val="00B1422A"/>
    <w:rsid w:val="00B1765C"/>
    <w:rsid w:val="00B213C4"/>
    <w:rsid w:val="00B3213D"/>
    <w:rsid w:val="00B40C60"/>
    <w:rsid w:val="00B479A9"/>
    <w:rsid w:val="00B52EDF"/>
    <w:rsid w:val="00B71188"/>
    <w:rsid w:val="00B76A41"/>
    <w:rsid w:val="00B87D4C"/>
    <w:rsid w:val="00B93646"/>
    <w:rsid w:val="00BA0B38"/>
    <w:rsid w:val="00BA0CF9"/>
    <w:rsid w:val="00BA1DBB"/>
    <w:rsid w:val="00BA4510"/>
    <w:rsid w:val="00BA529A"/>
    <w:rsid w:val="00BB612A"/>
    <w:rsid w:val="00BD37F7"/>
    <w:rsid w:val="00BD499F"/>
    <w:rsid w:val="00BD56DE"/>
    <w:rsid w:val="00BD66DF"/>
    <w:rsid w:val="00BF2406"/>
    <w:rsid w:val="00C06E43"/>
    <w:rsid w:val="00C16315"/>
    <w:rsid w:val="00C275A6"/>
    <w:rsid w:val="00C3091E"/>
    <w:rsid w:val="00C40FF1"/>
    <w:rsid w:val="00C419E2"/>
    <w:rsid w:val="00C469B7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0734"/>
    <w:rsid w:val="00D140FC"/>
    <w:rsid w:val="00D1440D"/>
    <w:rsid w:val="00D21D8C"/>
    <w:rsid w:val="00D31357"/>
    <w:rsid w:val="00D33220"/>
    <w:rsid w:val="00D334D1"/>
    <w:rsid w:val="00D402B2"/>
    <w:rsid w:val="00D44C89"/>
    <w:rsid w:val="00D45B84"/>
    <w:rsid w:val="00D50865"/>
    <w:rsid w:val="00D516CD"/>
    <w:rsid w:val="00D54EC2"/>
    <w:rsid w:val="00D668E6"/>
    <w:rsid w:val="00D70670"/>
    <w:rsid w:val="00D74D80"/>
    <w:rsid w:val="00D76624"/>
    <w:rsid w:val="00D87570"/>
    <w:rsid w:val="00D91CB9"/>
    <w:rsid w:val="00D97989"/>
    <w:rsid w:val="00D97D8D"/>
    <w:rsid w:val="00DA0FC1"/>
    <w:rsid w:val="00DA352E"/>
    <w:rsid w:val="00DC5A5E"/>
    <w:rsid w:val="00DC7694"/>
    <w:rsid w:val="00DD1BF6"/>
    <w:rsid w:val="00DD2F9B"/>
    <w:rsid w:val="00DE2513"/>
    <w:rsid w:val="00DE26E8"/>
    <w:rsid w:val="00DE7730"/>
    <w:rsid w:val="00DF6F36"/>
    <w:rsid w:val="00E0084C"/>
    <w:rsid w:val="00E025AB"/>
    <w:rsid w:val="00E02868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8387A"/>
    <w:rsid w:val="00E860E4"/>
    <w:rsid w:val="00E92499"/>
    <w:rsid w:val="00E949AF"/>
    <w:rsid w:val="00E96077"/>
    <w:rsid w:val="00EA0A06"/>
    <w:rsid w:val="00EA6243"/>
    <w:rsid w:val="00EA74AB"/>
    <w:rsid w:val="00EB3D1B"/>
    <w:rsid w:val="00EC03E6"/>
    <w:rsid w:val="00ED1D89"/>
    <w:rsid w:val="00ED280B"/>
    <w:rsid w:val="00ED66BC"/>
    <w:rsid w:val="00ED71A7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170A2"/>
    <w:rsid w:val="00F20E68"/>
    <w:rsid w:val="00F22093"/>
    <w:rsid w:val="00F236DF"/>
    <w:rsid w:val="00F2647A"/>
    <w:rsid w:val="00F26AF7"/>
    <w:rsid w:val="00F329F8"/>
    <w:rsid w:val="00F43AD5"/>
    <w:rsid w:val="00F4402E"/>
    <w:rsid w:val="00F56DD0"/>
    <w:rsid w:val="00F6491C"/>
    <w:rsid w:val="00F658AD"/>
    <w:rsid w:val="00F67BBB"/>
    <w:rsid w:val="00F87D92"/>
    <w:rsid w:val="00F90AA7"/>
    <w:rsid w:val="00F91B0E"/>
    <w:rsid w:val="00F92498"/>
    <w:rsid w:val="00F9496B"/>
    <w:rsid w:val="00F970C9"/>
    <w:rsid w:val="00FA06A8"/>
    <w:rsid w:val="00FA1226"/>
    <w:rsid w:val="00FA3DF5"/>
    <w:rsid w:val="00FA741F"/>
    <w:rsid w:val="00FB265D"/>
    <w:rsid w:val="00FB4E07"/>
    <w:rsid w:val="00FB755A"/>
    <w:rsid w:val="00FC60A2"/>
    <w:rsid w:val="00FC6CF0"/>
    <w:rsid w:val="00FD0067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20F81E8C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BD37F7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F329F8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1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A9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A9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A9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599BE4318CD4CC0836196E577CC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569F-48FE-4FF8-8C03-2D2A8FB34A20}"/>
      </w:docPartPr>
      <w:docPartBody>
        <w:p w:rsidR="00D21A9F" w:rsidRDefault="00D21A9F">
          <w:pPr>
            <w:pStyle w:val="0599BE4318CD4CC0836196E577CC2921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047AD93791DC493F8562BB348816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63B6-C115-4EF7-97B0-A1A4995B6C1D}"/>
      </w:docPartPr>
      <w:docPartBody>
        <w:p w:rsidR="00D21A9F" w:rsidRDefault="00D21A9F">
          <w:pPr>
            <w:pStyle w:val="047AD93791DC493F8562BB3488160D64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E74615E914F04879A8456A7556D79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2BD8-E06B-4366-9D69-D9483E2C03CB}"/>
      </w:docPartPr>
      <w:docPartBody>
        <w:p w:rsidR="00BD07E6" w:rsidRDefault="00C621C5" w:rsidP="00C621C5">
          <w:pPr>
            <w:pStyle w:val="E74615E914F04879A8456A7556D796B4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  <w:docPart>
      <w:docPartPr>
        <w:name w:val="53CADDC5505A4F23816AD84C294BE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6161E-320C-4951-8714-E1838948F1C9}"/>
      </w:docPartPr>
      <w:docPartBody>
        <w:p w:rsidR="00D700FD" w:rsidRDefault="000B1D48" w:rsidP="000B1D48">
          <w:pPr>
            <w:pStyle w:val="53CADDC5505A4F23816AD84C294BE7E1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B1D48"/>
    <w:rsid w:val="00B63759"/>
    <w:rsid w:val="00BD07E6"/>
    <w:rsid w:val="00C621C5"/>
    <w:rsid w:val="00D21A9F"/>
    <w:rsid w:val="00D7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D48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1C4027E93FFD4AEE874870C8A467CA32">
    <w:name w:val="1C4027E93FFD4AEE874870C8A467CA32"/>
    <w:rsid w:val="00C621C5"/>
    <w:rPr>
      <w:lang w:val="en-US" w:eastAsia="en-US"/>
    </w:rPr>
  </w:style>
  <w:style w:type="paragraph" w:customStyle="1" w:styleId="CF2C9384EF50439EB13434F14C3302F5">
    <w:name w:val="CF2C9384EF50439EB13434F14C3302F5"/>
    <w:rsid w:val="00C621C5"/>
    <w:rPr>
      <w:lang w:val="en-US" w:eastAsia="en-US"/>
    </w:rPr>
  </w:style>
  <w:style w:type="paragraph" w:customStyle="1" w:styleId="71ECAD1344C34DE68AADD4E728327DD7">
    <w:name w:val="71ECAD1344C34DE68AADD4E728327DD7"/>
    <w:rsid w:val="00C621C5"/>
    <w:rPr>
      <w:lang w:val="en-US" w:eastAsia="en-US"/>
    </w:rPr>
  </w:style>
  <w:style w:type="paragraph" w:customStyle="1" w:styleId="0A5B777635D74AB2B16852C6940DA10F">
    <w:name w:val="0A5B777635D74AB2B16852C6940DA10F"/>
    <w:rsid w:val="00C621C5"/>
    <w:rPr>
      <w:lang w:val="en-US" w:eastAsia="en-US"/>
    </w:rPr>
  </w:style>
  <w:style w:type="paragraph" w:customStyle="1" w:styleId="1F67A2DA161947A78C6FE6B3719030E1">
    <w:name w:val="1F67A2DA161947A78C6FE6B3719030E1"/>
    <w:rsid w:val="00C621C5"/>
    <w:rPr>
      <w:lang w:val="en-US" w:eastAsia="en-US"/>
    </w:rPr>
  </w:style>
  <w:style w:type="paragraph" w:customStyle="1" w:styleId="F1D15DDBCB984975B00A9CA496832977">
    <w:name w:val="F1D15DDBCB984975B00A9CA496832977"/>
    <w:rsid w:val="00C621C5"/>
    <w:rPr>
      <w:lang w:val="en-US" w:eastAsia="en-US"/>
    </w:rPr>
  </w:style>
  <w:style w:type="paragraph" w:customStyle="1" w:styleId="98AF567B5F1848439318C96BF2887ACE">
    <w:name w:val="98AF567B5F1848439318C96BF2887ACE"/>
    <w:rsid w:val="00C621C5"/>
    <w:rPr>
      <w:lang w:val="en-US" w:eastAsia="en-US"/>
    </w:rPr>
  </w:style>
  <w:style w:type="paragraph" w:customStyle="1" w:styleId="C2DFE742CC5A4EDDA95E0DB90E41CDEB">
    <w:name w:val="C2DFE742CC5A4EDDA95E0DB90E41CDEB"/>
    <w:rsid w:val="00C621C5"/>
    <w:rPr>
      <w:lang w:val="en-US" w:eastAsia="en-US"/>
    </w:rPr>
  </w:style>
  <w:style w:type="paragraph" w:customStyle="1" w:styleId="C24AF78BED1D425188DAC306C0D6179D">
    <w:name w:val="C24AF78BED1D425188DAC306C0D6179D"/>
    <w:rsid w:val="00C621C5"/>
    <w:rPr>
      <w:lang w:val="en-US" w:eastAsia="en-US"/>
    </w:rPr>
  </w:style>
  <w:style w:type="paragraph" w:customStyle="1" w:styleId="52F5A4B933094DEA9EF6A9ADB039A3A8">
    <w:name w:val="52F5A4B933094DEA9EF6A9ADB039A3A8"/>
    <w:rsid w:val="00C621C5"/>
    <w:rPr>
      <w:lang w:val="en-US" w:eastAsia="en-US"/>
    </w:rPr>
  </w:style>
  <w:style w:type="paragraph" w:customStyle="1" w:styleId="552219BA07DF400A91F243A3153469DE">
    <w:name w:val="552219BA07DF400A91F243A3153469DE"/>
    <w:rsid w:val="00C621C5"/>
    <w:rPr>
      <w:lang w:val="en-US" w:eastAsia="en-US"/>
    </w:rPr>
  </w:style>
  <w:style w:type="paragraph" w:customStyle="1" w:styleId="ECF3175426A3418E8DA5F8D988A09CE3">
    <w:name w:val="ECF3175426A3418E8DA5F8D988A09CE3"/>
    <w:rsid w:val="00C621C5"/>
    <w:rPr>
      <w:lang w:val="en-US" w:eastAsia="en-US"/>
    </w:rPr>
  </w:style>
  <w:style w:type="paragraph" w:customStyle="1" w:styleId="414E6987A609451EAA16434F5A49872F">
    <w:name w:val="414E6987A609451EAA16434F5A49872F"/>
    <w:rsid w:val="00C621C5"/>
    <w:rPr>
      <w:lang w:val="en-US" w:eastAsia="en-US"/>
    </w:rPr>
  </w:style>
  <w:style w:type="paragraph" w:customStyle="1" w:styleId="08B45FDE4B3B49B7B21211AEA4F98BE0">
    <w:name w:val="08B45FDE4B3B49B7B21211AEA4F98BE0"/>
    <w:rsid w:val="00C621C5"/>
    <w:rPr>
      <w:lang w:val="en-US" w:eastAsia="en-US"/>
    </w:rPr>
  </w:style>
  <w:style w:type="paragraph" w:customStyle="1" w:styleId="E74615E914F04879A8456A7556D796B4">
    <w:name w:val="E74615E914F04879A8456A7556D796B4"/>
    <w:rsid w:val="00C621C5"/>
    <w:rPr>
      <w:lang w:val="en-US" w:eastAsia="en-US"/>
    </w:rPr>
  </w:style>
  <w:style w:type="paragraph" w:customStyle="1" w:styleId="BA9983118B524DFBA76FE284D4D3D78A">
    <w:name w:val="BA9983118B524DFBA76FE284D4D3D78A"/>
    <w:rsid w:val="00C621C5"/>
    <w:rPr>
      <w:lang w:val="en-US" w:eastAsia="en-US"/>
    </w:rPr>
  </w:style>
  <w:style w:type="paragraph" w:customStyle="1" w:styleId="4360D34867554CE9B081F30171898018">
    <w:name w:val="4360D34867554CE9B081F30171898018"/>
    <w:rsid w:val="00C621C5"/>
    <w:rPr>
      <w:lang w:val="en-US" w:eastAsia="en-US"/>
    </w:rPr>
  </w:style>
  <w:style w:type="paragraph" w:customStyle="1" w:styleId="D3370E6AFECF45C09B313DA3CAB397EA">
    <w:name w:val="D3370E6AFECF45C09B313DA3CAB397EA"/>
    <w:rsid w:val="00C621C5"/>
    <w:rPr>
      <w:lang w:val="en-US" w:eastAsia="en-US"/>
    </w:rPr>
  </w:style>
  <w:style w:type="paragraph" w:customStyle="1" w:styleId="99502B538FC84E6C891820F731C1B1E0">
    <w:name w:val="99502B538FC84E6C891820F731C1B1E0"/>
    <w:rsid w:val="00C621C5"/>
    <w:rPr>
      <w:lang w:val="en-US" w:eastAsia="en-US"/>
    </w:rPr>
  </w:style>
  <w:style w:type="paragraph" w:customStyle="1" w:styleId="84818A9726ED4B82A8867343BC61A9D0">
    <w:name w:val="84818A9726ED4B82A8867343BC61A9D0"/>
    <w:rsid w:val="00C621C5"/>
    <w:rPr>
      <w:lang w:val="en-US" w:eastAsia="en-US"/>
    </w:rPr>
  </w:style>
  <w:style w:type="paragraph" w:customStyle="1" w:styleId="DA6909D9362C450B99D4C9E2A63014C7">
    <w:name w:val="DA6909D9362C450B99D4C9E2A63014C7"/>
    <w:rsid w:val="00C621C5"/>
    <w:rPr>
      <w:lang w:val="en-US" w:eastAsia="en-US"/>
    </w:rPr>
  </w:style>
  <w:style w:type="paragraph" w:customStyle="1" w:styleId="A546569ADAEE4D6C94A5B8A2AD6D04F9">
    <w:name w:val="A546569ADAEE4D6C94A5B8A2AD6D04F9"/>
    <w:rsid w:val="00BD07E6"/>
  </w:style>
  <w:style w:type="paragraph" w:customStyle="1" w:styleId="53CADDC5505A4F23816AD84C294BE7E1">
    <w:name w:val="53CADDC5505A4F23816AD84C294BE7E1"/>
    <w:rsid w:val="000B1D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6C90F-67D4-4B26-A97E-60A00BCCC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D4563-30FE-4AF6-A575-7AC8B020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2ED4BDAC.dotm</Template>
  <TotalTime>401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68</cp:revision>
  <cp:lastPrinted>2018-10-22T22:41:00Z</cp:lastPrinted>
  <dcterms:created xsi:type="dcterms:W3CDTF">2019-04-14T23:55:00Z</dcterms:created>
  <dcterms:modified xsi:type="dcterms:W3CDTF">2019-11-06T22:07:00Z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