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B64B154" w14:textId="77777777" w:rsidR="00BD499F" w:rsidRPr="004C23F4" w:rsidRDefault="00A95DDC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Diethylamine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0"/>
        <w:gridCol w:w="5046"/>
      </w:tblGrid>
      <w:tr w:rsidR="00F43AD5" w:rsidRPr="004C23F4" w14:paraId="7DD2DA76" w14:textId="77777777" w:rsidTr="00A57761">
        <w:trPr>
          <w:cantSplit/>
          <w:tblHeader/>
        </w:trPr>
        <w:tc>
          <w:tcPr>
            <w:tcW w:w="3980" w:type="dxa"/>
          </w:tcPr>
          <w:p w14:paraId="30F39DBC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6" w:type="dxa"/>
          </w:tcPr>
          <w:p w14:paraId="0CF7144F" w14:textId="77777777" w:rsidR="00F43AD5" w:rsidRPr="00717D45" w:rsidRDefault="00EF2283" w:rsidP="00B76A41">
            <w:pPr>
              <w:pStyle w:val="Tablefont"/>
            </w:pPr>
            <w:r>
              <w:t>109-89-7</w:t>
            </w:r>
          </w:p>
        </w:tc>
      </w:tr>
      <w:tr w:rsidR="00F43AD5" w:rsidRPr="004C23F4" w14:paraId="245E8B7A" w14:textId="77777777" w:rsidTr="00A57761">
        <w:trPr>
          <w:cantSplit/>
        </w:trPr>
        <w:tc>
          <w:tcPr>
            <w:tcW w:w="3980" w:type="dxa"/>
          </w:tcPr>
          <w:p w14:paraId="1D13D0D0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6" w:type="dxa"/>
          </w:tcPr>
          <w:p w14:paraId="1C3E7D6D" w14:textId="77777777" w:rsidR="00F43AD5" w:rsidRPr="00661E57" w:rsidRDefault="00EF2283" w:rsidP="00661E57">
            <w:pPr>
              <w:pStyle w:val="Tablefont"/>
            </w:pPr>
            <w:r>
              <w:t>N,N-Diethylamine, N-Ethylethanamine, DEA, DEN, diethamine</w:t>
            </w:r>
            <w:r w:rsidR="008730C7">
              <w:t xml:space="preserve">, </w:t>
            </w:r>
            <w:r w:rsidR="008730C7" w:rsidRPr="00661E57">
              <w:t>ethanamine, amin, diethyl-</w:t>
            </w:r>
          </w:p>
        </w:tc>
      </w:tr>
      <w:tr w:rsidR="00F43AD5" w:rsidRPr="004C23F4" w14:paraId="1CDB82B6" w14:textId="77777777" w:rsidTr="00A57761">
        <w:trPr>
          <w:cantSplit/>
        </w:trPr>
        <w:tc>
          <w:tcPr>
            <w:tcW w:w="3980" w:type="dxa"/>
          </w:tcPr>
          <w:p w14:paraId="5A1988BB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6" w:type="dxa"/>
          </w:tcPr>
          <w:p w14:paraId="209F5DBB" w14:textId="77777777" w:rsidR="00F43AD5" w:rsidRPr="00717D45" w:rsidRDefault="005D58FE" w:rsidP="00B76A41">
            <w:pPr>
              <w:pStyle w:val="Tablefont"/>
            </w:pPr>
            <w:r>
              <w:t>(C</w:t>
            </w:r>
            <w:r w:rsidRPr="005D58FE">
              <w:rPr>
                <w:vertAlign w:val="subscript"/>
              </w:rPr>
              <w:t>2</w:t>
            </w:r>
            <w:r>
              <w:t>H</w:t>
            </w:r>
            <w:r w:rsidRPr="005D58FE">
              <w:rPr>
                <w:vertAlign w:val="subscript"/>
              </w:rPr>
              <w:t>5</w:t>
            </w:r>
            <w:r>
              <w:t>)</w:t>
            </w:r>
            <w:r w:rsidRPr="005D58FE">
              <w:rPr>
                <w:vertAlign w:val="subscript"/>
              </w:rPr>
              <w:t>2</w:t>
            </w:r>
            <w:r>
              <w:t>NH</w:t>
            </w:r>
          </w:p>
        </w:tc>
      </w:tr>
    </w:tbl>
    <w:p w14:paraId="752562E5" w14:textId="7C4EE1F9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0D0BBD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1"/>
        <w:gridCol w:w="5015"/>
      </w:tblGrid>
      <w:tr w:rsidR="00EF2283" w:rsidRPr="004C23F4" w14:paraId="26F4BA74" w14:textId="77777777" w:rsidTr="00EF2283">
        <w:trPr>
          <w:cantSplit/>
          <w:tblHeader/>
        </w:trPr>
        <w:tc>
          <w:tcPr>
            <w:tcW w:w="4011" w:type="dxa"/>
            <w:vAlign w:val="center"/>
          </w:tcPr>
          <w:p w14:paraId="364FD7D7" w14:textId="77777777" w:rsidR="00EF2283" w:rsidRPr="002C58FF" w:rsidRDefault="00EF2283" w:rsidP="00EF2283">
            <w:pPr>
              <w:pStyle w:val="Tablerowright"/>
            </w:pPr>
            <w:r>
              <w:t>TWA:</w:t>
            </w:r>
          </w:p>
        </w:tc>
        <w:tc>
          <w:tcPr>
            <w:tcW w:w="5015" w:type="dxa"/>
          </w:tcPr>
          <w:p w14:paraId="30181545" w14:textId="77777777" w:rsidR="00EF2283" w:rsidRPr="001C7081" w:rsidRDefault="00104702" w:rsidP="001C7081">
            <w:pPr>
              <w:pStyle w:val="Tablerowright"/>
              <w:jc w:val="left"/>
            </w:pPr>
            <w:r>
              <w:t>2 ppm (6.2 mg/m</w:t>
            </w:r>
            <w:r w:rsidRPr="00104702">
              <w:rPr>
                <w:vertAlign w:val="superscript"/>
              </w:rPr>
              <w:t>3</w:t>
            </w:r>
            <w:r>
              <w:t>)</w:t>
            </w:r>
          </w:p>
        </w:tc>
      </w:tr>
      <w:tr w:rsidR="00EF2283" w:rsidRPr="004C23F4" w14:paraId="36DC85AB" w14:textId="77777777" w:rsidTr="00EF2283">
        <w:trPr>
          <w:cantSplit/>
        </w:trPr>
        <w:tc>
          <w:tcPr>
            <w:tcW w:w="4011" w:type="dxa"/>
            <w:vAlign w:val="center"/>
          </w:tcPr>
          <w:p w14:paraId="15A1CB6F" w14:textId="77777777" w:rsidR="00EF2283" w:rsidRPr="002C58FF" w:rsidRDefault="00EF2283" w:rsidP="00EF2283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5" w:type="dxa"/>
          </w:tcPr>
          <w:p w14:paraId="7B062C40" w14:textId="77777777" w:rsidR="00EF2283" w:rsidRPr="001C7081" w:rsidRDefault="00104702" w:rsidP="001C7081">
            <w:pPr>
              <w:pStyle w:val="Tablerowright"/>
              <w:jc w:val="left"/>
            </w:pPr>
            <w:r>
              <w:t>10 ppm (30 mg/m</w:t>
            </w:r>
            <w:r w:rsidRPr="00104702">
              <w:rPr>
                <w:vertAlign w:val="superscript"/>
              </w:rPr>
              <w:t>3</w:t>
            </w:r>
            <w:r>
              <w:t>)</w:t>
            </w:r>
          </w:p>
        </w:tc>
      </w:tr>
      <w:tr w:rsidR="00EF2283" w:rsidRPr="004C23F4" w14:paraId="43B78173" w14:textId="77777777" w:rsidTr="00EF2283">
        <w:trPr>
          <w:cantSplit/>
        </w:trPr>
        <w:tc>
          <w:tcPr>
            <w:tcW w:w="4011" w:type="dxa"/>
            <w:vAlign w:val="center"/>
          </w:tcPr>
          <w:p w14:paraId="4500B2AF" w14:textId="77777777" w:rsidR="00EF2283" w:rsidRPr="002C58FF" w:rsidRDefault="00EF2283" w:rsidP="00EF2283">
            <w:pPr>
              <w:pStyle w:val="Tablerowright"/>
            </w:pPr>
            <w:r>
              <w:t>Peak limitation:</w:t>
            </w:r>
          </w:p>
        </w:tc>
        <w:tc>
          <w:tcPr>
            <w:tcW w:w="5015" w:type="dxa"/>
          </w:tcPr>
          <w:p w14:paraId="46D3BAF1" w14:textId="77777777" w:rsidR="00EF2283" w:rsidRPr="001C7081" w:rsidRDefault="00EF2283" w:rsidP="001C7081">
            <w:pPr>
              <w:pStyle w:val="Tablerowright"/>
              <w:jc w:val="left"/>
            </w:pPr>
            <w:r w:rsidRPr="00EF2283">
              <w:t>—</w:t>
            </w:r>
          </w:p>
        </w:tc>
      </w:tr>
      <w:tr w:rsidR="00EF2283" w:rsidRPr="004C23F4" w14:paraId="1BEBD523" w14:textId="77777777" w:rsidTr="00EF2283">
        <w:trPr>
          <w:cantSplit/>
        </w:trPr>
        <w:tc>
          <w:tcPr>
            <w:tcW w:w="4011" w:type="dxa"/>
          </w:tcPr>
          <w:p w14:paraId="71EDE0B5" w14:textId="77777777" w:rsidR="00EF2283" w:rsidRPr="002C58FF" w:rsidRDefault="00EF2283" w:rsidP="00EF2283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5" w:type="dxa"/>
          </w:tcPr>
          <w:p w14:paraId="4DD267FB" w14:textId="77777777" w:rsidR="00EF2283" w:rsidRPr="001C7081" w:rsidRDefault="001C7081" w:rsidP="001C7081">
            <w:pPr>
              <w:pStyle w:val="Tablerowright"/>
              <w:jc w:val="left"/>
            </w:pPr>
            <w:r w:rsidRPr="001C7081">
              <w:t>Sk</w:t>
            </w:r>
            <w:r w:rsidR="00661E57">
              <w:t>.</w:t>
            </w:r>
          </w:p>
        </w:tc>
      </w:tr>
      <w:tr w:rsidR="00EF2283" w:rsidRPr="004C23F4" w14:paraId="060972D8" w14:textId="77777777" w:rsidTr="00EF2283">
        <w:trPr>
          <w:cantSplit/>
        </w:trPr>
        <w:tc>
          <w:tcPr>
            <w:tcW w:w="4011" w:type="dxa"/>
            <w:vAlign w:val="center"/>
          </w:tcPr>
          <w:p w14:paraId="415C6819" w14:textId="77777777" w:rsidR="00EF2283" w:rsidRPr="002C58FF" w:rsidRDefault="00EF2283" w:rsidP="00EF2283">
            <w:pPr>
              <w:pStyle w:val="Tablerowright"/>
            </w:pPr>
            <w:r>
              <w:t>IDLH:</w:t>
            </w:r>
          </w:p>
        </w:tc>
        <w:tc>
          <w:tcPr>
            <w:tcW w:w="5015" w:type="dxa"/>
          </w:tcPr>
          <w:p w14:paraId="11124C65" w14:textId="77777777" w:rsidR="00EF2283" w:rsidRPr="001C7081" w:rsidRDefault="008730C7" w:rsidP="001C7081">
            <w:pPr>
              <w:pStyle w:val="Tablerowright"/>
              <w:jc w:val="left"/>
            </w:pPr>
            <w:r>
              <w:t>200 ppm</w:t>
            </w:r>
          </w:p>
        </w:tc>
      </w:tr>
      <w:tr w:rsidR="00DC3F11" w:rsidRPr="004C23F4" w14:paraId="7217A8A6" w14:textId="77777777" w:rsidTr="00560C1E">
        <w:trPr>
          <w:cantSplit/>
        </w:trPr>
        <w:tc>
          <w:tcPr>
            <w:tcW w:w="9026" w:type="dxa"/>
            <w:gridSpan w:val="2"/>
            <w:vAlign w:val="center"/>
          </w:tcPr>
          <w:p w14:paraId="33878C21" w14:textId="77777777" w:rsidR="00DC3F11" w:rsidRPr="001C7081" w:rsidRDefault="00DC3F11" w:rsidP="00DC3F11">
            <w:pPr>
              <w:pStyle w:val="Tablerowright"/>
              <w:jc w:val="left"/>
            </w:pPr>
            <w:r>
              <w:t xml:space="preserve">Sampling and analysis: </w:t>
            </w:r>
            <w:sdt>
              <w:sdtPr>
                <w:rPr>
                  <w:rStyle w:val="WESstatus"/>
                  <w:b w:val="0"/>
                  <w:color w:val="auto"/>
                </w:rPr>
                <w:id w:val="-2105258949"/>
                <w:placeholder>
                  <w:docPart w:val="5769E294006A43E7986665C58490EC51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>
                  <w:rPr>
                    <w:rStyle w:val="WESstatus"/>
                    <w:b w:val="0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10ADE045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9816332" w14:textId="476EF44E" w:rsidR="006639B4" w:rsidRDefault="00104702" w:rsidP="000C139A">
      <w:pPr>
        <w:rPr>
          <w:rFonts w:cs="Arial"/>
        </w:rPr>
      </w:pPr>
      <w:r w:rsidRPr="00104702">
        <w:rPr>
          <w:rFonts w:cs="Arial"/>
        </w:rPr>
        <w:t xml:space="preserve">A TWA of </w:t>
      </w:r>
      <w:r>
        <w:rPr>
          <w:rFonts w:cs="Arial"/>
        </w:rPr>
        <w:t>2</w:t>
      </w:r>
      <w:r w:rsidRPr="00104702">
        <w:rPr>
          <w:rFonts w:cs="Arial"/>
        </w:rPr>
        <w:t xml:space="preserve"> ppm (</w:t>
      </w:r>
      <w:r>
        <w:rPr>
          <w:rFonts w:cs="Arial"/>
        </w:rPr>
        <w:t>6.2</w:t>
      </w:r>
      <w:r w:rsidRPr="00104702">
        <w:rPr>
          <w:rFonts w:cs="Arial"/>
        </w:rPr>
        <w:t xml:space="preserve"> mg/m</w:t>
      </w:r>
      <w:r w:rsidRPr="00104702">
        <w:rPr>
          <w:rFonts w:cs="Arial"/>
          <w:vertAlign w:val="superscript"/>
        </w:rPr>
        <w:t>3</w:t>
      </w:r>
      <w:r w:rsidRPr="00104702">
        <w:rPr>
          <w:rFonts w:cs="Arial"/>
        </w:rPr>
        <w:t xml:space="preserve">) is recommended to protect for </w:t>
      </w:r>
      <w:r w:rsidR="00731B1C">
        <w:rPr>
          <w:rFonts w:cs="Arial"/>
        </w:rPr>
        <w:t>irritation of the nose</w:t>
      </w:r>
      <w:r w:rsidRPr="00104702">
        <w:rPr>
          <w:rFonts w:cs="Arial"/>
        </w:rPr>
        <w:t xml:space="preserve"> and chronic </w:t>
      </w:r>
      <w:r>
        <w:rPr>
          <w:rFonts w:cs="Arial"/>
        </w:rPr>
        <w:t xml:space="preserve">upper </w:t>
      </w:r>
      <w:r w:rsidRPr="00104702">
        <w:rPr>
          <w:rFonts w:cs="Arial"/>
        </w:rPr>
        <w:t xml:space="preserve">respiratory conditions in exposed workers. </w:t>
      </w:r>
    </w:p>
    <w:p w14:paraId="73C774D7" w14:textId="64829AB8" w:rsidR="00104702" w:rsidRDefault="00104702" w:rsidP="000C139A">
      <w:pPr>
        <w:rPr>
          <w:rFonts w:cs="Arial"/>
        </w:rPr>
      </w:pPr>
      <w:r w:rsidRPr="00104702">
        <w:rPr>
          <w:rFonts w:cs="Arial"/>
        </w:rPr>
        <w:t xml:space="preserve">A STEL of </w:t>
      </w:r>
      <w:r>
        <w:rPr>
          <w:rFonts w:cs="Arial"/>
        </w:rPr>
        <w:t>10</w:t>
      </w:r>
      <w:r w:rsidRPr="00104702">
        <w:rPr>
          <w:rFonts w:cs="Arial"/>
        </w:rPr>
        <w:t xml:space="preserve"> ppm (</w:t>
      </w:r>
      <w:r>
        <w:rPr>
          <w:rFonts w:cs="Arial"/>
        </w:rPr>
        <w:t>30</w:t>
      </w:r>
      <w:r w:rsidRPr="00104702">
        <w:rPr>
          <w:rFonts w:cs="Arial"/>
        </w:rPr>
        <w:t xml:space="preserve"> mg/m</w:t>
      </w:r>
      <w:r w:rsidRPr="00104702">
        <w:rPr>
          <w:rFonts w:cs="Arial"/>
          <w:vertAlign w:val="superscript"/>
        </w:rPr>
        <w:t>3</w:t>
      </w:r>
      <w:r w:rsidRPr="00104702">
        <w:rPr>
          <w:rFonts w:cs="Arial"/>
        </w:rPr>
        <w:t xml:space="preserve">) is recommended to protect for </w:t>
      </w:r>
      <w:r w:rsidR="00731B1C">
        <w:rPr>
          <w:rFonts w:cs="Arial"/>
        </w:rPr>
        <w:t>acute irritation of the nose and eyes</w:t>
      </w:r>
      <w:r w:rsidRPr="00104702">
        <w:rPr>
          <w:rFonts w:cs="Arial"/>
        </w:rPr>
        <w:t xml:space="preserve"> in </w:t>
      </w:r>
      <w:r w:rsidR="00731B1C">
        <w:rPr>
          <w:rFonts w:cs="Arial"/>
        </w:rPr>
        <w:t>exposed workers</w:t>
      </w:r>
      <w:r w:rsidRPr="00104702">
        <w:rPr>
          <w:rFonts w:cs="Arial"/>
        </w:rPr>
        <w:t>.</w:t>
      </w:r>
    </w:p>
    <w:p w14:paraId="45DA49BA" w14:textId="77777777" w:rsidR="00C7155E" w:rsidRPr="004C23F4" w:rsidRDefault="00F10C97" w:rsidP="003365A5">
      <w:pPr>
        <w:pStyle w:val="Heading2"/>
      </w:pPr>
      <w:r>
        <w:t>Discussion and conclusions</w:t>
      </w:r>
    </w:p>
    <w:p w14:paraId="624B3484" w14:textId="2330F9BC" w:rsidR="006639B4" w:rsidRDefault="00AF0825" w:rsidP="006639B4">
      <w:pPr>
        <w:rPr>
          <w:rFonts w:cs="Arial"/>
        </w:rPr>
      </w:pPr>
      <w:r>
        <w:rPr>
          <w:rFonts w:cs="Arial"/>
        </w:rPr>
        <w:t xml:space="preserve">Diethylamine </w:t>
      </w:r>
      <w:r w:rsidRPr="00AF0825">
        <w:rPr>
          <w:rFonts w:cs="Arial"/>
        </w:rPr>
        <w:t xml:space="preserve">is commonly used </w:t>
      </w:r>
      <w:r>
        <w:t>in pharmaceutical products, in resin manufacturing and in pesticides, dyes, in electroplating</w:t>
      </w:r>
      <w:r w:rsidRPr="00AF0825">
        <w:rPr>
          <w:rFonts w:cs="Arial"/>
        </w:rPr>
        <w:t xml:space="preserve"> pr</w:t>
      </w:r>
      <w:r>
        <w:rPr>
          <w:rFonts w:cs="Arial"/>
        </w:rPr>
        <w:t>ocesses</w:t>
      </w:r>
      <w:r w:rsidRPr="00AF0825">
        <w:rPr>
          <w:rFonts w:cs="Arial"/>
        </w:rPr>
        <w:t xml:space="preserve"> </w:t>
      </w:r>
      <w:r w:rsidR="005C4E0D">
        <w:rPr>
          <w:rFonts w:cs="Arial"/>
        </w:rPr>
        <w:t xml:space="preserve">and </w:t>
      </w:r>
      <w:r w:rsidRPr="00AF0825">
        <w:rPr>
          <w:rFonts w:cs="Arial"/>
        </w:rPr>
        <w:t xml:space="preserve">as </w:t>
      </w:r>
      <w:r>
        <w:rPr>
          <w:rFonts w:cs="Arial"/>
        </w:rPr>
        <w:t xml:space="preserve">a </w:t>
      </w:r>
      <w:r>
        <w:t>corrosion inhibitor</w:t>
      </w:r>
      <w:r>
        <w:rPr>
          <w:rFonts w:cs="Arial"/>
        </w:rPr>
        <w:t>.</w:t>
      </w:r>
    </w:p>
    <w:p w14:paraId="7A2AA4E2" w14:textId="734C5E43" w:rsidR="000F6F36" w:rsidRPr="00386EC6" w:rsidRDefault="00386EC6" w:rsidP="00386EC6">
      <w:pPr>
        <w:rPr>
          <w:rFonts w:cs="Arial"/>
        </w:rPr>
      </w:pPr>
      <w:r w:rsidRPr="00386EC6">
        <w:rPr>
          <w:rFonts w:cs="Arial"/>
        </w:rPr>
        <w:t xml:space="preserve">Limited toxicological evidence exists in humans and animals. </w:t>
      </w:r>
      <w:r>
        <w:rPr>
          <w:rFonts w:cs="Arial"/>
        </w:rPr>
        <w:t xml:space="preserve">All primary sources </w:t>
      </w:r>
      <w:r w:rsidRPr="00386EC6">
        <w:rPr>
          <w:rFonts w:cs="Arial"/>
        </w:rPr>
        <w:t>base the</w:t>
      </w:r>
      <w:r>
        <w:rPr>
          <w:rFonts w:cs="Arial"/>
        </w:rPr>
        <w:t>ir</w:t>
      </w:r>
      <w:r w:rsidRPr="00386EC6">
        <w:rPr>
          <w:rFonts w:cs="Arial"/>
        </w:rPr>
        <w:t xml:space="preserve"> recommendation</w:t>
      </w:r>
      <w:r w:rsidR="005C4E0D">
        <w:rPr>
          <w:rFonts w:cs="Arial"/>
        </w:rPr>
        <w:t>s</w:t>
      </w:r>
      <w:r w:rsidRPr="00386EC6">
        <w:rPr>
          <w:rFonts w:cs="Arial"/>
        </w:rPr>
        <w:t xml:space="preserve"> for TWA </w:t>
      </w:r>
      <w:r>
        <w:rPr>
          <w:rFonts w:cs="Arial"/>
        </w:rPr>
        <w:t>on irritant nasal critical effects.</w:t>
      </w:r>
      <w:r w:rsidR="00A95DDC">
        <w:rPr>
          <w:rFonts w:cs="Arial"/>
        </w:rPr>
        <w:t xml:space="preserve"> </w:t>
      </w:r>
      <w:r w:rsidR="00C87E20">
        <w:rPr>
          <w:rFonts w:cs="Arial"/>
        </w:rPr>
        <w:t xml:space="preserve">Seven </w:t>
      </w:r>
      <w:r w:rsidR="00C87E20" w:rsidRPr="00C87E20">
        <w:rPr>
          <w:rFonts w:cs="Arial"/>
        </w:rPr>
        <w:t>subjects exposed in separate studies at 12 ppm for 60 min and 25 ppm for 15 min noted nasal irritation</w:t>
      </w:r>
      <w:r w:rsidR="00C87E20">
        <w:rPr>
          <w:rFonts w:cs="Arial"/>
        </w:rPr>
        <w:t xml:space="preserve"> (ACGIH</w:t>
      </w:r>
      <w:r w:rsidR="00A449C9">
        <w:rPr>
          <w:rFonts w:cs="Arial"/>
        </w:rPr>
        <w:t xml:space="preserve">, </w:t>
      </w:r>
      <w:r w:rsidR="00C87E20">
        <w:rPr>
          <w:rFonts w:cs="Arial"/>
        </w:rPr>
        <w:t xml:space="preserve">2018). </w:t>
      </w:r>
      <w:r>
        <w:rPr>
          <w:rFonts w:cs="Arial"/>
        </w:rPr>
        <w:t>DFG</w:t>
      </w:r>
      <w:r w:rsidR="00365761">
        <w:rPr>
          <w:rFonts w:cs="Arial"/>
        </w:rPr>
        <w:t xml:space="preserve"> (2016)</w:t>
      </w:r>
      <w:r w:rsidRPr="00386EC6">
        <w:rPr>
          <w:rFonts w:cs="Arial"/>
        </w:rPr>
        <w:t xml:space="preserve"> </w:t>
      </w:r>
      <w:r w:rsidR="00EF1537">
        <w:rPr>
          <w:rFonts w:cs="Arial"/>
        </w:rPr>
        <w:t>reported</w:t>
      </w:r>
      <w:r w:rsidR="00B56E64">
        <w:rPr>
          <w:rFonts w:cs="Arial"/>
        </w:rPr>
        <w:t xml:space="preserve"> a</w:t>
      </w:r>
      <w:r w:rsidRPr="00386EC6">
        <w:rPr>
          <w:rFonts w:cs="Arial"/>
        </w:rPr>
        <w:t xml:space="preserve"> </w:t>
      </w:r>
      <w:r>
        <w:rPr>
          <w:rFonts w:cs="Arial"/>
        </w:rPr>
        <w:t>N</w:t>
      </w:r>
      <w:r w:rsidR="007229E4">
        <w:rPr>
          <w:rFonts w:cs="Arial"/>
        </w:rPr>
        <w:t>O</w:t>
      </w:r>
      <w:r>
        <w:rPr>
          <w:rFonts w:cs="Arial"/>
        </w:rPr>
        <w:t>AEC</w:t>
      </w:r>
      <w:r w:rsidR="00B56E64">
        <w:rPr>
          <w:rFonts w:cs="Arial"/>
        </w:rPr>
        <w:t xml:space="preserve"> of 4 ppm</w:t>
      </w:r>
      <w:r>
        <w:rPr>
          <w:rFonts w:cs="Arial"/>
        </w:rPr>
        <w:t xml:space="preserve"> </w:t>
      </w:r>
      <w:r w:rsidR="000F6F36">
        <w:rPr>
          <w:rFonts w:cs="Arial"/>
        </w:rPr>
        <w:t>i</w:t>
      </w:r>
      <w:r>
        <w:rPr>
          <w:rFonts w:cs="Arial"/>
        </w:rPr>
        <w:t>n mice</w:t>
      </w:r>
      <w:r w:rsidR="00B56E64">
        <w:rPr>
          <w:rFonts w:cs="Arial"/>
        </w:rPr>
        <w:t xml:space="preserve"> for </w:t>
      </w:r>
      <w:r w:rsidR="00B56E64">
        <w:t>atrophy of the olfactory epithelium which was used to d</w:t>
      </w:r>
      <w:r w:rsidR="00A449C9">
        <w:t>e</w:t>
      </w:r>
      <w:r w:rsidR="00B56E64">
        <w:t>rive the recommended MAK.</w:t>
      </w:r>
      <w:r w:rsidR="000F6F36">
        <w:rPr>
          <w:rFonts w:cs="Arial"/>
        </w:rPr>
        <w:t xml:space="preserve"> </w:t>
      </w:r>
    </w:p>
    <w:p w14:paraId="510478BF" w14:textId="6A80718E" w:rsidR="00AF0825" w:rsidRDefault="00365761" w:rsidP="00386EC6">
      <w:pPr>
        <w:rPr>
          <w:rFonts w:cs="Arial"/>
        </w:rPr>
      </w:pPr>
      <w:r>
        <w:rPr>
          <w:rFonts w:cs="Arial"/>
        </w:rPr>
        <w:t>A TWA of 2</w:t>
      </w:r>
      <w:r w:rsidRPr="00365761">
        <w:rPr>
          <w:rFonts w:cs="Arial"/>
        </w:rPr>
        <w:t xml:space="preserve"> ppm is recommended as assigned by DFG (2016). This TWA is cited to be protective of irritation </w:t>
      </w:r>
      <w:r>
        <w:rPr>
          <w:rFonts w:cs="Arial"/>
        </w:rPr>
        <w:t>of the nose and upper respiratory effects</w:t>
      </w:r>
      <w:r w:rsidRPr="00365761">
        <w:rPr>
          <w:rFonts w:cs="Arial"/>
        </w:rPr>
        <w:t>.</w:t>
      </w:r>
      <w:r>
        <w:rPr>
          <w:rFonts w:cs="Arial"/>
        </w:rPr>
        <w:t xml:space="preserve"> </w:t>
      </w:r>
      <w:r w:rsidR="00EF1537">
        <w:rPr>
          <w:rFonts w:cs="Arial"/>
        </w:rPr>
        <w:t>A STEL of 10 ppm is recommended based on acute nasal irritation from short term exposure at 12 ppm</w:t>
      </w:r>
      <w:r w:rsidR="007B4D90">
        <w:rPr>
          <w:rFonts w:cs="Arial"/>
        </w:rPr>
        <w:t>.</w:t>
      </w:r>
    </w:p>
    <w:p w14:paraId="14925496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4CC3C274" w14:textId="77777777" w:rsidR="00145BDE" w:rsidRPr="001C7081" w:rsidRDefault="00145BDE" w:rsidP="00145BDE">
      <w:pPr>
        <w:rPr>
          <w:rFonts w:cs="Arial"/>
        </w:rPr>
      </w:pPr>
      <w:r w:rsidRPr="001C7081">
        <w:rPr>
          <w:rFonts w:cs="Arial"/>
        </w:rPr>
        <w:t>Not classified as a carcinogen according to the Globally Harmonized System of Classification and Labelling o</w:t>
      </w:r>
      <w:r w:rsidR="00A95DDC">
        <w:rPr>
          <w:rFonts w:cs="Arial"/>
        </w:rPr>
        <w:t>f</w:t>
      </w:r>
      <w:r w:rsidRPr="001C7081">
        <w:rPr>
          <w:rFonts w:cs="Arial"/>
        </w:rPr>
        <w:t xml:space="preserve"> Chemicals (GHS). </w:t>
      </w:r>
    </w:p>
    <w:p w14:paraId="0D07AC51" w14:textId="77777777" w:rsidR="00145BDE" w:rsidRPr="001C7081" w:rsidRDefault="00145BDE" w:rsidP="00145BDE">
      <w:pPr>
        <w:rPr>
          <w:rFonts w:cs="Arial"/>
        </w:rPr>
      </w:pPr>
      <w:r w:rsidRPr="001C7081">
        <w:rPr>
          <w:rFonts w:cs="Arial"/>
        </w:rPr>
        <w:t>Not classified as a skin</w:t>
      </w:r>
      <w:r w:rsidR="0006321D" w:rsidRPr="0006321D">
        <w:rPr>
          <w:rFonts w:cs="Arial"/>
        </w:rPr>
        <w:t xml:space="preserve"> </w:t>
      </w:r>
      <w:r w:rsidR="0006321D" w:rsidRPr="007034F3">
        <w:rPr>
          <w:rFonts w:cs="Arial"/>
        </w:rPr>
        <w:t>sensitiser</w:t>
      </w:r>
      <w:r w:rsidRPr="001C7081">
        <w:rPr>
          <w:rFonts w:cs="Arial"/>
        </w:rPr>
        <w:t xml:space="preserve"> or respiratory sensitiser according to the GHS.</w:t>
      </w:r>
    </w:p>
    <w:p w14:paraId="7A6A6089" w14:textId="06A3A4C5" w:rsidR="004529F0" w:rsidRPr="004C23F4" w:rsidRDefault="001C7081" w:rsidP="00145BDE">
      <w:pPr>
        <w:rPr>
          <w:rFonts w:cs="Arial"/>
        </w:rPr>
      </w:pPr>
      <w:r w:rsidRPr="001C7081">
        <w:rPr>
          <w:rFonts w:cs="Arial"/>
        </w:rPr>
        <w:t xml:space="preserve">A skin notation </w:t>
      </w:r>
      <w:r w:rsidR="00731B1C">
        <w:rPr>
          <w:rFonts w:cs="Arial"/>
        </w:rPr>
        <w:t>is</w:t>
      </w:r>
      <w:r w:rsidRPr="001C7081">
        <w:rPr>
          <w:rFonts w:cs="Arial"/>
        </w:rPr>
        <w:t xml:space="preserve"> recommended based on evidence suggesting potential dermal absorption and adverse systemic effects in animals.</w:t>
      </w:r>
      <w:r w:rsidR="00C87E20" w:rsidRPr="00C87E20">
        <w:rPr>
          <w:rFonts w:cs="Arial"/>
        </w:rPr>
        <w:t xml:space="preserve"> </w:t>
      </w:r>
      <w:r w:rsidR="00C87E20">
        <w:rPr>
          <w:rFonts w:cs="Arial"/>
        </w:rPr>
        <w:t xml:space="preserve">Although there is limited evidence of human studies and </w:t>
      </w:r>
      <w:r w:rsidR="00C87E20">
        <w:rPr>
          <w:rFonts w:cs="Arial"/>
        </w:rPr>
        <w:lastRenderedPageBreak/>
        <w:t xml:space="preserve">evidence of systemic effects in rats, the irritant effects of skin exposure will minimise risk of chronic absorption. </w:t>
      </w:r>
    </w:p>
    <w:p w14:paraId="5E06620D" w14:textId="77777777" w:rsidR="0025734A" w:rsidRPr="004C23F4" w:rsidRDefault="0025734A">
      <w:pPr>
        <w:rPr>
          <w:rFonts w:cs="Arial"/>
        </w:rPr>
      </w:pPr>
    </w:p>
    <w:p w14:paraId="35EC7759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4BAB570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07360B73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A546CEB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3F61E9D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3E362EE8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3E3335D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EF2283">
                  <w:t>1986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145BDE">
                  <w:t>TWA: 10 ppm (30 mg/m</w:t>
                </w:r>
                <w:r w:rsidR="00145BDE" w:rsidRPr="00145BDE">
                  <w:rPr>
                    <w:vertAlign w:val="superscript"/>
                  </w:rPr>
                  <w:t>3</w:t>
                </w:r>
                <w:r w:rsidR="00145BDE">
                  <w:t>); STEL: 25 (75 mg/m</w:t>
                </w:r>
                <w:r w:rsidR="00145BDE" w:rsidRPr="00145BDE">
                  <w:rPr>
                    <w:vertAlign w:val="superscript"/>
                  </w:rPr>
                  <w:t>3</w:t>
                </w:r>
                <w:r w:rsidR="00145BDE">
                  <w:t xml:space="preserve">) </w:t>
                </w:r>
              </w:sdtContent>
            </w:sdt>
          </w:p>
        </w:tc>
      </w:tr>
      <w:tr w:rsidR="00C978F0" w:rsidRPr="00DA352E" w14:paraId="3799D7B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FB255FE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0261ED4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3F4D37B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3A2D8B">
                  <w:t>2013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3A2D8B">
                  <w:t>TLV-TWA: 5 ppm (15 mg/m</w:t>
                </w:r>
                <w:r w:rsidR="003A2D8B" w:rsidRPr="003A2D8B">
                  <w:rPr>
                    <w:vertAlign w:val="superscript"/>
                  </w:rPr>
                  <w:t>3</w:t>
                </w:r>
                <w:r w:rsidR="003A2D8B">
                  <w:t>); TLV-STEL: 15 ppm (45 mg/m</w:t>
                </w:r>
                <w:r w:rsidR="003A2D8B" w:rsidRPr="003A2D8B">
                  <w:rPr>
                    <w:vertAlign w:val="superscript"/>
                  </w:rPr>
                  <w:t>3</w:t>
                </w:r>
                <w:r w:rsidR="003A2D8B">
                  <w:t>)</w:t>
                </w:r>
              </w:sdtContent>
            </w:sdt>
          </w:p>
        </w:tc>
      </w:tr>
      <w:tr w:rsidR="00C978F0" w:rsidRPr="00DA352E" w14:paraId="78D6219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01D87D3C" w14:textId="77777777" w:rsidR="00C978F0" w:rsidRDefault="000F56A0" w:rsidP="003365A5">
            <w:pPr>
              <w:pStyle w:val="Tabletextprimarysource"/>
            </w:pPr>
            <w:r w:rsidRPr="000F56A0">
              <w:t>TLV-TWA recommended to minimise</w:t>
            </w:r>
            <w:r>
              <w:t xml:space="preserve"> potential for irritation of the eyes, skin and upper respiratory tract. </w:t>
            </w:r>
          </w:p>
          <w:p w14:paraId="6949225D" w14:textId="77777777" w:rsidR="000F56A0" w:rsidRDefault="000F56A0" w:rsidP="003365A5">
            <w:pPr>
              <w:pStyle w:val="Tabletextprimarysource"/>
            </w:pPr>
            <w:r>
              <w:t>Summary of data:</w:t>
            </w:r>
          </w:p>
          <w:p w14:paraId="35B84A22" w14:textId="77777777" w:rsidR="000F56A0" w:rsidRDefault="000F56A0" w:rsidP="003365A5">
            <w:pPr>
              <w:pStyle w:val="Tabletextprimarysource"/>
            </w:pPr>
            <w:r>
              <w:t>Human data:</w:t>
            </w:r>
          </w:p>
          <w:p w14:paraId="6B99E551" w14:textId="78114EFB" w:rsidR="00C87E20" w:rsidRDefault="00C87E20" w:rsidP="00097969">
            <w:pPr>
              <w:pStyle w:val="ListBullet"/>
              <w:ind w:left="720"/>
            </w:pPr>
            <w:r>
              <w:t>7 subjects exposed in separate studies at 12 ppm for 60 min and 25 ppm for 15 min noted nasal irritation</w:t>
            </w:r>
          </w:p>
          <w:p w14:paraId="0C9150B6" w14:textId="77777777" w:rsidR="000B10D7" w:rsidRDefault="00E1452A" w:rsidP="00097969">
            <w:pPr>
              <w:pStyle w:val="ListBullet"/>
              <w:ind w:left="720"/>
            </w:pPr>
            <w:r>
              <w:t xml:space="preserve">Eye burns and lung irritation associated with accidental exposures to unknown </w:t>
            </w:r>
            <w:r w:rsidR="00803636">
              <w:t xml:space="preserve">liquid </w:t>
            </w:r>
            <w:r>
              <w:t>quantities</w:t>
            </w:r>
          </w:p>
          <w:p w14:paraId="3BE9B35C" w14:textId="067EEE6C" w:rsidR="006B10CF" w:rsidRDefault="00E1452A" w:rsidP="00731B1C">
            <w:pPr>
              <w:pStyle w:val="ListBullet"/>
              <w:ind w:left="720"/>
            </w:pPr>
            <w:r>
              <w:t>No phototoxic response in dermal testing</w:t>
            </w:r>
            <w:r w:rsidR="007229E4">
              <w:t xml:space="preserve">; </w:t>
            </w:r>
            <w:r>
              <w:t>but found to be corrosive</w:t>
            </w:r>
            <w:r w:rsidR="00E71EA5">
              <w:t>.</w:t>
            </w:r>
          </w:p>
          <w:p w14:paraId="0F92A35F" w14:textId="77777777" w:rsidR="000F56A0" w:rsidRDefault="000F56A0" w:rsidP="003365A5">
            <w:pPr>
              <w:pStyle w:val="Tabletextprimarysource"/>
            </w:pPr>
            <w:r>
              <w:t xml:space="preserve">Animal data: </w:t>
            </w:r>
          </w:p>
          <w:p w14:paraId="079229EA" w14:textId="77777777" w:rsidR="00E1452A" w:rsidRDefault="00E1452A" w:rsidP="0016247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LD</w:t>
            </w:r>
            <w:r w:rsidRPr="00011222">
              <w:rPr>
                <w:vertAlign w:val="subscript"/>
              </w:rPr>
              <w:t>50</w:t>
            </w:r>
            <w:r>
              <w:t>: 820 mg/kg (rabbits, dermal)</w:t>
            </w:r>
          </w:p>
          <w:p w14:paraId="0D5EA48B" w14:textId="77777777" w:rsidR="00E1452A" w:rsidRDefault="00E1452A" w:rsidP="0016247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Rats exposed to single inhalation events (unknown duration) of 18 ppm developed nervous</w:t>
            </w:r>
            <w:r w:rsidR="00011222">
              <w:t xml:space="preserve"> and respiratory system changes</w:t>
            </w:r>
          </w:p>
          <w:p w14:paraId="02DB1442" w14:textId="77777777" w:rsidR="00E1452A" w:rsidRDefault="00011222" w:rsidP="0016247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Not mutagenic in </w:t>
            </w:r>
            <w:r w:rsidRPr="00011222">
              <w:rPr>
                <w:i/>
              </w:rPr>
              <w:t>Salmonella</w:t>
            </w:r>
            <w:r>
              <w:t xml:space="preserve"> assays</w:t>
            </w:r>
          </w:p>
          <w:p w14:paraId="29A4DE73" w14:textId="77777777" w:rsidR="000F56A0" w:rsidRDefault="00011222" w:rsidP="0016247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evidence of carcinoge</w:t>
            </w:r>
            <w:r w:rsidR="001C337E">
              <w:t>nicity.</w:t>
            </w:r>
          </w:p>
          <w:p w14:paraId="34F6BDA5" w14:textId="77777777" w:rsidR="006B10CF" w:rsidRPr="00DA352E" w:rsidRDefault="006B10CF" w:rsidP="00731B1C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C978F0" w:rsidRPr="00DA352E" w14:paraId="4449C7A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9D32546" w14:textId="5BE6A4B9" w:rsidR="00C978F0" w:rsidRPr="00DA352E" w:rsidRDefault="00DA352E" w:rsidP="00A14B02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3A2D8B">
                  <w:t>201</w:t>
                </w:r>
                <w:r w:rsidR="008730C7">
                  <w:t>6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3A2D8B">
                  <w:t>MAK: 2 ppm (6.</w:t>
                </w:r>
                <w:r w:rsidR="00A14B02">
                  <w:t>1</w:t>
                </w:r>
                <w:r w:rsidR="003A2D8B">
                  <w:t xml:space="preserve"> mg/m</w:t>
                </w:r>
                <w:r w:rsidR="003A2D8B" w:rsidRPr="003A2D8B">
                  <w:rPr>
                    <w:vertAlign w:val="superscript"/>
                  </w:rPr>
                  <w:t>3</w:t>
                </w:r>
                <w:r w:rsidR="003A2D8B">
                  <w:t>)</w:t>
                </w:r>
              </w:sdtContent>
            </w:sdt>
          </w:p>
        </w:tc>
      </w:tr>
      <w:tr w:rsidR="00C978F0" w:rsidRPr="00DA352E" w14:paraId="69A7C6AC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D7DD1C5" w14:textId="77777777" w:rsidR="00C978F0" w:rsidRDefault="00717B29" w:rsidP="003365A5">
            <w:pPr>
              <w:pStyle w:val="Tabletextprimarysource"/>
            </w:pPr>
            <w:r>
              <w:t xml:space="preserve">MAK recommended to minimise </w:t>
            </w:r>
            <w:r w:rsidR="0001298D">
              <w:t>nasal irritation (critical effect)</w:t>
            </w:r>
            <w:r w:rsidR="00CF689C">
              <w:t>.</w:t>
            </w:r>
          </w:p>
          <w:p w14:paraId="3EE56CED" w14:textId="77777777" w:rsidR="00717B29" w:rsidRDefault="00717B29" w:rsidP="003365A5">
            <w:pPr>
              <w:pStyle w:val="Tabletextprimarysource"/>
            </w:pPr>
            <w:r>
              <w:t>Summary of additional data:</w:t>
            </w:r>
          </w:p>
          <w:p w14:paraId="02908B54" w14:textId="77777777" w:rsidR="00B05F16" w:rsidRDefault="0001298D" w:rsidP="003365A5">
            <w:pPr>
              <w:pStyle w:val="Tabletextprimarysource"/>
            </w:pPr>
            <w:r>
              <w:t>MAK based on extrapolation of effects from animal to humans (1:2)</w:t>
            </w:r>
            <w:r w:rsidR="00300756">
              <w:t xml:space="preserve"> – mice noted to be more sensitive </w:t>
            </w:r>
            <w:r w:rsidR="00B05F16">
              <w:t>than rats at same concentrations.</w:t>
            </w:r>
          </w:p>
          <w:p w14:paraId="7E3DD713" w14:textId="77777777" w:rsidR="0001298D" w:rsidRDefault="00B05F16" w:rsidP="003365A5">
            <w:pPr>
              <w:pStyle w:val="Tabletextprimarysource"/>
            </w:pPr>
            <w:r>
              <w:t>Not classified as carcinogenic or mutagenic.</w:t>
            </w:r>
          </w:p>
          <w:p w14:paraId="2570F1A3" w14:textId="77777777" w:rsidR="00B05F16" w:rsidRDefault="00B05F16" w:rsidP="003365A5">
            <w:pPr>
              <w:pStyle w:val="Tabletextprimarysource"/>
            </w:pPr>
            <w:r>
              <w:t>No data for sensitisation effects of skin or respiratory system.</w:t>
            </w:r>
          </w:p>
          <w:p w14:paraId="78F2BCD3" w14:textId="77777777" w:rsidR="00717B29" w:rsidRDefault="00717B29" w:rsidP="003365A5">
            <w:pPr>
              <w:pStyle w:val="Tabletextprimarysource"/>
            </w:pPr>
            <w:r>
              <w:t>Human data:</w:t>
            </w:r>
          </w:p>
          <w:p w14:paraId="1342D6DA" w14:textId="01568FBE" w:rsidR="00295933" w:rsidRDefault="00295933" w:rsidP="0016247A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LOAEC: 10 </w:t>
            </w:r>
            <w:r w:rsidR="00C87E20">
              <w:t>ppm</w:t>
            </w:r>
            <w:r>
              <w:t xml:space="preserve"> </w:t>
            </w:r>
            <w:r w:rsidR="00300756">
              <w:t>with nasal irritation identified</w:t>
            </w:r>
          </w:p>
          <w:p w14:paraId="59B73104" w14:textId="77777777" w:rsidR="00B05F16" w:rsidRDefault="00B05F16" w:rsidP="0016247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Skin absorption estimated at 128 mg (2</w:t>
            </w:r>
            <w:r w:rsidR="00CF689C">
              <w:t>,</w:t>
            </w:r>
            <w:r>
              <w:t>000 cm</w:t>
            </w:r>
            <w:r w:rsidRPr="00B05F16">
              <w:rPr>
                <w:vertAlign w:val="superscript"/>
              </w:rPr>
              <w:t>2</w:t>
            </w:r>
            <w:r>
              <w:t>) non-irritating concentrations (0.5%)</w:t>
            </w:r>
            <w:r w:rsidR="00A444CB">
              <w:t>.</w:t>
            </w:r>
          </w:p>
          <w:p w14:paraId="2D9388F8" w14:textId="77777777" w:rsidR="00717B29" w:rsidRDefault="00717B29" w:rsidP="003365A5">
            <w:pPr>
              <w:pStyle w:val="Tabletextprimarysource"/>
            </w:pPr>
            <w:r>
              <w:t>Animal data:</w:t>
            </w:r>
          </w:p>
          <w:p w14:paraId="0FFA6DBC" w14:textId="66C8AB8D" w:rsidR="00717B29" w:rsidRDefault="00717B29" w:rsidP="0016247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Irritation of the nasal epithelium (rats</w:t>
            </w:r>
            <w:r w:rsidR="00731B1C">
              <w:t xml:space="preserve"> and</w:t>
            </w:r>
            <w:r w:rsidR="00295933">
              <w:t xml:space="preserve"> mice</w:t>
            </w:r>
            <w:r>
              <w:t>) identified as the critical effect</w:t>
            </w:r>
          </w:p>
          <w:p w14:paraId="15507E65" w14:textId="186871E2" w:rsidR="00300756" w:rsidRDefault="00300756" w:rsidP="0016247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BMDL</w:t>
            </w:r>
            <w:r w:rsidRPr="00300756">
              <w:rPr>
                <w:vertAlign w:val="subscript"/>
              </w:rPr>
              <w:t>05</w:t>
            </w:r>
            <w:r w:rsidR="00661E57">
              <w:t xml:space="preserve"> NAEC: 4</w:t>
            </w:r>
            <w:r w:rsidR="00C87E20">
              <w:t xml:space="preserve"> ppm</w:t>
            </w:r>
            <w:r>
              <w:t xml:space="preserve"> (mice, 3 mo)</w:t>
            </w:r>
            <w:r w:rsidR="00C87E20">
              <w:t>;</w:t>
            </w:r>
            <w:r w:rsidR="00B56E64">
              <w:t xml:space="preserve"> atrophy of the olfactory epithelium;</w:t>
            </w:r>
            <w:r w:rsidR="00C87E20">
              <w:t xml:space="preserve"> rats considered less sensitive than mice at same concentration</w:t>
            </w:r>
          </w:p>
          <w:p w14:paraId="101A199A" w14:textId="6A31D4E8" w:rsidR="00B56E64" w:rsidRDefault="0001298D" w:rsidP="0016247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NOAEC systemic effects (sperma</w:t>
            </w:r>
            <w:r w:rsidR="00661E57">
              <w:t xml:space="preserve">totoxicity, rats) noted at 16 </w:t>
            </w:r>
            <w:r w:rsidR="00C87E20">
              <w:t>ppm</w:t>
            </w:r>
          </w:p>
          <w:p w14:paraId="4C0DABE7" w14:textId="762FC3E8" w:rsidR="00717B29" w:rsidRDefault="00B56E64" w:rsidP="0016247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MAK derived from NAEC of 4 ppm divided by 2 to extrapolate from animals to humans</w:t>
            </w:r>
            <w:r w:rsidR="000D0BBD">
              <w:t>.</w:t>
            </w:r>
          </w:p>
          <w:p w14:paraId="43889422" w14:textId="77777777" w:rsidR="006B10CF" w:rsidRPr="00DA352E" w:rsidRDefault="006B10CF" w:rsidP="00731B1C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C978F0" w:rsidRPr="00DA352E" w14:paraId="4416C64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47DAB05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BB3ED1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BB3ED1">
                  <w:t>TWA: 5 ppm (15 mg/m</w:t>
                </w:r>
                <w:r w:rsidR="00BB3ED1" w:rsidRPr="00BB3ED1">
                  <w:rPr>
                    <w:vertAlign w:val="superscript"/>
                  </w:rPr>
                  <w:t>3</w:t>
                </w:r>
                <w:r w:rsidR="00BB3ED1">
                  <w:t>); STEL: 10 ppm (30 mg/m</w:t>
                </w:r>
                <w:r w:rsidR="00BB3ED1" w:rsidRPr="00BB3ED1">
                  <w:rPr>
                    <w:vertAlign w:val="superscript"/>
                  </w:rPr>
                  <w:t>3</w:t>
                </w:r>
                <w:r w:rsidR="00BB3ED1">
                  <w:t>)</w:t>
                </w:r>
              </w:sdtContent>
            </w:sdt>
          </w:p>
        </w:tc>
      </w:tr>
      <w:tr w:rsidR="00C978F0" w:rsidRPr="00DA352E" w14:paraId="757DC6DC" w14:textId="77777777" w:rsidTr="00731B1C">
        <w:trPr>
          <w:gridAfter w:val="1"/>
          <w:wAfter w:w="8" w:type="pct"/>
        </w:trPr>
        <w:tc>
          <w:tcPr>
            <w:tcW w:w="4992" w:type="pct"/>
          </w:tcPr>
          <w:p w14:paraId="38C1FF2B" w14:textId="77777777" w:rsidR="00DA0829" w:rsidRDefault="00DA0829" w:rsidP="003365A5">
            <w:pPr>
              <w:pStyle w:val="Tabletextprimarysource"/>
            </w:pPr>
            <w:r>
              <w:t>TWA recommended to minimise potential of upper respiratory tract irritation. STEL recommended to minimise nose and eye irritation.</w:t>
            </w:r>
          </w:p>
          <w:p w14:paraId="0566D8E2" w14:textId="77777777" w:rsidR="00DA0829" w:rsidRDefault="00DA0829" w:rsidP="003365A5">
            <w:pPr>
              <w:pStyle w:val="Tabletextprimarysource"/>
            </w:pPr>
            <w:r>
              <w:lastRenderedPageBreak/>
              <w:t xml:space="preserve">Summary of </w:t>
            </w:r>
            <w:r w:rsidR="00717B29">
              <w:t xml:space="preserve">additional </w:t>
            </w:r>
            <w:r>
              <w:t>data:</w:t>
            </w:r>
          </w:p>
          <w:p w14:paraId="559B1BC9" w14:textId="77777777" w:rsidR="00DA0829" w:rsidRDefault="00DA0829" w:rsidP="003365A5">
            <w:pPr>
              <w:pStyle w:val="Tabletextprimarysource"/>
            </w:pPr>
            <w:r>
              <w:t>Unclear potential for skin absorption</w:t>
            </w:r>
            <w:r w:rsidR="00DC3F11">
              <w:t>, but evidence of local irritation and inflammation.</w:t>
            </w:r>
            <w:r>
              <w:t xml:space="preserve"> </w:t>
            </w:r>
          </w:p>
          <w:p w14:paraId="3A85C503" w14:textId="77777777" w:rsidR="00C978F0" w:rsidRDefault="00803636" w:rsidP="003365A5">
            <w:pPr>
              <w:pStyle w:val="Tabletextprimarysource"/>
            </w:pPr>
            <w:r>
              <w:t>Human data:</w:t>
            </w:r>
          </w:p>
          <w:p w14:paraId="38E3D982" w14:textId="2A877D45" w:rsidR="00803636" w:rsidRDefault="00803636" w:rsidP="00DC3F11">
            <w:pPr>
              <w:pStyle w:val="ListBullet"/>
              <w:ind w:left="720"/>
            </w:pPr>
            <w:r>
              <w:t xml:space="preserve">Symptoms of eye and nose irritation observed at </w:t>
            </w:r>
            <w:r w:rsidR="00B56E64">
              <w:t xml:space="preserve">12 </w:t>
            </w:r>
            <w:r>
              <w:t>ppm (3</w:t>
            </w:r>
            <w:r w:rsidR="008B1312">
              <w:t>6</w:t>
            </w:r>
            <w:r>
              <w:t xml:space="preserve"> mg/m</w:t>
            </w:r>
            <w:r w:rsidRPr="00300756">
              <w:rPr>
                <w:vertAlign w:val="superscript"/>
              </w:rPr>
              <w:t>3</w:t>
            </w:r>
            <w:r w:rsidR="00EF1537">
              <w:t>; same study as A</w:t>
            </w:r>
            <w:r w:rsidR="008B1312">
              <w:t>CGIH (2018)</w:t>
            </w:r>
          </w:p>
          <w:p w14:paraId="0BEE1B32" w14:textId="77777777" w:rsidR="00803636" w:rsidRDefault="00803636" w:rsidP="003365A5">
            <w:pPr>
              <w:pStyle w:val="Tabletextprimarysource"/>
            </w:pPr>
            <w:r>
              <w:t>Animal data:</w:t>
            </w:r>
          </w:p>
          <w:p w14:paraId="48960549" w14:textId="77777777" w:rsidR="00803636" w:rsidRDefault="00803636" w:rsidP="00661E57">
            <w:pPr>
              <w:pStyle w:val="ListBullet"/>
              <w:ind w:left="720"/>
            </w:pPr>
            <w:r>
              <w:t>LOAEL determined as 75 mg/m</w:t>
            </w:r>
            <w:r w:rsidRPr="00300756">
              <w:rPr>
                <w:vertAlign w:val="superscript"/>
              </w:rPr>
              <w:t>3</w:t>
            </w:r>
            <w:r w:rsidRPr="00DA0829">
              <w:t xml:space="preserve"> </w:t>
            </w:r>
            <w:r w:rsidR="00DA0829" w:rsidRPr="00DA0829">
              <w:t xml:space="preserve">(rats, </w:t>
            </w:r>
            <w:r w:rsidR="00DA0829">
              <w:t>inhalation) with bronchial lymphoid hyperplasia observed</w:t>
            </w:r>
            <w:r w:rsidR="00CF689C">
              <w:t>.</w:t>
            </w:r>
          </w:p>
          <w:p w14:paraId="3E559D3B" w14:textId="77777777" w:rsidR="006B10CF" w:rsidRPr="00DA352E" w:rsidRDefault="006B10CF" w:rsidP="00731B1C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DA352E" w:rsidRPr="00DA352E" w14:paraId="1E80F99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7542CB5F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62522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625228">
                  <w:t>NA</w:t>
                </w:r>
              </w:sdtContent>
            </w:sdt>
          </w:p>
        </w:tc>
      </w:tr>
      <w:tr w:rsidR="00DA352E" w:rsidRPr="00DA352E" w14:paraId="53C8957D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4F4F0D9" w14:textId="77777777" w:rsidR="00DA352E" w:rsidRPr="00DA352E" w:rsidRDefault="00625228" w:rsidP="003365A5">
            <w:pPr>
              <w:pStyle w:val="Tabletextprimarysource"/>
            </w:pPr>
            <w:r>
              <w:t>No report</w:t>
            </w:r>
            <w:r w:rsidR="00CF689C">
              <w:t>.</w:t>
            </w:r>
          </w:p>
        </w:tc>
      </w:tr>
      <w:tr w:rsidR="00DA352E" w:rsidRPr="00DA352E" w14:paraId="30FD31F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11BC263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62522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625228">
                  <w:t>NA</w:t>
                </w:r>
              </w:sdtContent>
            </w:sdt>
          </w:p>
        </w:tc>
      </w:tr>
      <w:tr w:rsidR="00DA352E" w:rsidRPr="00DA352E" w14:paraId="5F248BB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C72E768" w14:textId="77777777" w:rsidR="00DA352E" w:rsidRPr="00DA352E" w:rsidRDefault="00625228" w:rsidP="003365A5">
            <w:pPr>
              <w:pStyle w:val="Tabletextprimarysource"/>
            </w:pPr>
            <w:r>
              <w:t>No report</w:t>
            </w:r>
            <w:r w:rsidR="00CF689C">
              <w:t>.</w:t>
            </w:r>
          </w:p>
        </w:tc>
      </w:tr>
    </w:tbl>
    <w:p w14:paraId="181022E1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p w14:paraId="3E16C4D7" w14:textId="5071C5C4" w:rsidR="007E2A4B" w:rsidRDefault="00AE5238">
      <w:r>
        <w:t>NIL</w:t>
      </w:r>
      <w:r w:rsidR="00041BFF">
        <w:t>.</w:t>
      </w:r>
    </w:p>
    <w:bookmarkEnd w:id="1"/>
    <w:p w14:paraId="0A8A414D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43803CD5" w14:textId="77777777" w:rsidTr="000B10D7">
        <w:trPr>
          <w:trHeight w:val="454"/>
          <w:tblHeader/>
        </w:trPr>
        <w:tc>
          <w:tcPr>
            <w:tcW w:w="6603" w:type="dxa"/>
            <w:vAlign w:val="center"/>
          </w:tcPr>
          <w:p w14:paraId="74F7EE9A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66897CA9" w14:textId="77777777" w:rsidR="002E0D61" w:rsidRDefault="000B10D7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6F284381" w14:textId="77777777" w:rsidTr="000B10D7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29AA7E43" w14:textId="77777777" w:rsidR="008A36CF" w:rsidRPr="006901A2" w:rsidRDefault="000B10D7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0CBAA3BD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2"/>
    <w:p w14:paraId="76B28E6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30581966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3B0D8D23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11EC4678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4AD68304" w14:textId="77777777" w:rsidTr="00812887">
        <w:trPr>
          <w:cantSplit/>
        </w:trPr>
        <w:tc>
          <w:tcPr>
            <w:tcW w:w="3227" w:type="dxa"/>
          </w:tcPr>
          <w:p w14:paraId="3ED3338C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476D655D" w14:textId="77777777" w:rsidR="00687890" w:rsidRPr="00DD2F9B" w:rsidRDefault="0045713D" w:rsidP="00145BDE">
            <w:r>
              <w:t>NA</w:t>
            </w:r>
          </w:p>
        </w:tc>
      </w:tr>
      <w:tr w:rsidR="007925F0" w:rsidRPr="004C23F4" w14:paraId="5F6DB76F" w14:textId="77777777" w:rsidTr="00812887">
        <w:trPr>
          <w:cantSplit/>
        </w:trPr>
        <w:tc>
          <w:tcPr>
            <w:tcW w:w="3227" w:type="dxa"/>
          </w:tcPr>
          <w:p w14:paraId="226D0F51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CF14841" w14:textId="77777777" w:rsidR="007925F0" w:rsidRPr="00DD2F9B" w:rsidRDefault="003A2D8B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4C9B132B" w14:textId="77777777" w:rsidTr="00812887">
        <w:trPr>
          <w:cantSplit/>
        </w:trPr>
        <w:tc>
          <w:tcPr>
            <w:tcW w:w="3227" w:type="dxa"/>
          </w:tcPr>
          <w:p w14:paraId="0F2304A7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D7640A7" w14:textId="77777777" w:rsidR="00AF483F" w:rsidRPr="00DD2F9B" w:rsidRDefault="0045713D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1EB0AA20" w14:textId="77777777" w:rsidTr="00812887">
        <w:trPr>
          <w:cantSplit/>
        </w:trPr>
        <w:tc>
          <w:tcPr>
            <w:tcW w:w="3227" w:type="dxa"/>
          </w:tcPr>
          <w:p w14:paraId="743B43EA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0A96C69" w14:textId="77777777" w:rsidR="00687890" w:rsidRPr="00DD2F9B" w:rsidRDefault="0045713D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1BCB89BA" w14:textId="77777777" w:rsidTr="00812887">
        <w:trPr>
          <w:cantSplit/>
        </w:trPr>
        <w:tc>
          <w:tcPr>
            <w:tcW w:w="3227" w:type="dxa"/>
          </w:tcPr>
          <w:p w14:paraId="7A7B4704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666069E6" w14:textId="77777777" w:rsidR="00E41A26" w:rsidRPr="00DD2F9B" w:rsidRDefault="0045713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9CD47E2" w14:textId="77777777" w:rsidTr="00812887">
        <w:trPr>
          <w:cantSplit/>
        </w:trPr>
        <w:tc>
          <w:tcPr>
            <w:tcW w:w="3227" w:type="dxa"/>
          </w:tcPr>
          <w:p w14:paraId="6A6F70FF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504ECAF7" w14:textId="77777777" w:rsidR="002E0D61" w:rsidRPr="00DD2F9B" w:rsidRDefault="0045713D" w:rsidP="0045713D">
            <w:r>
              <w:t>Carcinogenicity – A4, Skin</w:t>
            </w:r>
          </w:p>
        </w:tc>
      </w:tr>
      <w:tr w:rsidR="002E0D61" w:rsidRPr="004C23F4" w14:paraId="3C492FD4" w14:textId="77777777" w:rsidTr="00812887">
        <w:trPr>
          <w:cantSplit/>
        </w:trPr>
        <w:tc>
          <w:tcPr>
            <w:tcW w:w="3227" w:type="dxa"/>
          </w:tcPr>
          <w:p w14:paraId="534BA75B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8602A73" w14:textId="77777777" w:rsidR="002E0D61" w:rsidRPr="00DD2F9B" w:rsidRDefault="00A75712" w:rsidP="00DD2F9B">
            <w:pPr>
              <w:pStyle w:val="Tablefont"/>
            </w:pPr>
            <w:r>
              <w:t>H (skin)</w:t>
            </w:r>
          </w:p>
        </w:tc>
      </w:tr>
      <w:tr w:rsidR="002E0D61" w:rsidRPr="004C23F4" w14:paraId="17FF0605" w14:textId="77777777" w:rsidTr="00812887">
        <w:trPr>
          <w:cantSplit/>
        </w:trPr>
        <w:tc>
          <w:tcPr>
            <w:tcW w:w="3227" w:type="dxa"/>
          </w:tcPr>
          <w:p w14:paraId="5EBCBEBE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09EE59FD" w14:textId="77777777" w:rsidR="002E0D61" w:rsidRPr="00DD2F9B" w:rsidRDefault="0062522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73864A9" w14:textId="77777777" w:rsidTr="00812887">
        <w:trPr>
          <w:cantSplit/>
        </w:trPr>
        <w:tc>
          <w:tcPr>
            <w:tcW w:w="3227" w:type="dxa"/>
          </w:tcPr>
          <w:p w14:paraId="2D96AFC1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8E152F6" w14:textId="77777777" w:rsidR="002E0D61" w:rsidRPr="00DD2F9B" w:rsidRDefault="008730C7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154CC61" w14:textId="77777777" w:rsidTr="00812887">
        <w:trPr>
          <w:cantSplit/>
        </w:trPr>
        <w:tc>
          <w:tcPr>
            <w:tcW w:w="3227" w:type="dxa"/>
          </w:tcPr>
          <w:p w14:paraId="597A7133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9558825" w14:textId="77777777" w:rsidR="00386093" w:rsidRPr="00DD2F9B" w:rsidRDefault="008730C7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7FF7B51" w14:textId="77777777" w:rsidTr="00812887">
        <w:trPr>
          <w:cantSplit/>
        </w:trPr>
        <w:tc>
          <w:tcPr>
            <w:tcW w:w="3227" w:type="dxa"/>
          </w:tcPr>
          <w:p w14:paraId="5D319661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5262EBDE" w14:textId="77777777" w:rsidR="00386093" w:rsidRPr="00DD2F9B" w:rsidRDefault="008730C7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3"/>
    <w:p w14:paraId="5F2A99D5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005C5E31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094EA70E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72964129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602E915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01"/>
              <w:gridCol w:w="3530"/>
              <w:gridCol w:w="901"/>
              <w:gridCol w:w="902"/>
              <w:gridCol w:w="2576"/>
            </w:tblGrid>
            <w:tr w:rsidR="000B10D7" w:rsidRPr="000B10D7" w14:paraId="11A482F8" w14:textId="77777777" w:rsidTr="000B10D7">
              <w:trPr>
                <w:trHeight w:val="342"/>
              </w:trPr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6B67D4" w14:textId="77777777" w:rsidR="000B10D7" w:rsidRPr="000B10D7" w:rsidRDefault="000B10D7" w:rsidP="000B10D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9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7AFC25" w14:textId="77777777" w:rsidR="000B10D7" w:rsidRPr="000B10D7" w:rsidRDefault="000B10D7" w:rsidP="000B10D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4127DFE6" w14:textId="77777777" w:rsidR="000B10D7" w:rsidRPr="000B10D7" w:rsidRDefault="000B10D7" w:rsidP="000B10D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C546D5" w14:textId="77777777" w:rsidR="000B10D7" w:rsidRPr="000B10D7" w:rsidRDefault="000B10D7" w:rsidP="000B10D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13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83B2FC5" w14:textId="77777777" w:rsidR="000B10D7" w:rsidRPr="000B10D7" w:rsidRDefault="000B10D7" w:rsidP="000B10D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B10D7" w:rsidRPr="000B10D7" w14:paraId="196136F2" w14:textId="77777777" w:rsidTr="000B10D7">
              <w:trPr>
                <w:trHeight w:val="342"/>
              </w:trPr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F4114DF" w14:textId="77777777" w:rsidR="000B10D7" w:rsidRPr="000B10D7" w:rsidRDefault="000B10D7" w:rsidP="000B10D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9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CA925E" w14:textId="77777777" w:rsidR="000B10D7" w:rsidRPr="000B10D7" w:rsidRDefault="000B10D7" w:rsidP="000B10D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2C5DF498" w14:textId="77777777" w:rsidR="000B10D7" w:rsidRPr="000B10D7" w:rsidRDefault="000B10D7" w:rsidP="000B10D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7D39E5" w14:textId="77777777" w:rsidR="000B10D7" w:rsidRPr="000B10D7" w:rsidRDefault="000B10D7" w:rsidP="000B10D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13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22D563" w14:textId="77777777" w:rsidR="000B10D7" w:rsidRPr="000B10D7" w:rsidRDefault="000B10D7" w:rsidP="000B10D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B10D7" w:rsidRPr="000B10D7" w14:paraId="1F3D1AFC" w14:textId="77777777" w:rsidTr="000B10D7">
              <w:trPr>
                <w:trHeight w:val="342"/>
              </w:trPr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1859EAE" w14:textId="77777777" w:rsidR="000B10D7" w:rsidRPr="000B10D7" w:rsidRDefault="000B10D7" w:rsidP="000B10D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9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255EF7" w14:textId="77777777" w:rsidR="000B10D7" w:rsidRPr="000B10D7" w:rsidRDefault="000B10D7" w:rsidP="000B10D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AB8F6D5" w14:textId="77777777" w:rsidR="000B10D7" w:rsidRPr="000B10D7" w:rsidRDefault="000B10D7" w:rsidP="000B10D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E21FB2" w14:textId="77777777" w:rsidR="000B10D7" w:rsidRPr="000B10D7" w:rsidRDefault="000B10D7" w:rsidP="000B10D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E6D318" w14:textId="77777777" w:rsidR="000B10D7" w:rsidRPr="000B10D7" w:rsidRDefault="000B10D7" w:rsidP="000B10D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B10D7" w:rsidRPr="000B10D7" w14:paraId="3B63FA25" w14:textId="77777777" w:rsidTr="000B10D7">
              <w:trPr>
                <w:trHeight w:val="342"/>
              </w:trPr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40F22B" w14:textId="77777777" w:rsidR="000B10D7" w:rsidRPr="000B10D7" w:rsidRDefault="000B10D7" w:rsidP="000B10D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9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970D14" w14:textId="77777777" w:rsidR="000B10D7" w:rsidRPr="000B10D7" w:rsidRDefault="000B10D7" w:rsidP="000B10D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1DD673F" w14:textId="77777777" w:rsidR="000B10D7" w:rsidRPr="000B10D7" w:rsidRDefault="000B10D7" w:rsidP="000B10D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CEB175" w14:textId="77777777" w:rsidR="000B10D7" w:rsidRPr="000B10D7" w:rsidRDefault="000B10D7" w:rsidP="000B10D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7A999D" w14:textId="77777777" w:rsidR="000B10D7" w:rsidRPr="000B10D7" w:rsidRDefault="000B10D7" w:rsidP="000B10D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B10D7" w:rsidRPr="000B10D7" w14:paraId="555AD400" w14:textId="77777777" w:rsidTr="000B10D7">
              <w:trPr>
                <w:trHeight w:val="342"/>
              </w:trPr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5803CAE" w14:textId="77777777" w:rsidR="000B10D7" w:rsidRPr="000B10D7" w:rsidRDefault="000B10D7" w:rsidP="000B10D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9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A48D85" w14:textId="77777777" w:rsidR="000B10D7" w:rsidRPr="000B10D7" w:rsidRDefault="000B10D7" w:rsidP="000B10D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D5E488" w14:textId="77777777" w:rsidR="000B10D7" w:rsidRPr="000B10D7" w:rsidRDefault="000B10D7" w:rsidP="000B10D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AAD1E9A" w14:textId="77777777" w:rsidR="000B10D7" w:rsidRPr="000B10D7" w:rsidRDefault="000B10D7" w:rsidP="000B10D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7BFB0C" w14:textId="77777777" w:rsidR="000B10D7" w:rsidRPr="000B10D7" w:rsidRDefault="000B10D7" w:rsidP="000B10D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B10D7" w:rsidRPr="000B10D7" w14:paraId="051E47E9" w14:textId="77777777" w:rsidTr="000B10D7">
              <w:trPr>
                <w:trHeight w:val="342"/>
              </w:trPr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883D945" w14:textId="77777777" w:rsidR="000B10D7" w:rsidRPr="000B10D7" w:rsidRDefault="000B10D7" w:rsidP="000B10D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9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32FAAB" w14:textId="77777777" w:rsidR="000B10D7" w:rsidRPr="000B10D7" w:rsidRDefault="000B10D7" w:rsidP="000B10D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C73A5A" w14:textId="77777777" w:rsidR="000B10D7" w:rsidRPr="000B10D7" w:rsidRDefault="000B10D7" w:rsidP="000B10D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166C6D" w14:textId="77777777" w:rsidR="000B10D7" w:rsidRPr="000B10D7" w:rsidRDefault="000B10D7" w:rsidP="000B10D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C4A9AB7" w14:textId="77777777" w:rsidR="000B10D7" w:rsidRPr="000B10D7" w:rsidRDefault="000B10D7" w:rsidP="000B10D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0B10D7" w:rsidRPr="000B10D7" w14:paraId="2403EB70" w14:textId="77777777" w:rsidTr="000B10D7">
              <w:trPr>
                <w:trHeight w:val="342"/>
              </w:trPr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B958A2" w14:textId="77777777" w:rsidR="000B10D7" w:rsidRPr="000B10D7" w:rsidRDefault="000B10D7" w:rsidP="000B10D7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9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8A3862" w14:textId="77777777" w:rsidR="000B10D7" w:rsidRPr="000B10D7" w:rsidRDefault="000B10D7" w:rsidP="000B10D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A1F96A" w14:textId="77777777" w:rsidR="000B10D7" w:rsidRPr="000B10D7" w:rsidRDefault="000B10D7" w:rsidP="000B10D7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EA5457" w14:textId="77777777" w:rsidR="000B10D7" w:rsidRPr="000B10D7" w:rsidRDefault="000B10D7" w:rsidP="000B10D7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13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B258C3" w14:textId="77777777" w:rsidR="000B10D7" w:rsidRPr="000B10D7" w:rsidRDefault="000B10D7" w:rsidP="000B10D7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0B10D7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456BDCD0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48B4BC72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307E72D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8AE37E1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EA2A41B" w14:textId="77777777" w:rsidR="00EB3D1B" w:rsidRDefault="008730C7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7E0812BE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7209A6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6C3FA2A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760C98A" w14:textId="77777777" w:rsidR="001B79E5" w:rsidRDefault="00625228" w:rsidP="001B79E5">
                <w:pPr>
                  <w:pStyle w:val="Tablefont"/>
                </w:pPr>
                <w:r>
                  <w:t>73.14</w:t>
                </w:r>
              </w:p>
            </w:tc>
          </w:sdtContent>
        </w:sdt>
      </w:tr>
      <w:tr w:rsidR="00A31D99" w:rsidRPr="004C23F4" w14:paraId="00166C8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8CF8722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6C7FDB8C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587D75B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74ECC83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508AA64" w14:textId="77777777" w:rsidR="00687890" w:rsidRPr="004C23F4" w:rsidRDefault="000F56A0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31D3AF2B" w14:textId="77777777" w:rsidTr="00EA6243">
        <w:trPr>
          <w:cantSplit/>
        </w:trPr>
        <w:tc>
          <w:tcPr>
            <w:tcW w:w="4077" w:type="dxa"/>
            <w:vAlign w:val="center"/>
          </w:tcPr>
          <w:p w14:paraId="601936C8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2577FEE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4C78D66" w14:textId="77777777" w:rsidTr="00EA6243">
        <w:trPr>
          <w:cantSplit/>
        </w:trPr>
        <w:tc>
          <w:tcPr>
            <w:tcW w:w="4077" w:type="dxa"/>
            <w:vAlign w:val="center"/>
          </w:tcPr>
          <w:p w14:paraId="20F3D911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5DB2FDA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43F0BF0F" w14:textId="77777777" w:rsidTr="00EA6243">
        <w:trPr>
          <w:cantSplit/>
        </w:trPr>
        <w:tc>
          <w:tcPr>
            <w:tcW w:w="4077" w:type="dxa"/>
            <w:vAlign w:val="center"/>
          </w:tcPr>
          <w:p w14:paraId="7688354D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6271D477" w14:textId="77777777" w:rsidR="00E06F40" w:rsidRPr="00A006A0" w:rsidRDefault="00D3079E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05DE7686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FA9596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2759E8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54EEB6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8BD7F95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0ED8C5B4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D253DB8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68D4326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2F9E4088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51E7433" w14:textId="77777777" w:rsidR="008730C7" w:rsidRDefault="008730C7" w:rsidP="008730C7">
      <w:pPr>
        <w:rPr>
          <w:b/>
        </w:rPr>
      </w:pPr>
      <w:r w:rsidRPr="002022B6">
        <w:t>Deutsche Forschungsgemeinschaft (DFG)</w:t>
      </w:r>
      <w:r>
        <w:t xml:space="preserve"> (2016) Diethylamine – MAK value documentation.</w:t>
      </w:r>
    </w:p>
    <w:p w14:paraId="5C5CBDB7" w14:textId="77777777" w:rsidR="008730C7" w:rsidRDefault="008730C7" w:rsidP="008730C7">
      <w:r w:rsidRPr="002022B6">
        <w:t>EU Scientific Committee on Occupational Exposure Limits (SCOEL)</w:t>
      </w:r>
      <w:r>
        <w:t xml:space="preserve"> (2002) Recommendation from the Scientific Committee on Occupational Exposure Limits for diethylamine. SCOEL/SUM/91.</w:t>
      </w:r>
    </w:p>
    <w:p w14:paraId="6CE6F29D" w14:textId="77777777" w:rsidR="008730C7" w:rsidRPr="00351FE0" w:rsidRDefault="008730C7" w:rsidP="00084859">
      <w:r w:rsidRPr="00D86E03">
        <w:t>US National Institute for Occupational Safety and Health (NIOSH)</w:t>
      </w:r>
      <w:r>
        <w:t xml:space="preserve"> </w:t>
      </w:r>
      <w:r w:rsidRPr="00661E57">
        <w:t>(</w:t>
      </w:r>
      <w:sdt>
        <w:sdtPr>
          <w:id w:val="-1194999823"/>
          <w:placeholder>
            <w:docPart w:val="256560665FAE468C934202D15E42085E"/>
          </w:placeholder>
          <w:temporary/>
          <w:showingPlcHdr/>
        </w:sdtPr>
        <w:sdtEndPr/>
        <w:sdtContent>
          <w:r w:rsidRPr="00661E57">
            <w:t>1994</w:t>
          </w:r>
        </w:sdtContent>
      </w:sdt>
      <w:r w:rsidRPr="00661E57">
        <w:t xml:space="preserve">) Immediately </w:t>
      </w:r>
      <w:r>
        <w:t>dangerous to life or health concentrations – diethylamine.</w:t>
      </w:r>
    </w:p>
    <w:sectPr w:rsidR="008730C7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8793" w14:textId="77777777" w:rsidR="001A1D3C" w:rsidRDefault="001A1D3C" w:rsidP="00F43AD5">
      <w:pPr>
        <w:spacing w:after="0" w:line="240" w:lineRule="auto"/>
      </w:pPr>
      <w:r>
        <w:separator/>
      </w:r>
    </w:p>
  </w:endnote>
  <w:endnote w:type="continuationSeparator" w:id="0">
    <w:p w14:paraId="591803C3" w14:textId="77777777" w:rsidR="001A1D3C" w:rsidRDefault="001A1D3C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E6358" w14:textId="77777777" w:rsidR="00FA5809" w:rsidRDefault="00FA5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4AC833D" w14:textId="77777777" w:rsidR="008A36CF" w:rsidRDefault="00EF2283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Diethylamine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109-89-7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393380EB" w14:textId="5C565740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D3079E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AC4A3" w14:textId="77777777" w:rsidR="00FA5809" w:rsidRDefault="00FA5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07BC4" w14:textId="77777777" w:rsidR="001A1D3C" w:rsidRDefault="001A1D3C" w:rsidP="00F43AD5">
      <w:pPr>
        <w:spacing w:after="0" w:line="240" w:lineRule="auto"/>
      </w:pPr>
      <w:r>
        <w:separator/>
      </w:r>
    </w:p>
  </w:footnote>
  <w:footnote w:type="continuationSeparator" w:id="0">
    <w:p w14:paraId="45D1782B" w14:textId="77777777" w:rsidR="001A1D3C" w:rsidRDefault="001A1D3C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FAA5B" w14:textId="77777777" w:rsidR="00FA5809" w:rsidRDefault="00FA5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F07EC" w14:textId="0C600A30" w:rsidR="00702581" w:rsidRDefault="00D3079E" w:rsidP="00702581">
    <w:pPr>
      <w:pStyle w:val="Header"/>
      <w:jc w:val="right"/>
    </w:pPr>
    <w:r>
      <w:pict w14:anchorId="7FECAA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911533" o:spid="_x0000_s819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702581">
      <w:rPr>
        <w:noProof/>
        <w:lang w:eastAsia="en-AU"/>
      </w:rPr>
      <w:drawing>
        <wp:inline distT="0" distB="0" distL="0" distR="0" wp14:anchorId="354A8A79" wp14:editId="0B530E80">
          <wp:extent cx="2945130" cy="595630"/>
          <wp:effectExtent l="0" t="0" r="762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B1BCC4" w14:textId="07D1350B" w:rsidR="008A36CF" w:rsidRPr="00702581" w:rsidRDefault="008A36CF" w:rsidP="007025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E460" w14:textId="77777777" w:rsidR="00FA5809" w:rsidRDefault="00FA580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AA902" w14:textId="682F9713" w:rsidR="00702581" w:rsidRDefault="00D3079E" w:rsidP="00702581">
    <w:pPr>
      <w:pStyle w:val="Header"/>
      <w:jc w:val="right"/>
    </w:pPr>
    <w:r>
      <w:pict w14:anchorId="1FD9BD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819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702581">
      <w:rPr>
        <w:noProof/>
        <w:lang w:eastAsia="en-AU"/>
      </w:rPr>
      <w:drawing>
        <wp:inline distT="0" distB="0" distL="0" distR="0" wp14:anchorId="7F3C07F8" wp14:editId="78C63D6E">
          <wp:extent cx="2945130" cy="595630"/>
          <wp:effectExtent l="0" t="0" r="762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9EAF2E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BE2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1222"/>
    <w:rsid w:val="0001298D"/>
    <w:rsid w:val="00013A22"/>
    <w:rsid w:val="00014C3F"/>
    <w:rsid w:val="00017C82"/>
    <w:rsid w:val="00032B88"/>
    <w:rsid w:val="00041BFF"/>
    <w:rsid w:val="00046DF5"/>
    <w:rsid w:val="00052060"/>
    <w:rsid w:val="0005574A"/>
    <w:rsid w:val="00055FE1"/>
    <w:rsid w:val="00056EC2"/>
    <w:rsid w:val="00060B48"/>
    <w:rsid w:val="0006321D"/>
    <w:rsid w:val="00067F32"/>
    <w:rsid w:val="00071807"/>
    <w:rsid w:val="000803E1"/>
    <w:rsid w:val="00084513"/>
    <w:rsid w:val="00084859"/>
    <w:rsid w:val="00092D94"/>
    <w:rsid w:val="00097969"/>
    <w:rsid w:val="000A39BA"/>
    <w:rsid w:val="000B0868"/>
    <w:rsid w:val="000B10D7"/>
    <w:rsid w:val="000B3E12"/>
    <w:rsid w:val="000B3E78"/>
    <w:rsid w:val="000B7B48"/>
    <w:rsid w:val="000C096D"/>
    <w:rsid w:val="000C139A"/>
    <w:rsid w:val="000C2053"/>
    <w:rsid w:val="000C248C"/>
    <w:rsid w:val="000D0BBD"/>
    <w:rsid w:val="000D291C"/>
    <w:rsid w:val="000E5A54"/>
    <w:rsid w:val="000E63D3"/>
    <w:rsid w:val="000E67CF"/>
    <w:rsid w:val="000F56A0"/>
    <w:rsid w:val="000F6F36"/>
    <w:rsid w:val="0010461E"/>
    <w:rsid w:val="00104702"/>
    <w:rsid w:val="00106FAA"/>
    <w:rsid w:val="00113443"/>
    <w:rsid w:val="001269A7"/>
    <w:rsid w:val="00131092"/>
    <w:rsid w:val="00140E6A"/>
    <w:rsid w:val="00145BDE"/>
    <w:rsid w:val="00146545"/>
    <w:rsid w:val="00146B75"/>
    <w:rsid w:val="0015266D"/>
    <w:rsid w:val="0015288A"/>
    <w:rsid w:val="00160F47"/>
    <w:rsid w:val="0016247A"/>
    <w:rsid w:val="00177CA1"/>
    <w:rsid w:val="00183823"/>
    <w:rsid w:val="00183942"/>
    <w:rsid w:val="001A009E"/>
    <w:rsid w:val="001A1287"/>
    <w:rsid w:val="001A1D3C"/>
    <w:rsid w:val="001A3859"/>
    <w:rsid w:val="001A3C9D"/>
    <w:rsid w:val="001A43F8"/>
    <w:rsid w:val="001B79E5"/>
    <w:rsid w:val="001C337E"/>
    <w:rsid w:val="001C7081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65CA0"/>
    <w:rsid w:val="00276494"/>
    <w:rsid w:val="00277B0C"/>
    <w:rsid w:val="00295933"/>
    <w:rsid w:val="002B1A2C"/>
    <w:rsid w:val="002C34F2"/>
    <w:rsid w:val="002C58FF"/>
    <w:rsid w:val="002C7AFE"/>
    <w:rsid w:val="002D05D2"/>
    <w:rsid w:val="002E0D61"/>
    <w:rsid w:val="002E4C7B"/>
    <w:rsid w:val="002F5E53"/>
    <w:rsid w:val="00300756"/>
    <w:rsid w:val="003015B2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0CDA"/>
    <w:rsid w:val="00347192"/>
    <w:rsid w:val="0034744C"/>
    <w:rsid w:val="00351FE0"/>
    <w:rsid w:val="00352615"/>
    <w:rsid w:val="0035412B"/>
    <w:rsid w:val="003567A8"/>
    <w:rsid w:val="00362895"/>
    <w:rsid w:val="00365761"/>
    <w:rsid w:val="00370DBF"/>
    <w:rsid w:val="00386093"/>
    <w:rsid w:val="00386EC6"/>
    <w:rsid w:val="003904A4"/>
    <w:rsid w:val="00391841"/>
    <w:rsid w:val="00391B6D"/>
    <w:rsid w:val="00394922"/>
    <w:rsid w:val="003A0E32"/>
    <w:rsid w:val="003A2B94"/>
    <w:rsid w:val="003A2D8B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5713D"/>
    <w:rsid w:val="00460A03"/>
    <w:rsid w:val="00463C99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702B2"/>
    <w:rsid w:val="00581055"/>
    <w:rsid w:val="00591E38"/>
    <w:rsid w:val="005A19C5"/>
    <w:rsid w:val="005A3034"/>
    <w:rsid w:val="005A462D"/>
    <w:rsid w:val="005B253B"/>
    <w:rsid w:val="005B771D"/>
    <w:rsid w:val="005C2DD2"/>
    <w:rsid w:val="005C4E0D"/>
    <w:rsid w:val="005C5D16"/>
    <w:rsid w:val="005D3193"/>
    <w:rsid w:val="005D4A6E"/>
    <w:rsid w:val="005D58FE"/>
    <w:rsid w:val="005E6979"/>
    <w:rsid w:val="005E75CB"/>
    <w:rsid w:val="006013C1"/>
    <w:rsid w:val="0060669E"/>
    <w:rsid w:val="00607DA1"/>
    <w:rsid w:val="00610F2E"/>
    <w:rsid w:val="00611399"/>
    <w:rsid w:val="00624C4E"/>
    <w:rsid w:val="00625200"/>
    <w:rsid w:val="00625228"/>
    <w:rsid w:val="006363A8"/>
    <w:rsid w:val="00636DB7"/>
    <w:rsid w:val="0064193C"/>
    <w:rsid w:val="00650905"/>
    <w:rsid w:val="006532ED"/>
    <w:rsid w:val="006549F2"/>
    <w:rsid w:val="006567B7"/>
    <w:rsid w:val="00657BFB"/>
    <w:rsid w:val="00661E57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A3A06"/>
    <w:rsid w:val="006B10CF"/>
    <w:rsid w:val="006B160A"/>
    <w:rsid w:val="006B4E6C"/>
    <w:rsid w:val="006B50B6"/>
    <w:rsid w:val="006D79EA"/>
    <w:rsid w:val="006E5D05"/>
    <w:rsid w:val="00701053"/>
    <w:rsid w:val="00701507"/>
    <w:rsid w:val="00702581"/>
    <w:rsid w:val="00714021"/>
    <w:rsid w:val="00716A0F"/>
    <w:rsid w:val="00717B29"/>
    <w:rsid w:val="00717D45"/>
    <w:rsid w:val="007208F7"/>
    <w:rsid w:val="007218AF"/>
    <w:rsid w:val="007229E4"/>
    <w:rsid w:val="00731B1C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97310"/>
    <w:rsid w:val="007B1B42"/>
    <w:rsid w:val="007B4D90"/>
    <w:rsid w:val="007C30EB"/>
    <w:rsid w:val="007D7A29"/>
    <w:rsid w:val="007E063C"/>
    <w:rsid w:val="007E2A4B"/>
    <w:rsid w:val="007E307D"/>
    <w:rsid w:val="007E6A4E"/>
    <w:rsid w:val="007E6C94"/>
    <w:rsid w:val="007F1005"/>
    <w:rsid w:val="007F25E0"/>
    <w:rsid w:val="007F5328"/>
    <w:rsid w:val="00803636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30C7"/>
    <w:rsid w:val="008745A2"/>
    <w:rsid w:val="008768A8"/>
    <w:rsid w:val="0088798F"/>
    <w:rsid w:val="00887E4B"/>
    <w:rsid w:val="008915C8"/>
    <w:rsid w:val="008A36CF"/>
    <w:rsid w:val="008A3BC4"/>
    <w:rsid w:val="008B1312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54FE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B705C"/>
    <w:rsid w:val="009C199D"/>
    <w:rsid w:val="009C278F"/>
    <w:rsid w:val="009C2B94"/>
    <w:rsid w:val="009C5874"/>
    <w:rsid w:val="009D3B5A"/>
    <w:rsid w:val="009D5841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4B02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444CB"/>
    <w:rsid w:val="00A449C9"/>
    <w:rsid w:val="00A45363"/>
    <w:rsid w:val="00A53681"/>
    <w:rsid w:val="00A57761"/>
    <w:rsid w:val="00A633D4"/>
    <w:rsid w:val="00A6461A"/>
    <w:rsid w:val="00A646BB"/>
    <w:rsid w:val="00A75712"/>
    <w:rsid w:val="00A84504"/>
    <w:rsid w:val="00A8672F"/>
    <w:rsid w:val="00A93057"/>
    <w:rsid w:val="00A95DDC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E5238"/>
    <w:rsid w:val="00AE7EBB"/>
    <w:rsid w:val="00AF0825"/>
    <w:rsid w:val="00AF42CB"/>
    <w:rsid w:val="00AF46AD"/>
    <w:rsid w:val="00AF483F"/>
    <w:rsid w:val="00AF5E07"/>
    <w:rsid w:val="00AF5F06"/>
    <w:rsid w:val="00B00A25"/>
    <w:rsid w:val="00B05F16"/>
    <w:rsid w:val="00B1422A"/>
    <w:rsid w:val="00B1765C"/>
    <w:rsid w:val="00B213C4"/>
    <w:rsid w:val="00B40C60"/>
    <w:rsid w:val="00B479A9"/>
    <w:rsid w:val="00B52EDF"/>
    <w:rsid w:val="00B56E64"/>
    <w:rsid w:val="00B71188"/>
    <w:rsid w:val="00B76A41"/>
    <w:rsid w:val="00B87D4C"/>
    <w:rsid w:val="00B93646"/>
    <w:rsid w:val="00BA0B38"/>
    <w:rsid w:val="00BA1DBB"/>
    <w:rsid w:val="00BA4510"/>
    <w:rsid w:val="00BA529A"/>
    <w:rsid w:val="00BB3ED1"/>
    <w:rsid w:val="00BB612A"/>
    <w:rsid w:val="00BD499F"/>
    <w:rsid w:val="00BD56DE"/>
    <w:rsid w:val="00BF2406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87E20"/>
    <w:rsid w:val="00C978F0"/>
    <w:rsid w:val="00CA58FE"/>
    <w:rsid w:val="00CB1CB1"/>
    <w:rsid w:val="00CB6BC1"/>
    <w:rsid w:val="00CB6CB8"/>
    <w:rsid w:val="00CC1A68"/>
    <w:rsid w:val="00CC2123"/>
    <w:rsid w:val="00CD2BFD"/>
    <w:rsid w:val="00CE4B6A"/>
    <w:rsid w:val="00CE5AD6"/>
    <w:rsid w:val="00CE617F"/>
    <w:rsid w:val="00CE78EF"/>
    <w:rsid w:val="00CF689C"/>
    <w:rsid w:val="00D048F7"/>
    <w:rsid w:val="00D0517E"/>
    <w:rsid w:val="00D140FC"/>
    <w:rsid w:val="00D21D8C"/>
    <w:rsid w:val="00D3079E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0829"/>
    <w:rsid w:val="00DA352E"/>
    <w:rsid w:val="00DC3F11"/>
    <w:rsid w:val="00DC7694"/>
    <w:rsid w:val="00DD1BF6"/>
    <w:rsid w:val="00DD2F9B"/>
    <w:rsid w:val="00DE2513"/>
    <w:rsid w:val="00DE26E8"/>
    <w:rsid w:val="00DF6F36"/>
    <w:rsid w:val="00E0084C"/>
    <w:rsid w:val="00E025AB"/>
    <w:rsid w:val="00E02B23"/>
    <w:rsid w:val="00E06F40"/>
    <w:rsid w:val="00E07CE8"/>
    <w:rsid w:val="00E1452A"/>
    <w:rsid w:val="00E26A07"/>
    <w:rsid w:val="00E32595"/>
    <w:rsid w:val="00E37CFD"/>
    <w:rsid w:val="00E41A26"/>
    <w:rsid w:val="00E46BCB"/>
    <w:rsid w:val="00E51CAF"/>
    <w:rsid w:val="00E60F04"/>
    <w:rsid w:val="00E62AAC"/>
    <w:rsid w:val="00E67C2F"/>
    <w:rsid w:val="00E67EF5"/>
    <w:rsid w:val="00E71EA5"/>
    <w:rsid w:val="00E7457F"/>
    <w:rsid w:val="00E804EA"/>
    <w:rsid w:val="00E80A71"/>
    <w:rsid w:val="00E82337"/>
    <w:rsid w:val="00E92499"/>
    <w:rsid w:val="00E92E45"/>
    <w:rsid w:val="00E949AF"/>
    <w:rsid w:val="00E96077"/>
    <w:rsid w:val="00EA0A06"/>
    <w:rsid w:val="00EA6243"/>
    <w:rsid w:val="00EA74AB"/>
    <w:rsid w:val="00EB3D1B"/>
    <w:rsid w:val="00ED1D89"/>
    <w:rsid w:val="00ED66BC"/>
    <w:rsid w:val="00EF1537"/>
    <w:rsid w:val="00EF2283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5E34"/>
    <w:rsid w:val="00F56DD0"/>
    <w:rsid w:val="00F57B9E"/>
    <w:rsid w:val="00F6491C"/>
    <w:rsid w:val="00F65B54"/>
    <w:rsid w:val="00F67BBB"/>
    <w:rsid w:val="00F87D92"/>
    <w:rsid w:val="00F90AA7"/>
    <w:rsid w:val="00F92498"/>
    <w:rsid w:val="00F9496B"/>
    <w:rsid w:val="00F970C9"/>
    <w:rsid w:val="00FA06A8"/>
    <w:rsid w:val="00FA3DF5"/>
    <w:rsid w:val="00FA5809"/>
    <w:rsid w:val="00FA741F"/>
    <w:rsid w:val="00FB4E07"/>
    <w:rsid w:val="00FB55B3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4C9A0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730C7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011222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1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0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0C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0CF"/>
    <w:rPr>
      <w:b/>
      <w:bCs/>
      <w:szCs w:val="20"/>
    </w:rPr>
  </w:style>
  <w:style w:type="paragraph" w:styleId="Revision">
    <w:name w:val="Revision"/>
    <w:hidden/>
    <w:uiPriority w:val="99"/>
    <w:semiHidden/>
    <w:rsid w:val="00731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256560665FAE468C934202D15E420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6CCC8-E173-44E6-97C0-76CC0CC6C2E3}"/>
      </w:docPartPr>
      <w:docPartBody>
        <w:p w:rsidR="00E02721" w:rsidRDefault="001D416B" w:rsidP="001D416B">
          <w:pPr>
            <w:pStyle w:val="256560665FAE468C934202D15E42085E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5769E294006A43E7986665C58490E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CF8F5-B21D-4AEB-93DA-E7AFD53D6A1F}"/>
      </w:docPartPr>
      <w:docPartBody>
        <w:p w:rsidR="00F64917" w:rsidRDefault="000E5D0B" w:rsidP="000E5D0B">
          <w:pPr>
            <w:pStyle w:val="5769E294006A43E7986665C58490EC51"/>
          </w:pPr>
          <w:r>
            <w:rPr>
              <w:rStyle w:val="PlaceholderText"/>
            </w:rPr>
            <w:t>Has this value changed?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0E5D0B"/>
    <w:rsid w:val="001D416B"/>
    <w:rsid w:val="00552343"/>
    <w:rsid w:val="00D21A9F"/>
    <w:rsid w:val="00E02721"/>
    <w:rsid w:val="00F6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5D0B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8ECB764257734A4195D70BA798F39B3A">
    <w:name w:val="8ECB764257734A4195D70BA798F39B3A"/>
    <w:rsid w:val="001D416B"/>
    <w:rPr>
      <w:lang w:val="en-US" w:eastAsia="en-US"/>
    </w:rPr>
  </w:style>
  <w:style w:type="paragraph" w:customStyle="1" w:styleId="0A327AA13F8C472093CFB77229CB4930">
    <w:name w:val="0A327AA13F8C472093CFB77229CB4930"/>
    <w:rsid w:val="001D416B"/>
    <w:rPr>
      <w:lang w:val="en-US" w:eastAsia="en-US"/>
    </w:rPr>
  </w:style>
  <w:style w:type="paragraph" w:customStyle="1" w:styleId="24848C31666D4FAB82106DBEBDA994DF">
    <w:name w:val="24848C31666D4FAB82106DBEBDA994DF"/>
    <w:rsid w:val="001D416B"/>
    <w:rPr>
      <w:lang w:val="en-US" w:eastAsia="en-US"/>
    </w:rPr>
  </w:style>
  <w:style w:type="paragraph" w:customStyle="1" w:styleId="B38CE2975B894C5B835EBEA19DDDD284">
    <w:name w:val="B38CE2975B894C5B835EBEA19DDDD284"/>
    <w:rsid w:val="001D416B"/>
    <w:rPr>
      <w:lang w:val="en-US" w:eastAsia="en-US"/>
    </w:rPr>
  </w:style>
  <w:style w:type="paragraph" w:customStyle="1" w:styleId="767808EE76064102A897697348F3D9CA">
    <w:name w:val="767808EE76064102A897697348F3D9CA"/>
    <w:rsid w:val="001D416B"/>
    <w:rPr>
      <w:lang w:val="en-US" w:eastAsia="en-US"/>
    </w:rPr>
  </w:style>
  <w:style w:type="paragraph" w:customStyle="1" w:styleId="12B4F0FE61C64B2D9AA309FCF5DC282A">
    <w:name w:val="12B4F0FE61C64B2D9AA309FCF5DC282A"/>
    <w:rsid w:val="001D416B"/>
    <w:rPr>
      <w:lang w:val="en-US" w:eastAsia="en-US"/>
    </w:rPr>
  </w:style>
  <w:style w:type="paragraph" w:customStyle="1" w:styleId="0EC7D8178D5545A39799BA617869121B">
    <w:name w:val="0EC7D8178D5545A39799BA617869121B"/>
    <w:rsid w:val="001D416B"/>
    <w:rPr>
      <w:lang w:val="en-US" w:eastAsia="en-US"/>
    </w:rPr>
  </w:style>
  <w:style w:type="paragraph" w:customStyle="1" w:styleId="01491D49ACB34CEE96F2F1BD06E84537">
    <w:name w:val="01491D49ACB34CEE96F2F1BD06E84537"/>
    <w:rsid w:val="001D416B"/>
    <w:rPr>
      <w:lang w:val="en-US" w:eastAsia="en-US"/>
    </w:rPr>
  </w:style>
  <w:style w:type="paragraph" w:customStyle="1" w:styleId="3DDCBB7591D94CCD9ECCB08C4D125392">
    <w:name w:val="3DDCBB7591D94CCD9ECCB08C4D125392"/>
    <w:rsid w:val="001D416B"/>
    <w:rPr>
      <w:lang w:val="en-US" w:eastAsia="en-US"/>
    </w:rPr>
  </w:style>
  <w:style w:type="paragraph" w:customStyle="1" w:styleId="4D9BCE505FC149C197A4D431F27945E2">
    <w:name w:val="4D9BCE505FC149C197A4D431F27945E2"/>
    <w:rsid w:val="001D416B"/>
    <w:rPr>
      <w:lang w:val="en-US" w:eastAsia="en-US"/>
    </w:rPr>
  </w:style>
  <w:style w:type="paragraph" w:customStyle="1" w:styleId="0EE8B4C5A789465688E6F9DF8E89493E">
    <w:name w:val="0EE8B4C5A789465688E6F9DF8E89493E"/>
    <w:rsid w:val="001D416B"/>
    <w:rPr>
      <w:lang w:val="en-US" w:eastAsia="en-US"/>
    </w:rPr>
  </w:style>
  <w:style w:type="paragraph" w:customStyle="1" w:styleId="93221221EF4E49009BA9F9E27EC49415">
    <w:name w:val="93221221EF4E49009BA9F9E27EC49415"/>
    <w:rsid w:val="001D416B"/>
    <w:rPr>
      <w:lang w:val="en-US" w:eastAsia="en-US"/>
    </w:rPr>
  </w:style>
  <w:style w:type="paragraph" w:customStyle="1" w:styleId="256560665FAE468C934202D15E42085E">
    <w:name w:val="256560665FAE468C934202D15E42085E"/>
    <w:rsid w:val="001D416B"/>
    <w:rPr>
      <w:lang w:val="en-US" w:eastAsia="en-US"/>
    </w:rPr>
  </w:style>
  <w:style w:type="paragraph" w:customStyle="1" w:styleId="D6750AE0A2A34F8B8F27E44888EED829">
    <w:name w:val="D6750AE0A2A34F8B8F27E44888EED829"/>
    <w:rsid w:val="001D416B"/>
    <w:rPr>
      <w:lang w:val="en-US" w:eastAsia="en-US"/>
    </w:rPr>
  </w:style>
  <w:style w:type="paragraph" w:customStyle="1" w:styleId="EDFA26EAC7EB45E284BDD4DB8E4267C6">
    <w:name w:val="EDFA26EAC7EB45E284BDD4DB8E4267C6"/>
    <w:rsid w:val="000E5D0B"/>
  </w:style>
  <w:style w:type="paragraph" w:customStyle="1" w:styleId="5769E294006A43E7986665C58490EC51">
    <w:name w:val="5769E294006A43E7986665C58490EC51"/>
    <w:rsid w:val="000E5D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B21A-5C27-4FDE-818F-A61C72935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AF5AF-BAE6-4F1E-BF18-49D2EBBEA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BE64F-0F36-4638-8950-9F4A02F3436F}">
  <ds:schemaRefs>
    <ds:schemaRef ds:uri="http://schemas.openxmlformats.org/package/2006/metadata/core-properties"/>
    <ds:schemaRef ds:uri="http://schemas.microsoft.com/office/2006/documentManagement/types"/>
    <ds:schemaRef ds:uri="bf54d604-3e62-4e70-ba33-9e9084b96a66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A931A5-D432-46BB-A71E-560E879F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E26D7D4C.dotm</Template>
  <TotalTime>0</TotalTime>
  <Pages>5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2019-10-30T05:30:00Z</dcterms:created>
  <dcterms:modified xsi:type="dcterms:W3CDTF">2019-11-06T23:04:00Z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