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66FA224" w14:textId="63CD70E7" w:rsidR="00BD499F" w:rsidRPr="004C23F4" w:rsidRDefault="00B83EA7" w:rsidP="00B40C60">
          <w:pPr>
            <w:pStyle w:val="Heading1"/>
            <w:jc w:val="center"/>
            <w:rPr>
              <w:rFonts w:ascii="Arial" w:hAnsi="Arial" w:cs="Arial"/>
            </w:rPr>
          </w:pPr>
          <w:r w:rsidRPr="00B83EA7">
            <w:rPr>
              <w:rFonts w:ascii="Arial" w:hAnsi="Arial" w:cs="Arial"/>
            </w:rPr>
            <w:t>Diisopropylamine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04B157E0" w14:textId="77777777" w:rsidTr="00E21F73">
        <w:trPr>
          <w:cantSplit/>
          <w:tblHeader/>
        </w:trPr>
        <w:tc>
          <w:tcPr>
            <w:tcW w:w="3985" w:type="dxa"/>
          </w:tcPr>
          <w:p w14:paraId="73AC04C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293F83D5" w14:textId="31A83C10" w:rsidR="00F43AD5" w:rsidRPr="00717D45" w:rsidRDefault="00B83EA7" w:rsidP="00B76A41">
            <w:pPr>
              <w:pStyle w:val="Tablefont"/>
            </w:pPr>
            <w:r w:rsidRPr="00B83EA7">
              <w:t>108-18-9</w:t>
            </w:r>
          </w:p>
        </w:tc>
      </w:tr>
      <w:tr w:rsidR="00F43AD5" w:rsidRPr="004C23F4" w14:paraId="608D9CEF" w14:textId="77777777" w:rsidTr="00E21F73">
        <w:trPr>
          <w:cantSplit/>
        </w:trPr>
        <w:tc>
          <w:tcPr>
            <w:tcW w:w="3985" w:type="dxa"/>
          </w:tcPr>
          <w:p w14:paraId="2284E98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5FFF4F2F" w14:textId="52812BA1" w:rsidR="00F43AD5" w:rsidRPr="00717D45" w:rsidRDefault="00B83EA7" w:rsidP="00B76A41">
            <w:pPr>
              <w:pStyle w:val="Tablefont"/>
            </w:pPr>
            <w:r>
              <w:t>N-(1-Methylethyl)-2-propanamine</w:t>
            </w:r>
          </w:p>
        </w:tc>
      </w:tr>
      <w:tr w:rsidR="00F43AD5" w:rsidRPr="004C23F4" w14:paraId="627700C1" w14:textId="77777777" w:rsidTr="00E21F73">
        <w:trPr>
          <w:cantSplit/>
        </w:trPr>
        <w:tc>
          <w:tcPr>
            <w:tcW w:w="3985" w:type="dxa"/>
          </w:tcPr>
          <w:p w14:paraId="33CA550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742C4C46" w14:textId="7D92D4EC" w:rsidR="00F43AD5" w:rsidRPr="00717D45" w:rsidRDefault="00B83EA7" w:rsidP="00B76A41">
            <w:pPr>
              <w:pStyle w:val="Tablefont"/>
            </w:pPr>
            <w:r>
              <w:t>C</w:t>
            </w:r>
            <w:r w:rsidRPr="00B83EA7">
              <w:rPr>
                <w:vertAlign w:val="subscript"/>
              </w:rPr>
              <w:t>6</w:t>
            </w:r>
            <w:r>
              <w:t>H</w:t>
            </w:r>
            <w:r w:rsidRPr="00B83EA7">
              <w:rPr>
                <w:vertAlign w:val="subscript"/>
              </w:rPr>
              <w:t>15</w:t>
            </w:r>
            <w:r>
              <w:t>N</w:t>
            </w:r>
          </w:p>
        </w:tc>
      </w:tr>
    </w:tbl>
    <w:p w14:paraId="0ED56BA8" w14:textId="3ACAB5E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364F7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145EC362" w14:textId="77777777" w:rsidTr="00E5079D">
        <w:trPr>
          <w:cantSplit/>
          <w:tblHeader/>
        </w:trPr>
        <w:tc>
          <w:tcPr>
            <w:tcW w:w="4005" w:type="dxa"/>
            <w:vAlign w:val="center"/>
          </w:tcPr>
          <w:p w14:paraId="2C8FBA6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0EF38B2" w14:textId="26EDF27A" w:rsidR="002C7AFE" w:rsidRPr="0058292B" w:rsidRDefault="00743553" w:rsidP="00377330">
            <w:pPr>
              <w:pStyle w:val="Tablefont"/>
              <w:rPr>
                <w:b/>
              </w:rPr>
            </w:pPr>
            <w:r>
              <w:rPr>
                <w:b/>
              </w:rPr>
              <w:t>5</w:t>
            </w:r>
            <w:r w:rsidR="0058292B">
              <w:rPr>
                <w:b/>
              </w:rPr>
              <w:t xml:space="preserve"> ppm (21 mg/m</w:t>
            </w:r>
            <w:r w:rsidR="0058292B">
              <w:rPr>
                <w:b/>
                <w:vertAlign w:val="superscript"/>
              </w:rPr>
              <w:t>3</w:t>
            </w:r>
            <w:r w:rsidR="0058292B">
              <w:rPr>
                <w:b/>
              </w:rPr>
              <w:t>)</w:t>
            </w:r>
          </w:p>
        </w:tc>
      </w:tr>
      <w:tr w:rsidR="002C7AFE" w:rsidRPr="004C23F4" w14:paraId="2045F2B8" w14:textId="77777777" w:rsidTr="00E5079D">
        <w:trPr>
          <w:cantSplit/>
        </w:trPr>
        <w:tc>
          <w:tcPr>
            <w:tcW w:w="4005" w:type="dxa"/>
            <w:vAlign w:val="center"/>
          </w:tcPr>
          <w:p w14:paraId="127A3B5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643C0BC" w14:textId="2B8AD082" w:rsidR="002C7AFE" w:rsidRPr="00EB3D1B" w:rsidRDefault="0058292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419AEB5" w14:textId="77777777" w:rsidTr="00E5079D">
        <w:trPr>
          <w:cantSplit/>
        </w:trPr>
        <w:tc>
          <w:tcPr>
            <w:tcW w:w="4005" w:type="dxa"/>
            <w:vAlign w:val="center"/>
          </w:tcPr>
          <w:p w14:paraId="367D519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0AFD20B" w14:textId="67A32096" w:rsidR="002C7AFE" w:rsidRPr="00EB3D1B" w:rsidRDefault="0058292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B909F75" w14:textId="77777777" w:rsidTr="00E5079D">
        <w:trPr>
          <w:cantSplit/>
        </w:trPr>
        <w:tc>
          <w:tcPr>
            <w:tcW w:w="4005" w:type="dxa"/>
          </w:tcPr>
          <w:p w14:paraId="1850573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D2F5304" w14:textId="336D2AEF" w:rsidR="002C7AFE" w:rsidRPr="00EB3D1B" w:rsidRDefault="0058292B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8B04DB">
              <w:rPr>
                <w:b/>
              </w:rPr>
              <w:t>.</w:t>
            </w:r>
          </w:p>
        </w:tc>
      </w:tr>
      <w:tr w:rsidR="002C7AFE" w:rsidRPr="004C23F4" w14:paraId="4BF05500" w14:textId="77777777" w:rsidTr="00E5079D">
        <w:trPr>
          <w:cantSplit/>
        </w:trPr>
        <w:tc>
          <w:tcPr>
            <w:tcW w:w="4005" w:type="dxa"/>
            <w:vAlign w:val="center"/>
          </w:tcPr>
          <w:p w14:paraId="764257F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A369B4A" w14:textId="6C2792EE" w:rsidR="002C7AFE" w:rsidRPr="00EB3D1B" w:rsidRDefault="00B83EA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ppm</w:t>
            </w:r>
          </w:p>
        </w:tc>
      </w:tr>
      <w:tr w:rsidR="00E5079D" w:rsidRPr="004C23F4" w14:paraId="5DCAFBCC" w14:textId="77777777" w:rsidTr="00FA6FB7">
        <w:trPr>
          <w:cantSplit/>
        </w:trPr>
        <w:tc>
          <w:tcPr>
            <w:tcW w:w="9026" w:type="dxa"/>
            <w:gridSpan w:val="2"/>
            <w:vAlign w:val="center"/>
          </w:tcPr>
          <w:p w14:paraId="52A6A313" w14:textId="486006E0" w:rsidR="00E5079D" w:rsidRPr="00E5079D" w:rsidRDefault="00E5079D" w:rsidP="00017C82">
            <w:pPr>
              <w:pStyle w:val="Tablefont"/>
            </w:pPr>
            <w:r w:rsidRPr="00567B28">
              <w:rPr>
                <w:b/>
              </w:rPr>
              <w:t>Sampling and analysis:</w:t>
            </w:r>
            <w:r w:rsidRPr="00E5079D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ABB3B40AF9B4D57B9C4CA254A5368C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567B2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F2AB08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D4E14BD" w14:textId="76313C65" w:rsidR="00802BE9" w:rsidRDefault="003D7054" w:rsidP="000C139A">
      <w:r w:rsidRPr="003D7054">
        <w:t xml:space="preserve">A TWA of </w:t>
      </w:r>
      <w:r>
        <w:t>5 ppm (21 mg/m</w:t>
      </w:r>
      <w:r>
        <w:rPr>
          <w:vertAlign w:val="superscript"/>
        </w:rPr>
        <w:t>3</w:t>
      </w:r>
      <w:r>
        <w:t>) is recommended</w:t>
      </w:r>
      <w:r w:rsidRPr="003D7054">
        <w:t xml:space="preserve"> to protect for </w:t>
      </w:r>
      <w:r>
        <w:t>irritation to the eyes, skin, and respiratory tract, nausea, headache and disturbances to vision</w:t>
      </w:r>
      <w:r w:rsidRPr="003D7054">
        <w:t xml:space="preserve"> in exposed workers. </w:t>
      </w:r>
    </w:p>
    <w:p w14:paraId="59E6E201" w14:textId="74C05815" w:rsidR="00E21F73" w:rsidRDefault="00E21F73" w:rsidP="000C139A">
      <w:r w:rsidRPr="00E21F73">
        <w:t>Given the limited data available from the primary sources, it is recommended that a review of additional sources be conducted at the next scheduled review.</w:t>
      </w:r>
    </w:p>
    <w:p w14:paraId="5C31BD2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B8056F7" w14:textId="15848A8E" w:rsidR="008A2186" w:rsidRDefault="00112269" w:rsidP="006639B4">
      <w:pPr>
        <w:rPr>
          <w:rFonts w:cs="Arial"/>
        </w:rPr>
      </w:pPr>
      <w:proofErr w:type="spellStart"/>
      <w:r>
        <w:rPr>
          <w:rFonts w:cs="Arial"/>
        </w:rPr>
        <w:t>Diisopropylamine</w:t>
      </w:r>
      <w:proofErr w:type="spellEnd"/>
      <w:r>
        <w:rPr>
          <w:rFonts w:cs="Arial"/>
        </w:rPr>
        <w:t xml:space="preserve"> is u</w:t>
      </w:r>
      <w:r w:rsidR="005E55A8">
        <w:rPr>
          <w:rFonts w:cs="Arial"/>
        </w:rPr>
        <w:t xml:space="preserve">sed </w:t>
      </w:r>
      <w:r>
        <w:rPr>
          <w:rFonts w:cs="Arial"/>
        </w:rPr>
        <w:t>in the production of paint pigme</w:t>
      </w:r>
      <w:r w:rsidR="00E21F73">
        <w:rPr>
          <w:rFonts w:cs="Arial"/>
        </w:rPr>
        <w:t>nts, pharmaceuticals, cosmetics</w:t>
      </w:r>
      <w:r>
        <w:rPr>
          <w:rFonts w:cs="Arial"/>
        </w:rPr>
        <w:t xml:space="preserve"> and pesticides.</w:t>
      </w:r>
      <w:r w:rsidR="003D7054">
        <w:rPr>
          <w:rFonts w:cs="Arial"/>
        </w:rPr>
        <w:t xml:space="preserve"> </w:t>
      </w:r>
    </w:p>
    <w:p w14:paraId="62267006" w14:textId="77E39694" w:rsidR="007F5CB7" w:rsidRDefault="003D7054" w:rsidP="007F5CB7">
      <w:pPr>
        <w:rPr>
          <w:rFonts w:cs="Arial"/>
        </w:rPr>
      </w:pPr>
      <w:r>
        <w:rPr>
          <w:rFonts w:cs="Arial"/>
        </w:rPr>
        <w:t>Critical effects are irritation to eyes, skin, and respiratory tract, and at higher concentrations, nausea, heada</w:t>
      </w:r>
      <w:r w:rsidR="00567B28">
        <w:rPr>
          <w:rFonts w:cs="Arial"/>
        </w:rPr>
        <w:t>che and disturbances to vision.</w:t>
      </w:r>
      <w:r w:rsidR="007F5CB7">
        <w:rPr>
          <w:rFonts w:cs="Arial"/>
        </w:rPr>
        <w:t xml:space="preserve"> </w:t>
      </w:r>
    </w:p>
    <w:p w14:paraId="33E053D9" w14:textId="1F93CA83" w:rsidR="00C1375D" w:rsidRDefault="00360AAF" w:rsidP="006639B4">
      <w:r>
        <w:rPr>
          <w:rFonts w:cs="Arial"/>
        </w:rPr>
        <w:t>No primary sources</w:t>
      </w:r>
      <w:r w:rsidR="005F3074">
        <w:rPr>
          <w:rFonts w:cs="Arial"/>
        </w:rPr>
        <w:t xml:space="preserve"> </w:t>
      </w:r>
      <w:r w:rsidR="00E5079D">
        <w:rPr>
          <w:rFonts w:cs="Arial"/>
        </w:rPr>
        <w:t>(ACGIH, 2018</w:t>
      </w:r>
      <w:r>
        <w:rPr>
          <w:rFonts w:cs="Arial"/>
        </w:rPr>
        <w:t xml:space="preserve">; </w:t>
      </w:r>
      <w:r w:rsidR="00E5079D">
        <w:rPr>
          <w:rFonts w:cs="Arial"/>
        </w:rPr>
        <w:t xml:space="preserve">HCOTN, 2013) </w:t>
      </w:r>
      <w:r w:rsidR="00C1375D">
        <w:rPr>
          <w:rFonts w:cs="Arial"/>
        </w:rPr>
        <w:t>report</w:t>
      </w:r>
      <w:r w:rsidR="005F3074">
        <w:rPr>
          <w:rFonts w:cs="Arial"/>
        </w:rPr>
        <w:t xml:space="preserve"> a derivation of the currently adopted exposure standard</w:t>
      </w:r>
      <w:r w:rsidR="009D7614">
        <w:rPr>
          <w:rFonts w:cs="Arial"/>
        </w:rPr>
        <w:t xml:space="preserve"> (5 ppm)</w:t>
      </w:r>
      <w:r w:rsidR="0058292B">
        <w:rPr>
          <w:rFonts w:cs="Arial"/>
        </w:rPr>
        <w:t>, which appears to be recommended by analogy to other alkyl amines</w:t>
      </w:r>
      <w:r w:rsidR="005F3074">
        <w:rPr>
          <w:rFonts w:cs="Arial"/>
        </w:rPr>
        <w:t xml:space="preserve"> (ACGIH, 2018)</w:t>
      </w:r>
      <w:r w:rsidR="0058292B">
        <w:rPr>
          <w:rFonts w:cs="Arial"/>
        </w:rPr>
        <w:t>.</w:t>
      </w:r>
      <w:r w:rsidR="00940D08">
        <w:rPr>
          <w:rFonts w:cs="Arial"/>
        </w:rPr>
        <w:t xml:space="preserve"> </w:t>
      </w:r>
      <w:r w:rsidR="003F33FB" w:rsidRPr="007F5CB7">
        <w:rPr>
          <w:rFonts w:cs="Arial"/>
        </w:rPr>
        <w:t xml:space="preserve">Limited human data </w:t>
      </w:r>
      <w:r w:rsidR="003F33FB">
        <w:rPr>
          <w:rFonts w:cs="Arial"/>
        </w:rPr>
        <w:t>suggests</w:t>
      </w:r>
      <w:r w:rsidR="003F33FB" w:rsidRPr="007F5CB7">
        <w:rPr>
          <w:rFonts w:cs="Arial"/>
        </w:rPr>
        <w:t xml:space="preserve"> that exposure </w:t>
      </w:r>
      <w:r w:rsidR="002364F7">
        <w:rPr>
          <w:rFonts w:cs="Arial"/>
        </w:rPr>
        <w:t>at</w:t>
      </w:r>
      <w:r w:rsidR="003F33FB" w:rsidRPr="007F5CB7">
        <w:rPr>
          <w:rFonts w:cs="Arial"/>
        </w:rPr>
        <w:t xml:space="preserve"> 50 ppm (100 </w:t>
      </w:r>
      <w:r w:rsidR="003F33FB">
        <w:t>mg/m</w:t>
      </w:r>
      <w:r w:rsidR="003F33FB">
        <w:rPr>
          <w:vertAlign w:val="superscript"/>
        </w:rPr>
        <w:t>3</w:t>
      </w:r>
      <w:r w:rsidR="003F33FB">
        <w:rPr>
          <w:rFonts w:cs="Arial"/>
        </w:rPr>
        <w:t>) cause</w:t>
      </w:r>
      <w:r w:rsidR="002364F7">
        <w:rPr>
          <w:rFonts w:cs="Arial"/>
        </w:rPr>
        <w:t>s</w:t>
      </w:r>
      <w:r w:rsidR="003F33FB" w:rsidRPr="007F5CB7">
        <w:rPr>
          <w:rFonts w:cs="Arial"/>
        </w:rPr>
        <w:t xml:space="preserve"> visual disturbances,</w:t>
      </w:r>
      <w:r w:rsidR="003F33FB">
        <w:rPr>
          <w:rFonts w:cs="Arial"/>
        </w:rPr>
        <w:t xml:space="preserve"> </w:t>
      </w:r>
      <w:r w:rsidR="003F33FB" w:rsidRPr="007F5CB7">
        <w:rPr>
          <w:rFonts w:cs="Arial"/>
        </w:rPr>
        <w:t>nausea and headache</w:t>
      </w:r>
      <w:r w:rsidR="003F33FB">
        <w:rPr>
          <w:rFonts w:cs="Arial"/>
        </w:rPr>
        <w:t>.</w:t>
      </w:r>
      <w:r w:rsidR="00F11C97">
        <w:rPr>
          <w:rFonts w:cs="Arial"/>
        </w:rPr>
        <w:t xml:space="preserve"> </w:t>
      </w:r>
      <w:r w:rsidR="0058292B">
        <w:rPr>
          <w:rFonts w:cs="Arial"/>
        </w:rPr>
        <w:t>HCOTN (2013)</w:t>
      </w:r>
      <w:r w:rsidR="005F3074">
        <w:rPr>
          <w:rFonts w:cs="Arial"/>
        </w:rPr>
        <w:t xml:space="preserve"> has</w:t>
      </w:r>
      <w:r w:rsidR="0058292B">
        <w:rPr>
          <w:rFonts w:cs="Arial"/>
        </w:rPr>
        <w:t xml:space="preserve"> proposed an amended exposure limit of 1.</w:t>
      </w:r>
      <w:r w:rsidR="00C1375D">
        <w:rPr>
          <w:rFonts w:cs="Arial"/>
        </w:rPr>
        <w:t>2 </w:t>
      </w:r>
      <w:r w:rsidR="0058292B">
        <w:rPr>
          <w:rFonts w:cs="Arial"/>
        </w:rPr>
        <w:t>ppm (5 mg/m</w:t>
      </w:r>
      <w:r w:rsidR="0058292B">
        <w:rPr>
          <w:rFonts w:cs="Arial"/>
          <w:vertAlign w:val="superscript"/>
        </w:rPr>
        <w:t>3</w:t>
      </w:r>
      <w:r w:rsidR="005F3074">
        <w:rPr>
          <w:rFonts w:cs="Arial"/>
        </w:rPr>
        <w:t xml:space="preserve">) </w:t>
      </w:r>
      <w:r w:rsidR="0058292B">
        <w:rPr>
          <w:rFonts w:cs="Arial"/>
        </w:rPr>
        <w:t xml:space="preserve">based on a </w:t>
      </w:r>
      <w:r w:rsidR="0058292B">
        <w:t xml:space="preserve">sub-chronic repeat inhalation study </w:t>
      </w:r>
      <w:r w:rsidR="00C1375D">
        <w:t xml:space="preserve">in </w:t>
      </w:r>
      <w:r w:rsidR="0058292B">
        <w:t>rats</w:t>
      </w:r>
      <w:r w:rsidR="00627D74">
        <w:t xml:space="preserve"> that identified a </w:t>
      </w:r>
      <w:r w:rsidR="00C1375D">
        <w:t xml:space="preserve">LOAEC </w:t>
      </w:r>
      <w:r w:rsidR="00627D74">
        <w:t>of 100 mg/m</w:t>
      </w:r>
      <w:r w:rsidR="00627D74">
        <w:rPr>
          <w:vertAlign w:val="superscript"/>
        </w:rPr>
        <w:t>3</w:t>
      </w:r>
      <w:r w:rsidR="00E21F73">
        <w:t xml:space="preserve"> for nasal and </w:t>
      </w:r>
      <w:r w:rsidR="00627D74">
        <w:t>corneal lesions and inflammation</w:t>
      </w:r>
      <w:r w:rsidR="0058292B">
        <w:t xml:space="preserve">. An overall uncertainty factor of 27 is applied </w:t>
      </w:r>
      <w:r w:rsidR="008A2186">
        <w:t>by HCOTN</w:t>
      </w:r>
      <w:r w:rsidR="00C1375D">
        <w:t xml:space="preserve"> (2013)</w:t>
      </w:r>
      <w:r w:rsidR="008A2186">
        <w:t xml:space="preserve"> </w:t>
      </w:r>
      <w:r w:rsidR="0058292B">
        <w:t xml:space="preserve">to the </w:t>
      </w:r>
      <w:r w:rsidR="00C1375D">
        <w:t xml:space="preserve">LOAEC </w:t>
      </w:r>
      <w:r w:rsidR="0058292B">
        <w:t>of 100</w:t>
      </w:r>
      <w:r w:rsidR="00802BE9">
        <w:t xml:space="preserve"> </w:t>
      </w:r>
      <w:r w:rsidR="0058292B">
        <w:t>mg/m</w:t>
      </w:r>
      <w:r w:rsidR="0058292B">
        <w:rPr>
          <w:vertAlign w:val="superscript"/>
        </w:rPr>
        <w:t>3</w:t>
      </w:r>
      <w:r w:rsidR="0058292B">
        <w:t xml:space="preserve"> </w:t>
      </w:r>
      <w:r w:rsidR="009D7614">
        <w:t xml:space="preserve">and the value is rounded to </w:t>
      </w:r>
      <w:r w:rsidR="002364F7">
        <w:t>5 mg/m</w:t>
      </w:r>
      <w:r w:rsidR="002364F7">
        <w:rPr>
          <w:vertAlign w:val="superscript"/>
        </w:rPr>
        <w:t>3</w:t>
      </w:r>
      <w:r w:rsidR="002364F7">
        <w:t xml:space="preserve">. </w:t>
      </w:r>
    </w:p>
    <w:p w14:paraId="4315A304" w14:textId="1B1A7427" w:rsidR="0058292B" w:rsidRDefault="002364F7" w:rsidP="006639B4">
      <w:pPr>
        <w:rPr>
          <w:rFonts w:cs="Arial"/>
        </w:rPr>
      </w:pPr>
      <w:r>
        <w:rPr>
          <w:rFonts w:cs="Arial"/>
        </w:rPr>
        <w:t>There is n</w:t>
      </w:r>
      <w:r w:rsidR="0058292B" w:rsidDel="007F5CB7">
        <w:rPr>
          <w:rFonts w:cs="Arial"/>
        </w:rPr>
        <w:t>o evidence for carcinogenic</w:t>
      </w:r>
      <w:r>
        <w:rPr>
          <w:rFonts w:cs="Arial"/>
        </w:rPr>
        <w:t>ity</w:t>
      </w:r>
      <w:r w:rsidR="0058292B" w:rsidDel="007F5CB7">
        <w:rPr>
          <w:rFonts w:cs="Arial"/>
        </w:rPr>
        <w:t xml:space="preserve"> </w:t>
      </w:r>
      <w:r w:rsidR="00C1375D">
        <w:rPr>
          <w:rFonts w:cs="Arial"/>
        </w:rPr>
        <w:t>in the sources</w:t>
      </w:r>
      <w:r w:rsidR="002764B9" w:rsidDel="007F5CB7">
        <w:rPr>
          <w:rFonts w:cs="Arial"/>
        </w:rPr>
        <w:t xml:space="preserve">, </w:t>
      </w:r>
      <w:r w:rsidR="008B04DB" w:rsidDel="007F5CB7">
        <w:rPr>
          <w:rFonts w:cs="Arial"/>
        </w:rPr>
        <w:t>with</w:t>
      </w:r>
      <w:r w:rsidR="002764B9" w:rsidDel="007F5CB7">
        <w:rPr>
          <w:rFonts w:cs="Arial"/>
        </w:rPr>
        <w:t xml:space="preserve"> data suggest</w:t>
      </w:r>
      <w:r w:rsidR="008B04DB" w:rsidDel="007F5CB7">
        <w:rPr>
          <w:rFonts w:cs="Arial"/>
        </w:rPr>
        <w:t>ing</w:t>
      </w:r>
      <w:r w:rsidR="002764B9" w:rsidDel="007F5CB7">
        <w:rPr>
          <w:rFonts w:cs="Arial"/>
        </w:rPr>
        <w:t xml:space="preserve"> analogies to other structurally related alkyl amines</w:t>
      </w:r>
      <w:r w:rsidR="00713116" w:rsidDel="007F5CB7">
        <w:rPr>
          <w:rFonts w:cs="Arial"/>
        </w:rPr>
        <w:t xml:space="preserve"> </w:t>
      </w:r>
      <w:r w:rsidR="002764B9" w:rsidDel="007F5CB7">
        <w:rPr>
          <w:rFonts w:cs="Arial"/>
        </w:rPr>
        <w:t xml:space="preserve">in the absence of substance-specific information </w:t>
      </w:r>
      <w:r w:rsidR="00713116" w:rsidDel="007F5CB7">
        <w:rPr>
          <w:rFonts w:cs="Arial"/>
        </w:rPr>
        <w:t>(HCOTN, 2013; OECD, 2013)</w:t>
      </w:r>
      <w:r w:rsidR="0058292B" w:rsidDel="007F5CB7">
        <w:rPr>
          <w:rFonts w:cs="Arial"/>
        </w:rPr>
        <w:t>.</w:t>
      </w:r>
      <w:r w:rsidR="002764B9" w:rsidDel="007F5CB7">
        <w:rPr>
          <w:rFonts w:cs="Arial"/>
        </w:rPr>
        <w:t xml:space="preserve"> </w:t>
      </w:r>
      <w:r w:rsidR="008A2186">
        <w:rPr>
          <w:rFonts w:cs="Arial"/>
        </w:rPr>
        <w:t>There is s</w:t>
      </w:r>
      <w:r w:rsidR="002764B9" w:rsidDel="007F5CB7">
        <w:rPr>
          <w:rFonts w:cs="Arial"/>
        </w:rPr>
        <w:t xml:space="preserve">ome evidence for increased severity of the critical effects within an order of magnitude of the current TWA and </w:t>
      </w:r>
      <w:r w:rsidR="008A2186">
        <w:rPr>
          <w:rFonts w:cs="Arial"/>
        </w:rPr>
        <w:t xml:space="preserve">this </w:t>
      </w:r>
      <w:r w:rsidR="002764B9" w:rsidDel="007F5CB7">
        <w:rPr>
          <w:rFonts w:cs="Arial"/>
        </w:rPr>
        <w:t>should be considered during subsequent reviews (ACGIH, 2018)</w:t>
      </w:r>
      <w:r w:rsidR="005F3074">
        <w:rPr>
          <w:rFonts w:cs="Arial"/>
        </w:rPr>
        <w:t xml:space="preserve">. </w:t>
      </w:r>
    </w:p>
    <w:p w14:paraId="6E7373A8" w14:textId="55480699" w:rsidR="005F3DDD" w:rsidRPr="004C23F4" w:rsidRDefault="005F3DDD" w:rsidP="006639B4">
      <w:pPr>
        <w:rPr>
          <w:rFonts w:cs="Arial"/>
        </w:rPr>
      </w:pPr>
      <w:r>
        <w:rPr>
          <w:rFonts w:cs="Arial"/>
        </w:rPr>
        <w:t xml:space="preserve">Given the inconsistencies in the primary sources, </w:t>
      </w:r>
      <w:r w:rsidR="002364F7">
        <w:rPr>
          <w:rFonts w:cs="Arial"/>
        </w:rPr>
        <w:t>it is recommended that the TWA of 5 ppm be retained in the interim with a recommendation that a</w:t>
      </w:r>
      <w:r w:rsidR="00B577C0">
        <w:t xml:space="preserve"> broader evaluation </w:t>
      </w:r>
      <w:r w:rsidR="002364F7">
        <w:t xml:space="preserve">be conducted </w:t>
      </w:r>
      <w:r w:rsidR="00B577C0">
        <w:t>at the next scheduled review.</w:t>
      </w:r>
    </w:p>
    <w:p w14:paraId="7B46DE5A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712267E8" w14:textId="4A0C142F" w:rsidR="00B83EA7" w:rsidRPr="00B83EA7" w:rsidRDefault="00B83EA7" w:rsidP="00B83EA7">
      <w:pPr>
        <w:rPr>
          <w:rFonts w:cs="Arial"/>
        </w:rPr>
      </w:pPr>
      <w:r w:rsidRPr="00B83EA7">
        <w:rPr>
          <w:rFonts w:cs="Arial"/>
        </w:rPr>
        <w:t>Not classified as a carcinogen according to the Globally Harmonized System of</w:t>
      </w:r>
      <w:r w:rsidR="00E5079D">
        <w:rPr>
          <w:rFonts w:cs="Arial"/>
        </w:rPr>
        <w:t xml:space="preserve"> Classification and Labelling of</w:t>
      </w:r>
      <w:r w:rsidRPr="00B83EA7">
        <w:rPr>
          <w:rFonts w:cs="Arial"/>
        </w:rPr>
        <w:t xml:space="preserve"> Chemicals (GHS). </w:t>
      </w:r>
    </w:p>
    <w:p w14:paraId="4FF92B10" w14:textId="31F88183" w:rsidR="00B83EA7" w:rsidRPr="00B83EA7" w:rsidRDefault="00B83EA7" w:rsidP="00B83EA7">
      <w:pPr>
        <w:rPr>
          <w:rFonts w:cs="Arial"/>
        </w:rPr>
      </w:pPr>
      <w:r w:rsidRPr="00B83EA7">
        <w:rPr>
          <w:rFonts w:cs="Arial"/>
        </w:rPr>
        <w:t>Not classified as a skin</w:t>
      </w:r>
      <w:r w:rsidR="00E5079D">
        <w:rPr>
          <w:rFonts w:cs="Arial"/>
        </w:rPr>
        <w:t xml:space="preserve"> </w:t>
      </w:r>
      <w:r w:rsidR="00E5079D" w:rsidRPr="00B83EA7">
        <w:rPr>
          <w:rFonts w:cs="Arial"/>
        </w:rPr>
        <w:t>sensitiser</w:t>
      </w:r>
      <w:r w:rsidRPr="00B83EA7">
        <w:rPr>
          <w:rFonts w:cs="Arial"/>
        </w:rPr>
        <w:t xml:space="preserve"> or respiratory sensitiser according to the GHS.</w:t>
      </w:r>
    </w:p>
    <w:p w14:paraId="7B286E24" w14:textId="6681D1AD" w:rsidR="005E6979" w:rsidRPr="004C23F4" w:rsidRDefault="005F3074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5F3074">
        <w:rPr>
          <w:rFonts w:cs="Arial"/>
        </w:rPr>
        <w:t xml:space="preserve">A skin notation </w:t>
      </w:r>
      <w:r w:rsidR="00E5079D">
        <w:rPr>
          <w:rFonts w:cs="Arial"/>
        </w:rPr>
        <w:t>may not be</w:t>
      </w:r>
      <w:r w:rsidRPr="005F3074">
        <w:rPr>
          <w:rFonts w:cs="Arial"/>
        </w:rPr>
        <w:t xml:space="preserve"> warranted based on the available evidence.</w:t>
      </w:r>
      <w:r>
        <w:rPr>
          <w:rFonts w:cs="Arial"/>
        </w:rPr>
        <w:t xml:space="preserve"> However, </w:t>
      </w:r>
      <w:r w:rsidR="00B577C0">
        <w:rPr>
          <w:rFonts w:cs="Arial"/>
        </w:rPr>
        <w:t xml:space="preserve">there were </w:t>
      </w:r>
      <w:r>
        <w:rPr>
          <w:rFonts w:cs="Arial"/>
        </w:rPr>
        <w:t>inconsistencies in the</w:t>
      </w:r>
      <w:r w:rsidR="00B577C0">
        <w:rPr>
          <w:rFonts w:cs="Arial"/>
        </w:rPr>
        <w:t xml:space="preserve"> d</w:t>
      </w:r>
      <w:r>
        <w:rPr>
          <w:rFonts w:cs="Arial"/>
        </w:rPr>
        <w:t>ata</w:t>
      </w:r>
      <w:r w:rsidR="006A51A8">
        <w:rPr>
          <w:rFonts w:cs="Arial"/>
        </w:rPr>
        <w:t xml:space="preserve"> from primary sources</w:t>
      </w:r>
      <w:r w:rsidR="00567B28">
        <w:rPr>
          <w:rFonts w:cs="Arial"/>
        </w:rPr>
        <w:t>, including dermatitis</w:t>
      </w:r>
      <w:r w:rsidR="006A51A8">
        <w:rPr>
          <w:rFonts w:cs="Arial"/>
        </w:rPr>
        <w:t>. Therefore</w:t>
      </w:r>
      <w:r w:rsidR="00567B28">
        <w:rPr>
          <w:rFonts w:cs="Arial"/>
        </w:rPr>
        <w:t>,</w:t>
      </w:r>
      <w:r w:rsidR="008B04DB">
        <w:rPr>
          <w:rFonts w:cs="Arial"/>
        </w:rPr>
        <w:t xml:space="preserve"> </w:t>
      </w:r>
      <w:r w:rsidR="00360AAF">
        <w:rPr>
          <w:rFonts w:cs="Arial"/>
        </w:rPr>
        <w:t xml:space="preserve">the </w:t>
      </w:r>
      <w:r w:rsidR="006A51A8">
        <w:rPr>
          <w:rFonts w:cs="Arial"/>
        </w:rPr>
        <w:t xml:space="preserve">skin </w:t>
      </w:r>
      <w:r w:rsidR="00360AAF">
        <w:rPr>
          <w:rFonts w:cs="Arial"/>
        </w:rPr>
        <w:t xml:space="preserve">notation </w:t>
      </w:r>
      <w:r w:rsidR="006A51A8">
        <w:rPr>
          <w:rFonts w:cs="Arial"/>
        </w:rPr>
        <w:t>is</w:t>
      </w:r>
      <w:r w:rsidR="008B04DB">
        <w:rPr>
          <w:rFonts w:cs="Arial"/>
        </w:rPr>
        <w:t xml:space="preserve"> retained </w:t>
      </w:r>
      <w:r w:rsidR="006A51A8">
        <w:rPr>
          <w:rFonts w:cs="Arial"/>
        </w:rPr>
        <w:t>and a</w:t>
      </w:r>
      <w:r w:rsidR="006A51A8" w:rsidRPr="006A51A8">
        <w:rPr>
          <w:rFonts w:cs="Arial"/>
        </w:rPr>
        <w:t>n evaluation of additional sources, including dermal studies, are recommended at the next scheduled review</w:t>
      </w:r>
      <w:r>
        <w:rPr>
          <w:rFonts w:cs="Arial"/>
        </w:rPr>
        <w:t>.</w:t>
      </w:r>
    </w:p>
    <w:p w14:paraId="591652B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870F9A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D8FF6C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12618B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E1E62B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FB349E" w14:textId="127D5362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83EA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83EA7">
                  <w:t>TWA: 5 ppm (21 mg/m</w:t>
                </w:r>
                <w:r w:rsidR="00B83EA7" w:rsidRPr="00B83EA7">
                  <w:rPr>
                    <w:vertAlign w:val="superscript"/>
                  </w:rPr>
                  <w:t>3</w:t>
                </w:r>
                <w:r w:rsidR="00B83EA7">
                  <w:t>)</w:t>
                </w:r>
              </w:sdtContent>
            </w:sdt>
          </w:p>
        </w:tc>
      </w:tr>
      <w:tr w:rsidR="00C978F0" w:rsidRPr="00DA352E" w14:paraId="490AA13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EBD239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ECF7E6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D844AD" w14:textId="568A3B1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83EA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83EA7">
                  <w:t>TLV-TWA: 5 ppm (21 mg/m</w:t>
                </w:r>
                <w:r w:rsidR="00B83EA7" w:rsidRPr="00B83EA7">
                  <w:rPr>
                    <w:vertAlign w:val="superscript"/>
                  </w:rPr>
                  <w:t>3</w:t>
                </w:r>
                <w:r w:rsidR="00B83EA7">
                  <w:t>)</w:t>
                </w:r>
              </w:sdtContent>
            </w:sdt>
          </w:p>
        </w:tc>
      </w:tr>
      <w:tr w:rsidR="00C978F0" w:rsidRPr="00DA352E" w14:paraId="17607F9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BA7486A" w14:textId="77777777" w:rsidR="00C978F0" w:rsidRDefault="005E55A8" w:rsidP="003365A5">
            <w:pPr>
              <w:pStyle w:val="Tabletextprimarysource"/>
            </w:pPr>
            <w:r>
              <w:t>TLV-TWA intended to minimise potential for irritation to the eyes, skin, and respiratory tract, as well as nausea, headache, and disturbances to vision. A skin notation is assigned by analogy to several structurally related alkyl amines. Insufficient data available to recommend a TLV-STEL or notations for carcinogenicity or sensitisation.</w:t>
            </w:r>
          </w:p>
          <w:p w14:paraId="0D620C5A" w14:textId="77777777" w:rsidR="005E55A8" w:rsidRDefault="005E55A8" w:rsidP="003365A5">
            <w:pPr>
              <w:pStyle w:val="Tabletextprimarysource"/>
            </w:pPr>
            <w:r>
              <w:t>Summary of data:</w:t>
            </w:r>
          </w:p>
          <w:p w14:paraId="09F06F32" w14:textId="7470107C" w:rsidR="005E55A8" w:rsidRDefault="00CB1C16" w:rsidP="003365A5">
            <w:pPr>
              <w:pStyle w:val="Tabletextprimarysource"/>
            </w:pPr>
            <w:r>
              <w:t xml:space="preserve">Derivation of the TLV-TWA is not discussed in the assessment. </w:t>
            </w:r>
            <w:r w:rsidR="00112269">
              <w:t>The v</w:t>
            </w:r>
            <w:r>
              <w:t xml:space="preserve">alue is based on </w:t>
            </w:r>
            <w:r w:rsidR="00112269">
              <w:t xml:space="preserve">experiences in industrial practice, which are not thoroughly documented, but informed by assessments of </w:t>
            </w:r>
            <w:r w:rsidR="00743553">
              <w:t xml:space="preserve">isopropyl </w:t>
            </w:r>
            <w:r w:rsidR="00112269">
              <w:t>amine and other str</w:t>
            </w:r>
            <w:r w:rsidR="00C20540">
              <w:t>ucturally related alkyl amines.</w:t>
            </w:r>
          </w:p>
          <w:p w14:paraId="48621279" w14:textId="23AAEA71" w:rsidR="005E55A8" w:rsidRDefault="005E55A8" w:rsidP="003365A5">
            <w:pPr>
              <w:pStyle w:val="Tabletextprimarysource"/>
            </w:pPr>
            <w:r>
              <w:t>Human data:</w:t>
            </w:r>
          </w:p>
          <w:p w14:paraId="6EF0B070" w14:textId="6602B7A8" w:rsidR="00CB1C16" w:rsidRDefault="00CB1C16" w:rsidP="00CB1C1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Disturbance in vision, nausea, and headache reported for workers exposed to </w:t>
            </w:r>
            <w:r w:rsidR="00B577C0">
              <w:t xml:space="preserve">an average </w:t>
            </w:r>
            <w:r>
              <w:t>25</w:t>
            </w:r>
            <w:r w:rsidR="00802BE9">
              <w:t>–</w:t>
            </w:r>
            <w:r>
              <w:t>50</w:t>
            </w:r>
            <w:r w:rsidR="00802BE9">
              <w:t xml:space="preserve"> </w:t>
            </w:r>
            <w:r>
              <w:t>ppm (no further information provided)</w:t>
            </w:r>
          </w:p>
          <w:p w14:paraId="5A03648D" w14:textId="7B2182A2" w:rsidR="00360AAF" w:rsidRDefault="00CB1C16" w:rsidP="008A2186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Prolonged skin contact likely to cause dermatitis, but </w:t>
            </w:r>
            <w:r w:rsidR="00EB7179">
              <w:t xml:space="preserve">no evidence supporting </w:t>
            </w:r>
            <w:r w:rsidR="00CA6E49">
              <w:t>the assertion</w:t>
            </w:r>
          </w:p>
          <w:p w14:paraId="3D384284" w14:textId="77777777" w:rsidR="005E55A8" w:rsidRDefault="005E55A8" w:rsidP="003365A5">
            <w:pPr>
              <w:pStyle w:val="Tabletextprimarysource"/>
            </w:pPr>
            <w:r>
              <w:t>Animal data:</w:t>
            </w:r>
          </w:p>
          <w:p w14:paraId="56471912" w14:textId="151B283B" w:rsidR="00EA5B68" w:rsidRDefault="00EA5B68" w:rsidP="005E55A8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770 mg/kg (rats)</w:t>
            </w:r>
          </w:p>
          <w:p w14:paraId="690C5906" w14:textId="38D4C99B" w:rsidR="005E55A8" w:rsidRDefault="005E55A8" w:rsidP="005E55A8">
            <w:pPr>
              <w:pStyle w:val="Tabletextprimarysource"/>
              <w:numPr>
                <w:ilvl w:val="0"/>
                <w:numId w:val="1"/>
              </w:numPr>
            </w:pPr>
            <w:r>
              <w:t>Severe pulmonary irritant in both acute and chronic exposures with several animal models (no further information provided)</w:t>
            </w:r>
          </w:p>
          <w:p w14:paraId="4938E885" w14:textId="77777777" w:rsidR="005E55A8" w:rsidRDefault="005E55A8" w:rsidP="005E55A8">
            <w:pPr>
              <w:pStyle w:val="Tabletextprimarysource"/>
              <w:numPr>
                <w:ilvl w:val="0"/>
                <w:numId w:val="1"/>
              </w:numPr>
            </w:pPr>
            <w:r>
              <w:t>Corneal clouding at &gt;600 ppm in several animal models (</w:t>
            </w:r>
            <w:r w:rsidR="00EA5B68">
              <w:t>no further information provided</w:t>
            </w:r>
            <w:r>
              <w:t>)</w:t>
            </w:r>
          </w:p>
          <w:p w14:paraId="76CD1CB6" w14:textId="6F5979C0" w:rsidR="00EA5B68" w:rsidRDefault="00EA5B68" w:rsidP="005E55A8">
            <w:pPr>
              <w:pStyle w:val="Tabletextprimarysource"/>
              <w:numPr>
                <w:ilvl w:val="0"/>
                <w:numId w:val="1"/>
              </w:numPr>
            </w:pPr>
            <w:r>
              <w:t>Exposure to 2,200 ppm was lethal (guinea pigs, rabbits, cats, rats, &lt;</w:t>
            </w:r>
            <w:r w:rsidR="00802BE9">
              <w:t xml:space="preserve">3 </w:t>
            </w:r>
            <w:r>
              <w:t>h); 1,000 ppm was lethal after 4 h (species not disclosed)</w:t>
            </w:r>
          </w:p>
          <w:p w14:paraId="70C9C8E4" w14:textId="3BEC16BC" w:rsidR="00EA5B68" w:rsidRDefault="00C20540" w:rsidP="00EA5B68">
            <w:pPr>
              <w:pStyle w:val="Tabletextprimarysource"/>
              <w:numPr>
                <w:ilvl w:val="1"/>
                <w:numId w:val="1"/>
              </w:numPr>
            </w:pPr>
            <w:r>
              <w:t>a</w:t>
            </w:r>
            <w:r w:rsidR="00EA5B68">
              <w:t>ll species survived single exposure to 777 ppm for 7 h, but guinea pigs and rabbits died during second exposure</w:t>
            </w:r>
          </w:p>
          <w:p w14:paraId="18A86087" w14:textId="05778290" w:rsidR="00EA5B68" w:rsidRDefault="00CB1C16" w:rsidP="00CB1C16">
            <w:pPr>
              <w:pStyle w:val="Tabletextprimarysource"/>
              <w:numPr>
                <w:ilvl w:val="0"/>
                <w:numId w:val="1"/>
              </w:numPr>
            </w:pPr>
            <w:r>
              <w:t>Sub</w:t>
            </w:r>
            <w:r w:rsidR="00B577C0">
              <w:t>-</w:t>
            </w:r>
            <w:r>
              <w:t xml:space="preserve">chronic inhalation study 40 exposures at 600 ppm (guinea pigs, rabbits, 7 h/d, </w:t>
            </w:r>
            <w:r w:rsidR="00B87974">
              <w:t>5 d/</w:t>
            </w:r>
            <w:proofErr w:type="spellStart"/>
            <w:r w:rsidR="00B87974">
              <w:t>wk</w:t>
            </w:r>
            <w:proofErr w:type="spellEnd"/>
            <w:r w:rsidR="00B87974">
              <w:t xml:space="preserve"> </w:t>
            </w:r>
            <w:r>
              <w:t>8</w:t>
            </w:r>
            <w:r w:rsidR="00802BE9">
              <w:t xml:space="preserve"> </w:t>
            </w:r>
            <w:proofErr w:type="spellStart"/>
            <w:r>
              <w:t>wk</w:t>
            </w:r>
            <w:proofErr w:type="spellEnd"/>
            <w:r w:rsidR="00B87974">
              <w:t xml:space="preserve"> duration</w:t>
            </w:r>
            <w:r>
              <w:t>)</w:t>
            </w:r>
          </w:p>
          <w:p w14:paraId="05902872" w14:textId="4B68D3EE" w:rsidR="00CB1C16" w:rsidRDefault="00C20540" w:rsidP="00CB1C16">
            <w:pPr>
              <w:pStyle w:val="Tabletextprimarysource"/>
              <w:numPr>
                <w:ilvl w:val="1"/>
                <w:numId w:val="1"/>
              </w:numPr>
            </w:pPr>
            <w:r>
              <w:t>a</w:t>
            </w:r>
            <w:r w:rsidR="00CB1C16">
              <w:t>ll rabbits and half the guinea pigs died at the 20</w:t>
            </w:r>
            <w:r w:rsidR="00CB1C16" w:rsidRPr="00CB1C16">
              <w:rPr>
                <w:vertAlign w:val="superscript"/>
              </w:rPr>
              <w:t>th</w:t>
            </w:r>
            <w:r w:rsidR="00CB1C16">
              <w:t xml:space="preserve"> exposure </w:t>
            </w:r>
          </w:p>
          <w:p w14:paraId="2E332DAF" w14:textId="0099452F" w:rsidR="00CB1C16" w:rsidRDefault="00C20540" w:rsidP="00CB1C16">
            <w:pPr>
              <w:pStyle w:val="Tabletextprimarysource"/>
              <w:numPr>
                <w:ilvl w:val="1"/>
                <w:numId w:val="1"/>
              </w:numPr>
            </w:pPr>
            <w:r>
              <w:t>n</w:t>
            </w:r>
            <w:r w:rsidR="00CB1C16">
              <w:t>o changes in blood cells following exposure</w:t>
            </w:r>
          </w:p>
          <w:p w14:paraId="269E18D0" w14:textId="65511D15" w:rsidR="00CB1C16" w:rsidRDefault="00C20540" w:rsidP="00CB1C16">
            <w:pPr>
              <w:pStyle w:val="Tabletextprimarysource"/>
              <w:numPr>
                <w:ilvl w:val="1"/>
                <w:numId w:val="1"/>
              </w:numPr>
            </w:pPr>
            <w:proofErr w:type="gramStart"/>
            <w:r>
              <w:t>o</w:t>
            </w:r>
            <w:r w:rsidR="00CB1C16">
              <w:t>bserved</w:t>
            </w:r>
            <w:proofErr w:type="gramEnd"/>
            <w:r w:rsidR="00CB1C16">
              <w:t xml:space="preserve"> corneal cloudiness </w:t>
            </w:r>
            <w:r w:rsidR="00B87974">
              <w:t>caused by</w:t>
            </w:r>
            <w:r w:rsidR="00CB1C16">
              <w:t xml:space="preserve"> superficial contact with the substance.</w:t>
            </w:r>
          </w:p>
          <w:p w14:paraId="79323D24" w14:textId="270C86DA" w:rsidR="00360AAF" w:rsidRPr="00DA352E" w:rsidRDefault="00360AAF" w:rsidP="008A2186">
            <w:pPr>
              <w:pStyle w:val="Tabletextprimarysource"/>
              <w:ind w:left="1440"/>
            </w:pPr>
          </w:p>
        </w:tc>
      </w:tr>
      <w:tr w:rsidR="00C978F0" w:rsidRPr="00DA352E" w14:paraId="1B8138B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C0BCB40" w14:textId="1B97126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83E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B83EA7">
                  <w:t>NA</w:t>
                </w:r>
                <w:proofErr w:type="spellEnd"/>
              </w:sdtContent>
            </w:sdt>
          </w:p>
        </w:tc>
      </w:tr>
      <w:tr w:rsidR="00C978F0" w:rsidRPr="00DA352E" w14:paraId="2C949B1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69454E" w14:textId="462A046F" w:rsidR="00C978F0" w:rsidRPr="00DA352E" w:rsidRDefault="00B83EA7" w:rsidP="003365A5">
            <w:pPr>
              <w:pStyle w:val="Tabletextprimarysource"/>
            </w:pPr>
            <w:r>
              <w:t>No report</w:t>
            </w:r>
            <w:r w:rsidR="008B04DB">
              <w:t>.</w:t>
            </w:r>
          </w:p>
        </w:tc>
      </w:tr>
      <w:tr w:rsidR="00C978F0" w:rsidRPr="00DA352E" w14:paraId="465F325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0EFF26" w14:textId="4F416FB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83E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B83EA7">
                  <w:t>NA</w:t>
                </w:r>
                <w:proofErr w:type="spellEnd"/>
              </w:sdtContent>
            </w:sdt>
          </w:p>
        </w:tc>
      </w:tr>
      <w:tr w:rsidR="00C978F0" w:rsidRPr="00DA352E" w14:paraId="7D95421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1A1B47" w14:textId="7B5C9646" w:rsidR="00C978F0" w:rsidRPr="00DA352E" w:rsidRDefault="00B83EA7" w:rsidP="003365A5">
            <w:pPr>
              <w:pStyle w:val="Tabletextprimarysource"/>
            </w:pPr>
            <w:r>
              <w:t>No report</w:t>
            </w:r>
            <w:r w:rsidR="008B04DB">
              <w:t>.</w:t>
            </w:r>
          </w:p>
        </w:tc>
      </w:tr>
      <w:tr w:rsidR="00DA352E" w:rsidRPr="00DA352E" w14:paraId="43B6FF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1466C2" w14:textId="308CD30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83E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83EA7">
                  <w:t>NA</w:t>
                </w:r>
                <w:proofErr w:type="spellEnd"/>
              </w:sdtContent>
            </w:sdt>
          </w:p>
        </w:tc>
      </w:tr>
      <w:tr w:rsidR="00DA352E" w:rsidRPr="00DA352E" w14:paraId="15FCD7D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76FE0B" w14:textId="6AE88438" w:rsidR="00DA352E" w:rsidRPr="00DA352E" w:rsidRDefault="00B83EA7" w:rsidP="003365A5">
            <w:pPr>
              <w:pStyle w:val="Tabletextprimarysource"/>
            </w:pPr>
            <w:r>
              <w:t>No report</w:t>
            </w:r>
            <w:r w:rsidR="008B04DB">
              <w:t>.</w:t>
            </w:r>
          </w:p>
        </w:tc>
      </w:tr>
      <w:tr w:rsidR="00DA352E" w:rsidRPr="00DA352E" w14:paraId="620825A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F05561" w14:textId="29AD783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83EA7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70939" w:rsidRPr="00C70939">
                  <w:t>TWA</w:t>
                </w:r>
                <w:r w:rsidR="00B83EA7">
                  <w:t>: 5 ppm (20 mg/m</w:t>
                </w:r>
                <w:r w:rsidR="00B83EA7" w:rsidRPr="00B83EA7">
                  <w:rPr>
                    <w:vertAlign w:val="superscript"/>
                  </w:rPr>
                  <w:t>3</w:t>
                </w:r>
                <w:r w:rsidR="00B83EA7">
                  <w:t>)</w:t>
                </w:r>
              </w:sdtContent>
            </w:sdt>
          </w:p>
        </w:tc>
      </w:tr>
      <w:tr w:rsidR="00DA352E" w:rsidRPr="00DA352E" w14:paraId="33D4D4F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4C6C799" w14:textId="77777777" w:rsidR="00DA352E" w:rsidRDefault="0083611D" w:rsidP="003365A5">
            <w:pPr>
              <w:pStyle w:val="Tabletextprimarysource"/>
            </w:pPr>
            <w:r>
              <w:t>Summary of additional data:</w:t>
            </w:r>
          </w:p>
          <w:p w14:paraId="5533112D" w14:textId="3CC21D7E" w:rsidR="006C6C8E" w:rsidRDefault="008A2186" w:rsidP="003365A5">
            <w:pPr>
              <w:pStyle w:val="Tabletextprimarysource"/>
            </w:pPr>
            <w:r>
              <w:t>A revised</w:t>
            </w:r>
            <w:r w:rsidR="00687B60">
              <w:t xml:space="preserve"> TWA of 1.2 ppm (5 mg/m</w:t>
            </w:r>
            <w:r w:rsidR="00687B60">
              <w:rPr>
                <w:vertAlign w:val="superscript"/>
              </w:rPr>
              <w:t>3</w:t>
            </w:r>
            <w:r w:rsidR="00687B60">
              <w:t xml:space="preserve">) is recommended based on a sub-chronic repeat inhalation study with rats. An overall uncertainty factor of 27 is applied to the LOAEL of </w:t>
            </w:r>
            <w:r w:rsidR="00802BE9">
              <w:t xml:space="preserve">100 </w:t>
            </w:r>
            <w:r w:rsidR="00687B60">
              <w:t>mg/m</w:t>
            </w:r>
            <w:r w:rsidR="00687B60">
              <w:rPr>
                <w:vertAlign w:val="superscript"/>
              </w:rPr>
              <w:t>3</w:t>
            </w:r>
            <w:r w:rsidR="00687B60">
              <w:t xml:space="preserve"> </w:t>
            </w:r>
            <w:r w:rsidR="00743553">
              <w:t xml:space="preserve">to </w:t>
            </w:r>
            <w:r w:rsidR="00687B60">
              <w:t>account for the absence of a NOAEL, and intra- and interspecies variability</w:t>
            </w:r>
            <w:r w:rsidR="009013A6">
              <w:t xml:space="preserve"> (individual uncertainty factors were not specific). T</w:t>
            </w:r>
            <w:r w:rsidR="00687B60">
              <w:t xml:space="preserve">his result is rounded up to TWA of 5 </w:t>
            </w:r>
            <w:r w:rsidR="00743553">
              <w:t>mg/m</w:t>
            </w:r>
            <w:r w:rsidR="00743553">
              <w:rPr>
                <w:vertAlign w:val="superscript"/>
              </w:rPr>
              <w:t>3</w:t>
            </w:r>
            <w:r w:rsidR="00687B60">
              <w:t xml:space="preserve">. No data on potential carcinogenicity or reproductive toxicity available </w:t>
            </w:r>
            <w:r w:rsidR="00750310">
              <w:t>in this source</w:t>
            </w:r>
            <w:r w:rsidR="00687B60">
              <w:t xml:space="preserve"> </w:t>
            </w:r>
          </w:p>
          <w:p w14:paraId="14FBF2E4" w14:textId="7FF9FC5B" w:rsidR="0083611D" w:rsidRDefault="0083611D" w:rsidP="003365A5">
            <w:pPr>
              <w:pStyle w:val="Tabletextprimarysource"/>
            </w:pPr>
            <w:r>
              <w:t>Human data:</w:t>
            </w:r>
          </w:p>
          <w:p w14:paraId="34532406" w14:textId="5EF35867" w:rsidR="00687B60" w:rsidRDefault="00B62B8D" w:rsidP="00743553">
            <w:pPr>
              <w:pStyle w:val="Tabletextprimarysource"/>
              <w:numPr>
                <w:ilvl w:val="0"/>
                <w:numId w:val="1"/>
              </w:numPr>
            </w:pPr>
            <w:r>
              <w:t>Several cases of visual disturbance, nausea and headaches reported in accidental e</w:t>
            </w:r>
            <w:r w:rsidR="00C20540">
              <w:t>xposures at distillation plant</w:t>
            </w:r>
          </w:p>
          <w:p w14:paraId="02C195BB" w14:textId="71264620" w:rsidR="00B62B8D" w:rsidRDefault="00C20540" w:rsidP="00B62B8D">
            <w:pPr>
              <w:pStyle w:val="Tabletextprimarysource"/>
              <w:numPr>
                <w:ilvl w:val="1"/>
                <w:numId w:val="1"/>
              </w:numPr>
            </w:pPr>
            <w:r>
              <w:t>v</w:t>
            </w:r>
            <w:r w:rsidR="00B62B8D">
              <w:t>isual distress occurred in 2</w:t>
            </w:r>
            <w:r w:rsidR="00802BE9">
              <w:t>–</w:t>
            </w:r>
            <w:r w:rsidR="00B62B8D">
              <w:t>3 h of exposure and lasted for 2 h</w:t>
            </w:r>
          </w:p>
          <w:p w14:paraId="4F6C7622" w14:textId="30BE4BD9" w:rsidR="00B62B8D" w:rsidRDefault="00C20540" w:rsidP="00B62B8D">
            <w:pPr>
              <w:pStyle w:val="Tabletextprimarysource"/>
              <w:numPr>
                <w:ilvl w:val="1"/>
                <w:numId w:val="1"/>
              </w:numPr>
            </w:pPr>
            <w:r>
              <w:t>m</w:t>
            </w:r>
            <w:r w:rsidR="00B62B8D">
              <w:t>ean atmospheric concentrations in the plant were 25</w:t>
            </w:r>
            <w:r w:rsidR="00360AAF">
              <w:t>–</w:t>
            </w:r>
            <w:r w:rsidR="00B62B8D">
              <w:t xml:space="preserve">50 ppm with peak concentrations of 180 ppm, which lasted for </w:t>
            </w:r>
            <w:r w:rsidR="00B62B8D">
              <w:rPr>
                <w:rFonts w:cs="Arial"/>
              </w:rPr>
              <w:t>≈</w:t>
            </w:r>
            <w:r w:rsidR="00B62B8D">
              <w:t>5</w:t>
            </w:r>
            <w:r w:rsidR="00802BE9">
              <w:t>–</w:t>
            </w:r>
            <w:r w:rsidR="00B62B8D">
              <w:t xml:space="preserve">10 min 3 times </w:t>
            </w:r>
            <w:r w:rsidR="00750310">
              <w:t>a day</w:t>
            </w:r>
          </w:p>
          <w:p w14:paraId="29A3AD1F" w14:textId="062118C1" w:rsidR="00360AAF" w:rsidRDefault="00B62B8D" w:rsidP="00E21F73">
            <w:pPr>
              <w:pStyle w:val="Tabletextprimarysource"/>
              <w:numPr>
                <w:ilvl w:val="0"/>
                <w:numId w:val="1"/>
              </w:numPr>
            </w:pPr>
            <w:r>
              <w:t>Used as an intravenous anti</w:t>
            </w:r>
            <w:r w:rsidR="00713116">
              <w:t>-</w:t>
            </w:r>
            <w:r>
              <w:t>hypersensitive agent in clinical pharmacology to reduce blood pressure (25</w:t>
            </w:r>
            <w:r w:rsidR="00360AAF">
              <w:t>–</w:t>
            </w:r>
            <w:r>
              <w:t>200 mg as hydrochloride salt)</w:t>
            </w:r>
            <w:r w:rsidR="00360AAF">
              <w:t>.</w:t>
            </w:r>
          </w:p>
          <w:p w14:paraId="604520CB" w14:textId="77777777" w:rsidR="0083611D" w:rsidRDefault="0083611D" w:rsidP="003365A5">
            <w:pPr>
              <w:pStyle w:val="Tabletextprimarysource"/>
            </w:pPr>
            <w:r>
              <w:t>Animal data:</w:t>
            </w:r>
          </w:p>
          <w:p w14:paraId="0A40F0B1" w14:textId="17943386" w:rsidR="006C6C8E" w:rsidRDefault="008A1464" w:rsidP="006C6C8E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1,140 ppm (rats, 2 h), 1,000 ppm (mice, 2 h)</w:t>
            </w:r>
            <w:r w:rsidR="006C6C8E">
              <w:t>; clinical observations included laboured breathing, high pitched respiratory sounds, closed eyelids, nasal and ocular discharges, ocular opacity and tremors</w:t>
            </w:r>
          </w:p>
          <w:p w14:paraId="2B896B54" w14:textId="7F378BCE" w:rsidR="0094374B" w:rsidRDefault="0094374B" w:rsidP="006C6C8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Repeat inhalation study with 24, 144, and 480 ppm </w:t>
            </w:r>
            <w:r w:rsidR="00750310">
              <w:t>concentrations</w:t>
            </w:r>
            <w:r>
              <w:t xml:space="preserve"> (rats, 15/sex/group, 6</w:t>
            </w:r>
            <w:r w:rsidR="00750310">
              <w:t> </w:t>
            </w:r>
            <w:r>
              <w:t>h/d, 5 d/</w:t>
            </w:r>
            <w:proofErr w:type="spellStart"/>
            <w:r>
              <w:t>wk</w:t>
            </w:r>
            <w:proofErr w:type="spellEnd"/>
            <w:r>
              <w:t xml:space="preserve">, 1 </w:t>
            </w:r>
            <w:proofErr w:type="spellStart"/>
            <w:r>
              <w:t>mo</w:t>
            </w:r>
            <w:proofErr w:type="spellEnd"/>
            <w:r>
              <w:t>):</w:t>
            </w:r>
          </w:p>
          <w:p w14:paraId="6E47E37C" w14:textId="2AE73FD8" w:rsidR="0094374B" w:rsidRDefault="0094374B" w:rsidP="0094374B">
            <w:pPr>
              <w:pStyle w:val="Tabletextprimarysource"/>
              <w:numPr>
                <w:ilvl w:val="1"/>
                <w:numId w:val="1"/>
              </w:numPr>
            </w:pPr>
            <w:r>
              <w:t xml:space="preserve">3 rats in 480 ppm group died; </w:t>
            </w:r>
            <w:r w:rsidR="002414F3">
              <w:t xml:space="preserve">additional effects in this group included </w:t>
            </w:r>
            <w:r>
              <w:t>respiratory difficulties</w:t>
            </w:r>
            <w:r w:rsidR="008A2186">
              <w:t>,</w:t>
            </w:r>
            <w:r w:rsidR="00C6772C">
              <w:t xml:space="preserve"> mucous membrane irritation, </w:t>
            </w:r>
            <w:r w:rsidR="002414F3">
              <w:t xml:space="preserve">body weight </w:t>
            </w:r>
            <w:r>
              <w:t>reduction</w:t>
            </w:r>
            <w:r w:rsidR="00C6772C">
              <w:t>, and increased weight of adrenals, kidneys, and heart</w:t>
            </w:r>
          </w:p>
          <w:p w14:paraId="6F3E6B2D" w14:textId="3A80A85E" w:rsidR="0094374B" w:rsidRDefault="00C20540" w:rsidP="0094374B">
            <w:pPr>
              <w:pStyle w:val="Tabletextprimarysource"/>
              <w:numPr>
                <w:ilvl w:val="1"/>
                <w:numId w:val="1"/>
              </w:numPr>
            </w:pPr>
            <w:r>
              <w:t>d</w:t>
            </w:r>
            <w:r w:rsidR="0094374B">
              <w:t xml:space="preserve">ose-dependent incidence of corneal lesions (13, 75, 100% in low, mid, to high </w:t>
            </w:r>
            <w:r w:rsidR="00C6772C">
              <w:t xml:space="preserve">exposure </w:t>
            </w:r>
            <w:r w:rsidR="0094374B">
              <w:t>groups, respectively)</w:t>
            </w:r>
          </w:p>
          <w:p w14:paraId="06D702EE" w14:textId="3C972BE4" w:rsidR="00C6772C" w:rsidRDefault="00C20540" w:rsidP="0094374B">
            <w:pPr>
              <w:pStyle w:val="Tabletextprimarysource"/>
              <w:numPr>
                <w:ilvl w:val="1"/>
                <w:numId w:val="1"/>
              </w:numPr>
            </w:pPr>
            <w:r>
              <w:t>a</w:t>
            </w:r>
            <w:r w:rsidR="00C6772C">
              <w:t xml:space="preserve">ll treated rats </w:t>
            </w:r>
            <w:r w:rsidR="002414F3">
              <w:t xml:space="preserve">(144–480 ppm) </w:t>
            </w:r>
            <w:r w:rsidR="00C6772C">
              <w:t>showed mucosal inflammation and erosion; necrosis/dissolution of nasal cartilage/bone</w:t>
            </w:r>
          </w:p>
          <w:p w14:paraId="115D3A5E" w14:textId="06DFE3BF" w:rsidR="00C6772C" w:rsidRDefault="002414F3" w:rsidP="0094374B">
            <w:pPr>
              <w:pStyle w:val="Tabletextprimarysource"/>
              <w:numPr>
                <w:ilvl w:val="1"/>
                <w:numId w:val="1"/>
              </w:numPr>
            </w:pPr>
            <w:r>
              <w:t>L</w:t>
            </w:r>
            <w:r w:rsidR="00C6772C">
              <w:t xml:space="preserve">OAEL </w:t>
            </w:r>
            <w:r>
              <w:t>of 24 ppm</w:t>
            </w:r>
            <w:r w:rsidR="00C6772C">
              <w:t xml:space="preserve"> </w:t>
            </w:r>
            <w:r w:rsidR="00687B60">
              <w:t>because</w:t>
            </w:r>
            <w:r w:rsidR="00C6772C">
              <w:t xml:space="preserve"> </w:t>
            </w:r>
            <w:r>
              <w:t>it caused</w:t>
            </w:r>
            <w:r w:rsidR="00C6772C">
              <w:t xml:space="preserve"> reduced immune cell count, and co</w:t>
            </w:r>
            <w:r w:rsidR="00687B60">
              <w:t>rneal and nasal lesions</w:t>
            </w:r>
          </w:p>
          <w:p w14:paraId="253A94E7" w14:textId="2DD49335" w:rsidR="006C6C8E" w:rsidRDefault="006C6C8E" w:rsidP="006C6C8E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2,900 mg/kg (rabbits</w:t>
            </w:r>
            <w:r w:rsidR="00C20540">
              <w:t>, dermal</w:t>
            </w:r>
            <w:r>
              <w:t>)</w:t>
            </w:r>
          </w:p>
          <w:p w14:paraId="172277B4" w14:textId="08D60BE7" w:rsidR="008A1464" w:rsidRDefault="008A1464" w:rsidP="00621A02">
            <w:pPr>
              <w:pStyle w:val="Tabletextprimarysource"/>
              <w:numPr>
                <w:ilvl w:val="0"/>
                <w:numId w:val="1"/>
              </w:numPr>
            </w:pPr>
            <w:r>
              <w:t>Median respiratory depression (RD</w:t>
            </w:r>
            <w:r>
              <w:rPr>
                <w:vertAlign w:val="subscript"/>
              </w:rPr>
              <w:t>50</w:t>
            </w:r>
            <w:r>
              <w:t xml:space="preserve">): 161 ppm (mice, </w:t>
            </w:r>
            <w:proofErr w:type="spellStart"/>
            <w:r>
              <w:t>oronasal</w:t>
            </w:r>
            <w:proofErr w:type="spellEnd"/>
            <w:r>
              <w:t xml:space="preserve">, 15 min), 102 ppm (mice, </w:t>
            </w:r>
            <w:proofErr w:type="spellStart"/>
            <w:r>
              <w:t>intratracheal</w:t>
            </w:r>
            <w:proofErr w:type="spellEnd"/>
            <w:r>
              <w:t xml:space="preserve">, 2 h); concluded that substance is a lower respiratory </w:t>
            </w:r>
            <w:r w:rsidR="002414F3">
              <w:t xml:space="preserve">tract </w:t>
            </w:r>
            <w:r>
              <w:t xml:space="preserve">irritant </w:t>
            </w:r>
          </w:p>
          <w:p w14:paraId="714C7D0F" w14:textId="0B131824" w:rsidR="0083611D" w:rsidRDefault="00621A02" w:rsidP="00621A0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Severe eye irritation in rabbits (using 5%, 15%, and </w:t>
            </w:r>
            <w:r w:rsidR="002414F3">
              <w:t xml:space="preserve">100% </w:t>
            </w:r>
            <w:r>
              <w:t>solutions)</w:t>
            </w:r>
          </w:p>
          <w:p w14:paraId="3EB52BB6" w14:textId="3F62DFC7" w:rsidR="00621A02" w:rsidRDefault="00621A02" w:rsidP="00621A02">
            <w:pPr>
              <w:pStyle w:val="Tabletextprimarysource"/>
              <w:numPr>
                <w:ilvl w:val="0"/>
                <w:numId w:val="1"/>
              </w:numPr>
            </w:pPr>
            <w:r>
              <w:t>Moderate to severe skin irritation in dermal application study, treatment range: 150, 450, 2,000 mg/kg/d (rats, 5 d); no irritation in 150 mg/kg/d group</w:t>
            </w:r>
          </w:p>
          <w:p w14:paraId="0708137D" w14:textId="77777777" w:rsidR="008A1464" w:rsidRDefault="00621A02" w:rsidP="008A1464">
            <w:pPr>
              <w:pStyle w:val="Tabletextprimarysource"/>
              <w:numPr>
                <w:ilvl w:val="0"/>
                <w:numId w:val="1"/>
              </w:numPr>
            </w:pPr>
            <w:r>
              <w:t>Non-sensitising in patch test with 0.3 mL of 10% solution (rabbits, 6 h/d, 3 d/</w:t>
            </w:r>
            <w:proofErr w:type="spellStart"/>
            <w:r>
              <w:t>wk</w:t>
            </w:r>
            <w:proofErr w:type="spellEnd"/>
            <w:r>
              <w:t xml:space="preserve">, 3 </w:t>
            </w:r>
            <w:proofErr w:type="spellStart"/>
            <w:r>
              <w:t>wk</w:t>
            </w:r>
            <w:proofErr w:type="spellEnd"/>
            <w:r>
              <w:t xml:space="preserve"> induction phase, insult after 2 </w:t>
            </w:r>
            <w:proofErr w:type="spellStart"/>
            <w:r>
              <w:t>wk</w:t>
            </w:r>
            <w:proofErr w:type="spellEnd"/>
            <w:r>
              <w:t xml:space="preserve"> with 5% solution)</w:t>
            </w:r>
          </w:p>
          <w:p w14:paraId="76E98522" w14:textId="07CE2B1C" w:rsidR="006C6C8E" w:rsidRDefault="009013A6" w:rsidP="008A1464">
            <w:pPr>
              <w:pStyle w:val="Tabletextprimarysource"/>
              <w:numPr>
                <w:ilvl w:val="0"/>
                <w:numId w:val="1"/>
              </w:numPr>
            </w:pPr>
            <w:r>
              <w:t>M</w:t>
            </w:r>
            <w:r w:rsidR="0094374B">
              <w:t xml:space="preserve">utation tests with </w:t>
            </w:r>
            <w:r w:rsidR="0094374B">
              <w:rPr>
                <w:i/>
              </w:rPr>
              <w:t>S</w:t>
            </w:r>
            <w:r w:rsidR="008A2186">
              <w:rPr>
                <w:i/>
              </w:rPr>
              <w:t>.</w:t>
            </w:r>
            <w:r w:rsidR="0094374B">
              <w:rPr>
                <w:i/>
              </w:rPr>
              <w:t xml:space="preserve"> </w:t>
            </w:r>
            <w:proofErr w:type="spellStart"/>
            <w:r w:rsidR="0094374B">
              <w:rPr>
                <w:i/>
              </w:rPr>
              <w:t>typhimurium</w:t>
            </w:r>
            <w:proofErr w:type="spellEnd"/>
            <w:r w:rsidR="0094374B">
              <w:rPr>
                <w:i/>
              </w:rPr>
              <w:t xml:space="preserve"> </w:t>
            </w:r>
            <w:r w:rsidR="0094374B">
              <w:t>are equivocal and DNA repair tests with rat hepatocytes were negative</w:t>
            </w:r>
            <w:r w:rsidR="008B7ED9">
              <w:t>.</w:t>
            </w:r>
          </w:p>
          <w:p w14:paraId="6D997971" w14:textId="4FBF3F3A" w:rsidR="00360AAF" w:rsidRPr="00DA352E" w:rsidRDefault="00360AAF" w:rsidP="008A2186">
            <w:pPr>
              <w:pStyle w:val="Tabletextprimarysource"/>
              <w:ind w:left="720"/>
            </w:pPr>
          </w:p>
        </w:tc>
      </w:tr>
    </w:tbl>
    <w:p w14:paraId="06FAFDBF" w14:textId="77777777" w:rsidR="00A20751" w:rsidRPr="004C23F4" w:rsidRDefault="00A20751" w:rsidP="00802BE9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4AB445FD" w14:textId="77777777" w:rsidTr="00394476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5E53F15" w14:textId="77777777" w:rsidR="004966BF" w:rsidRPr="00263255" w:rsidRDefault="004966BF" w:rsidP="00E21F73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6B1F966" w14:textId="77777777" w:rsidR="004966BF" w:rsidRPr="00263255" w:rsidRDefault="004966BF" w:rsidP="00E21F73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4B97FB2" w14:textId="77777777" w:rsidR="004966BF" w:rsidRPr="00263255" w:rsidRDefault="004966BF" w:rsidP="00E21F73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B6487A3" w14:textId="77777777" w:rsidR="004966BF" w:rsidRPr="00263255" w:rsidRDefault="004966BF" w:rsidP="00E21F73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F79EC3E" w14:textId="77777777" w:rsidTr="00394476">
        <w:trPr>
          <w:cantSplit/>
        </w:trPr>
        <w:tc>
          <w:tcPr>
            <w:tcW w:w="1492" w:type="dxa"/>
          </w:tcPr>
          <w:p w14:paraId="00EDE995" w14:textId="77777777" w:rsidR="004966BF" w:rsidRPr="004C23F4" w:rsidRDefault="004966BF" w:rsidP="00E21F73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4226B778" w14:textId="6790C614" w:rsidR="004966BF" w:rsidRPr="00CE617F" w:rsidRDefault="009249CB" w:rsidP="00E21F73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B7ED9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259553A" w14:textId="39F08D6A" w:rsidR="004966BF" w:rsidRPr="004C23F4" w:rsidRDefault="00B62B8D" w:rsidP="00E21F73">
            <w:pPr>
              <w:pStyle w:val="Tablefont"/>
            </w:pPr>
            <w:r>
              <w:t>2002</w:t>
            </w:r>
          </w:p>
        </w:tc>
        <w:tc>
          <w:tcPr>
            <w:tcW w:w="6451" w:type="dxa"/>
          </w:tcPr>
          <w:p w14:paraId="18278730" w14:textId="57F0C8C2" w:rsidR="004966BF" w:rsidRPr="004C23F4" w:rsidRDefault="00B62B8D" w:rsidP="00E21F73">
            <w:pPr>
              <w:pStyle w:val="Tablefont"/>
            </w:pPr>
            <w:r w:rsidRPr="00B62B8D">
              <w:rPr>
                <w:rStyle w:val="checkbox"/>
                <w:rFonts w:ascii="Arial" w:hAnsi="Arial" w:cs="Arial"/>
              </w:rPr>
              <w:t>TWA: 5 ppm (2</w:t>
            </w:r>
            <w:r>
              <w:rPr>
                <w:rStyle w:val="checkbox"/>
                <w:rFonts w:ascii="Arial" w:hAnsi="Arial" w:cs="Arial"/>
              </w:rPr>
              <w:t>1</w:t>
            </w:r>
            <w:r w:rsidRPr="00B62B8D">
              <w:rPr>
                <w:rStyle w:val="checkbox"/>
                <w:rFonts w:ascii="Arial" w:hAnsi="Arial" w:cs="Arial"/>
              </w:rPr>
              <w:t xml:space="preserve"> mg/m</w:t>
            </w:r>
            <w:r w:rsidRPr="00B62B8D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Pr="00B62B8D">
              <w:rPr>
                <w:rStyle w:val="checkbox"/>
                <w:rFonts w:ascii="Arial" w:hAnsi="Arial" w:cs="Arial"/>
              </w:rPr>
              <w:t>)</w:t>
            </w:r>
            <w:r w:rsidR="00C2054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448E34B6" w14:textId="77777777" w:rsidTr="00394476">
        <w:trPr>
          <w:cantSplit/>
        </w:trPr>
        <w:tc>
          <w:tcPr>
            <w:tcW w:w="1492" w:type="dxa"/>
          </w:tcPr>
          <w:p w14:paraId="1E8ECA44" w14:textId="77777777" w:rsidR="004966BF" w:rsidRPr="004C23F4" w:rsidRDefault="004966BF" w:rsidP="00E21F73">
            <w:pPr>
              <w:pStyle w:val="Tablefont"/>
            </w:pPr>
            <w:r>
              <w:lastRenderedPageBreak/>
              <w:t>OECD</w:t>
            </w:r>
          </w:p>
        </w:tc>
        <w:tc>
          <w:tcPr>
            <w:tcW w:w="422" w:type="dxa"/>
          </w:tcPr>
          <w:p w14:paraId="66F249EC" w14:textId="05DFE7DB" w:rsidR="004966BF" w:rsidRPr="00CE617F" w:rsidRDefault="009249CB" w:rsidP="00E21F73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D705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80ADDEA" w14:textId="7E7974EE" w:rsidR="004966BF" w:rsidRPr="004C23F4" w:rsidRDefault="00D81EEF" w:rsidP="00E21F73">
            <w:pPr>
              <w:pStyle w:val="Tablefont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51" w:type="dxa"/>
          </w:tcPr>
          <w:p w14:paraId="08C67EE7" w14:textId="3489E0C9" w:rsidR="004966BF" w:rsidRDefault="00D81EEF" w:rsidP="00E21F7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Grouped with other secondary alkyl amines, but may be metabolised differently due to isopropyl substituents</w:t>
            </w:r>
          </w:p>
          <w:p w14:paraId="6FA157CD" w14:textId="77777777" w:rsidR="00D81EEF" w:rsidRDefault="00D81EEF" w:rsidP="00E21F7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considered mutagenic by analogy to other alkyl amines examined in assessment</w:t>
            </w:r>
          </w:p>
          <w:p w14:paraId="53F04B86" w14:textId="45620918" w:rsidR="007A3827" w:rsidRPr="004C23F4" w:rsidRDefault="007A3827" w:rsidP="00E21F73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carcinogenicity results in chronic inhalation study with 0.32 mg/L dimethyl amine or 0.37 mg/L diethyl amine (rats, 2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>)</w:t>
            </w:r>
            <w:r w:rsidR="00C2054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1A28DC28" w14:textId="77777777" w:rsidTr="00394476">
        <w:trPr>
          <w:cantSplit/>
        </w:trPr>
        <w:tc>
          <w:tcPr>
            <w:tcW w:w="1492" w:type="dxa"/>
          </w:tcPr>
          <w:p w14:paraId="1E890C93" w14:textId="77777777" w:rsidR="004966BF" w:rsidRDefault="004966BF" w:rsidP="00E21F73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0AB430CF" w14:textId="3D47EEA4" w:rsidR="004966BF" w:rsidRDefault="009249CB" w:rsidP="00E21F73">
            <w:pPr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81EE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DC11AAA" w14:textId="423E6BB6" w:rsidR="004966BF" w:rsidRPr="004C23F4" w:rsidRDefault="00D81EEF" w:rsidP="00E21F73">
            <w:pPr>
              <w:pStyle w:val="Tablefont"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3428BEB4" w14:textId="1E268258" w:rsidR="004966BF" w:rsidRPr="004C23F4" w:rsidRDefault="00D81EEF" w:rsidP="00E21F73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D81EEF">
              <w:rPr>
                <w:rStyle w:val="checkbox"/>
                <w:rFonts w:ascii="Arial" w:hAnsi="Arial" w:cs="Arial"/>
              </w:rPr>
              <w:t>IDLH based on acute inhalation toxicity data in workers</w:t>
            </w:r>
            <w:r w:rsidR="00C20540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0F06CCF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D6295FA" w14:textId="77777777" w:rsidTr="00743553">
        <w:trPr>
          <w:trHeight w:val="454"/>
          <w:tblHeader/>
        </w:trPr>
        <w:tc>
          <w:tcPr>
            <w:tcW w:w="6597" w:type="dxa"/>
            <w:vAlign w:val="center"/>
          </w:tcPr>
          <w:p w14:paraId="12F0C9A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A753442" w14:textId="7C58BBA9" w:rsidR="002E0D61" w:rsidRDefault="006C6C8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9AF2CA5" w14:textId="77777777" w:rsidTr="00743553">
        <w:trPr>
          <w:trHeight w:val="454"/>
        </w:trPr>
        <w:tc>
          <w:tcPr>
            <w:tcW w:w="6597" w:type="dxa"/>
            <w:vAlign w:val="center"/>
          </w:tcPr>
          <w:p w14:paraId="0A20750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A368C40" w14:textId="14413161" w:rsidR="008A36CF" w:rsidRDefault="006C6C8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4B50D40" w14:textId="77777777" w:rsidTr="0074355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0509507" w14:textId="6BAF8AB8" w:rsidR="008A36CF" w:rsidRPr="006901A2" w:rsidRDefault="006C6C8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7E71F44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05B4FCE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AF7B74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B5654F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A05C8D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7992AE1" w14:textId="77777777" w:rsidTr="00812887">
        <w:trPr>
          <w:cantSplit/>
        </w:trPr>
        <w:tc>
          <w:tcPr>
            <w:tcW w:w="3227" w:type="dxa"/>
          </w:tcPr>
          <w:p w14:paraId="2C3EF55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656B638" w14:textId="5B1465B7" w:rsidR="00687890" w:rsidRPr="00DD2F9B" w:rsidRDefault="00B83EA7" w:rsidP="00DD2F9B">
            <w:pPr>
              <w:pStyle w:val="Tablefont"/>
            </w:pPr>
            <w:r w:rsidRPr="00B83EA7">
              <w:t>Skin</w:t>
            </w:r>
          </w:p>
        </w:tc>
      </w:tr>
      <w:tr w:rsidR="007925F0" w:rsidRPr="004C23F4" w14:paraId="40C79B19" w14:textId="77777777" w:rsidTr="00812887">
        <w:trPr>
          <w:cantSplit/>
        </w:trPr>
        <w:tc>
          <w:tcPr>
            <w:tcW w:w="3227" w:type="dxa"/>
          </w:tcPr>
          <w:p w14:paraId="5A0EDDD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76174B9" w14:textId="2688CE0B" w:rsidR="007925F0" w:rsidRPr="00DD2F9B" w:rsidRDefault="003069C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1C85334" w14:textId="77777777" w:rsidTr="00812887">
        <w:trPr>
          <w:cantSplit/>
        </w:trPr>
        <w:tc>
          <w:tcPr>
            <w:tcW w:w="3227" w:type="dxa"/>
          </w:tcPr>
          <w:p w14:paraId="4495E94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622D814" w14:textId="29286632" w:rsidR="00AF483F" w:rsidRPr="00DD2F9B" w:rsidRDefault="003069C1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80DAECF" w14:textId="77777777" w:rsidTr="00812887">
        <w:trPr>
          <w:cantSplit/>
        </w:trPr>
        <w:tc>
          <w:tcPr>
            <w:tcW w:w="3227" w:type="dxa"/>
          </w:tcPr>
          <w:p w14:paraId="3D2CC6D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9D5BF02" w14:textId="60474497" w:rsidR="00687890" w:rsidRPr="00DD2F9B" w:rsidRDefault="003069C1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7794E834" w14:textId="77777777" w:rsidTr="00812887">
        <w:trPr>
          <w:cantSplit/>
        </w:trPr>
        <w:tc>
          <w:tcPr>
            <w:tcW w:w="3227" w:type="dxa"/>
          </w:tcPr>
          <w:p w14:paraId="5FF7F11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5E83062" w14:textId="502F8D94" w:rsidR="00E41A26" w:rsidRPr="00DD2F9B" w:rsidRDefault="00B62B8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C89542B" w14:textId="77777777" w:rsidTr="00812887">
        <w:trPr>
          <w:cantSplit/>
        </w:trPr>
        <w:tc>
          <w:tcPr>
            <w:tcW w:w="3227" w:type="dxa"/>
          </w:tcPr>
          <w:p w14:paraId="269D137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300B0BE" w14:textId="05D24659" w:rsidR="002E0D61" w:rsidRPr="00DD2F9B" w:rsidRDefault="00B83EA7" w:rsidP="00DD2F9B">
            <w:pPr>
              <w:pStyle w:val="Tablefont"/>
            </w:pPr>
            <w:r w:rsidRPr="00B83EA7">
              <w:t>Skin</w:t>
            </w:r>
          </w:p>
        </w:tc>
      </w:tr>
      <w:tr w:rsidR="002E0D61" w:rsidRPr="004C23F4" w14:paraId="4FAB4468" w14:textId="77777777" w:rsidTr="00812887">
        <w:trPr>
          <w:cantSplit/>
        </w:trPr>
        <w:tc>
          <w:tcPr>
            <w:tcW w:w="3227" w:type="dxa"/>
          </w:tcPr>
          <w:p w14:paraId="3B6EEC3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96981F4" w14:textId="621D8135" w:rsidR="002E0D61" w:rsidRPr="00DD2F9B" w:rsidRDefault="00B83EA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B85E0B0" w14:textId="77777777" w:rsidTr="00812887">
        <w:trPr>
          <w:cantSplit/>
        </w:trPr>
        <w:tc>
          <w:tcPr>
            <w:tcW w:w="3227" w:type="dxa"/>
          </w:tcPr>
          <w:p w14:paraId="786C30A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99385EE" w14:textId="5F4FE74F" w:rsidR="002E0D61" w:rsidRPr="00DD2F9B" w:rsidRDefault="0057264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E352CEE" w14:textId="77777777" w:rsidTr="00812887">
        <w:trPr>
          <w:cantSplit/>
        </w:trPr>
        <w:tc>
          <w:tcPr>
            <w:tcW w:w="3227" w:type="dxa"/>
          </w:tcPr>
          <w:p w14:paraId="3A09A8F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FA4BEB7" w14:textId="2B90A9B4" w:rsidR="002E0D61" w:rsidRPr="00DD2F9B" w:rsidRDefault="0057264E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1A86843F" w14:textId="77777777" w:rsidTr="00812887">
        <w:trPr>
          <w:cantSplit/>
        </w:trPr>
        <w:tc>
          <w:tcPr>
            <w:tcW w:w="3227" w:type="dxa"/>
          </w:tcPr>
          <w:p w14:paraId="29094DA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4F4B311" w14:textId="61F1FDB7" w:rsidR="00386093" w:rsidRPr="00DD2F9B" w:rsidRDefault="0057264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8AD9B89" w14:textId="77777777" w:rsidTr="00812887">
        <w:trPr>
          <w:cantSplit/>
        </w:trPr>
        <w:tc>
          <w:tcPr>
            <w:tcW w:w="3227" w:type="dxa"/>
          </w:tcPr>
          <w:p w14:paraId="358C1C0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B1C531E" w14:textId="3536E291" w:rsidR="00386093" w:rsidRPr="00DD2F9B" w:rsidRDefault="0057264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734B75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C6AD6B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D96C0F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BB9D8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317F4E6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60"/>
              <w:gridCol w:w="884"/>
              <w:gridCol w:w="534"/>
              <w:gridCol w:w="3532"/>
            </w:tblGrid>
            <w:tr w:rsidR="00D81EEF" w:rsidRPr="00D81EEF" w14:paraId="19C882D5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5F8B3C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D3E5B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FE26CA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22E56F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2E2972C0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FDF00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2AD0A0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926ADC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1A4080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458E95F6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23FA28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40922C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459F4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6BD9C7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75EAD8B5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1BE326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E5E80B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03D387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D69A50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56D90C52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889C4D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E11C41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059AC4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0F3109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75BBE769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BA8EE9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097AC8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B800FA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0A6B1C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81EEF" w:rsidRPr="00D81EEF" w14:paraId="4F60CFAE" w14:textId="77777777" w:rsidTr="00D81EEF">
              <w:trPr>
                <w:trHeight w:val="229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A9A9F8" w14:textId="77777777" w:rsidR="00D81EEF" w:rsidRPr="00D81EEF" w:rsidRDefault="00D81EEF" w:rsidP="00D81EE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EA6EA1" w14:textId="77777777" w:rsidR="00D81EEF" w:rsidRPr="00D81EEF" w:rsidRDefault="00D81EEF" w:rsidP="00D81EE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A2E0AB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91D338" w14:textId="77777777" w:rsidR="00D81EEF" w:rsidRPr="00D81EEF" w:rsidRDefault="00D81EEF" w:rsidP="00D81EE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81EE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B55D618" w14:textId="42488D1A" w:rsidR="00932DCE" w:rsidRPr="003069C1" w:rsidRDefault="00932DCE" w:rsidP="003069C1"/>
        </w:tc>
      </w:tr>
    </w:tbl>
    <w:bookmarkEnd w:id="4"/>
    <w:p w14:paraId="691AE5A8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D1023F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87A423" w14:textId="22180D2E" w:rsidR="00EB3D1B" w:rsidRPr="003069C1" w:rsidRDefault="00EB3D1B" w:rsidP="0083611D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CC2ED22" w14:textId="08978979" w:rsidR="00EB3D1B" w:rsidRDefault="00D81EE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F419DA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7849FD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34A6D2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94A6EAC" w14:textId="45617382" w:rsidR="001B79E5" w:rsidRDefault="004B3891" w:rsidP="001B79E5">
                <w:pPr>
                  <w:pStyle w:val="Tablefont"/>
                </w:pPr>
                <w:r w:rsidRPr="004B3891">
                  <w:t>101.19</w:t>
                </w:r>
              </w:p>
            </w:tc>
          </w:sdtContent>
        </w:sdt>
      </w:tr>
      <w:tr w:rsidR="00A31D99" w:rsidRPr="004C23F4" w14:paraId="0CEAC96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5F4E667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F37DB74" w14:textId="1F0B713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4B3891">
                  <w:t>4.13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4B3891">
                  <w:t>0.242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0F5B63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3D739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E878B3F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3600797" w14:textId="77777777" w:rsidTr="00EA6243">
        <w:trPr>
          <w:cantSplit/>
        </w:trPr>
        <w:tc>
          <w:tcPr>
            <w:tcW w:w="4077" w:type="dxa"/>
            <w:vAlign w:val="center"/>
          </w:tcPr>
          <w:p w14:paraId="7D5D57D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00B65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14F3FA4" w14:textId="77777777" w:rsidTr="00EA6243">
        <w:trPr>
          <w:cantSplit/>
        </w:trPr>
        <w:tc>
          <w:tcPr>
            <w:tcW w:w="4077" w:type="dxa"/>
            <w:vAlign w:val="center"/>
          </w:tcPr>
          <w:p w14:paraId="660FF97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E2CFE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156A449" w14:textId="77777777" w:rsidTr="00EA6243">
        <w:trPr>
          <w:cantSplit/>
        </w:trPr>
        <w:tc>
          <w:tcPr>
            <w:tcW w:w="4077" w:type="dxa"/>
            <w:vAlign w:val="center"/>
          </w:tcPr>
          <w:p w14:paraId="6849452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DEFBDF1" w14:textId="77777777" w:rsidR="00E06F40" w:rsidRPr="00A006A0" w:rsidRDefault="009249C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3E9674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9C13B8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C2BD1B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818C81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6B9519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51578B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3C4FA0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E7CB0C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CC219A0" w14:textId="6D478A7D" w:rsidR="0057264E" w:rsidRDefault="006650FE" w:rsidP="0057264E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3FCFE7F" w14:textId="71F82EA1" w:rsidR="0057264E" w:rsidRDefault="0057264E" w:rsidP="00084859">
      <w:r w:rsidRPr="002022B6">
        <w:t>Health Council of the Netherlands</w:t>
      </w:r>
      <w:r>
        <w:t xml:space="preserve"> (HCOTN) (2003) </w:t>
      </w:r>
      <w:proofErr w:type="spellStart"/>
      <w:r w:rsidRPr="0057264E">
        <w:t>Diisopropylamine</w:t>
      </w:r>
      <w:proofErr w:type="spellEnd"/>
      <w:r w:rsidRPr="005F7416">
        <w:t xml:space="preserve">. Health-based calculated occupational cancer risk values. The Hague: Health Council of the Netherlands; publication no. </w:t>
      </w:r>
      <w:r w:rsidRPr="0057264E">
        <w:t>2000/15OSH/080</w:t>
      </w:r>
      <w:r>
        <w:t>.</w:t>
      </w:r>
    </w:p>
    <w:p w14:paraId="400370F0" w14:textId="0330B21B" w:rsidR="003D7054" w:rsidRDefault="008B7ED9" w:rsidP="00084859">
      <w:r w:rsidRPr="008B7ED9">
        <w:t>Organisation for Economic Cooperation and Development (OECD) (</w:t>
      </w:r>
      <w:r>
        <w:t>2013</w:t>
      </w:r>
      <w:r w:rsidRPr="008B7ED9">
        <w:t>) SI</w:t>
      </w:r>
      <w:r>
        <w:t>DS initial assessment profile –</w:t>
      </w:r>
      <w:r w:rsidRPr="008B7ED9">
        <w:t xml:space="preserve"> </w:t>
      </w:r>
      <w:r w:rsidR="003D7054">
        <w:t>Aliphatic Secondary Amines</w:t>
      </w:r>
      <w:r>
        <w:t>.</w:t>
      </w:r>
    </w:p>
    <w:p w14:paraId="2D699B80" w14:textId="039A22C6" w:rsidR="00802BE9" w:rsidRDefault="00802BE9" w:rsidP="00802BE9">
      <w:pPr>
        <w:rPr>
          <w:color w:val="000000"/>
        </w:rPr>
      </w:pPr>
      <w:r w:rsidRPr="00E461B8">
        <w:rPr>
          <w:color w:val="000000"/>
        </w:rPr>
        <w:t>Tenth Adaptation to Technical Progress Commission Regulation (EU Annex)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027F1FA6" w14:textId="77777777" w:rsidR="00802BE9" w:rsidRDefault="00802BE9" w:rsidP="00802BE9"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>
        <w:t>.</w:t>
      </w:r>
    </w:p>
    <w:p w14:paraId="7E2D5D84" w14:textId="7EC08861" w:rsidR="00802BE9" w:rsidRPr="00351FE0" w:rsidRDefault="00802BE9" w:rsidP="00802BE9">
      <w:r w:rsidRPr="00E45B2E">
        <w:t xml:space="preserve">US National Institute for Occupational Safety and Health (NIOSH) (1994) </w:t>
      </w:r>
      <w:proofErr w:type="gramStart"/>
      <w:r w:rsidRPr="00E45B2E">
        <w:t>Immediately</w:t>
      </w:r>
      <w:proofErr w:type="gramEnd"/>
      <w:r w:rsidRPr="00E45B2E">
        <w:t xml:space="preserve"> dangerous to life or health concentrations – </w:t>
      </w:r>
      <w:proofErr w:type="spellStart"/>
      <w:r>
        <w:t>Diisopr</w:t>
      </w:r>
      <w:r w:rsidR="00394476">
        <w:t>o</w:t>
      </w:r>
      <w:r>
        <w:t>pylamine</w:t>
      </w:r>
      <w:proofErr w:type="spellEnd"/>
      <w:r w:rsidRPr="00E45B2E">
        <w:t>.</w:t>
      </w:r>
    </w:p>
    <w:sectPr w:rsidR="00802BE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11FF7F" w16cid:durableId="21686158"/>
  <w16cid:commentId w16cid:paraId="0675A588" w16cid:durableId="21686159"/>
  <w16cid:commentId w16cid:paraId="7889C7B4" w16cid:durableId="2168638A"/>
  <w16cid:commentId w16cid:paraId="48FF4529" w16cid:durableId="2168615A"/>
  <w16cid:commentId w16cid:paraId="056ACCCA" w16cid:durableId="2168615B"/>
  <w16cid:commentId w16cid:paraId="14ACCF9C" w16cid:durableId="2168615C"/>
  <w16cid:commentId w16cid:paraId="3EAEDB02" w16cid:durableId="2168615D"/>
  <w16cid:commentId w16cid:paraId="2C8C4583" w16cid:durableId="21686502"/>
  <w16cid:commentId w16cid:paraId="5CDF02E8" w16cid:durableId="21686562"/>
  <w16cid:commentId w16cid:paraId="475A2BF8" w16cid:durableId="216865ED"/>
  <w16cid:commentId w16cid:paraId="30A6C125" w16cid:durableId="21686809"/>
  <w16cid:commentId w16cid:paraId="16092BB2" w16cid:durableId="21686958"/>
  <w16cid:commentId w16cid:paraId="292CD862" w16cid:durableId="216869D0"/>
  <w16cid:commentId w16cid:paraId="49960F2A" w16cid:durableId="21686FFF"/>
  <w16cid:commentId w16cid:paraId="21EECDE7" w16cid:durableId="21687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A334" w14:textId="77777777" w:rsidR="00E40585" w:rsidRDefault="00E40585" w:rsidP="00F43AD5">
      <w:pPr>
        <w:spacing w:after="0" w:line="240" w:lineRule="auto"/>
      </w:pPr>
      <w:r>
        <w:separator/>
      </w:r>
    </w:p>
  </w:endnote>
  <w:endnote w:type="continuationSeparator" w:id="0">
    <w:p w14:paraId="5DEA9309" w14:textId="77777777" w:rsidR="00E40585" w:rsidRDefault="00E4058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FACE" w14:textId="77777777" w:rsidR="00CF2225" w:rsidRDefault="00CF2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1527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44BD8C" w14:textId="29857480" w:rsidR="0058292B" w:rsidRDefault="0058292B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Diisopropylamine</w:t>
        </w:r>
        <w:proofErr w:type="spellEnd"/>
        <w:r>
          <w:rPr>
            <w:b/>
            <w:sz w:val="18"/>
            <w:szCs w:val="18"/>
          </w:rPr>
          <w:t xml:space="preserve"> (108-18-9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3C288FFB" w14:textId="1671BF13" w:rsidR="0058292B" w:rsidRPr="00F43AD5" w:rsidRDefault="0058292B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249CB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A517" w14:textId="77777777" w:rsidR="00CF2225" w:rsidRDefault="00CF2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6B5F" w14:textId="77777777" w:rsidR="00E40585" w:rsidRDefault="00E40585" w:rsidP="00F43AD5">
      <w:pPr>
        <w:spacing w:after="0" w:line="240" w:lineRule="auto"/>
      </w:pPr>
      <w:r>
        <w:separator/>
      </w:r>
    </w:p>
  </w:footnote>
  <w:footnote w:type="continuationSeparator" w:id="0">
    <w:p w14:paraId="5F3D1054" w14:textId="77777777" w:rsidR="00E40585" w:rsidRDefault="00E4058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3554" w14:textId="77777777" w:rsidR="00CF2225" w:rsidRDefault="00CF2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7F1E" w14:textId="56984A6F" w:rsidR="0058292B" w:rsidRPr="00AB4C6A" w:rsidRDefault="009249CB" w:rsidP="00AB4C6A">
    <w:pPr>
      <w:pStyle w:val="Header"/>
      <w:jc w:val="right"/>
    </w:pPr>
    <w:r>
      <w:pict w14:anchorId="0A891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AB4C6A">
      <w:rPr>
        <w:noProof/>
        <w:lang w:eastAsia="en-AU"/>
      </w:rPr>
      <w:drawing>
        <wp:inline distT="0" distB="0" distL="0" distR="0" wp14:anchorId="492CDADC" wp14:editId="49F61FFA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176A" w14:textId="77777777" w:rsidR="00CF2225" w:rsidRDefault="00CF22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DB0B" w14:textId="10591406" w:rsidR="00AB4C6A" w:rsidRDefault="009249CB" w:rsidP="00AB4C6A">
    <w:pPr>
      <w:pStyle w:val="Header"/>
      <w:jc w:val="right"/>
    </w:pPr>
    <w:r>
      <w:pict w14:anchorId="7CC74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AB4C6A">
      <w:rPr>
        <w:noProof/>
        <w:lang w:eastAsia="en-AU"/>
      </w:rPr>
      <w:drawing>
        <wp:inline distT="0" distB="0" distL="0" distR="0" wp14:anchorId="0548806F" wp14:editId="072E2549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0720A" w14:textId="566F761A" w:rsidR="0058292B" w:rsidRDefault="0058292B" w:rsidP="00AB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572"/>
    <w:multiLevelType w:val="hybridMultilevel"/>
    <w:tmpl w:val="D346B848"/>
    <w:lvl w:ilvl="0" w:tplc="B8CAA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A096A"/>
    <w:multiLevelType w:val="hybridMultilevel"/>
    <w:tmpl w:val="09C2AF70"/>
    <w:lvl w:ilvl="0" w:tplc="06C87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FF5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003"/>
    <w:rsid w:val="000D291C"/>
    <w:rsid w:val="000E5A54"/>
    <w:rsid w:val="000E63D3"/>
    <w:rsid w:val="000E67CF"/>
    <w:rsid w:val="000F4391"/>
    <w:rsid w:val="0010461E"/>
    <w:rsid w:val="00106FAA"/>
    <w:rsid w:val="00112269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64F7"/>
    <w:rsid w:val="002414F3"/>
    <w:rsid w:val="00244AD1"/>
    <w:rsid w:val="002463BC"/>
    <w:rsid w:val="002465CE"/>
    <w:rsid w:val="0025734A"/>
    <w:rsid w:val="00263255"/>
    <w:rsid w:val="00276494"/>
    <w:rsid w:val="002764B9"/>
    <w:rsid w:val="00277B0C"/>
    <w:rsid w:val="002B1A2C"/>
    <w:rsid w:val="002C34F2"/>
    <w:rsid w:val="002C58FF"/>
    <w:rsid w:val="002C7AFE"/>
    <w:rsid w:val="002D05D2"/>
    <w:rsid w:val="002E0D61"/>
    <w:rsid w:val="002E4C7B"/>
    <w:rsid w:val="0030576A"/>
    <w:rsid w:val="003069C1"/>
    <w:rsid w:val="0030740C"/>
    <w:rsid w:val="00315833"/>
    <w:rsid w:val="003215EE"/>
    <w:rsid w:val="003224BF"/>
    <w:rsid w:val="003241A8"/>
    <w:rsid w:val="00324BB6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0AAF"/>
    <w:rsid w:val="00362895"/>
    <w:rsid w:val="00370DBF"/>
    <w:rsid w:val="00377330"/>
    <w:rsid w:val="00386093"/>
    <w:rsid w:val="003904A4"/>
    <w:rsid w:val="00391841"/>
    <w:rsid w:val="00391B6D"/>
    <w:rsid w:val="00394476"/>
    <w:rsid w:val="00394922"/>
    <w:rsid w:val="003A0E32"/>
    <w:rsid w:val="003A2B94"/>
    <w:rsid w:val="003B387D"/>
    <w:rsid w:val="003C0D58"/>
    <w:rsid w:val="003D4FA3"/>
    <w:rsid w:val="003D7054"/>
    <w:rsid w:val="003E0807"/>
    <w:rsid w:val="003E51FB"/>
    <w:rsid w:val="003E6B39"/>
    <w:rsid w:val="003F07E1"/>
    <w:rsid w:val="003F33FB"/>
    <w:rsid w:val="003F4990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0E79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891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7B28"/>
    <w:rsid w:val="0057264E"/>
    <w:rsid w:val="00581055"/>
    <w:rsid w:val="0058292B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55A8"/>
    <w:rsid w:val="005E6979"/>
    <w:rsid w:val="005E75CB"/>
    <w:rsid w:val="005F17EC"/>
    <w:rsid w:val="005F3074"/>
    <w:rsid w:val="005F3DDD"/>
    <w:rsid w:val="006013C1"/>
    <w:rsid w:val="0060669E"/>
    <w:rsid w:val="00610F2E"/>
    <w:rsid w:val="00611399"/>
    <w:rsid w:val="00621A02"/>
    <w:rsid w:val="00624C4E"/>
    <w:rsid w:val="00625200"/>
    <w:rsid w:val="00627D74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87B60"/>
    <w:rsid w:val="006901A2"/>
    <w:rsid w:val="00690368"/>
    <w:rsid w:val="0069079C"/>
    <w:rsid w:val="00690B53"/>
    <w:rsid w:val="00695B72"/>
    <w:rsid w:val="006A51A8"/>
    <w:rsid w:val="006B160A"/>
    <w:rsid w:val="006B4E6C"/>
    <w:rsid w:val="006B50B6"/>
    <w:rsid w:val="006C6C8E"/>
    <w:rsid w:val="006D79EA"/>
    <w:rsid w:val="006E5D05"/>
    <w:rsid w:val="00701053"/>
    <w:rsid w:val="00701507"/>
    <w:rsid w:val="00713116"/>
    <w:rsid w:val="00714021"/>
    <w:rsid w:val="00716A0F"/>
    <w:rsid w:val="00717D45"/>
    <w:rsid w:val="007208F7"/>
    <w:rsid w:val="007218AF"/>
    <w:rsid w:val="007365D1"/>
    <w:rsid w:val="00740E0E"/>
    <w:rsid w:val="00743553"/>
    <w:rsid w:val="00750212"/>
    <w:rsid w:val="00750310"/>
    <w:rsid w:val="00754779"/>
    <w:rsid w:val="0075716D"/>
    <w:rsid w:val="00765F14"/>
    <w:rsid w:val="00770E31"/>
    <w:rsid w:val="007770F1"/>
    <w:rsid w:val="00783FB1"/>
    <w:rsid w:val="00784607"/>
    <w:rsid w:val="00785CDD"/>
    <w:rsid w:val="00791847"/>
    <w:rsid w:val="007925F0"/>
    <w:rsid w:val="007939B3"/>
    <w:rsid w:val="0079509C"/>
    <w:rsid w:val="00796708"/>
    <w:rsid w:val="007A3827"/>
    <w:rsid w:val="007B1B42"/>
    <w:rsid w:val="007C00E3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5CB7"/>
    <w:rsid w:val="00802BE9"/>
    <w:rsid w:val="00804F5A"/>
    <w:rsid w:val="00810C6D"/>
    <w:rsid w:val="00812887"/>
    <w:rsid w:val="00815111"/>
    <w:rsid w:val="00826F21"/>
    <w:rsid w:val="00834CC8"/>
    <w:rsid w:val="00835E00"/>
    <w:rsid w:val="0083611D"/>
    <w:rsid w:val="00837113"/>
    <w:rsid w:val="008414E4"/>
    <w:rsid w:val="00843E21"/>
    <w:rsid w:val="0084508E"/>
    <w:rsid w:val="00850B06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218C"/>
    <w:rsid w:val="00897163"/>
    <w:rsid w:val="008A1464"/>
    <w:rsid w:val="008A2186"/>
    <w:rsid w:val="008A36CF"/>
    <w:rsid w:val="008A3BC4"/>
    <w:rsid w:val="008B04DB"/>
    <w:rsid w:val="008B403C"/>
    <w:rsid w:val="008B7983"/>
    <w:rsid w:val="008B7ED9"/>
    <w:rsid w:val="008C2511"/>
    <w:rsid w:val="008D026D"/>
    <w:rsid w:val="008D23AB"/>
    <w:rsid w:val="008D4B8B"/>
    <w:rsid w:val="008D5A78"/>
    <w:rsid w:val="008E7B64"/>
    <w:rsid w:val="008F5DCD"/>
    <w:rsid w:val="00900951"/>
    <w:rsid w:val="009013A6"/>
    <w:rsid w:val="009118A6"/>
    <w:rsid w:val="00916909"/>
    <w:rsid w:val="00916EC0"/>
    <w:rsid w:val="00920467"/>
    <w:rsid w:val="00921DE7"/>
    <w:rsid w:val="009249CB"/>
    <w:rsid w:val="0093041A"/>
    <w:rsid w:val="00930714"/>
    <w:rsid w:val="00931B03"/>
    <w:rsid w:val="009323B9"/>
    <w:rsid w:val="00932DCE"/>
    <w:rsid w:val="0093327E"/>
    <w:rsid w:val="00934028"/>
    <w:rsid w:val="0093760E"/>
    <w:rsid w:val="00940D08"/>
    <w:rsid w:val="0094374B"/>
    <w:rsid w:val="00946044"/>
    <w:rsid w:val="0094660B"/>
    <w:rsid w:val="00946A33"/>
    <w:rsid w:val="009477E3"/>
    <w:rsid w:val="00947843"/>
    <w:rsid w:val="0095260E"/>
    <w:rsid w:val="0095383B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7614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64B2"/>
    <w:rsid w:val="00A27E2D"/>
    <w:rsid w:val="00A31D99"/>
    <w:rsid w:val="00A357BA"/>
    <w:rsid w:val="00A35ADC"/>
    <w:rsid w:val="00A402A3"/>
    <w:rsid w:val="00A5222A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4C6A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577C0"/>
    <w:rsid w:val="00B62B8D"/>
    <w:rsid w:val="00B71188"/>
    <w:rsid w:val="00B76A41"/>
    <w:rsid w:val="00B83890"/>
    <w:rsid w:val="00B83EA7"/>
    <w:rsid w:val="00B87974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375D"/>
    <w:rsid w:val="00C16315"/>
    <w:rsid w:val="00C20540"/>
    <w:rsid w:val="00C3091E"/>
    <w:rsid w:val="00C40FF1"/>
    <w:rsid w:val="00C419E2"/>
    <w:rsid w:val="00C5020E"/>
    <w:rsid w:val="00C57452"/>
    <w:rsid w:val="00C61EDF"/>
    <w:rsid w:val="00C6239D"/>
    <w:rsid w:val="00C6594B"/>
    <w:rsid w:val="00C6772C"/>
    <w:rsid w:val="00C67FFB"/>
    <w:rsid w:val="00C70939"/>
    <w:rsid w:val="00C7155E"/>
    <w:rsid w:val="00C71D1E"/>
    <w:rsid w:val="00C71D7D"/>
    <w:rsid w:val="00C74833"/>
    <w:rsid w:val="00C850A0"/>
    <w:rsid w:val="00C85A86"/>
    <w:rsid w:val="00C978F0"/>
    <w:rsid w:val="00CA52E2"/>
    <w:rsid w:val="00CA58FE"/>
    <w:rsid w:val="00CA6E49"/>
    <w:rsid w:val="00CB1C16"/>
    <w:rsid w:val="00CB1CB1"/>
    <w:rsid w:val="00CB6BC1"/>
    <w:rsid w:val="00CB6CB8"/>
    <w:rsid w:val="00CC1A68"/>
    <w:rsid w:val="00CC2123"/>
    <w:rsid w:val="00CC7A45"/>
    <w:rsid w:val="00CD2BFD"/>
    <w:rsid w:val="00CE5AD6"/>
    <w:rsid w:val="00CE617F"/>
    <w:rsid w:val="00CE78EF"/>
    <w:rsid w:val="00CF2225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EEF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4478"/>
    <w:rsid w:val="00DF6F36"/>
    <w:rsid w:val="00E0084C"/>
    <w:rsid w:val="00E025AB"/>
    <w:rsid w:val="00E02B23"/>
    <w:rsid w:val="00E06F40"/>
    <w:rsid w:val="00E07CE8"/>
    <w:rsid w:val="00E21F73"/>
    <w:rsid w:val="00E26A07"/>
    <w:rsid w:val="00E32595"/>
    <w:rsid w:val="00E37CFD"/>
    <w:rsid w:val="00E40585"/>
    <w:rsid w:val="00E41A26"/>
    <w:rsid w:val="00E46BCB"/>
    <w:rsid w:val="00E5079D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3006"/>
    <w:rsid w:val="00EA5B68"/>
    <w:rsid w:val="00EA6243"/>
    <w:rsid w:val="00EA74AB"/>
    <w:rsid w:val="00EB3D1B"/>
    <w:rsid w:val="00EB7179"/>
    <w:rsid w:val="00ED1D89"/>
    <w:rsid w:val="00ED66BC"/>
    <w:rsid w:val="00EF233A"/>
    <w:rsid w:val="00EF303E"/>
    <w:rsid w:val="00EF3A40"/>
    <w:rsid w:val="00EF7F78"/>
    <w:rsid w:val="00F01B08"/>
    <w:rsid w:val="00F01C4D"/>
    <w:rsid w:val="00F0352B"/>
    <w:rsid w:val="00F053FA"/>
    <w:rsid w:val="00F10C97"/>
    <w:rsid w:val="00F11C71"/>
    <w:rsid w:val="00F11C97"/>
    <w:rsid w:val="00F16019"/>
    <w:rsid w:val="00F20E68"/>
    <w:rsid w:val="00F22093"/>
    <w:rsid w:val="00F236DF"/>
    <w:rsid w:val="00F43AD5"/>
    <w:rsid w:val="00F4402E"/>
    <w:rsid w:val="00F56DD0"/>
    <w:rsid w:val="00F6491C"/>
    <w:rsid w:val="00F651B5"/>
    <w:rsid w:val="00F67BBB"/>
    <w:rsid w:val="00F711BC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E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ABB3B40AF9B4D57B9C4CA254A53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C1CB-5FA9-4D35-9B3F-4D7D59A08A6D}"/>
      </w:docPartPr>
      <w:docPartBody>
        <w:p w:rsidR="009E25E5" w:rsidRDefault="00466AB0" w:rsidP="00466AB0">
          <w:pPr>
            <w:pStyle w:val="AABB3B40AF9B4D57B9C4CA254A5368C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86383"/>
    <w:rsid w:val="003A2BDD"/>
    <w:rsid w:val="00466AB0"/>
    <w:rsid w:val="006B0A67"/>
    <w:rsid w:val="009E25E5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AB0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EA0CC78963D46B2A6DD584005A92FEC">
    <w:name w:val="8EA0CC78963D46B2A6DD584005A92FEC"/>
    <w:rsid w:val="006B0A67"/>
  </w:style>
  <w:style w:type="paragraph" w:customStyle="1" w:styleId="895D72B887CC4CF6A4F00C6CE4A1964F">
    <w:name w:val="895D72B887CC4CF6A4F00C6CE4A1964F"/>
    <w:rsid w:val="006B0A67"/>
  </w:style>
  <w:style w:type="paragraph" w:customStyle="1" w:styleId="C837EB791E014221AC46BCE31799AAF5">
    <w:name w:val="C837EB791E014221AC46BCE31799AAF5"/>
    <w:rsid w:val="006B0A67"/>
  </w:style>
  <w:style w:type="paragraph" w:customStyle="1" w:styleId="A6D83596045D46A68A1225095C6B4668">
    <w:name w:val="A6D83596045D46A68A1225095C6B4668"/>
    <w:rsid w:val="006B0A67"/>
  </w:style>
  <w:style w:type="paragraph" w:customStyle="1" w:styleId="B01289056ADE4680A5B2F509E748BD3B">
    <w:name w:val="B01289056ADE4680A5B2F509E748BD3B"/>
    <w:rsid w:val="006B0A67"/>
  </w:style>
  <w:style w:type="paragraph" w:customStyle="1" w:styleId="5BFAE4DCB0494D739A968E9750464FE9">
    <w:name w:val="5BFAE4DCB0494D739A968E9750464FE9"/>
    <w:rsid w:val="00186383"/>
  </w:style>
  <w:style w:type="paragraph" w:customStyle="1" w:styleId="F40C75C97DF643C3B952847400A2F54D">
    <w:name w:val="F40C75C97DF643C3B952847400A2F54D"/>
    <w:rsid w:val="00466AB0"/>
  </w:style>
  <w:style w:type="paragraph" w:customStyle="1" w:styleId="AABB3B40AF9B4D57B9C4CA254A5368C7">
    <w:name w:val="AABB3B40AF9B4D57B9C4CA254A5368C7"/>
    <w:rsid w:val="00466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E0B5-B9B8-4B85-BCE7-7B84369A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3CAF7-A0E1-48F8-9756-DB8648431C2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FD0616-12D2-4DD1-8F44-2EC552C2D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83286-F2DF-4633-AEC0-CBC65FEC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70BA9002.dotm</Template>
  <TotalTime>0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2019-10-30T05:30:00Z</dcterms:created>
  <dcterms:modified xsi:type="dcterms:W3CDTF">2019-11-08T00:32:00Z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