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2C0A897" w14:textId="3C71D273" w:rsidR="00BD499F" w:rsidRPr="004C23F4" w:rsidRDefault="007034F3" w:rsidP="00B40C60">
          <w:pPr>
            <w:pStyle w:val="Heading1"/>
            <w:jc w:val="center"/>
            <w:rPr>
              <w:rFonts w:ascii="Arial" w:hAnsi="Arial" w:cs="Arial"/>
            </w:rPr>
          </w:pPr>
          <w:r w:rsidRPr="007034F3">
            <w:rPr>
              <w:rFonts w:ascii="Arial" w:hAnsi="Arial" w:cs="Arial"/>
            </w:rPr>
            <w:t>Dimethyl acetamide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5"/>
        <w:gridCol w:w="5051"/>
      </w:tblGrid>
      <w:tr w:rsidR="00F43AD5" w:rsidRPr="004C23F4" w14:paraId="10D0B65F" w14:textId="77777777" w:rsidTr="00F87BC6">
        <w:trPr>
          <w:cantSplit/>
          <w:tblHeader/>
        </w:trPr>
        <w:tc>
          <w:tcPr>
            <w:tcW w:w="3975" w:type="dxa"/>
          </w:tcPr>
          <w:p w14:paraId="1410859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1" w:type="dxa"/>
          </w:tcPr>
          <w:p w14:paraId="58E2D34A" w14:textId="3111A75B" w:rsidR="00F43AD5" w:rsidRPr="00717D45" w:rsidRDefault="007034F3" w:rsidP="00B76A41">
            <w:pPr>
              <w:pStyle w:val="Tablefont"/>
            </w:pPr>
            <w:r w:rsidRPr="007034F3">
              <w:t>127-19-5</w:t>
            </w:r>
          </w:p>
        </w:tc>
      </w:tr>
      <w:tr w:rsidR="00F43AD5" w:rsidRPr="004C23F4" w14:paraId="1F2FDD26" w14:textId="77777777" w:rsidTr="00F87BC6">
        <w:trPr>
          <w:cantSplit/>
        </w:trPr>
        <w:tc>
          <w:tcPr>
            <w:tcW w:w="3975" w:type="dxa"/>
          </w:tcPr>
          <w:p w14:paraId="31F110F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1" w:type="dxa"/>
          </w:tcPr>
          <w:p w14:paraId="08256F6A" w14:textId="37588CCA" w:rsidR="00F43AD5" w:rsidRPr="00717D45" w:rsidRDefault="001163BF" w:rsidP="00B76A41">
            <w:pPr>
              <w:pStyle w:val="Tablefont"/>
            </w:pPr>
            <w:r>
              <w:t>DMAC, N,N-</w:t>
            </w:r>
            <w:proofErr w:type="spellStart"/>
            <w:r>
              <w:t>Dimethylacetamide</w:t>
            </w:r>
            <w:proofErr w:type="spellEnd"/>
            <w:r>
              <w:t xml:space="preserve">, </w:t>
            </w:r>
            <w:proofErr w:type="spellStart"/>
            <w:r w:rsidR="00D3167E">
              <w:t>acetdimethylamide</w:t>
            </w:r>
            <w:proofErr w:type="spellEnd"/>
            <w:r w:rsidR="007034F3">
              <w:t>, EINECS, 204-826-4, U-5954, SK 7176, N,N-</w:t>
            </w:r>
            <w:proofErr w:type="spellStart"/>
            <w:r>
              <w:t>d</w:t>
            </w:r>
            <w:r w:rsidR="007034F3">
              <w:t>imethylethanamide</w:t>
            </w:r>
            <w:proofErr w:type="spellEnd"/>
            <w:r w:rsidR="007034F3">
              <w:t xml:space="preserve">, </w:t>
            </w:r>
            <w:proofErr w:type="spellStart"/>
            <w:r w:rsidR="00D3167E">
              <w:t>dimethylamide</w:t>
            </w:r>
            <w:proofErr w:type="spellEnd"/>
            <w:r w:rsidR="00D3167E">
              <w:t xml:space="preserve"> </w:t>
            </w:r>
            <w:r w:rsidR="007034F3">
              <w:t>acetate</w:t>
            </w:r>
          </w:p>
        </w:tc>
      </w:tr>
      <w:tr w:rsidR="00F43AD5" w:rsidRPr="004C23F4" w14:paraId="2EBC287C" w14:textId="77777777" w:rsidTr="00F87BC6">
        <w:trPr>
          <w:cantSplit/>
        </w:trPr>
        <w:tc>
          <w:tcPr>
            <w:tcW w:w="3975" w:type="dxa"/>
          </w:tcPr>
          <w:p w14:paraId="0A43B1A8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1" w:type="dxa"/>
          </w:tcPr>
          <w:p w14:paraId="62032C02" w14:textId="03356F21" w:rsidR="00F43AD5" w:rsidRPr="00717D45" w:rsidRDefault="007034F3" w:rsidP="00B76A41">
            <w:pPr>
              <w:pStyle w:val="Tablefont"/>
            </w:pPr>
            <w:r>
              <w:t>C</w:t>
            </w:r>
            <w:r w:rsidRPr="007034F3">
              <w:rPr>
                <w:vertAlign w:val="subscript"/>
              </w:rPr>
              <w:t>4</w:t>
            </w:r>
            <w:r>
              <w:t>H</w:t>
            </w:r>
            <w:r w:rsidRPr="007034F3">
              <w:rPr>
                <w:vertAlign w:val="subscript"/>
              </w:rPr>
              <w:t>9</w:t>
            </w:r>
            <w:r>
              <w:t>NO</w:t>
            </w:r>
          </w:p>
        </w:tc>
      </w:tr>
    </w:tbl>
    <w:p w14:paraId="3817543A" w14:textId="1BF0CE75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C05A5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69601F39" w14:textId="77777777" w:rsidTr="001163BF">
        <w:trPr>
          <w:cantSplit/>
          <w:tblHeader/>
        </w:trPr>
        <w:tc>
          <w:tcPr>
            <w:tcW w:w="4005" w:type="dxa"/>
            <w:vAlign w:val="center"/>
          </w:tcPr>
          <w:p w14:paraId="720716D9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1504849C" w14:textId="1A4DCF74" w:rsidR="002C7AFE" w:rsidRPr="00EE7439" w:rsidRDefault="002C05A5" w:rsidP="00017C82">
            <w:pPr>
              <w:pStyle w:val="Tablefont"/>
              <w:rPr>
                <w:b/>
              </w:rPr>
            </w:pPr>
            <w:r w:rsidRPr="001163BF">
              <w:rPr>
                <w:b/>
              </w:rPr>
              <w:t xml:space="preserve">10 ppm </w:t>
            </w:r>
            <w:r w:rsidR="00C27F82">
              <w:rPr>
                <w:b/>
              </w:rPr>
              <w:t>(</w:t>
            </w:r>
            <w:r w:rsidRPr="001163BF">
              <w:rPr>
                <w:b/>
              </w:rPr>
              <w:t>36 mg/m</w:t>
            </w:r>
            <w:r w:rsidRPr="001163BF">
              <w:rPr>
                <w:b/>
                <w:vertAlign w:val="superscript"/>
              </w:rPr>
              <w:t>3</w:t>
            </w:r>
            <w:r w:rsidR="00C27F82">
              <w:rPr>
                <w:b/>
              </w:rPr>
              <w:t>)</w:t>
            </w:r>
          </w:p>
        </w:tc>
      </w:tr>
      <w:tr w:rsidR="002C7AFE" w:rsidRPr="004C23F4" w14:paraId="628D92CB" w14:textId="77777777" w:rsidTr="001163BF">
        <w:trPr>
          <w:cantSplit/>
        </w:trPr>
        <w:tc>
          <w:tcPr>
            <w:tcW w:w="4005" w:type="dxa"/>
            <w:vAlign w:val="center"/>
          </w:tcPr>
          <w:p w14:paraId="279AC3A5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77506708" w14:textId="2CE110A4" w:rsidR="002C7AFE" w:rsidRPr="001163BF" w:rsidRDefault="002C05A5" w:rsidP="00017C82">
            <w:pPr>
              <w:pStyle w:val="Tablefont"/>
              <w:rPr>
                <w:b/>
              </w:rPr>
            </w:pPr>
            <w:r w:rsidRPr="001163BF">
              <w:rPr>
                <w:b/>
              </w:rPr>
              <w:t>—</w:t>
            </w:r>
          </w:p>
        </w:tc>
      </w:tr>
      <w:tr w:rsidR="002C7AFE" w:rsidRPr="004C23F4" w14:paraId="1587E3AF" w14:textId="77777777" w:rsidTr="001163BF">
        <w:trPr>
          <w:cantSplit/>
        </w:trPr>
        <w:tc>
          <w:tcPr>
            <w:tcW w:w="4005" w:type="dxa"/>
            <w:vAlign w:val="center"/>
          </w:tcPr>
          <w:p w14:paraId="6C455D5F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3C1BE75E" w14:textId="5505ABD0" w:rsidR="002C7AFE" w:rsidRPr="001163BF" w:rsidRDefault="002C05A5" w:rsidP="00017C82">
            <w:pPr>
              <w:pStyle w:val="Tablefont"/>
              <w:rPr>
                <w:b/>
              </w:rPr>
            </w:pPr>
            <w:r w:rsidRPr="001163BF">
              <w:rPr>
                <w:b/>
              </w:rPr>
              <w:t>—</w:t>
            </w:r>
          </w:p>
        </w:tc>
      </w:tr>
      <w:tr w:rsidR="002C7AFE" w:rsidRPr="004C23F4" w14:paraId="3E058210" w14:textId="77777777" w:rsidTr="001163BF">
        <w:trPr>
          <w:cantSplit/>
        </w:trPr>
        <w:tc>
          <w:tcPr>
            <w:tcW w:w="4005" w:type="dxa"/>
          </w:tcPr>
          <w:p w14:paraId="19365E95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5D741D6" w14:textId="19A5751B" w:rsidR="002C7AFE" w:rsidRPr="001163BF" w:rsidRDefault="001163BF" w:rsidP="008A36CF">
            <w:pPr>
              <w:pStyle w:val="Tablefont"/>
              <w:rPr>
                <w:b/>
              </w:rPr>
            </w:pPr>
            <w:proofErr w:type="spellStart"/>
            <w:r w:rsidRPr="00166883">
              <w:rPr>
                <w:b/>
              </w:rPr>
              <w:t>C</w:t>
            </w:r>
            <w:r>
              <w:rPr>
                <w:b/>
              </w:rPr>
              <w:t>arc</w:t>
            </w:r>
            <w:proofErr w:type="spellEnd"/>
            <w:r>
              <w:rPr>
                <w:b/>
              </w:rPr>
              <w:t>.</w:t>
            </w:r>
            <w:r w:rsidRPr="00166883">
              <w:rPr>
                <w:b/>
              </w:rPr>
              <w:t xml:space="preserve"> 2</w:t>
            </w:r>
            <w:r>
              <w:rPr>
                <w:b/>
              </w:rPr>
              <w:t xml:space="preserve">, </w:t>
            </w:r>
            <w:r w:rsidR="002C05A5" w:rsidRPr="001163BF">
              <w:rPr>
                <w:b/>
              </w:rPr>
              <w:t>Sk</w:t>
            </w:r>
            <w:r>
              <w:rPr>
                <w:b/>
              </w:rPr>
              <w:t>.</w:t>
            </w:r>
          </w:p>
        </w:tc>
      </w:tr>
      <w:tr w:rsidR="002C7AFE" w:rsidRPr="004C23F4" w14:paraId="4EDD0D05" w14:textId="77777777" w:rsidTr="001163BF">
        <w:trPr>
          <w:cantSplit/>
        </w:trPr>
        <w:tc>
          <w:tcPr>
            <w:tcW w:w="4005" w:type="dxa"/>
            <w:vAlign w:val="center"/>
          </w:tcPr>
          <w:p w14:paraId="745B790D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743FCE5F" w14:textId="71B3C5C5" w:rsidR="002C7AFE" w:rsidRPr="001163BF" w:rsidRDefault="007034F3" w:rsidP="00017C82">
            <w:pPr>
              <w:pStyle w:val="Tablefont"/>
              <w:rPr>
                <w:b/>
              </w:rPr>
            </w:pPr>
            <w:r w:rsidRPr="001163BF">
              <w:rPr>
                <w:b/>
              </w:rPr>
              <w:t>300 ppm</w:t>
            </w:r>
          </w:p>
        </w:tc>
      </w:tr>
      <w:tr w:rsidR="001163BF" w:rsidRPr="004C23F4" w14:paraId="0B912BA9" w14:textId="77777777" w:rsidTr="00360AE5">
        <w:trPr>
          <w:cantSplit/>
        </w:trPr>
        <w:tc>
          <w:tcPr>
            <w:tcW w:w="9026" w:type="dxa"/>
            <w:gridSpan w:val="2"/>
            <w:vAlign w:val="center"/>
          </w:tcPr>
          <w:p w14:paraId="44DDC9BD" w14:textId="1A9DCB0F" w:rsidR="001163BF" w:rsidRPr="00204BE4" w:rsidRDefault="001163BF" w:rsidP="001163BF">
            <w:pPr>
              <w:pStyle w:val="Tablefont"/>
              <w:rPr>
                <w:b/>
              </w:rPr>
            </w:pPr>
            <w:r w:rsidRPr="00204BE4">
              <w:rPr>
                <w:b/>
              </w:rPr>
              <w:t>Sampling and analysis:</w:t>
            </w:r>
            <w:r w:rsidRPr="00204BE4">
              <w:rPr>
                <w:rStyle w:val="WESstatus"/>
                <w:b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12428E9C7BC34FFFB5635788A21D02FD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204BE4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B449742" w14:textId="77777777" w:rsidR="00CB1CB1" w:rsidRPr="003365A5" w:rsidRDefault="00F10C97" w:rsidP="00F87BC6">
      <w:pPr>
        <w:pStyle w:val="Heading2"/>
        <w:spacing w:before="120"/>
      </w:pPr>
      <w:r>
        <w:t>Recommendation and basis for workplace exposure standard</w:t>
      </w:r>
    </w:p>
    <w:p w14:paraId="716BA6E6" w14:textId="5C4BACF7" w:rsidR="006639B4" w:rsidRPr="002C05A5" w:rsidRDefault="008408A5" w:rsidP="000C139A">
      <w:pPr>
        <w:rPr>
          <w:rFonts w:cs="Arial"/>
        </w:rPr>
      </w:pPr>
      <w:r>
        <w:rPr>
          <w:rFonts w:cs="Arial"/>
        </w:rPr>
        <w:t>A</w:t>
      </w:r>
      <w:r w:rsidR="002C05A5">
        <w:rPr>
          <w:rFonts w:cs="Arial"/>
        </w:rPr>
        <w:t xml:space="preserve"> TWA of 10 ppm (36 mg/m</w:t>
      </w:r>
      <w:r w:rsidR="002C05A5">
        <w:rPr>
          <w:rFonts w:cs="Arial"/>
          <w:vertAlign w:val="superscript"/>
        </w:rPr>
        <w:t>3</w:t>
      </w:r>
      <w:r w:rsidR="002C05A5">
        <w:rPr>
          <w:rFonts w:cs="Arial"/>
        </w:rPr>
        <w:t xml:space="preserve">) is </w:t>
      </w:r>
      <w:r w:rsidR="0092069E">
        <w:rPr>
          <w:rFonts w:cs="Arial"/>
        </w:rPr>
        <w:t>recommended</w:t>
      </w:r>
      <w:r w:rsidR="002C05A5">
        <w:rPr>
          <w:rFonts w:cs="Arial"/>
        </w:rPr>
        <w:t xml:space="preserve"> </w:t>
      </w:r>
      <w:r w:rsidR="00A60982">
        <w:rPr>
          <w:rFonts w:cs="Arial"/>
        </w:rPr>
        <w:t xml:space="preserve">to </w:t>
      </w:r>
      <w:r>
        <w:rPr>
          <w:rFonts w:cs="Arial"/>
        </w:rPr>
        <w:t>protect for effects in liver</w:t>
      </w:r>
      <w:r w:rsidR="00C76264">
        <w:rPr>
          <w:rFonts w:cs="Arial"/>
        </w:rPr>
        <w:t xml:space="preserve"> and</w:t>
      </w:r>
      <w:r>
        <w:rPr>
          <w:rFonts w:cs="Arial"/>
        </w:rPr>
        <w:t xml:space="preserve"> kidney</w:t>
      </w:r>
      <w:r w:rsidR="00C76264">
        <w:rPr>
          <w:rFonts w:cs="Arial"/>
        </w:rPr>
        <w:t>s</w:t>
      </w:r>
      <w:r>
        <w:rPr>
          <w:rFonts w:cs="Arial"/>
        </w:rPr>
        <w:t xml:space="preserve">, </w:t>
      </w:r>
      <w:r w:rsidR="00C76264">
        <w:rPr>
          <w:rFonts w:cs="Arial"/>
        </w:rPr>
        <w:t xml:space="preserve">on </w:t>
      </w:r>
      <w:r>
        <w:rPr>
          <w:rFonts w:cs="Arial"/>
        </w:rPr>
        <w:t>reproduction</w:t>
      </w:r>
      <w:r w:rsidR="00996A14">
        <w:rPr>
          <w:rFonts w:cs="Arial"/>
        </w:rPr>
        <w:t xml:space="preserve"> and </w:t>
      </w:r>
      <w:r w:rsidR="00C76264">
        <w:rPr>
          <w:rFonts w:cs="Arial"/>
        </w:rPr>
        <w:t xml:space="preserve">the </w:t>
      </w:r>
      <w:r w:rsidR="00C27F82">
        <w:rPr>
          <w:rFonts w:cs="Arial"/>
        </w:rPr>
        <w:t>c</w:t>
      </w:r>
      <w:r w:rsidR="0092069E">
        <w:rPr>
          <w:rFonts w:cs="Arial"/>
        </w:rPr>
        <w:t xml:space="preserve">entral </w:t>
      </w:r>
      <w:r w:rsidR="00C27F82">
        <w:rPr>
          <w:rFonts w:cs="Arial"/>
        </w:rPr>
        <w:t>n</w:t>
      </w:r>
      <w:r w:rsidR="0092069E">
        <w:rPr>
          <w:rFonts w:cs="Arial"/>
        </w:rPr>
        <w:t xml:space="preserve">ervous </w:t>
      </w:r>
      <w:r w:rsidR="00C27F82">
        <w:rPr>
          <w:rFonts w:cs="Arial"/>
        </w:rPr>
        <w:t>s</w:t>
      </w:r>
      <w:r w:rsidR="0092069E">
        <w:rPr>
          <w:rFonts w:cs="Arial"/>
        </w:rPr>
        <w:t>ystem</w:t>
      </w:r>
      <w:r w:rsidR="00C76264">
        <w:rPr>
          <w:rFonts w:cs="Arial"/>
        </w:rPr>
        <w:t xml:space="preserve"> (CNS)</w:t>
      </w:r>
      <w:r w:rsidR="0092069E">
        <w:rPr>
          <w:rFonts w:cs="Arial"/>
        </w:rPr>
        <w:t xml:space="preserve"> </w:t>
      </w:r>
      <w:r w:rsidR="00996A14">
        <w:rPr>
          <w:rFonts w:cs="Arial"/>
        </w:rPr>
        <w:t>in</w:t>
      </w:r>
      <w:r w:rsidR="00A60982">
        <w:rPr>
          <w:rFonts w:cs="Arial"/>
        </w:rPr>
        <w:t xml:space="preserve"> exposed workers</w:t>
      </w:r>
      <w:r w:rsidR="00996A14">
        <w:rPr>
          <w:rFonts w:cs="Arial"/>
        </w:rPr>
        <w:t xml:space="preserve">, and </w:t>
      </w:r>
      <w:r w:rsidR="0092069E">
        <w:rPr>
          <w:rFonts w:cs="Arial"/>
        </w:rPr>
        <w:t xml:space="preserve">to </w:t>
      </w:r>
      <w:r w:rsidR="00996A14">
        <w:rPr>
          <w:rFonts w:cs="Arial"/>
        </w:rPr>
        <w:t xml:space="preserve">minimise potential effects in developing </w:t>
      </w:r>
      <w:r w:rsidR="00D3167E">
        <w:rPr>
          <w:rFonts w:cs="Arial"/>
        </w:rPr>
        <w:t>foetuses</w:t>
      </w:r>
      <w:r w:rsidR="00A60982">
        <w:rPr>
          <w:rFonts w:cs="Arial"/>
        </w:rPr>
        <w:t>.</w:t>
      </w:r>
    </w:p>
    <w:p w14:paraId="49EEC349" w14:textId="77777777" w:rsidR="00C7155E" w:rsidRPr="004C23F4" w:rsidRDefault="00F10C97" w:rsidP="00F87BC6">
      <w:pPr>
        <w:pStyle w:val="Heading2"/>
        <w:spacing w:before="120"/>
      </w:pPr>
      <w:r>
        <w:t>Discussion and conclusions</w:t>
      </w:r>
    </w:p>
    <w:p w14:paraId="0F99B97A" w14:textId="77777777" w:rsidR="00F87BC6" w:rsidRDefault="0092069E" w:rsidP="006639B4">
      <w:pPr>
        <w:rPr>
          <w:rFonts w:cs="Arial"/>
        </w:rPr>
      </w:pPr>
      <w:r>
        <w:rPr>
          <w:rFonts w:cs="Arial"/>
        </w:rPr>
        <w:t xml:space="preserve">Dimethyl </w:t>
      </w:r>
      <w:proofErr w:type="spellStart"/>
      <w:r>
        <w:rPr>
          <w:rFonts w:cs="Arial"/>
        </w:rPr>
        <w:t>acetamide</w:t>
      </w:r>
      <w:proofErr w:type="spellEnd"/>
      <w:r>
        <w:rPr>
          <w:rFonts w:cs="Arial"/>
        </w:rPr>
        <w:t xml:space="preserve"> (</w:t>
      </w:r>
      <w:r w:rsidR="00B70C35">
        <w:rPr>
          <w:rFonts w:cs="Arial"/>
        </w:rPr>
        <w:t>DMAC</w:t>
      </w:r>
      <w:r>
        <w:rPr>
          <w:rFonts w:cs="Arial"/>
        </w:rPr>
        <w:t>)</w:t>
      </w:r>
      <w:r w:rsidR="00B70C35">
        <w:rPr>
          <w:rFonts w:cs="Arial"/>
        </w:rPr>
        <w:t xml:space="preserve"> is widely used as a solvent for many organic reactions and in pharmaceutical preparations for parenteral administration (ACGIH, 2018). </w:t>
      </w:r>
    </w:p>
    <w:p w14:paraId="44E3B8BB" w14:textId="3518E4D8" w:rsidR="00D1149E" w:rsidRDefault="00C04CC8" w:rsidP="00257D44">
      <w:pPr>
        <w:rPr>
          <w:rFonts w:cs="Arial"/>
        </w:rPr>
      </w:pPr>
      <w:r>
        <w:rPr>
          <w:rFonts w:cs="Arial"/>
        </w:rPr>
        <w:t xml:space="preserve">Dermal exposure is a significant factor in overall absorption and toxicity. </w:t>
      </w:r>
      <w:r w:rsidR="00431F9E">
        <w:rPr>
          <w:rFonts w:cs="Arial"/>
        </w:rPr>
        <w:t>Studies in animals and humans</w:t>
      </w:r>
      <w:r w:rsidR="00870BFF">
        <w:rPr>
          <w:rFonts w:cs="Arial"/>
        </w:rPr>
        <w:t xml:space="preserve"> have demonstrated that exposure can cause </w:t>
      </w:r>
      <w:r w:rsidR="00996A14">
        <w:rPr>
          <w:rFonts w:cs="Arial"/>
        </w:rPr>
        <w:t xml:space="preserve">effects in </w:t>
      </w:r>
      <w:r w:rsidR="00870BFF">
        <w:rPr>
          <w:rFonts w:cs="Arial"/>
        </w:rPr>
        <w:t xml:space="preserve">liver, </w:t>
      </w:r>
      <w:r w:rsidR="00996A14">
        <w:rPr>
          <w:rFonts w:cs="Arial"/>
        </w:rPr>
        <w:t>kidney</w:t>
      </w:r>
      <w:r w:rsidR="00870BFF">
        <w:rPr>
          <w:rFonts w:cs="Arial"/>
        </w:rPr>
        <w:t>s</w:t>
      </w:r>
      <w:r w:rsidR="000F6080">
        <w:rPr>
          <w:rFonts w:cs="Arial"/>
        </w:rPr>
        <w:t xml:space="preserve"> and</w:t>
      </w:r>
      <w:r w:rsidR="00870BFF">
        <w:rPr>
          <w:rFonts w:cs="Arial"/>
        </w:rPr>
        <w:t xml:space="preserve"> reproductive effects, among other complications.</w:t>
      </w:r>
      <w:r w:rsidR="00F87BC6">
        <w:rPr>
          <w:rFonts w:cs="Arial"/>
        </w:rPr>
        <w:t xml:space="preserve"> </w:t>
      </w:r>
      <w:r w:rsidR="005B2911">
        <w:rPr>
          <w:rFonts w:cs="Arial"/>
        </w:rPr>
        <w:t xml:space="preserve">An increase in </w:t>
      </w:r>
      <w:r w:rsidR="00C76264">
        <w:rPr>
          <w:rFonts w:cs="Arial"/>
        </w:rPr>
        <w:t xml:space="preserve">liver </w:t>
      </w:r>
      <w:r w:rsidR="005B2911">
        <w:rPr>
          <w:rFonts w:cs="Arial"/>
        </w:rPr>
        <w:t>injury w</w:t>
      </w:r>
      <w:r w:rsidR="00DF3A86">
        <w:rPr>
          <w:rFonts w:cs="Arial"/>
        </w:rPr>
        <w:t>as</w:t>
      </w:r>
      <w:r w:rsidR="005B2911">
        <w:rPr>
          <w:rFonts w:cs="Arial"/>
        </w:rPr>
        <w:t xml:space="preserve"> reported in two</w:t>
      </w:r>
      <w:r w:rsidR="00431F9E">
        <w:t xml:space="preserve"> studies involving workers in a manufacturing setting </w:t>
      </w:r>
      <w:r w:rsidR="00F82D5B">
        <w:rPr>
          <w:rFonts w:cs="Arial"/>
        </w:rPr>
        <w:t>(n</w:t>
      </w:r>
      <w:r w:rsidR="00743681">
        <w:rPr>
          <w:rFonts w:cs="Arial"/>
        </w:rPr>
        <w:t>o exposure data provided</w:t>
      </w:r>
      <w:r w:rsidR="00F82D5B">
        <w:rPr>
          <w:rFonts w:cs="Arial"/>
        </w:rPr>
        <w:t>)</w:t>
      </w:r>
      <w:r w:rsidR="00743681">
        <w:rPr>
          <w:rFonts w:cs="Arial"/>
        </w:rPr>
        <w:t>.</w:t>
      </w:r>
      <w:r w:rsidR="00431F9E">
        <w:rPr>
          <w:rFonts w:cs="Arial"/>
        </w:rPr>
        <w:t xml:space="preserve"> </w:t>
      </w:r>
      <w:r w:rsidR="00C76264">
        <w:rPr>
          <w:rFonts w:cs="Arial"/>
        </w:rPr>
        <w:t>Liver and kidney</w:t>
      </w:r>
      <w:r w:rsidR="005B2911">
        <w:rPr>
          <w:rFonts w:cs="Arial"/>
        </w:rPr>
        <w:t xml:space="preserve"> toxicity </w:t>
      </w:r>
      <w:r w:rsidR="00C76264">
        <w:rPr>
          <w:rFonts w:cs="Arial"/>
        </w:rPr>
        <w:t>a</w:t>
      </w:r>
      <w:r w:rsidR="005B2911">
        <w:rPr>
          <w:rFonts w:cs="Arial"/>
        </w:rPr>
        <w:t>re reported in c</w:t>
      </w:r>
      <w:r w:rsidR="00870BFF">
        <w:rPr>
          <w:rFonts w:cs="Arial"/>
        </w:rPr>
        <w:t xml:space="preserve">hronic inhalation </w:t>
      </w:r>
      <w:r w:rsidR="005B2911">
        <w:rPr>
          <w:rFonts w:cs="Arial"/>
        </w:rPr>
        <w:t>studies in rats and mice</w:t>
      </w:r>
      <w:r w:rsidR="00C76264">
        <w:rPr>
          <w:rFonts w:cs="Arial"/>
        </w:rPr>
        <w:t>,</w:t>
      </w:r>
      <w:r w:rsidR="005B2911" w:rsidDel="005B2911">
        <w:rPr>
          <w:rFonts w:cs="Arial"/>
        </w:rPr>
        <w:t xml:space="preserve"> </w:t>
      </w:r>
      <w:r w:rsidR="005B2911">
        <w:rPr>
          <w:rFonts w:cs="Arial"/>
        </w:rPr>
        <w:t>with</w:t>
      </w:r>
      <w:r w:rsidR="002D6739">
        <w:rPr>
          <w:rFonts w:cs="Arial"/>
        </w:rPr>
        <w:t xml:space="preserve"> a </w:t>
      </w:r>
      <w:r w:rsidR="005B2911">
        <w:rPr>
          <w:rFonts w:cs="Arial"/>
        </w:rPr>
        <w:t xml:space="preserve">NOAEC </w:t>
      </w:r>
      <w:r w:rsidR="002D6739">
        <w:rPr>
          <w:rFonts w:cs="Arial"/>
        </w:rPr>
        <w:t>of 25 ppm</w:t>
      </w:r>
      <w:r w:rsidR="00C76264">
        <w:rPr>
          <w:rFonts w:cs="Arial"/>
        </w:rPr>
        <w:t xml:space="preserve"> reported</w:t>
      </w:r>
      <w:r w:rsidR="00743681">
        <w:rPr>
          <w:rFonts w:cs="Arial"/>
        </w:rPr>
        <w:t xml:space="preserve">. </w:t>
      </w:r>
      <w:r w:rsidR="005B2911">
        <w:rPr>
          <w:rFonts w:cs="Arial"/>
        </w:rPr>
        <w:t xml:space="preserve">A </w:t>
      </w:r>
      <w:r w:rsidR="005B2911" w:rsidRPr="00743681">
        <w:rPr>
          <w:rFonts w:cs="Arial"/>
        </w:rPr>
        <w:t>NOAE</w:t>
      </w:r>
      <w:r w:rsidR="005B2911">
        <w:rPr>
          <w:rFonts w:cs="Arial"/>
        </w:rPr>
        <w:t>C</w:t>
      </w:r>
      <w:r w:rsidR="005B2911" w:rsidRPr="00743681">
        <w:rPr>
          <w:rFonts w:cs="Arial"/>
        </w:rPr>
        <w:t xml:space="preserve"> of 57 ppm </w:t>
      </w:r>
      <w:r w:rsidR="005B2911">
        <w:rPr>
          <w:rFonts w:cs="Arial"/>
        </w:rPr>
        <w:t>for developmental effects was</w:t>
      </w:r>
      <w:r w:rsidR="00DF3A86">
        <w:rPr>
          <w:rFonts w:cs="Arial"/>
        </w:rPr>
        <w:t xml:space="preserve"> reported</w:t>
      </w:r>
      <w:r w:rsidR="005B2911">
        <w:rPr>
          <w:rFonts w:cs="Arial"/>
        </w:rPr>
        <w:t xml:space="preserve"> in an </w:t>
      </w:r>
      <w:r w:rsidR="00743681">
        <w:rPr>
          <w:rFonts w:cs="Arial"/>
        </w:rPr>
        <w:t xml:space="preserve">inhalation study in pregnant rabbits </w:t>
      </w:r>
      <w:r w:rsidR="000F6080">
        <w:rPr>
          <w:rFonts w:cs="Arial"/>
        </w:rPr>
        <w:t>(ACGIH, 2018)</w:t>
      </w:r>
      <w:r w:rsidR="002D6739">
        <w:rPr>
          <w:rFonts w:cs="Arial"/>
        </w:rPr>
        <w:t xml:space="preserve">. Carcinogenicity studies indicated increased incidence of </w:t>
      </w:r>
      <w:proofErr w:type="spellStart"/>
      <w:r w:rsidR="002D6739">
        <w:rPr>
          <w:rFonts w:cs="Arial"/>
        </w:rPr>
        <w:t>hepatocarcinomas</w:t>
      </w:r>
      <w:proofErr w:type="spellEnd"/>
      <w:r w:rsidR="002D6739">
        <w:rPr>
          <w:rFonts w:cs="Arial"/>
        </w:rPr>
        <w:t xml:space="preserve"> following lifetime inhalation exposure for rats and mice. Despite confirmed carcinogenicity in animals, human data remains </w:t>
      </w:r>
      <w:r w:rsidR="00743681">
        <w:rPr>
          <w:rFonts w:cs="Arial"/>
        </w:rPr>
        <w:t xml:space="preserve">inconclusive. </w:t>
      </w:r>
    </w:p>
    <w:p w14:paraId="1D5FC5BE" w14:textId="4EF0DFAE" w:rsidR="009B5419" w:rsidRDefault="002B2FC0" w:rsidP="00257D44">
      <w:pPr>
        <w:rPr>
          <w:rFonts w:cs="Arial"/>
        </w:rPr>
      </w:pPr>
      <w:r>
        <w:rPr>
          <w:rFonts w:cs="Arial"/>
        </w:rPr>
        <w:t>T</w:t>
      </w:r>
      <w:r w:rsidR="00D17F1F">
        <w:rPr>
          <w:rFonts w:cs="Arial"/>
        </w:rPr>
        <w:t xml:space="preserve">he current </w:t>
      </w:r>
      <w:r w:rsidR="00257D44">
        <w:rPr>
          <w:rFonts w:cs="Arial"/>
        </w:rPr>
        <w:t>TWA of 10</w:t>
      </w:r>
      <w:r w:rsidR="00257D44" w:rsidRPr="00257D44">
        <w:rPr>
          <w:rFonts w:cs="Arial"/>
        </w:rPr>
        <w:t xml:space="preserve"> ppm is recommended to be retained based on the weight of evidence presented </w:t>
      </w:r>
      <w:r w:rsidR="00CB6B46">
        <w:rPr>
          <w:rFonts w:cs="Arial"/>
        </w:rPr>
        <w:t xml:space="preserve">and </w:t>
      </w:r>
      <w:r w:rsidR="00257D44" w:rsidRPr="00257D44">
        <w:rPr>
          <w:rFonts w:cs="Arial"/>
        </w:rPr>
        <w:t xml:space="preserve">it is considered protective for </w:t>
      </w:r>
      <w:r w:rsidR="00257D44">
        <w:rPr>
          <w:rFonts w:cs="Arial"/>
        </w:rPr>
        <w:t>the critical</w:t>
      </w:r>
      <w:r w:rsidR="00257D44" w:rsidRPr="00257D44">
        <w:rPr>
          <w:rFonts w:cs="Arial"/>
        </w:rPr>
        <w:t xml:space="preserve"> effects reported in animals</w:t>
      </w:r>
      <w:r w:rsidR="009B5419">
        <w:rPr>
          <w:rFonts w:cs="Arial"/>
        </w:rPr>
        <w:t>.</w:t>
      </w:r>
      <w:r w:rsidR="00257D44" w:rsidRPr="00257D44" w:rsidDel="00257D44">
        <w:rPr>
          <w:rFonts w:cs="Arial"/>
        </w:rPr>
        <w:t xml:space="preserve"> </w:t>
      </w:r>
    </w:p>
    <w:p w14:paraId="48FE258B" w14:textId="77777777" w:rsidR="004529F0" w:rsidRPr="004C23F4" w:rsidRDefault="004529F0" w:rsidP="00F87BC6">
      <w:pPr>
        <w:pStyle w:val="Heading2"/>
        <w:spacing w:before="120"/>
      </w:pPr>
      <w:r>
        <w:t>Recommendation for notations</w:t>
      </w:r>
    </w:p>
    <w:p w14:paraId="1A16068E" w14:textId="7BABE27D" w:rsidR="008064E7" w:rsidRPr="004C23F4" w:rsidRDefault="00996A14" w:rsidP="008064E7">
      <w:pPr>
        <w:rPr>
          <w:rFonts w:cs="Arial"/>
        </w:rPr>
      </w:pPr>
      <w:r>
        <w:rPr>
          <w:rFonts w:cs="Arial"/>
        </w:rPr>
        <w:t>C</w:t>
      </w:r>
      <w:r w:rsidR="008064E7">
        <w:rPr>
          <w:rFonts w:cs="Arial"/>
        </w:rPr>
        <w:t xml:space="preserve">lassified as </w:t>
      </w:r>
      <w:r>
        <w:rPr>
          <w:rFonts w:cs="Arial"/>
        </w:rPr>
        <w:t xml:space="preserve">a </w:t>
      </w:r>
      <w:r w:rsidR="001163BF">
        <w:rPr>
          <w:rFonts w:cs="Arial"/>
        </w:rPr>
        <w:t>category 2</w:t>
      </w:r>
      <w:r w:rsidR="0092069E">
        <w:rPr>
          <w:rFonts w:cs="Arial"/>
        </w:rPr>
        <w:t xml:space="preserve"> </w:t>
      </w:r>
      <w:r>
        <w:rPr>
          <w:rFonts w:cs="Arial"/>
        </w:rPr>
        <w:t xml:space="preserve">carcinogen </w:t>
      </w:r>
      <w:r w:rsidR="008064E7">
        <w:rPr>
          <w:rFonts w:cs="Arial"/>
        </w:rPr>
        <w:t xml:space="preserve">according to the Globally </w:t>
      </w:r>
      <w:r w:rsidR="00D3167E">
        <w:rPr>
          <w:rFonts w:cs="Arial"/>
        </w:rPr>
        <w:t xml:space="preserve">Harmonized </w:t>
      </w:r>
      <w:r w:rsidR="008064E7">
        <w:rPr>
          <w:rFonts w:cs="Arial"/>
        </w:rPr>
        <w:t>System of</w:t>
      </w:r>
      <w:r w:rsidR="001163BF">
        <w:rPr>
          <w:rFonts w:cs="Arial"/>
        </w:rPr>
        <w:t xml:space="preserve"> Classification and Labelling of</w:t>
      </w:r>
      <w:r w:rsidR="008064E7">
        <w:rPr>
          <w:rFonts w:cs="Arial"/>
        </w:rPr>
        <w:t xml:space="preserve"> Chemicals (GHS). </w:t>
      </w:r>
    </w:p>
    <w:p w14:paraId="379B60A3" w14:textId="12A0A7DB" w:rsidR="0059159F" w:rsidRPr="00BA1B76" w:rsidRDefault="0059159F" w:rsidP="0059159F">
      <w:pPr>
        <w:rPr>
          <w:rFonts w:cs="Arial"/>
        </w:rPr>
      </w:pPr>
      <w:r w:rsidRPr="00BA1B76">
        <w:rPr>
          <w:rFonts w:cs="Arial"/>
        </w:rPr>
        <w:t xml:space="preserve">Not classified as a skin </w:t>
      </w:r>
      <w:r w:rsidR="001163BF">
        <w:rPr>
          <w:rFonts w:cs="Arial"/>
        </w:rPr>
        <w:t>sensitis</w:t>
      </w:r>
      <w:r w:rsidR="00996A14">
        <w:rPr>
          <w:rFonts w:cs="Arial"/>
        </w:rPr>
        <w:t xml:space="preserve">er </w:t>
      </w:r>
      <w:r w:rsidRPr="00BA1B76">
        <w:rPr>
          <w:rFonts w:cs="Arial"/>
        </w:rPr>
        <w:t>or respiratory sensitiser according to the GHS.</w:t>
      </w:r>
    </w:p>
    <w:p w14:paraId="7ACF6ECC" w14:textId="5A4BE958" w:rsidR="001163BF" w:rsidRPr="001163BF" w:rsidRDefault="001163BF" w:rsidP="001163BF">
      <w:pPr>
        <w:rPr>
          <w:rFonts w:cs="Arial"/>
        </w:rPr>
      </w:pPr>
      <w:r w:rsidRPr="001163BF">
        <w:rPr>
          <w:rFonts w:cs="Arial"/>
        </w:rPr>
        <w:lastRenderedPageBreak/>
        <w:t xml:space="preserve">A skin notation is </w:t>
      </w:r>
      <w:r w:rsidR="00C04CC8">
        <w:rPr>
          <w:rFonts w:cs="Arial"/>
        </w:rPr>
        <w:t>recommend</w:t>
      </w:r>
      <w:r w:rsidRPr="001163BF">
        <w:rPr>
          <w:rFonts w:cs="Arial"/>
        </w:rPr>
        <w:t xml:space="preserve">ed as evidence indicates </w:t>
      </w:r>
      <w:r>
        <w:rPr>
          <w:rFonts w:cs="Arial"/>
        </w:rPr>
        <w:t>significant</w:t>
      </w:r>
      <w:r w:rsidRPr="001163BF">
        <w:rPr>
          <w:rFonts w:cs="Arial"/>
        </w:rPr>
        <w:t xml:space="preserve"> absorption through the skin in the workplace.</w:t>
      </w:r>
    </w:p>
    <w:p w14:paraId="4573D29F" w14:textId="649B0E5C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t>Appendix</w:t>
      </w:r>
    </w:p>
    <w:p w14:paraId="076402B2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FB9DE9A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2C80D7B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66CCEC09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89DBF9E" w14:textId="5AFF0513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7034F3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034F3">
                  <w:t>TWA: 10 ppm (36 mg/m</w:t>
                </w:r>
                <w:r w:rsidR="007034F3" w:rsidRPr="007034F3">
                  <w:rPr>
                    <w:vertAlign w:val="superscript"/>
                  </w:rPr>
                  <w:t>3</w:t>
                </w:r>
                <w:r w:rsidR="007034F3">
                  <w:t>)</w:t>
                </w:r>
              </w:sdtContent>
            </w:sdt>
          </w:p>
        </w:tc>
      </w:tr>
      <w:tr w:rsidR="00C978F0" w:rsidRPr="00DA352E" w14:paraId="20C46D2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F6F2A79" w14:textId="0E17C8CE" w:rsidR="00C978F0" w:rsidRPr="0043771E" w:rsidRDefault="00C978F0" w:rsidP="0043771E"/>
        </w:tc>
      </w:tr>
      <w:tr w:rsidR="00C978F0" w:rsidRPr="00DA352E" w14:paraId="3D12465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A9BFBA9" w14:textId="2337727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034F3">
                  <w:t>2018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034F3">
                  <w:t>TLV-TWA: 10 ppm (36 mg/m</w:t>
                </w:r>
                <w:r w:rsidR="007034F3" w:rsidRPr="007034F3">
                  <w:rPr>
                    <w:vertAlign w:val="superscript"/>
                  </w:rPr>
                  <w:t>3</w:t>
                </w:r>
                <w:r w:rsidR="007034F3">
                  <w:t>)</w:t>
                </w:r>
              </w:sdtContent>
            </w:sdt>
          </w:p>
        </w:tc>
      </w:tr>
      <w:tr w:rsidR="00C978F0" w:rsidRPr="00DA352E" w14:paraId="0BCA7BEA" w14:textId="77777777" w:rsidTr="00F87BC6">
        <w:trPr>
          <w:gridAfter w:val="1"/>
          <w:wAfter w:w="8" w:type="pct"/>
        </w:trPr>
        <w:tc>
          <w:tcPr>
            <w:tcW w:w="4992" w:type="pct"/>
          </w:tcPr>
          <w:p w14:paraId="67C01E15" w14:textId="762E53B0" w:rsidR="00C978F0" w:rsidRDefault="00765C7F" w:rsidP="003365A5">
            <w:pPr>
              <w:pStyle w:val="Tabletextprimarysource"/>
            </w:pPr>
            <w:r>
              <w:t>Summary of data:</w:t>
            </w:r>
          </w:p>
          <w:p w14:paraId="496F8C4A" w14:textId="31DBEEAF" w:rsidR="00F82D5B" w:rsidRDefault="00AA02C6" w:rsidP="003365A5">
            <w:pPr>
              <w:pStyle w:val="Tabletextprimarysource"/>
            </w:pPr>
            <w:r>
              <w:t xml:space="preserve">TLV-TWA recommended to protect </w:t>
            </w:r>
            <w:r w:rsidR="001163BF">
              <w:t>for</w:t>
            </w:r>
            <w:r>
              <w:t xml:space="preserve"> potential hepat</w:t>
            </w:r>
            <w:r w:rsidR="00271DF3">
              <w:t>ic, renal,</w:t>
            </w:r>
            <w:r>
              <w:t xml:space="preserve"> developmental</w:t>
            </w:r>
            <w:r w:rsidR="006A6943">
              <w:t xml:space="preserve"> </w:t>
            </w:r>
            <w:r w:rsidR="00C04CC8">
              <w:t>and reproductive</w:t>
            </w:r>
            <w:r w:rsidR="006A6943">
              <w:t xml:space="preserve"> and CNS</w:t>
            </w:r>
            <w:r w:rsidR="00271DF3">
              <w:t xml:space="preserve"> </w:t>
            </w:r>
            <w:r>
              <w:t xml:space="preserve">effects </w:t>
            </w:r>
            <w:r w:rsidR="006B5872">
              <w:t>reported in</w:t>
            </w:r>
            <w:r w:rsidR="006A6943">
              <w:t xml:space="preserve"> </w:t>
            </w:r>
            <w:r w:rsidR="001163BF">
              <w:t xml:space="preserve">human </w:t>
            </w:r>
            <w:r>
              <w:t xml:space="preserve">and </w:t>
            </w:r>
            <w:r w:rsidR="001163BF">
              <w:t xml:space="preserve">animal </w:t>
            </w:r>
            <w:r>
              <w:t>studies.</w:t>
            </w:r>
            <w:r w:rsidR="0049386E">
              <w:t xml:space="preserve"> </w:t>
            </w:r>
          </w:p>
          <w:p w14:paraId="2C6DAA6C" w14:textId="4C144D4B" w:rsidR="00F82D5B" w:rsidRDefault="00271DF3" w:rsidP="003365A5">
            <w:pPr>
              <w:pStyle w:val="Tabletextprimarysource"/>
            </w:pPr>
            <w:r>
              <w:t>C</w:t>
            </w:r>
            <w:r w:rsidR="0049386E">
              <w:t xml:space="preserve">hronic inhalation </w:t>
            </w:r>
            <w:r>
              <w:t>studies in rodents</w:t>
            </w:r>
            <w:r w:rsidR="0049386E">
              <w:t xml:space="preserve"> result in</w:t>
            </w:r>
            <w:r>
              <w:t xml:space="preserve"> a NOAEL of 25 ppm for</w:t>
            </w:r>
            <w:r w:rsidR="0049386E">
              <w:t xml:space="preserve"> hepatic and renal toxicity. Strong link</w:t>
            </w:r>
            <w:r w:rsidR="001A3893">
              <w:t xml:space="preserve"> between</w:t>
            </w:r>
            <w:r w:rsidR="0049386E">
              <w:t xml:space="preserve"> chronic </w:t>
            </w:r>
            <w:r w:rsidR="00B70C35">
              <w:t xml:space="preserve">inhalation </w:t>
            </w:r>
            <w:r w:rsidR="0049386E">
              <w:t xml:space="preserve">exposure </w:t>
            </w:r>
            <w:r w:rsidR="001A3893">
              <w:t>and</w:t>
            </w:r>
            <w:r w:rsidR="0049386E">
              <w:t xml:space="preserve"> </w:t>
            </w:r>
            <w:proofErr w:type="spellStart"/>
            <w:r w:rsidR="0049386E">
              <w:t>hepato</w:t>
            </w:r>
            <w:r w:rsidR="001163BF">
              <w:t>carcinomas</w:t>
            </w:r>
            <w:proofErr w:type="spellEnd"/>
            <w:r w:rsidR="001163BF">
              <w:t xml:space="preserve"> in animals</w:t>
            </w:r>
            <w:r w:rsidR="0049386E">
              <w:t xml:space="preserve">. </w:t>
            </w:r>
            <w:r w:rsidR="001163BF">
              <w:t xml:space="preserve">Not </w:t>
            </w:r>
            <w:r w:rsidR="00B70C35">
              <w:t>a genotoxic carcinogen</w:t>
            </w:r>
            <w:r w:rsidR="001163BF">
              <w:t xml:space="preserve"> based on weight of evidence</w:t>
            </w:r>
            <w:r w:rsidR="00B70C35">
              <w:t>.</w:t>
            </w:r>
          </w:p>
          <w:p w14:paraId="52A8A5B6" w14:textId="77B5B2E3" w:rsidR="00F82D5B" w:rsidRDefault="00B70C35" w:rsidP="003365A5">
            <w:pPr>
              <w:pStyle w:val="Tabletextprimarysource"/>
            </w:pPr>
            <w:r>
              <w:t xml:space="preserve">Skin notation recommended </w:t>
            </w:r>
            <w:r w:rsidR="006B5872">
              <w:t xml:space="preserve">as </w:t>
            </w:r>
            <w:r>
              <w:t>d</w:t>
            </w:r>
            <w:r w:rsidR="0049386E">
              <w:t>ermal absorption is a significant contributor to overall toxicity.</w:t>
            </w:r>
            <w:r w:rsidR="00743681">
              <w:t xml:space="preserve"> </w:t>
            </w:r>
          </w:p>
          <w:p w14:paraId="6A4D7588" w14:textId="7F0564B6" w:rsidR="00AA02C6" w:rsidRDefault="00D17F1F" w:rsidP="003365A5">
            <w:pPr>
              <w:pStyle w:val="Tabletextprimarysource"/>
            </w:pPr>
            <w:r>
              <w:t xml:space="preserve">Information on the </w:t>
            </w:r>
            <w:r w:rsidR="00743681">
              <w:t xml:space="preserve">derivation of TLV-TWA </w:t>
            </w:r>
            <w:r>
              <w:t xml:space="preserve">not </w:t>
            </w:r>
            <w:r w:rsidR="00743681">
              <w:t>provided.</w:t>
            </w:r>
          </w:p>
          <w:p w14:paraId="2E9C54BD" w14:textId="77777777" w:rsidR="00765C7F" w:rsidRDefault="00765C7F" w:rsidP="003365A5">
            <w:pPr>
              <w:pStyle w:val="Tabletextprimarysource"/>
            </w:pPr>
            <w:r>
              <w:t xml:space="preserve">Human data: </w:t>
            </w:r>
          </w:p>
          <w:p w14:paraId="142CCCDD" w14:textId="2DB26D83" w:rsidR="00F82D5B" w:rsidRDefault="006B5872" w:rsidP="00CB6B46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>R</w:t>
            </w:r>
            <w:r w:rsidR="00077FE9">
              <w:t xml:space="preserve">epeated exposures </w:t>
            </w:r>
            <w:r>
              <w:t xml:space="preserve">at </w:t>
            </w:r>
            <w:r w:rsidR="001163BF">
              <w:t>20</w:t>
            </w:r>
            <w:r w:rsidR="00C27F82">
              <w:t>–</w:t>
            </w:r>
            <w:r w:rsidR="001163BF">
              <w:t>2</w:t>
            </w:r>
            <w:r w:rsidR="00077FE9">
              <w:t>5 ppm resulted in jaundice</w:t>
            </w:r>
            <w:r>
              <w:t xml:space="preserve"> due to dermal absorption</w:t>
            </w:r>
            <w:r w:rsidR="00C16498">
              <w:t>:</w:t>
            </w:r>
          </w:p>
          <w:p w14:paraId="402923D3" w14:textId="6DBC0C03" w:rsidR="00765C7F" w:rsidRDefault="00D17F1F" w:rsidP="00F82D5B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14/41 w</w:t>
            </w:r>
            <w:r w:rsidR="00077FE9">
              <w:t xml:space="preserve">orkers </w:t>
            </w:r>
            <w:r>
              <w:t xml:space="preserve">exposed </w:t>
            </w:r>
            <w:r w:rsidR="00077FE9">
              <w:t>for 2</w:t>
            </w:r>
            <w:r w:rsidR="00C27F82">
              <w:t>–</w:t>
            </w:r>
            <w:r w:rsidR="00077FE9">
              <w:t xml:space="preserve">10 </w:t>
            </w:r>
            <w:proofErr w:type="spellStart"/>
            <w:r w:rsidR="00077FE9">
              <w:t>y</w:t>
            </w:r>
            <w:r w:rsidR="00D3167E">
              <w:t>r</w:t>
            </w:r>
            <w:proofErr w:type="spellEnd"/>
            <w:r>
              <w:t>)</w:t>
            </w:r>
            <w:r w:rsidR="00077FE9">
              <w:t xml:space="preserve"> </w:t>
            </w:r>
            <w:r>
              <w:t xml:space="preserve">were found to have </w:t>
            </w:r>
            <w:r w:rsidR="00077FE9">
              <w:t>hepatomegaly</w:t>
            </w:r>
            <w:r w:rsidR="001A3893">
              <w:t xml:space="preserve"> and abnormal liver function</w:t>
            </w:r>
            <w:r w:rsidR="00077FE9">
              <w:t xml:space="preserve"> (exposure concentrations unknown)</w:t>
            </w:r>
          </w:p>
          <w:p w14:paraId="36DE74B7" w14:textId="3FC873C7" w:rsidR="00077FE9" w:rsidRDefault="001A3893" w:rsidP="00CB6B46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>W</w:t>
            </w:r>
            <w:r w:rsidR="002E5006">
              <w:t xml:space="preserve">orkers </w:t>
            </w:r>
            <w:r w:rsidR="00077FE9">
              <w:t>expos</w:t>
            </w:r>
            <w:r w:rsidR="002E5006">
              <w:t>ed</w:t>
            </w:r>
            <w:r w:rsidR="00077FE9">
              <w:t xml:space="preserve"> to concentrations </w:t>
            </w:r>
            <w:r w:rsidR="001163BF">
              <w:t>0</w:t>
            </w:r>
            <w:r w:rsidR="00C27F82">
              <w:t>–</w:t>
            </w:r>
            <w:r w:rsidR="00077FE9">
              <w:t xml:space="preserve">2 ppm </w:t>
            </w:r>
            <w:r w:rsidR="002E5006">
              <w:t xml:space="preserve">(with sporadic </w:t>
            </w:r>
            <w:r w:rsidR="000A5230">
              <w:t>increases between 11</w:t>
            </w:r>
            <w:r w:rsidR="00D17F1F">
              <w:noBreakHyphen/>
            </w:r>
            <w:r w:rsidR="000A5230">
              <w:t>34</w:t>
            </w:r>
            <w:r w:rsidR="00C27F82">
              <w:t> </w:t>
            </w:r>
            <w:r w:rsidR="000A5230">
              <w:t xml:space="preserve">ppm) </w:t>
            </w:r>
            <w:r>
              <w:t xml:space="preserve">experienced </w:t>
            </w:r>
            <w:r w:rsidR="000A5230">
              <w:t>dizziness, lethargy and weakness</w:t>
            </w:r>
          </w:p>
          <w:p w14:paraId="2D20D82E" w14:textId="58D857F5" w:rsidR="000A5230" w:rsidRDefault="00F632F3" w:rsidP="00D309B9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a</w:t>
            </w:r>
            <w:r w:rsidR="00D309B9">
              <w:t xml:space="preserve"> concentration-dependent correlation between </w:t>
            </w:r>
            <w:r w:rsidR="00D309B9" w:rsidRPr="00D309B9">
              <w:rPr>
                <w:rFonts w:cs="Arial"/>
              </w:rPr>
              <w:t>DMAC</w:t>
            </w:r>
            <w:r w:rsidR="00D309B9">
              <w:rPr>
                <w:rFonts w:cs="Arial"/>
              </w:rPr>
              <w:t xml:space="preserve"> and its </w:t>
            </w:r>
            <w:r w:rsidR="00D309B9">
              <w:t xml:space="preserve"> primary urinary metabolite </w:t>
            </w:r>
            <w:proofErr w:type="spellStart"/>
            <w:r w:rsidR="00D309B9">
              <w:t>monomethylacetamide</w:t>
            </w:r>
            <w:proofErr w:type="spellEnd"/>
            <w:r w:rsidR="00D309B9">
              <w:t xml:space="preserve"> (MMAC) was reported in </w:t>
            </w:r>
            <w:r w:rsidR="00A977A0">
              <w:t xml:space="preserve">1 study </w:t>
            </w:r>
            <w:r w:rsidR="001163BF">
              <w:t>on</w:t>
            </w:r>
            <w:r w:rsidR="000A5230">
              <w:t xml:space="preserve"> airborne </w:t>
            </w:r>
            <w:r w:rsidR="005757A9">
              <w:t xml:space="preserve">concentrations </w:t>
            </w:r>
            <w:r>
              <w:t>(</w:t>
            </w:r>
            <w:r w:rsidR="005757A9">
              <w:t xml:space="preserve">10 ppm of </w:t>
            </w:r>
            <w:r>
              <w:t xml:space="preserve">urinary </w:t>
            </w:r>
            <w:r w:rsidR="005757A9">
              <w:t>MMAC for 1 ppm of DMAC inhaled</w:t>
            </w:r>
            <w:r>
              <w:t xml:space="preserve">) indicating airborne DMAC accounted for the greatest amount of urinary MMAC </w:t>
            </w:r>
          </w:p>
          <w:p w14:paraId="671678E7" w14:textId="729DDE8A" w:rsidR="005757A9" w:rsidRDefault="00A977A0" w:rsidP="00CB6B46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 xml:space="preserve">Limiting </w:t>
            </w:r>
            <w:r w:rsidR="007D695E">
              <w:t>skin exposure by showering or changing clothes significantly reduced MMAC urinary level</w:t>
            </w:r>
            <w:r w:rsidR="0064418B">
              <w:t>s</w:t>
            </w:r>
            <w:r>
              <w:t xml:space="preserve"> in another study</w:t>
            </w:r>
            <w:r w:rsidR="0064418B">
              <w:t>,</w:t>
            </w:r>
            <w:r w:rsidR="007D695E">
              <w:t xml:space="preserve"> confirming the</w:t>
            </w:r>
            <w:r w:rsidR="0064418B">
              <w:t xml:space="preserve"> </w:t>
            </w:r>
            <w:r>
              <w:t xml:space="preserve">importance </w:t>
            </w:r>
            <w:r w:rsidR="007D695E">
              <w:t>of</w:t>
            </w:r>
            <w:r w:rsidR="0064418B">
              <w:t xml:space="preserve"> a</w:t>
            </w:r>
            <w:r w:rsidR="007D695E">
              <w:t xml:space="preserve"> skin notation</w:t>
            </w:r>
          </w:p>
          <w:p w14:paraId="72CEAAFD" w14:textId="7F4554B3" w:rsidR="00F82D5B" w:rsidRDefault="00A977A0" w:rsidP="00CB6B46">
            <w:pPr>
              <w:pStyle w:val="Tabletextprimarysource"/>
              <w:numPr>
                <w:ilvl w:val="0"/>
                <w:numId w:val="2"/>
              </w:numPr>
              <w:ind w:left="714" w:hanging="357"/>
            </w:pPr>
            <w:r>
              <w:t xml:space="preserve">Exposure </w:t>
            </w:r>
            <w:r w:rsidR="007D695E">
              <w:t>resulted in a higher incidence of hepatic injury</w:t>
            </w:r>
            <w:r w:rsidR="0064418B">
              <w:t xml:space="preserve"> (observed 2</w:t>
            </w:r>
            <w:r w:rsidR="00D3167E">
              <w:t>–</w:t>
            </w:r>
            <w:r w:rsidR="0064418B">
              <w:t xml:space="preserve">6 </w:t>
            </w:r>
            <w:proofErr w:type="spellStart"/>
            <w:r w:rsidR="0064418B">
              <w:t>mo</w:t>
            </w:r>
            <w:proofErr w:type="spellEnd"/>
            <w:r w:rsidR="0064418B">
              <w:t xml:space="preserve"> following exposure)</w:t>
            </w:r>
            <w:r>
              <w:t xml:space="preserve"> in two studies involving workers in a manufacturing setting</w:t>
            </w:r>
          </w:p>
          <w:p w14:paraId="34C45F2F" w14:textId="506EB4AE" w:rsidR="00C27F82" w:rsidRDefault="00F632F3" w:rsidP="00F82D5B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proofErr w:type="gramStart"/>
            <w:r>
              <w:t>t</w:t>
            </w:r>
            <w:r w:rsidR="00DF3A86">
              <w:t>he</w:t>
            </w:r>
            <w:proofErr w:type="gramEnd"/>
            <w:r w:rsidR="00DF3A86">
              <w:t xml:space="preserve"> </w:t>
            </w:r>
            <w:r w:rsidR="0064418B">
              <w:t xml:space="preserve">incidence rate </w:t>
            </w:r>
            <w:r w:rsidR="00DF3A86">
              <w:t xml:space="preserve">of hepatic injury </w:t>
            </w:r>
            <w:r w:rsidR="0064418B">
              <w:t>was 7</w:t>
            </w:r>
            <w:r w:rsidR="00C27F82">
              <w:t>–</w:t>
            </w:r>
            <w:r w:rsidR="0064418B">
              <w:t>10 times higher for workers exposed to higher concentrations (&gt;20 mg MMAC/g creatinine)</w:t>
            </w:r>
            <w:r w:rsidR="00DF3A86">
              <w:t xml:space="preserve"> in one of the studies</w:t>
            </w:r>
            <w:r w:rsidR="00C27F82">
              <w:t>.</w:t>
            </w:r>
          </w:p>
          <w:p w14:paraId="6DAF2D84" w14:textId="11E17677" w:rsidR="0064418B" w:rsidRDefault="0064418B" w:rsidP="0064418B">
            <w:pPr>
              <w:pStyle w:val="Tabletextprimarysource"/>
            </w:pPr>
            <w:r>
              <w:t xml:space="preserve">Animal data: </w:t>
            </w:r>
          </w:p>
          <w:p w14:paraId="0AE0FD35" w14:textId="350DC357" w:rsidR="0064418B" w:rsidRDefault="00480339" w:rsidP="0064418B">
            <w:pPr>
              <w:pStyle w:val="Tabletextprimarysource"/>
              <w:numPr>
                <w:ilvl w:val="0"/>
                <w:numId w:val="2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 w:rsidR="00230E14">
              <w:t xml:space="preserve">: </w:t>
            </w:r>
            <w:r>
              <w:t>5</w:t>
            </w:r>
            <w:r w:rsidR="00D3167E">
              <w:t>,</w:t>
            </w:r>
            <w:r>
              <w:t xml:space="preserve">809 mg/kg </w:t>
            </w:r>
            <w:r w:rsidR="00230E14">
              <w:t xml:space="preserve">(rats, male), </w:t>
            </w:r>
            <w:r>
              <w:t>4</w:t>
            </w:r>
            <w:r w:rsidR="00D3167E">
              <w:t>,</w:t>
            </w:r>
            <w:r>
              <w:t>93</w:t>
            </w:r>
            <w:r w:rsidR="00FA7FBA">
              <w:t>0 mg/kg</w:t>
            </w:r>
            <w:r w:rsidR="00230E14">
              <w:t xml:space="preserve"> (rats, </w:t>
            </w:r>
            <w:r w:rsidR="00FA7FBA">
              <w:t>female</w:t>
            </w:r>
            <w:r w:rsidR="00230E14">
              <w:t>)</w:t>
            </w:r>
          </w:p>
          <w:p w14:paraId="3A0E027A" w14:textId="347A323F" w:rsidR="00480339" w:rsidRDefault="00230E14" w:rsidP="0064418B">
            <w:pPr>
              <w:pStyle w:val="Tabletextprimarysource"/>
              <w:numPr>
                <w:ilvl w:val="0"/>
                <w:numId w:val="2"/>
              </w:numPr>
            </w:pPr>
            <w:r>
              <w:t>D</w:t>
            </w:r>
            <w:r w:rsidR="00D947CA">
              <w:t>ermal exposure</w:t>
            </w:r>
            <w:r>
              <w:t>s caused</w:t>
            </w:r>
            <w:r w:rsidR="00D947CA">
              <w:t xml:space="preserve"> severe skin irritation, discomfort and weight loss, followed</w:t>
            </w:r>
            <w:r w:rsidR="00584CCC">
              <w:t xml:space="preserve"> by death under increased concentrations</w:t>
            </w:r>
            <w:r w:rsidR="00D947CA">
              <w:t xml:space="preserve"> (2</w:t>
            </w:r>
            <w:r w:rsidR="00D3167E">
              <w:t>,</w:t>
            </w:r>
            <w:r w:rsidR="00D947CA">
              <w:t>000 mg/kg in rabbits)</w:t>
            </w:r>
          </w:p>
          <w:p w14:paraId="4496088F" w14:textId="4043DF43" w:rsidR="00D947CA" w:rsidRDefault="00D947CA" w:rsidP="0064418B">
            <w:pPr>
              <w:pStyle w:val="Tabletextprimarysource"/>
              <w:numPr>
                <w:ilvl w:val="0"/>
                <w:numId w:val="2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 w:rsidR="00203413">
              <w:t>:</w:t>
            </w:r>
            <w:r>
              <w:t xml:space="preserve"> </w:t>
            </w:r>
            <w:r>
              <w:rPr>
                <w:rFonts w:cs="Arial"/>
              </w:rPr>
              <w:t>≥</w:t>
            </w:r>
            <w:r>
              <w:t>2</w:t>
            </w:r>
            <w:r w:rsidR="00D3167E">
              <w:t>,</w:t>
            </w:r>
            <w:r>
              <w:t>475 ppm</w:t>
            </w:r>
            <w:r w:rsidR="00203413">
              <w:t xml:space="preserve"> (rats, 1 h inhalation)</w:t>
            </w:r>
          </w:p>
          <w:p w14:paraId="31782E22" w14:textId="77777777" w:rsidR="00204BE4" w:rsidRDefault="00FA7FBA" w:rsidP="004F34E1">
            <w:pPr>
              <w:pStyle w:val="Tabletextprimarysource"/>
              <w:numPr>
                <w:ilvl w:val="0"/>
                <w:numId w:val="2"/>
              </w:numPr>
            </w:pPr>
            <w:r>
              <w:t>S</w:t>
            </w:r>
            <w:r w:rsidR="00FB14F4">
              <w:t>tudies investigating chronic exposures and carcinogenicity reported rats and mice exposed to 100 and 350 ppm (6 h/d, 5 d/</w:t>
            </w:r>
            <w:proofErr w:type="spellStart"/>
            <w:r w:rsidR="00FB14F4">
              <w:t>wk</w:t>
            </w:r>
            <w:proofErr w:type="spellEnd"/>
            <w:r w:rsidR="00FB14F4">
              <w:t xml:space="preserve">, for 18 or 24 </w:t>
            </w:r>
            <w:proofErr w:type="spellStart"/>
            <w:r w:rsidR="00FB14F4">
              <w:t>mo</w:t>
            </w:r>
            <w:proofErr w:type="spellEnd"/>
            <w:r w:rsidR="00FB14F4">
              <w:t>)</w:t>
            </w:r>
            <w:r w:rsidR="00204BE4">
              <w:t>:</w:t>
            </w:r>
          </w:p>
          <w:p w14:paraId="6FB3FE9F" w14:textId="1E2DF351" w:rsidR="00204BE4" w:rsidRDefault="00FB14F4" w:rsidP="00CB6B46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 xml:space="preserve">increased liver weight, hepatic focal cystic degeneration (rats) and </w:t>
            </w:r>
            <w:r w:rsidR="00D17F1F">
              <w:t>lipofuscin</w:t>
            </w:r>
            <w:r>
              <w:t>/</w:t>
            </w:r>
            <w:proofErr w:type="spellStart"/>
            <w:r>
              <w:t>h</w:t>
            </w:r>
            <w:r w:rsidR="0092069E">
              <w:t>a</w:t>
            </w:r>
            <w:r>
              <w:t>emosiderin</w:t>
            </w:r>
            <w:proofErr w:type="spellEnd"/>
            <w:r>
              <w:t xml:space="preserve"> accumulation in </w:t>
            </w:r>
            <w:proofErr w:type="spellStart"/>
            <w:r>
              <w:t>Kupffer</w:t>
            </w:r>
            <w:proofErr w:type="spellEnd"/>
            <w:r>
              <w:t xml:space="preserve"> cells (m</w:t>
            </w:r>
            <w:r w:rsidR="00204BE4">
              <w:t>ice), among other complications</w:t>
            </w:r>
          </w:p>
          <w:p w14:paraId="5076E2B8" w14:textId="77777777" w:rsidR="00DE624C" w:rsidRDefault="00FB14F4" w:rsidP="00CB6B46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increased incidence of hepatocellular adenomas (300</w:t>
            </w:r>
            <w:r w:rsidR="00204BE4">
              <w:t xml:space="preserve"> ppm, 6 h/d, 5 d/</w:t>
            </w:r>
            <w:proofErr w:type="spellStart"/>
            <w:r w:rsidR="00204BE4">
              <w:t>wk</w:t>
            </w:r>
            <w:proofErr w:type="spellEnd"/>
            <w:r w:rsidR="00204BE4">
              <w:t xml:space="preserve"> for 104 </w:t>
            </w:r>
            <w:proofErr w:type="spellStart"/>
            <w:r w:rsidR="00204BE4">
              <w:t>wk</w:t>
            </w:r>
            <w:proofErr w:type="spellEnd"/>
            <w:r w:rsidR="00204BE4">
              <w:t>) in</w:t>
            </w:r>
            <w:r>
              <w:t xml:space="preserve"> </w:t>
            </w:r>
            <w:r w:rsidR="00204BE4">
              <w:t>mice</w:t>
            </w:r>
          </w:p>
          <w:p w14:paraId="53E80390" w14:textId="3DD62A6A" w:rsidR="00DE624C" w:rsidRDefault="00FB14F4" w:rsidP="00CB6B46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male rats had an increased incidence of liver tumours at 450 ppm</w:t>
            </w:r>
            <w:r w:rsidR="00D90AAD">
              <w:t xml:space="preserve"> </w:t>
            </w:r>
          </w:p>
          <w:p w14:paraId="2A9B4DC5" w14:textId="48DFFC8A" w:rsidR="00522899" w:rsidRDefault="00FB14F4" w:rsidP="00CB6B46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lastRenderedPageBreak/>
              <w:t>NOAEL</w:t>
            </w:r>
            <w:r w:rsidR="00FA7FBA">
              <w:t xml:space="preserve"> reported at 25 ppm</w:t>
            </w:r>
            <w:r w:rsidR="00D90AAD">
              <w:t xml:space="preserve"> (rats, mice)</w:t>
            </w:r>
            <w:r w:rsidR="00F1214E">
              <w:t>.</w:t>
            </w:r>
          </w:p>
          <w:p w14:paraId="5C624B03" w14:textId="77777777" w:rsidR="00743681" w:rsidRDefault="006D0D99" w:rsidP="0064418B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Developmental studies determined </w:t>
            </w:r>
            <w:proofErr w:type="spellStart"/>
            <w:r w:rsidR="00AA02C6">
              <w:t>fetotoxic</w:t>
            </w:r>
            <w:proofErr w:type="spellEnd"/>
            <w:r w:rsidR="00AA02C6">
              <w:t xml:space="preserve"> and teratogenic in se</w:t>
            </w:r>
            <w:r w:rsidR="00D90AAD">
              <w:t>v</w:t>
            </w:r>
            <w:r w:rsidR="00AA02C6">
              <w:t>eral animal species</w:t>
            </w:r>
            <w:r w:rsidR="00743681">
              <w:t xml:space="preserve">; </w:t>
            </w:r>
          </w:p>
          <w:p w14:paraId="6AA4F42B" w14:textId="288CB762" w:rsidR="00D00EBF" w:rsidRDefault="00743681" w:rsidP="0064418B">
            <w:pPr>
              <w:pStyle w:val="Tabletextprimarysource"/>
              <w:numPr>
                <w:ilvl w:val="0"/>
                <w:numId w:val="2"/>
              </w:numPr>
            </w:pPr>
            <w:r>
              <w:t>NOAEL of 57 ppm in rabbits for developmental effects (increased skeletal variations); inhalation study 6 h/d from days 7</w:t>
            </w:r>
            <w:r w:rsidR="009B5419">
              <w:t>–</w:t>
            </w:r>
            <w:r>
              <w:t xml:space="preserve">19 </w:t>
            </w:r>
            <w:r w:rsidR="00DF3A86">
              <w:t>of gestation</w:t>
            </w:r>
          </w:p>
          <w:p w14:paraId="1999F09A" w14:textId="77777777" w:rsidR="0064418B" w:rsidRDefault="00AA02C6" w:rsidP="0043771E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Multiple </w:t>
            </w:r>
            <w:proofErr w:type="spellStart"/>
            <w:r>
              <w:t>genotoxicity</w:t>
            </w:r>
            <w:proofErr w:type="spellEnd"/>
            <w:r>
              <w:t xml:space="preserve"> studies demonstrated not a genotoxic carcinogen. </w:t>
            </w:r>
          </w:p>
          <w:p w14:paraId="04EB0AC8" w14:textId="3C6213AF" w:rsidR="00F1214E" w:rsidRPr="0043771E" w:rsidRDefault="00F1214E" w:rsidP="00EE7439">
            <w:pPr>
              <w:pStyle w:val="Tabletextprimarysource"/>
              <w:ind w:left="720"/>
            </w:pPr>
          </w:p>
        </w:tc>
      </w:tr>
      <w:tr w:rsidR="00C978F0" w:rsidRPr="00DA352E" w14:paraId="1578237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2006D90" w14:textId="54A7F5F9" w:rsidR="00C978F0" w:rsidRPr="00506639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rPr>
                <w:vertAlign w:val="superscript"/>
              </w:rPr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506639">
                  <w:t>2009</w:t>
                </w:r>
              </w:sdtContent>
            </w:sdt>
            <w:r w:rsidR="00916EC0" w:rsidRPr="003365A5">
              <w:tab/>
            </w:r>
            <w:r w:rsidR="00506639">
              <w:t>MAK</w:t>
            </w:r>
            <w:r w:rsidR="00203413">
              <w:t>: 10 mL</w:t>
            </w:r>
            <w:r w:rsidR="00506639">
              <w:t>/m</w:t>
            </w:r>
            <w:r w:rsidR="00506639">
              <w:rPr>
                <w:vertAlign w:val="superscript"/>
              </w:rPr>
              <w:t>3</w:t>
            </w:r>
            <w:r w:rsidR="00506639">
              <w:t>; 36 mg/m</w:t>
            </w:r>
            <w:r w:rsidR="00506639">
              <w:rPr>
                <w:vertAlign w:val="superscript"/>
              </w:rPr>
              <w:t>3</w:t>
            </w:r>
          </w:p>
        </w:tc>
      </w:tr>
      <w:tr w:rsidR="00C978F0" w:rsidRPr="00DA352E" w14:paraId="044C6B0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AC78F39" w14:textId="503038DF" w:rsidR="00C978F0" w:rsidRDefault="00DD16D6" w:rsidP="003365A5">
            <w:pPr>
              <w:pStyle w:val="Tabletextprimarysource"/>
            </w:pPr>
            <w:r>
              <w:t>Summary of additional</w:t>
            </w:r>
            <w:r w:rsidR="003D06B0">
              <w:t xml:space="preserve"> data</w:t>
            </w:r>
            <w:r>
              <w:t>:</w:t>
            </w:r>
          </w:p>
          <w:p w14:paraId="23161860" w14:textId="77777777" w:rsidR="00DD16D6" w:rsidRDefault="00DD16D6" w:rsidP="003365A5">
            <w:pPr>
              <w:pStyle w:val="Tabletextprimarysource"/>
            </w:pPr>
            <w:r>
              <w:t>Additional human data:</w:t>
            </w:r>
          </w:p>
          <w:p w14:paraId="68E7F2DE" w14:textId="306CD3F6" w:rsidR="003D06B0" w:rsidRDefault="00D90AAD" w:rsidP="003D06B0">
            <w:pPr>
              <w:pStyle w:val="Tabletextprimarysource"/>
              <w:numPr>
                <w:ilvl w:val="0"/>
                <w:numId w:val="3"/>
              </w:numPr>
            </w:pPr>
            <w:r>
              <w:t>E</w:t>
            </w:r>
            <w:r w:rsidR="003D06B0">
              <w:t>xpos</w:t>
            </w:r>
            <w:r>
              <w:t>ure</w:t>
            </w:r>
            <w:r w:rsidR="003D06B0">
              <w:t xml:space="preserve"> at 2 ppm (12 h mean value) or short-term exposure at 6.7 ppm </w:t>
            </w:r>
            <w:r w:rsidR="00F1214E">
              <w:t xml:space="preserve">resulted in </w:t>
            </w:r>
            <w:r w:rsidR="003D06B0">
              <w:t>no hepatotoxicity</w:t>
            </w:r>
          </w:p>
          <w:p w14:paraId="0BC5BF6A" w14:textId="5A0C4388" w:rsidR="00B300EB" w:rsidRDefault="00B300EB" w:rsidP="0043771E">
            <w:pPr>
              <w:pStyle w:val="Tabletextprimarysource"/>
              <w:numPr>
                <w:ilvl w:val="0"/>
                <w:numId w:val="3"/>
              </w:numPr>
            </w:pPr>
            <w:r>
              <w:t xml:space="preserve">12 volunteers exposed to 6.1 ppm for 4 h determined </w:t>
            </w:r>
            <w:r w:rsidR="00F1214E">
              <w:rPr>
                <w:rFonts w:cs="Arial"/>
              </w:rPr>
              <w:t>≈</w:t>
            </w:r>
            <w:r w:rsidR="00D90AAD">
              <w:t>40% skin absorption</w:t>
            </w:r>
            <w:r w:rsidR="0092069E">
              <w:t>.</w:t>
            </w:r>
          </w:p>
          <w:p w14:paraId="01B975D1" w14:textId="4180F863" w:rsidR="00F1214E" w:rsidRPr="0043771E" w:rsidRDefault="00F1214E" w:rsidP="00EE7439">
            <w:pPr>
              <w:pStyle w:val="Tabletextprimarysource"/>
              <w:ind w:left="720"/>
            </w:pPr>
          </w:p>
        </w:tc>
      </w:tr>
      <w:tr w:rsidR="00C978F0" w:rsidRPr="00DA352E" w14:paraId="1DB2E4A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2B2BABF" w14:textId="35CDFDF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81C1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A81C19">
                  <w:t>NA</w:t>
                </w:r>
                <w:proofErr w:type="spellEnd"/>
              </w:sdtContent>
            </w:sdt>
          </w:p>
        </w:tc>
      </w:tr>
      <w:tr w:rsidR="00C978F0" w:rsidRPr="00DA352E" w14:paraId="015140B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2FA2458" w14:textId="7AA713B7" w:rsidR="00C978F0" w:rsidRPr="00DA352E" w:rsidRDefault="00A81C19" w:rsidP="003365A5">
            <w:pPr>
              <w:pStyle w:val="Tabletextprimarysource"/>
            </w:pPr>
            <w:r>
              <w:t>No report</w:t>
            </w:r>
            <w:r w:rsidR="00203413">
              <w:t>.</w:t>
            </w:r>
          </w:p>
        </w:tc>
      </w:tr>
      <w:tr w:rsidR="00DA352E" w:rsidRPr="00DA352E" w14:paraId="4627685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52CE3AF" w14:textId="25F6AAAA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81C1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81C19">
                  <w:t>NA</w:t>
                </w:r>
                <w:proofErr w:type="spellEnd"/>
              </w:sdtContent>
            </w:sdt>
          </w:p>
        </w:tc>
      </w:tr>
      <w:tr w:rsidR="00DA352E" w:rsidRPr="00DA352E" w14:paraId="75B9840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0D9FC86" w14:textId="2CF99346" w:rsidR="00DA352E" w:rsidRPr="00DA352E" w:rsidRDefault="00A81C19" w:rsidP="003365A5">
            <w:pPr>
              <w:pStyle w:val="Tabletextprimarysource"/>
            </w:pPr>
            <w:r>
              <w:t>No report</w:t>
            </w:r>
            <w:r w:rsidR="00203413">
              <w:t>.</w:t>
            </w:r>
          </w:p>
        </w:tc>
      </w:tr>
      <w:tr w:rsidR="00DA352E" w:rsidRPr="00DA352E" w14:paraId="6B19383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90B21B6" w14:textId="487584E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81C1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A81C19">
                  <w:t>NA</w:t>
                </w:r>
                <w:proofErr w:type="spellEnd"/>
              </w:sdtContent>
            </w:sdt>
          </w:p>
        </w:tc>
      </w:tr>
      <w:tr w:rsidR="00DA352E" w:rsidRPr="00DA352E" w14:paraId="26D6BA9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18F059A" w14:textId="606D4AB2" w:rsidR="00DA352E" w:rsidRPr="00DA352E" w:rsidRDefault="00A81C19" w:rsidP="003365A5">
            <w:pPr>
              <w:pStyle w:val="Tabletextprimarysource"/>
            </w:pPr>
            <w:r>
              <w:t>No report</w:t>
            </w:r>
            <w:r w:rsidR="00203413">
              <w:t>.</w:t>
            </w:r>
          </w:p>
        </w:tc>
      </w:tr>
    </w:tbl>
    <w:p w14:paraId="16C0FDF0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5"/>
        <w:gridCol w:w="423"/>
        <w:gridCol w:w="661"/>
        <w:gridCol w:w="6447"/>
      </w:tblGrid>
      <w:tr w:rsidR="004966BF" w:rsidRPr="00263255" w14:paraId="4FB1F139" w14:textId="77777777" w:rsidTr="008B5BF9">
        <w:trPr>
          <w:cantSplit/>
          <w:trHeight w:val="393"/>
          <w:tblHeader/>
        </w:trPr>
        <w:tc>
          <w:tcPr>
            <w:tcW w:w="1495" w:type="dxa"/>
            <w:shd w:val="clear" w:color="auto" w:fill="BFBFBF" w:themeFill="background1" w:themeFillShade="BF"/>
            <w:vAlign w:val="center"/>
          </w:tcPr>
          <w:p w14:paraId="04DA93D1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5065722C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ED9D321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7" w:type="dxa"/>
            <w:shd w:val="clear" w:color="auto" w:fill="BFBFBF" w:themeFill="background1" w:themeFillShade="BF"/>
            <w:vAlign w:val="center"/>
          </w:tcPr>
          <w:p w14:paraId="65858E53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287BAD4B" w14:textId="77777777" w:rsidTr="008B5BF9">
        <w:trPr>
          <w:cantSplit/>
        </w:trPr>
        <w:tc>
          <w:tcPr>
            <w:tcW w:w="1495" w:type="dxa"/>
          </w:tcPr>
          <w:p w14:paraId="7069557B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14014433" w14:textId="485460A4" w:rsidR="004966BF" w:rsidRPr="00CE617F" w:rsidRDefault="00363CE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45E8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FA21D64" w14:textId="28706B96" w:rsidR="004966BF" w:rsidRPr="004C23F4" w:rsidRDefault="0025369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47" w:type="dxa"/>
          </w:tcPr>
          <w:p w14:paraId="7FB4201D" w14:textId="69877144" w:rsidR="007F4693" w:rsidRPr="007F4693" w:rsidRDefault="007F4693" w:rsidP="001163BF">
            <w:pPr>
              <w:pStyle w:val="Tabletextprimarysource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Repeated exposure can cause hepatitis in humans </w:t>
            </w:r>
          </w:p>
          <w:p w14:paraId="17C6AA0E" w14:textId="6D23F86A" w:rsidR="005814D5" w:rsidRPr="003E14E3" w:rsidRDefault="003E14E3" w:rsidP="001163BF">
            <w:pPr>
              <w:pStyle w:val="Tabletextprimarysource"/>
              <w:numPr>
                <w:ilvl w:val="0"/>
                <w:numId w:val="3"/>
              </w:numPr>
              <w:rPr>
                <w:rFonts w:cs="Arial"/>
              </w:rPr>
            </w:pPr>
            <w:r>
              <w:t xml:space="preserve">Dermal </w:t>
            </w:r>
            <w:r w:rsidR="005814D5">
              <w:t>LD</w:t>
            </w:r>
            <w:r w:rsidR="005814D5">
              <w:rPr>
                <w:vertAlign w:val="subscript"/>
              </w:rPr>
              <w:t>50</w:t>
            </w:r>
            <w:r w:rsidR="0093085A">
              <w:t>:</w:t>
            </w:r>
            <w:r w:rsidR="005814D5">
              <w:t xml:space="preserve"> </w:t>
            </w:r>
            <w:r w:rsidR="007F4693">
              <w:t>&gt;2</w:t>
            </w:r>
            <w:r w:rsidR="00D3167E">
              <w:t>,</w:t>
            </w:r>
            <w:r w:rsidR="007F4693">
              <w:t xml:space="preserve">000 mg/kg </w:t>
            </w:r>
            <w:r w:rsidR="008408A5">
              <w:t>(</w:t>
            </w:r>
            <w:r w:rsidR="007F4693">
              <w:t>mice, rats and rabbits</w:t>
            </w:r>
            <w:r w:rsidR="008408A5">
              <w:t>)</w:t>
            </w:r>
            <w:r w:rsidR="00253691">
              <w:t>; dermal repeat NOAELs of 500 and 1</w:t>
            </w:r>
            <w:r w:rsidR="00D3167E">
              <w:t>,</w:t>
            </w:r>
            <w:r w:rsidR="00253691">
              <w:t>000 mg/kg for male and female rats respectively</w:t>
            </w:r>
          </w:p>
          <w:p w14:paraId="594E3608" w14:textId="70E400F7" w:rsidR="004966BF" w:rsidRPr="00253691" w:rsidRDefault="007F4693" w:rsidP="001163BF">
            <w:pPr>
              <w:pStyle w:val="Tabletextprimarysource"/>
              <w:numPr>
                <w:ilvl w:val="0"/>
                <w:numId w:val="3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Dermal </w:t>
            </w:r>
            <w:r w:rsidRPr="001163BF">
              <w:t>application</w:t>
            </w:r>
            <w:r>
              <w:rPr>
                <w:rStyle w:val="checkbox"/>
                <w:rFonts w:ascii="Arial" w:hAnsi="Arial" w:cs="Arial"/>
              </w:rPr>
              <w:t xml:space="preserve"> on hamsters did not result in carcinogenicity, on the contrary, DCAM showed </w:t>
            </w:r>
            <w:r w:rsidR="00253691">
              <w:rPr>
                <w:rStyle w:val="checkbox"/>
                <w:rFonts w:ascii="Arial" w:hAnsi="Arial" w:cs="Arial"/>
              </w:rPr>
              <w:t>antitumor properties (lowered incidence of tumo</w:t>
            </w:r>
            <w:r w:rsidR="005543AA">
              <w:rPr>
                <w:rStyle w:val="checkbox"/>
                <w:rFonts w:ascii="Arial" w:hAnsi="Arial" w:cs="Arial"/>
              </w:rPr>
              <w:t>u</w:t>
            </w:r>
            <w:r w:rsidR="00253691">
              <w:rPr>
                <w:rStyle w:val="checkbox"/>
                <w:rFonts w:ascii="Arial" w:hAnsi="Arial" w:cs="Arial"/>
              </w:rPr>
              <w:t>rs)</w:t>
            </w:r>
            <w:r w:rsidR="00D3167E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64973301" w14:textId="77777777" w:rsidTr="008B5BF9">
        <w:trPr>
          <w:cantSplit/>
        </w:trPr>
        <w:tc>
          <w:tcPr>
            <w:tcW w:w="1495" w:type="dxa"/>
          </w:tcPr>
          <w:p w14:paraId="74960ABE" w14:textId="77777777" w:rsidR="004966BF" w:rsidRPr="004C23F4" w:rsidRDefault="004966BF" w:rsidP="00224EE2">
            <w:pPr>
              <w:pStyle w:val="Tablefont"/>
            </w:pPr>
            <w:r>
              <w:t>NTP</w:t>
            </w:r>
          </w:p>
        </w:tc>
        <w:tc>
          <w:tcPr>
            <w:tcW w:w="423" w:type="dxa"/>
          </w:tcPr>
          <w:p w14:paraId="3B26FFA7" w14:textId="59A54BBF" w:rsidR="004966BF" w:rsidRPr="00CE617F" w:rsidRDefault="00363CE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0599BE4318CD4CC0836196E577CC292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45E8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22A8168" w14:textId="09302C24" w:rsidR="004966BF" w:rsidRPr="004C23F4" w:rsidRDefault="00945E8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7" w:type="dxa"/>
          </w:tcPr>
          <w:p w14:paraId="13B36786" w14:textId="5C394542" w:rsidR="004966BF" w:rsidRPr="00945E85" w:rsidRDefault="00945E85" w:rsidP="001163BF">
            <w:pPr>
              <w:pStyle w:val="Tabletextprimarysource"/>
              <w:numPr>
                <w:ilvl w:val="0"/>
                <w:numId w:val="3"/>
              </w:numPr>
              <w:rPr>
                <w:rStyle w:val="checkbox"/>
                <w:rFonts w:ascii="Arial" w:hAnsi="Arial"/>
                <w:lang w:eastAsia="en-AU"/>
              </w:rPr>
            </w:pPr>
            <w:r>
              <w:t xml:space="preserve">Negative results for </w:t>
            </w:r>
            <w:proofErr w:type="spellStart"/>
            <w:r>
              <w:rPr>
                <w:i/>
              </w:rPr>
              <w:t>K.Salmonella</w:t>
            </w:r>
            <w:proofErr w:type="spellEnd"/>
            <w:r>
              <w:t xml:space="preserve"> mutagenicity test</w:t>
            </w:r>
            <w:r w:rsidR="00D3167E">
              <w:t>.</w:t>
            </w:r>
          </w:p>
        </w:tc>
      </w:tr>
      <w:tr w:rsidR="008B5BF9" w:rsidRPr="004C23F4" w14:paraId="6E690DF8" w14:textId="77777777" w:rsidTr="008B5BF9">
        <w:trPr>
          <w:cantSplit/>
        </w:trPr>
        <w:tc>
          <w:tcPr>
            <w:tcW w:w="1495" w:type="dxa"/>
          </w:tcPr>
          <w:p w14:paraId="490980EC" w14:textId="77777777" w:rsidR="008B5BF9" w:rsidRPr="004C23F4" w:rsidRDefault="008B5BF9" w:rsidP="008B5BF9">
            <w:pPr>
              <w:pStyle w:val="Tablefont"/>
            </w:pPr>
            <w:r>
              <w:t>OECD</w:t>
            </w:r>
          </w:p>
        </w:tc>
        <w:tc>
          <w:tcPr>
            <w:tcW w:w="423" w:type="dxa"/>
          </w:tcPr>
          <w:p w14:paraId="0CA3AD63" w14:textId="47B71123" w:rsidR="008B5BF9" w:rsidRPr="00CE617F" w:rsidRDefault="00363CE8" w:rsidP="008B5BF9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9660EC71D7404F1B9ACF0C9DAFE6286C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B5BF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E3F65A9" w14:textId="13A9ECEB" w:rsidR="008B5BF9" w:rsidRPr="004C23F4" w:rsidRDefault="008B5BF9" w:rsidP="008B5BF9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2001</w:t>
            </w:r>
          </w:p>
        </w:tc>
        <w:tc>
          <w:tcPr>
            <w:tcW w:w="6447" w:type="dxa"/>
          </w:tcPr>
          <w:p w14:paraId="612BF529" w14:textId="4EF4B505" w:rsidR="008B5BF9" w:rsidRPr="008B5BF9" w:rsidRDefault="008B5BF9" w:rsidP="001163BF">
            <w:pPr>
              <w:pStyle w:val="Tabletextprimarysource"/>
              <w:numPr>
                <w:ilvl w:val="0"/>
                <w:numId w:val="3"/>
              </w:numPr>
              <w:rPr>
                <w:rStyle w:val="checkbox"/>
                <w:rFonts w:ascii="Arial" w:hAnsi="Arial" w:cs="Arial"/>
                <w:lang w:eastAsia="en-AU"/>
              </w:rPr>
            </w:pPr>
            <w:r>
              <w:t xml:space="preserve">A </w:t>
            </w:r>
            <w:proofErr w:type="spellStart"/>
            <w:r>
              <w:t>cytogenic</w:t>
            </w:r>
            <w:proofErr w:type="spellEnd"/>
            <w:r>
              <w:t xml:space="preserve"> assay on human lymphocytes from 20 workers did not reveal an increase in chromosomal aberration</w:t>
            </w:r>
            <w:r w:rsidR="00D3167E">
              <w:t>.</w:t>
            </w:r>
          </w:p>
        </w:tc>
      </w:tr>
      <w:tr w:rsidR="008B5BF9" w:rsidRPr="004C23F4" w14:paraId="7A0C6E46" w14:textId="77777777" w:rsidTr="008B5BF9">
        <w:trPr>
          <w:cantSplit/>
        </w:trPr>
        <w:tc>
          <w:tcPr>
            <w:tcW w:w="1495" w:type="dxa"/>
          </w:tcPr>
          <w:p w14:paraId="4F49C865" w14:textId="77777777" w:rsidR="008B5BF9" w:rsidRDefault="008B5BF9" w:rsidP="008B5BF9">
            <w:pPr>
              <w:pStyle w:val="Tablefont"/>
            </w:pPr>
            <w:r>
              <w:t>US NIOSH</w:t>
            </w:r>
          </w:p>
        </w:tc>
        <w:tc>
          <w:tcPr>
            <w:tcW w:w="423" w:type="dxa"/>
          </w:tcPr>
          <w:p w14:paraId="5C99BAB5" w14:textId="60272957" w:rsidR="008B5BF9" w:rsidRDefault="00363CE8" w:rsidP="008B5BF9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A311677E3CE14ACCBBD34D9C3289D9D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B5BF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09CA0CD" w14:textId="26BD5252" w:rsidR="008B5BF9" w:rsidRPr="004C23F4" w:rsidRDefault="008C649C" w:rsidP="008B5BF9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47" w:type="dxa"/>
          </w:tcPr>
          <w:p w14:paraId="63D1934A" w14:textId="72B47348" w:rsidR="008B5BF9" w:rsidRPr="008C649C" w:rsidRDefault="008B5BF9" w:rsidP="001163BF">
            <w:pPr>
              <w:pStyle w:val="Tabletextprimarysource"/>
              <w:numPr>
                <w:ilvl w:val="0"/>
                <w:numId w:val="3"/>
              </w:numPr>
              <w:rPr>
                <w:rStyle w:val="checkbox"/>
                <w:rFonts w:ascii="Arial" w:hAnsi="Arial"/>
                <w:lang w:eastAsia="en-AU"/>
              </w:rPr>
            </w:pPr>
            <w:r>
              <w:t xml:space="preserve">IDLH </w:t>
            </w:r>
            <w:r w:rsidR="0093085A">
              <w:t xml:space="preserve">of 300 ppm </w:t>
            </w:r>
            <w:r w:rsidR="008C649C">
              <w:t>based on acute inhalation toxicity animal data</w:t>
            </w:r>
            <w:r w:rsidR="00D3167E">
              <w:t>.</w:t>
            </w:r>
          </w:p>
        </w:tc>
      </w:tr>
    </w:tbl>
    <w:bookmarkEnd w:id="1"/>
    <w:p w14:paraId="7F1A834A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2781C20F" w14:textId="77777777" w:rsidTr="001163BF">
        <w:trPr>
          <w:trHeight w:val="454"/>
          <w:tblHeader/>
        </w:trPr>
        <w:tc>
          <w:tcPr>
            <w:tcW w:w="6597" w:type="dxa"/>
            <w:vAlign w:val="center"/>
          </w:tcPr>
          <w:p w14:paraId="372BA71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0B6FFD8" w14:textId="01C867B5" w:rsidR="002E0D61" w:rsidRDefault="009A39E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676BAEE8" w14:textId="77777777" w:rsidTr="001163BF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60399FD7" w14:textId="6C40916B" w:rsidR="008A36CF" w:rsidRPr="006901A2" w:rsidRDefault="00094517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1DB5EDAC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24BB636F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0E928B38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3E25CF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E160A35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CE20E95" w14:textId="77777777" w:rsidTr="00812887">
        <w:trPr>
          <w:cantSplit/>
        </w:trPr>
        <w:tc>
          <w:tcPr>
            <w:tcW w:w="3227" w:type="dxa"/>
          </w:tcPr>
          <w:p w14:paraId="26F38F67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8D134C3" w14:textId="3658AA44" w:rsidR="00687890" w:rsidRPr="00DD2F9B" w:rsidRDefault="00455E30" w:rsidP="00DD2F9B">
            <w:pPr>
              <w:pStyle w:val="Tablefont"/>
            </w:pPr>
            <w:r>
              <w:t>Sk</w:t>
            </w:r>
            <w:r w:rsidR="00203413">
              <w:t>in</w:t>
            </w:r>
          </w:p>
        </w:tc>
      </w:tr>
      <w:tr w:rsidR="007925F0" w:rsidRPr="004C23F4" w14:paraId="24D0EDAF" w14:textId="77777777" w:rsidTr="00812887">
        <w:trPr>
          <w:cantSplit/>
        </w:trPr>
        <w:tc>
          <w:tcPr>
            <w:tcW w:w="3227" w:type="dxa"/>
          </w:tcPr>
          <w:p w14:paraId="475639A1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1EDA49D" w14:textId="6A609614" w:rsidR="007925F0" w:rsidRPr="00DD2F9B" w:rsidRDefault="00FA78C7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6592F095" w14:textId="77777777" w:rsidTr="00812887">
        <w:trPr>
          <w:cantSplit/>
        </w:trPr>
        <w:tc>
          <w:tcPr>
            <w:tcW w:w="3227" w:type="dxa"/>
          </w:tcPr>
          <w:p w14:paraId="7E3B1375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B667B3F" w14:textId="462AC3DB" w:rsidR="00AF483F" w:rsidRPr="00DD2F9B" w:rsidRDefault="00455E30" w:rsidP="00DD2F9B">
            <w:pPr>
              <w:pStyle w:val="Tablefont"/>
            </w:pPr>
            <w:r>
              <w:t>Sk</w:t>
            </w:r>
            <w:r w:rsidR="00203413">
              <w:t>in</w:t>
            </w:r>
          </w:p>
        </w:tc>
      </w:tr>
      <w:tr w:rsidR="00687890" w:rsidRPr="004C23F4" w14:paraId="1F15337F" w14:textId="77777777" w:rsidTr="00812887">
        <w:trPr>
          <w:cantSplit/>
        </w:trPr>
        <w:tc>
          <w:tcPr>
            <w:tcW w:w="3227" w:type="dxa"/>
          </w:tcPr>
          <w:p w14:paraId="51247605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ED07B40" w14:textId="136209CA" w:rsidR="00687890" w:rsidRPr="00DD2F9B" w:rsidRDefault="00FA78C7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2C5FCC59" w14:textId="77777777" w:rsidTr="00812887">
        <w:trPr>
          <w:cantSplit/>
        </w:trPr>
        <w:tc>
          <w:tcPr>
            <w:tcW w:w="3227" w:type="dxa"/>
          </w:tcPr>
          <w:p w14:paraId="0B6562AF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B879B5B" w14:textId="26920AF3" w:rsidR="00E41A26" w:rsidRPr="00DD2F9B" w:rsidRDefault="00FA78C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5B3C862" w14:textId="77777777" w:rsidTr="00812887">
        <w:trPr>
          <w:cantSplit/>
        </w:trPr>
        <w:tc>
          <w:tcPr>
            <w:tcW w:w="3227" w:type="dxa"/>
          </w:tcPr>
          <w:p w14:paraId="722F4773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AD4EDCE" w14:textId="16FF6703" w:rsidR="002E0D61" w:rsidRPr="00DD2F9B" w:rsidRDefault="00FA78C7" w:rsidP="00DD2F9B">
            <w:pPr>
              <w:pStyle w:val="Tablefont"/>
            </w:pPr>
            <w:r w:rsidRPr="00FA78C7">
              <w:t>Carcinogenicity – A3</w:t>
            </w:r>
            <w:r>
              <w:t xml:space="preserve">, </w:t>
            </w:r>
            <w:r w:rsidRPr="00FA78C7">
              <w:t>Skin</w:t>
            </w:r>
          </w:p>
        </w:tc>
      </w:tr>
      <w:tr w:rsidR="002E0D61" w:rsidRPr="004C23F4" w14:paraId="73256293" w14:textId="77777777" w:rsidTr="00812887">
        <w:trPr>
          <w:cantSplit/>
        </w:trPr>
        <w:tc>
          <w:tcPr>
            <w:tcW w:w="3227" w:type="dxa"/>
          </w:tcPr>
          <w:p w14:paraId="0D1B3B8F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8C89C69" w14:textId="0E96E945" w:rsidR="002E0D61" w:rsidRPr="00DD2F9B" w:rsidRDefault="00FA78C7" w:rsidP="00DD2F9B">
            <w:pPr>
              <w:pStyle w:val="Tablefont"/>
            </w:pPr>
            <w:r w:rsidRPr="00FA78C7">
              <w:t>H (skin)</w:t>
            </w:r>
          </w:p>
        </w:tc>
      </w:tr>
      <w:tr w:rsidR="002E0D61" w:rsidRPr="004C23F4" w14:paraId="7ED78DAB" w14:textId="77777777" w:rsidTr="00812887">
        <w:trPr>
          <w:cantSplit/>
        </w:trPr>
        <w:tc>
          <w:tcPr>
            <w:tcW w:w="3227" w:type="dxa"/>
          </w:tcPr>
          <w:p w14:paraId="7C4399F5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876563F" w14:textId="4B9A1AED" w:rsidR="002E0D61" w:rsidRPr="00DD2F9B" w:rsidRDefault="00FA78C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62EE49D" w14:textId="77777777" w:rsidTr="00812887">
        <w:trPr>
          <w:cantSplit/>
        </w:trPr>
        <w:tc>
          <w:tcPr>
            <w:tcW w:w="3227" w:type="dxa"/>
          </w:tcPr>
          <w:p w14:paraId="2E62D0B5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FED85B3" w14:textId="2E8252BD" w:rsidR="002E0D61" w:rsidRPr="00DD2F9B" w:rsidRDefault="00FA78C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9F4EC7A" w14:textId="77777777" w:rsidTr="00812887">
        <w:trPr>
          <w:cantSplit/>
        </w:trPr>
        <w:tc>
          <w:tcPr>
            <w:tcW w:w="3227" w:type="dxa"/>
          </w:tcPr>
          <w:p w14:paraId="00054AE8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6176119" w14:textId="5D002EB1" w:rsidR="00386093" w:rsidRPr="00DD2F9B" w:rsidRDefault="00FA78C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2369C03" w14:textId="77777777" w:rsidTr="00812887">
        <w:trPr>
          <w:cantSplit/>
        </w:trPr>
        <w:tc>
          <w:tcPr>
            <w:tcW w:w="3227" w:type="dxa"/>
          </w:tcPr>
          <w:p w14:paraId="3420D75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6AF20855" w14:textId="625A1713" w:rsidR="00386093" w:rsidRPr="00DD2F9B" w:rsidRDefault="00203413" w:rsidP="00D87570">
            <w:pPr>
              <w:pStyle w:val="Tablefont"/>
              <w:keepNext/>
            </w:pPr>
            <w:r>
              <w:t>—</w:t>
            </w:r>
          </w:p>
        </w:tc>
      </w:tr>
    </w:tbl>
    <w:bookmarkEnd w:id="3"/>
    <w:p w14:paraId="640C1819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F055E55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50F5C99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C00C84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D30EA6C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02" w:type="dxa"/>
              <w:tblLook w:val="04A0" w:firstRow="1" w:lastRow="0" w:firstColumn="1" w:lastColumn="0" w:noHBand="0" w:noVBand="1"/>
            </w:tblPr>
            <w:tblGrid>
              <w:gridCol w:w="3228"/>
              <w:gridCol w:w="1178"/>
              <w:gridCol w:w="718"/>
              <w:gridCol w:w="1390"/>
              <w:gridCol w:w="2296"/>
            </w:tblGrid>
            <w:tr w:rsidR="009F2D0C" w:rsidRPr="00FF1434" w14:paraId="6A913F97" w14:textId="77777777" w:rsidTr="00B70C35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8987F4" w14:textId="77777777" w:rsidR="009F2D0C" w:rsidRPr="00FF1434" w:rsidRDefault="009F2D0C" w:rsidP="009F2D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14:paraId="3B316BAA" w14:textId="15ECC3F0" w:rsidR="009F2D0C" w:rsidRPr="00E1241A" w:rsidRDefault="00EA6521" w:rsidP="009F2D0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 w:rsidRPr="00EA6521">
                    <w:rPr>
                      <w:rFonts w:ascii="Segoe UI" w:eastAsia="Times New Roman" w:hAnsi="Segoe UI" w:cs="Segoe UI"/>
                      <w:i/>
                      <w:noProof/>
                      <w:color w:val="0D0D0D" w:themeColor="text1" w:themeTint="F2"/>
                      <w:sz w:val="18"/>
                      <w:szCs w:val="18"/>
                      <w:lang w:eastAsia="en-AU"/>
                    </w:rPr>
                    <w:drawing>
                      <wp:inline distT="0" distB="0" distL="0" distR="0" wp14:anchorId="2FE200CB" wp14:editId="2E8A2092">
                        <wp:extent cx="619125" cy="219075"/>
                        <wp:effectExtent l="0" t="0" r="9525" b="9525"/>
                        <wp:docPr id="4" name="Picture 4" descr="Yes" title="Adverse effects in human case stud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FC324B" w14:textId="77777777" w:rsidR="009F2D0C" w:rsidRPr="00FF1434" w:rsidRDefault="009F2D0C" w:rsidP="009F2D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2269C5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409498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F2D0C" w:rsidRPr="00FF1434" w14:paraId="4665C97B" w14:textId="77777777" w:rsidTr="00B70C35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4182C8" w14:textId="77777777" w:rsidR="009F2D0C" w:rsidRPr="00FF1434" w:rsidRDefault="009F2D0C" w:rsidP="009F2D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14:paraId="29432752" w14:textId="301AB383" w:rsidR="009F2D0C" w:rsidRPr="00E1241A" w:rsidRDefault="00253691" w:rsidP="009F2D0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484783" w14:textId="77777777" w:rsidR="009F2D0C" w:rsidRPr="00FF1434" w:rsidRDefault="009F2D0C" w:rsidP="009F2D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EC3472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A4DAAB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F2D0C" w:rsidRPr="00FF1434" w14:paraId="50C623C7" w14:textId="77777777" w:rsidTr="00B70C35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EF5B16" w14:textId="77777777" w:rsidR="009F2D0C" w:rsidRPr="00FF1434" w:rsidRDefault="009F2D0C" w:rsidP="009F2D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14:paraId="7E8627F1" w14:textId="3497F39C" w:rsidR="009F2D0C" w:rsidRPr="00E1241A" w:rsidRDefault="00EA6521" w:rsidP="009F2D0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 w:rsidRPr="00EA6521">
                    <w:rPr>
                      <w:rFonts w:ascii="Segoe UI" w:eastAsia="Times New Roman" w:hAnsi="Segoe UI" w:cs="Segoe UI"/>
                      <w:i/>
                      <w:noProof/>
                      <w:color w:val="0D0D0D" w:themeColor="text1" w:themeTint="F2"/>
                      <w:sz w:val="18"/>
                      <w:szCs w:val="18"/>
                      <w:lang w:eastAsia="en-AU"/>
                    </w:rPr>
                    <w:drawing>
                      <wp:inline distT="0" distB="0" distL="0" distR="0" wp14:anchorId="4469669D" wp14:editId="10022F24">
                        <wp:extent cx="619125" cy="219075"/>
                        <wp:effectExtent l="0" t="0" r="9525" b="9525"/>
                        <wp:docPr id="5" name="Picture 5" descr="Yes" title="Dermal repeat-dose NOAEL ≤200 mg/k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B7374B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D12411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6188B3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F2D0C" w:rsidRPr="00FF1434" w14:paraId="7D635679" w14:textId="77777777" w:rsidTr="00B70C35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5760BC" w14:textId="77777777" w:rsidR="009F2D0C" w:rsidRPr="00FF1434" w:rsidRDefault="009F2D0C" w:rsidP="009F2D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14:paraId="1F26E52A" w14:textId="5C5FA25D" w:rsidR="009F2D0C" w:rsidRPr="00E1241A" w:rsidRDefault="00EA6521" w:rsidP="009F2D0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 w:rsidRPr="00EA6521">
                    <w:rPr>
                      <w:rFonts w:ascii="Segoe UI" w:eastAsia="Times New Roman" w:hAnsi="Segoe UI" w:cs="Segoe UI"/>
                      <w:i/>
                      <w:noProof/>
                      <w:color w:val="0D0D0D" w:themeColor="text1" w:themeTint="F2"/>
                      <w:sz w:val="18"/>
                      <w:szCs w:val="18"/>
                      <w:lang w:eastAsia="en-AU"/>
                    </w:rPr>
                    <w:drawing>
                      <wp:inline distT="0" distB="0" distL="0" distR="0" wp14:anchorId="5BE4BA40" wp14:editId="41C288F8">
                        <wp:extent cx="619125" cy="219075"/>
                        <wp:effectExtent l="0" t="0" r="9525" b="9525"/>
                        <wp:docPr id="6" name="Picture 6" descr="Yes" title="Dermal LD50/Inhalation LD50 &lt;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324012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D0B4C6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B3FFA5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F2D0C" w:rsidRPr="00FF1434" w14:paraId="53A4C04B" w14:textId="77777777" w:rsidTr="00B70C35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F951C5" w14:textId="77777777" w:rsidR="009F2D0C" w:rsidRPr="00FF1434" w:rsidRDefault="009F2D0C" w:rsidP="009F2D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14:paraId="05C2EF7A" w14:textId="02600B0A" w:rsidR="009F2D0C" w:rsidRPr="00E1241A" w:rsidRDefault="00EA6521" w:rsidP="009F2D0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 w:rsidRPr="00EA6521">
                    <w:rPr>
                      <w:rFonts w:ascii="Segoe UI" w:eastAsia="Times New Roman" w:hAnsi="Segoe UI" w:cs="Segoe UI"/>
                      <w:i/>
                      <w:noProof/>
                      <w:color w:val="0D0D0D" w:themeColor="text1" w:themeTint="F2"/>
                      <w:sz w:val="18"/>
                      <w:szCs w:val="18"/>
                      <w:lang w:eastAsia="en-AU"/>
                    </w:rPr>
                    <w:drawing>
                      <wp:inline distT="0" distB="0" distL="0" distR="0" wp14:anchorId="399435A2" wp14:editId="590AF678">
                        <wp:extent cx="619125" cy="219075"/>
                        <wp:effectExtent l="0" t="0" r="9525" b="9525"/>
                        <wp:docPr id="7" name="Picture 7" descr="Yes" title="In vivo dermal absorption rate &gt;10%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69C6EE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01675C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E71888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F2D0C" w:rsidRPr="00FF1434" w14:paraId="047AE093" w14:textId="77777777" w:rsidTr="00B70C35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71E17F" w14:textId="77777777" w:rsidR="009F2D0C" w:rsidRPr="00FF1434" w:rsidRDefault="009F2D0C" w:rsidP="009F2D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</w:tcPr>
                <w:p w14:paraId="15E4C6B1" w14:textId="77777777" w:rsidR="009F2D0C" w:rsidRPr="00E1241A" w:rsidRDefault="009F2D0C" w:rsidP="009F2D0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No data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A72A07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040B16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2A1BD7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F2D0C" w:rsidRPr="00FF1434" w14:paraId="2CCF7E62" w14:textId="77777777" w:rsidTr="00B70C35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06163B" w14:textId="77777777" w:rsidR="009F2D0C" w:rsidRPr="00FF1434" w:rsidRDefault="009F2D0C" w:rsidP="009F2D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8FC36D" w14:textId="77777777" w:rsidR="009F2D0C" w:rsidRPr="00FF1434" w:rsidRDefault="009F2D0C" w:rsidP="009F2D0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491F51" w14:textId="77777777" w:rsidR="009F2D0C" w:rsidRPr="00FF1434" w:rsidRDefault="009F2D0C" w:rsidP="009F2D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431D7F" w14:textId="77777777" w:rsidR="009F2D0C" w:rsidRPr="00FF1434" w:rsidRDefault="009F2D0C" w:rsidP="009F2D0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49604481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289DF7BE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4BAA76A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F360AF1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74E8E00" w14:textId="6C287881" w:rsidR="00EB3D1B" w:rsidRDefault="00424B21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6596F102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6305ACC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AA8BBBB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636E540" w14:textId="75D3C421" w:rsidR="001B79E5" w:rsidRDefault="00D8535B" w:rsidP="001B79E5">
                <w:pPr>
                  <w:pStyle w:val="Tablefont"/>
                </w:pPr>
                <w:r>
                  <w:t>87.</w:t>
                </w:r>
                <w:r w:rsidR="0059159F">
                  <w:t>1</w:t>
                </w:r>
                <w:r w:rsidR="00203413">
                  <w:t>2</w:t>
                </w:r>
                <w:r>
                  <w:t xml:space="preserve"> </w:t>
                </w:r>
              </w:p>
            </w:tc>
          </w:sdtContent>
        </w:sdt>
      </w:tr>
      <w:tr w:rsidR="00A31D99" w:rsidRPr="004C23F4" w14:paraId="30812B0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BC32B88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3969F24C" w14:textId="1F50223E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D8535B">
                  <w:t>3.56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D8535B">
                  <w:t>0.28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59CE29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65D323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05D47EC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F2059E5" w14:textId="77777777" w:rsidTr="00EA6243">
        <w:trPr>
          <w:cantSplit/>
        </w:trPr>
        <w:tc>
          <w:tcPr>
            <w:tcW w:w="4077" w:type="dxa"/>
            <w:vAlign w:val="center"/>
          </w:tcPr>
          <w:p w14:paraId="5EAD2A4B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3C79FB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90236A6" w14:textId="77777777" w:rsidTr="00EA6243">
        <w:trPr>
          <w:cantSplit/>
        </w:trPr>
        <w:tc>
          <w:tcPr>
            <w:tcW w:w="4077" w:type="dxa"/>
            <w:vAlign w:val="center"/>
          </w:tcPr>
          <w:p w14:paraId="67255325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DF3B20C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B42CF75" w14:textId="77777777" w:rsidTr="00EA6243">
        <w:trPr>
          <w:cantSplit/>
        </w:trPr>
        <w:tc>
          <w:tcPr>
            <w:tcW w:w="4077" w:type="dxa"/>
            <w:vAlign w:val="center"/>
          </w:tcPr>
          <w:p w14:paraId="54F7524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F1D1F34" w14:textId="7B789EA3" w:rsidR="00E06F40" w:rsidRPr="00A006A0" w:rsidRDefault="00363CE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8535B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771E"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D1D6C82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67F27D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CD88920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A11588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C9909A9" w14:textId="77777777" w:rsidTr="00F053FA">
        <w:trPr>
          <w:tblHeader/>
        </w:trPr>
        <w:sdt>
          <w:sdtPr>
            <w:id w:val="-25557549"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7272370" w14:textId="57A422E2" w:rsidR="007F1005" w:rsidRPr="004C23F4" w:rsidRDefault="00D8535B" w:rsidP="00EB3D1B">
                <w:pPr>
                  <w:pStyle w:val="Tablefont"/>
                  <w:keepLines/>
                </w:pPr>
                <w:r>
                  <w:t>1991</w:t>
                </w:r>
              </w:p>
            </w:tc>
          </w:sdtContent>
        </w:sdt>
        <w:tc>
          <w:tcPr>
            <w:tcW w:w="5165" w:type="dxa"/>
            <w:vAlign w:val="center"/>
          </w:tcPr>
          <w:p w14:paraId="43876777" w14:textId="212E8218" w:rsidR="007F1005" w:rsidRPr="00D8535B" w:rsidRDefault="00D8535B" w:rsidP="00EB3D1B">
            <w:pPr>
              <w:pStyle w:val="Tablefont"/>
              <w:keepLines/>
              <w:rPr>
                <w:vertAlign w:val="superscript"/>
              </w:rPr>
            </w:pPr>
            <w:r>
              <w:t>TWA: 10 ppm; 36 mg/m</w:t>
            </w:r>
            <w:r>
              <w:rPr>
                <w:vertAlign w:val="superscript"/>
              </w:rPr>
              <w:t>3</w:t>
            </w:r>
          </w:p>
        </w:tc>
      </w:tr>
    </w:tbl>
    <w:bookmarkEnd w:id="5"/>
    <w:p w14:paraId="56147288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97AB8F3" w14:textId="2EDE687E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 w:rsidR="00221DA2">
        <w:t xml:space="preserve">). </w:t>
      </w:r>
      <w:r w:rsidR="009F2D0C">
        <w:t>(</w:t>
      </w:r>
      <w:r>
        <w:t>201</w:t>
      </w:r>
      <w:r w:rsidR="00F67BBB">
        <w:t>8</w:t>
      </w:r>
      <w:r w:rsidR="009F2D0C">
        <w:t>)</w:t>
      </w:r>
      <w:r w:rsidR="00221DA2">
        <w:t>.</w:t>
      </w:r>
      <w:r>
        <w:t xml:space="preserve">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2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3486030" w14:textId="4BAD79E8" w:rsidR="00FA78C7" w:rsidRDefault="00FA78C7" w:rsidP="00084859">
      <w:r>
        <w:t xml:space="preserve">Deutsche </w:t>
      </w:r>
      <w:proofErr w:type="spellStart"/>
      <w:r>
        <w:t>Fors</w:t>
      </w:r>
      <w:r w:rsidR="00221DA2">
        <w:t>chungsgemeinschaft</w:t>
      </w:r>
      <w:proofErr w:type="spellEnd"/>
      <w:r w:rsidR="00221DA2">
        <w:t xml:space="preserve"> (DFG). </w:t>
      </w:r>
      <w:r w:rsidR="009F2D0C">
        <w:t>(</w:t>
      </w:r>
      <w:r w:rsidR="00221DA2">
        <w:t>2009</w:t>
      </w:r>
      <w:r w:rsidR="009F2D0C">
        <w:t>)</w:t>
      </w:r>
      <w:r w:rsidR="00221DA2">
        <w:t xml:space="preserve">. </w:t>
      </w:r>
      <w:r w:rsidRPr="00FA78C7">
        <w:t>N</w:t>
      </w:r>
      <w:proofErr w:type="gramStart"/>
      <w:r w:rsidRPr="00FA78C7">
        <w:t>,N</w:t>
      </w:r>
      <w:proofErr w:type="gramEnd"/>
      <w:r w:rsidRPr="00FA78C7">
        <w:t xml:space="preserve">-Dimethyl </w:t>
      </w:r>
      <w:proofErr w:type="spellStart"/>
      <w:r w:rsidRPr="00FA78C7">
        <w:t>acetamide</w:t>
      </w:r>
      <w:proofErr w:type="spellEnd"/>
      <w:r>
        <w:t xml:space="preserve"> – MAK value documentation.</w:t>
      </w:r>
    </w:p>
    <w:p w14:paraId="640317C7" w14:textId="3F03750D" w:rsidR="00FA78C7" w:rsidRDefault="00FA78C7" w:rsidP="00084859">
      <w:r>
        <w:t xml:space="preserve">National Industrial Chemicals Notification </w:t>
      </w:r>
      <w:r w:rsidR="00462694">
        <w:t xml:space="preserve">and Assessment Scheme (NICNAS). </w:t>
      </w:r>
      <w:r w:rsidR="009F2D0C">
        <w:t>(</w:t>
      </w:r>
      <w:r w:rsidR="00462694">
        <w:t>2013</w:t>
      </w:r>
      <w:r w:rsidR="009F2D0C">
        <w:t>)</w:t>
      </w:r>
      <w:r w:rsidR="00462694">
        <w:t xml:space="preserve">. </w:t>
      </w:r>
      <w:proofErr w:type="spellStart"/>
      <w:r w:rsidRPr="00FA78C7">
        <w:t>Acetamide</w:t>
      </w:r>
      <w:proofErr w:type="spellEnd"/>
      <w:r w:rsidRPr="00FA78C7">
        <w:t>, N</w:t>
      </w:r>
      <w:proofErr w:type="gramStart"/>
      <w:r w:rsidRPr="00FA78C7">
        <w:t>,N</w:t>
      </w:r>
      <w:proofErr w:type="gramEnd"/>
      <w:r w:rsidRPr="00FA78C7">
        <w:t>-dimethyl-</w:t>
      </w:r>
      <w:r>
        <w:t>: Human health tier II assessment – IMAP report.</w:t>
      </w:r>
    </w:p>
    <w:p w14:paraId="190D11F7" w14:textId="54027FFD" w:rsidR="00462694" w:rsidRDefault="00462694" w:rsidP="00084859">
      <w:r>
        <w:t xml:space="preserve">National Toxicology Program (NTP). </w:t>
      </w:r>
      <w:r w:rsidR="009F2D0C">
        <w:t>(</w:t>
      </w:r>
      <w:r>
        <w:t>2019</w:t>
      </w:r>
      <w:r w:rsidR="009F2D0C">
        <w:t>)</w:t>
      </w:r>
      <w:r w:rsidR="0043771E">
        <w:t>. Testing Status:</w:t>
      </w:r>
      <w:r>
        <w:t xml:space="preserve"> N</w:t>
      </w:r>
      <w:proofErr w:type="gramStart"/>
      <w:r>
        <w:t>,N</w:t>
      </w:r>
      <w:proofErr w:type="gramEnd"/>
      <w:r>
        <w:t>-</w:t>
      </w:r>
      <w:proofErr w:type="spellStart"/>
      <w:r>
        <w:t>Dimethylacetamine</w:t>
      </w:r>
      <w:proofErr w:type="spellEnd"/>
      <w:r>
        <w:t xml:space="preserve"> 10822-A. </w:t>
      </w:r>
    </w:p>
    <w:p w14:paraId="26E62B5E" w14:textId="3368B223" w:rsidR="0043771E" w:rsidRPr="00B929CC" w:rsidRDefault="0043771E" w:rsidP="0043771E">
      <w:r w:rsidRPr="00E819F5">
        <w:t>Organisation for Economic Cooperation and Development (OECD) (</w:t>
      </w:r>
      <w:r>
        <w:t>2001</w:t>
      </w:r>
      <w:r w:rsidRPr="00E819F5">
        <w:t xml:space="preserve">) SIDS initial assessment profile – </w:t>
      </w:r>
      <w:r>
        <w:t xml:space="preserve">Dimethyl </w:t>
      </w:r>
      <w:proofErr w:type="spellStart"/>
      <w:r>
        <w:t>acetamide</w:t>
      </w:r>
      <w:proofErr w:type="spellEnd"/>
    </w:p>
    <w:p w14:paraId="3205E594" w14:textId="286A6970" w:rsidR="0043771E" w:rsidRDefault="0043771E" w:rsidP="0043771E">
      <w:r>
        <w:t xml:space="preserve">US National Institute for Occupational Safety and Health (NIOSH) (2014) </w:t>
      </w:r>
      <w:proofErr w:type="gramStart"/>
      <w:r>
        <w:t>Immediately</w:t>
      </w:r>
      <w:proofErr w:type="gramEnd"/>
      <w:r>
        <w:t xml:space="preserve"> dangerous to life or health concentrations – Dimethyl </w:t>
      </w:r>
      <w:proofErr w:type="spellStart"/>
      <w:r>
        <w:t>acetamide</w:t>
      </w:r>
      <w:proofErr w:type="spellEnd"/>
      <w:r>
        <w:t xml:space="preserve">. </w:t>
      </w:r>
    </w:p>
    <w:p w14:paraId="5A7E9940" w14:textId="77777777" w:rsidR="00462694" w:rsidRPr="00351FE0" w:rsidRDefault="00462694" w:rsidP="00084859"/>
    <w:sectPr w:rsidR="00462694" w:rsidRPr="00351FE0" w:rsidSect="0043771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8CD4D4" w16cid:durableId="21694985"/>
  <w16cid:commentId w16cid:paraId="7D0FCBF6" w16cid:durableId="216960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3CB8B" w14:textId="77777777" w:rsidR="001A4B0F" w:rsidRDefault="001A4B0F" w:rsidP="00F43AD5">
      <w:pPr>
        <w:spacing w:after="0" w:line="240" w:lineRule="auto"/>
      </w:pPr>
      <w:r>
        <w:separator/>
      </w:r>
    </w:p>
  </w:endnote>
  <w:endnote w:type="continuationSeparator" w:id="0">
    <w:p w14:paraId="3F21F3BC" w14:textId="77777777" w:rsidR="001A4B0F" w:rsidRDefault="001A4B0F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ED817" w14:textId="77777777" w:rsidR="0043771E" w:rsidRDefault="0043771E" w:rsidP="0043771E">
    <w:pPr>
      <w:pStyle w:val="Footer"/>
      <w:rPr>
        <w:sz w:val="18"/>
        <w:szCs w:val="18"/>
      </w:rPr>
    </w:pPr>
    <w:r>
      <w:rPr>
        <w:b/>
        <w:sz w:val="18"/>
        <w:szCs w:val="18"/>
      </w:rPr>
      <w:t xml:space="preserve">Dimethyl </w:t>
    </w:r>
    <w:proofErr w:type="spellStart"/>
    <w:r>
      <w:rPr>
        <w:b/>
        <w:sz w:val="18"/>
        <w:szCs w:val="18"/>
      </w:rPr>
      <w:t>acetamide</w:t>
    </w:r>
    <w:proofErr w:type="spellEnd"/>
    <w:r>
      <w:rPr>
        <w:b/>
        <w:sz w:val="18"/>
        <w:szCs w:val="18"/>
      </w:rPr>
      <w:t xml:space="preserve"> (127-19-5</w:t>
    </w:r>
    <w:proofErr w:type="gramStart"/>
    <w:r>
      <w:rPr>
        <w:b/>
        <w:sz w:val="18"/>
        <w:szCs w:val="18"/>
      </w:rPr>
      <w:t>)</w:t>
    </w:r>
    <w:proofErr w:type="gramEnd"/>
    <w:r w:rsidRPr="00F43AD5">
      <w:rPr>
        <w:sz w:val="18"/>
        <w:szCs w:val="18"/>
      </w:rPr>
      <w:br/>
      <w:t xml:space="preserve">Safe Work Australia </w:t>
    </w:r>
    <w:r w:rsidRPr="00F43AD5">
      <w:rPr>
        <w:rFonts w:ascii="Courier New" w:hAnsi="Courier New" w:cs="Courier New"/>
        <w:sz w:val="18"/>
        <w:szCs w:val="18"/>
      </w:rPr>
      <w:t>—</w:t>
    </w:r>
    <w:r w:rsidRPr="00F43AD5">
      <w:rPr>
        <w:sz w:val="18"/>
        <w:szCs w:val="18"/>
      </w:rPr>
      <w:t xml:space="preserve"> 201</w:t>
    </w:r>
    <w:r>
      <w:rPr>
        <w:sz w:val="18"/>
        <w:szCs w:val="18"/>
      </w:rPr>
      <w:t>9</w:t>
    </w:r>
  </w:p>
  <w:p w14:paraId="60CB454F" w14:textId="77777777" w:rsidR="0043771E" w:rsidRDefault="00437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826F" w14:textId="5C18BFED" w:rsidR="0043771E" w:rsidRDefault="0043771E" w:rsidP="0043771E">
    <w:pPr>
      <w:pStyle w:val="Footer"/>
      <w:rPr>
        <w:sz w:val="18"/>
        <w:szCs w:val="18"/>
      </w:rPr>
    </w:pPr>
    <w:r>
      <w:rPr>
        <w:b/>
        <w:sz w:val="18"/>
        <w:szCs w:val="18"/>
      </w:rPr>
      <w:t xml:space="preserve">Dimethyl </w:t>
    </w:r>
    <w:proofErr w:type="spellStart"/>
    <w:r>
      <w:rPr>
        <w:b/>
        <w:sz w:val="18"/>
        <w:szCs w:val="18"/>
      </w:rPr>
      <w:t>acetamide</w:t>
    </w:r>
    <w:proofErr w:type="spellEnd"/>
    <w:r>
      <w:rPr>
        <w:b/>
        <w:sz w:val="18"/>
        <w:szCs w:val="18"/>
      </w:rPr>
      <w:t xml:space="preserve"> (127-19-5</w:t>
    </w:r>
    <w:proofErr w:type="gramStart"/>
    <w:r>
      <w:rPr>
        <w:b/>
        <w:sz w:val="18"/>
        <w:szCs w:val="18"/>
      </w:rPr>
      <w:t>)</w:t>
    </w:r>
    <w:proofErr w:type="gramEnd"/>
    <w:r w:rsidRPr="00F43AD5">
      <w:rPr>
        <w:sz w:val="18"/>
        <w:szCs w:val="18"/>
      </w:rPr>
      <w:br/>
      <w:t xml:space="preserve">Safe Work Australia </w:t>
    </w:r>
    <w:r w:rsidRPr="00F43AD5">
      <w:rPr>
        <w:rFonts w:ascii="Courier New" w:hAnsi="Courier New" w:cs="Courier New"/>
        <w:sz w:val="18"/>
        <w:szCs w:val="18"/>
      </w:rPr>
      <w:t>—</w:t>
    </w:r>
    <w:r w:rsidRPr="00F43AD5">
      <w:rPr>
        <w:sz w:val="18"/>
        <w:szCs w:val="18"/>
      </w:rPr>
      <w:t xml:space="preserve"> 201</w:t>
    </w:r>
    <w:r>
      <w:rPr>
        <w:sz w:val="18"/>
        <w:szCs w:val="18"/>
      </w:rPr>
      <w:t>9</w:t>
    </w:r>
  </w:p>
  <w:p w14:paraId="1AEDCE85" w14:textId="77777777" w:rsidR="0043771E" w:rsidRDefault="00437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6258B" w14:textId="77777777" w:rsidR="001A4B0F" w:rsidRDefault="001A4B0F" w:rsidP="00F43AD5">
      <w:pPr>
        <w:spacing w:after="0" w:line="240" w:lineRule="auto"/>
      </w:pPr>
      <w:r>
        <w:separator/>
      </w:r>
    </w:p>
  </w:footnote>
  <w:footnote w:type="continuationSeparator" w:id="0">
    <w:p w14:paraId="45DF0BA1" w14:textId="77777777" w:rsidR="001A4B0F" w:rsidRDefault="001A4B0F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FB79" w14:textId="22DD16FA" w:rsidR="00F6411D" w:rsidRDefault="00363CE8" w:rsidP="00F6411D">
    <w:pPr>
      <w:pStyle w:val="Header"/>
      <w:jc w:val="right"/>
    </w:pPr>
    <w:r>
      <w:pict w14:anchorId="350E79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F6411D">
      <w:rPr>
        <w:noProof/>
        <w:lang w:eastAsia="en-AU"/>
      </w:rPr>
      <w:drawing>
        <wp:inline distT="0" distB="0" distL="0" distR="0" wp14:anchorId="0749BE0F" wp14:editId="338F7DE2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79796" w14:textId="0FC2B8B4" w:rsidR="00B70C35" w:rsidRDefault="00B70C35" w:rsidP="00F43AD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2A16A" w14:textId="2D12EAE0" w:rsidR="00F6411D" w:rsidRDefault="00363CE8" w:rsidP="00F6411D">
    <w:pPr>
      <w:pStyle w:val="Header"/>
      <w:jc w:val="right"/>
    </w:pPr>
    <w:r>
      <w:pict w14:anchorId="7DEB82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F6411D">
      <w:rPr>
        <w:noProof/>
        <w:lang w:eastAsia="en-AU"/>
      </w:rPr>
      <w:drawing>
        <wp:inline distT="0" distB="0" distL="0" distR="0" wp14:anchorId="4EF8C88D" wp14:editId="0A745CA5">
          <wp:extent cx="2945130" cy="595630"/>
          <wp:effectExtent l="0" t="0" r="762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E509DA" w14:textId="470AA1BC" w:rsidR="0043771E" w:rsidRPr="00F6411D" w:rsidRDefault="0043771E" w:rsidP="00F64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970D1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C42EE"/>
    <w:multiLevelType w:val="hybridMultilevel"/>
    <w:tmpl w:val="E93C48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A37"/>
    <w:multiLevelType w:val="hybridMultilevel"/>
    <w:tmpl w:val="88E63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831F5"/>
    <w:multiLevelType w:val="hybridMultilevel"/>
    <w:tmpl w:val="AB1022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9553B"/>
    <w:multiLevelType w:val="hybridMultilevel"/>
    <w:tmpl w:val="1842E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77FE9"/>
    <w:rsid w:val="000803E1"/>
    <w:rsid w:val="00084513"/>
    <w:rsid w:val="00084859"/>
    <w:rsid w:val="00092D94"/>
    <w:rsid w:val="00094517"/>
    <w:rsid w:val="000A5230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6080"/>
    <w:rsid w:val="0010461E"/>
    <w:rsid w:val="00106FAA"/>
    <w:rsid w:val="00113443"/>
    <w:rsid w:val="001163BF"/>
    <w:rsid w:val="001269A7"/>
    <w:rsid w:val="00131092"/>
    <w:rsid w:val="00140E6A"/>
    <w:rsid w:val="00146545"/>
    <w:rsid w:val="00146B75"/>
    <w:rsid w:val="001505BC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893"/>
    <w:rsid w:val="001A3C9D"/>
    <w:rsid w:val="001A43F8"/>
    <w:rsid w:val="001A4B0F"/>
    <w:rsid w:val="001B79E5"/>
    <w:rsid w:val="001C2CBF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3413"/>
    <w:rsid w:val="002046A6"/>
    <w:rsid w:val="00204956"/>
    <w:rsid w:val="00204BE4"/>
    <w:rsid w:val="00213640"/>
    <w:rsid w:val="00221547"/>
    <w:rsid w:val="002216FC"/>
    <w:rsid w:val="00221DA2"/>
    <w:rsid w:val="00222533"/>
    <w:rsid w:val="00222F30"/>
    <w:rsid w:val="00224EE2"/>
    <w:rsid w:val="00227EC7"/>
    <w:rsid w:val="00230E14"/>
    <w:rsid w:val="00235AF2"/>
    <w:rsid w:val="00244AD1"/>
    <w:rsid w:val="002463BC"/>
    <w:rsid w:val="002465CE"/>
    <w:rsid w:val="00253691"/>
    <w:rsid w:val="0025734A"/>
    <w:rsid w:val="00257D44"/>
    <w:rsid w:val="00257F34"/>
    <w:rsid w:val="00263255"/>
    <w:rsid w:val="00271DF3"/>
    <w:rsid w:val="00276494"/>
    <w:rsid w:val="00277B0C"/>
    <w:rsid w:val="00291D74"/>
    <w:rsid w:val="002A5A0C"/>
    <w:rsid w:val="002B1A2C"/>
    <w:rsid w:val="002B2FC0"/>
    <w:rsid w:val="002C05A5"/>
    <w:rsid w:val="002C34F2"/>
    <w:rsid w:val="002C58FF"/>
    <w:rsid w:val="002C72F9"/>
    <w:rsid w:val="002C7AFE"/>
    <w:rsid w:val="002D05D2"/>
    <w:rsid w:val="002D6739"/>
    <w:rsid w:val="002E0D61"/>
    <w:rsid w:val="002E4C7B"/>
    <w:rsid w:val="002E5006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3CE8"/>
    <w:rsid w:val="00370DBF"/>
    <w:rsid w:val="0037164F"/>
    <w:rsid w:val="00386093"/>
    <w:rsid w:val="003904A4"/>
    <w:rsid w:val="0039055C"/>
    <w:rsid w:val="00391841"/>
    <w:rsid w:val="00391B6D"/>
    <w:rsid w:val="00394922"/>
    <w:rsid w:val="003A0E32"/>
    <w:rsid w:val="003A2B94"/>
    <w:rsid w:val="003B387D"/>
    <w:rsid w:val="003C0D58"/>
    <w:rsid w:val="003D06B0"/>
    <w:rsid w:val="003D4FA3"/>
    <w:rsid w:val="003E0807"/>
    <w:rsid w:val="003E14E3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1DC0"/>
    <w:rsid w:val="00422273"/>
    <w:rsid w:val="00422A10"/>
    <w:rsid w:val="00424B21"/>
    <w:rsid w:val="00430179"/>
    <w:rsid w:val="00431F9E"/>
    <w:rsid w:val="0043771E"/>
    <w:rsid w:val="004414B5"/>
    <w:rsid w:val="00444482"/>
    <w:rsid w:val="00444B42"/>
    <w:rsid w:val="00445E44"/>
    <w:rsid w:val="004509E2"/>
    <w:rsid w:val="004515EE"/>
    <w:rsid w:val="004529F0"/>
    <w:rsid w:val="00455E30"/>
    <w:rsid w:val="00460A03"/>
    <w:rsid w:val="00462694"/>
    <w:rsid w:val="00472A11"/>
    <w:rsid w:val="00472AAD"/>
    <w:rsid w:val="00474E33"/>
    <w:rsid w:val="00476803"/>
    <w:rsid w:val="00480339"/>
    <w:rsid w:val="00485BFD"/>
    <w:rsid w:val="004867A2"/>
    <w:rsid w:val="004873F2"/>
    <w:rsid w:val="00490D4C"/>
    <w:rsid w:val="0049386E"/>
    <w:rsid w:val="00493A35"/>
    <w:rsid w:val="0049527A"/>
    <w:rsid w:val="004966BF"/>
    <w:rsid w:val="00497984"/>
    <w:rsid w:val="004A5088"/>
    <w:rsid w:val="004C0D08"/>
    <w:rsid w:val="004C1E3F"/>
    <w:rsid w:val="004C23F4"/>
    <w:rsid w:val="004C3475"/>
    <w:rsid w:val="004C58B6"/>
    <w:rsid w:val="004D16A3"/>
    <w:rsid w:val="004D4AA1"/>
    <w:rsid w:val="004D6D68"/>
    <w:rsid w:val="004E5EDD"/>
    <w:rsid w:val="004F34E1"/>
    <w:rsid w:val="004F448A"/>
    <w:rsid w:val="004F493D"/>
    <w:rsid w:val="004F65E8"/>
    <w:rsid w:val="0050005E"/>
    <w:rsid w:val="00502B88"/>
    <w:rsid w:val="00506639"/>
    <w:rsid w:val="005142C4"/>
    <w:rsid w:val="0051509C"/>
    <w:rsid w:val="00522899"/>
    <w:rsid w:val="005272E2"/>
    <w:rsid w:val="0053108F"/>
    <w:rsid w:val="00532B56"/>
    <w:rsid w:val="00534B10"/>
    <w:rsid w:val="00536410"/>
    <w:rsid w:val="005446A2"/>
    <w:rsid w:val="00544D2F"/>
    <w:rsid w:val="00551BD8"/>
    <w:rsid w:val="005543AA"/>
    <w:rsid w:val="00554952"/>
    <w:rsid w:val="005757A9"/>
    <w:rsid w:val="00581055"/>
    <w:rsid w:val="005814D5"/>
    <w:rsid w:val="00584CCC"/>
    <w:rsid w:val="0059115F"/>
    <w:rsid w:val="0059159F"/>
    <w:rsid w:val="00591E38"/>
    <w:rsid w:val="005A19C5"/>
    <w:rsid w:val="005A3034"/>
    <w:rsid w:val="005A462D"/>
    <w:rsid w:val="005B253B"/>
    <w:rsid w:val="005B2911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418B"/>
    <w:rsid w:val="00650905"/>
    <w:rsid w:val="006532ED"/>
    <w:rsid w:val="006549F2"/>
    <w:rsid w:val="006567B7"/>
    <w:rsid w:val="00657BFB"/>
    <w:rsid w:val="0066333C"/>
    <w:rsid w:val="006639B4"/>
    <w:rsid w:val="006650FE"/>
    <w:rsid w:val="00666AB4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6943"/>
    <w:rsid w:val="006B160A"/>
    <w:rsid w:val="006B4E6C"/>
    <w:rsid w:val="006B50B6"/>
    <w:rsid w:val="006B5872"/>
    <w:rsid w:val="006C7CD7"/>
    <w:rsid w:val="006D0D99"/>
    <w:rsid w:val="006D79EA"/>
    <w:rsid w:val="006E5D05"/>
    <w:rsid w:val="006F06EB"/>
    <w:rsid w:val="006F56DD"/>
    <w:rsid w:val="00701053"/>
    <w:rsid w:val="00701507"/>
    <w:rsid w:val="007034F3"/>
    <w:rsid w:val="00712F38"/>
    <w:rsid w:val="00714021"/>
    <w:rsid w:val="00716A0F"/>
    <w:rsid w:val="00717D45"/>
    <w:rsid w:val="007208F7"/>
    <w:rsid w:val="007218AF"/>
    <w:rsid w:val="007365D1"/>
    <w:rsid w:val="00740E0E"/>
    <w:rsid w:val="00743681"/>
    <w:rsid w:val="00745AC4"/>
    <w:rsid w:val="00750212"/>
    <w:rsid w:val="00754779"/>
    <w:rsid w:val="0075716D"/>
    <w:rsid w:val="00765C7F"/>
    <w:rsid w:val="00765F14"/>
    <w:rsid w:val="00770E31"/>
    <w:rsid w:val="007770F1"/>
    <w:rsid w:val="00783FB1"/>
    <w:rsid w:val="00785CDD"/>
    <w:rsid w:val="00791847"/>
    <w:rsid w:val="007925F0"/>
    <w:rsid w:val="007926AE"/>
    <w:rsid w:val="007939B3"/>
    <w:rsid w:val="00794315"/>
    <w:rsid w:val="0079509C"/>
    <w:rsid w:val="00796708"/>
    <w:rsid w:val="007B1B42"/>
    <w:rsid w:val="007C30EB"/>
    <w:rsid w:val="007D695E"/>
    <w:rsid w:val="007E063C"/>
    <w:rsid w:val="007E2A4B"/>
    <w:rsid w:val="007E307D"/>
    <w:rsid w:val="007E6A4E"/>
    <w:rsid w:val="007E6C94"/>
    <w:rsid w:val="007F1005"/>
    <w:rsid w:val="007F25E0"/>
    <w:rsid w:val="007F4693"/>
    <w:rsid w:val="007F5328"/>
    <w:rsid w:val="00804F5A"/>
    <w:rsid w:val="008064E7"/>
    <w:rsid w:val="00810C6D"/>
    <w:rsid w:val="00812887"/>
    <w:rsid w:val="00826F21"/>
    <w:rsid w:val="00834CC8"/>
    <w:rsid w:val="00835E00"/>
    <w:rsid w:val="00837113"/>
    <w:rsid w:val="008408A5"/>
    <w:rsid w:val="008414E4"/>
    <w:rsid w:val="00843E21"/>
    <w:rsid w:val="0084508E"/>
    <w:rsid w:val="00857A8A"/>
    <w:rsid w:val="008630EE"/>
    <w:rsid w:val="00864D13"/>
    <w:rsid w:val="00867C9C"/>
    <w:rsid w:val="00870BFF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5BF9"/>
    <w:rsid w:val="008B7983"/>
    <w:rsid w:val="008C2511"/>
    <w:rsid w:val="008C649C"/>
    <w:rsid w:val="008D026D"/>
    <w:rsid w:val="008D23AB"/>
    <w:rsid w:val="008D4B8B"/>
    <w:rsid w:val="008D5A78"/>
    <w:rsid w:val="008E7B64"/>
    <w:rsid w:val="008F5DCD"/>
    <w:rsid w:val="00900951"/>
    <w:rsid w:val="00905EAD"/>
    <w:rsid w:val="009118A6"/>
    <w:rsid w:val="00916909"/>
    <w:rsid w:val="00916EC0"/>
    <w:rsid w:val="00920467"/>
    <w:rsid w:val="0092069E"/>
    <w:rsid w:val="00921DE7"/>
    <w:rsid w:val="0093041A"/>
    <w:rsid w:val="00930714"/>
    <w:rsid w:val="0093085A"/>
    <w:rsid w:val="00931B03"/>
    <w:rsid w:val="009323B9"/>
    <w:rsid w:val="00932DCE"/>
    <w:rsid w:val="0093327E"/>
    <w:rsid w:val="00934028"/>
    <w:rsid w:val="0093760E"/>
    <w:rsid w:val="00945E85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6A14"/>
    <w:rsid w:val="009971C2"/>
    <w:rsid w:val="009A1254"/>
    <w:rsid w:val="009A39E5"/>
    <w:rsid w:val="009B2FF2"/>
    <w:rsid w:val="009B380C"/>
    <w:rsid w:val="009B4843"/>
    <w:rsid w:val="009B5419"/>
    <w:rsid w:val="009B6543"/>
    <w:rsid w:val="009C199D"/>
    <w:rsid w:val="009C278F"/>
    <w:rsid w:val="009C2B94"/>
    <w:rsid w:val="009C3BB7"/>
    <w:rsid w:val="009C5874"/>
    <w:rsid w:val="009D3B5A"/>
    <w:rsid w:val="009E0C05"/>
    <w:rsid w:val="009E0D1C"/>
    <w:rsid w:val="009E2214"/>
    <w:rsid w:val="009E355A"/>
    <w:rsid w:val="009E5F6D"/>
    <w:rsid w:val="009E63E2"/>
    <w:rsid w:val="009E7EF9"/>
    <w:rsid w:val="009F04D2"/>
    <w:rsid w:val="009F05CF"/>
    <w:rsid w:val="009F0F3A"/>
    <w:rsid w:val="009F2D0C"/>
    <w:rsid w:val="00A00D81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0982"/>
    <w:rsid w:val="00A633D4"/>
    <w:rsid w:val="00A6461A"/>
    <w:rsid w:val="00A81C19"/>
    <w:rsid w:val="00A84504"/>
    <w:rsid w:val="00A8672F"/>
    <w:rsid w:val="00A93057"/>
    <w:rsid w:val="00A968B0"/>
    <w:rsid w:val="00A977A0"/>
    <w:rsid w:val="00AA02C6"/>
    <w:rsid w:val="00AB2672"/>
    <w:rsid w:val="00AB2817"/>
    <w:rsid w:val="00AB43C4"/>
    <w:rsid w:val="00AC32E7"/>
    <w:rsid w:val="00AC3A9F"/>
    <w:rsid w:val="00AC6D2F"/>
    <w:rsid w:val="00AD68B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00EB"/>
    <w:rsid w:val="00B40C60"/>
    <w:rsid w:val="00B479A9"/>
    <w:rsid w:val="00B528C0"/>
    <w:rsid w:val="00B52EDF"/>
    <w:rsid w:val="00B70C35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19D2"/>
    <w:rsid w:val="00BD499F"/>
    <w:rsid w:val="00BD56DE"/>
    <w:rsid w:val="00BF2406"/>
    <w:rsid w:val="00BF30D9"/>
    <w:rsid w:val="00C04CC8"/>
    <w:rsid w:val="00C06E43"/>
    <w:rsid w:val="00C16315"/>
    <w:rsid w:val="00C16498"/>
    <w:rsid w:val="00C27F82"/>
    <w:rsid w:val="00C3091E"/>
    <w:rsid w:val="00C40FF1"/>
    <w:rsid w:val="00C419E2"/>
    <w:rsid w:val="00C46E6C"/>
    <w:rsid w:val="00C5020E"/>
    <w:rsid w:val="00C5549A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6264"/>
    <w:rsid w:val="00C850A0"/>
    <w:rsid w:val="00C85A86"/>
    <w:rsid w:val="00C978F0"/>
    <w:rsid w:val="00CA58FE"/>
    <w:rsid w:val="00CB1CB1"/>
    <w:rsid w:val="00CB6B46"/>
    <w:rsid w:val="00CB6BC1"/>
    <w:rsid w:val="00CB6CB8"/>
    <w:rsid w:val="00CC1A68"/>
    <w:rsid w:val="00CC2123"/>
    <w:rsid w:val="00CD2BFD"/>
    <w:rsid w:val="00CE5AD6"/>
    <w:rsid w:val="00CE617F"/>
    <w:rsid w:val="00CE78EF"/>
    <w:rsid w:val="00D00EBF"/>
    <w:rsid w:val="00D048F7"/>
    <w:rsid w:val="00D0517E"/>
    <w:rsid w:val="00D1149E"/>
    <w:rsid w:val="00D140FC"/>
    <w:rsid w:val="00D17F1F"/>
    <w:rsid w:val="00D21D8C"/>
    <w:rsid w:val="00D309B9"/>
    <w:rsid w:val="00D31357"/>
    <w:rsid w:val="00D3167E"/>
    <w:rsid w:val="00D33220"/>
    <w:rsid w:val="00D334D1"/>
    <w:rsid w:val="00D44C89"/>
    <w:rsid w:val="00D516CD"/>
    <w:rsid w:val="00D668E6"/>
    <w:rsid w:val="00D70670"/>
    <w:rsid w:val="00D74D80"/>
    <w:rsid w:val="00D76624"/>
    <w:rsid w:val="00D8535B"/>
    <w:rsid w:val="00D87570"/>
    <w:rsid w:val="00D90AAD"/>
    <w:rsid w:val="00D91CB9"/>
    <w:rsid w:val="00D947CA"/>
    <w:rsid w:val="00D97989"/>
    <w:rsid w:val="00D97D8D"/>
    <w:rsid w:val="00DA352E"/>
    <w:rsid w:val="00DC7694"/>
    <w:rsid w:val="00DD16D6"/>
    <w:rsid w:val="00DD1BF6"/>
    <w:rsid w:val="00DD2F9B"/>
    <w:rsid w:val="00DE1024"/>
    <w:rsid w:val="00DE2513"/>
    <w:rsid w:val="00DE26E8"/>
    <w:rsid w:val="00DE624C"/>
    <w:rsid w:val="00DF3A86"/>
    <w:rsid w:val="00DF6F36"/>
    <w:rsid w:val="00E0084C"/>
    <w:rsid w:val="00E025AB"/>
    <w:rsid w:val="00E02B23"/>
    <w:rsid w:val="00E06F40"/>
    <w:rsid w:val="00E07CE8"/>
    <w:rsid w:val="00E11F7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6521"/>
    <w:rsid w:val="00EA74AB"/>
    <w:rsid w:val="00EB3D1B"/>
    <w:rsid w:val="00ED1D89"/>
    <w:rsid w:val="00ED66BC"/>
    <w:rsid w:val="00EE7439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214E"/>
    <w:rsid w:val="00F16019"/>
    <w:rsid w:val="00F20E68"/>
    <w:rsid w:val="00F22093"/>
    <w:rsid w:val="00F236DF"/>
    <w:rsid w:val="00F3328A"/>
    <w:rsid w:val="00F3465E"/>
    <w:rsid w:val="00F35C21"/>
    <w:rsid w:val="00F35C97"/>
    <w:rsid w:val="00F43AD5"/>
    <w:rsid w:val="00F4402E"/>
    <w:rsid w:val="00F56DD0"/>
    <w:rsid w:val="00F632F3"/>
    <w:rsid w:val="00F6411D"/>
    <w:rsid w:val="00F6491C"/>
    <w:rsid w:val="00F67BBB"/>
    <w:rsid w:val="00F82D5B"/>
    <w:rsid w:val="00F87BC6"/>
    <w:rsid w:val="00F87D92"/>
    <w:rsid w:val="00F90AA7"/>
    <w:rsid w:val="00F92498"/>
    <w:rsid w:val="00F9496B"/>
    <w:rsid w:val="00F95C62"/>
    <w:rsid w:val="00F970C9"/>
    <w:rsid w:val="00F975E3"/>
    <w:rsid w:val="00FA06A8"/>
    <w:rsid w:val="00FA372B"/>
    <w:rsid w:val="00FA3DF5"/>
    <w:rsid w:val="00FA741F"/>
    <w:rsid w:val="00FA78C7"/>
    <w:rsid w:val="00FA7FBA"/>
    <w:rsid w:val="00FB14F4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5814D5"/>
    <w:pPr>
      <w:numPr>
        <w:numId w:val="5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69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31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6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67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67E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37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cgih.org/tlv-bei-guidelines/policies-procedures-presenta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599BE4318CD4CC0836196E577CC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69F-48FE-4FF8-8C03-2D2A8FB34A20}"/>
      </w:docPartPr>
      <w:docPartBody>
        <w:p w:rsidR="00D21A9F" w:rsidRDefault="00D21A9F">
          <w:pPr>
            <w:pStyle w:val="0599BE4318CD4CC0836196E577CC292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0EC71D7404F1B9ACF0C9DAFE62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7B6E3-6ECE-4C26-92C1-517D692FB223}"/>
      </w:docPartPr>
      <w:docPartBody>
        <w:p w:rsidR="000B1BFB" w:rsidRDefault="00490265" w:rsidP="00490265">
          <w:pPr>
            <w:pStyle w:val="9660EC71D7404F1B9ACF0C9DAFE6286C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A311677E3CE14ACCBBD34D9C3289D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864A1-F19E-4DD7-96D3-9D9086B7B4A6}"/>
      </w:docPartPr>
      <w:docPartBody>
        <w:p w:rsidR="000B1BFB" w:rsidRDefault="00490265" w:rsidP="00490265">
          <w:pPr>
            <w:pStyle w:val="A311677E3CE14ACCBBD34D9C3289D9D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12428E9C7BC34FFFB5635788A21D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7F27F-DA7E-42E3-B305-E554BDB068A3}"/>
      </w:docPartPr>
      <w:docPartBody>
        <w:p w:rsidR="00624194" w:rsidRDefault="00C114EA" w:rsidP="00C114EA">
          <w:pPr>
            <w:pStyle w:val="12428E9C7BC34FFFB5635788A21D02FD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B1BFB"/>
    <w:rsid w:val="00234F24"/>
    <w:rsid w:val="002A5821"/>
    <w:rsid w:val="00490265"/>
    <w:rsid w:val="00624194"/>
    <w:rsid w:val="00A179DF"/>
    <w:rsid w:val="00A81E51"/>
    <w:rsid w:val="00C114EA"/>
    <w:rsid w:val="00C30177"/>
    <w:rsid w:val="00D21A9F"/>
    <w:rsid w:val="00E5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4E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46554FD6A3D9495CA3C9BB9F2587D647">
    <w:name w:val="46554FD6A3D9495CA3C9BB9F2587D647"/>
    <w:rsid w:val="00A179DF"/>
  </w:style>
  <w:style w:type="paragraph" w:customStyle="1" w:styleId="08832E94CB864C71BB292471A7ECA2E0">
    <w:name w:val="08832E94CB864C71BB292471A7ECA2E0"/>
    <w:rsid w:val="00A179DF"/>
  </w:style>
  <w:style w:type="paragraph" w:customStyle="1" w:styleId="426DD37A610C44828B905F83D68CE32C">
    <w:name w:val="426DD37A610C44828B905F83D68CE32C"/>
    <w:rsid w:val="00A179DF"/>
  </w:style>
  <w:style w:type="paragraph" w:customStyle="1" w:styleId="CD12382864B54D94B27B5D85FB20C06D">
    <w:name w:val="CD12382864B54D94B27B5D85FB20C06D"/>
    <w:rsid w:val="00A179DF"/>
  </w:style>
  <w:style w:type="paragraph" w:customStyle="1" w:styleId="0562829E08474C21AAA58CFF54A7F794">
    <w:name w:val="0562829E08474C21AAA58CFF54A7F794"/>
    <w:rsid w:val="00A179DF"/>
  </w:style>
  <w:style w:type="paragraph" w:customStyle="1" w:styleId="DBC98105459C4F82B32C773DE06CF824">
    <w:name w:val="DBC98105459C4F82B32C773DE06CF824"/>
    <w:rsid w:val="00490265"/>
    <w:rPr>
      <w:lang w:val="en-CA" w:eastAsia="en-CA"/>
    </w:rPr>
  </w:style>
  <w:style w:type="paragraph" w:customStyle="1" w:styleId="CC2FE847631144C0BCD5652CC7681C7A">
    <w:name w:val="CC2FE847631144C0BCD5652CC7681C7A"/>
    <w:rsid w:val="00490265"/>
    <w:rPr>
      <w:lang w:val="en-CA" w:eastAsia="en-CA"/>
    </w:rPr>
  </w:style>
  <w:style w:type="paragraph" w:customStyle="1" w:styleId="71EB1E3515A74368AE08B1B4BC244449">
    <w:name w:val="71EB1E3515A74368AE08B1B4BC244449"/>
    <w:rsid w:val="00490265"/>
    <w:rPr>
      <w:lang w:val="en-CA" w:eastAsia="en-CA"/>
    </w:rPr>
  </w:style>
  <w:style w:type="paragraph" w:customStyle="1" w:styleId="9660EC71D7404F1B9ACF0C9DAFE6286C">
    <w:name w:val="9660EC71D7404F1B9ACF0C9DAFE6286C"/>
    <w:rsid w:val="00490265"/>
    <w:rPr>
      <w:lang w:val="en-CA" w:eastAsia="en-CA"/>
    </w:rPr>
  </w:style>
  <w:style w:type="paragraph" w:customStyle="1" w:styleId="475BB2DB88894DD48C5292E8ACEC3533">
    <w:name w:val="475BB2DB88894DD48C5292E8ACEC3533"/>
    <w:rsid w:val="00490265"/>
    <w:rPr>
      <w:lang w:val="en-CA" w:eastAsia="en-CA"/>
    </w:rPr>
  </w:style>
  <w:style w:type="paragraph" w:customStyle="1" w:styleId="FDA8C3E81CFF47DC9C5754A9058AF4F9">
    <w:name w:val="FDA8C3E81CFF47DC9C5754A9058AF4F9"/>
    <w:rsid w:val="00490265"/>
    <w:rPr>
      <w:lang w:val="en-CA" w:eastAsia="en-CA"/>
    </w:rPr>
  </w:style>
  <w:style w:type="paragraph" w:customStyle="1" w:styleId="20BA1C922F9143FE8AF9AADC5F0DF5B1">
    <w:name w:val="20BA1C922F9143FE8AF9AADC5F0DF5B1"/>
    <w:rsid w:val="00490265"/>
    <w:rPr>
      <w:lang w:val="en-CA" w:eastAsia="en-CA"/>
    </w:rPr>
  </w:style>
  <w:style w:type="paragraph" w:customStyle="1" w:styleId="A311677E3CE14ACCBBD34D9C3289D9D8">
    <w:name w:val="A311677E3CE14ACCBBD34D9C3289D9D8"/>
    <w:rsid w:val="00490265"/>
    <w:rPr>
      <w:lang w:val="en-CA" w:eastAsia="en-CA"/>
    </w:rPr>
  </w:style>
  <w:style w:type="paragraph" w:customStyle="1" w:styleId="12428E9C7BC34FFFB5635788A21D02FD">
    <w:name w:val="12428E9C7BC34FFFB5635788A21D02FD"/>
    <w:rsid w:val="00C11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7226-3776-487F-BFAD-A3E5AB66DC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49C934-C5A5-4362-88BA-097CA5005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FC532-C1DC-46E2-A6BC-C89ED3959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00D0E-029E-4444-99C1-F288EC6D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E26D7D4C.dotm</Template>
  <TotalTime>0</TotalTime>
  <Pages>5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2019-10-29T22:06:00Z</dcterms:created>
  <dcterms:modified xsi:type="dcterms:W3CDTF">2019-11-06T23:04:00Z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