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291F" w14:textId="405E4F6E" w:rsidR="00BD499F" w:rsidRPr="004C23F4" w:rsidRDefault="00223FD7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8819FC" w:rsidRPr="008819FC">
            <w:rPr>
              <w:rFonts w:ascii="Arial" w:hAnsi="Arial" w:cs="Arial"/>
            </w:rPr>
            <w:t>Dimethyl ether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27F806F6" w14:textId="77777777" w:rsidTr="003978C9">
        <w:trPr>
          <w:cantSplit/>
          <w:tblHeader/>
        </w:trPr>
        <w:tc>
          <w:tcPr>
            <w:tcW w:w="3982" w:type="dxa"/>
          </w:tcPr>
          <w:p w14:paraId="756386A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4" w:type="dxa"/>
          </w:tcPr>
          <w:p w14:paraId="06312F80" w14:textId="663CFDEB" w:rsidR="00F43AD5" w:rsidRPr="00717D45" w:rsidRDefault="00716CF5" w:rsidP="00B76A41">
            <w:pPr>
              <w:pStyle w:val="Tablefont"/>
            </w:pPr>
            <w:r w:rsidRPr="00716CF5">
              <w:t>115-10-6</w:t>
            </w:r>
          </w:p>
        </w:tc>
      </w:tr>
      <w:tr w:rsidR="00F43AD5" w:rsidRPr="004C23F4" w14:paraId="0F01853A" w14:textId="77777777" w:rsidTr="003978C9">
        <w:trPr>
          <w:cantSplit/>
        </w:trPr>
        <w:tc>
          <w:tcPr>
            <w:tcW w:w="3982" w:type="dxa"/>
          </w:tcPr>
          <w:p w14:paraId="712FCD74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4" w:type="dxa"/>
          </w:tcPr>
          <w:p w14:paraId="51E9BCEC" w14:textId="4DD08558" w:rsidR="00F43AD5" w:rsidRPr="00717D45" w:rsidRDefault="00716CF5" w:rsidP="00B76A41">
            <w:pPr>
              <w:pStyle w:val="Tablefont"/>
            </w:pPr>
            <w:r>
              <w:t xml:space="preserve">DME, </w:t>
            </w:r>
            <w:r w:rsidR="00E931D2">
              <w:t xml:space="preserve">methyl </w:t>
            </w:r>
            <w:r>
              <w:t xml:space="preserve">ether, </w:t>
            </w:r>
            <w:proofErr w:type="spellStart"/>
            <w:r w:rsidR="00E931D2">
              <w:t>oxybismethane</w:t>
            </w:r>
            <w:proofErr w:type="spellEnd"/>
            <w:r w:rsidR="00C60E23">
              <w:t>, wood ether</w:t>
            </w:r>
          </w:p>
        </w:tc>
      </w:tr>
      <w:tr w:rsidR="00F43AD5" w:rsidRPr="004C23F4" w14:paraId="6EB789EE" w14:textId="77777777" w:rsidTr="003978C9">
        <w:trPr>
          <w:cantSplit/>
        </w:trPr>
        <w:tc>
          <w:tcPr>
            <w:tcW w:w="3982" w:type="dxa"/>
          </w:tcPr>
          <w:p w14:paraId="4860AD3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4" w:type="dxa"/>
          </w:tcPr>
          <w:p w14:paraId="3FE27BE3" w14:textId="4EEED236" w:rsidR="00F43AD5" w:rsidRPr="00717D45" w:rsidRDefault="00716CF5" w:rsidP="00B76A41">
            <w:pPr>
              <w:pStyle w:val="Tablefont"/>
            </w:pPr>
            <w:r>
              <w:t>C</w:t>
            </w:r>
            <w:r w:rsidRPr="00716CF5">
              <w:rPr>
                <w:vertAlign w:val="subscript"/>
              </w:rPr>
              <w:t>2</w:t>
            </w:r>
            <w:r>
              <w:t>H</w:t>
            </w:r>
            <w:r w:rsidRPr="00716CF5">
              <w:rPr>
                <w:vertAlign w:val="subscript"/>
              </w:rPr>
              <w:t>6</w:t>
            </w:r>
            <w:r>
              <w:t>O</w:t>
            </w:r>
          </w:p>
        </w:tc>
      </w:tr>
    </w:tbl>
    <w:p w14:paraId="42C99BAA" w14:textId="4E6F5AC5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65D6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3D851E10" w14:textId="77777777" w:rsidTr="007C0773">
        <w:trPr>
          <w:cantSplit/>
          <w:tblHeader/>
        </w:trPr>
        <w:tc>
          <w:tcPr>
            <w:tcW w:w="4005" w:type="dxa"/>
            <w:vAlign w:val="center"/>
          </w:tcPr>
          <w:p w14:paraId="4B659BB4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14132528" w14:textId="3FFC4022" w:rsidR="002C7AFE" w:rsidRPr="00EB3D1B" w:rsidRDefault="00065D6A" w:rsidP="00017C82">
            <w:pPr>
              <w:pStyle w:val="Tablefont"/>
              <w:rPr>
                <w:b/>
              </w:rPr>
            </w:pPr>
            <w:r w:rsidRPr="00065D6A">
              <w:rPr>
                <w:b/>
              </w:rPr>
              <w:t>400 ppm (760 mg/m</w:t>
            </w:r>
            <w:r w:rsidRPr="00065D6A">
              <w:rPr>
                <w:b/>
                <w:vertAlign w:val="superscript"/>
              </w:rPr>
              <w:t>3</w:t>
            </w:r>
            <w:r w:rsidRPr="00065D6A">
              <w:rPr>
                <w:b/>
              </w:rPr>
              <w:t>)</w:t>
            </w:r>
          </w:p>
        </w:tc>
      </w:tr>
      <w:tr w:rsidR="002C7AFE" w:rsidRPr="004C23F4" w14:paraId="2619CD42" w14:textId="77777777" w:rsidTr="007C0773">
        <w:trPr>
          <w:cantSplit/>
        </w:trPr>
        <w:tc>
          <w:tcPr>
            <w:tcW w:w="4005" w:type="dxa"/>
            <w:vAlign w:val="center"/>
          </w:tcPr>
          <w:p w14:paraId="36DF1DE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88C36AA" w14:textId="4613F0B9" w:rsidR="002C7AFE" w:rsidRPr="00EB3D1B" w:rsidRDefault="00065D6A" w:rsidP="00017C82">
            <w:pPr>
              <w:pStyle w:val="Tablefont"/>
              <w:rPr>
                <w:b/>
              </w:rPr>
            </w:pPr>
            <w:r w:rsidRPr="00065D6A">
              <w:rPr>
                <w:b/>
              </w:rPr>
              <w:t>500 ppm (950 mg/m</w:t>
            </w:r>
            <w:r w:rsidRPr="00065D6A">
              <w:rPr>
                <w:b/>
                <w:vertAlign w:val="superscript"/>
              </w:rPr>
              <w:t>3</w:t>
            </w:r>
            <w:r w:rsidRPr="00065D6A">
              <w:rPr>
                <w:b/>
              </w:rPr>
              <w:t>)</w:t>
            </w:r>
          </w:p>
        </w:tc>
      </w:tr>
      <w:tr w:rsidR="002C7AFE" w:rsidRPr="004C23F4" w14:paraId="66F5893F" w14:textId="77777777" w:rsidTr="007C0773">
        <w:trPr>
          <w:cantSplit/>
        </w:trPr>
        <w:tc>
          <w:tcPr>
            <w:tcW w:w="4005" w:type="dxa"/>
            <w:vAlign w:val="center"/>
          </w:tcPr>
          <w:p w14:paraId="46E42AFA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A519608" w14:textId="59B99BE3" w:rsidR="002C7AFE" w:rsidRPr="00EB3D1B" w:rsidRDefault="00065D6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AD4E55A" w14:textId="77777777" w:rsidTr="007C0773">
        <w:trPr>
          <w:cantSplit/>
        </w:trPr>
        <w:tc>
          <w:tcPr>
            <w:tcW w:w="4005" w:type="dxa"/>
          </w:tcPr>
          <w:p w14:paraId="749F15A4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160E3A07" w14:textId="2BC0941D" w:rsidR="002C7AFE" w:rsidRPr="00EB3D1B" w:rsidRDefault="00065D6A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9711202" w14:textId="77777777" w:rsidTr="007C0773">
        <w:trPr>
          <w:cantSplit/>
        </w:trPr>
        <w:tc>
          <w:tcPr>
            <w:tcW w:w="4005" w:type="dxa"/>
            <w:vAlign w:val="center"/>
          </w:tcPr>
          <w:p w14:paraId="146F7A20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13ACDB98" w14:textId="0A084B10" w:rsidR="002C7AFE" w:rsidRPr="00065D6A" w:rsidRDefault="00716CF5" w:rsidP="00017C82">
            <w:pPr>
              <w:pStyle w:val="Tablefont"/>
              <w:rPr>
                <w:b/>
              </w:rPr>
            </w:pPr>
            <w:r w:rsidRPr="00065D6A">
              <w:rPr>
                <w:b/>
              </w:rPr>
              <w:t>—</w:t>
            </w:r>
          </w:p>
        </w:tc>
      </w:tr>
      <w:tr w:rsidR="007C0773" w:rsidRPr="004C23F4" w14:paraId="78C24295" w14:textId="77777777" w:rsidTr="00B975EA">
        <w:trPr>
          <w:cantSplit/>
        </w:trPr>
        <w:tc>
          <w:tcPr>
            <w:tcW w:w="9026" w:type="dxa"/>
            <w:gridSpan w:val="2"/>
            <w:vAlign w:val="center"/>
          </w:tcPr>
          <w:p w14:paraId="1A137D7F" w14:textId="60BC138F" w:rsidR="007C0773" w:rsidRPr="00EB3D1B" w:rsidRDefault="007C0773" w:rsidP="00017C82">
            <w:pPr>
              <w:pStyle w:val="Tablefont"/>
              <w:rPr>
                <w:b/>
              </w:rPr>
            </w:pPr>
            <w:r w:rsidRPr="007301C0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741CEA3A7FA745EABD7EF855BBEF0E8D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7301C0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F8138F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B73A98F" w14:textId="5BD217D3" w:rsidR="006639B4" w:rsidRPr="004C23F4" w:rsidRDefault="00004BD2" w:rsidP="000C139A">
      <w:pPr>
        <w:rPr>
          <w:rFonts w:cs="Arial"/>
        </w:rPr>
      </w:pPr>
      <w:r w:rsidRPr="00004BD2">
        <w:rPr>
          <w:rFonts w:cs="Arial"/>
        </w:rPr>
        <w:t xml:space="preserve">A TWA of </w:t>
      </w:r>
      <w:r>
        <w:rPr>
          <w:rFonts w:cs="Arial"/>
        </w:rPr>
        <w:t>400</w:t>
      </w:r>
      <w:r w:rsidRPr="00004BD2">
        <w:rPr>
          <w:rFonts w:cs="Arial"/>
        </w:rPr>
        <w:t xml:space="preserve"> ppm (</w:t>
      </w:r>
      <w:r>
        <w:rPr>
          <w:rFonts w:cs="Arial"/>
        </w:rPr>
        <w:t>760</w:t>
      </w:r>
      <w:r w:rsidRPr="00004BD2">
        <w:rPr>
          <w:rFonts w:cs="Arial"/>
        </w:rPr>
        <w:t xml:space="preserve"> mg/m</w:t>
      </w:r>
      <w:r w:rsidRPr="00004BD2">
        <w:rPr>
          <w:rFonts w:cs="Arial"/>
          <w:vertAlign w:val="superscript"/>
        </w:rPr>
        <w:t>3</w:t>
      </w:r>
      <w:r w:rsidRPr="00004BD2">
        <w:rPr>
          <w:rFonts w:cs="Arial"/>
        </w:rPr>
        <w:t xml:space="preserve">) </w:t>
      </w:r>
      <w:r w:rsidR="00065D6A">
        <w:rPr>
          <w:rFonts w:cs="Arial"/>
        </w:rPr>
        <w:t>and STEL of 500 ppm (</w:t>
      </w:r>
      <w:r w:rsidR="00065D6A" w:rsidRPr="00065D6A">
        <w:rPr>
          <w:rFonts w:cs="Arial"/>
        </w:rPr>
        <w:t>950 mg/m</w:t>
      </w:r>
      <w:r w:rsidR="00065D6A" w:rsidRPr="00065D6A">
        <w:rPr>
          <w:rFonts w:cs="Arial"/>
          <w:vertAlign w:val="superscript"/>
        </w:rPr>
        <w:t>3</w:t>
      </w:r>
      <w:r w:rsidR="00065D6A">
        <w:rPr>
          <w:rFonts w:cs="Arial"/>
        </w:rPr>
        <w:t>)</w:t>
      </w:r>
      <w:r w:rsidR="00065D6A" w:rsidRPr="00065D6A">
        <w:rPr>
          <w:rFonts w:cs="Arial"/>
        </w:rPr>
        <w:t xml:space="preserve"> </w:t>
      </w:r>
      <w:r w:rsidR="00065D6A">
        <w:rPr>
          <w:rFonts w:cs="Arial"/>
        </w:rPr>
        <w:t>are</w:t>
      </w:r>
      <w:r w:rsidRPr="00004BD2">
        <w:rPr>
          <w:rFonts w:cs="Arial"/>
        </w:rPr>
        <w:t xml:space="preserve"> </w:t>
      </w:r>
      <w:r w:rsidR="0001761C">
        <w:rPr>
          <w:rFonts w:cs="Arial"/>
        </w:rPr>
        <w:t>recommended</w:t>
      </w:r>
      <w:r w:rsidRPr="00004BD2">
        <w:rPr>
          <w:rFonts w:cs="Arial"/>
        </w:rPr>
        <w:t xml:space="preserve"> to protect for </w:t>
      </w:r>
      <w:r w:rsidR="00065D6A">
        <w:rPr>
          <w:rFonts w:cs="Arial"/>
        </w:rPr>
        <w:t xml:space="preserve">mild </w:t>
      </w:r>
      <w:r>
        <w:rPr>
          <w:rFonts w:cs="Arial"/>
        </w:rPr>
        <w:t xml:space="preserve">central nervous </w:t>
      </w:r>
      <w:r w:rsidR="0005230B">
        <w:rPr>
          <w:rFonts w:cs="Arial"/>
        </w:rPr>
        <w:t xml:space="preserve">system (CNS) </w:t>
      </w:r>
      <w:r>
        <w:rPr>
          <w:rFonts w:cs="Arial"/>
        </w:rPr>
        <w:t xml:space="preserve">effects </w:t>
      </w:r>
      <w:r w:rsidRPr="00004BD2">
        <w:rPr>
          <w:rFonts w:cs="Arial"/>
        </w:rPr>
        <w:t xml:space="preserve">and </w:t>
      </w:r>
      <w:r w:rsidR="0005230B">
        <w:rPr>
          <w:rFonts w:cs="Arial"/>
        </w:rPr>
        <w:t xml:space="preserve">the </w:t>
      </w:r>
      <w:r w:rsidR="00065D6A">
        <w:rPr>
          <w:rFonts w:cs="Arial"/>
        </w:rPr>
        <w:t xml:space="preserve">potential </w:t>
      </w:r>
      <w:r w:rsidR="0005230B">
        <w:rPr>
          <w:rFonts w:cs="Arial"/>
        </w:rPr>
        <w:t xml:space="preserve">for </w:t>
      </w:r>
      <w:r w:rsidRPr="00004BD2">
        <w:rPr>
          <w:rFonts w:cs="Arial"/>
        </w:rPr>
        <w:t xml:space="preserve">chronic </w:t>
      </w:r>
      <w:r w:rsidR="00065D6A">
        <w:rPr>
          <w:rFonts w:cs="Arial"/>
        </w:rPr>
        <w:t>systemic toxicity in exposed workers.</w:t>
      </w:r>
    </w:p>
    <w:p w14:paraId="0F3CAB85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15185FD" w14:textId="77777777" w:rsidR="0005230B" w:rsidRDefault="00D2408F" w:rsidP="006639B4">
      <w:pPr>
        <w:rPr>
          <w:rFonts w:cs="Arial"/>
        </w:rPr>
      </w:pPr>
      <w:r>
        <w:rPr>
          <w:rFonts w:cs="Arial"/>
        </w:rPr>
        <w:t>Dimethyl ether is a gas under standard conditions and is</w:t>
      </w:r>
      <w:r w:rsidR="00DA6374">
        <w:rPr>
          <w:rFonts w:cs="Arial"/>
        </w:rPr>
        <w:t xml:space="preserve"> used </w:t>
      </w:r>
      <w:r>
        <w:rPr>
          <w:rFonts w:cs="Arial"/>
        </w:rPr>
        <w:t xml:space="preserve">as </w:t>
      </w:r>
      <w:r w:rsidR="00DA6374">
        <w:rPr>
          <w:rFonts w:cs="Arial"/>
        </w:rPr>
        <w:t>a propellant for aerosols.</w:t>
      </w:r>
      <w:r>
        <w:rPr>
          <w:rFonts w:cs="Arial"/>
        </w:rPr>
        <w:t xml:space="preserve"> </w:t>
      </w:r>
    </w:p>
    <w:p w14:paraId="258CB541" w14:textId="63A769A9" w:rsidR="006639B4" w:rsidRDefault="0005230B" w:rsidP="006639B4">
      <w:pPr>
        <w:rPr>
          <w:rFonts w:cs="Arial"/>
        </w:rPr>
      </w:pPr>
      <w:r>
        <w:rPr>
          <w:rFonts w:cs="Arial"/>
        </w:rPr>
        <w:t xml:space="preserve">Available data suggest very low relative toxicity as indicated by acute and chronic animal inhalation studies (DFG, 1990). </w:t>
      </w:r>
      <w:r w:rsidR="00D2408F">
        <w:rPr>
          <w:rFonts w:cs="Arial"/>
        </w:rPr>
        <w:t xml:space="preserve">Critical effects </w:t>
      </w:r>
      <w:r>
        <w:rPr>
          <w:rFonts w:cs="Arial"/>
        </w:rPr>
        <w:t>include</w:t>
      </w:r>
      <w:r w:rsidR="00D2408F">
        <w:rPr>
          <w:rFonts w:cs="Arial"/>
        </w:rPr>
        <w:t xml:space="preserve"> </w:t>
      </w:r>
      <w:r>
        <w:rPr>
          <w:rFonts w:cs="Arial"/>
        </w:rPr>
        <w:t>CNS</w:t>
      </w:r>
      <w:r w:rsidR="00D2408F">
        <w:rPr>
          <w:rFonts w:cs="Arial"/>
        </w:rPr>
        <w:t xml:space="preserve"> depression at acute exposures above 50,000 ppm in humans</w:t>
      </w:r>
      <w:r>
        <w:rPr>
          <w:rFonts w:cs="Arial"/>
        </w:rPr>
        <w:t>.</w:t>
      </w:r>
      <w:r w:rsidR="00D2408F">
        <w:rPr>
          <w:rFonts w:cs="Arial"/>
        </w:rPr>
        <w:t xml:space="preserve"> </w:t>
      </w:r>
      <w:r>
        <w:rPr>
          <w:rFonts w:cs="Arial"/>
        </w:rPr>
        <w:t>B</w:t>
      </w:r>
      <w:r w:rsidR="00D2408F">
        <w:rPr>
          <w:rFonts w:cs="Arial"/>
        </w:rPr>
        <w:t>ody</w:t>
      </w:r>
      <w:r>
        <w:rPr>
          <w:rFonts w:cs="Arial"/>
        </w:rPr>
        <w:t xml:space="preserve"> </w:t>
      </w:r>
      <w:r w:rsidR="00D2408F">
        <w:rPr>
          <w:rFonts w:cs="Arial"/>
        </w:rPr>
        <w:t>weight gai</w:t>
      </w:r>
      <w:r w:rsidR="003978C9">
        <w:rPr>
          <w:rFonts w:cs="Arial"/>
        </w:rPr>
        <w:t>n and reduced life expectancy are</w:t>
      </w:r>
      <w:r w:rsidR="00D2408F">
        <w:rPr>
          <w:rFonts w:cs="Arial"/>
        </w:rPr>
        <w:t xml:space="preserve"> reported in chronic exposure studies above 2,000 ppm in rats (DFG, 1990). </w:t>
      </w:r>
    </w:p>
    <w:p w14:paraId="168E4F48" w14:textId="097F365B" w:rsidR="00D2408F" w:rsidRDefault="00D2408F" w:rsidP="006639B4">
      <w:pPr>
        <w:rPr>
          <w:rFonts w:cs="Arial"/>
        </w:rPr>
      </w:pPr>
      <w:r>
        <w:rPr>
          <w:rFonts w:cs="Arial"/>
        </w:rPr>
        <w:t xml:space="preserve">The </w:t>
      </w:r>
      <w:r w:rsidR="00004BD2">
        <w:rPr>
          <w:rFonts w:cs="Arial"/>
        </w:rPr>
        <w:t>current</w:t>
      </w:r>
      <w:r>
        <w:rPr>
          <w:rFonts w:cs="Arial"/>
        </w:rPr>
        <w:t xml:space="preserve"> TWA is</w:t>
      </w:r>
      <w:r w:rsidR="0005230B">
        <w:rPr>
          <w:rFonts w:cs="Arial"/>
        </w:rPr>
        <w:t xml:space="preserve"> recommended to be</w:t>
      </w:r>
      <w:r>
        <w:rPr>
          <w:rFonts w:cs="Arial"/>
        </w:rPr>
        <w:t xml:space="preserve"> </w:t>
      </w:r>
      <w:r w:rsidR="00004BD2">
        <w:rPr>
          <w:rFonts w:cs="Arial"/>
        </w:rPr>
        <w:t xml:space="preserve">retained </w:t>
      </w:r>
      <w:r w:rsidR="0005230B">
        <w:rPr>
          <w:rFonts w:cs="Arial"/>
        </w:rPr>
        <w:t>as it is considered to protect for the critical end points reported at high concentrations</w:t>
      </w:r>
      <w:r w:rsidR="00004BD2">
        <w:rPr>
          <w:rFonts w:cs="Arial"/>
        </w:rPr>
        <w:t xml:space="preserve">. </w:t>
      </w:r>
      <w:r w:rsidR="0005230B">
        <w:rPr>
          <w:rFonts w:cs="Arial"/>
        </w:rPr>
        <w:t>As</w:t>
      </w:r>
      <w:r w:rsidR="00004BD2">
        <w:rPr>
          <w:rFonts w:cs="Arial"/>
        </w:rPr>
        <w:t xml:space="preserve"> potential </w:t>
      </w:r>
      <w:r w:rsidR="00065D6A">
        <w:rPr>
          <w:rFonts w:cs="Arial"/>
        </w:rPr>
        <w:t xml:space="preserve">adverse </w:t>
      </w:r>
      <w:r w:rsidR="00004BD2">
        <w:rPr>
          <w:rFonts w:cs="Arial"/>
        </w:rPr>
        <w:t xml:space="preserve">effects </w:t>
      </w:r>
      <w:r w:rsidR="0005230B">
        <w:rPr>
          <w:rFonts w:cs="Arial"/>
        </w:rPr>
        <w:t>are expected</w:t>
      </w:r>
      <w:r w:rsidR="00004BD2">
        <w:rPr>
          <w:rFonts w:cs="Arial"/>
        </w:rPr>
        <w:t xml:space="preserve"> within an order of magnitude of the TWA concentration, a STEL of 500 ppm is recommended to protect for systemic effects observed in rats, </w:t>
      </w:r>
      <w:r w:rsidR="00065D6A">
        <w:rPr>
          <w:rFonts w:cs="Arial"/>
        </w:rPr>
        <w:t>which</w:t>
      </w:r>
      <w:r w:rsidR="00004BD2">
        <w:rPr>
          <w:rFonts w:cs="Arial"/>
        </w:rPr>
        <w:t xml:space="preserve"> is supported by the recommendation by HSE (2002).</w:t>
      </w:r>
    </w:p>
    <w:p w14:paraId="22125156" w14:textId="77777777" w:rsidR="004529F0" w:rsidRPr="004C23F4" w:rsidRDefault="004529F0" w:rsidP="00E931D2">
      <w:pPr>
        <w:pStyle w:val="Heading2"/>
      </w:pPr>
      <w:r>
        <w:t>Recommendation for notations</w:t>
      </w:r>
    </w:p>
    <w:p w14:paraId="75047F95" w14:textId="51AAD9F8" w:rsidR="00716CF5" w:rsidRPr="00716CF5" w:rsidRDefault="00716CF5" w:rsidP="00C55205">
      <w:r w:rsidRPr="00716CF5">
        <w:t>Not classified as a carcinogen according to the Globally Harmonized System of Classification and Labelli</w:t>
      </w:r>
      <w:r w:rsidR="00E07A42">
        <w:t>ng o</w:t>
      </w:r>
      <w:r w:rsidR="007C0773">
        <w:t>f</w:t>
      </w:r>
      <w:r w:rsidRPr="00716CF5">
        <w:t xml:space="preserve"> Chemicals (GHS). </w:t>
      </w:r>
    </w:p>
    <w:p w14:paraId="489F77C8" w14:textId="35A29723" w:rsidR="00716CF5" w:rsidRPr="00716CF5" w:rsidRDefault="00716CF5" w:rsidP="00C55205">
      <w:r w:rsidRPr="00716CF5">
        <w:t xml:space="preserve">Not classified as a skin </w:t>
      </w:r>
      <w:r w:rsidR="00E07A42" w:rsidRPr="00716CF5">
        <w:t xml:space="preserve">sensitiser </w:t>
      </w:r>
      <w:r w:rsidRPr="00716CF5">
        <w:t>or respiratory sensitiser according to the GHS.</w:t>
      </w:r>
    </w:p>
    <w:p w14:paraId="04D17CE2" w14:textId="77777777" w:rsidR="0001761C" w:rsidRDefault="0001761C" w:rsidP="0001761C">
      <w:pPr>
        <w:rPr>
          <w:rFonts w:cs="Arial"/>
        </w:rPr>
      </w:pPr>
      <w:r>
        <w:rPr>
          <w:rFonts w:cs="Arial"/>
        </w:rPr>
        <w:t>There are insufficient data to recommend a skin notation.</w:t>
      </w:r>
    </w:p>
    <w:p w14:paraId="21FE2628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E0A9E6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86CA9E4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5107DF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2BBE780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8A00AE0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BD2E25" w14:textId="5ECCD9F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978C9">
                  <w:t>2002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16CF5">
                  <w:t>TWA: 400 ppm (760 mg/m</w:t>
                </w:r>
                <w:r w:rsidR="00716CF5" w:rsidRPr="00716CF5">
                  <w:rPr>
                    <w:vertAlign w:val="superscript"/>
                  </w:rPr>
                  <w:t>3</w:t>
                </w:r>
                <w:r w:rsidR="00716CF5">
                  <w:t>); STEL: 500 ppm (950 mg/m</w:t>
                </w:r>
                <w:r w:rsidR="00716CF5" w:rsidRPr="00716CF5">
                  <w:rPr>
                    <w:vertAlign w:val="superscript"/>
                  </w:rPr>
                  <w:t>3</w:t>
                </w:r>
                <w:r w:rsidR="00716CF5">
                  <w:t>)</w:t>
                </w:r>
              </w:sdtContent>
            </w:sdt>
          </w:p>
        </w:tc>
      </w:tr>
      <w:tr w:rsidR="00C978F0" w:rsidRPr="00DA352E" w14:paraId="3C298A5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9BF83E3" w14:textId="0AACA0C2" w:rsidR="00C978F0" w:rsidRDefault="003978C9" w:rsidP="003365A5">
            <w:pPr>
              <w:pStyle w:val="Tabletextprimarysource"/>
            </w:pPr>
            <w:r>
              <w:t>Assigned from HSE in 2002.</w:t>
            </w:r>
          </w:p>
          <w:p w14:paraId="5F6C37E5" w14:textId="77777777" w:rsidR="003978C9" w:rsidRDefault="003978C9" w:rsidP="003978C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Considered of very low toxicity</w:t>
            </w:r>
          </w:p>
          <w:p w14:paraId="76EC0F63" w14:textId="77777777" w:rsidR="003978C9" w:rsidRDefault="003978C9" w:rsidP="003978C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NOAEC at least 2000 ppm in rats</w:t>
            </w:r>
          </w:p>
          <w:p w14:paraId="178C127C" w14:textId="77777777" w:rsidR="003978C9" w:rsidRDefault="003978C9" w:rsidP="003978C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TWA assigned to take account of concerns over potential CNS effects</w:t>
            </w:r>
          </w:p>
          <w:p w14:paraId="74E84AF6" w14:textId="77777777" w:rsidR="003978C9" w:rsidRDefault="003978C9" w:rsidP="003978C9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STEL assigned for both diethyl ether and dimethyl ether to protect for irritation.</w:t>
            </w:r>
          </w:p>
          <w:p w14:paraId="7ECDE726" w14:textId="6139791D" w:rsidR="003978C9" w:rsidRPr="00DA352E" w:rsidRDefault="003978C9" w:rsidP="003978C9">
            <w:pPr>
              <w:pStyle w:val="Tabletextprimarysource"/>
            </w:pPr>
          </w:p>
        </w:tc>
      </w:tr>
      <w:tr w:rsidR="00C978F0" w:rsidRPr="00DA352E" w14:paraId="37720E6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AD67C1" w14:textId="3C4B4EF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16CF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716CF5">
                  <w:t>NA</w:t>
                </w:r>
                <w:proofErr w:type="spellEnd"/>
              </w:sdtContent>
            </w:sdt>
          </w:p>
        </w:tc>
      </w:tr>
      <w:tr w:rsidR="00C978F0" w:rsidRPr="00DA352E" w14:paraId="61E070D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D9FADEF" w14:textId="1692A829" w:rsidR="00C978F0" w:rsidRPr="00DA352E" w:rsidRDefault="00716CF5" w:rsidP="003365A5">
            <w:pPr>
              <w:pStyle w:val="Tabletextprimarysource"/>
            </w:pPr>
            <w:r>
              <w:t>No report</w:t>
            </w:r>
            <w:r w:rsidR="007C0773">
              <w:t>.</w:t>
            </w:r>
          </w:p>
        </w:tc>
      </w:tr>
      <w:tr w:rsidR="00C978F0" w:rsidRPr="00DA352E" w14:paraId="5F1C9CC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A5662E3" w14:textId="614F139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16CF5">
                  <w:t>1988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16CF5">
                  <w:t>MAK: 1</w:t>
                </w:r>
                <w:r w:rsidR="00C60E23">
                  <w:t>,</w:t>
                </w:r>
                <w:r w:rsidR="00716CF5">
                  <w:t>000 ppm (1</w:t>
                </w:r>
                <w:r w:rsidR="00C60E23">
                  <w:t>,</w:t>
                </w:r>
                <w:r w:rsidR="00716CF5">
                  <w:t>910 mg/m</w:t>
                </w:r>
                <w:r w:rsidR="00716CF5" w:rsidRPr="00716CF5">
                  <w:rPr>
                    <w:vertAlign w:val="superscript"/>
                  </w:rPr>
                  <w:t>3</w:t>
                </w:r>
                <w:r w:rsidR="00716CF5">
                  <w:t>)</w:t>
                </w:r>
              </w:sdtContent>
            </w:sdt>
          </w:p>
        </w:tc>
      </w:tr>
      <w:tr w:rsidR="00C978F0" w:rsidRPr="00C00F21" w14:paraId="182BC89D" w14:textId="77777777" w:rsidTr="003978C9">
        <w:trPr>
          <w:gridAfter w:val="1"/>
          <w:wAfter w:w="8" w:type="pct"/>
        </w:trPr>
        <w:tc>
          <w:tcPr>
            <w:tcW w:w="4992" w:type="pct"/>
          </w:tcPr>
          <w:p w14:paraId="39E23FD8" w14:textId="07FB70CD" w:rsidR="00C60E23" w:rsidRDefault="00C60E23" w:rsidP="003365A5">
            <w:pPr>
              <w:pStyle w:val="Tabletextprimarysource"/>
            </w:pPr>
            <w:r>
              <w:t>Summary of data:</w:t>
            </w:r>
          </w:p>
          <w:p w14:paraId="60E0AB1F" w14:textId="0B78E250" w:rsidR="00C978F0" w:rsidRDefault="00AC03EA" w:rsidP="003365A5">
            <w:pPr>
              <w:pStyle w:val="Tabletextprimarysource"/>
            </w:pPr>
            <w:r>
              <w:t>MAK set at 1,000 ppm</w:t>
            </w:r>
            <w:r w:rsidR="00C60E23">
              <w:t xml:space="preserve"> and expected to protect for narcotic effects. </w:t>
            </w:r>
            <w:proofErr w:type="gramStart"/>
            <w:r w:rsidR="00DB270C">
              <w:t>based</w:t>
            </w:r>
            <w:proofErr w:type="gramEnd"/>
            <w:r w:rsidR="00DB270C">
              <w:t xml:space="preserve"> on a LOAEL of </w:t>
            </w:r>
            <w:r w:rsidR="0005230B">
              <w:br/>
            </w:r>
            <w:r w:rsidR="00DB270C">
              <w:t>10,</w:t>
            </w:r>
            <w:r w:rsidR="00E931D2">
              <w:t xml:space="preserve">000 </w:t>
            </w:r>
            <w:r w:rsidR="00C60E23">
              <w:t xml:space="preserve">ppm for </w:t>
            </w:r>
            <w:proofErr w:type="spellStart"/>
            <w:r w:rsidR="00C60E23">
              <w:t>bw</w:t>
            </w:r>
            <w:proofErr w:type="spellEnd"/>
            <w:r w:rsidR="00C60E23">
              <w:t xml:space="preserve"> </w:t>
            </w:r>
            <w:r w:rsidR="00DB270C">
              <w:t>loss</w:t>
            </w:r>
            <w:r w:rsidR="00C60E23">
              <w:t xml:space="preserve"> and survival with a corresponding NOAEL of 2,000 ppm.</w:t>
            </w:r>
          </w:p>
          <w:p w14:paraId="11D11C16" w14:textId="77777777" w:rsidR="00C60E23" w:rsidRDefault="00C60E23" w:rsidP="003365A5">
            <w:pPr>
              <w:pStyle w:val="Tabletextprimarysource"/>
            </w:pPr>
            <w:r>
              <w:t>Human data:</w:t>
            </w:r>
          </w:p>
          <w:p w14:paraId="1DD58CAC" w14:textId="29952103" w:rsidR="0005230B" w:rsidRDefault="00C60E23" w:rsidP="0005230B">
            <w:pPr>
              <w:pStyle w:val="Tabletextprimarysource"/>
              <w:numPr>
                <w:ilvl w:val="0"/>
                <w:numId w:val="1"/>
              </w:numPr>
              <w:ind w:left="714" w:hanging="357"/>
            </w:pPr>
            <w:r>
              <w:t>Slight reduction in ability to concentrate at 50,000–75,000 ppm (duration not specified);</w:t>
            </w:r>
          </w:p>
          <w:p w14:paraId="5B9C19B9" w14:textId="7A71C53E" w:rsidR="0005230B" w:rsidRDefault="00C60E23" w:rsidP="0005230B">
            <w:pPr>
              <w:pStyle w:val="Tabletextprimarysource"/>
              <w:numPr>
                <w:ilvl w:val="1"/>
                <w:numId w:val="1"/>
              </w:numPr>
            </w:pPr>
            <w:r>
              <w:t>82,000 ppm</w:t>
            </w:r>
            <w:r w:rsidR="0005230B">
              <w:t xml:space="preserve"> resulted in</w:t>
            </w:r>
            <w:r>
              <w:t xml:space="preserve"> incoordination and visual defects (21 min) and facial analgesia (30 min)</w:t>
            </w:r>
          </w:p>
          <w:p w14:paraId="72C96646" w14:textId="5A6A69B3" w:rsidR="00C60E23" w:rsidRDefault="00C60E23" w:rsidP="0005230B">
            <w:pPr>
              <w:pStyle w:val="Tabletextprimarysource"/>
              <w:numPr>
                <w:ilvl w:val="1"/>
                <w:numId w:val="1"/>
              </w:numPr>
            </w:pPr>
            <w:r>
              <w:t>200,000 ppm caused unconsciousness (17 min)</w:t>
            </w:r>
          </w:p>
          <w:p w14:paraId="22AF2522" w14:textId="3F65E6D9" w:rsidR="0005230B" w:rsidRDefault="00C60E23" w:rsidP="00C60E23">
            <w:pPr>
              <w:pStyle w:val="Tabletextprimarysource"/>
              <w:numPr>
                <w:ilvl w:val="0"/>
                <w:numId w:val="1"/>
              </w:numPr>
            </w:pPr>
            <w:r>
              <w:t>Blood concentrations increased to 20–50 ppb when exposed to hair-spray propellant (</w:t>
            </w:r>
            <w:r w:rsidR="0005230B">
              <w:t>7 </w:t>
            </w:r>
            <w:r>
              <w:t>s</w:t>
            </w:r>
            <w:r w:rsidR="007C0773">
              <w:t>ec</w:t>
            </w:r>
            <w:r>
              <w:t>, concentration not specified)</w:t>
            </w:r>
          </w:p>
          <w:p w14:paraId="792F1A80" w14:textId="505D0B90" w:rsidR="00C60E23" w:rsidRDefault="00C60E23" w:rsidP="0005230B">
            <w:pPr>
              <w:pStyle w:val="Tabletextprimarysource"/>
              <w:numPr>
                <w:ilvl w:val="1"/>
                <w:numId w:val="1"/>
              </w:numPr>
            </w:pPr>
            <w:r>
              <w:t>blood levels increased to 0.5 ppm at 300 ppm (15 min)</w:t>
            </w:r>
          </w:p>
          <w:p w14:paraId="34E4542A" w14:textId="63DB46E6" w:rsidR="00DB270C" w:rsidRDefault="00DB270C" w:rsidP="00C60E2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toxic effects </w:t>
            </w:r>
            <w:r w:rsidR="003978C9">
              <w:t>after IV</w:t>
            </w:r>
            <w:r w:rsidR="007C0773">
              <w:t xml:space="preserve"> injection of 0.2–0.3 mL</w:t>
            </w:r>
            <w:r>
              <w:t xml:space="preserve"> doses </w:t>
            </w:r>
          </w:p>
          <w:p w14:paraId="1BD4497F" w14:textId="1C917DB7" w:rsidR="0005230B" w:rsidRDefault="00DB270C" w:rsidP="00C60E2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evidence for tissue accumulation after 2 inhalational doses of 27 mg separated by 1 h </w:t>
            </w:r>
          </w:p>
          <w:p w14:paraId="5CEBAC30" w14:textId="029150C5" w:rsidR="00DB270C" w:rsidRDefault="00DB270C" w:rsidP="0005230B">
            <w:pPr>
              <w:pStyle w:val="Tabletextprimarysource"/>
              <w:numPr>
                <w:ilvl w:val="1"/>
                <w:numId w:val="1"/>
              </w:numPr>
            </w:pPr>
            <w:proofErr w:type="gramStart"/>
            <w:r>
              <w:t>blood</w:t>
            </w:r>
            <w:proofErr w:type="gramEnd"/>
            <w:r>
              <w:t xml:space="preserve"> concentrations increased to </w:t>
            </w:r>
            <w:r w:rsidR="007C0773">
              <w:t>179</w:t>
            </w:r>
            <w:r>
              <w:t>–</w:t>
            </w:r>
            <w:r w:rsidR="007C0773">
              <w:t xml:space="preserve">2,842 </w:t>
            </w:r>
            <w:r>
              <w:t>ppb after each dose</w:t>
            </w:r>
            <w:r w:rsidR="00AB7A52">
              <w:t>.</w:t>
            </w:r>
          </w:p>
          <w:p w14:paraId="0A7E5ED4" w14:textId="77777777" w:rsidR="00DB270C" w:rsidRDefault="00DB270C" w:rsidP="00DB270C">
            <w:pPr>
              <w:pStyle w:val="Tabletextprimarysource"/>
            </w:pPr>
            <w:r>
              <w:t>Animal data:</w:t>
            </w:r>
          </w:p>
          <w:p w14:paraId="0C0532BA" w14:textId="77777777" w:rsidR="00DB270C" w:rsidRDefault="00DB270C" w:rsidP="00DB270C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>: 16.4% v/v (rats, 4 h)</w:t>
            </w:r>
          </w:p>
          <w:p w14:paraId="42FB9A32" w14:textId="77777777" w:rsidR="00DB270C" w:rsidRDefault="00DB270C" w:rsidP="00DB270C">
            <w:pPr>
              <w:pStyle w:val="Tabletextprimarysource"/>
              <w:numPr>
                <w:ilvl w:val="0"/>
                <w:numId w:val="1"/>
              </w:numPr>
            </w:pPr>
            <w:proofErr w:type="spellStart"/>
            <w:r>
              <w:t>Subchronic</w:t>
            </w:r>
            <w:proofErr w:type="spellEnd"/>
            <w:r>
              <w:t xml:space="preserve"> repeat inhalation study with exposure groups 100, 1,000, and 10,000 ppm (rats, 6 h/d, 5 d/</w:t>
            </w:r>
            <w:proofErr w:type="spellStart"/>
            <w:r>
              <w:t>wk</w:t>
            </w:r>
            <w:proofErr w:type="spellEnd"/>
            <w:r>
              <w:t xml:space="preserve">, 4 </w:t>
            </w:r>
            <w:proofErr w:type="spellStart"/>
            <w:r>
              <w:t>wk</w:t>
            </w:r>
            <w:proofErr w:type="spellEnd"/>
            <w:r>
              <w:t>);</w:t>
            </w:r>
          </w:p>
          <w:p w14:paraId="113D914F" w14:textId="14908643" w:rsidR="00DB270C" w:rsidRDefault="00DB270C" w:rsidP="00DB270C">
            <w:pPr>
              <w:pStyle w:val="Tabletextprimarysource"/>
              <w:numPr>
                <w:ilvl w:val="1"/>
                <w:numId w:val="1"/>
              </w:numPr>
            </w:pPr>
            <w:r>
              <w:t>NOAE</w:t>
            </w:r>
            <w:r w:rsidR="0005230B">
              <w:t>C</w:t>
            </w:r>
            <w:r>
              <w:t>: 1,000 ppm</w:t>
            </w:r>
          </w:p>
          <w:p w14:paraId="65FCB871" w14:textId="077B7556" w:rsidR="00DB270C" w:rsidRDefault="00DB270C" w:rsidP="00DB270C">
            <w:pPr>
              <w:pStyle w:val="Tabletextprimarysource"/>
              <w:numPr>
                <w:ilvl w:val="1"/>
                <w:numId w:val="1"/>
              </w:numPr>
            </w:pPr>
            <w:r>
              <w:t>LOAE</w:t>
            </w:r>
            <w:r w:rsidR="0005230B">
              <w:t>C</w:t>
            </w:r>
            <w:r>
              <w:t xml:space="preserve">: 10,000 ppm for slight </w:t>
            </w:r>
            <w:proofErr w:type="spellStart"/>
            <w:r>
              <w:t>bw</w:t>
            </w:r>
            <w:proofErr w:type="spellEnd"/>
            <w:r>
              <w:t xml:space="preserve"> loss in last </w:t>
            </w:r>
            <w:proofErr w:type="spellStart"/>
            <w:r>
              <w:t>wk</w:t>
            </w:r>
            <w:proofErr w:type="spellEnd"/>
          </w:p>
          <w:p w14:paraId="09FB53E5" w14:textId="378DA681" w:rsidR="00DB270C" w:rsidRDefault="0001761C" w:rsidP="00DB270C">
            <w:pPr>
              <w:pStyle w:val="Tabletextprimarysource"/>
              <w:numPr>
                <w:ilvl w:val="1"/>
                <w:numId w:val="1"/>
              </w:numPr>
            </w:pPr>
            <w:r>
              <w:t>s</w:t>
            </w:r>
            <w:r w:rsidR="00DB270C">
              <w:t xml:space="preserve">imilar </w:t>
            </w:r>
            <w:r w:rsidR="007C0773">
              <w:t xml:space="preserve">hamster </w:t>
            </w:r>
            <w:r w:rsidR="00DB270C">
              <w:t xml:space="preserve">study reported reduced </w:t>
            </w:r>
            <w:r w:rsidR="007C0773">
              <w:t>WBC</w:t>
            </w:r>
            <w:r w:rsidR="00DB270C">
              <w:t xml:space="preserve"> counts at </w:t>
            </w:r>
            <w:r w:rsidR="002F0EB7">
              <w:t>10,000</w:t>
            </w:r>
            <w:r w:rsidR="00E931D2">
              <w:t xml:space="preserve"> </w:t>
            </w:r>
            <w:r w:rsidR="002F0EB7">
              <w:t>ppm</w:t>
            </w:r>
          </w:p>
          <w:p w14:paraId="4F3767C6" w14:textId="77777777" w:rsidR="002F0EB7" w:rsidRDefault="002F0EB7" w:rsidP="002F0EB7">
            <w:pPr>
              <w:pStyle w:val="Tabletextprimarysource"/>
              <w:numPr>
                <w:ilvl w:val="0"/>
                <w:numId w:val="1"/>
              </w:numPr>
            </w:pPr>
            <w:r>
              <w:t>Chronic inhalation study with exposure groups 2,000, 10,000, and 25,000 ppm (rats, 6 h/d, 5 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yr</w:t>
            </w:r>
            <w:proofErr w:type="spellEnd"/>
            <w:r>
              <w:t>);</w:t>
            </w:r>
          </w:p>
          <w:p w14:paraId="4F943EF0" w14:textId="2651122D" w:rsidR="002F0EB7" w:rsidRDefault="002F0EB7" w:rsidP="002F0EB7">
            <w:pPr>
              <w:pStyle w:val="Tabletextprimarysource"/>
              <w:numPr>
                <w:ilvl w:val="1"/>
                <w:numId w:val="1"/>
              </w:numPr>
            </w:pPr>
            <w:r>
              <w:t>NOAE</w:t>
            </w:r>
            <w:r w:rsidR="0005230B">
              <w:t>C</w:t>
            </w:r>
            <w:r>
              <w:t>: 2,000 ppm</w:t>
            </w:r>
          </w:p>
          <w:p w14:paraId="727D39DF" w14:textId="0F330917" w:rsidR="002F0EB7" w:rsidRDefault="002F0EB7" w:rsidP="002F0EB7">
            <w:pPr>
              <w:pStyle w:val="Tabletextprimarysource"/>
              <w:numPr>
                <w:ilvl w:val="1"/>
                <w:numId w:val="1"/>
              </w:numPr>
            </w:pPr>
            <w:r>
              <w:t>LOAE</w:t>
            </w:r>
            <w:r w:rsidR="0005230B">
              <w:t>C</w:t>
            </w:r>
            <w:r>
              <w:t xml:space="preserve">: 10,000 ppm for </w:t>
            </w:r>
            <w:proofErr w:type="spellStart"/>
            <w:r>
              <w:t>bw</w:t>
            </w:r>
            <w:proofErr w:type="spellEnd"/>
            <w:r>
              <w:t xml:space="preserve"> increase and reduced life times, no substance-related changes to liver weight and serum parameters</w:t>
            </w:r>
          </w:p>
          <w:p w14:paraId="72760C5E" w14:textId="2159EA37" w:rsidR="00504D0D" w:rsidRDefault="0001761C" w:rsidP="002F0EB7">
            <w:pPr>
              <w:pStyle w:val="Tabletextprimarysource"/>
              <w:numPr>
                <w:ilvl w:val="1"/>
                <w:numId w:val="1"/>
              </w:numPr>
            </w:pPr>
            <w:r>
              <w:t>t</w:t>
            </w:r>
            <w:r w:rsidR="00504D0D">
              <w:t>ransient haemolytic effects at 25,000 ppm</w:t>
            </w:r>
          </w:p>
          <w:p w14:paraId="0DF3CC30" w14:textId="7F69E013" w:rsidR="00504D0D" w:rsidRDefault="0001761C" w:rsidP="002F0EB7">
            <w:pPr>
              <w:pStyle w:val="Tabletextprimarysource"/>
              <w:numPr>
                <w:ilvl w:val="1"/>
                <w:numId w:val="1"/>
              </w:numPr>
            </w:pPr>
            <w:r>
              <w:t>n</w:t>
            </w:r>
            <w:r w:rsidR="00504D0D">
              <w:t>o significant increase in tumour incidence in any exposure group</w:t>
            </w:r>
          </w:p>
          <w:p w14:paraId="6F1A3C4F" w14:textId="28E34331" w:rsidR="0005230B" w:rsidRDefault="002F0EB7" w:rsidP="002F0EB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effect on mating behaviour or on number of pregnancies at 20,000–28,000 ppm (rats, </w:t>
            </w:r>
            <w:r w:rsidR="0005230B">
              <w:t>6 </w:t>
            </w:r>
            <w:r>
              <w:t>h/d, 13 d before mating)</w:t>
            </w:r>
          </w:p>
          <w:p w14:paraId="5AC91BA8" w14:textId="4D5AB345" w:rsidR="002F0EB7" w:rsidRDefault="00504D0D" w:rsidP="0005230B">
            <w:pPr>
              <w:pStyle w:val="Tabletextprimarysource"/>
              <w:numPr>
                <w:ilvl w:val="1"/>
                <w:numId w:val="1"/>
              </w:numPr>
            </w:pPr>
            <w:r>
              <w:lastRenderedPageBreak/>
              <w:t xml:space="preserve">no maternal or foetal toxicity at these concentrations when dams exposed during </w:t>
            </w:r>
            <w:r w:rsidR="0005230B">
              <w:t>GD</w:t>
            </w:r>
            <w:r>
              <w:t xml:space="preserve"> 6–16</w:t>
            </w:r>
          </w:p>
          <w:p w14:paraId="39CF71E8" w14:textId="77777777" w:rsidR="00504D0D" w:rsidRPr="00C00F21" w:rsidRDefault="00504D0D" w:rsidP="002F0EB7">
            <w:pPr>
              <w:pStyle w:val="Tabletextprimarysource"/>
              <w:numPr>
                <w:ilvl w:val="0"/>
                <w:numId w:val="1"/>
              </w:numPr>
            </w:pPr>
            <w:r w:rsidRPr="00C00F21">
              <w:t xml:space="preserve">Non-mutagenic </w:t>
            </w:r>
            <w:r w:rsidRPr="00C00F21">
              <w:rPr>
                <w:i/>
              </w:rPr>
              <w:t xml:space="preserve">in vivo </w:t>
            </w:r>
            <w:r w:rsidRPr="00C00F21">
              <w:t xml:space="preserve">and </w:t>
            </w:r>
            <w:r w:rsidRPr="00C00F21">
              <w:rPr>
                <w:i/>
              </w:rPr>
              <w:t>in vitro</w:t>
            </w:r>
            <w:r w:rsidRPr="00C00F21">
              <w:t>.</w:t>
            </w:r>
          </w:p>
          <w:p w14:paraId="67B7FB2D" w14:textId="0DB026DC" w:rsidR="00C93ED7" w:rsidRPr="00C00F21" w:rsidRDefault="00C93ED7" w:rsidP="0005230B">
            <w:pPr>
              <w:pStyle w:val="Tabletextprimarysource"/>
              <w:ind w:left="720"/>
            </w:pPr>
          </w:p>
        </w:tc>
      </w:tr>
      <w:tr w:rsidR="00C978F0" w:rsidRPr="00DA352E" w14:paraId="5E4C3D7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2BBEBA6" w14:textId="03069CA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16CF5">
                  <w:t>1991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6178C9" w:rsidRPr="006178C9">
                  <w:t>8-hour TWA</w:t>
                </w:r>
                <w:r w:rsidR="00716CF5">
                  <w:t>: 1</w:t>
                </w:r>
                <w:r w:rsidR="00C60E23">
                  <w:t>,</w:t>
                </w:r>
                <w:r w:rsidR="00716CF5">
                  <w:t>000 ppm (1</w:t>
                </w:r>
                <w:r w:rsidR="00C60E23">
                  <w:t>,</w:t>
                </w:r>
                <w:r w:rsidR="00716CF5">
                  <w:t>920 mg/m</w:t>
                </w:r>
                <w:r w:rsidR="00716CF5" w:rsidRPr="00716CF5">
                  <w:rPr>
                    <w:vertAlign w:val="superscript"/>
                  </w:rPr>
                  <w:t>3</w:t>
                </w:r>
                <w:r w:rsidR="00716CF5">
                  <w:t>)</w:t>
                </w:r>
              </w:sdtContent>
            </w:sdt>
          </w:p>
        </w:tc>
      </w:tr>
      <w:tr w:rsidR="00C978F0" w:rsidRPr="00DA352E" w14:paraId="752638E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2B3256" w14:textId="77777777" w:rsidR="00C978F0" w:rsidRDefault="00093AA0" w:rsidP="003365A5">
            <w:pPr>
              <w:pStyle w:val="Tabletextprimarysource"/>
            </w:pPr>
            <w:r>
              <w:t>Summary of additional data:</w:t>
            </w:r>
          </w:p>
          <w:p w14:paraId="32438074" w14:textId="44AF7506" w:rsidR="00093AA0" w:rsidRDefault="00093AA0" w:rsidP="003365A5">
            <w:pPr>
              <w:pStyle w:val="Tabletextprimarysource"/>
            </w:pPr>
            <w:r>
              <w:t>Available data indicate low toxicity of the substance</w:t>
            </w:r>
            <w:r w:rsidR="00DF48D1">
              <w:t xml:space="preserve"> and critical target organ is the </w:t>
            </w:r>
            <w:r w:rsidR="007C0773">
              <w:t>CNS</w:t>
            </w:r>
            <w:r w:rsidR="00DF48D1">
              <w:t xml:space="preserve"> at high concentrations. TWA derived from a NOAEL of 2,000 ppm for </w:t>
            </w:r>
            <w:proofErr w:type="spellStart"/>
            <w:r w:rsidR="00DF48D1">
              <w:t>bw</w:t>
            </w:r>
            <w:proofErr w:type="spellEnd"/>
            <w:r w:rsidR="00DF48D1">
              <w:t xml:space="preserve"> gain and survival from a 2</w:t>
            </w:r>
            <w:r w:rsidR="00D81C5E">
              <w:t xml:space="preserve"> </w:t>
            </w:r>
            <w:proofErr w:type="spellStart"/>
            <w:r w:rsidR="00DF48D1">
              <w:t>yr</w:t>
            </w:r>
            <w:proofErr w:type="spellEnd"/>
            <w:r w:rsidR="00DF48D1">
              <w:t xml:space="preserve"> inhalational study with rats; a factor of 2 is applied to account for limited human exposure data. A 15</w:t>
            </w:r>
            <w:r w:rsidR="00D81C5E">
              <w:t xml:space="preserve"> </w:t>
            </w:r>
            <w:r w:rsidR="00DF48D1">
              <w:t>min STEL is not considered necessary.</w:t>
            </w:r>
          </w:p>
          <w:p w14:paraId="5ADA48D5" w14:textId="03BC0421" w:rsidR="00093AA0" w:rsidRDefault="00093AA0" w:rsidP="003365A5">
            <w:pPr>
              <w:pStyle w:val="Tabletextprimarysource"/>
            </w:pPr>
            <w:r>
              <w:t>Animal data:</w:t>
            </w:r>
          </w:p>
          <w:p w14:paraId="5EF72287" w14:textId="13581FE4" w:rsidR="00093AA0" w:rsidRDefault="00093AA0" w:rsidP="00093AA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adverse </w:t>
            </w:r>
            <w:r w:rsidR="007C0773">
              <w:t>CNS</w:t>
            </w:r>
            <w:r>
              <w:t xml:space="preserve"> effects reported for chronic inhalation study (rats, 6 h/d, 5</w:t>
            </w:r>
            <w:r w:rsidR="00D81C5E">
              <w:t xml:space="preserve"> </w:t>
            </w:r>
            <w:r>
              <w:t>d/</w:t>
            </w:r>
            <w:proofErr w:type="spellStart"/>
            <w:r>
              <w:t>wk</w:t>
            </w:r>
            <w:proofErr w:type="spellEnd"/>
            <w:r>
              <w:t xml:space="preserve">, 2 </w:t>
            </w:r>
            <w:proofErr w:type="spellStart"/>
            <w:r>
              <w:t>yr</w:t>
            </w:r>
            <w:proofErr w:type="spellEnd"/>
            <w:r w:rsidR="00DA6374">
              <w:t>,</w:t>
            </w:r>
            <w:r>
              <w:t xml:space="preserve"> also presented in DFG, 1990)</w:t>
            </w:r>
          </w:p>
          <w:p w14:paraId="3D201958" w14:textId="77777777" w:rsidR="00093AA0" w:rsidRDefault="00065D6A" w:rsidP="00DF48D1">
            <w:pPr>
              <w:pStyle w:val="Tabletextprimarysource"/>
              <w:numPr>
                <w:ilvl w:val="0"/>
                <w:numId w:val="1"/>
              </w:numPr>
            </w:pPr>
            <w:r>
              <w:t>No</w:t>
            </w:r>
            <w:r w:rsidR="00093AA0">
              <w:t xml:space="preserve"> </w:t>
            </w:r>
            <w:r>
              <w:t xml:space="preserve">evidence for </w:t>
            </w:r>
            <w:r w:rsidR="00093AA0">
              <w:t>genotoxic or carcinogenic</w:t>
            </w:r>
            <w:r>
              <w:t xml:space="preserve"> activity.</w:t>
            </w:r>
          </w:p>
          <w:p w14:paraId="2DDF9364" w14:textId="60266C92" w:rsidR="00C93ED7" w:rsidRPr="00DA352E" w:rsidRDefault="00C93ED7" w:rsidP="0005230B">
            <w:pPr>
              <w:pStyle w:val="Tabletextprimarysource"/>
              <w:ind w:left="720"/>
            </w:pPr>
          </w:p>
        </w:tc>
      </w:tr>
      <w:tr w:rsidR="00DA352E" w:rsidRPr="00DA352E" w14:paraId="786ABEF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66193AA" w14:textId="2A307E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16CF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16CF5">
                  <w:t>NA</w:t>
                </w:r>
                <w:proofErr w:type="spellEnd"/>
              </w:sdtContent>
            </w:sdt>
          </w:p>
        </w:tc>
      </w:tr>
      <w:tr w:rsidR="00DA352E" w:rsidRPr="00DA352E" w14:paraId="5E7F01A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22C09C1" w14:textId="3DAEA6AB" w:rsidR="00DA352E" w:rsidRPr="00DA352E" w:rsidRDefault="00716CF5" w:rsidP="003365A5">
            <w:pPr>
              <w:pStyle w:val="Tabletextprimarysource"/>
            </w:pPr>
            <w:r>
              <w:t>No report</w:t>
            </w:r>
            <w:r w:rsidR="007C0773">
              <w:t>.</w:t>
            </w:r>
          </w:p>
        </w:tc>
      </w:tr>
      <w:tr w:rsidR="00DA352E" w:rsidRPr="00DA352E" w14:paraId="589B000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6F9459" w14:textId="63A0F903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16CF5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716CF5">
                  <w:t>NA</w:t>
                </w:r>
                <w:proofErr w:type="spellEnd"/>
              </w:sdtContent>
            </w:sdt>
          </w:p>
        </w:tc>
      </w:tr>
      <w:tr w:rsidR="00DA352E" w:rsidRPr="00DA352E" w14:paraId="660C1A2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5C3939" w14:textId="069B1463" w:rsidR="00DA352E" w:rsidRPr="00DA352E" w:rsidRDefault="00716CF5" w:rsidP="003365A5">
            <w:pPr>
              <w:pStyle w:val="Tabletextprimarysource"/>
            </w:pPr>
            <w:r>
              <w:t>No report</w:t>
            </w:r>
            <w:r w:rsidR="007C0773">
              <w:t>.</w:t>
            </w:r>
          </w:p>
        </w:tc>
      </w:tr>
    </w:tbl>
    <w:p w14:paraId="7953E07E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8"/>
        <w:gridCol w:w="422"/>
        <w:gridCol w:w="661"/>
        <w:gridCol w:w="6445"/>
      </w:tblGrid>
      <w:tr w:rsidR="004966BF" w:rsidRPr="00263255" w14:paraId="2971A3DC" w14:textId="77777777" w:rsidTr="007C0773">
        <w:trPr>
          <w:cantSplit/>
          <w:trHeight w:val="393"/>
          <w:tblHeader/>
        </w:trPr>
        <w:tc>
          <w:tcPr>
            <w:tcW w:w="1498" w:type="dxa"/>
            <w:shd w:val="clear" w:color="auto" w:fill="BFBFBF" w:themeFill="background1" w:themeFillShade="BF"/>
            <w:vAlign w:val="center"/>
          </w:tcPr>
          <w:p w14:paraId="21D846E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01259D09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B0618D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53F2ECC2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4294B60" w14:textId="77777777" w:rsidTr="007C0773">
        <w:trPr>
          <w:cantSplit/>
        </w:trPr>
        <w:tc>
          <w:tcPr>
            <w:tcW w:w="1498" w:type="dxa"/>
          </w:tcPr>
          <w:p w14:paraId="07A7F4C2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5165750A" w14:textId="18311F30" w:rsidR="004966BF" w:rsidRPr="00CE617F" w:rsidRDefault="00223FD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DF48D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C47F42C" w14:textId="1AFC9ABC" w:rsidR="004966BF" w:rsidRPr="004C23F4" w:rsidRDefault="00DF48D1" w:rsidP="00717D45">
            <w:pPr>
              <w:pStyle w:val="Tablefont"/>
            </w:pPr>
            <w:r>
              <w:t>2002</w:t>
            </w:r>
          </w:p>
        </w:tc>
        <w:tc>
          <w:tcPr>
            <w:tcW w:w="6445" w:type="dxa"/>
          </w:tcPr>
          <w:p w14:paraId="2F6F1945" w14:textId="03216876" w:rsidR="004966BF" w:rsidRPr="004C23F4" w:rsidRDefault="00DF48D1" w:rsidP="0005230B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 w:rsidRPr="00DF48D1">
              <w:t>TWA: 400 ppm (760 mg/m</w:t>
            </w:r>
            <w:r w:rsidRPr="00DF48D1">
              <w:rPr>
                <w:vertAlign w:val="superscript"/>
              </w:rPr>
              <w:t>3</w:t>
            </w:r>
            <w:r w:rsidRPr="00DF48D1">
              <w:t xml:space="preserve">); </w:t>
            </w:r>
            <w:r>
              <w:t>STEL: 500 ppm (950 mg/m</w:t>
            </w:r>
            <w:r>
              <w:rPr>
                <w:vertAlign w:val="superscript"/>
              </w:rPr>
              <w:t>3</w:t>
            </w:r>
            <w:r w:rsidRPr="00DF48D1">
              <w:t>)</w:t>
            </w:r>
            <w:r w:rsidR="00C93ED7">
              <w:t>.</w:t>
            </w:r>
          </w:p>
        </w:tc>
      </w:tr>
    </w:tbl>
    <w:bookmarkEnd w:id="0"/>
    <w:p w14:paraId="78666490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BF7895B" w14:textId="77777777" w:rsidTr="00DF48D1">
        <w:trPr>
          <w:trHeight w:val="454"/>
          <w:tblHeader/>
        </w:trPr>
        <w:tc>
          <w:tcPr>
            <w:tcW w:w="6603" w:type="dxa"/>
            <w:vAlign w:val="center"/>
          </w:tcPr>
          <w:p w14:paraId="0B2CD077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1462B4A" w14:textId="0F5C5DE2" w:rsidR="002E0D61" w:rsidRDefault="00093AA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34FF9442" w14:textId="77777777" w:rsidTr="00DF48D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787C915D" w14:textId="1C7E011C" w:rsidR="008A36CF" w:rsidRPr="006901A2" w:rsidRDefault="00093AA0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DE1A83A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CDDF98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1EF15F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ABA01B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CE17FC2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51AB23B" w14:textId="77777777" w:rsidTr="00812887">
        <w:trPr>
          <w:cantSplit/>
        </w:trPr>
        <w:tc>
          <w:tcPr>
            <w:tcW w:w="3227" w:type="dxa"/>
          </w:tcPr>
          <w:p w14:paraId="3C2B3C97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61C030BD" w14:textId="0DB578D4" w:rsidR="00687890" w:rsidRPr="00DD2F9B" w:rsidRDefault="00716CF5" w:rsidP="00DD2F9B">
            <w:pPr>
              <w:pStyle w:val="Tablefont"/>
            </w:pPr>
            <w:r w:rsidRPr="00716CF5">
              <w:t>—</w:t>
            </w:r>
          </w:p>
        </w:tc>
      </w:tr>
      <w:tr w:rsidR="007925F0" w:rsidRPr="004C23F4" w14:paraId="13E924E8" w14:textId="77777777" w:rsidTr="00812887">
        <w:trPr>
          <w:cantSplit/>
        </w:trPr>
        <w:tc>
          <w:tcPr>
            <w:tcW w:w="3227" w:type="dxa"/>
          </w:tcPr>
          <w:p w14:paraId="0C3446AC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C87E1AA" w14:textId="51C5744C" w:rsidR="007925F0" w:rsidRPr="00DD2F9B" w:rsidRDefault="00DA6374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2695FD8A" w14:textId="77777777" w:rsidTr="00812887">
        <w:trPr>
          <w:cantSplit/>
        </w:trPr>
        <w:tc>
          <w:tcPr>
            <w:tcW w:w="3227" w:type="dxa"/>
          </w:tcPr>
          <w:p w14:paraId="72398C3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4C4A260" w14:textId="36073AAE" w:rsidR="00AF483F" w:rsidRPr="00DD2F9B" w:rsidRDefault="00716CF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5186610B" w14:textId="77777777" w:rsidTr="00812887">
        <w:trPr>
          <w:cantSplit/>
        </w:trPr>
        <w:tc>
          <w:tcPr>
            <w:tcW w:w="3227" w:type="dxa"/>
          </w:tcPr>
          <w:p w14:paraId="632C679B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398F824C" w14:textId="13B48A82" w:rsidR="00687890" w:rsidRPr="00DD2F9B" w:rsidRDefault="00DA6374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78C6BC37" w14:textId="77777777" w:rsidTr="00812887">
        <w:trPr>
          <w:cantSplit/>
        </w:trPr>
        <w:tc>
          <w:tcPr>
            <w:tcW w:w="3227" w:type="dxa"/>
          </w:tcPr>
          <w:p w14:paraId="2B45CF1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0278FDC" w14:textId="2C9B8FC4" w:rsidR="00E41A26" w:rsidRPr="00DD2F9B" w:rsidRDefault="00716CF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484B45E" w14:textId="77777777" w:rsidTr="00812887">
        <w:trPr>
          <w:cantSplit/>
        </w:trPr>
        <w:tc>
          <w:tcPr>
            <w:tcW w:w="3227" w:type="dxa"/>
          </w:tcPr>
          <w:p w14:paraId="7B2F8D40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6A4AD971" w14:textId="3984CAAD" w:rsidR="002E0D61" w:rsidRPr="00DD2F9B" w:rsidRDefault="00716CF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8786DE3" w14:textId="77777777" w:rsidTr="00812887">
        <w:trPr>
          <w:cantSplit/>
        </w:trPr>
        <w:tc>
          <w:tcPr>
            <w:tcW w:w="3227" w:type="dxa"/>
          </w:tcPr>
          <w:p w14:paraId="02085EB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625F017" w14:textId="287BEBFD" w:rsidR="002E0D61" w:rsidRPr="00DD2F9B" w:rsidRDefault="00716CF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F45DE48" w14:textId="77777777" w:rsidTr="00812887">
        <w:trPr>
          <w:cantSplit/>
        </w:trPr>
        <w:tc>
          <w:tcPr>
            <w:tcW w:w="3227" w:type="dxa"/>
          </w:tcPr>
          <w:p w14:paraId="4F1C6B8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0567151" w14:textId="7DE8264F" w:rsidR="002E0D61" w:rsidRPr="00DD2F9B" w:rsidRDefault="00716CF5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0A0A7E9" w14:textId="77777777" w:rsidTr="00812887">
        <w:trPr>
          <w:cantSplit/>
        </w:trPr>
        <w:tc>
          <w:tcPr>
            <w:tcW w:w="3227" w:type="dxa"/>
          </w:tcPr>
          <w:p w14:paraId="166D504B" w14:textId="77777777" w:rsidR="004079B4" w:rsidRDefault="002E0D61" w:rsidP="00F4402E">
            <w:pPr>
              <w:pStyle w:val="Tablefont"/>
            </w:pPr>
            <w:r>
              <w:lastRenderedPageBreak/>
              <w:t>HCOTN</w:t>
            </w:r>
          </w:p>
        </w:tc>
        <w:tc>
          <w:tcPr>
            <w:tcW w:w="6015" w:type="dxa"/>
          </w:tcPr>
          <w:p w14:paraId="7AAE0271" w14:textId="24B5D675" w:rsidR="002E0D61" w:rsidRPr="00DD2F9B" w:rsidRDefault="00716CF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D07239D" w14:textId="77777777" w:rsidTr="00812887">
        <w:trPr>
          <w:cantSplit/>
        </w:trPr>
        <w:tc>
          <w:tcPr>
            <w:tcW w:w="3227" w:type="dxa"/>
          </w:tcPr>
          <w:p w14:paraId="2E5636B0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C7CDBC0" w14:textId="164013D7" w:rsidR="00386093" w:rsidRPr="00DD2F9B" w:rsidRDefault="00716CF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2236BCB" w14:textId="77777777" w:rsidTr="00812887">
        <w:trPr>
          <w:cantSplit/>
        </w:trPr>
        <w:tc>
          <w:tcPr>
            <w:tcW w:w="3227" w:type="dxa"/>
          </w:tcPr>
          <w:p w14:paraId="35EE0B8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83C7364" w14:textId="6D1B41B8" w:rsidR="00386093" w:rsidRPr="00DD2F9B" w:rsidRDefault="00716CF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73EB018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19A61CB1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67F4360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4A76FF8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7C854C2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B48A241" w14:textId="37E8FFB3" w:rsidR="00932DCE" w:rsidRPr="004C23F4" w:rsidRDefault="00DA6374" w:rsidP="00F9496B">
            <w:pPr>
              <w:pStyle w:val="Tablefont"/>
            </w:pPr>
            <w:r>
              <w:t>Insufficient data to assign a</w:t>
            </w:r>
            <w:r w:rsidR="00D81C5E">
              <w:t xml:space="preserve"> skin</w:t>
            </w:r>
            <w:r>
              <w:t xml:space="preserve"> notation</w:t>
            </w:r>
            <w:r w:rsidR="0001761C">
              <w:t>.</w:t>
            </w:r>
          </w:p>
        </w:tc>
      </w:tr>
    </w:tbl>
    <w:bookmarkEnd w:id="3"/>
    <w:p w14:paraId="20C6C138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D88A4A4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3EF476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D930DE4" w14:textId="427AFFFF" w:rsidR="00EB3D1B" w:rsidRDefault="00716CF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E2105FC" w14:textId="77777777" w:rsidR="00687890" w:rsidRPr="004C23F4" w:rsidRDefault="00B479A9" w:rsidP="00D81C5E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6E4DF70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EF8FA8" w14:textId="77777777" w:rsidR="001B79E5" w:rsidRDefault="001B79E5" w:rsidP="007C0773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866E438" w14:textId="510B3D63" w:rsidR="001B79E5" w:rsidRDefault="00716CF5" w:rsidP="007C0773">
                <w:pPr>
                  <w:pStyle w:val="Tablefont"/>
                  <w:keepNext/>
                </w:pPr>
                <w:r w:rsidRPr="00716CF5">
                  <w:t>46.07</w:t>
                </w:r>
              </w:p>
            </w:tc>
          </w:sdtContent>
        </w:sdt>
      </w:tr>
      <w:tr w:rsidR="00A31D99" w:rsidRPr="004C23F4" w14:paraId="02BBE51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0BD590" w14:textId="77777777" w:rsidR="00A31D99" w:rsidRPr="00263255" w:rsidRDefault="00A31D99" w:rsidP="007C0773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210CCA5C" w14:textId="77777777" w:rsidR="00A31D99" w:rsidRDefault="00A0643F" w:rsidP="007C0773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B4C5E0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D51847D" w14:textId="77777777" w:rsidR="00687890" w:rsidRPr="00263255" w:rsidRDefault="00687890" w:rsidP="007C0773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B54B263" w14:textId="77777777" w:rsidR="00687890" w:rsidRPr="004C23F4" w:rsidRDefault="00E46BCB" w:rsidP="007C077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A4F780F" w14:textId="77777777" w:rsidTr="00EA6243">
        <w:trPr>
          <w:cantSplit/>
        </w:trPr>
        <w:tc>
          <w:tcPr>
            <w:tcW w:w="4077" w:type="dxa"/>
            <w:vAlign w:val="center"/>
          </w:tcPr>
          <w:p w14:paraId="7BBEFE43" w14:textId="77777777" w:rsidR="00687890" w:rsidRPr="00263255" w:rsidRDefault="00687890" w:rsidP="007C0773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92D4F7E" w14:textId="77777777" w:rsidR="00687890" w:rsidRPr="004C23F4" w:rsidRDefault="00A20751" w:rsidP="007C077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F1B8637" w14:textId="77777777" w:rsidTr="00EA6243">
        <w:trPr>
          <w:cantSplit/>
        </w:trPr>
        <w:tc>
          <w:tcPr>
            <w:tcW w:w="4077" w:type="dxa"/>
            <w:vAlign w:val="center"/>
          </w:tcPr>
          <w:p w14:paraId="25BD7E6A" w14:textId="77777777" w:rsidR="00687890" w:rsidRPr="00263255" w:rsidRDefault="00687890" w:rsidP="007C0773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1A76D5D" w14:textId="77777777" w:rsidR="00687890" w:rsidRPr="004C23F4" w:rsidRDefault="00687890" w:rsidP="007C077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BC8CCD2" w14:textId="77777777" w:rsidTr="00EA6243">
        <w:trPr>
          <w:cantSplit/>
        </w:trPr>
        <w:tc>
          <w:tcPr>
            <w:tcW w:w="4077" w:type="dxa"/>
            <w:vAlign w:val="center"/>
          </w:tcPr>
          <w:p w14:paraId="1DF8C885" w14:textId="77777777" w:rsidR="00E06F40" w:rsidRPr="00263255" w:rsidRDefault="00E06F40" w:rsidP="007C0773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C31564E" w14:textId="77777777" w:rsidR="00E06F40" w:rsidRPr="00A006A0" w:rsidRDefault="00223FD7" w:rsidP="007C0773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166701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A2A4F98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1E6764C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15522F1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EDB6DB0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43C3E1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6275B0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330BCC7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7E3FEDF" w14:textId="35F7DEDD" w:rsidR="00716CF5" w:rsidRDefault="00716CF5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(1990) </w:t>
      </w:r>
      <w:r w:rsidRPr="00716CF5">
        <w:t>Dimethyl ether</w:t>
      </w:r>
      <w:r>
        <w:t xml:space="preserve"> – MAK value documentation.</w:t>
      </w:r>
    </w:p>
    <w:p w14:paraId="5ACD1072" w14:textId="77777777" w:rsidR="00D81C5E" w:rsidRPr="00351FE0" w:rsidRDefault="00D81C5E" w:rsidP="00D81C5E">
      <w:r w:rsidRPr="002022B6">
        <w:t>EU Scientific Committee on Occupational Exposure Limits (SCOEL)</w:t>
      </w:r>
      <w:r>
        <w:t xml:space="preserve"> (1991) Recommendation from the Scientific Committee on Occupational Exposure Limits for </w:t>
      </w:r>
      <w:r w:rsidRPr="00716CF5">
        <w:t>Dimethyl ether</w:t>
      </w:r>
      <w:r>
        <w:t>. SCOEL/SUM/2.</w:t>
      </w:r>
    </w:p>
    <w:p w14:paraId="012D8B79" w14:textId="4E85BAE3" w:rsidR="00065D6A" w:rsidRDefault="00065D6A" w:rsidP="00084859">
      <w:r w:rsidRPr="00B9245C">
        <w:t>UK Health and Safety Executive (HSE) (2002) EH40/2005 Workplace exposure limits.</w:t>
      </w:r>
    </w:p>
    <w:p w14:paraId="00E737DA" w14:textId="239346C8" w:rsidR="00716CF5" w:rsidRPr="00351FE0" w:rsidRDefault="00716CF5" w:rsidP="00084859"/>
    <w:sectPr w:rsidR="00716CF5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A52C7F" w16cid:durableId="21654D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ED0A7" w14:textId="77777777" w:rsidR="00B260E5" w:rsidRDefault="00B260E5" w:rsidP="00F43AD5">
      <w:pPr>
        <w:spacing w:after="0" w:line="240" w:lineRule="auto"/>
      </w:pPr>
      <w:r>
        <w:separator/>
      </w:r>
    </w:p>
  </w:endnote>
  <w:endnote w:type="continuationSeparator" w:id="0">
    <w:p w14:paraId="57844DC4" w14:textId="77777777" w:rsidR="00B260E5" w:rsidRDefault="00B260E5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ADCCA" w14:textId="77777777" w:rsidR="00223FD7" w:rsidRDefault="00223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55E6AA" w14:textId="47FB8FE5" w:rsidR="008A36CF" w:rsidRDefault="008819FC" w:rsidP="0034744C">
        <w:pPr>
          <w:pStyle w:val="Footer"/>
          <w:rPr>
            <w:sz w:val="18"/>
            <w:szCs w:val="18"/>
          </w:rPr>
        </w:pPr>
        <w:r w:rsidRPr="008819FC">
          <w:rPr>
            <w:b/>
            <w:sz w:val="18"/>
            <w:szCs w:val="18"/>
          </w:rPr>
          <w:t>Dimethyl ether</w:t>
        </w:r>
        <w:r w:rsidR="008A36CF">
          <w:rPr>
            <w:b/>
            <w:sz w:val="18"/>
            <w:szCs w:val="18"/>
          </w:rPr>
          <w:t xml:space="preserve"> (</w:t>
        </w:r>
        <w:r w:rsidRPr="008819FC">
          <w:rPr>
            <w:b/>
            <w:sz w:val="18"/>
            <w:szCs w:val="18"/>
          </w:rPr>
          <w:t>115-10-6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37EC952" w14:textId="20EE6C7C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23FD7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9C1E" w14:textId="77777777" w:rsidR="00223FD7" w:rsidRDefault="00223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60897" w14:textId="77777777" w:rsidR="00B260E5" w:rsidRDefault="00B260E5" w:rsidP="00F43AD5">
      <w:pPr>
        <w:spacing w:after="0" w:line="240" w:lineRule="auto"/>
      </w:pPr>
      <w:r>
        <w:separator/>
      </w:r>
    </w:p>
  </w:footnote>
  <w:footnote w:type="continuationSeparator" w:id="0">
    <w:p w14:paraId="56E1CAAF" w14:textId="77777777" w:rsidR="00B260E5" w:rsidRDefault="00B260E5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3F1D" w14:textId="77777777" w:rsidR="00223FD7" w:rsidRDefault="00223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8A65" w14:textId="4B8863E7" w:rsidR="00223FD7" w:rsidRDefault="00223FD7" w:rsidP="00223FD7">
    <w:pPr>
      <w:pStyle w:val="Header"/>
      <w:jc w:val="right"/>
    </w:pPr>
    <w:r>
      <w:pict w14:anchorId="6FB26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10241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2AD51183" wp14:editId="667B0903">
          <wp:extent cx="2952750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5456D" w14:textId="7F22A8CB" w:rsidR="008A36CF" w:rsidRPr="00223FD7" w:rsidRDefault="008A36CF" w:rsidP="00223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21B1F" w14:textId="77777777" w:rsidR="00223FD7" w:rsidRDefault="00223F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E9B9" w14:textId="70451A99" w:rsidR="00223FD7" w:rsidRDefault="00223FD7" w:rsidP="00223FD7">
    <w:pPr>
      <w:pStyle w:val="Header"/>
      <w:jc w:val="right"/>
    </w:pPr>
    <w:r>
      <w:pict w14:anchorId="5ADB9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42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348DC2B5" wp14:editId="3515BBD6">
          <wp:extent cx="2952750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5" w:name="_GoBack"/>
    <w:bookmarkEnd w:id="5"/>
  </w:p>
  <w:p w14:paraId="0B0E8075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70B4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4A4DF2"/>
    <w:multiLevelType w:val="hybridMultilevel"/>
    <w:tmpl w:val="A89E2600"/>
    <w:lvl w:ilvl="0" w:tplc="C3B47E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4BD2"/>
    <w:rsid w:val="00007B80"/>
    <w:rsid w:val="00013A22"/>
    <w:rsid w:val="00014C3F"/>
    <w:rsid w:val="0001761C"/>
    <w:rsid w:val="00017C82"/>
    <w:rsid w:val="00032B88"/>
    <w:rsid w:val="00046DF5"/>
    <w:rsid w:val="00052060"/>
    <w:rsid w:val="0005230B"/>
    <w:rsid w:val="0005574A"/>
    <w:rsid w:val="00055FE1"/>
    <w:rsid w:val="00056EC2"/>
    <w:rsid w:val="00060B48"/>
    <w:rsid w:val="00065D6A"/>
    <w:rsid w:val="00067F32"/>
    <w:rsid w:val="00071807"/>
    <w:rsid w:val="000803E1"/>
    <w:rsid w:val="00084513"/>
    <w:rsid w:val="00084859"/>
    <w:rsid w:val="00092D94"/>
    <w:rsid w:val="00093AA0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FD7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2F0EB7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78C9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04D0D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1FF2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178C9"/>
    <w:rsid w:val="00624C4E"/>
    <w:rsid w:val="00625200"/>
    <w:rsid w:val="006363A8"/>
    <w:rsid w:val="00636DB7"/>
    <w:rsid w:val="00650905"/>
    <w:rsid w:val="006521A7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6CF5"/>
    <w:rsid w:val="00717D45"/>
    <w:rsid w:val="007208F7"/>
    <w:rsid w:val="007218AF"/>
    <w:rsid w:val="007301C0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0773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19FC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7A52"/>
    <w:rsid w:val="00AC03EA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60E5"/>
    <w:rsid w:val="00B40C60"/>
    <w:rsid w:val="00B479A9"/>
    <w:rsid w:val="00B52EDF"/>
    <w:rsid w:val="00B70FDE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0F21"/>
    <w:rsid w:val="00C06E43"/>
    <w:rsid w:val="00C16315"/>
    <w:rsid w:val="00C3091E"/>
    <w:rsid w:val="00C40FF1"/>
    <w:rsid w:val="00C419E2"/>
    <w:rsid w:val="00C5020E"/>
    <w:rsid w:val="00C55205"/>
    <w:rsid w:val="00C57452"/>
    <w:rsid w:val="00C60E23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3ED7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408F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1C5E"/>
    <w:rsid w:val="00D87570"/>
    <w:rsid w:val="00D91CB9"/>
    <w:rsid w:val="00D97989"/>
    <w:rsid w:val="00D97D8D"/>
    <w:rsid w:val="00DA352E"/>
    <w:rsid w:val="00DA6374"/>
    <w:rsid w:val="00DB270C"/>
    <w:rsid w:val="00DC7694"/>
    <w:rsid w:val="00DD1BF6"/>
    <w:rsid w:val="00DD2F9B"/>
    <w:rsid w:val="00DE2513"/>
    <w:rsid w:val="00DE26E8"/>
    <w:rsid w:val="00DF48D1"/>
    <w:rsid w:val="00DF6F36"/>
    <w:rsid w:val="00E0084C"/>
    <w:rsid w:val="00E025AB"/>
    <w:rsid w:val="00E02B23"/>
    <w:rsid w:val="00E06F40"/>
    <w:rsid w:val="00E07A42"/>
    <w:rsid w:val="00E07CE8"/>
    <w:rsid w:val="00E25EC5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31D2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7301C0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F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F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F2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741CEA3A7FA745EABD7EF855BBEF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8AA2-0FB6-4109-8249-3CA49DF5B20F}"/>
      </w:docPartPr>
      <w:docPartBody>
        <w:p w:rsidR="00FA2212" w:rsidRDefault="00230C8F" w:rsidP="00230C8F">
          <w:pPr>
            <w:pStyle w:val="741CEA3A7FA745EABD7EF855BBEF0E8D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30C8F"/>
    <w:rsid w:val="004766E6"/>
    <w:rsid w:val="00D21A9F"/>
    <w:rsid w:val="00FA2212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8F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6568A2B407A4B2DAC1BA17A6F9C0C97">
    <w:name w:val="16568A2B407A4B2DAC1BA17A6F9C0C97"/>
    <w:rsid w:val="004766E6"/>
  </w:style>
  <w:style w:type="paragraph" w:customStyle="1" w:styleId="C12760DA51A5418E8337B7022489ED73">
    <w:name w:val="C12760DA51A5418E8337B7022489ED73"/>
    <w:rsid w:val="004766E6"/>
  </w:style>
  <w:style w:type="paragraph" w:customStyle="1" w:styleId="63F52810BC6D40F1A6673657DB7CBF8D">
    <w:name w:val="63F52810BC6D40F1A6673657DB7CBF8D"/>
    <w:rsid w:val="004766E6"/>
  </w:style>
  <w:style w:type="paragraph" w:customStyle="1" w:styleId="626318428F4C42DC90F805DF9112B54B">
    <w:name w:val="626318428F4C42DC90F805DF9112B54B"/>
    <w:rsid w:val="004766E6"/>
  </w:style>
  <w:style w:type="paragraph" w:customStyle="1" w:styleId="5F3D97DB042D44F9B6E8FEEA53621A39">
    <w:name w:val="5F3D97DB042D44F9B6E8FEEA53621A39"/>
    <w:rsid w:val="004766E6"/>
  </w:style>
  <w:style w:type="paragraph" w:customStyle="1" w:styleId="741CEA3A7FA745EABD7EF855BBEF0E8D">
    <w:name w:val="741CEA3A7FA745EABD7EF855BBEF0E8D"/>
    <w:rsid w:val="00230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8A7025-AF93-4541-89DF-FB68ADEC9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B5DBC-AEBA-4CE8-9134-A46CF8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9C17D1EC.dotm</Template>
  <TotalTime>201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21</cp:revision>
  <cp:lastPrinted>2018-10-22T22:41:00Z</cp:lastPrinted>
  <dcterms:created xsi:type="dcterms:W3CDTF">2019-08-20T06:13:00Z</dcterms:created>
  <dcterms:modified xsi:type="dcterms:W3CDTF">2019-11-08T00:22:00Z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