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CE0EC4" w:rsidP="00B40C60">
          <w:pPr>
            <w:pStyle w:val="Heading1"/>
            <w:jc w:val="center"/>
            <w:rPr>
              <w:rFonts w:ascii="Arial" w:hAnsi="Arial" w:cs="Arial"/>
            </w:rPr>
          </w:pPr>
          <w:r w:rsidRPr="00CE0EC4">
            <w:rPr>
              <w:rFonts w:ascii="Arial" w:hAnsi="Arial" w:cs="Arial"/>
            </w:rPr>
            <w:t>Dinitrotoluene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:rsidTr="00B76A41">
        <w:trPr>
          <w:cantSplit/>
          <w:tblHeader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:rsidR="00F43AD5" w:rsidRPr="00717D45" w:rsidRDefault="00CE0EC4" w:rsidP="00B76A41">
            <w:pPr>
              <w:pStyle w:val="Tablefont"/>
            </w:pPr>
            <w:r w:rsidRPr="00CE0EC4">
              <w:t>25321-14-6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:rsidR="00F43AD5" w:rsidRPr="00717D45" w:rsidRDefault="00CE0EC4" w:rsidP="00B76A41">
            <w:pPr>
              <w:pStyle w:val="Tablefont"/>
            </w:pPr>
            <w:proofErr w:type="spellStart"/>
            <w:r>
              <w:t>Dinitrotoluol</w:t>
            </w:r>
            <w:proofErr w:type="spellEnd"/>
            <w:r>
              <w:t>, DNT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:rsidR="00F43AD5" w:rsidRPr="00717D45" w:rsidRDefault="00CE0EC4" w:rsidP="00B76A41">
            <w:pPr>
              <w:pStyle w:val="Tablefont"/>
            </w:pPr>
            <w:r>
              <w:t>C</w:t>
            </w:r>
            <w:r w:rsidRPr="00CE0EC4">
              <w:rPr>
                <w:vertAlign w:val="subscript"/>
              </w:rPr>
              <w:t>7</w:t>
            </w:r>
            <w:r>
              <w:t>H</w:t>
            </w:r>
            <w:r w:rsidRPr="00CE0EC4">
              <w:rPr>
                <w:vertAlign w:val="subscript"/>
              </w:rPr>
              <w:t>6</w:t>
            </w:r>
            <w:r>
              <w:t>N</w:t>
            </w:r>
            <w:r w:rsidRPr="00CE0EC4">
              <w:rPr>
                <w:vertAlign w:val="subscript"/>
              </w:rPr>
              <w:t>2</w:t>
            </w:r>
            <w:r>
              <w:t>O</w:t>
            </w:r>
            <w:r w:rsidRPr="00CE0EC4">
              <w:rPr>
                <w:vertAlign w:val="subscript"/>
              </w:rPr>
              <w:t>4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:rsidR="00F43AD5" w:rsidRPr="0006765D" w:rsidRDefault="00CE0EC4" w:rsidP="00B76A41">
            <w:pPr>
              <w:pStyle w:val="Tablerowheading"/>
              <w:rPr>
                <w:b w:val="0"/>
              </w:rPr>
            </w:pPr>
            <w:r w:rsidRPr="00EB753E">
              <w:rPr>
                <w:b w:val="0"/>
              </w:rPr>
              <w:t>—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75383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6"/>
        <w:gridCol w:w="5020"/>
      </w:tblGrid>
      <w:tr w:rsidR="002C7AFE" w:rsidRPr="004C23F4" w:rsidTr="004B0853">
        <w:trPr>
          <w:cantSplit/>
          <w:tblHeader/>
        </w:trPr>
        <w:tc>
          <w:tcPr>
            <w:tcW w:w="4006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0" w:type="dxa"/>
          </w:tcPr>
          <w:p w:rsidR="002C7AFE" w:rsidRPr="00443D1B" w:rsidRDefault="00F146C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</w:t>
            </w:r>
            <w:r w:rsidR="00443D1B">
              <w:rPr>
                <w:b/>
              </w:rPr>
              <w:t xml:space="preserve"> </w:t>
            </w:r>
            <w:r w:rsidR="00443D1B">
              <w:rPr>
                <w:rFonts w:cs="Arial"/>
                <w:b/>
              </w:rPr>
              <w:t>µ</w:t>
            </w:r>
            <w:r w:rsidR="00443D1B">
              <w:rPr>
                <w:b/>
              </w:rPr>
              <w:t>g/m</w:t>
            </w:r>
            <w:r w:rsidR="00443D1B">
              <w:rPr>
                <w:b/>
                <w:vertAlign w:val="superscript"/>
              </w:rPr>
              <w:t>3</w:t>
            </w:r>
            <w:r>
              <w:rPr>
                <w:b/>
              </w:rPr>
              <w:t xml:space="preserve"> (1.1</w:t>
            </w:r>
            <w:r w:rsidR="00443D1B">
              <w:rPr>
                <w:b/>
              </w:rPr>
              <w:t xml:space="preserve"> ppb)</w:t>
            </w:r>
          </w:p>
        </w:tc>
      </w:tr>
      <w:tr w:rsidR="002C7AFE" w:rsidRPr="004C23F4" w:rsidTr="004B0853">
        <w:trPr>
          <w:cantSplit/>
        </w:trPr>
        <w:tc>
          <w:tcPr>
            <w:tcW w:w="4006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0" w:type="dxa"/>
          </w:tcPr>
          <w:p w:rsidR="002C7AFE" w:rsidRPr="00EB3D1B" w:rsidRDefault="0006765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4B0853">
        <w:trPr>
          <w:cantSplit/>
        </w:trPr>
        <w:tc>
          <w:tcPr>
            <w:tcW w:w="4006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0" w:type="dxa"/>
          </w:tcPr>
          <w:p w:rsidR="002C7AFE" w:rsidRPr="00EB3D1B" w:rsidRDefault="0006765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4B0853">
        <w:trPr>
          <w:cantSplit/>
        </w:trPr>
        <w:tc>
          <w:tcPr>
            <w:tcW w:w="4006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0" w:type="dxa"/>
          </w:tcPr>
          <w:p w:rsidR="002C7AFE" w:rsidRPr="00EB3D1B" w:rsidRDefault="00EB753E" w:rsidP="008A36CF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 xml:space="preserve"> 1B, </w:t>
            </w:r>
            <w:r w:rsidR="004E2072">
              <w:rPr>
                <w:b/>
              </w:rPr>
              <w:t xml:space="preserve">Sk. </w:t>
            </w:r>
          </w:p>
        </w:tc>
      </w:tr>
      <w:tr w:rsidR="002C7AFE" w:rsidRPr="004C23F4" w:rsidTr="004B0853">
        <w:trPr>
          <w:cantSplit/>
        </w:trPr>
        <w:tc>
          <w:tcPr>
            <w:tcW w:w="4006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0" w:type="dxa"/>
          </w:tcPr>
          <w:p w:rsidR="002C7AFE" w:rsidRPr="00EB3D1B" w:rsidRDefault="0006765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4B0853" w:rsidRPr="004C23F4" w:rsidTr="00EB37D3">
        <w:trPr>
          <w:cantSplit/>
        </w:trPr>
        <w:tc>
          <w:tcPr>
            <w:tcW w:w="9026" w:type="dxa"/>
            <w:gridSpan w:val="2"/>
            <w:vAlign w:val="center"/>
          </w:tcPr>
          <w:p w:rsidR="004B0853" w:rsidRPr="00EB3D1B" w:rsidRDefault="004B0853" w:rsidP="00017C8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A1EFB34D75449B1A5CF14D2172FD9D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>The recommended value is likely to be below the current limit of detection for standard sampling and analysis techniques.</w:t>
                </w:r>
              </w:sdtContent>
            </w:sdt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803F9A" w:rsidRPr="004C23F4" w:rsidRDefault="00803F9A" w:rsidP="00803F9A">
      <w:pPr>
        <w:rPr>
          <w:rFonts w:cs="Arial"/>
        </w:rPr>
      </w:pPr>
      <w:r>
        <w:rPr>
          <w:rFonts w:cs="Arial"/>
        </w:rPr>
        <w:t xml:space="preserve">A TWA of </w:t>
      </w:r>
      <w:r w:rsidRPr="00C36A4B">
        <w:rPr>
          <w:rFonts w:cs="Arial"/>
        </w:rPr>
        <w:t>0.</w:t>
      </w:r>
      <w:r>
        <w:rPr>
          <w:rFonts w:cs="Arial"/>
        </w:rPr>
        <w:t xml:space="preserve">5 </w:t>
      </w:r>
      <w:r w:rsidRPr="00C36A4B">
        <w:rPr>
          <w:rFonts w:cs="Arial"/>
        </w:rPr>
        <w:t>µg/m</w:t>
      </w:r>
      <w:r w:rsidRPr="00C36A4B">
        <w:rPr>
          <w:rFonts w:cs="Arial"/>
          <w:vertAlign w:val="superscript"/>
        </w:rPr>
        <w:t>3</w:t>
      </w:r>
      <w:r>
        <w:rPr>
          <w:rFonts w:cs="Arial"/>
        </w:rPr>
        <w:t xml:space="preserve"> (1.1 ppb) is recommended to </w:t>
      </w:r>
      <w:r w:rsidR="0007370E">
        <w:rPr>
          <w:rFonts w:cs="Arial"/>
        </w:rPr>
        <w:t>minimise the potential for</w:t>
      </w:r>
      <w:r>
        <w:rPr>
          <w:rFonts w:cs="Arial"/>
        </w:rPr>
        <w:t xml:space="preserve"> cancer in exposed workers.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D217B8" w:rsidRDefault="00803F9A" w:rsidP="00D217B8">
      <w:pPr>
        <w:rPr>
          <w:rFonts w:cs="Arial"/>
        </w:rPr>
      </w:pPr>
      <w:proofErr w:type="spellStart"/>
      <w:r w:rsidRPr="002258DD">
        <w:rPr>
          <w:rFonts w:cs="Arial"/>
        </w:rPr>
        <w:t>Dinitrotoluene</w:t>
      </w:r>
      <w:proofErr w:type="spellEnd"/>
      <w:r w:rsidRPr="002258DD">
        <w:rPr>
          <w:rFonts w:cs="Arial"/>
        </w:rPr>
        <w:t xml:space="preserve"> (DNT) is used in the production of toluene </w:t>
      </w:r>
      <w:proofErr w:type="spellStart"/>
      <w:r w:rsidRPr="002258DD">
        <w:rPr>
          <w:rFonts w:cs="Arial"/>
        </w:rPr>
        <w:t>diisocyanate</w:t>
      </w:r>
      <w:proofErr w:type="spellEnd"/>
      <w:r w:rsidRPr="002258DD">
        <w:rPr>
          <w:rFonts w:cs="Arial"/>
        </w:rPr>
        <w:t xml:space="preserve"> and toluene diamine, which are intermediates in the making of polyurethane foams and polymers. </w:t>
      </w:r>
    </w:p>
    <w:p w:rsidR="00803F9A" w:rsidRPr="00F25205" w:rsidRDefault="004B0853" w:rsidP="00D217B8">
      <w:pPr>
        <w:rPr>
          <w:rFonts w:cs="Arial"/>
        </w:rPr>
      </w:pPr>
      <w:r w:rsidRPr="00F4795B">
        <w:rPr>
          <w:rFonts w:cs="Arial"/>
        </w:rPr>
        <w:t xml:space="preserve">Critical effects include heart disease, reproductive effects and cancer. </w:t>
      </w:r>
      <w:r w:rsidR="00803F9A" w:rsidRPr="00F25205">
        <w:rPr>
          <w:rFonts w:cs="Arial"/>
        </w:rPr>
        <w:t>Based on evidence in animals, it is</w:t>
      </w:r>
      <w:r w:rsidR="00D217B8">
        <w:rPr>
          <w:rFonts w:cs="Arial"/>
        </w:rPr>
        <w:t xml:space="preserve"> characterised</w:t>
      </w:r>
      <w:r w:rsidR="00803F9A" w:rsidRPr="00F25205">
        <w:rPr>
          <w:rFonts w:cs="Arial"/>
        </w:rPr>
        <w:t xml:space="preserve"> a non-threshold based genotoxic carcinogen (ACGIH, 2018; NICNAS, 2014; US EPA, 1990). Carcinogenicity is demonstrated to act </w:t>
      </w:r>
      <w:r w:rsidR="00803F9A" w:rsidRPr="00D217B8">
        <w:rPr>
          <w:rFonts w:cs="Arial"/>
          <w:i/>
        </w:rPr>
        <w:t>via</w:t>
      </w:r>
      <w:r w:rsidR="00803F9A" w:rsidRPr="00F4795B">
        <w:rPr>
          <w:rFonts w:cs="Arial"/>
        </w:rPr>
        <w:t xml:space="preserve"> a mutagenic mode of action</w:t>
      </w:r>
      <w:r w:rsidR="00803F9A" w:rsidRPr="00F25205">
        <w:rPr>
          <w:rFonts w:cs="Arial"/>
        </w:rPr>
        <w:t xml:space="preserve">. </w:t>
      </w:r>
    </w:p>
    <w:p w:rsidR="00803F9A" w:rsidRPr="00D217B8" w:rsidRDefault="004B0853" w:rsidP="00803F9A">
      <w:pPr>
        <w:rPr>
          <w:rFonts w:cs="Arial"/>
        </w:rPr>
      </w:pPr>
      <w:r w:rsidRPr="00D217B8">
        <w:rPr>
          <w:rFonts w:cs="Arial"/>
        </w:rPr>
        <w:t>T</w:t>
      </w:r>
      <w:r w:rsidR="00803F9A" w:rsidRPr="00D217B8">
        <w:rPr>
          <w:rFonts w:cs="Arial"/>
        </w:rPr>
        <w:t xml:space="preserve">he recommended TWA </w:t>
      </w:r>
      <w:r w:rsidR="002258DD">
        <w:rPr>
          <w:rFonts w:cs="Arial"/>
        </w:rPr>
        <w:t xml:space="preserve">of </w:t>
      </w:r>
      <w:r w:rsidR="002258DD" w:rsidRPr="00C36A4B">
        <w:rPr>
          <w:rFonts w:cs="Arial"/>
        </w:rPr>
        <w:t>0.</w:t>
      </w:r>
      <w:r w:rsidR="002258DD">
        <w:rPr>
          <w:rFonts w:cs="Arial"/>
        </w:rPr>
        <w:t xml:space="preserve">5 </w:t>
      </w:r>
      <w:r w:rsidR="002258DD" w:rsidRPr="00C36A4B">
        <w:rPr>
          <w:rFonts w:cs="Arial"/>
        </w:rPr>
        <w:t>µg/m</w:t>
      </w:r>
      <w:r w:rsidR="002258DD" w:rsidRPr="00C36A4B">
        <w:rPr>
          <w:rFonts w:cs="Arial"/>
          <w:vertAlign w:val="superscript"/>
        </w:rPr>
        <w:t>3</w:t>
      </w:r>
      <w:r w:rsidR="002258DD">
        <w:rPr>
          <w:rFonts w:cs="Arial"/>
          <w:vertAlign w:val="superscript"/>
        </w:rPr>
        <w:t xml:space="preserve"> </w:t>
      </w:r>
      <w:r w:rsidR="002258DD">
        <w:rPr>
          <w:rFonts w:cs="Arial"/>
        </w:rPr>
        <w:t xml:space="preserve">(rounded) </w:t>
      </w:r>
      <w:r w:rsidR="00803F9A" w:rsidRPr="002258DD">
        <w:rPr>
          <w:rFonts w:cs="Arial"/>
        </w:rPr>
        <w:t xml:space="preserve">has been derived at a minimal cancer risk level </w:t>
      </w:r>
      <w:r w:rsidR="0007370E" w:rsidRPr="002258DD">
        <w:rPr>
          <w:rFonts w:cs="Arial"/>
        </w:rPr>
        <w:t xml:space="preserve">by </w:t>
      </w:r>
      <w:r w:rsidR="00803F9A" w:rsidRPr="002258DD">
        <w:rPr>
          <w:rFonts w:cs="Arial"/>
        </w:rPr>
        <w:t>applying an oral slope factor</w:t>
      </w:r>
      <w:r w:rsidR="002258DD">
        <w:rPr>
          <w:rFonts w:cs="Arial"/>
        </w:rPr>
        <w:t>. This value is</w:t>
      </w:r>
      <w:r w:rsidR="00803F9A" w:rsidRPr="002258DD">
        <w:rPr>
          <w:rFonts w:cs="Arial"/>
        </w:rPr>
        <w:t xml:space="preserve"> based on </w:t>
      </w:r>
      <w:r w:rsidR="00803F9A" w:rsidRPr="00D217B8">
        <w:rPr>
          <w:rFonts w:cs="Arial"/>
        </w:rPr>
        <w:t xml:space="preserve">a </w:t>
      </w:r>
      <w:r w:rsidR="00803F9A" w:rsidRPr="002258DD">
        <w:rPr>
          <w:rFonts w:cs="Arial"/>
        </w:rPr>
        <w:t>study reporting significant increases in the incidence of malignant tumour types at multiple sites in rats (</w:t>
      </w:r>
      <w:r w:rsidR="0006765D" w:rsidRPr="002258DD">
        <w:rPr>
          <w:rFonts w:cs="Arial"/>
        </w:rPr>
        <w:t>two</w:t>
      </w:r>
      <w:r w:rsidR="00803F9A" w:rsidRPr="002258DD">
        <w:rPr>
          <w:rFonts w:cs="Arial"/>
        </w:rPr>
        <w:t xml:space="preserve"> strains) and malignant renal tumours in male mice (US</w:t>
      </w:r>
      <w:r w:rsidR="00D217B8">
        <w:rPr>
          <w:rFonts w:cs="Arial"/>
        </w:rPr>
        <w:t xml:space="preserve"> </w:t>
      </w:r>
      <w:r w:rsidR="00803F9A" w:rsidRPr="002258DD">
        <w:rPr>
          <w:rFonts w:cs="Arial"/>
        </w:rPr>
        <w:t>EPA, 1990).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CE0EC4" w:rsidRPr="00A70823" w:rsidRDefault="00EB753E" w:rsidP="00CE0EC4">
      <w:pPr>
        <w:rPr>
          <w:rFonts w:cs="Arial"/>
        </w:rPr>
      </w:pPr>
      <w:r>
        <w:rPr>
          <w:rFonts w:cs="Arial"/>
        </w:rPr>
        <w:t>C</w:t>
      </w:r>
      <w:r w:rsidR="00CE0EC4" w:rsidRPr="00A70823">
        <w:rPr>
          <w:rFonts w:cs="Arial"/>
        </w:rPr>
        <w:t xml:space="preserve">lassified as a </w:t>
      </w:r>
      <w:r>
        <w:rPr>
          <w:rFonts w:cs="Arial"/>
        </w:rPr>
        <w:t xml:space="preserve">category 1B </w:t>
      </w:r>
      <w:r w:rsidR="00CE0EC4" w:rsidRPr="00A70823">
        <w:rPr>
          <w:rFonts w:cs="Arial"/>
        </w:rPr>
        <w:t>carcinogen according to the Globally Harmonized System of Classification and Labelling o</w:t>
      </w:r>
      <w:r w:rsidR="004B0853">
        <w:rPr>
          <w:rFonts w:cs="Arial"/>
        </w:rPr>
        <w:t>f</w:t>
      </w:r>
      <w:r w:rsidR="00CE0EC4" w:rsidRPr="00A70823">
        <w:rPr>
          <w:rFonts w:cs="Arial"/>
        </w:rPr>
        <w:t xml:space="preserve"> Chemicals (GHS). </w:t>
      </w:r>
    </w:p>
    <w:p w:rsidR="00CE0EC4" w:rsidRPr="00A70823" w:rsidRDefault="00CE0EC4" w:rsidP="00CE0EC4">
      <w:pPr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4E2072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:rsidR="00CE0EC4" w:rsidRPr="004C23F4" w:rsidRDefault="00D217B8" w:rsidP="00CE0EC4">
      <w:pPr>
        <w:rPr>
          <w:rFonts w:cs="Arial"/>
        </w:rPr>
      </w:pPr>
      <w:r>
        <w:rPr>
          <w:rFonts w:cs="Arial"/>
        </w:rPr>
        <w:t>A s</w:t>
      </w:r>
      <w:r w:rsidR="00443D1B">
        <w:rPr>
          <w:rFonts w:cs="Arial"/>
        </w:rPr>
        <w:t xml:space="preserve">kin notation </w:t>
      </w:r>
      <w:r>
        <w:rPr>
          <w:rFonts w:cs="Arial"/>
        </w:rPr>
        <w:t xml:space="preserve">is </w:t>
      </w:r>
      <w:r w:rsidR="00443D1B">
        <w:rPr>
          <w:rFonts w:cs="Arial"/>
        </w:rPr>
        <w:t>recommended based on evidence of dermal absorption and systemic effects in humans</w:t>
      </w:r>
      <w:r w:rsidR="0006765D">
        <w:rPr>
          <w:rFonts w:cs="Arial"/>
        </w:rPr>
        <w:t>.</w:t>
      </w:r>
    </w:p>
    <w:p w:rsidR="0025734A" w:rsidRPr="004C23F4" w:rsidRDefault="0025734A">
      <w:pPr>
        <w:rPr>
          <w:rFonts w:cs="Arial"/>
        </w:rPr>
      </w:pP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CE0EC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CE0EC4">
                  <w:t>TWA: 1.5 mg/m</w:t>
                </w:r>
                <w:r w:rsidR="00CE0EC4" w:rsidRPr="00CE0EC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E0EC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E0EC4">
                  <w:t>TLV-TWA: 0.2 mg/m</w:t>
                </w:r>
                <w:r w:rsidR="00CE0EC4" w:rsidRPr="00CE0EC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7549F0" w:rsidP="003365A5">
            <w:pPr>
              <w:pStyle w:val="Tabletextprimarysource"/>
            </w:pPr>
            <w:r>
              <w:t>TLV-TWA recommended to minimise the potential for heart disease and possible reproductive effects.</w:t>
            </w:r>
          </w:p>
          <w:p w:rsidR="007549F0" w:rsidRDefault="007549F0" w:rsidP="003365A5">
            <w:pPr>
              <w:pStyle w:val="Tabletextprimarysource"/>
            </w:pPr>
            <w:r>
              <w:t>Summary of data:</w:t>
            </w:r>
          </w:p>
          <w:p w:rsidR="007549F0" w:rsidRDefault="004E2072" w:rsidP="003365A5">
            <w:pPr>
              <w:pStyle w:val="Tabletextprimarysource"/>
            </w:pPr>
            <w:r>
              <w:t>U</w:t>
            </w:r>
            <w:r w:rsidR="007549F0">
              <w:t xml:space="preserve">sed in the production of toluene </w:t>
            </w:r>
            <w:proofErr w:type="spellStart"/>
            <w:r w:rsidR="007549F0">
              <w:t>diisocyanate</w:t>
            </w:r>
            <w:proofErr w:type="spellEnd"/>
            <w:r w:rsidR="007549F0">
              <w:t xml:space="preserve"> and toluene diamine, which are intermediates in the making of polyurethane foams and polymers</w:t>
            </w:r>
            <w:r w:rsidR="00803F9A">
              <w:t>.</w:t>
            </w:r>
          </w:p>
          <w:p w:rsidR="007549F0" w:rsidRDefault="007549F0" w:rsidP="003365A5">
            <w:pPr>
              <w:pStyle w:val="Tabletextprimarysource"/>
            </w:pPr>
            <w:r>
              <w:t>Human data:</w:t>
            </w:r>
          </w:p>
          <w:p w:rsidR="00A25B22" w:rsidRDefault="00A25B22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Toxic effects similar in character to those of other aromatic nitro compounds</w:t>
            </w:r>
          </w:p>
          <w:p w:rsidR="007549F0" w:rsidRDefault="007549F0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Acute effects driven by production of </w:t>
            </w:r>
            <w:r w:rsidR="005B1DF7">
              <w:t>methaemoglobin</w:t>
            </w:r>
            <w:r>
              <w:t xml:space="preserve">, resulting in cyanosis accompanied by headache, irritability, dizziness, weakness, nausea, vomiting, </w:t>
            </w:r>
            <w:r w:rsidR="005B1DF7">
              <w:t>dyspnoea</w:t>
            </w:r>
            <w:r>
              <w:t>, drowsiness, unconsciousness, and possible death</w:t>
            </w:r>
          </w:p>
          <w:p w:rsidR="007549F0" w:rsidRDefault="001015BF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Study in workers concluded skin exposure is a major route of absorption during the study; established urinary concentrations of the metabolite 2,4-dinitrobenzoic acid (2,4-DNBA) appropriate to determine exposure</w:t>
            </w:r>
          </w:p>
          <w:p w:rsidR="001015BF" w:rsidRDefault="001015BF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 study in workers determined the proportion of metabolites in humans substantially different to F-344 rats; large proportion of uptake from skin absorption</w:t>
            </w:r>
          </w:p>
          <w:p w:rsidR="001015BF" w:rsidRDefault="000068AF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Study in chemical plant with technical grade DNT with personal and area concentrations from not detectable to 0.49 mg/m</w:t>
            </w:r>
            <w:r>
              <w:rPr>
                <w:vertAlign w:val="superscript"/>
              </w:rPr>
              <w:t>3</w:t>
            </w:r>
            <w:r>
              <w:t xml:space="preserve"> reported decreased sperm counts and a reduction in the number of large morphologic sperm forms</w:t>
            </w:r>
          </w:p>
          <w:p w:rsidR="000068AF" w:rsidRDefault="000068AF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Excess mortality from ischaemic disease reported in a cohort study; no exposure concentrations</w:t>
            </w:r>
            <w:r w:rsidR="00A25B22">
              <w:t xml:space="preserve"> provided</w:t>
            </w:r>
            <w:r w:rsidR="004B0853">
              <w:t>.</w:t>
            </w:r>
          </w:p>
          <w:p w:rsidR="000068AF" w:rsidRDefault="00A25B22" w:rsidP="00A25B22">
            <w:pPr>
              <w:pStyle w:val="Tabletextprimarysource"/>
            </w:pPr>
            <w:r>
              <w:t>Animal data:</w:t>
            </w:r>
          </w:p>
          <w:p w:rsidR="00A25B22" w:rsidRDefault="00A25B22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4E2072">
              <w:t>:</w:t>
            </w:r>
            <w:r>
              <w:t xml:space="preserve"> 27 mg/kg</w:t>
            </w:r>
            <w:r w:rsidR="004E2072">
              <w:t xml:space="preserve"> (cats</w:t>
            </w:r>
            <w:r w:rsidR="004B0853">
              <w:t>, oral</w:t>
            </w:r>
            <w:r w:rsidR="004E2072">
              <w:t>)</w:t>
            </w:r>
          </w:p>
          <w:p w:rsidR="00A25B22" w:rsidRDefault="00A25B22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Local irritating effect on skin of rabbits following </w:t>
            </w:r>
            <w:proofErr w:type="spellStart"/>
            <w:r>
              <w:t>Draize</w:t>
            </w:r>
            <w:proofErr w:type="spellEnd"/>
            <w:r>
              <w:t xml:space="preserve"> procedure</w:t>
            </w:r>
          </w:p>
          <w:p w:rsidR="00A25B22" w:rsidRDefault="00014359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Hepatotoxic effects in rats fed 14 or 35 mg/kg/d for 26 </w:t>
            </w:r>
            <w:proofErr w:type="spellStart"/>
            <w:r>
              <w:t>wk</w:t>
            </w:r>
            <w:proofErr w:type="spellEnd"/>
          </w:p>
          <w:p w:rsidR="00014359" w:rsidRDefault="00014359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Hepatocellular carcinomas in </w:t>
            </w:r>
            <w:r w:rsidR="004B0853">
              <w:t>18/</w:t>
            </w:r>
            <w:r w:rsidR="005427F9">
              <w:t>2</w:t>
            </w:r>
            <w:r>
              <w:t xml:space="preserve">0 </w:t>
            </w:r>
            <w:r w:rsidR="005427F9">
              <w:t>male rats fed 7</w:t>
            </w:r>
            <w:r>
              <w:t xml:space="preserve"> mg/kg/d</w:t>
            </w:r>
            <w:r w:rsidR="005427F9">
              <w:t xml:space="preserve"> </w:t>
            </w:r>
            <w:r>
              <w:t xml:space="preserve">for 26 </w:t>
            </w:r>
            <w:proofErr w:type="spellStart"/>
            <w:r>
              <w:t>wk</w:t>
            </w:r>
            <w:proofErr w:type="spellEnd"/>
            <w:r>
              <w:t xml:space="preserve">; </w:t>
            </w:r>
            <w:r w:rsidR="004B0853">
              <w:t>19/</w:t>
            </w:r>
            <w:r w:rsidR="005427F9">
              <w:t>19</w:t>
            </w:r>
            <w:r>
              <w:t xml:space="preserve"> </w:t>
            </w:r>
            <w:r w:rsidR="004B0853">
              <w:t xml:space="preserve">rats fed </w:t>
            </w:r>
            <w:r w:rsidR="00D217B8">
              <w:t>14 </w:t>
            </w:r>
            <w:r w:rsidR="004B0853">
              <w:t xml:space="preserve">mg/kg/d </w:t>
            </w:r>
            <w:r>
              <w:t xml:space="preserve">developed hepatocellular carcinomas after 52 </w:t>
            </w:r>
            <w:proofErr w:type="spellStart"/>
            <w:r>
              <w:t>wk</w:t>
            </w:r>
            <w:proofErr w:type="spellEnd"/>
          </w:p>
          <w:p w:rsidR="00014359" w:rsidRDefault="005427F9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Hepatocellular carcinomas and other cancers in rats and mice exposed to technical grade in other chronic feeding studies</w:t>
            </w:r>
          </w:p>
          <w:p w:rsidR="00875383" w:rsidRDefault="004B0853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Dietary doses </w:t>
            </w:r>
            <w:r w:rsidR="00875383">
              <w:t xml:space="preserve">&gt;5 mg/kg/d required to induce </w:t>
            </w:r>
            <w:r w:rsidR="00443D1B">
              <w:t xml:space="preserve">low-grade anaemia and neuromuscular, hepatic, renal, and reproductive effects </w:t>
            </w:r>
            <w:r w:rsidR="00875383">
              <w:t>in mice, rats, or dogs</w:t>
            </w:r>
            <w:r>
              <w:t>.</w:t>
            </w:r>
          </w:p>
          <w:p w:rsidR="005427F9" w:rsidRDefault="004B6AFD" w:rsidP="004B6AFD">
            <w:pPr>
              <w:pStyle w:val="Tabletextprimarysource"/>
            </w:pPr>
            <w:r>
              <w:t>Mutagenicity</w:t>
            </w:r>
          </w:p>
          <w:p w:rsidR="005427F9" w:rsidRDefault="005427F9" w:rsidP="00D217B8">
            <w:pPr>
              <w:pStyle w:val="ListBullet"/>
              <w:spacing w:before="60" w:after="60"/>
              <w:ind w:left="714" w:hanging="357"/>
              <w:contextualSpacing w:val="0"/>
              <w:rPr>
                <w:i/>
              </w:rPr>
            </w:pPr>
            <w:r>
              <w:t xml:space="preserve">6 isomers of DNT weakly mutagenic in </w:t>
            </w:r>
            <w:r w:rsidR="004D2F48">
              <w:rPr>
                <w:i/>
              </w:rPr>
              <w:t>S.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typhimurium</w:t>
            </w:r>
            <w:proofErr w:type="spellEnd"/>
          </w:p>
          <w:p w:rsidR="005427F9" w:rsidRDefault="005427F9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2,6-dinitrobenzaldehyde, a</w:t>
            </w:r>
            <w:r w:rsidR="004B6AFD">
              <w:t xml:space="preserve"> </w:t>
            </w:r>
            <w:r>
              <w:t>metabolite, found to be a direct-acting mutagen</w:t>
            </w:r>
          </w:p>
          <w:p w:rsidR="004B6AFD" w:rsidRDefault="004B6AFD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Technical grade DNT and the purified 2</w:t>
            </w:r>
            <w:proofErr w:type="gramStart"/>
            <w:r>
              <w:t>,6</w:t>
            </w:r>
            <w:proofErr w:type="gramEnd"/>
            <w:r>
              <w:t>-DNT isomer were potent inducers of DNA repair in rat mutagenicity tests</w:t>
            </w:r>
            <w:r w:rsidR="0006765D">
              <w:t>.</w:t>
            </w:r>
          </w:p>
          <w:p w:rsidR="00D217B8" w:rsidRDefault="00D217B8" w:rsidP="004B6AFD">
            <w:pPr>
              <w:pStyle w:val="Tabletextprimarysource"/>
            </w:pPr>
          </w:p>
          <w:p w:rsidR="004B6AFD" w:rsidRDefault="004B6AFD" w:rsidP="004B6AFD">
            <w:pPr>
              <w:pStyle w:val="Tabletextprimarysource"/>
            </w:pPr>
            <w:r>
              <w:t>Insufficient data to recommend sensitiser notation or a TLV-STEL.</w:t>
            </w:r>
          </w:p>
          <w:p w:rsidR="0007370E" w:rsidRPr="005427F9" w:rsidRDefault="0007370E" w:rsidP="004B6AFD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E0EC4">
                  <w:t>1985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E0EC4">
                  <w:t>Not assigned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875383" w:rsidRDefault="001A2F0E" w:rsidP="003365A5">
            <w:pPr>
              <w:pStyle w:val="Tabletextprimarysource"/>
            </w:pPr>
            <w:r>
              <w:t xml:space="preserve">No MAK recommended due to potential </w:t>
            </w:r>
            <w:r w:rsidR="00875383">
              <w:t>carcinogenicity.</w:t>
            </w:r>
          </w:p>
          <w:p w:rsidR="00875383" w:rsidRDefault="00875383" w:rsidP="00D217B8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Long-term feeding studies </w:t>
            </w:r>
            <w:r w:rsidR="004E2072">
              <w:t>mice and rats</w:t>
            </w:r>
            <w:r>
              <w:t xml:space="preserve"> shown to be a carcinogen in both species</w:t>
            </w:r>
            <w:r w:rsidR="0006765D">
              <w:t xml:space="preserve"> </w:t>
            </w:r>
          </w:p>
          <w:p w:rsidR="00C978F0" w:rsidRDefault="00875383" w:rsidP="00D217B8">
            <w:pPr>
              <w:pStyle w:val="ListBullet"/>
              <w:spacing w:before="60" w:after="60"/>
              <w:ind w:left="714" w:hanging="357"/>
              <w:contextualSpacing w:val="0"/>
            </w:pPr>
            <w:r w:rsidRPr="00875383">
              <w:t>Numerous short-term tests for genotoxic effects have yielded positive results</w:t>
            </w:r>
            <w:r w:rsidR="000A6545">
              <w:t xml:space="preserve"> (no further detail provided)</w:t>
            </w:r>
            <w:r w:rsidR="0006765D">
              <w:t>.</w:t>
            </w:r>
          </w:p>
          <w:p w:rsidR="00D217B8" w:rsidRPr="00DA352E" w:rsidRDefault="00D217B8" w:rsidP="00D217B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E0EC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E0EC4">
                  <w:t>NA</w:t>
                </w:r>
                <w:proofErr w:type="spellEnd"/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E0EC4" w:rsidP="003365A5">
            <w:pPr>
              <w:pStyle w:val="Tabletextprimarysource"/>
            </w:pPr>
            <w:r>
              <w:t>No report</w:t>
            </w:r>
            <w:r w:rsidR="004E2072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E0EC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E0EC4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CE0EC4" w:rsidP="003365A5">
            <w:pPr>
              <w:pStyle w:val="Tabletextprimarysource"/>
            </w:pPr>
            <w:r>
              <w:t>No report</w:t>
            </w:r>
            <w:r w:rsidR="004E2072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E0EC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CE0EC4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CE0EC4" w:rsidP="003365A5">
            <w:pPr>
              <w:pStyle w:val="Tabletextprimarysource"/>
            </w:pPr>
            <w:r>
              <w:t>No report</w:t>
            </w:r>
            <w:r w:rsidR="004E2072">
              <w:t>.</w:t>
            </w:r>
          </w:p>
        </w:tc>
      </w:tr>
    </w:tbl>
    <w:p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3"/>
        <w:gridCol w:w="661"/>
        <w:gridCol w:w="6448"/>
      </w:tblGrid>
      <w:tr w:rsidR="004966BF" w:rsidRPr="00263255" w:rsidTr="00875383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8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875383">
        <w:trPr>
          <w:cantSplit/>
        </w:trPr>
        <w:tc>
          <w:tcPr>
            <w:tcW w:w="1494" w:type="dxa"/>
          </w:tcPr>
          <w:p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:rsidR="004966BF" w:rsidRPr="00CE617F" w:rsidRDefault="00D41F4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7538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87538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8" w:type="dxa"/>
          </w:tcPr>
          <w:p w:rsidR="004966BF" w:rsidRPr="004E2072" w:rsidRDefault="00875383" w:rsidP="00D217B8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EB753E">
              <w:t>Considered</w:t>
            </w:r>
            <w:r w:rsidRPr="00EB753E">
              <w:rPr>
                <w:rFonts w:cs="Arial"/>
              </w:rPr>
              <w:t xml:space="preserve"> low potential for sensitisation</w:t>
            </w:r>
          </w:p>
          <w:p w:rsidR="00875383" w:rsidRPr="004E2072" w:rsidRDefault="00875383" w:rsidP="00D217B8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EB753E">
              <w:t>DNA</w:t>
            </w:r>
            <w:r w:rsidRPr="00EB753E">
              <w:rPr>
                <w:rFonts w:cs="Arial"/>
              </w:rPr>
              <w:t xml:space="preserve"> adduct formation observed in several organs, mainly </w:t>
            </w:r>
            <w:r w:rsidRPr="00EB753E">
              <w:t>the</w:t>
            </w:r>
            <w:r w:rsidRPr="00EB753E">
              <w:rPr>
                <w:rFonts w:cs="Arial"/>
              </w:rPr>
              <w:t xml:space="preserve"> liver, in rats</w:t>
            </w:r>
          </w:p>
          <w:p w:rsidR="00875383" w:rsidRPr="004E2072" w:rsidRDefault="004E2072" w:rsidP="00D217B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4E2072">
              <w:t>M</w:t>
            </w:r>
            <w:r w:rsidR="00875383" w:rsidRPr="00EB753E">
              <w:t>utagenic</w:t>
            </w:r>
            <w:r w:rsidR="00875383" w:rsidRPr="004E2072">
              <w:rPr>
                <w:rStyle w:val="checkbox"/>
                <w:rFonts w:ascii="Arial" w:hAnsi="Arial" w:cs="Arial"/>
              </w:rPr>
              <w:t xml:space="preserve"> in several strains of </w:t>
            </w:r>
            <w:r w:rsidR="00875383" w:rsidRPr="004E2072">
              <w:rPr>
                <w:rStyle w:val="checkbox"/>
                <w:rFonts w:ascii="Arial" w:hAnsi="Arial" w:cs="Arial"/>
                <w:i/>
              </w:rPr>
              <w:t>S</w:t>
            </w:r>
            <w:r w:rsidR="00D217B8">
              <w:rPr>
                <w:rStyle w:val="checkbox"/>
                <w:rFonts w:ascii="Arial" w:hAnsi="Arial" w:cs="Arial"/>
                <w:i/>
              </w:rPr>
              <w:t>.</w:t>
            </w:r>
            <w:r w:rsidR="00875383" w:rsidRPr="004E2072">
              <w:rPr>
                <w:rStyle w:val="checkbox"/>
                <w:rFonts w:ascii="Arial" w:hAnsi="Arial" w:cs="Arial"/>
                <w:i/>
              </w:rPr>
              <w:t xml:space="preserve"> </w:t>
            </w:r>
            <w:proofErr w:type="spellStart"/>
            <w:r w:rsidR="00875383" w:rsidRPr="004E2072">
              <w:rPr>
                <w:rStyle w:val="checkbox"/>
                <w:rFonts w:ascii="Arial" w:hAnsi="Arial" w:cs="Arial"/>
                <w:i/>
              </w:rPr>
              <w:t>typhimurium</w:t>
            </w:r>
            <w:proofErr w:type="spellEnd"/>
          </w:p>
          <w:p w:rsidR="00875383" w:rsidRPr="004E2072" w:rsidRDefault="00875383" w:rsidP="00D217B8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EB753E">
              <w:t>Recommended</w:t>
            </w:r>
            <w:r w:rsidRPr="00EB753E">
              <w:rPr>
                <w:rFonts w:cs="Arial"/>
              </w:rPr>
              <w:t xml:space="preserve"> that </w:t>
            </w:r>
            <w:r w:rsidR="004E2072">
              <w:rPr>
                <w:rFonts w:cs="Arial"/>
              </w:rPr>
              <w:t>SWA</w:t>
            </w:r>
            <w:r w:rsidRPr="00EB753E">
              <w:rPr>
                <w:rFonts w:cs="Arial"/>
              </w:rPr>
              <w:t xml:space="preserve"> consider whether current controls adequately minimise the cancer risk to workers.</w:t>
            </w:r>
          </w:p>
        </w:tc>
      </w:tr>
      <w:tr w:rsidR="00443D1B" w:rsidRPr="004C23F4" w:rsidTr="00875383">
        <w:trPr>
          <w:cantSplit/>
        </w:trPr>
        <w:tc>
          <w:tcPr>
            <w:tcW w:w="1494" w:type="dxa"/>
          </w:tcPr>
          <w:p w:rsidR="00443D1B" w:rsidRDefault="00443D1B" w:rsidP="00443D1B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:rsidR="00443D1B" w:rsidRDefault="00D41F4D" w:rsidP="00443D1B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500494759"/>
                <w:placeholder>
                  <w:docPart w:val="F0E68B8003DE457EB21372F28D6E0F1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43D1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43D1B" w:rsidRDefault="00443D1B" w:rsidP="00443D1B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8" w:type="dxa"/>
          </w:tcPr>
          <w:p w:rsidR="00A95C2E" w:rsidRPr="00EB753E" w:rsidRDefault="00A95C2E" w:rsidP="00D217B8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EB753E">
              <w:rPr>
                <w:rFonts w:cs="Arial"/>
              </w:rPr>
              <w:t xml:space="preserve">Oral slope factor based on </w:t>
            </w:r>
            <w:r w:rsidR="00803F9A" w:rsidRPr="00EB753E">
              <w:rPr>
                <w:rFonts w:cs="Arial"/>
              </w:rPr>
              <w:t xml:space="preserve">a </w:t>
            </w:r>
            <w:r w:rsidRPr="004E2072">
              <w:t>study reporting multiple benign and malignant tumour types at multiple sites in both sexes of rats (2 strains) and malignant renal tumours in male mice</w:t>
            </w:r>
          </w:p>
          <w:p w:rsidR="00443D1B" w:rsidRPr="00EB753E" w:rsidRDefault="00A95C2E" w:rsidP="00D217B8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4E2072">
              <w:t>Supported by evidence of mutagenicity</w:t>
            </w:r>
            <w:r w:rsidR="00443D1B" w:rsidRPr="00EB753E">
              <w:rPr>
                <w:rFonts w:cs="Arial"/>
              </w:rPr>
              <w:t>.</w:t>
            </w:r>
          </w:p>
        </w:tc>
      </w:tr>
    </w:tbl>
    <w:bookmarkEnd w:id="0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:rsidTr="00610F2E">
        <w:trPr>
          <w:trHeight w:val="454"/>
          <w:tblHeader/>
        </w:trPr>
        <w:tc>
          <w:tcPr>
            <w:tcW w:w="6771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71" w:type="dxa"/>
                <w:vAlign w:val="center"/>
              </w:tcPr>
              <w:p w:rsidR="002E0D61" w:rsidRDefault="0087538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:rsidTr="006901A2">
        <w:trPr>
          <w:trHeight w:val="454"/>
        </w:trPr>
        <w:tc>
          <w:tcPr>
            <w:tcW w:w="6771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:rsidR="008A36CF" w:rsidRDefault="00EB753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:rsidTr="006901A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771" w:type="dxa"/>
                <w:vAlign w:val="center"/>
              </w:tcPr>
              <w:p w:rsidR="008A36CF" w:rsidRPr="006901A2" w:rsidRDefault="0087538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71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  <w:tr w:rsidR="008A36CF" w:rsidTr="006901A2">
        <w:trPr>
          <w:trHeight w:val="454"/>
        </w:trPr>
        <w:tc>
          <w:tcPr>
            <w:tcW w:w="6771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:rsidR="008A36CF" w:rsidRDefault="00443D1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:rsidTr="006901A2">
        <w:trPr>
          <w:trHeight w:val="454"/>
        </w:trPr>
        <w:sdt>
          <w:sdtPr>
            <w:alias w:val="Dropdown"/>
            <w:tag w:val="Dropdown"/>
            <w:id w:val="-1733531363"/>
            <w:placeholder>
              <w:docPart w:val="7B0BAA2441D5427984E6018FB38900E7"/>
            </w:placeholder>
            <w:comboBox>
              <w:listItem w:value="Choose an item."/>
              <w:listItem w:displayText="Cancer slope factor (1/(mg/kg/day))" w:value="Cancer slope factor (1/(mg/kg/day))"/>
              <w:listItem w:displayText="Inhalation unit risk value (1/(µg/m³))" w:value="Inhalation unit risk value (1/(µg/m³))"/>
            </w:comboBox>
          </w:sdtPr>
          <w:sdtEndPr/>
          <w:sdtContent>
            <w:tc>
              <w:tcPr>
                <w:tcW w:w="6771" w:type="dxa"/>
                <w:vAlign w:val="center"/>
              </w:tcPr>
              <w:p w:rsidR="008A36CF" w:rsidRDefault="00443D1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Cancer slope factor (1/(mg/kg/day))</w:t>
                </w:r>
              </w:p>
            </w:tc>
          </w:sdtContent>
        </w:sdt>
        <w:sdt>
          <w:sdtPr>
            <w:alias w:val="SlopeFactor"/>
            <w:tag w:val="SlopeFactor"/>
            <w:id w:val="-1925646767"/>
            <w:placeholder>
              <w:docPart w:val="5C1D38B030D146B59436754F8399D502"/>
            </w:placeholder>
          </w:sdtPr>
          <w:sdtEndPr/>
          <w:sdtContent>
            <w:tc>
              <w:tcPr>
                <w:tcW w:w="2471" w:type="dxa"/>
                <w:vAlign w:val="center"/>
              </w:tcPr>
              <w:p w:rsidR="008A36CF" w:rsidRDefault="00443D1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6</w:t>
                </w:r>
                <w:r w:rsidR="00F146C8">
                  <w:t>.8</w:t>
                </w:r>
                <w:r>
                  <w:t xml:space="preserve"> x 10</w:t>
                </w:r>
                <w:r>
                  <w:rPr>
                    <w:vertAlign w:val="superscript"/>
                  </w:rPr>
                  <w:t>-1</w:t>
                </w:r>
              </w:p>
            </w:tc>
          </w:sdtContent>
        </w:sdt>
      </w:tr>
      <w:tr w:rsidR="008A36CF" w:rsidTr="006901A2">
        <w:trPr>
          <w:trHeight w:val="454"/>
        </w:trPr>
        <w:tc>
          <w:tcPr>
            <w:tcW w:w="6771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Calculated TWA value (</w:t>
            </w:r>
            <w:r>
              <w:rPr>
                <w:rFonts w:cs="Arial"/>
              </w:rPr>
              <w:t>µ</w:t>
            </w:r>
            <w:r>
              <w:t>g/m</w:t>
            </w:r>
            <w:r w:rsidRPr="008A36CF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471" w:type="dxa"/>
            <w:vAlign w:val="center"/>
          </w:tcPr>
          <w:p w:rsidR="008A36CF" w:rsidRDefault="00F146C8" w:rsidP="008A36CF">
            <w:pPr>
              <w:pStyle w:val="Tablefont"/>
              <w:keepNext/>
              <w:keepLines/>
              <w:spacing w:before="40" w:after="40"/>
            </w:pPr>
            <w:r>
              <w:t>0.822</w:t>
            </w:r>
          </w:p>
        </w:tc>
      </w:tr>
    </w:tbl>
    <w:bookmarkEnd w:id="1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EC4BA4" w:rsidP="00DD2F9B">
            <w:pPr>
              <w:pStyle w:val="Tablefont"/>
            </w:pPr>
            <w:proofErr w:type="spellStart"/>
            <w:r w:rsidRPr="00EC4BA4">
              <w:t>Carc</w:t>
            </w:r>
            <w:proofErr w:type="spellEnd"/>
            <w:r w:rsidRPr="00EC4BA4">
              <w:t>. 1B</w:t>
            </w:r>
            <w:r>
              <w:t xml:space="preserve">, </w:t>
            </w:r>
            <w:r w:rsidRPr="00EC4BA4">
              <w:t>Skin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EC4BA4" w:rsidP="00DD2F9B">
            <w:pPr>
              <w:pStyle w:val="Tablefont"/>
            </w:pPr>
            <w:r w:rsidRPr="00EC4BA4">
              <w:t>Carcinogenicity – category 1B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lastRenderedPageBreak/>
              <w:t>NICNAS</w:t>
            </w:r>
          </w:p>
        </w:tc>
        <w:tc>
          <w:tcPr>
            <w:tcW w:w="6015" w:type="dxa"/>
          </w:tcPr>
          <w:p w:rsidR="00AF483F" w:rsidRPr="00DD2F9B" w:rsidRDefault="00EC4BA4" w:rsidP="00DD2F9B">
            <w:pPr>
              <w:pStyle w:val="Tablefont"/>
            </w:pPr>
            <w:proofErr w:type="spellStart"/>
            <w:r w:rsidRPr="00EC4BA4">
              <w:t>Carc</w:t>
            </w:r>
            <w:proofErr w:type="spellEnd"/>
            <w:r w:rsidRPr="00EC4BA4">
              <w:t>. Cat 2</w:t>
            </w:r>
            <w:r>
              <w:t xml:space="preserve">, </w:t>
            </w:r>
            <w:r w:rsidRPr="00EC4BA4">
              <w:t>Skin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EC4BA4" w:rsidP="00DD2F9B">
            <w:pPr>
              <w:pStyle w:val="Tablefont"/>
            </w:pPr>
            <w:r w:rsidRPr="00EC4BA4">
              <w:t>Carcinogenicity – category 1B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EC4BA4" w:rsidP="00DD2F9B">
            <w:pPr>
              <w:pStyle w:val="Tablefont"/>
            </w:pPr>
            <w:proofErr w:type="spellStart"/>
            <w:r w:rsidRPr="00EC4BA4">
              <w:t>Carc</w:t>
            </w:r>
            <w:proofErr w:type="spellEnd"/>
            <w:r w:rsidRPr="00EC4BA4">
              <w:t>. 1B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EC4BA4" w:rsidP="00DD2F9B">
            <w:pPr>
              <w:pStyle w:val="Tablefont"/>
            </w:pPr>
            <w:r w:rsidRPr="00EC4BA4">
              <w:t>Carcinogenicity – A3</w:t>
            </w:r>
            <w:r>
              <w:t xml:space="preserve">, </w:t>
            </w:r>
            <w:r w:rsidRPr="00EC4BA4">
              <w:t>Skin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EC4BA4" w:rsidP="00DD2F9B">
            <w:pPr>
              <w:pStyle w:val="Tablefont"/>
            </w:pPr>
            <w:r w:rsidRPr="00EC4BA4">
              <w:t>Carcinogenicity – 2</w:t>
            </w:r>
            <w:r>
              <w:t xml:space="preserve">, </w:t>
            </w:r>
            <w:r w:rsidRPr="00EC4BA4">
              <w:t>H (skin)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EC4BA4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EC4BA4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EC4BA4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EC4BA4" w:rsidP="00D87570">
            <w:pPr>
              <w:pStyle w:val="Tablefont"/>
              <w:keepNext/>
            </w:pPr>
            <w:r w:rsidRPr="00EC4BA4">
              <w:t>SK:SYS</w:t>
            </w:r>
          </w:p>
        </w:tc>
      </w:tr>
    </w:tbl>
    <w:bookmarkEnd w:id="2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79" w:type="dxa"/>
              <w:tblLook w:val="04A0" w:firstRow="1" w:lastRow="0" w:firstColumn="1" w:lastColumn="0" w:noHBand="0" w:noVBand="1"/>
            </w:tblPr>
            <w:tblGrid>
              <w:gridCol w:w="3823"/>
              <w:gridCol w:w="1131"/>
              <w:gridCol w:w="1131"/>
              <w:gridCol w:w="2725"/>
            </w:tblGrid>
            <w:tr w:rsidR="00875383" w:rsidRPr="00875383" w:rsidTr="00875383">
              <w:trPr>
                <w:trHeight w:val="348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75383" w:rsidRPr="00875383" w:rsidTr="00875383">
              <w:trPr>
                <w:trHeight w:val="348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75383" w:rsidRPr="00875383" w:rsidTr="00875383">
              <w:trPr>
                <w:trHeight w:val="348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75383" w:rsidRPr="00875383" w:rsidTr="00875383">
              <w:trPr>
                <w:trHeight w:val="348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75383" w:rsidRPr="00875383" w:rsidTr="00875383">
              <w:trPr>
                <w:trHeight w:val="348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75383" w:rsidRPr="00875383" w:rsidTr="00875383">
              <w:trPr>
                <w:trHeight w:val="348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75383" w:rsidRPr="00875383" w:rsidTr="00875383">
              <w:trPr>
                <w:trHeight w:val="348"/>
              </w:trPr>
              <w:tc>
                <w:tcPr>
                  <w:tcW w:w="3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875383" w:rsidRPr="00875383" w:rsidRDefault="00875383" w:rsidP="00875383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7538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3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875383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EC4BA4" w:rsidP="001B79E5">
                <w:pPr>
                  <w:pStyle w:val="Tablefont"/>
                </w:pPr>
                <w:r w:rsidRPr="00EC4BA4">
                  <w:t>182.13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C4BA4">
                  <w:t>7.45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083DFC">
                  <w:t>0.134</w:t>
                </w:r>
              </w:sdtContent>
            </w:sdt>
            <w:r w:rsidRPr="00083DFC">
              <w:t xml:space="preserve"> </w:t>
            </w:r>
            <w:r>
              <w:t>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D41F4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16FDF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06765D" w:rsidRDefault="0006765D" w:rsidP="0006765D">
      <w:r>
        <w:t xml:space="preserve">European Chemicals Agency (ECHA) (2019) </w:t>
      </w:r>
      <w:proofErr w:type="spellStart"/>
      <w:r>
        <w:t>Dinitrotoluene</w:t>
      </w:r>
      <w:proofErr w:type="spellEnd"/>
      <w:r>
        <w:t xml:space="preserve"> – REACH assessment.</w:t>
      </w:r>
    </w:p>
    <w:p w:rsidR="0006765D" w:rsidRDefault="0006765D" w:rsidP="0006765D">
      <w:r>
        <w:t xml:space="preserve">Deutsche </w:t>
      </w:r>
      <w:proofErr w:type="spellStart"/>
      <w:r>
        <w:t>Forschungsgemeinschaft</w:t>
      </w:r>
      <w:proofErr w:type="spellEnd"/>
      <w:r>
        <w:t xml:space="preserve"> (DFG) (1993) </w:t>
      </w:r>
      <w:proofErr w:type="spellStart"/>
      <w:r w:rsidRPr="00083DFC">
        <w:t>Dinitrotoluenes</w:t>
      </w:r>
      <w:proofErr w:type="spellEnd"/>
      <w:r>
        <w:t xml:space="preserve"> </w:t>
      </w:r>
      <w:r w:rsidRPr="00083DFC">
        <w:t>(mixtures of isomers)</w:t>
      </w:r>
      <w:r>
        <w:t xml:space="preserve"> – MAK value documentation.</w:t>
      </w:r>
    </w:p>
    <w:p w:rsidR="00083DFC" w:rsidRDefault="006E420A" w:rsidP="00084859">
      <w:r w:rsidRPr="002022B6">
        <w:t>National Industrial Chemicals Notification and Assessment Scheme (NICNAS)</w:t>
      </w:r>
      <w:r>
        <w:t xml:space="preserve"> (2015) Benzene, </w:t>
      </w:r>
      <w:proofErr w:type="spellStart"/>
      <w:r w:rsidR="00083DFC" w:rsidRPr="00083DFC">
        <w:t>methyldinitro</w:t>
      </w:r>
      <w:proofErr w:type="spellEnd"/>
      <w:r w:rsidR="00083DFC">
        <w:t>: Human health tier II assessment – IMAP report.</w:t>
      </w:r>
    </w:p>
    <w:p w:rsidR="00083DFC" w:rsidRDefault="00083DFC" w:rsidP="00083DFC">
      <w:r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:rsidR="00083DFC" w:rsidRDefault="00083DFC" w:rsidP="00084859">
      <w:r>
        <w:t xml:space="preserve">US National Institute for Occupational Safety and Health (NIOSH) (2011) NIOSH Skin Notation Profiles: </w:t>
      </w:r>
      <w:proofErr w:type="spellStart"/>
      <w:r w:rsidRPr="00083DFC">
        <w:t>Dinitrotoluene</w:t>
      </w:r>
      <w:proofErr w:type="spellEnd"/>
      <w:r w:rsidRPr="00083DFC">
        <w:t>; 2</w:t>
      </w:r>
      <w:proofErr w:type="gramStart"/>
      <w:r w:rsidRPr="00083DFC">
        <w:t>,4</w:t>
      </w:r>
      <w:proofErr w:type="gramEnd"/>
      <w:r w:rsidRPr="00083DFC">
        <w:t>-Dinitrotoluene (2,4-DNT)</w:t>
      </w:r>
      <w:r>
        <w:t xml:space="preserve">; </w:t>
      </w:r>
      <w:r w:rsidRPr="00083DFC">
        <w:t>2,6-Dinitrotoluene (2,6-DNT)</w:t>
      </w:r>
      <w:r>
        <w:t>.</w:t>
      </w:r>
    </w:p>
    <w:p w:rsidR="00F25205" w:rsidRDefault="00F25205" w:rsidP="00084859">
      <w:r w:rsidRPr="00F25205">
        <w:t>US Environmental Protection Authority (US EPA) (20</w:t>
      </w:r>
      <w:r w:rsidR="006E420A">
        <w:t>14</w:t>
      </w:r>
      <w:r w:rsidRPr="00F25205">
        <w:t xml:space="preserve">) Integrated Risk Information System (IRIS) Chemical Assessment Summary – </w:t>
      </w:r>
      <w:proofErr w:type="spellStart"/>
      <w:r w:rsidR="006E420A" w:rsidRPr="00083DFC">
        <w:t>Dinitrotoluene</w:t>
      </w:r>
      <w:proofErr w:type="spellEnd"/>
      <w:r w:rsidRPr="00F25205">
        <w:t>.</w:t>
      </w:r>
    </w:p>
    <w:p w:rsidR="00083DFC" w:rsidRPr="00351FE0" w:rsidRDefault="00083DFC" w:rsidP="00084859"/>
    <w:sectPr w:rsidR="00083DFC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8BF90F" w16cid:durableId="216AFCC4"/>
  <w16cid:commentId w16cid:paraId="2467D7EC" w16cid:durableId="216AF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41" w:rsidRDefault="00027541" w:rsidP="00F43AD5">
      <w:pPr>
        <w:spacing w:after="0" w:line="240" w:lineRule="auto"/>
      </w:pPr>
      <w:r>
        <w:separator/>
      </w:r>
    </w:p>
  </w:endnote>
  <w:endnote w:type="continuationSeparator" w:id="0">
    <w:p w:rsidR="00027541" w:rsidRDefault="0002754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4D" w:rsidRDefault="00D41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A36CF" w:rsidRDefault="00CE0EC4" w:rsidP="0034744C">
        <w:pPr>
          <w:pStyle w:val="Footer"/>
          <w:rPr>
            <w:sz w:val="18"/>
            <w:szCs w:val="18"/>
          </w:rPr>
        </w:pPr>
        <w:proofErr w:type="spellStart"/>
        <w:r w:rsidRPr="00CE0EC4">
          <w:rPr>
            <w:b/>
            <w:sz w:val="18"/>
            <w:szCs w:val="18"/>
          </w:rPr>
          <w:t>Dinitrotoluene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CE0EC4">
          <w:rPr>
            <w:b/>
            <w:sz w:val="18"/>
            <w:szCs w:val="18"/>
          </w:rPr>
          <w:t>25321-14-6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41F4D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4D" w:rsidRDefault="00D41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41" w:rsidRDefault="00027541" w:rsidP="00F43AD5">
      <w:pPr>
        <w:spacing w:after="0" w:line="240" w:lineRule="auto"/>
      </w:pPr>
      <w:r>
        <w:separator/>
      </w:r>
    </w:p>
  </w:footnote>
  <w:footnote w:type="continuationSeparator" w:id="0">
    <w:p w:rsidR="00027541" w:rsidRDefault="0002754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4D" w:rsidRDefault="00D41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4D" w:rsidRDefault="00D41F4D" w:rsidP="00D41F4D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598187" o:spid="_x0000_s409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BF5720B" wp14:editId="6224CEC9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4D" w:rsidRDefault="00D41F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4D" w:rsidRDefault="00D41F4D" w:rsidP="00D41F4D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BF5720B" wp14:editId="6224CEC9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10CCD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68AF"/>
    <w:rsid w:val="00007B80"/>
    <w:rsid w:val="00013A22"/>
    <w:rsid w:val="00014359"/>
    <w:rsid w:val="00014C3F"/>
    <w:rsid w:val="00017C82"/>
    <w:rsid w:val="00027541"/>
    <w:rsid w:val="00032B88"/>
    <w:rsid w:val="00046DF5"/>
    <w:rsid w:val="00052060"/>
    <w:rsid w:val="0005574A"/>
    <w:rsid w:val="00055FE1"/>
    <w:rsid w:val="00056EC2"/>
    <w:rsid w:val="00060B48"/>
    <w:rsid w:val="0006765D"/>
    <w:rsid w:val="00067F32"/>
    <w:rsid w:val="00071807"/>
    <w:rsid w:val="0007370E"/>
    <w:rsid w:val="000803E1"/>
    <w:rsid w:val="00083DFC"/>
    <w:rsid w:val="00084513"/>
    <w:rsid w:val="00084859"/>
    <w:rsid w:val="00092D94"/>
    <w:rsid w:val="000A6545"/>
    <w:rsid w:val="000B0868"/>
    <w:rsid w:val="000B3E12"/>
    <w:rsid w:val="000B3E78"/>
    <w:rsid w:val="000B7B48"/>
    <w:rsid w:val="000C096D"/>
    <w:rsid w:val="000C139A"/>
    <w:rsid w:val="000C2053"/>
    <w:rsid w:val="000C248C"/>
    <w:rsid w:val="000C399E"/>
    <w:rsid w:val="000D291C"/>
    <w:rsid w:val="000E5A54"/>
    <w:rsid w:val="000E63D3"/>
    <w:rsid w:val="000E67CF"/>
    <w:rsid w:val="001015B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2F0E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58DD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6137"/>
    <w:rsid w:val="003C0D58"/>
    <w:rsid w:val="003D4FA3"/>
    <w:rsid w:val="003E0807"/>
    <w:rsid w:val="003E51FB"/>
    <w:rsid w:val="003E6B39"/>
    <w:rsid w:val="003F07E1"/>
    <w:rsid w:val="003F27F0"/>
    <w:rsid w:val="004030BC"/>
    <w:rsid w:val="00403F7D"/>
    <w:rsid w:val="00406785"/>
    <w:rsid w:val="004079B4"/>
    <w:rsid w:val="00416FDF"/>
    <w:rsid w:val="00417A56"/>
    <w:rsid w:val="00420957"/>
    <w:rsid w:val="00422A10"/>
    <w:rsid w:val="00430179"/>
    <w:rsid w:val="004414B5"/>
    <w:rsid w:val="00443D1B"/>
    <w:rsid w:val="00444482"/>
    <w:rsid w:val="00444B42"/>
    <w:rsid w:val="00445E44"/>
    <w:rsid w:val="004509E2"/>
    <w:rsid w:val="004515EE"/>
    <w:rsid w:val="004529F0"/>
    <w:rsid w:val="0045720F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0853"/>
    <w:rsid w:val="004B6AFD"/>
    <w:rsid w:val="004C1E3F"/>
    <w:rsid w:val="004C23F4"/>
    <w:rsid w:val="004C3475"/>
    <w:rsid w:val="004C58B6"/>
    <w:rsid w:val="004C78CB"/>
    <w:rsid w:val="004D16A3"/>
    <w:rsid w:val="004D2F48"/>
    <w:rsid w:val="004D4AA1"/>
    <w:rsid w:val="004D6660"/>
    <w:rsid w:val="004D6D68"/>
    <w:rsid w:val="004E2072"/>
    <w:rsid w:val="004E5EDD"/>
    <w:rsid w:val="004F448A"/>
    <w:rsid w:val="004F493D"/>
    <w:rsid w:val="004F65E8"/>
    <w:rsid w:val="0050005E"/>
    <w:rsid w:val="00502B88"/>
    <w:rsid w:val="005142C4"/>
    <w:rsid w:val="0051509C"/>
    <w:rsid w:val="005162EE"/>
    <w:rsid w:val="005272E2"/>
    <w:rsid w:val="0053108F"/>
    <w:rsid w:val="00532B56"/>
    <w:rsid w:val="00534B10"/>
    <w:rsid w:val="005427F9"/>
    <w:rsid w:val="005446A2"/>
    <w:rsid w:val="00544D2F"/>
    <w:rsid w:val="00551BD8"/>
    <w:rsid w:val="00581055"/>
    <w:rsid w:val="00591E38"/>
    <w:rsid w:val="005A19C5"/>
    <w:rsid w:val="005A3034"/>
    <w:rsid w:val="005A462D"/>
    <w:rsid w:val="005B1DF7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420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49F0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435B"/>
    <w:rsid w:val="007F5328"/>
    <w:rsid w:val="00803F9A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5383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5B22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5C2E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0EC4"/>
    <w:rsid w:val="00CE5AD6"/>
    <w:rsid w:val="00CE617F"/>
    <w:rsid w:val="00CE78EF"/>
    <w:rsid w:val="00D048F7"/>
    <w:rsid w:val="00D0517E"/>
    <w:rsid w:val="00D140FC"/>
    <w:rsid w:val="00D217B8"/>
    <w:rsid w:val="00D21D8C"/>
    <w:rsid w:val="00D31357"/>
    <w:rsid w:val="00D33220"/>
    <w:rsid w:val="00D334D1"/>
    <w:rsid w:val="00D41F4D"/>
    <w:rsid w:val="00D44C89"/>
    <w:rsid w:val="00D516CD"/>
    <w:rsid w:val="00D639EB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229A"/>
    <w:rsid w:val="00EB3D1B"/>
    <w:rsid w:val="00EB753E"/>
    <w:rsid w:val="00EC4BA4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46C8"/>
    <w:rsid w:val="00F16019"/>
    <w:rsid w:val="00F20E68"/>
    <w:rsid w:val="00F22093"/>
    <w:rsid w:val="00F236DF"/>
    <w:rsid w:val="00F25205"/>
    <w:rsid w:val="00F43AD5"/>
    <w:rsid w:val="00F4402E"/>
    <w:rsid w:val="00F4795B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173C908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7549F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0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0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B0BAA2441D5427984E6018FB389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5C92-832B-40AB-8BE2-B7067B457426}"/>
      </w:docPartPr>
      <w:docPartBody>
        <w:p w:rsidR="00D21A9F" w:rsidRDefault="00D21A9F">
          <w:pPr>
            <w:pStyle w:val="7B0BAA2441D5427984E6018FB38900E7"/>
          </w:pPr>
          <w:r w:rsidRPr="00CA109A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1D38B030D146B59436754F8399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45D3-FCC7-4128-9931-F2D9B6FFD50C}"/>
      </w:docPartPr>
      <w:docPartBody>
        <w:p w:rsidR="00D21A9F" w:rsidRDefault="00D21A9F">
          <w:pPr>
            <w:pStyle w:val="5C1D38B030D146B59436754F8399D502"/>
          </w:pPr>
          <w:r w:rsidRPr="0012118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0E68B8003DE457EB21372F28D6E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2D88-DA7E-46F0-888B-ABF08626838C}"/>
      </w:docPartPr>
      <w:docPartBody>
        <w:p w:rsidR="00AE5862" w:rsidRDefault="009344F0" w:rsidP="009344F0">
          <w:pPr>
            <w:pStyle w:val="F0E68B8003DE457EB21372F28D6E0F1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1A1EFB34D75449B1A5CF14D2172FD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2607-5EFD-4681-A075-9DB0245149C0}"/>
      </w:docPartPr>
      <w:docPartBody>
        <w:p w:rsidR="00390CD7" w:rsidRDefault="0042257F" w:rsidP="0042257F">
          <w:pPr>
            <w:pStyle w:val="1A1EFB34D75449B1A5CF14D2172FD9DF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741EE"/>
    <w:rsid w:val="002B38F1"/>
    <w:rsid w:val="00390CD7"/>
    <w:rsid w:val="0042257F"/>
    <w:rsid w:val="00857D0B"/>
    <w:rsid w:val="009344F0"/>
    <w:rsid w:val="00AE5862"/>
    <w:rsid w:val="00C95C68"/>
    <w:rsid w:val="00CF7C8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57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5843EF39B6744C58FF9F9A95E141744">
    <w:name w:val="75843EF39B6744C58FF9F9A95E141744"/>
    <w:rsid w:val="00C95C68"/>
  </w:style>
  <w:style w:type="paragraph" w:customStyle="1" w:styleId="5B21C3F7796943868DEB3DC697282778">
    <w:name w:val="5B21C3F7796943868DEB3DC697282778"/>
    <w:rsid w:val="00C95C68"/>
  </w:style>
  <w:style w:type="paragraph" w:customStyle="1" w:styleId="1B0892AE89DA48D1ACB1413DB2D9D29E">
    <w:name w:val="1B0892AE89DA48D1ACB1413DB2D9D29E"/>
    <w:rsid w:val="00C95C68"/>
  </w:style>
  <w:style w:type="paragraph" w:customStyle="1" w:styleId="7ADCAD9CD2C74079807C52D4E28B1050">
    <w:name w:val="7ADCAD9CD2C74079807C52D4E28B1050"/>
    <w:rsid w:val="00C95C68"/>
  </w:style>
  <w:style w:type="paragraph" w:customStyle="1" w:styleId="7CC39E6DBA144C66A4C0FB86E407D1C9">
    <w:name w:val="7CC39E6DBA144C66A4C0FB86E407D1C9"/>
    <w:rsid w:val="00C95C68"/>
  </w:style>
  <w:style w:type="paragraph" w:customStyle="1" w:styleId="6275486BFA974EEA92666DB6495BB29C">
    <w:name w:val="6275486BFA974EEA92666DB6495BB29C"/>
    <w:rsid w:val="00C95C68"/>
  </w:style>
  <w:style w:type="paragraph" w:customStyle="1" w:styleId="BA7AA06868674D4CBCC55C7C23091930">
    <w:name w:val="BA7AA06868674D4CBCC55C7C23091930"/>
    <w:rsid w:val="00C95C68"/>
  </w:style>
  <w:style w:type="paragraph" w:customStyle="1" w:styleId="076E61B81E414565A31FC9483E57C4D6">
    <w:name w:val="076E61B81E414565A31FC9483E57C4D6"/>
    <w:rsid w:val="00C95C68"/>
  </w:style>
  <w:style w:type="paragraph" w:customStyle="1" w:styleId="BA380D61D5C64815B9F26E5B1FB20892">
    <w:name w:val="BA380D61D5C64815B9F26E5B1FB20892"/>
    <w:rsid w:val="00C95C68"/>
  </w:style>
  <w:style w:type="paragraph" w:customStyle="1" w:styleId="F0E68B8003DE457EB21372F28D6E0F1D">
    <w:name w:val="F0E68B8003DE457EB21372F28D6E0F1D"/>
    <w:rsid w:val="009344F0"/>
  </w:style>
  <w:style w:type="paragraph" w:customStyle="1" w:styleId="1A1EFB34D75449B1A5CF14D2172FD9DF">
    <w:name w:val="1A1EFB34D75449B1A5CF14D2172FD9DF"/>
    <w:rsid w:val="0042257F"/>
  </w:style>
  <w:style w:type="paragraph" w:customStyle="1" w:styleId="D959D37C6D3147F09A4656E59E9F7963">
    <w:name w:val="D959D37C6D3147F09A4656E59E9F7963"/>
    <w:rsid w:val="00CF7C83"/>
  </w:style>
  <w:style w:type="paragraph" w:customStyle="1" w:styleId="DF68A3B52FCA4B7FB8F2AC2D8747B2B2">
    <w:name w:val="DF68A3B52FCA4B7FB8F2AC2D8747B2B2"/>
    <w:rsid w:val="002B3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EDF4FB-4128-424F-89BD-10372B4F8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4B4AC-0899-491B-A42D-4EC90938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1A33BC56.dotm</Template>
  <TotalTime>466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25</cp:revision>
  <cp:lastPrinted>2018-10-22T22:41:00Z</cp:lastPrinted>
  <dcterms:created xsi:type="dcterms:W3CDTF">2019-08-22T03:05:00Z</dcterms:created>
  <dcterms:modified xsi:type="dcterms:W3CDTF">2019-11-07T05:01:00Z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