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D138E6" w:rsidP="00B40C60">
          <w:pPr>
            <w:pStyle w:val="Heading1"/>
            <w:jc w:val="center"/>
            <w:rPr>
              <w:rFonts w:ascii="Arial" w:hAnsi="Arial" w:cs="Arial"/>
            </w:rPr>
          </w:pPr>
          <w:r w:rsidRPr="00D138E6">
            <w:rPr>
              <w:rFonts w:ascii="Arial" w:hAnsi="Arial" w:cs="Arial"/>
            </w:rPr>
            <w:t>Dipropyl ketone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:rsidTr="0054334B">
        <w:trPr>
          <w:cantSplit/>
          <w:tblHeader/>
        </w:trPr>
        <w:tc>
          <w:tcPr>
            <w:tcW w:w="398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:rsidR="00F43AD5" w:rsidRPr="00717D45" w:rsidRDefault="00D138E6" w:rsidP="00B76A41">
            <w:pPr>
              <w:pStyle w:val="Tablefont"/>
            </w:pPr>
            <w:r w:rsidRPr="00D138E6">
              <w:t>123-19-3</w:t>
            </w:r>
          </w:p>
        </w:tc>
      </w:tr>
      <w:tr w:rsidR="00F43AD5" w:rsidRPr="00DD68E1" w:rsidTr="0054334B">
        <w:trPr>
          <w:cantSplit/>
        </w:trPr>
        <w:tc>
          <w:tcPr>
            <w:tcW w:w="398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:rsidR="00F43AD5" w:rsidRPr="00902ED7" w:rsidRDefault="00D138E6" w:rsidP="00B76A41">
            <w:pPr>
              <w:pStyle w:val="Tablefont"/>
              <w:rPr>
                <w:lang w:val="it-IT"/>
              </w:rPr>
            </w:pPr>
            <w:r w:rsidRPr="00902ED7">
              <w:rPr>
                <w:lang w:val="it-IT"/>
              </w:rPr>
              <w:t xml:space="preserve">4-Heptanone, </w:t>
            </w:r>
            <w:r w:rsidR="00FA6A66" w:rsidRPr="00902ED7">
              <w:rPr>
                <w:lang w:val="it-IT"/>
              </w:rPr>
              <w:t>Di-</w:t>
            </w:r>
            <w:r w:rsidR="00FA6A66" w:rsidRPr="00902ED7">
              <w:rPr>
                <w:i/>
                <w:lang w:val="it-IT"/>
              </w:rPr>
              <w:t>n</w:t>
            </w:r>
            <w:r w:rsidR="00FA6A66" w:rsidRPr="00902ED7">
              <w:rPr>
                <w:lang w:val="it-IT"/>
              </w:rPr>
              <w:t>-propyl ketone, DPK</w:t>
            </w:r>
          </w:p>
        </w:tc>
      </w:tr>
      <w:tr w:rsidR="00F43AD5" w:rsidRPr="004C23F4" w:rsidTr="0054334B">
        <w:trPr>
          <w:cantSplit/>
        </w:trPr>
        <w:tc>
          <w:tcPr>
            <w:tcW w:w="398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9" w:type="dxa"/>
          </w:tcPr>
          <w:p w:rsidR="00F43AD5" w:rsidRPr="00717D45" w:rsidRDefault="00FA6A66" w:rsidP="00B76A41">
            <w:pPr>
              <w:pStyle w:val="Tablefont"/>
            </w:pPr>
            <w:r>
              <w:t>C</w:t>
            </w:r>
            <w:r w:rsidRPr="00FA6A66">
              <w:rPr>
                <w:vertAlign w:val="subscript"/>
              </w:rPr>
              <w:t>7</w:t>
            </w:r>
            <w:r>
              <w:t>H</w:t>
            </w:r>
            <w:r w:rsidRPr="00FA6A66">
              <w:rPr>
                <w:vertAlign w:val="subscript"/>
              </w:rPr>
              <w:t>14</w:t>
            </w:r>
            <w:r>
              <w:t>O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EC7BE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9E1222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72584D" w:rsidRDefault="0072584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ppm (233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:rsidTr="009E1222">
        <w:trPr>
          <w:cantSplit/>
        </w:trPr>
        <w:tc>
          <w:tcPr>
            <w:tcW w:w="4005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72584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E1222">
        <w:trPr>
          <w:cantSplit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:rsidR="002C7AFE" w:rsidRPr="00EB3D1B" w:rsidRDefault="0072584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E1222">
        <w:trPr>
          <w:cantSplit/>
        </w:trPr>
        <w:tc>
          <w:tcPr>
            <w:tcW w:w="4005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72584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E1222">
        <w:trPr>
          <w:cantSplit/>
        </w:trPr>
        <w:tc>
          <w:tcPr>
            <w:tcW w:w="4005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:rsidR="002C7AFE" w:rsidRPr="0072584D" w:rsidRDefault="0072584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E1222" w:rsidRPr="004C23F4" w:rsidTr="00DC3C9C">
        <w:trPr>
          <w:cantSplit/>
        </w:trPr>
        <w:tc>
          <w:tcPr>
            <w:tcW w:w="9026" w:type="dxa"/>
            <w:gridSpan w:val="2"/>
            <w:vAlign w:val="center"/>
          </w:tcPr>
          <w:p w:rsidR="009E1222" w:rsidRPr="00EB3D1B" w:rsidRDefault="009E1222" w:rsidP="009E1222">
            <w:pPr>
              <w:pStyle w:val="Tablefont"/>
              <w:rPr>
                <w:b/>
              </w:rPr>
            </w:pPr>
            <w:r w:rsidRPr="00AE7B2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DBAE8DF451D42749BB44905ADC6F1D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AE7B2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BA34C2" w:rsidRDefault="0072584D" w:rsidP="000C139A">
      <w:pPr>
        <w:rPr>
          <w:rFonts w:cs="Arial"/>
        </w:rPr>
      </w:pPr>
      <w:r w:rsidRPr="0072584D">
        <w:rPr>
          <w:rFonts w:cs="Arial"/>
        </w:rPr>
        <w:t xml:space="preserve">A TWA of </w:t>
      </w:r>
      <w:r>
        <w:rPr>
          <w:rFonts w:cs="Arial"/>
        </w:rPr>
        <w:t xml:space="preserve">50 </w:t>
      </w:r>
      <w:r w:rsidRPr="0072584D">
        <w:rPr>
          <w:rFonts w:cs="Arial"/>
        </w:rPr>
        <w:t>ppm (</w:t>
      </w:r>
      <w:r>
        <w:rPr>
          <w:rFonts w:cs="Arial"/>
        </w:rPr>
        <w:t>233</w:t>
      </w:r>
      <w:r w:rsidRPr="0072584D">
        <w:rPr>
          <w:rFonts w:cs="Arial"/>
        </w:rPr>
        <w:t xml:space="preserve"> mg/m</w:t>
      </w:r>
      <w:r w:rsidRPr="0072584D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 w:rsidRPr="0072584D">
        <w:rPr>
          <w:rFonts w:cs="Arial"/>
        </w:rPr>
        <w:t>to protect for irrita</w:t>
      </w:r>
      <w:r w:rsidR="00EC7BEE">
        <w:rPr>
          <w:rFonts w:cs="Arial"/>
        </w:rPr>
        <w:t>tion</w:t>
      </w:r>
      <w:r>
        <w:rPr>
          <w:rFonts w:cs="Arial"/>
        </w:rPr>
        <w:t xml:space="preserve"> and, at higher concentrations, central nervous system </w:t>
      </w:r>
      <w:r w:rsidR="00EC7BEE">
        <w:rPr>
          <w:rFonts w:cs="Arial"/>
        </w:rPr>
        <w:t xml:space="preserve">(CNS) </w:t>
      </w:r>
      <w:r>
        <w:rPr>
          <w:rFonts w:cs="Arial"/>
        </w:rPr>
        <w:t>depression</w:t>
      </w:r>
      <w:r w:rsidRPr="0072584D">
        <w:rPr>
          <w:rFonts w:cs="Arial"/>
        </w:rPr>
        <w:t xml:space="preserve"> in exposed workers. 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EC7BEE" w:rsidRDefault="002D5484" w:rsidP="006639B4">
      <w:pPr>
        <w:rPr>
          <w:rFonts w:cs="Arial"/>
        </w:rPr>
      </w:pPr>
      <w:r>
        <w:rPr>
          <w:rFonts w:cs="Arial"/>
        </w:rPr>
        <w:t xml:space="preserve">Dipropyl ketone is used as a solvent and in </w:t>
      </w:r>
      <w:r w:rsidR="0072584D">
        <w:rPr>
          <w:rFonts w:cs="Arial"/>
        </w:rPr>
        <w:t xml:space="preserve">food </w:t>
      </w:r>
      <w:r>
        <w:rPr>
          <w:rFonts w:cs="Arial"/>
        </w:rPr>
        <w:t>fla</w:t>
      </w:r>
      <w:r w:rsidR="0072584D">
        <w:rPr>
          <w:rFonts w:cs="Arial"/>
        </w:rPr>
        <w:t xml:space="preserve">vourings. </w:t>
      </w:r>
    </w:p>
    <w:p w:rsidR="002D5484" w:rsidRDefault="00EC7BEE" w:rsidP="006639B4">
      <w:pPr>
        <w:rPr>
          <w:rFonts w:cs="Arial"/>
        </w:rPr>
      </w:pPr>
      <w:r>
        <w:rPr>
          <w:rFonts w:cs="Arial"/>
        </w:rPr>
        <w:t>As with other ketones, c</w:t>
      </w:r>
      <w:r w:rsidR="0072584D">
        <w:rPr>
          <w:rFonts w:cs="Arial"/>
        </w:rPr>
        <w:t>ritical effects are irritation</w:t>
      </w:r>
      <w:r w:rsidR="002D5484">
        <w:rPr>
          <w:rFonts w:cs="Arial"/>
        </w:rPr>
        <w:t xml:space="preserve"> </w:t>
      </w:r>
      <w:r w:rsidR="0072584D">
        <w:rPr>
          <w:rFonts w:cs="Arial"/>
        </w:rPr>
        <w:t>of</w:t>
      </w:r>
      <w:r w:rsidR="002D5484">
        <w:rPr>
          <w:rFonts w:cs="Arial"/>
        </w:rPr>
        <w:t xml:space="preserve"> the eyes, skin and mucous membranes. At higher concentrations, narcosis and slight liver damage </w:t>
      </w:r>
      <w:r>
        <w:rPr>
          <w:rFonts w:cs="Arial"/>
        </w:rPr>
        <w:t>are</w:t>
      </w:r>
      <w:r w:rsidR="002D5484">
        <w:rPr>
          <w:rFonts w:cs="Arial"/>
        </w:rPr>
        <w:t xml:space="preserve"> reported in rats (ACGIH, 2018).</w:t>
      </w:r>
    </w:p>
    <w:p w:rsidR="00EC7BEE" w:rsidRDefault="002D5484" w:rsidP="006639B4">
      <w:pPr>
        <w:rPr>
          <w:rFonts w:cs="Arial"/>
        </w:rPr>
      </w:pPr>
      <w:r>
        <w:rPr>
          <w:rFonts w:cs="Arial"/>
        </w:rPr>
        <w:t>The available dataset is limited to acut</w:t>
      </w:r>
      <w:r w:rsidR="00D0373B">
        <w:rPr>
          <w:rFonts w:cs="Arial"/>
        </w:rPr>
        <w:t xml:space="preserve">e and subchronic animal inhalation or oral dose studies, which indicate a similar toxicity to methyl isopropyl ketone (ACGIH, 2018). The available data indicate that acute irritational effects occur at 400 ppm and marked </w:t>
      </w:r>
      <w:r w:rsidR="00EC7BEE">
        <w:rPr>
          <w:rFonts w:cs="Arial"/>
        </w:rPr>
        <w:t>CNS</w:t>
      </w:r>
      <w:r w:rsidR="00D0373B">
        <w:rPr>
          <w:rFonts w:cs="Arial"/>
        </w:rPr>
        <w:t xml:space="preserve"> depression at 825 ppm (ACGIH, 2018; HCOTN,</w:t>
      </w:r>
      <w:r w:rsidR="00012888">
        <w:rPr>
          <w:rFonts w:cs="Arial"/>
        </w:rPr>
        <w:t> </w:t>
      </w:r>
      <w:r w:rsidR="00D0373B">
        <w:rPr>
          <w:rFonts w:cs="Arial"/>
        </w:rPr>
        <w:t xml:space="preserve">2000). </w:t>
      </w:r>
    </w:p>
    <w:p w:rsidR="002D5484" w:rsidRPr="004C23F4" w:rsidRDefault="0072584D" w:rsidP="006639B4">
      <w:pPr>
        <w:rPr>
          <w:rFonts w:cs="Arial"/>
        </w:rPr>
      </w:pPr>
      <w:r>
        <w:rPr>
          <w:rFonts w:cs="Arial"/>
        </w:rPr>
        <w:t>T</w:t>
      </w:r>
      <w:r w:rsidR="00D0373B">
        <w:rPr>
          <w:rFonts w:cs="Arial"/>
        </w:rPr>
        <w:t>he current TWA</w:t>
      </w:r>
      <w:r>
        <w:rPr>
          <w:rFonts w:cs="Arial"/>
        </w:rPr>
        <w:t xml:space="preserve"> of </w:t>
      </w:r>
      <w:r w:rsidR="00BA34C2">
        <w:rPr>
          <w:rFonts w:cs="Arial"/>
        </w:rPr>
        <w:t xml:space="preserve">50 </w:t>
      </w:r>
      <w:r>
        <w:rPr>
          <w:rFonts w:cs="Arial"/>
        </w:rPr>
        <w:t>ppm</w:t>
      </w:r>
      <w:r w:rsidR="00D0373B">
        <w:rPr>
          <w:rFonts w:cs="Arial"/>
        </w:rPr>
        <w:t xml:space="preserve"> </w:t>
      </w:r>
      <w:r w:rsidR="00DD68E1">
        <w:rPr>
          <w:rFonts w:cs="Arial"/>
        </w:rPr>
        <w:t xml:space="preserve">sourced from </w:t>
      </w:r>
      <w:r w:rsidR="00902ED7">
        <w:rPr>
          <w:rFonts w:cs="Arial"/>
        </w:rPr>
        <w:t>(</w:t>
      </w:r>
      <w:r w:rsidR="00DD68E1">
        <w:rPr>
          <w:rFonts w:cs="Arial"/>
        </w:rPr>
        <w:t>ACGIH (2018) i</w:t>
      </w:r>
      <w:r w:rsidR="00D0373B">
        <w:rPr>
          <w:rFonts w:cs="Arial"/>
        </w:rPr>
        <w:t xml:space="preserve">s considered protective of these effects and </w:t>
      </w:r>
      <w:r w:rsidR="00EC7BEE">
        <w:rPr>
          <w:rFonts w:cs="Arial"/>
        </w:rPr>
        <w:t>is recommended</w:t>
      </w:r>
      <w:r w:rsidR="00D0373B">
        <w:rPr>
          <w:rFonts w:cs="Arial"/>
        </w:rPr>
        <w:t xml:space="preserve"> </w:t>
      </w:r>
      <w:r w:rsidR="00DD68E1">
        <w:rPr>
          <w:rFonts w:cs="Arial"/>
        </w:rPr>
        <w:t>to be retain</w:t>
      </w:r>
      <w:r w:rsidR="00E34C48">
        <w:rPr>
          <w:rFonts w:cs="Arial"/>
        </w:rPr>
        <w:t>e</w:t>
      </w:r>
      <w:r w:rsidR="00DD68E1">
        <w:rPr>
          <w:rFonts w:cs="Arial"/>
        </w:rPr>
        <w:t>d</w:t>
      </w:r>
      <w:r>
        <w:rPr>
          <w:rFonts w:cs="Arial"/>
        </w:rPr>
        <w:t>.</w:t>
      </w:r>
      <w:r w:rsidR="00AD3D41">
        <w:rPr>
          <w:rFonts w:cs="Arial"/>
        </w:rPr>
        <w:t xml:space="preserve"> 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D138E6" w:rsidRPr="00A70823" w:rsidRDefault="00D138E6" w:rsidP="00D138E6">
      <w:pPr>
        <w:rPr>
          <w:rFonts w:cs="Arial"/>
        </w:rPr>
      </w:pPr>
      <w:r w:rsidRPr="00A70823">
        <w:rPr>
          <w:rFonts w:cs="Arial"/>
        </w:rPr>
        <w:t xml:space="preserve">Not classified as a carcinogen according to the Globally Harmonized System of Classification and Labelling </w:t>
      </w:r>
      <w:r w:rsidR="00DC2EFD" w:rsidRPr="00A70823">
        <w:rPr>
          <w:rFonts w:cs="Arial"/>
        </w:rPr>
        <w:t>o</w:t>
      </w:r>
      <w:r w:rsidR="00DC2EFD">
        <w:rPr>
          <w:rFonts w:cs="Arial"/>
        </w:rPr>
        <w:t>f</w:t>
      </w:r>
      <w:r w:rsidR="00DC2EFD" w:rsidRPr="00A70823">
        <w:rPr>
          <w:rFonts w:cs="Arial"/>
        </w:rPr>
        <w:t xml:space="preserve"> </w:t>
      </w:r>
      <w:r w:rsidR="00AE7B28">
        <w:rPr>
          <w:rFonts w:cs="Arial"/>
        </w:rPr>
        <w:t>Chemicals (GHS).</w:t>
      </w:r>
    </w:p>
    <w:p w:rsidR="00D138E6" w:rsidRPr="00A70823" w:rsidRDefault="00D138E6" w:rsidP="00D138E6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0B16FA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:rsidR="00AE7B28" w:rsidRDefault="00AE7B28" w:rsidP="00AE7B28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A6A6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A6A66">
                  <w:t>TWA: 50 ppm (233 mg/m</w:t>
                </w:r>
                <w:r w:rsidR="00FA6A66" w:rsidRPr="00FA6A66">
                  <w:rPr>
                    <w:vertAlign w:val="superscript"/>
                  </w:rPr>
                  <w:t>3</w:t>
                </w:r>
                <w:r w:rsidR="00FA6A66">
                  <w:t>)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A6A6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A6A66">
                  <w:t>TLV-TWA: 50 ppm (233 mg/m</w:t>
                </w:r>
                <w:r w:rsidR="00FA6A66" w:rsidRPr="00FA6A66">
                  <w:rPr>
                    <w:vertAlign w:val="superscript"/>
                  </w:rPr>
                  <w:t>3</w:t>
                </w:r>
                <w:r w:rsidR="00FA6A66">
                  <w:t>)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6A6E21" w:rsidP="003365A5">
            <w:pPr>
              <w:pStyle w:val="Tabletextprimarysource"/>
            </w:pPr>
            <w:r>
              <w:t xml:space="preserve">TLV-TWA intended to protect for irritation of the eyes, skin and mucous membranes, narcosis and liver toxicity. </w:t>
            </w:r>
          </w:p>
          <w:p w:rsidR="006A6E21" w:rsidRDefault="006A6E21" w:rsidP="003365A5">
            <w:pPr>
              <w:pStyle w:val="Tabletextprimarysource"/>
            </w:pPr>
            <w:r>
              <w:t>Summary of data:</w:t>
            </w:r>
          </w:p>
          <w:p w:rsidR="006A6E21" w:rsidRDefault="006A6E21" w:rsidP="003365A5">
            <w:pPr>
              <w:pStyle w:val="Tabletextprimarysource"/>
            </w:pPr>
            <w:r>
              <w:t>TLV-TWA recommended by analogy to structurally related methyl isobutyl ketone with comparable irritational toxic endpoints.</w:t>
            </w:r>
          </w:p>
          <w:p w:rsidR="00A56B90" w:rsidRDefault="00A56B90" w:rsidP="003365A5">
            <w:pPr>
              <w:pStyle w:val="Tabletextprimarysource"/>
            </w:pPr>
            <w:r>
              <w:t>Human data:</w:t>
            </w:r>
          </w:p>
          <w:p w:rsidR="002D5484" w:rsidRDefault="002D5484" w:rsidP="002D5484">
            <w:pPr>
              <w:pStyle w:val="Tabletextprimarysource"/>
              <w:numPr>
                <w:ilvl w:val="0"/>
                <w:numId w:val="2"/>
              </w:numPr>
            </w:pPr>
            <w:r>
              <w:t>None presented</w:t>
            </w:r>
            <w:r w:rsidR="00AE7B28">
              <w:t>.</w:t>
            </w:r>
          </w:p>
          <w:p w:rsidR="00A56B90" w:rsidRDefault="00A56B90" w:rsidP="003365A5">
            <w:pPr>
              <w:pStyle w:val="Tabletextprimarysource"/>
            </w:pPr>
            <w:r>
              <w:t>Animal data:</w:t>
            </w:r>
          </w:p>
          <w:p w:rsidR="00A56B90" w:rsidRDefault="00A56B90" w:rsidP="00A56B90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3,0</w:t>
            </w:r>
            <w:r w:rsidR="00E57C3D">
              <w:t>5</w:t>
            </w:r>
            <w:r>
              <w:t>0 mg/kg (rats); &gt;3,200 mg/kg (mice)</w:t>
            </w:r>
          </w:p>
          <w:p w:rsidR="00A56B90" w:rsidRDefault="00A56B90" w:rsidP="00A56B90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2,690 ppm (rats, 6 h)</w:t>
            </w:r>
            <w:r w:rsidR="00A2502F">
              <w:t>:</w:t>
            </w:r>
          </w:p>
          <w:p w:rsidR="00A56B90" w:rsidRDefault="00AE7B28" w:rsidP="00EC7BE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d</w:t>
            </w:r>
            <w:r w:rsidR="00A56B90">
              <w:t xml:space="preserve">ecreased respiration at 400 ppm, </w:t>
            </w:r>
            <w:r w:rsidR="00DC2EFD">
              <w:t>CNS</w:t>
            </w:r>
            <w:r w:rsidR="00D062AF">
              <w:t xml:space="preserve"> depression at 825 ppm, and </w:t>
            </w:r>
            <w:r w:rsidR="00A56B90">
              <w:t xml:space="preserve">narcosis at 1,600 </w:t>
            </w:r>
            <w:r w:rsidR="00012888">
              <w:t> </w:t>
            </w:r>
            <w:r w:rsidR="00A56B90">
              <w:t>ppm</w:t>
            </w:r>
          </w:p>
          <w:p w:rsidR="00A56B90" w:rsidRDefault="00AE7B28" w:rsidP="00EC7BE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i</w:t>
            </w:r>
            <w:r w:rsidR="00A56B90">
              <w:t>rritation to eyes, skin, and mucous membranes observed in all animals</w:t>
            </w:r>
          </w:p>
          <w:p w:rsidR="00A56B90" w:rsidRDefault="00A56B90" w:rsidP="00A56B90">
            <w:pPr>
              <w:pStyle w:val="Tabletextprimarysource"/>
              <w:numPr>
                <w:ilvl w:val="0"/>
                <w:numId w:val="1"/>
              </w:numPr>
            </w:pPr>
            <w:r>
              <w:t>Decreased response to stimulation at 1,200 in repeat inhalation study (</w:t>
            </w:r>
            <w:r w:rsidR="002D5484">
              <w:t>unspecified species, 6 h, 5 d/wk, 2 wk)</w:t>
            </w:r>
            <w:r w:rsidR="00A2502F">
              <w:t>:</w:t>
            </w:r>
          </w:p>
          <w:p w:rsidR="002D5484" w:rsidRDefault="00AE7B28" w:rsidP="00EC7BE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m</w:t>
            </w:r>
            <w:r w:rsidR="002D5484">
              <w:t>arginal liver enlargement reported, but no changes to haematological, clinical, or pathological parameters noted</w:t>
            </w:r>
          </w:p>
          <w:p w:rsidR="002D5484" w:rsidRDefault="002D5484" w:rsidP="002D5484">
            <w:pPr>
              <w:pStyle w:val="Tabletextprimarysource"/>
              <w:numPr>
                <w:ilvl w:val="0"/>
                <w:numId w:val="1"/>
              </w:numPr>
            </w:pPr>
            <w:r>
              <w:t>No data on carcinogenicity or mutagenicity presented.</w:t>
            </w:r>
          </w:p>
          <w:p w:rsidR="00CA773E" w:rsidRDefault="00CA773E" w:rsidP="00EC7BEE">
            <w:pPr>
              <w:pStyle w:val="Tabletextprimarysource"/>
            </w:pPr>
          </w:p>
          <w:p w:rsidR="00CA773E" w:rsidRDefault="00CA773E" w:rsidP="00EC7BEE">
            <w:pPr>
              <w:pStyle w:val="Tabletextprimarysource"/>
            </w:pPr>
            <w:r>
              <w:t xml:space="preserve">Insufficient data to assign a TLV-STEL, </w:t>
            </w:r>
            <w:r w:rsidR="00A2502F">
              <w:t>n</w:t>
            </w:r>
            <w:r>
              <w:t xml:space="preserve">or notations for carcinogenicity, skin </w:t>
            </w:r>
            <w:r w:rsidR="00A2502F">
              <w:t>absorption and</w:t>
            </w:r>
            <w:r>
              <w:t xml:space="preserve"> sensitisation.</w:t>
            </w:r>
          </w:p>
          <w:p w:rsidR="00A2502F" w:rsidRPr="00DA352E" w:rsidRDefault="00A2502F" w:rsidP="00EC7BEE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FA6A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A6A66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FA6A66" w:rsidP="003365A5">
            <w:pPr>
              <w:pStyle w:val="Tabletextprimarysource"/>
            </w:pPr>
            <w:r>
              <w:t>No report</w:t>
            </w:r>
            <w:r w:rsidR="00DC2EFD">
              <w:t>.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A6A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A6A66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FA6A66" w:rsidP="003365A5">
            <w:pPr>
              <w:pStyle w:val="Tabletextprimarysource"/>
            </w:pPr>
            <w:r>
              <w:t>No report</w:t>
            </w:r>
            <w:r w:rsidR="00DC2EFD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A6A6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A6A66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FA6A66" w:rsidP="003365A5">
            <w:pPr>
              <w:pStyle w:val="Tabletextprimarysource"/>
            </w:pPr>
            <w:r>
              <w:t>No report</w:t>
            </w:r>
            <w:r w:rsidR="00DC2EFD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A6A66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676DA" w:rsidRPr="004676DA">
                  <w:t>TWA</w:t>
                </w:r>
                <w:r w:rsidR="00FA6A66">
                  <w:t>: 50 ppm (233 mg/m</w:t>
                </w:r>
                <w:r w:rsidR="00FA6A66" w:rsidRPr="00FA6A66">
                  <w:rPr>
                    <w:vertAlign w:val="superscript"/>
                  </w:rPr>
                  <w:t>3</w:t>
                </w:r>
                <w:r w:rsidR="00FA6A66">
                  <w:t>)</w:t>
                </w:r>
              </w:sdtContent>
            </w:sdt>
          </w:p>
        </w:tc>
      </w:tr>
      <w:tr w:rsidR="00DA352E" w:rsidRPr="00DA352E" w:rsidTr="00EC7BEE">
        <w:trPr>
          <w:gridAfter w:val="1"/>
          <w:wAfter w:w="8" w:type="pct"/>
        </w:trPr>
        <w:tc>
          <w:tcPr>
            <w:tcW w:w="4992" w:type="pct"/>
          </w:tcPr>
          <w:p w:rsidR="00DA352E" w:rsidRDefault="00E57C3D" w:rsidP="003365A5">
            <w:pPr>
              <w:pStyle w:val="Tabletextprimarysource"/>
            </w:pPr>
            <w:r>
              <w:t>Summary of additional information:</w:t>
            </w:r>
          </w:p>
          <w:p w:rsidR="00D062AF" w:rsidRDefault="00D062AF" w:rsidP="003365A5">
            <w:pPr>
              <w:pStyle w:val="Tabletextprimarysource"/>
            </w:pPr>
            <w:r>
              <w:t>Insufficient data available to comment on the justification of the existing administrative 8</w:t>
            </w:r>
            <w:r w:rsidR="00D70295">
              <w:t xml:space="preserve"> </w:t>
            </w:r>
            <w:r>
              <w:t>h TWA of 50 ppm.</w:t>
            </w:r>
          </w:p>
          <w:p w:rsidR="0041234A" w:rsidRDefault="0041234A" w:rsidP="003365A5">
            <w:pPr>
              <w:pStyle w:val="Tabletextprimarysource"/>
            </w:pPr>
            <w:r>
              <w:t>Human data:</w:t>
            </w:r>
          </w:p>
          <w:p w:rsidR="0041234A" w:rsidRDefault="0041234A" w:rsidP="0041234A">
            <w:pPr>
              <w:pStyle w:val="Tabletextprimarysource"/>
              <w:numPr>
                <w:ilvl w:val="0"/>
                <w:numId w:val="1"/>
              </w:numPr>
            </w:pPr>
            <w:r>
              <w:t>None presented</w:t>
            </w:r>
            <w:r w:rsidR="00AE7B28">
              <w:t>.</w:t>
            </w:r>
          </w:p>
          <w:p w:rsidR="00E57C3D" w:rsidRDefault="00E57C3D" w:rsidP="003365A5">
            <w:pPr>
              <w:pStyle w:val="Tabletextprimarysource"/>
            </w:pPr>
            <w:r>
              <w:t>Animal data:</w:t>
            </w:r>
          </w:p>
          <w:p w:rsidR="00E57C3D" w:rsidRDefault="00E57C3D" w:rsidP="00E57C3D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4</w:t>
            </w:r>
            <w:r w:rsidR="00D70295">
              <w:t>,</w:t>
            </w:r>
            <w:r>
              <w:t>624 mg/kg (rabbits</w:t>
            </w:r>
            <w:r w:rsidR="00DC2EFD">
              <w:t>, dermal</w:t>
            </w:r>
            <w:r>
              <w:t>)</w:t>
            </w:r>
          </w:p>
          <w:p w:rsidR="00E57C3D" w:rsidRDefault="00E57C3D" w:rsidP="00E57C3D">
            <w:pPr>
              <w:pStyle w:val="Tabletextprimarysource"/>
              <w:numPr>
                <w:ilvl w:val="0"/>
                <w:numId w:val="1"/>
              </w:numPr>
            </w:pPr>
            <w:r>
              <w:lastRenderedPageBreak/>
              <w:t>25</w:t>
            </w:r>
            <w:r w:rsidR="00D70295">
              <w:t>–</w:t>
            </w:r>
            <w:r>
              <w:t>50% congestion in the lungs when a lethal dose of 817 mg/kg was introduced into lungs (rats, 24 h); some animals had blood clots in the heart</w:t>
            </w:r>
          </w:p>
          <w:p w:rsidR="00E57C3D" w:rsidRDefault="00E57C3D" w:rsidP="00E57C3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Severe </w:t>
            </w:r>
            <w:r w:rsidR="00DC2EFD">
              <w:t>CNS</w:t>
            </w:r>
            <w:r>
              <w:t xml:space="preserve"> depression and reduced </w:t>
            </w:r>
            <w:r w:rsidR="00E34C48">
              <w:t xml:space="preserve">bw </w:t>
            </w:r>
            <w:r>
              <w:t>gain at 2,000 mg/kg in repeat gavage study (rats, 5 d/wk, unspecified duration)</w:t>
            </w:r>
            <w:r w:rsidR="00A2502F">
              <w:t>:</w:t>
            </w:r>
          </w:p>
          <w:p w:rsidR="00D062AF" w:rsidRDefault="00AE7B28" w:rsidP="00EC7BE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</w:t>
            </w:r>
            <w:r w:rsidR="00D062AF">
              <w:t xml:space="preserve">ethal cardiorespiratory failure reported for </w:t>
            </w:r>
            <w:r w:rsidR="00E34C48">
              <w:t>1</w:t>
            </w:r>
            <w:r w:rsidR="00D062AF">
              <w:t>rat</w:t>
            </w:r>
          </w:p>
          <w:p w:rsidR="00E57C3D" w:rsidRDefault="00AE7B28" w:rsidP="00EC7BE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r</w:t>
            </w:r>
            <w:r w:rsidR="00E57C3D">
              <w:t xml:space="preserve">eduction of exposure to 1,000 </w:t>
            </w:r>
            <w:r w:rsidR="00D062AF">
              <w:t>mg/kg</w:t>
            </w:r>
            <w:r w:rsidR="00E57C3D">
              <w:t xml:space="preserve"> </w:t>
            </w:r>
            <w:r w:rsidR="00D062AF">
              <w:t xml:space="preserve">reversed </w:t>
            </w:r>
            <w:r w:rsidR="00E34C48">
              <w:t xml:space="preserve"> bw</w:t>
            </w:r>
            <w:r w:rsidR="00DD68E1">
              <w:t xml:space="preserve"> </w:t>
            </w:r>
            <w:r w:rsidR="00D062AF">
              <w:t>loss and adverse clinical effects over 12 wk; liver and kidney damage reported, haematological parameters were normal except for reduced glucose level</w:t>
            </w:r>
          </w:p>
          <w:p w:rsidR="0041234A" w:rsidRDefault="00AE7B28" w:rsidP="00EC7BE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41234A">
              <w:t>tudy is unpublished and insufficiently documented to be used in agency’s assessment</w:t>
            </w:r>
            <w:r>
              <w:t>.</w:t>
            </w:r>
          </w:p>
          <w:p w:rsidR="00D062AF" w:rsidRDefault="00D062AF" w:rsidP="00D062AF">
            <w:pPr>
              <w:pStyle w:val="Tabletextprimarysource"/>
              <w:numPr>
                <w:ilvl w:val="0"/>
                <w:numId w:val="1"/>
              </w:numPr>
            </w:pPr>
            <w:r w:rsidRPr="00D062AF">
              <w:t>No data on carcinogenicity or mutagenicity presented.</w:t>
            </w:r>
          </w:p>
          <w:p w:rsidR="00093912" w:rsidRPr="00DA352E" w:rsidRDefault="00093912" w:rsidP="00EC7BEE">
            <w:pPr>
              <w:pStyle w:val="Tabletextprimarysource"/>
            </w:pPr>
          </w:p>
        </w:tc>
      </w:tr>
    </w:tbl>
    <w:p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:rsidR="007E2A4B" w:rsidRDefault="00DC2EFD">
      <w:r>
        <w:t>NIL</w:t>
      </w:r>
      <w:r w:rsidR="00EC7BEE">
        <w:t>.</w:t>
      </w:r>
    </w:p>
    <w:bookmarkEnd w:id="0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:rsidTr="00D0373B">
        <w:trPr>
          <w:trHeight w:val="454"/>
          <w:tblHeader/>
        </w:trPr>
        <w:tc>
          <w:tcPr>
            <w:tcW w:w="6597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2E0D61" w:rsidRDefault="00D0373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:rsidTr="00D0373B">
        <w:trPr>
          <w:trHeight w:val="454"/>
        </w:trPr>
        <w:tc>
          <w:tcPr>
            <w:tcW w:w="6597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8A36CF" w:rsidRDefault="00D0373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C7BEE" w:rsidTr="00C301A5">
        <w:trPr>
          <w:trHeight w:val="454"/>
        </w:trPr>
        <w:sdt>
          <w:sdtPr>
            <w:rPr>
              <w:b/>
            </w:rPr>
            <w:id w:val="1830936485"/>
            <w:placeholder>
              <w:docPart w:val="455430FB270F48949C3289C3ABDDF13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:rsidR="00EC7BEE" w:rsidRDefault="00EC7BE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FA6A66" w:rsidP="00DD2F9B">
            <w:pPr>
              <w:pStyle w:val="Tablefont"/>
            </w:pPr>
            <w:r>
              <w:t>—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FA6A66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FA6A66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2F3597" w:rsidP="00DD2F9B">
            <w:pPr>
              <w:pStyle w:val="Tablefont"/>
            </w:pPr>
            <w:r>
              <w:t>—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FA6A66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FA6A66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FA6A66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FA6A66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FA6A66" w:rsidP="00DD2F9B">
            <w:pPr>
              <w:pStyle w:val="Tablefont"/>
            </w:pPr>
            <w:r>
              <w:t>—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FA6A66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FA6A6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p w:rsidR="00932DCE" w:rsidRPr="004C23F4" w:rsidRDefault="00502D5E" w:rsidP="00F9496B">
            <w:pPr>
              <w:pStyle w:val="Tablefont"/>
            </w:pPr>
            <w:r>
              <w:t>Insufficient data to assign a skin notation</w:t>
            </w:r>
            <w:r w:rsidR="00EC7BEE">
              <w:t>.</w:t>
            </w:r>
          </w:p>
        </w:tc>
      </w:tr>
    </w:tbl>
    <w:bookmarkEnd w:id="3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265BC0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D70295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DC2EFD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265BC0" w:rsidP="00DC2EFD">
                <w:pPr>
                  <w:pStyle w:val="Tablefont"/>
                  <w:keepNext/>
                </w:pPr>
                <w:r w:rsidRPr="00265BC0">
                  <w:t>114.19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DC2EFD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DC2EFD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265BC0">
                  <w:t>4.66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265BC0">
                  <w:t>0.215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DC2EFD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DC2EFD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DC2EFD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DC2EFD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DC2EFD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DC2EFD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DC2EFD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070EC7" w:rsidP="00DC2EFD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FA6A66" w:rsidRDefault="00FA6A66" w:rsidP="00084859">
      <w:r>
        <w:t>European Chemicals Agency (ECHA) (</w:t>
      </w:r>
      <w:r w:rsidR="00265BC0">
        <w:t>2019</w:t>
      </w:r>
      <w:r>
        <w:t xml:space="preserve">) </w:t>
      </w:r>
      <w:r w:rsidR="00265BC0" w:rsidRPr="00265BC0">
        <w:t>Dipropyl ketone</w:t>
      </w:r>
      <w:r>
        <w:t xml:space="preserve"> – REACH assessment.</w:t>
      </w:r>
    </w:p>
    <w:p w:rsidR="00FA6A66" w:rsidRPr="00351FE0" w:rsidRDefault="00FA6A66" w:rsidP="00084859">
      <w:r>
        <w:t xml:space="preserve">Health Council of the Netherlands (HCOTN) (2000) </w:t>
      </w:r>
      <w:r w:rsidR="00265BC0" w:rsidRPr="00265BC0">
        <w:t>Dipropyl ketone</w:t>
      </w:r>
      <w:r>
        <w:t xml:space="preserve">. Health-based calculated occupational cancer risk values. The Hague: Health Council of the Netherlands; publication no. </w:t>
      </w:r>
      <w:r w:rsidR="00265BC0" w:rsidRPr="00265BC0">
        <w:t>2000/15OSH/005</w:t>
      </w:r>
      <w:r>
        <w:t>.</w:t>
      </w:r>
    </w:p>
    <w:sectPr w:rsidR="00FA6A6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68" w:rsidRDefault="001E1C68" w:rsidP="00F43AD5">
      <w:pPr>
        <w:spacing w:after="0" w:line="240" w:lineRule="auto"/>
      </w:pPr>
      <w:r>
        <w:separator/>
      </w:r>
    </w:p>
  </w:endnote>
  <w:endnote w:type="continuationSeparator" w:id="0">
    <w:p w:rsidR="001E1C68" w:rsidRDefault="001E1C6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C7" w:rsidRDefault="00070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D138E6" w:rsidP="0034744C">
        <w:pPr>
          <w:pStyle w:val="Footer"/>
          <w:rPr>
            <w:sz w:val="18"/>
            <w:szCs w:val="18"/>
          </w:rPr>
        </w:pPr>
        <w:r w:rsidRPr="00D138E6">
          <w:rPr>
            <w:b/>
            <w:sz w:val="18"/>
            <w:szCs w:val="18"/>
          </w:rPr>
          <w:t>Dipropyl ketone</w:t>
        </w:r>
        <w:r w:rsidR="008A36CF">
          <w:rPr>
            <w:b/>
            <w:sz w:val="18"/>
            <w:szCs w:val="18"/>
          </w:rPr>
          <w:t xml:space="preserve"> (</w:t>
        </w:r>
        <w:r w:rsidRPr="00D138E6">
          <w:rPr>
            <w:b/>
            <w:sz w:val="18"/>
            <w:szCs w:val="18"/>
          </w:rPr>
          <w:t>123-19-3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70EC7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C7" w:rsidRDefault="00070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68" w:rsidRDefault="001E1C68" w:rsidP="00F43AD5">
      <w:pPr>
        <w:spacing w:after="0" w:line="240" w:lineRule="auto"/>
      </w:pPr>
      <w:r>
        <w:separator/>
      </w:r>
    </w:p>
  </w:footnote>
  <w:footnote w:type="continuationSeparator" w:id="0">
    <w:p w:rsidR="001E1C68" w:rsidRDefault="001E1C6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C7" w:rsidRDefault="00070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C7" w:rsidRDefault="00070EC7" w:rsidP="00070EC7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598187" o:spid="_x0000_s409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C7" w:rsidRDefault="00070E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CF" w:rsidRDefault="00070EC7" w:rsidP="00070EC7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337"/>
    <w:multiLevelType w:val="hybridMultilevel"/>
    <w:tmpl w:val="992821F0"/>
    <w:lvl w:ilvl="0" w:tplc="237823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469A5"/>
    <w:multiLevelType w:val="hybridMultilevel"/>
    <w:tmpl w:val="F8706CB2"/>
    <w:lvl w:ilvl="0" w:tplc="A8B0F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888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0EC7"/>
    <w:rsid w:val="00071807"/>
    <w:rsid w:val="000803E1"/>
    <w:rsid w:val="00084513"/>
    <w:rsid w:val="00084859"/>
    <w:rsid w:val="00092D94"/>
    <w:rsid w:val="00093912"/>
    <w:rsid w:val="000A52C3"/>
    <w:rsid w:val="000B0868"/>
    <w:rsid w:val="000B16FA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1C68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5BC0"/>
    <w:rsid w:val="00276494"/>
    <w:rsid w:val="00277B0C"/>
    <w:rsid w:val="002B1A2C"/>
    <w:rsid w:val="002C34F2"/>
    <w:rsid w:val="002C58FF"/>
    <w:rsid w:val="002C7AFE"/>
    <w:rsid w:val="002D05D2"/>
    <w:rsid w:val="002D5484"/>
    <w:rsid w:val="002E0D61"/>
    <w:rsid w:val="002E4C7B"/>
    <w:rsid w:val="002F3597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34A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6DA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2D5E"/>
    <w:rsid w:val="005142C4"/>
    <w:rsid w:val="0051509C"/>
    <w:rsid w:val="005272E2"/>
    <w:rsid w:val="0053108F"/>
    <w:rsid w:val="00532B56"/>
    <w:rsid w:val="00534B10"/>
    <w:rsid w:val="0054334B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6E21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584D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3787A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552"/>
    <w:rsid w:val="008F5DCD"/>
    <w:rsid w:val="00900951"/>
    <w:rsid w:val="00902ED7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1222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502F"/>
    <w:rsid w:val="00A27E2D"/>
    <w:rsid w:val="00A31D99"/>
    <w:rsid w:val="00A357BA"/>
    <w:rsid w:val="00A35ADC"/>
    <w:rsid w:val="00A402A3"/>
    <w:rsid w:val="00A53681"/>
    <w:rsid w:val="00A56B90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3D41"/>
    <w:rsid w:val="00AE2745"/>
    <w:rsid w:val="00AE2F64"/>
    <w:rsid w:val="00AE7B28"/>
    <w:rsid w:val="00AF42CB"/>
    <w:rsid w:val="00AF483F"/>
    <w:rsid w:val="00AF5E07"/>
    <w:rsid w:val="00AF5F06"/>
    <w:rsid w:val="00B00A25"/>
    <w:rsid w:val="00B06E1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34C2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773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373B"/>
    <w:rsid w:val="00D048F7"/>
    <w:rsid w:val="00D0517E"/>
    <w:rsid w:val="00D062AF"/>
    <w:rsid w:val="00D138E6"/>
    <w:rsid w:val="00D140FC"/>
    <w:rsid w:val="00D21D8C"/>
    <w:rsid w:val="00D31357"/>
    <w:rsid w:val="00D33220"/>
    <w:rsid w:val="00D334D1"/>
    <w:rsid w:val="00D44C89"/>
    <w:rsid w:val="00D516CD"/>
    <w:rsid w:val="00D668E6"/>
    <w:rsid w:val="00D70295"/>
    <w:rsid w:val="00D70670"/>
    <w:rsid w:val="00D710F3"/>
    <w:rsid w:val="00D74D80"/>
    <w:rsid w:val="00D76624"/>
    <w:rsid w:val="00D87570"/>
    <w:rsid w:val="00D91CB9"/>
    <w:rsid w:val="00D97989"/>
    <w:rsid w:val="00D97D8D"/>
    <w:rsid w:val="00DA352E"/>
    <w:rsid w:val="00DC2EFD"/>
    <w:rsid w:val="00DC7694"/>
    <w:rsid w:val="00DD1BF6"/>
    <w:rsid w:val="00DD2F9B"/>
    <w:rsid w:val="00DD68E1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4C48"/>
    <w:rsid w:val="00E37CFD"/>
    <w:rsid w:val="00E41A26"/>
    <w:rsid w:val="00E46BCB"/>
    <w:rsid w:val="00E51CAF"/>
    <w:rsid w:val="00E57C3D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202F"/>
    <w:rsid w:val="00EC7BEE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6A66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7DC4D7E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DBAE8DF451D42749BB44905ADC6F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22B3-01B0-4610-A095-63ACE521211D}"/>
      </w:docPartPr>
      <w:docPartBody>
        <w:p w:rsidR="0055160E" w:rsidRDefault="00654472" w:rsidP="00654472">
          <w:pPr>
            <w:pStyle w:val="EDBAE8DF451D42749BB44905ADC6F1D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455430FB270F48949C3289C3ABDD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9B37-D9AF-4B3D-ADC9-5F815EE96A2D}"/>
      </w:docPartPr>
      <w:docPartBody>
        <w:p w:rsidR="00B50DE9" w:rsidRDefault="00513007" w:rsidP="00513007">
          <w:pPr>
            <w:pStyle w:val="455430FB270F48949C3289C3ABDDF13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E1ED3"/>
    <w:rsid w:val="004503D3"/>
    <w:rsid w:val="00513007"/>
    <w:rsid w:val="0055160E"/>
    <w:rsid w:val="00654472"/>
    <w:rsid w:val="008D449B"/>
    <w:rsid w:val="00B50DE9"/>
    <w:rsid w:val="00D21A9F"/>
    <w:rsid w:val="00F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00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B5548DF88CF4053AEDF20FC01DBFA99">
    <w:name w:val="CB5548DF88CF4053AEDF20FC01DBFA99"/>
    <w:rsid w:val="008D449B"/>
  </w:style>
  <w:style w:type="paragraph" w:customStyle="1" w:styleId="086D90DA71C54088994A4C4159B23301">
    <w:name w:val="086D90DA71C54088994A4C4159B23301"/>
    <w:rsid w:val="008D449B"/>
  </w:style>
  <w:style w:type="paragraph" w:customStyle="1" w:styleId="F53FE1059B9C4733B33056CD3544E37F">
    <w:name w:val="F53FE1059B9C4733B33056CD3544E37F"/>
    <w:rsid w:val="008D449B"/>
  </w:style>
  <w:style w:type="paragraph" w:customStyle="1" w:styleId="221612539E5A4C04867C28FF2FB2E2D0">
    <w:name w:val="221612539E5A4C04867C28FF2FB2E2D0"/>
    <w:rsid w:val="008D449B"/>
  </w:style>
  <w:style w:type="paragraph" w:customStyle="1" w:styleId="2695070B730248158A5D6AB8C2EC95AD">
    <w:name w:val="2695070B730248158A5D6AB8C2EC95AD"/>
    <w:rsid w:val="008D449B"/>
  </w:style>
  <w:style w:type="paragraph" w:customStyle="1" w:styleId="EDBAE8DF451D42749BB44905ADC6F1DC">
    <w:name w:val="EDBAE8DF451D42749BB44905ADC6F1DC"/>
    <w:rsid w:val="00654472"/>
  </w:style>
  <w:style w:type="paragraph" w:customStyle="1" w:styleId="455430FB270F48949C3289C3ABDDF132">
    <w:name w:val="455430FB270F48949C3289C3ABDDF132"/>
    <w:rsid w:val="00513007"/>
  </w:style>
  <w:style w:type="paragraph" w:customStyle="1" w:styleId="E99D8CF892B845BCA668E3DAC442DBD8">
    <w:name w:val="E99D8CF892B845BCA668E3DAC442DBD8"/>
    <w:rsid w:val="002E1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A4AC1-1C0B-4E72-B720-1830453F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A5084-9634-434F-A8E7-50D1579B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BC474B6F.dotm</Template>
  <TotalTime>365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2019-08-22T05:56:00Z</dcterms:created>
  <dcterms:modified xsi:type="dcterms:W3CDTF">2019-11-07T05:04:00Z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