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Arial" w:hAnsi="Arial" w:cs="Arial"/>
        </w:rPr>
        <w:alias w:val="NameofChemical"/>
        <w:tag w:val="NameofChemical"/>
        <w:id w:val="1425919599"/>
        <w:lock w:val="sdtLocked"/>
        <w:placeholder>
          <w:docPart w:val="CE1736E50B02464986D1BEC8B7ACDE96"/>
        </w:placeholder>
        <w:text/>
      </w:sdtPr>
      <w:sdtEndPr/>
      <w:sdtContent>
        <w:p w:rsidR="00BD499F" w:rsidRPr="004C23F4" w:rsidRDefault="003B10B5" w:rsidP="00B40C60">
          <w:pPr>
            <w:pStyle w:val="Heading1"/>
            <w:jc w:val="center"/>
            <w:rPr>
              <w:rFonts w:ascii="Arial" w:hAnsi="Arial" w:cs="Arial"/>
            </w:rPr>
          </w:pPr>
          <w:r w:rsidRPr="003B10B5">
            <w:rPr>
              <w:rFonts w:ascii="Arial" w:hAnsi="Arial" w:cs="Arial"/>
            </w:rPr>
            <w:t>Diquat</w:t>
          </w:r>
        </w:p>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Chemical description details form"/>
      </w:tblPr>
      <w:tblGrid>
        <w:gridCol w:w="3987"/>
        <w:gridCol w:w="5039"/>
      </w:tblGrid>
      <w:tr w:rsidR="00F43AD5" w:rsidRPr="004C23F4" w:rsidTr="00B76A41">
        <w:trPr>
          <w:cantSplit/>
          <w:tblHeader/>
        </w:trPr>
        <w:tc>
          <w:tcPr>
            <w:tcW w:w="4077" w:type="dxa"/>
          </w:tcPr>
          <w:p w:rsidR="00F43AD5" w:rsidRPr="00921DE7" w:rsidRDefault="00CB1CB1" w:rsidP="00B76A41">
            <w:pPr>
              <w:pStyle w:val="Tablerowright"/>
            </w:pPr>
            <w:r w:rsidRPr="00921DE7">
              <w:t>CAS number:</w:t>
            </w:r>
          </w:p>
        </w:tc>
        <w:tc>
          <w:tcPr>
            <w:tcW w:w="5165" w:type="dxa"/>
          </w:tcPr>
          <w:p w:rsidR="00F43AD5" w:rsidRPr="00717D45" w:rsidRDefault="003B10B5" w:rsidP="00B76A41">
            <w:pPr>
              <w:pStyle w:val="Tablefont"/>
            </w:pPr>
            <w:r w:rsidRPr="003B10B5">
              <w:t>85-00-7</w:t>
            </w:r>
          </w:p>
        </w:tc>
      </w:tr>
      <w:tr w:rsidR="00F43AD5" w:rsidRPr="004C23F4" w:rsidTr="00B76A41">
        <w:trPr>
          <w:cantSplit/>
        </w:trPr>
        <w:tc>
          <w:tcPr>
            <w:tcW w:w="4077" w:type="dxa"/>
          </w:tcPr>
          <w:p w:rsidR="00F43AD5" w:rsidRPr="00921DE7" w:rsidRDefault="00CB1CB1" w:rsidP="00B76A41">
            <w:pPr>
              <w:pStyle w:val="Tablerowright"/>
            </w:pPr>
            <w:r w:rsidRPr="00921DE7">
              <w:t>Synonyms:</w:t>
            </w:r>
          </w:p>
        </w:tc>
        <w:tc>
          <w:tcPr>
            <w:tcW w:w="5165" w:type="dxa"/>
          </w:tcPr>
          <w:p w:rsidR="00F43AD5" w:rsidRPr="00717D45" w:rsidRDefault="003B10B5" w:rsidP="00B76A41">
            <w:pPr>
              <w:pStyle w:val="Tablefont"/>
            </w:pPr>
            <w:r>
              <w:t xml:space="preserve">1,1’-Ethylene-2,2’-bipyridylium ion, </w:t>
            </w:r>
            <w:r w:rsidR="001E0078">
              <w:t>d</w:t>
            </w:r>
            <w:r w:rsidRPr="003B10B5">
              <w:t>iquat dibromide (ISO)</w:t>
            </w:r>
          </w:p>
        </w:tc>
      </w:tr>
      <w:tr w:rsidR="00F43AD5" w:rsidRPr="004C23F4" w:rsidTr="00B76A41">
        <w:trPr>
          <w:cantSplit/>
        </w:trPr>
        <w:tc>
          <w:tcPr>
            <w:tcW w:w="4077" w:type="dxa"/>
          </w:tcPr>
          <w:p w:rsidR="00F43AD5" w:rsidRPr="00921DE7" w:rsidRDefault="00CB1CB1" w:rsidP="00B76A41">
            <w:pPr>
              <w:pStyle w:val="Tablerowright"/>
            </w:pPr>
            <w:r w:rsidRPr="00921DE7">
              <w:t>Chemical formula:</w:t>
            </w:r>
          </w:p>
        </w:tc>
        <w:tc>
          <w:tcPr>
            <w:tcW w:w="5165" w:type="dxa"/>
          </w:tcPr>
          <w:p w:rsidR="00F43AD5" w:rsidRPr="00DB6A73" w:rsidRDefault="003B10B5" w:rsidP="00B76A41">
            <w:pPr>
              <w:pStyle w:val="Tablefont"/>
            </w:pPr>
            <w:r>
              <w:t>C</w:t>
            </w:r>
            <w:r w:rsidRPr="003B10B5">
              <w:rPr>
                <w:vertAlign w:val="subscript"/>
              </w:rPr>
              <w:t>12</w:t>
            </w:r>
            <w:r>
              <w:t>H</w:t>
            </w:r>
            <w:r w:rsidRPr="003B10B5">
              <w:rPr>
                <w:vertAlign w:val="subscript"/>
              </w:rPr>
              <w:t>12</w:t>
            </w:r>
            <w:r w:rsidR="00DB6A73">
              <w:t>Br</w:t>
            </w:r>
            <w:r w:rsidR="00DB6A73">
              <w:rPr>
                <w:vertAlign w:val="subscript"/>
              </w:rPr>
              <w:t>2</w:t>
            </w:r>
            <w:r>
              <w:t>N</w:t>
            </w:r>
            <w:r w:rsidRPr="003B10B5">
              <w:rPr>
                <w:vertAlign w:val="subscript"/>
              </w:rPr>
              <w:t>2</w:t>
            </w:r>
            <w:r w:rsidR="00DB6A73">
              <w:rPr>
                <w:vertAlign w:val="subscript"/>
              </w:rPr>
              <w:t xml:space="preserve"> </w:t>
            </w:r>
          </w:p>
        </w:tc>
      </w:tr>
      <w:tr w:rsidR="00F43AD5" w:rsidRPr="004C23F4" w:rsidTr="00B76A41">
        <w:trPr>
          <w:cantSplit/>
        </w:trPr>
        <w:tc>
          <w:tcPr>
            <w:tcW w:w="4077" w:type="dxa"/>
          </w:tcPr>
          <w:p w:rsidR="00F43AD5" w:rsidRPr="00921DE7" w:rsidRDefault="00CB1CB1" w:rsidP="00B76A41">
            <w:pPr>
              <w:pStyle w:val="Tablerowright"/>
            </w:pPr>
            <w:r w:rsidRPr="00921DE7">
              <w:t>Structural formula:</w:t>
            </w:r>
          </w:p>
        </w:tc>
        <w:tc>
          <w:tcPr>
            <w:tcW w:w="5165" w:type="dxa"/>
          </w:tcPr>
          <w:p w:rsidR="00F43AD5" w:rsidRPr="00B40C60" w:rsidRDefault="003B10B5" w:rsidP="00B76A41">
            <w:pPr>
              <w:pStyle w:val="Tablerowheading"/>
              <w:rPr>
                <w:b w:val="0"/>
              </w:rPr>
            </w:pPr>
            <w:r w:rsidRPr="003B10B5">
              <w:rPr>
                <w:b w:val="0"/>
              </w:rPr>
              <w:t>—</w:t>
            </w:r>
          </w:p>
        </w:tc>
      </w:tr>
    </w:tbl>
    <w:p w:rsidR="00AE2745" w:rsidRDefault="00AE2745" w:rsidP="00AE2745">
      <w:pPr>
        <w:pStyle w:val="WES"/>
        <w:tabs>
          <w:tab w:val="left" w:pos="2041"/>
        </w:tabs>
      </w:pPr>
      <w:r>
        <w:tab/>
      </w:r>
      <w:r w:rsidRPr="002C58FF">
        <w:t xml:space="preserve">Workplace </w:t>
      </w:r>
      <w:r>
        <w:t>exposure s</w:t>
      </w:r>
      <w:r w:rsidRPr="002C58FF">
        <w:t xml:space="preserve">tandard </w:t>
      </w:r>
      <w:sdt>
        <w:sdtPr>
          <w:rPr>
            <w:rStyle w:val="WESstatus"/>
          </w:rPr>
          <w:id w:val="-1336530191"/>
          <w:placeholder>
            <w:docPart w:val="E23B83A762C94EBA8097A4DA3FB4D503"/>
          </w:placeholder>
          <w:comboBox>
            <w:listItem w:displayText="(amended)" w:value="(amended)"/>
            <w:listItem w:displayText="(interim)" w:value="(interim)"/>
            <w:listItem w:displayText="(new)" w:value="(new)"/>
            <w:listItem w:displayText="(retained)" w:value="(retained)"/>
          </w:comboBox>
        </w:sdtPr>
        <w:sdtEndPr>
          <w:rPr>
            <w:rStyle w:val="WESstatus"/>
          </w:rPr>
        </w:sdtEndPr>
        <w:sdtContent>
          <w:r w:rsidR="002B6B1B">
            <w:rPr>
              <w:rStyle w:val="WESstatus"/>
            </w:rPr>
            <w:t>(amended)</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Chemical description details form"/>
      </w:tblPr>
      <w:tblGrid>
        <w:gridCol w:w="4000"/>
        <w:gridCol w:w="5026"/>
      </w:tblGrid>
      <w:tr w:rsidR="002C7AFE" w:rsidRPr="004C23F4" w:rsidTr="002B6B1B">
        <w:trPr>
          <w:cantSplit/>
          <w:tblHeader/>
        </w:trPr>
        <w:tc>
          <w:tcPr>
            <w:tcW w:w="4000" w:type="dxa"/>
            <w:vAlign w:val="center"/>
          </w:tcPr>
          <w:p w:rsidR="002C7AFE" w:rsidRPr="002C58FF" w:rsidRDefault="00921DE7" w:rsidP="00921DE7">
            <w:pPr>
              <w:pStyle w:val="Tablerowright"/>
            </w:pPr>
            <w:r>
              <w:t>TWA:</w:t>
            </w:r>
          </w:p>
        </w:tc>
        <w:tc>
          <w:tcPr>
            <w:tcW w:w="5026" w:type="dxa"/>
          </w:tcPr>
          <w:p w:rsidR="007F2E6C" w:rsidRDefault="00654418" w:rsidP="00017C82">
            <w:pPr>
              <w:pStyle w:val="Tablefont"/>
              <w:rPr>
                <w:b/>
              </w:rPr>
            </w:pPr>
            <w:r w:rsidRPr="00654418">
              <w:rPr>
                <w:b/>
              </w:rPr>
              <w:t>0.5 mg/m</w:t>
            </w:r>
            <w:r w:rsidRPr="00654418">
              <w:rPr>
                <w:b/>
                <w:vertAlign w:val="superscript"/>
              </w:rPr>
              <w:t>3</w:t>
            </w:r>
            <w:r w:rsidR="00DB01EA" w:rsidRPr="00654418">
              <w:rPr>
                <w:b/>
              </w:rPr>
              <w:t xml:space="preserve"> (</w:t>
            </w:r>
            <w:r w:rsidR="00DB01EA">
              <w:rPr>
                <w:b/>
              </w:rPr>
              <w:t>inhalable</w:t>
            </w:r>
            <w:r w:rsidR="00DB01EA" w:rsidRPr="00654418">
              <w:rPr>
                <w:b/>
              </w:rPr>
              <w:t>)</w:t>
            </w:r>
            <w:r w:rsidR="00DB01EA">
              <w:rPr>
                <w:b/>
              </w:rPr>
              <w:t>;</w:t>
            </w:r>
          </w:p>
          <w:p w:rsidR="002C7AFE" w:rsidRPr="00EB3D1B" w:rsidRDefault="00DB01EA" w:rsidP="00017C82">
            <w:pPr>
              <w:pStyle w:val="Tablefont"/>
              <w:rPr>
                <w:b/>
              </w:rPr>
            </w:pPr>
            <w:r>
              <w:rPr>
                <w:b/>
              </w:rPr>
              <w:t>0.1</w:t>
            </w:r>
            <w:r w:rsidR="00376DE6">
              <w:rPr>
                <w:b/>
              </w:rPr>
              <w:t xml:space="preserve"> </w:t>
            </w:r>
            <w:r w:rsidR="00654418" w:rsidRPr="00654418">
              <w:rPr>
                <w:b/>
              </w:rPr>
              <w:t>mg/m</w:t>
            </w:r>
            <w:r w:rsidR="00654418" w:rsidRPr="00654418">
              <w:rPr>
                <w:b/>
                <w:vertAlign w:val="superscript"/>
              </w:rPr>
              <w:t>3</w:t>
            </w:r>
            <w:r w:rsidRPr="00376DE6">
              <w:rPr>
                <w:b/>
              </w:rPr>
              <w:t xml:space="preserve"> </w:t>
            </w:r>
            <w:r w:rsidRPr="00654418">
              <w:rPr>
                <w:b/>
              </w:rPr>
              <w:t>(</w:t>
            </w:r>
            <w:r>
              <w:rPr>
                <w:b/>
              </w:rPr>
              <w:t>respirable</w:t>
            </w:r>
            <w:r w:rsidRPr="00654418">
              <w:rPr>
                <w:b/>
              </w:rPr>
              <w:t>)</w:t>
            </w:r>
          </w:p>
        </w:tc>
      </w:tr>
      <w:tr w:rsidR="002C7AFE" w:rsidRPr="004C23F4" w:rsidTr="002B6B1B">
        <w:trPr>
          <w:cantSplit/>
        </w:trPr>
        <w:tc>
          <w:tcPr>
            <w:tcW w:w="4000" w:type="dxa"/>
            <w:vAlign w:val="center"/>
          </w:tcPr>
          <w:p w:rsidR="002C7AFE" w:rsidRPr="002C58FF" w:rsidRDefault="002C7AFE" w:rsidP="00921DE7">
            <w:pPr>
              <w:pStyle w:val="Tablerowright"/>
            </w:pPr>
            <w:r w:rsidRPr="002C58FF">
              <w:t>STEL</w:t>
            </w:r>
            <w:r w:rsidR="00921DE7">
              <w:t>:</w:t>
            </w:r>
          </w:p>
        </w:tc>
        <w:tc>
          <w:tcPr>
            <w:tcW w:w="5026" w:type="dxa"/>
          </w:tcPr>
          <w:p w:rsidR="002C7AFE" w:rsidRPr="00654418" w:rsidRDefault="00654418" w:rsidP="00017C82">
            <w:pPr>
              <w:pStyle w:val="Tablefont"/>
              <w:rPr>
                <w:b/>
              </w:rPr>
            </w:pPr>
            <w:r w:rsidRPr="00654418">
              <w:rPr>
                <w:b/>
              </w:rPr>
              <w:t>—</w:t>
            </w:r>
          </w:p>
        </w:tc>
      </w:tr>
      <w:tr w:rsidR="002C7AFE" w:rsidRPr="004C23F4" w:rsidTr="002B6B1B">
        <w:trPr>
          <w:cantSplit/>
        </w:trPr>
        <w:tc>
          <w:tcPr>
            <w:tcW w:w="4000" w:type="dxa"/>
            <w:vAlign w:val="center"/>
          </w:tcPr>
          <w:p w:rsidR="002C7AFE" w:rsidRPr="002C58FF" w:rsidRDefault="00921DE7" w:rsidP="00921DE7">
            <w:pPr>
              <w:pStyle w:val="Tablerowright"/>
            </w:pPr>
            <w:r>
              <w:t>Peak limitation:</w:t>
            </w:r>
          </w:p>
        </w:tc>
        <w:tc>
          <w:tcPr>
            <w:tcW w:w="5026" w:type="dxa"/>
          </w:tcPr>
          <w:p w:rsidR="002C7AFE" w:rsidRPr="00654418" w:rsidRDefault="00654418" w:rsidP="00017C82">
            <w:pPr>
              <w:pStyle w:val="Tablefont"/>
              <w:rPr>
                <w:b/>
              </w:rPr>
            </w:pPr>
            <w:r w:rsidRPr="00654418">
              <w:rPr>
                <w:b/>
              </w:rPr>
              <w:t>—</w:t>
            </w:r>
          </w:p>
        </w:tc>
      </w:tr>
      <w:tr w:rsidR="002C7AFE" w:rsidRPr="004C23F4" w:rsidTr="002B6B1B">
        <w:trPr>
          <w:cantSplit/>
        </w:trPr>
        <w:tc>
          <w:tcPr>
            <w:tcW w:w="4000" w:type="dxa"/>
          </w:tcPr>
          <w:p w:rsidR="002C7AFE" w:rsidRPr="002C58FF" w:rsidRDefault="00A2073D" w:rsidP="003241A8">
            <w:pPr>
              <w:pStyle w:val="Tablerowright"/>
            </w:pPr>
            <w:r>
              <w:rPr>
                <w:b w:val="0"/>
                <w:bCs/>
                <w:color w:val="000000" w:themeColor="text1"/>
              </w:rPr>
              <w:tab/>
            </w:r>
            <w:r w:rsidR="00921DE7" w:rsidRPr="003241A8">
              <w:t>Notations</w:t>
            </w:r>
            <w:r w:rsidR="00921DE7">
              <w:t>:</w:t>
            </w:r>
          </w:p>
        </w:tc>
        <w:tc>
          <w:tcPr>
            <w:tcW w:w="5026" w:type="dxa"/>
          </w:tcPr>
          <w:p w:rsidR="002C7AFE" w:rsidRPr="00654418" w:rsidRDefault="00C95687" w:rsidP="008A36CF">
            <w:pPr>
              <w:pStyle w:val="Tablefont"/>
              <w:rPr>
                <w:b/>
              </w:rPr>
            </w:pPr>
            <w:r>
              <w:rPr>
                <w:b/>
              </w:rPr>
              <w:t>DSEN</w:t>
            </w:r>
          </w:p>
        </w:tc>
      </w:tr>
      <w:tr w:rsidR="002C7AFE" w:rsidRPr="004C23F4" w:rsidTr="002B6B1B">
        <w:trPr>
          <w:cantSplit/>
        </w:trPr>
        <w:tc>
          <w:tcPr>
            <w:tcW w:w="4000" w:type="dxa"/>
            <w:vAlign w:val="center"/>
          </w:tcPr>
          <w:p w:rsidR="00F10C97" w:rsidRPr="002C58FF" w:rsidRDefault="00921DE7" w:rsidP="009F04D2">
            <w:pPr>
              <w:pStyle w:val="Tablerowright"/>
            </w:pPr>
            <w:r>
              <w:t>IDLH:</w:t>
            </w:r>
          </w:p>
        </w:tc>
        <w:tc>
          <w:tcPr>
            <w:tcW w:w="5026" w:type="dxa"/>
          </w:tcPr>
          <w:p w:rsidR="002C7AFE" w:rsidRPr="00654418" w:rsidRDefault="003B10B5" w:rsidP="00017C82">
            <w:pPr>
              <w:pStyle w:val="Tablefont"/>
              <w:rPr>
                <w:b/>
              </w:rPr>
            </w:pPr>
            <w:r w:rsidRPr="00654418">
              <w:rPr>
                <w:b/>
              </w:rPr>
              <w:t>—</w:t>
            </w:r>
          </w:p>
        </w:tc>
      </w:tr>
      <w:tr w:rsidR="002B6B1B" w:rsidRPr="004C23F4" w:rsidTr="0027422E">
        <w:trPr>
          <w:cantSplit/>
        </w:trPr>
        <w:tc>
          <w:tcPr>
            <w:tcW w:w="9026" w:type="dxa"/>
            <w:gridSpan w:val="2"/>
            <w:vAlign w:val="center"/>
          </w:tcPr>
          <w:p w:rsidR="002B6B1B" w:rsidRPr="00EB3D1B" w:rsidRDefault="002B6B1B" w:rsidP="00017C82">
            <w:pPr>
              <w:pStyle w:val="Tablefont"/>
              <w:rPr>
                <w:b/>
              </w:rPr>
            </w:pPr>
            <w:r w:rsidRPr="00C9508E">
              <w:rPr>
                <w:b/>
              </w:rPr>
              <w:t>Sampling and analysis:</w:t>
            </w:r>
            <w:r w:rsidRPr="00EC521E">
              <w:rPr>
                <w:rStyle w:val="WESstatus"/>
                <w:color w:val="auto"/>
              </w:rPr>
              <w:t xml:space="preserve"> </w:t>
            </w:r>
            <w:sdt>
              <w:sdtPr>
                <w:rPr>
                  <w:rStyle w:val="WESstatus"/>
                  <w:color w:val="auto"/>
                </w:rPr>
                <w:id w:val="-2105258949"/>
                <w:placeholder>
                  <w:docPart w:val="BD51F382B2B64EE8AD72E3EFE109FCCB"/>
                </w:placeholder>
                <w:comboBox>
                  <w:listItem w:displayText="(Click here to enter)" w:value="(Click here to enter)"/>
                  <w:listItem w:displayText="The recommended value is likely to be below the current limit of detection for standard sampling and analysis techniques." w:value="The recommended value is likely to be below the current limit of detection for standard sampling and analysis techniques."/>
                  <w:listItem w:displayText="The recommended value is quantifiable through available sampling and analysis techniques. " w:value="The recommended value is quantifiable through available sampling and analysis techniques. "/>
                  <w:listItem w:displayText="There is uncertainty regarding quantification of the recommended value with available sampling and/or analysis techniques." w:value="There is uncertainty regarding quantification of the recommended value with available sampling and/or analysis techniques."/>
                </w:comboBox>
              </w:sdtPr>
              <w:sdtEndPr>
                <w:rPr>
                  <w:rStyle w:val="WESstatus"/>
                </w:rPr>
              </w:sdtEndPr>
              <w:sdtContent>
                <w:r>
                  <w:rPr>
                    <w:rStyle w:val="WESstatus"/>
                    <w:color w:val="auto"/>
                  </w:rPr>
                  <w:t xml:space="preserve">The recommended value is quantifiable through available sampling and analysis techniques. </w:t>
                </w:r>
              </w:sdtContent>
            </w:sdt>
          </w:p>
        </w:tc>
      </w:tr>
    </w:tbl>
    <w:p w:rsidR="00CB1CB1" w:rsidRPr="003365A5" w:rsidRDefault="00F10C97" w:rsidP="003365A5">
      <w:pPr>
        <w:pStyle w:val="Heading2"/>
      </w:pPr>
      <w:r>
        <w:t>Recommendation and basis for workplace exposure standard</w:t>
      </w:r>
    </w:p>
    <w:p w:rsidR="006639B4" w:rsidRPr="004C23F4" w:rsidRDefault="00C95687" w:rsidP="000C139A">
      <w:pPr>
        <w:rPr>
          <w:rFonts w:cs="Arial"/>
        </w:rPr>
      </w:pPr>
      <w:r w:rsidRPr="00C95687">
        <w:rPr>
          <w:rFonts w:cs="Arial"/>
        </w:rPr>
        <w:t xml:space="preserve">A TWA of </w:t>
      </w:r>
      <w:r>
        <w:rPr>
          <w:rFonts w:cs="Arial"/>
        </w:rPr>
        <w:t>0.5</w:t>
      </w:r>
      <w:r w:rsidRPr="00C95687">
        <w:rPr>
          <w:rFonts w:cs="Arial"/>
        </w:rPr>
        <w:t xml:space="preserve"> mg/m</w:t>
      </w:r>
      <w:r>
        <w:rPr>
          <w:rFonts w:cs="Arial"/>
        </w:rPr>
        <w:t xml:space="preserve"> (inhalable fraction) and 0.1 mg/m</w:t>
      </w:r>
      <w:r>
        <w:rPr>
          <w:rFonts w:cs="Arial"/>
          <w:vertAlign w:val="superscript"/>
        </w:rPr>
        <w:t>3</w:t>
      </w:r>
      <w:r>
        <w:rPr>
          <w:rFonts w:cs="Arial"/>
        </w:rPr>
        <w:t xml:space="preserve"> (respirable fraction)</w:t>
      </w:r>
      <w:r w:rsidRPr="00C95687">
        <w:rPr>
          <w:rFonts w:cs="Arial"/>
        </w:rPr>
        <w:t xml:space="preserve"> </w:t>
      </w:r>
      <w:r>
        <w:rPr>
          <w:rFonts w:cs="Arial"/>
        </w:rPr>
        <w:t>are</w:t>
      </w:r>
      <w:r w:rsidRPr="00C95687">
        <w:rPr>
          <w:rFonts w:cs="Arial"/>
        </w:rPr>
        <w:t xml:space="preserve"> recommended to protect for</w:t>
      </w:r>
      <w:r>
        <w:rPr>
          <w:rFonts w:cs="Arial"/>
        </w:rPr>
        <w:t xml:space="preserve"> potential</w:t>
      </w:r>
      <w:r w:rsidRPr="00C95687">
        <w:rPr>
          <w:rFonts w:cs="Arial"/>
        </w:rPr>
        <w:t xml:space="preserve"> </w:t>
      </w:r>
      <w:r>
        <w:rPr>
          <w:rFonts w:cs="Arial"/>
        </w:rPr>
        <w:t xml:space="preserve">lung irritation and </w:t>
      </w:r>
      <w:r w:rsidR="004E751A">
        <w:rPr>
          <w:rFonts w:cs="Arial"/>
        </w:rPr>
        <w:t xml:space="preserve">chronic </w:t>
      </w:r>
      <w:r>
        <w:rPr>
          <w:rFonts w:cs="Arial"/>
        </w:rPr>
        <w:t>cataract</w:t>
      </w:r>
      <w:r w:rsidRPr="00C95687">
        <w:rPr>
          <w:rFonts w:cs="Arial"/>
        </w:rPr>
        <w:t xml:space="preserve"> </w:t>
      </w:r>
      <w:r w:rsidR="004E751A">
        <w:rPr>
          <w:rFonts w:cs="Arial"/>
        </w:rPr>
        <w:t xml:space="preserve">formation </w:t>
      </w:r>
      <w:r w:rsidRPr="00C95687">
        <w:rPr>
          <w:rFonts w:cs="Arial"/>
        </w:rPr>
        <w:t>i</w:t>
      </w:r>
      <w:r w:rsidR="004E751A">
        <w:rPr>
          <w:rFonts w:cs="Arial"/>
        </w:rPr>
        <w:t>n exposed workers.</w:t>
      </w:r>
    </w:p>
    <w:p w:rsidR="00C7155E" w:rsidRPr="004C23F4" w:rsidRDefault="00F10C97" w:rsidP="003365A5">
      <w:pPr>
        <w:pStyle w:val="Heading2"/>
      </w:pPr>
      <w:r>
        <w:t>Discussion and conclusions</w:t>
      </w:r>
    </w:p>
    <w:p w:rsidR="00DE2A0E" w:rsidRDefault="00D86D9F" w:rsidP="006639B4">
      <w:pPr>
        <w:rPr>
          <w:rFonts w:cs="Arial"/>
        </w:rPr>
      </w:pPr>
      <w:r>
        <w:rPr>
          <w:rFonts w:cs="Arial"/>
        </w:rPr>
        <w:t xml:space="preserve">Diquat is primarily used as </w:t>
      </w:r>
      <w:r w:rsidR="00A93E6E">
        <w:rPr>
          <w:rFonts w:cs="Arial"/>
        </w:rPr>
        <w:t>a</w:t>
      </w:r>
      <w:r>
        <w:rPr>
          <w:rFonts w:cs="Arial"/>
        </w:rPr>
        <w:t xml:space="preserve"> herbicide.</w:t>
      </w:r>
      <w:r w:rsidR="00A93E6E">
        <w:rPr>
          <w:rFonts w:cs="Arial"/>
        </w:rPr>
        <w:t xml:space="preserve"> </w:t>
      </w:r>
    </w:p>
    <w:p w:rsidR="006639B4" w:rsidRDefault="00A93E6E" w:rsidP="006639B4">
      <w:pPr>
        <w:rPr>
          <w:rFonts w:cs="Arial"/>
        </w:rPr>
      </w:pPr>
      <w:r>
        <w:rPr>
          <w:rFonts w:cs="Arial"/>
        </w:rPr>
        <w:t xml:space="preserve">Animal studies </w:t>
      </w:r>
      <w:r w:rsidR="002B6B1B">
        <w:rPr>
          <w:rFonts w:cs="Arial"/>
        </w:rPr>
        <w:t>report</w:t>
      </w:r>
      <w:r>
        <w:rPr>
          <w:rFonts w:cs="Arial"/>
        </w:rPr>
        <w:t xml:space="preserve"> critical effects of exposure are lung irritation and cataract formation on chronic exposure; these effects have not been </w:t>
      </w:r>
      <w:r w:rsidR="00A003E5">
        <w:rPr>
          <w:rFonts w:cs="Arial"/>
        </w:rPr>
        <w:t>confirm</w:t>
      </w:r>
      <w:r w:rsidR="00A003E5" w:rsidDel="00A003E5">
        <w:rPr>
          <w:rFonts w:cs="Arial"/>
        </w:rPr>
        <w:t xml:space="preserve"> </w:t>
      </w:r>
      <w:r>
        <w:rPr>
          <w:rFonts w:cs="Arial"/>
        </w:rPr>
        <w:t xml:space="preserve">in occupational studies of workers </w:t>
      </w:r>
      <w:r w:rsidR="000D025C">
        <w:rPr>
          <w:rFonts w:cs="Arial"/>
        </w:rPr>
        <w:t>applying</w:t>
      </w:r>
      <w:r>
        <w:rPr>
          <w:rFonts w:cs="Arial"/>
        </w:rPr>
        <w:t xml:space="preserve"> or manufacturing the substance (ACGIH</w:t>
      </w:r>
      <w:r w:rsidR="000D025C">
        <w:rPr>
          <w:rFonts w:cs="Arial"/>
        </w:rPr>
        <w:t xml:space="preserve">, 2018). </w:t>
      </w:r>
      <w:r w:rsidR="00B30429">
        <w:rPr>
          <w:rFonts w:cs="Arial"/>
        </w:rPr>
        <w:t>Only one primary source was available.</w:t>
      </w:r>
    </w:p>
    <w:p w:rsidR="000D025C" w:rsidRDefault="000D025C" w:rsidP="006639B4">
      <w:pPr>
        <w:rPr>
          <w:rFonts w:cs="Arial"/>
        </w:rPr>
      </w:pPr>
      <w:r>
        <w:rPr>
          <w:rFonts w:cs="Arial"/>
        </w:rPr>
        <w:t xml:space="preserve">The </w:t>
      </w:r>
      <w:r w:rsidR="009F110E">
        <w:rPr>
          <w:rFonts w:cs="Arial"/>
        </w:rPr>
        <w:t xml:space="preserve">current </w:t>
      </w:r>
      <w:r>
        <w:rPr>
          <w:rFonts w:cs="Arial"/>
        </w:rPr>
        <w:t>TWA</w:t>
      </w:r>
      <w:r w:rsidR="00654418">
        <w:rPr>
          <w:rFonts w:cs="Arial"/>
        </w:rPr>
        <w:t xml:space="preserve"> of 0.</w:t>
      </w:r>
      <w:r w:rsidR="00DB6A73">
        <w:rPr>
          <w:rFonts w:cs="Arial"/>
        </w:rPr>
        <w:t>5</w:t>
      </w:r>
      <w:r w:rsidR="00654418">
        <w:rPr>
          <w:rFonts w:cs="Arial"/>
        </w:rPr>
        <w:t xml:space="preserve"> mg/m</w:t>
      </w:r>
      <w:r w:rsidR="00654418">
        <w:rPr>
          <w:rFonts w:cs="Arial"/>
          <w:vertAlign w:val="superscript"/>
        </w:rPr>
        <w:t>3</w:t>
      </w:r>
      <w:r w:rsidR="00654418">
        <w:rPr>
          <w:rFonts w:cs="Arial"/>
        </w:rPr>
        <w:t xml:space="preserve"> for inhalable</w:t>
      </w:r>
      <w:r w:rsidR="00DB6A73">
        <w:rPr>
          <w:rFonts w:cs="Arial"/>
        </w:rPr>
        <w:t xml:space="preserve"> fractions </w:t>
      </w:r>
      <w:r w:rsidR="00DE2A0E">
        <w:rPr>
          <w:rFonts w:cs="Arial"/>
        </w:rPr>
        <w:t>(</w:t>
      </w:r>
      <w:r w:rsidR="00DB6A73">
        <w:rPr>
          <w:rFonts w:cs="Arial"/>
        </w:rPr>
        <w:t xml:space="preserve">with </w:t>
      </w:r>
      <w:r w:rsidR="00654418">
        <w:rPr>
          <w:rFonts w:cs="Arial"/>
        </w:rPr>
        <w:t>mass median aerodynamic diameter</w:t>
      </w:r>
      <w:r w:rsidR="00DB6A73">
        <w:rPr>
          <w:rFonts w:cs="Arial"/>
        </w:rPr>
        <w:t>s (MMAD) greater than 5 µm</w:t>
      </w:r>
      <w:r w:rsidR="00DE2A0E">
        <w:rPr>
          <w:rFonts w:cs="Arial"/>
        </w:rPr>
        <w:t>)</w:t>
      </w:r>
      <w:r w:rsidR="00DB6A73">
        <w:rPr>
          <w:rFonts w:cs="Arial"/>
        </w:rPr>
        <w:t xml:space="preserve"> </w:t>
      </w:r>
      <w:r w:rsidR="009F110E">
        <w:rPr>
          <w:rFonts w:cs="Arial"/>
        </w:rPr>
        <w:t xml:space="preserve">which was adopted from ACGIH (2018) by analogy to paraquat </w:t>
      </w:r>
      <w:r>
        <w:rPr>
          <w:rFonts w:cs="Arial"/>
        </w:rPr>
        <w:t xml:space="preserve">is </w:t>
      </w:r>
      <w:r w:rsidR="00DE2A0E">
        <w:rPr>
          <w:rFonts w:cs="Arial"/>
        </w:rPr>
        <w:t>recommended</w:t>
      </w:r>
      <w:r w:rsidR="00DB6A73">
        <w:rPr>
          <w:rFonts w:cs="Arial"/>
        </w:rPr>
        <w:t xml:space="preserve"> </w:t>
      </w:r>
      <w:r w:rsidR="009F110E">
        <w:rPr>
          <w:rFonts w:cs="Arial"/>
        </w:rPr>
        <w:t>to be retained</w:t>
      </w:r>
      <w:r w:rsidR="00DE2A0E">
        <w:rPr>
          <w:rFonts w:cs="Arial"/>
        </w:rPr>
        <w:t>. This approach is</w:t>
      </w:r>
      <w:r w:rsidR="00DB6A73">
        <w:rPr>
          <w:rFonts w:cs="Arial"/>
        </w:rPr>
        <w:t xml:space="preserve"> supported by low absorption rates reported in humans (ACGIH, 2018). An additional TWA </w:t>
      </w:r>
      <w:r w:rsidR="0072220B">
        <w:rPr>
          <w:rFonts w:cs="Arial"/>
        </w:rPr>
        <w:t>of 0.1 mg/m</w:t>
      </w:r>
      <w:r w:rsidR="0072220B" w:rsidRPr="0072220B">
        <w:rPr>
          <w:rFonts w:cs="Arial"/>
          <w:vertAlign w:val="superscript"/>
        </w:rPr>
        <w:t>3</w:t>
      </w:r>
      <w:r w:rsidR="0072220B">
        <w:rPr>
          <w:rFonts w:cs="Arial"/>
          <w:vertAlign w:val="superscript"/>
        </w:rPr>
        <w:t xml:space="preserve"> </w:t>
      </w:r>
      <w:r w:rsidR="009F110E" w:rsidRPr="00A11762">
        <w:rPr>
          <w:rFonts w:cs="Arial"/>
        </w:rPr>
        <w:t>derived by ACGIH</w:t>
      </w:r>
      <w:r w:rsidR="009F110E">
        <w:rPr>
          <w:rFonts w:cs="Arial"/>
          <w:vertAlign w:val="superscript"/>
        </w:rPr>
        <w:t xml:space="preserve"> </w:t>
      </w:r>
      <w:r w:rsidR="00DB6A73">
        <w:rPr>
          <w:rFonts w:cs="Arial"/>
        </w:rPr>
        <w:t xml:space="preserve">for respirable fractions is recommended </w:t>
      </w:r>
      <w:r>
        <w:rPr>
          <w:rFonts w:cs="Arial"/>
        </w:rPr>
        <w:t xml:space="preserve">based on </w:t>
      </w:r>
      <w:r w:rsidR="007E6093">
        <w:rPr>
          <w:rFonts w:cs="Arial"/>
        </w:rPr>
        <w:t>a NOAEC</w:t>
      </w:r>
      <w:r w:rsidR="00654418">
        <w:rPr>
          <w:rFonts w:cs="Arial"/>
        </w:rPr>
        <w:t xml:space="preserve"> </w:t>
      </w:r>
      <w:r w:rsidR="00DB6A73">
        <w:rPr>
          <w:rFonts w:cs="Arial"/>
        </w:rPr>
        <w:t>of 0.097 mg/m</w:t>
      </w:r>
      <w:r w:rsidR="00DB6A73">
        <w:rPr>
          <w:rFonts w:cs="Arial"/>
          <w:vertAlign w:val="superscript"/>
        </w:rPr>
        <w:t>3</w:t>
      </w:r>
      <w:r w:rsidR="00DB6A73">
        <w:rPr>
          <w:rFonts w:cs="Arial"/>
        </w:rPr>
        <w:t xml:space="preserve"> (1.5 µm MMAD)</w:t>
      </w:r>
      <w:r w:rsidR="0072220B">
        <w:rPr>
          <w:rFonts w:cs="Arial"/>
        </w:rPr>
        <w:t xml:space="preserve">, </w:t>
      </w:r>
      <w:r w:rsidR="00DB6A73">
        <w:rPr>
          <w:rFonts w:cs="Arial"/>
        </w:rPr>
        <w:t xml:space="preserve">for lung irritation reported </w:t>
      </w:r>
      <w:r w:rsidR="009F110E">
        <w:rPr>
          <w:rFonts w:cs="Arial"/>
        </w:rPr>
        <w:t xml:space="preserve">in </w:t>
      </w:r>
      <w:r w:rsidR="00DB6A73">
        <w:rPr>
          <w:rFonts w:cs="Arial"/>
        </w:rPr>
        <w:t>sub-chronically exposed rats (ACGIH, 2018).</w:t>
      </w:r>
      <w:r w:rsidR="00DE2A0E">
        <w:rPr>
          <w:rFonts w:cs="Arial"/>
        </w:rPr>
        <w:t xml:space="preserve"> The combination of TWA for inhalable and respirable fractions of diquat is considered protective for the critical end points.</w:t>
      </w:r>
    </w:p>
    <w:p w:rsidR="004529F0" w:rsidRPr="004C23F4" w:rsidRDefault="004529F0" w:rsidP="004529F0">
      <w:pPr>
        <w:pStyle w:val="Heading2"/>
      </w:pPr>
      <w:r>
        <w:t>Recommendation for notations</w:t>
      </w:r>
    </w:p>
    <w:p w:rsidR="003B10B5" w:rsidRPr="00A70823" w:rsidRDefault="003B10B5" w:rsidP="003B10B5">
      <w:pPr>
        <w:rPr>
          <w:rFonts w:cs="Arial"/>
        </w:rPr>
      </w:pPr>
      <w:r w:rsidRPr="00A70823">
        <w:rPr>
          <w:rFonts w:cs="Arial"/>
        </w:rPr>
        <w:t>Not classified as a carcinogen according to the Globally Harmonized System of</w:t>
      </w:r>
      <w:r w:rsidR="002B6B1B">
        <w:rPr>
          <w:rFonts w:cs="Arial"/>
        </w:rPr>
        <w:t xml:space="preserve"> Classification and Labelling of</w:t>
      </w:r>
      <w:r w:rsidRPr="00A70823">
        <w:rPr>
          <w:rFonts w:cs="Arial"/>
        </w:rPr>
        <w:t xml:space="preserve"> Chemicals (GHS). </w:t>
      </w:r>
    </w:p>
    <w:p w:rsidR="000D77E6" w:rsidRDefault="000D77E6" w:rsidP="003B10B5">
      <w:pPr>
        <w:rPr>
          <w:rFonts w:cs="Arial"/>
        </w:rPr>
      </w:pPr>
      <w:r w:rsidRPr="000D77E6">
        <w:rPr>
          <w:rFonts w:cs="Arial"/>
        </w:rPr>
        <w:t xml:space="preserve">Classified as a skin sensitiser </w:t>
      </w:r>
      <w:r w:rsidR="00DE2A0E">
        <w:rPr>
          <w:rFonts w:cs="Arial"/>
        </w:rPr>
        <w:t>and</w:t>
      </w:r>
      <w:r w:rsidRPr="000D77E6">
        <w:rPr>
          <w:rFonts w:cs="Arial"/>
        </w:rPr>
        <w:t xml:space="preserve"> not a respiratory sensitiser according to the GHS. </w:t>
      </w:r>
      <w:r w:rsidR="00C95687">
        <w:rPr>
          <w:rFonts w:cs="Arial"/>
        </w:rPr>
        <w:t>However, inconsistencies in the notation for sensitising potential were found during the evaluation.</w:t>
      </w:r>
      <w:r w:rsidR="00DE2A0E">
        <w:rPr>
          <w:rFonts w:cs="Arial"/>
        </w:rPr>
        <w:t xml:space="preserve"> No </w:t>
      </w:r>
      <w:r w:rsidR="00DE2A0E">
        <w:rPr>
          <w:rFonts w:cs="Arial"/>
        </w:rPr>
        <w:lastRenderedPageBreak/>
        <w:t xml:space="preserve">experimental evidence for skin or respiratory sensitisation is presented in the available data, which is inconsistent with the notations currently assigned in the HCIS database. The current skin sensitisation is retained in accordance with GHS. An examination of the available data for these notations is recommended for subsequent reviews. </w:t>
      </w:r>
    </w:p>
    <w:p w:rsidR="003B10B5" w:rsidRPr="004C23F4" w:rsidRDefault="00DE2A0E" w:rsidP="003B10B5">
      <w:pPr>
        <w:rPr>
          <w:rFonts w:cs="Arial"/>
        </w:rPr>
      </w:pPr>
      <w:r>
        <w:rPr>
          <w:rFonts w:cs="Arial"/>
        </w:rPr>
        <w:t>There are i</w:t>
      </w:r>
      <w:r w:rsidR="003B10B5" w:rsidRPr="00A70823">
        <w:rPr>
          <w:rFonts w:cs="Arial"/>
        </w:rPr>
        <w:t xml:space="preserve">nsufficient </w:t>
      </w:r>
      <w:r>
        <w:rPr>
          <w:rFonts w:cs="Arial"/>
        </w:rPr>
        <w:t>data</w:t>
      </w:r>
      <w:r w:rsidR="003B10B5" w:rsidRPr="00A70823">
        <w:rPr>
          <w:rFonts w:cs="Arial"/>
        </w:rPr>
        <w:t xml:space="preserve"> to recommend a skin notation.</w:t>
      </w:r>
      <w:r w:rsidR="00C95687">
        <w:rPr>
          <w:rFonts w:cs="Arial"/>
        </w:rPr>
        <w:t xml:space="preserve"> However, inconsistencies in the notation for dermal toxicity were found during the evaluation.</w:t>
      </w:r>
      <w:r>
        <w:rPr>
          <w:rFonts w:cs="Arial"/>
        </w:rPr>
        <w:t xml:space="preserve"> Evidence for dermal toxicity is equivocal. Urinary concentrations following dermal exposure in volunteers were very low, and </w:t>
      </w:r>
      <w:r w:rsidR="009F110E">
        <w:rPr>
          <w:rFonts w:cs="Arial"/>
        </w:rPr>
        <w:t xml:space="preserve">limited </w:t>
      </w:r>
      <w:r>
        <w:rPr>
          <w:rFonts w:cs="Arial"/>
        </w:rPr>
        <w:t xml:space="preserve">evidence for systemic toxicity in animals (ACGIH, 2018); </w:t>
      </w:r>
      <w:r w:rsidR="001E5EEC">
        <w:rPr>
          <w:rFonts w:cs="Arial"/>
        </w:rPr>
        <w:t>although</w:t>
      </w:r>
      <w:r w:rsidR="009F110E">
        <w:rPr>
          <w:rFonts w:cs="Arial"/>
        </w:rPr>
        <w:t xml:space="preserve"> </w:t>
      </w:r>
      <w:r>
        <w:rPr>
          <w:rFonts w:cs="Arial"/>
        </w:rPr>
        <w:t xml:space="preserve">a skin notation </w:t>
      </w:r>
      <w:r w:rsidR="001E5EEC">
        <w:rPr>
          <w:rFonts w:cs="Arial"/>
        </w:rPr>
        <w:t xml:space="preserve">was </w:t>
      </w:r>
      <w:r>
        <w:rPr>
          <w:rFonts w:cs="Arial"/>
        </w:rPr>
        <w:t>assigned by this agency.</w:t>
      </w:r>
    </w:p>
    <w:p w:rsidR="0025734A" w:rsidRPr="004C23F4" w:rsidRDefault="0025734A">
      <w:pPr>
        <w:rPr>
          <w:rFonts w:cs="Arial"/>
        </w:rPr>
      </w:pPr>
    </w:p>
    <w:p w:rsidR="005E6979" w:rsidRPr="004C23F4" w:rsidRDefault="005E6979">
      <w:pPr>
        <w:rPr>
          <w:rFonts w:cs="Arial"/>
        </w:rPr>
        <w:sectPr w:rsidR="005E6979" w:rsidRPr="004C23F4" w:rsidSect="00B479A9">
          <w:headerReference w:type="even" r:id="rId11"/>
          <w:headerReference w:type="default" r:id="rId12"/>
          <w:footerReference w:type="even" r:id="rId13"/>
          <w:footerReference w:type="default" r:id="rId14"/>
          <w:headerReference w:type="first" r:id="rId15"/>
          <w:footerReference w:type="first" r:id="rId16"/>
          <w:pgSz w:w="11906" w:h="16838"/>
          <w:pgMar w:top="1985" w:right="1440" w:bottom="1440" w:left="1440" w:header="708" w:footer="283" w:gutter="0"/>
          <w:cols w:space="708"/>
          <w:docGrid w:linePitch="360"/>
        </w:sectPr>
      </w:pPr>
    </w:p>
    <w:p w:rsidR="0034744C" w:rsidRPr="004C23F4" w:rsidRDefault="005E6979" w:rsidP="005E6979">
      <w:pPr>
        <w:pStyle w:val="Heading1"/>
        <w:rPr>
          <w:rFonts w:ascii="Arial" w:hAnsi="Arial" w:cs="Arial"/>
        </w:rPr>
      </w:pPr>
      <w:r w:rsidRPr="004C23F4">
        <w:rPr>
          <w:rFonts w:ascii="Arial" w:hAnsi="Arial" w:cs="Arial"/>
        </w:rPr>
        <w:lastRenderedPageBreak/>
        <w:t>Appendix</w:t>
      </w:r>
    </w:p>
    <w:p w:rsidR="008D026D" w:rsidRPr="003365A5" w:rsidRDefault="00B479A9" w:rsidP="003365A5">
      <w:pPr>
        <w:pStyle w:val="Heading3"/>
      </w:pPr>
      <w:r w:rsidRPr="003365A5">
        <w:t>Primary sources with reports</w:t>
      </w:r>
    </w:p>
    <w:tbl>
      <w:tblPr>
        <w:tblStyle w:val="LightList"/>
        <w:tblW w:w="5008" w:type="pct"/>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tblBorders>
        <w:tblLayout w:type="fixed"/>
        <w:tblLook w:val="0600" w:firstRow="0" w:lastRow="0" w:firstColumn="0" w:lastColumn="0" w:noHBand="1" w:noVBand="1"/>
        <w:tblCaption w:val="Table"/>
        <w:tblDescription w:val="Listing primary sources with reports"/>
      </w:tblPr>
      <w:tblGrid>
        <w:gridCol w:w="9006"/>
        <w:gridCol w:w="14"/>
      </w:tblGrid>
      <w:tr w:rsidR="00C978F0" w:rsidRPr="00DA352E" w:rsidTr="00DE26E8">
        <w:trPr>
          <w:gridAfter w:val="1"/>
          <w:wAfter w:w="8" w:type="pct"/>
          <w:cantSplit/>
          <w:trHeight w:val="393"/>
          <w:tblHeader/>
        </w:trPr>
        <w:tc>
          <w:tcPr>
            <w:tcW w:w="4992" w:type="pct"/>
            <w:shd w:val="clear" w:color="auto" w:fill="BFBFBF" w:themeFill="background1" w:themeFillShade="BF"/>
            <w:vAlign w:val="center"/>
          </w:tcPr>
          <w:p w:rsidR="00C978F0" w:rsidRPr="00DA352E" w:rsidRDefault="00C978F0" w:rsidP="00C67FFB">
            <w:pPr>
              <w:pStyle w:val="Tableheader"/>
              <w:tabs>
                <w:tab w:val="left" w:pos="1418"/>
                <w:tab w:val="left" w:pos="2552"/>
                <w:tab w:val="right" w:pos="8489"/>
              </w:tabs>
            </w:pPr>
            <w:r w:rsidRPr="00DA352E">
              <w:t>Source</w:t>
            </w:r>
            <w:r w:rsidR="00DA352E">
              <w:tab/>
              <w:t>Year set</w:t>
            </w:r>
            <w:r w:rsidR="00DA352E">
              <w:tab/>
              <w:t>Standard</w:t>
            </w:r>
            <w:r w:rsidR="00974F2D">
              <w:tab/>
            </w:r>
          </w:p>
        </w:tc>
      </w:tr>
      <w:tr w:rsidR="00DE26E8" w:rsidRPr="003365A5" w:rsidTr="00DE26E8">
        <w:trPr>
          <w:cantSplit/>
        </w:trPr>
        <w:tc>
          <w:tcPr>
            <w:tcW w:w="5000" w:type="pct"/>
            <w:gridSpan w:val="2"/>
            <w:shd w:val="clear" w:color="auto" w:fill="F2F2F2" w:themeFill="background1" w:themeFillShade="F2"/>
          </w:tcPr>
          <w:p w:rsidR="00DE26E8" w:rsidRPr="003365A5" w:rsidRDefault="00DE26E8" w:rsidP="0051509C">
            <w:pPr>
              <w:pStyle w:val="Tablerowheadingitalic"/>
              <w:tabs>
                <w:tab w:val="clear" w:pos="2268"/>
                <w:tab w:val="clear" w:pos="5670"/>
                <w:tab w:val="left" w:pos="1418"/>
                <w:tab w:val="left" w:pos="2552"/>
              </w:tabs>
            </w:pPr>
            <w:r w:rsidRPr="003365A5">
              <w:t>SWA</w:t>
            </w:r>
            <w:r w:rsidRPr="003365A5">
              <w:tab/>
            </w:r>
            <w:sdt>
              <w:sdtPr>
                <w:id w:val="-2034099983"/>
                <w:placeholder>
                  <w:docPart w:val="0A35AF4547E94E219E26BC12DBC33282"/>
                </w:placeholder>
                <w:text/>
              </w:sdtPr>
              <w:sdtEndPr/>
              <w:sdtContent>
                <w:r w:rsidR="003B10B5">
                  <w:t>1991</w:t>
                </w:r>
              </w:sdtContent>
            </w:sdt>
            <w:r w:rsidRPr="003365A5">
              <w:tab/>
            </w:r>
            <w:r>
              <w:tab/>
            </w:r>
            <w:sdt>
              <w:sdtPr>
                <w:alias w:val="SWA WES"/>
                <w:tag w:val="SWA WES"/>
                <w:id w:val="857077202"/>
                <w:placeholder>
                  <w:docPart w:val="81CFEC2FDBC5451289F394E66D92D1A0"/>
                </w:placeholder>
              </w:sdtPr>
              <w:sdtEndPr/>
              <w:sdtContent>
                <w:r w:rsidR="00572715">
                  <w:t xml:space="preserve"> </w:t>
                </w:r>
                <w:r w:rsidR="003B10B5">
                  <w:t>TWA: 0.5 mg/m</w:t>
                </w:r>
                <w:r w:rsidR="003B10B5" w:rsidRPr="003B10B5">
                  <w:rPr>
                    <w:vertAlign w:val="superscript"/>
                  </w:rPr>
                  <w:t>3</w:t>
                </w:r>
              </w:sdtContent>
            </w:sdt>
          </w:p>
        </w:tc>
      </w:tr>
      <w:tr w:rsidR="00C978F0" w:rsidRPr="00DA352E" w:rsidTr="00DE26E8">
        <w:trPr>
          <w:gridAfter w:val="1"/>
          <w:wAfter w:w="8" w:type="pct"/>
          <w:cantSplit/>
        </w:trPr>
        <w:tc>
          <w:tcPr>
            <w:tcW w:w="4992" w:type="pct"/>
          </w:tcPr>
          <w:p w:rsidR="00C978F0" w:rsidRPr="00DA352E" w:rsidRDefault="00C978F0" w:rsidP="003365A5">
            <w:pPr>
              <w:pStyle w:val="Tabletextprimarysource"/>
            </w:pPr>
          </w:p>
        </w:tc>
      </w:tr>
      <w:tr w:rsidR="00C978F0" w:rsidRPr="00DA352E" w:rsidTr="00DE26E8">
        <w:trPr>
          <w:gridAfter w:val="1"/>
          <w:wAfter w:w="8" w:type="pct"/>
          <w:cantSplit/>
        </w:trPr>
        <w:tc>
          <w:tcPr>
            <w:tcW w:w="4992" w:type="pct"/>
            <w:shd w:val="clear" w:color="auto" w:fill="F2F2F2" w:themeFill="background1" w:themeFillShade="F2"/>
          </w:tcPr>
          <w:p w:rsidR="00C978F0" w:rsidRPr="00DA352E" w:rsidRDefault="00DA352E" w:rsidP="00DE2A0E">
            <w:pPr>
              <w:pStyle w:val="Tablerowheadingitalic"/>
              <w:tabs>
                <w:tab w:val="clear" w:pos="2268"/>
                <w:tab w:val="clear" w:pos="5670"/>
                <w:tab w:val="left" w:pos="1418"/>
                <w:tab w:val="left" w:pos="2552"/>
              </w:tabs>
            </w:pPr>
            <w:r w:rsidRPr="00DA352E">
              <w:t>ACGIH</w:t>
            </w:r>
            <w:r w:rsidR="00916EC0" w:rsidRPr="003365A5">
              <w:tab/>
            </w:r>
            <w:sdt>
              <w:sdtPr>
                <w:id w:val="444816450"/>
                <w:placeholder>
                  <w:docPart w:val="C8FBF9621EB94FE084F687C8955AF85F"/>
                </w:placeholder>
                <w:text/>
              </w:sdtPr>
              <w:sdtEndPr/>
              <w:sdtContent>
                <w:r w:rsidR="00572715">
                  <w:t>2001</w:t>
                </w:r>
              </w:sdtContent>
            </w:sdt>
            <w:r w:rsidR="0051509C">
              <w:tab/>
            </w:r>
            <w:sdt>
              <w:sdtPr>
                <w:alias w:val="ACGIH WES equivalent"/>
                <w:tag w:val="ACGIH WES equivalent"/>
                <w:id w:val="-1676410403"/>
                <w:placeholder>
                  <w:docPart w:val="522022AAE76B4622AC0DF750489702EB"/>
                </w:placeholder>
              </w:sdtPr>
              <w:sdtEndPr/>
              <w:sdtContent>
                <w:r w:rsidR="00572715">
                  <w:t xml:space="preserve">      </w:t>
                </w:r>
                <w:r w:rsidR="003B10B5">
                  <w:t>TLV-TWA</w:t>
                </w:r>
                <w:r w:rsidR="00A537AB">
                  <w:t xml:space="preserve"> (I</w:t>
                </w:r>
                <w:r w:rsidR="002B6B1B">
                  <w:t>nhalable</w:t>
                </w:r>
                <w:r w:rsidR="00A537AB">
                  <w:t>)</w:t>
                </w:r>
                <w:r w:rsidR="003B10B5">
                  <w:t>: 0.5 mg/m</w:t>
                </w:r>
                <w:r w:rsidR="003B10B5" w:rsidRPr="003B10B5">
                  <w:rPr>
                    <w:vertAlign w:val="superscript"/>
                  </w:rPr>
                  <w:t>3</w:t>
                </w:r>
                <w:r w:rsidR="00A537AB">
                  <w:t>; (</w:t>
                </w:r>
                <w:r w:rsidR="002B6B1B">
                  <w:t>Respirable</w:t>
                </w:r>
                <w:r w:rsidR="00A537AB">
                  <w:t>):</w:t>
                </w:r>
                <w:r w:rsidR="00572715">
                  <w:t xml:space="preserve"> </w:t>
                </w:r>
                <w:r w:rsidR="00A537AB">
                  <w:t>0.1mg/m</w:t>
                </w:r>
                <w:r w:rsidR="00A537AB" w:rsidRPr="00A537AB">
                  <w:rPr>
                    <w:vertAlign w:val="superscript"/>
                  </w:rPr>
                  <w:t xml:space="preserve">3 </w:t>
                </w:r>
              </w:sdtContent>
            </w:sdt>
          </w:p>
        </w:tc>
      </w:tr>
      <w:tr w:rsidR="00C978F0" w:rsidRPr="00DA352E" w:rsidTr="007B65A7">
        <w:trPr>
          <w:gridAfter w:val="1"/>
          <w:wAfter w:w="8" w:type="pct"/>
        </w:trPr>
        <w:tc>
          <w:tcPr>
            <w:tcW w:w="0" w:type="pct"/>
          </w:tcPr>
          <w:p w:rsidR="00C978F0" w:rsidRDefault="00D86D9F" w:rsidP="003365A5">
            <w:pPr>
              <w:pStyle w:val="Tabletextprimarysource"/>
            </w:pPr>
            <w:r>
              <w:t xml:space="preserve">TLV-TWA intended to minimise lung irritation and formation of cataracts from chronic exposure. </w:t>
            </w:r>
          </w:p>
          <w:p w:rsidR="00D86D9F" w:rsidRDefault="00D86D9F" w:rsidP="003365A5">
            <w:pPr>
              <w:pStyle w:val="Tabletextprimarysource"/>
            </w:pPr>
            <w:r>
              <w:t>Summary of data:</w:t>
            </w:r>
          </w:p>
          <w:p w:rsidR="00A53B04" w:rsidRPr="00A53B04" w:rsidRDefault="00A53B04" w:rsidP="003365A5">
            <w:pPr>
              <w:pStyle w:val="Tabletextprimarysource"/>
            </w:pPr>
            <w:r>
              <w:t xml:space="preserve">TLV-TWA </w:t>
            </w:r>
            <w:r w:rsidR="00654418">
              <w:t xml:space="preserve">(respirable) is </w:t>
            </w:r>
            <w:r>
              <w:t>derived from NOAEL of 0.097 mg/m</w:t>
            </w:r>
            <w:r>
              <w:rPr>
                <w:vertAlign w:val="superscript"/>
              </w:rPr>
              <w:t>3</w:t>
            </w:r>
            <w:r>
              <w:t xml:space="preserve"> for reversible lung irritation in rats in sub-chronic inhalation studies</w:t>
            </w:r>
            <w:r w:rsidR="00654418">
              <w:t xml:space="preserve"> exposed to aerosols of MMAD 1.5</w:t>
            </w:r>
            <w:r w:rsidR="001E0078">
              <w:t>–</w:t>
            </w:r>
            <w:r w:rsidR="00654418">
              <w:t>1.9 µm</w:t>
            </w:r>
            <w:r w:rsidR="005C49EA">
              <w:t>; the TLV-TWA of 0.5 </w:t>
            </w:r>
            <w:r>
              <w:t>mg/m</w:t>
            </w:r>
            <w:r>
              <w:rPr>
                <w:vertAlign w:val="superscript"/>
              </w:rPr>
              <w:t>3</w:t>
            </w:r>
            <w:r>
              <w:t xml:space="preserve"> </w:t>
            </w:r>
            <w:r w:rsidR="00654418">
              <w:t>(</w:t>
            </w:r>
            <w:r>
              <w:t>inhalable</w:t>
            </w:r>
            <w:r w:rsidR="00654418">
              <w:t xml:space="preserve">) </w:t>
            </w:r>
            <w:r>
              <w:t xml:space="preserve">is recommended for aerosols greater than 5 µm </w:t>
            </w:r>
            <w:r w:rsidR="00654418">
              <w:t>MMAD</w:t>
            </w:r>
            <w:r>
              <w:t xml:space="preserve"> (no further details </w:t>
            </w:r>
            <w:r w:rsidR="00E35527">
              <w:t>provided</w:t>
            </w:r>
            <w:r>
              <w:t>).</w:t>
            </w:r>
          </w:p>
          <w:p w:rsidR="00D86D9F" w:rsidRDefault="00D86D9F" w:rsidP="003365A5">
            <w:pPr>
              <w:pStyle w:val="Tabletextprimarysource"/>
            </w:pPr>
            <w:r>
              <w:t>Human data:</w:t>
            </w:r>
          </w:p>
          <w:p w:rsidR="00075B70" w:rsidRDefault="00075B70" w:rsidP="00075B70">
            <w:pPr>
              <w:pStyle w:val="Tabletextprimarysource"/>
              <w:numPr>
                <w:ilvl w:val="0"/>
                <w:numId w:val="2"/>
              </w:numPr>
            </w:pPr>
            <w:r>
              <w:t>61% of</w:t>
            </w:r>
            <w:r w:rsidR="00DE2A0E">
              <w:t xml:space="preserve"> IV</w:t>
            </w:r>
            <w:r>
              <w:t xml:space="preserve"> dose recovered in urine of volunteers</w:t>
            </w:r>
            <w:r w:rsidR="00727FD9">
              <w:t xml:space="preserve"> (10 h)</w:t>
            </w:r>
            <w:r>
              <w:t xml:space="preserve">, but only 0.3% </w:t>
            </w:r>
            <w:r w:rsidR="00C05375">
              <w:t>in</w:t>
            </w:r>
            <w:r>
              <w:t xml:space="preserve"> dermal dose</w:t>
            </w:r>
          </w:p>
          <w:p w:rsidR="00DE2A0E" w:rsidRDefault="00075B70" w:rsidP="00075B70">
            <w:pPr>
              <w:pStyle w:val="Tabletextprimarysource"/>
              <w:numPr>
                <w:ilvl w:val="0"/>
                <w:numId w:val="2"/>
              </w:numPr>
            </w:pPr>
            <w:r>
              <w:t>No detectable inhalational exposure in workers applying substance as herbicide</w:t>
            </w:r>
          </w:p>
          <w:p w:rsidR="00075B70" w:rsidRDefault="00075B70" w:rsidP="00DE2A0E">
            <w:pPr>
              <w:pStyle w:val="Tabletextprimarysource"/>
              <w:numPr>
                <w:ilvl w:val="1"/>
                <w:numId w:val="1"/>
              </w:numPr>
              <w:ind w:left="1094" w:hanging="357"/>
            </w:pPr>
            <w:r>
              <w:t>negligible inhalational exposure to workers during aerial application as herbicide (no further details provided)</w:t>
            </w:r>
          </w:p>
          <w:p w:rsidR="004C1815" w:rsidRDefault="002B6B1B" w:rsidP="00075B70">
            <w:pPr>
              <w:pStyle w:val="Tabletextprimarysource"/>
              <w:numPr>
                <w:ilvl w:val="0"/>
                <w:numId w:val="2"/>
              </w:numPr>
            </w:pPr>
            <w:r>
              <w:t>Occupational</w:t>
            </w:r>
            <w:r w:rsidR="00A53B04">
              <w:t xml:space="preserve"> hygiene studies</w:t>
            </w:r>
            <w:r w:rsidR="004C1815">
              <w:t xml:space="preserve"> found </w:t>
            </w:r>
            <w:r w:rsidR="00A53B04">
              <w:t xml:space="preserve">no signs of upper respiratory tract irritation in workers exposed </w:t>
            </w:r>
            <w:r w:rsidR="00DE2A0E">
              <w:t>at</w:t>
            </w:r>
            <w:r w:rsidR="00A53B04">
              <w:t xml:space="preserve"> average air concentrations of 0.002 mg/m</w:t>
            </w:r>
            <w:r w:rsidR="00A53B04">
              <w:rPr>
                <w:vertAlign w:val="superscript"/>
              </w:rPr>
              <w:t>3</w:t>
            </w:r>
            <w:r>
              <w:t>.</w:t>
            </w:r>
          </w:p>
          <w:p w:rsidR="00D86D9F" w:rsidRDefault="00D86D9F" w:rsidP="003365A5">
            <w:pPr>
              <w:pStyle w:val="Tabletextprimarysource"/>
            </w:pPr>
            <w:r>
              <w:t>Animal data:</w:t>
            </w:r>
          </w:p>
          <w:p w:rsidR="00DE2A0E" w:rsidRDefault="00D86D9F" w:rsidP="00D86D9F">
            <w:pPr>
              <w:pStyle w:val="Tabletextprimarysource"/>
              <w:numPr>
                <w:ilvl w:val="0"/>
                <w:numId w:val="1"/>
              </w:numPr>
            </w:pPr>
            <w:r>
              <w:t>Oral LD</w:t>
            </w:r>
            <w:r>
              <w:rPr>
                <w:vertAlign w:val="subscript"/>
              </w:rPr>
              <w:t>50</w:t>
            </w:r>
            <w:r>
              <w:t>: 62</w:t>
            </w:r>
            <w:r w:rsidR="001E0078">
              <w:t>–</w:t>
            </w:r>
            <w:r>
              <w:t xml:space="preserve">200 mg/kg </w:t>
            </w:r>
            <w:r w:rsidR="002A208E">
              <w:t xml:space="preserve">depending on species and sex </w:t>
            </w:r>
            <w:r w:rsidR="00A61DCC">
              <w:t>(rats, mice, rabbits, dogs,</w:t>
            </w:r>
            <w:r>
              <w:t xml:space="preserve"> no </w:t>
            </w:r>
            <w:r w:rsidR="00A61DCC">
              <w:t>exposure data</w:t>
            </w:r>
            <w:r>
              <w:t xml:space="preserve"> provided)</w:t>
            </w:r>
          </w:p>
          <w:p w:rsidR="002A208E" w:rsidRDefault="002A208E" w:rsidP="00A61DCC">
            <w:pPr>
              <w:pStyle w:val="Tabletextprimarysource"/>
              <w:numPr>
                <w:ilvl w:val="1"/>
                <w:numId w:val="1"/>
              </w:numPr>
              <w:ind w:left="1094" w:hanging="357"/>
            </w:pPr>
            <w:r>
              <w:t>at lethal doses, symptoms appear after 24 h and include lethargy, respiratory difficulty, weight loss and weakness, and cause death after 2–14 d</w:t>
            </w:r>
          </w:p>
          <w:p w:rsidR="002A208E" w:rsidRDefault="002A208E" w:rsidP="00A61DCC">
            <w:pPr>
              <w:pStyle w:val="Tabletextprimarysource"/>
              <w:numPr>
                <w:ilvl w:val="0"/>
                <w:numId w:val="1"/>
              </w:numPr>
            </w:pPr>
            <w:r>
              <w:t>Low oral absorption reported in metabolic studies (rats, 4–6%; 10–20% dogs)</w:t>
            </w:r>
          </w:p>
          <w:p w:rsidR="00A2169F" w:rsidRDefault="00D86D9F" w:rsidP="00A2169F">
            <w:pPr>
              <w:pStyle w:val="Tabletextprimarysource"/>
              <w:numPr>
                <w:ilvl w:val="0"/>
                <w:numId w:val="1"/>
              </w:numPr>
            </w:pPr>
            <w:r>
              <w:t>LD</w:t>
            </w:r>
            <w:r>
              <w:rPr>
                <w:vertAlign w:val="subscript"/>
              </w:rPr>
              <w:t>50</w:t>
            </w:r>
            <w:r w:rsidR="002B6B1B">
              <w:t>:</w:t>
            </w:r>
            <w:r>
              <w:t xml:space="preserve"> </w:t>
            </w:r>
            <w:r w:rsidR="00A2169F">
              <w:t>&gt;</w:t>
            </w:r>
            <w:r>
              <w:t>400 mg/kg (rabbits</w:t>
            </w:r>
            <w:r w:rsidR="00A2169F">
              <w:t>, 24 h</w:t>
            </w:r>
            <w:r w:rsidR="002B6B1B">
              <w:t>, dermal</w:t>
            </w:r>
            <w:r>
              <w:t>)</w:t>
            </w:r>
            <w:r w:rsidR="00A2169F">
              <w:t xml:space="preserve">; no effects </w:t>
            </w:r>
            <w:r w:rsidR="004C1815">
              <w:t xml:space="preserve">observed </w:t>
            </w:r>
            <w:r w:rsidR="00A2169F">
              <w:t>at this concentration</w:t>
            </w:r>
          </w:p>
          <w:p w:rsidR="00A2169F" w:rsidRDefault="00A2169F" w:rsidP="00D86D9F">
            <w:pPr>
              <w:pStyle w:val="Tabletextprimarysource"/>
              <w:numPr>
                <w:ilvl w:val="0"/>
                <w:numId w:val="1"/>
              </w:numPr>
            </w:pPr>
            <w:r>
              <w:t>Sub-chronic inhalation exposure study with exposure groups</w:t>
            </w:r>
            <w:r w:rsidR="00B30429">
              <w:t xml:space="preserve"> of 0</w:t>
            </w:r>
            <w:r w:rsidR="00A61DCC">
              <w:t>,</w:t>
            </w:r>
            <w:r>
              <w:t xml:space="preserve"> 0.49, 1.1 and 3.8 mg/m</w:t>
            </w:r>
            <w:r>
              <w:rPr>
                <w:vertAlign w:val="superscript"/>
              </w:rPr>
              <w:t>3</w:t>
            </w:r>
            <w:r>
              <w:t xml:space="preserve"> as aerosol (rats, 6 h/d, 5 d/wk, 3 wk):</w:t>
            </w:r>
          </w:p>
          <w:p w:rsidR="00A2169F" w:rsidRDefault="007E6093" w:rsidP="005C49EA">
            <w:pPr>
              <w:pStyle w:val="Tabletextprimarysource"/>
              <w:numPr>
                <w:ilvl w:val="1"/>
                <w:numId w:val="1"/>
              </w:numPr>
              <w:ind w:left="1094" w:hanging="357"/>
            </w:pPr>
            <w:r>
              <w:t>LOAEC</w:t>
            </w:r>
            <w:r w:rsidR="00A2169F">
              <w:t xml:space="preserve"> of 0.49 mg/m</w:t>
            </w:r>
            <w:r w:rsidR="00A2169F">
              <w:rPr>
                <w:vertAlign w:val="superscript"/>
              </w:rPr>
              <w:t>3</w:t>
            </w:r>
            <w:r w:rsidR="00A2169F">
              <w:t xml:space="preserve"> for histopathological changes/lesions in lungs</w:t>
            </w:r>
          </w:p>
          <w:p w:rsidR="00A2169F" w:rsidRDefault="00A2169F" w:rsidP="005C49EA">
            <w:pPr>
              <w:pStyle w:val="Tabletextprimarysource"/>
              <w:numPr>
                <w:ilvl w:val="1"/>
                <w:numId w:val="1"/>
              </w:numPr>
              <w:ind w:left="1094" w:hanging="357"/>
            </w:pPr>
            <w:r>
              <w:t>3.8 mg/m</w:t>
            </w:r>
            <w:r>
              <w:rPr>
                <w:vertAlign w:val="superscript"/>
              </w:rPr>
              <w:t xml:space="preserve">3 </w:t>
            </w:r>
            <w:r>
              <w:t>group showed bw loss and abnormal respiratory sounds</w:t>
            </w:r>
          </w:p>
          <w:p w:rsidR="00A2169F" w:rsidRDefault="002B6B1B" w:rsidP="005C49EA">
            <w:pPr>
              <w:pStyle w:val="Tabletextprimarysource"/>
              <w:numPr>
                <w:ilvl w:val="1"/>
                <w:numId w:val="1"/>
              </w:numPr>
              <w:ind w:left="1094" w:hanging="357"/>
            </w:pPr>
            <w:r>
              <w:t>a</w:t>
            </w:r>
            <w:r w:rsidR="00A2169F">
              <w:t xml:space="preserve">ll adverse effects were reversible </w:t>
            </w:r>
            <w:r w:rsidR="00BF436D">
              <w:t>(observation period not specified)</w:t>
            </w:r>
          </w:p>
          <w:p w:rsidR="00A2169F" w:rsidRDefault="002B6B1B" w:rsidP="005C49EA">
            <w:pPr>
              <w:pStyle w:val="Tabletextprimarysource"/>
              <w:numPr>
                <w:ilvl w:val="1"/>
                <w:numId w:val="1"/>
              </w:numPr>
              <w:ind w:left="1094" w:hanging="357"/>
            </w:pPr>
            <w:r>
              <w:t>f</w:t>
            </w:r>
            <w:r w:rsidR="007E6093">
              <w:t>ollow-up study found NOAEC</w:t>
            </w:r>
            <w:r w:rsidR="00A2169F">
              <w:t xml:space="preserve"> of 0.097 mg/m</w:t>
            </w:r>
            <w:r w:rsidR="00A2169F">
              <w:rPr>
                <w:vertAlign w:val="superscript"/>
              </w:rPr>
              <w:t>3</w:t>
            </w:r>
            <w:r w:rsidR="00A2169F">
              <w:t xml:space="preserve"> under the same conditions with slightly smaller aerosol particle size</w:t>
            </w:r>
          </w:p>
          <w:p w:rsidR="00BF436D" w:rsidRDefault="001D49D3" w:rsidP="00BF436D">
            <w:pPr>
              <w:pStyle w:val="Tabletextprimarysource"/>
              <w:numPr>
                <w:ilvl w:val="0"/>
                <w:numId w:val="1"/>
              </w:numPr>
            </w:pPr>
            <w:r>
              <w:t xml:space="preserve">Dose-dependent cataract formation reported in a chronic feeding study, treatment range: </w:t>
            </w:r>
            <w:r w:rsidR="00B30429">
              <w:t>0</w:t>
            </w:r>
            <w:r w:rsidR="00A61DCC">
              <w:t>,</w:t>
            </w:r>
            <w:r w:rsidR="00B30429">
              <w:t> </w:t>
            </w:r>
            <w:r>
              <w:t xml:space="preserve">0.5, 25, and </w:t>
            </w:r>
            <w:r w:rsidR="001E0078">
              <w:t xml:space="preserve">50 </w:t>
            </w:r>
            <w:r>
              <w:t>mg/kg/d (rats, 2 yr); no other pathological effects in blood, urine, growth</w:t>
            </w:r>
            <w:r w:rsidR="00C61167">
              <w:t>, or carcinogenicity</w:t>
            </w:r>
            <w:r>
              <w:t xml:space="preserve"> noted</w:t>
            </w:r>
            <w:r w:rsidR="00E4712A">
              <w:t>:</w:t>
            </w:r>
          </w:p>
          <w:p w:rsidR="001D49D3" w:rsidRDefault="001D49D3" w:rsidP="005C49EA">
            <w:pPr>
              <w:pStyle w:val="Tabletextprimarysource"/>
              <w:numPr>
                <w:ilvl w:val="1"/>
                <w:numId w:val="1"/>
              </w:numPr>
              <w:ind w:left="1094" w:hanging="357"/>
            </w:pPr>
            <w:r>
              <w:t>NOAEL of 0.5 mg/kg/d for cataract formation</w:t>
            </w:r>
          </w:p>
          <w:p w:rsidR="001D49D3" w:rsidRDefault="002B6B1B" w:rsidP="005C49EA">
            <w:pPr>
              <w:pStyle w:val="Tabletextprimarysource"/>
              <w:numPr>
                <w:ilvl w:val="1"/>
                <w:numId w:val="1"/>
              </w:numPr>
              <w:ind w:left="1094" w:hanging="357"/>
            </w:pPr>
            <w:r>
              <w:t>c</w:t>
            </w:r>
            <w:r w:rsidR="001D49D3">
              <w:t>omplete opacities appeared within 6 mo in 25% of rats at 50 mg/kg/d</w:t>
            </w:r>
          </w:p>
          <w:p w:rsidR="001D49D3" w:rsidRDefault="002B6B1B" w:rsidP="005C49EA">
            <w:pPr>
              <w:pStyle w:val="Tabletextprimarysource"/>
              <w:numPr>
                <w:ilvl w:val="1"/>
                <w:numId w:val="1"/>
              </w:numPr>
              <w:ind w:left="1094" w:hanging="357"/>
            </w:pPr>
            <w:r>
              <w:t>s</w:t>
            </w:r>
            <w:r w:rsidR="00C61167">
              <w:t>econd study of same duration and lower treatment range reported NOAEL &gt;0.22</w:t>
            </w:r>
            <w:r w:rsidR="00865219">
              <w:t> </w:t>
            </w:r>
            <w:r w:rsidR="00C61167">
              <w:t>mg/kg/d and &lt;0.66 mg/kg/d</w:t>
            </w:r>
          </w:p>
          <w:p w:rsidR="00C61167" w:rsidRDefault="00C61167" w:rsidP="005C49EA">
            <w:pPr>
              <w:pStyle w:val="Tabletextprimarysource"/>
              <w:numPr>
                <w:ilvl w:val="1"/>
                <w:numId w:val="1"/>
              </w:numPr>
              <w:ind w:left="1094" w:hanging="357"/>
            </w:pPr>
            <w:r>
              <w:t>similar dose-response relationship in 4</w:t>
            </w:r>
            <w:r w:rsidR="001E0078">
              <w:t xml:space="preserve"> </w:t>
            </w:r>
            <w:r>
              <w:t>yr study</w:t>
            </w:r>
            <w:r w:rsidR="00B30429">
              <w:t xml:space="preserve"> in dogs</w:t>
            </w:r>
            <w:r>
              <w:t xml:space="preserve">, </w:t>
            </w:r>
            <w:r w:rsidR="00B30429">
              <w:t>and</w:t>
            </w:r>
            <w:r>
              <w:t xml:space="preserve"> a NOAEL of 1.7</w:t>
            </w:r>
            <w:r w:rsidR="00B30429">
              <w:t> </w:t>
            </w:r>
            <w:r>
              <w:t>mg/kg/d for cataract formation</w:t>
            </w:r>
          </w:p>
          <w:p w:rsidR="00C61167" w:rsidRDefault="00C61167" w:rsidP="00C61167">
            <w:pPr>
              <w:pStyle w:val="Tabletextprimarysource"/>
              <w:numPr>
                <w:ilvl w:val="0"/>
                <w:numId w:val="1"/>
              </w:numPr>
            </w:pPr>
            <w:r>
              <w:t>No evidence for carcinogenicity in chronic feeding study at</w:t>
            </w:r>
            <w:r w:rsidR="00B30429">
              <w:t xml:space="preserve"> 0</w:t>
            </w:r>
            <w:r w:rsidR="00A61DCC">
              <w:t>,</w:t>
            </w:r>
            <w:r>
              <w:t xml:space="preserve"> 30, 150, or 500 ppm in diet (mice, 80 wk); 500 ppm were reduced to 400 then 300 ppm after 3 and 5 wk, respectively</w:t>
            </w:r>
          </w:p>
          <w:p w:rsidR="007E6093" w:rsidRDefault="00C61167" w:rsidP="00C61167">
            <w:pPr>
              <w:pStyle w:val="Tabletextprimarysource"/>
              <w:numPr>
                <w:ilvl w:val="0"/>
                <w:numId w:val="1"/>
              </w:numPr>
            </w:pPr>
            <w:r>
              <w:t>No evidence for reproductive toxicity in 3</w:t>
            </w:r>
            <w:r w:rsidR="001E0078">
              <w:t xml:space="preserve"> </w:t>
            </w:r>
            <w:r>
              <w:t>generation study at</w:t>
            </w:r>
            <w:r w:rsidR="00A61DCC">
              <w:t xml:space="preserve"> 0, </w:t>
            </w:r>
            <w:r>
              <w:t>250</w:t>
            </w:r>
            <w:r w:rsidR="00A61DCC">
              <w:t xml:space="preserve"> and </w:t>
            </w:r>
            <w:r>
              <w:t>500 ppm in diet of rats</w:t>
            </w:r>
          </w:p>
          <w:p w:rsidR="00C61167" w:rsidRDefault="00460BDA" w:rsidP="007E6093">
            <w:pPr>
              <w:pStyle w:val="Tabletextprimarysource"/>
              <w:numPr>
                <w:ilvl w:val="1"/>
                <w:numId w:val="1"/>
              </w:numPr>
              <w:ind w:left="1094" w:hanging="357"/>
            </w:pPr>
            <w:r>
              <w:lastRenderedPageBreak/>
              <w:t>maternal and natal cataract formation observed at 500 ppm</w:t>
            </w:r>
          </w:p>
          <w:p w:rsidR="00460BDA" w:rsidRDefault="00C61167" w:rsidP="00460BDA">
            <w:pPr>
              <w:pStyle w:val="Tabletextprimarysource"/>
              <w:numPr>
                <w:ilvl w:val="0"/>
                <w:numId w:val="1"/>
              </w:numPr>
            </w:pPr>
            <w:r>
              <w:t xml:space="preserve">No teratogenic effects, but foetal mortality and </w:t>
            </w:r>
            <w:r w:rsidR="00460BDA">
              <w:t xml:space="preserve">resorption occurred at 15 mg/kg </w:t>
            </w:r>
            <w:r w:rsidR="00B30429">
              <w:t xml:space="preserve">by </w:t>
            </w:r>
            <w:r w:rsidR="007E6093">
              <w:t>IV on GD</w:t>
            </w:r>
            <w:r w:rsidR="00460BDA">
              <w:t xml:space="preserve"> 7</w:t>
            </w:r>
            <w:r w:rsidR="001E0078">
              <w:t>–</w:t>
            </w:r>
            <w:r w:rsidR="00460BDA">
              <w:t>21 (rats)</w:t>
            </w:r>
          </w:p>
          <w:p w:rsidR="00460BDA" w:rsidRDefault="00460BDA" w:rsidP="00460BDA">
            <w:pPr>
              <w:pStyle w:val="Tabletextprimarysource"/>
              <w:numPr>
                <w:ilvl w:val="0"/>
                <w:numId w:val="1"/>
              </w:numPr>
            </w:pPr>
            <w:r>
              <w:t xml:space="preserve">Equivocal mutagenicity data: negative results for Ames tests with </w:t>
            </w:r>
            <w:r w:rsidR="007E6093">
              <w:rPr>
                <w:i/>
              </w:rPr>
              <w:t>E.</w:t>
            </w:r>
            <w:r>
              <w:rPr>
                <w:i/>
              </w:rPr>
              <w:t xml:space="preserve"> coli</w:t>
            </w:r>
            <w:r>
              <w:t xml:space="preserve"> and dominant lethal test, but positive for DNA aberrations in </w:t>
            </w:r>
            <w:r>
              <w:rPr>
                <w:i/>
              </w:rPr>
              <w:t>Saccharomyces cerevisiae</w:t>
            </w:r>
            <w:r>
              <w:t xml:space="preserve"> and human SV-40 cells</w:t>
            </w:r>
            <w:r w:rsidR="00A53B04">
              <w:t>.</w:t>
            </w:r>
          </w:p>
          <w:p w:rsidR="005C49EA" w:rsidRDefault="005C49EA" w:rsidP="00DE2A0E">
            <w:pPr>
              <w:pStyle w:val="Tabletextprimarysource"/>
            </w:pPr>
          </w:p>
          <w:p w:rsidR="00DE2A0E" w:rsidRDefault="005C49EA" w:rsidP="00DE2A0E">
            <w:pPr>
              <w:pStyle w:val="Tabletextprimarysource"/>
            </w:pPr>
            <w:r>
              <w:t xml:space="preserve">No evidence for carcinogenicity found in chronic exposure studies with mice, which supports an A4 classification. Limited dermal studies with rats and rabbits suggest a skin notation is required. </w:t>
            </w:r>
          </w:p>
          <w:p w:rsidR="005C49EA" w:rsidRDefault="005C49EA" w:rsidP="00DE2A0E">
            <w:pPr>
              <w:pStyle w:val="Tabletextprimarysource"/>
            </w:pPr>
            <w:r>
              <w:t>Insufficient data to assign a STEL or sensitisation notation.</w:t>
            </w:r>
          </w:p>
          <w:p w:rsidR="005C49EA" w:rsidRPr="00DA352E" w:rsidRDefault="005C49EA" w:rsidP="00DE2A0E">
            <w:pPr>
              <w:pStyle w:val="Tabletextprimarysource"/>
            </w:pPr>
          </w:p>
        </w:tc>
      </w:tr>
      <w:tr w:rsidR="00C978F0" w:rsidRPr="00DA352E" w:rsidTr="00DE26E8">
        <w:trPr>
          <w:gridAfter w:val="1"/>
          <w:wAfter w:w="8" w:type="pct"/>
          <w:cantSplit/>
        </w:trPr>
        <w:tc>
          <w:tcPr>
            <w:tcW w:w="4992" w:type="pct"/>
            <w:shd w:val="clear" w:color="auto" w:fill="F2F2F2" w:themeFill="background1" w:themeFillShade="F2"/>
          </w:tcPr>
          <w:p w:rsidR="00C978F0" w:rsidRPr="00DA352E" w:rsidRDefault="00DA352E" w:rsidP="0051509C">
            <w:pPr>
              <w:pStyle w:val="Tablerowheadingitalic"/>
              <w:tabs>
                <w:tab w:val="clear" w:pos="2268"/>
                <w:tab w:val="clear" w:pos="5670"/>
                <w:tab w:val="left" w:pos="1418"/>
                <w:tab w:val="left" w:pos="2552"/>
              </w:tabs>
            </w:pPr>
            <w:r w:rsidRPr="00DA352E">
              <w:lastRenderedPageBreak/>
              <w:t>DFG</w:t>
            </w:r>
            <w:r w:rsidR="00916EC0" w:rsidRPr="003365A5">
              <w:t xml:space="preserve"> </w:t>
            </w:r>
            <w:r w:rsidR="00916EC0" w:rsidRPr="003365A5">
              <w:tab/>
            </w:r>
            <w:sdt>
              <w:sdtPr>
                <w:id w:val="272751712"/>
                <w:placeholder>
                  <w:docPart w:val="6918C77959FE4E2CB3B6BD78ABC69E19"/>
                </w:placeholder>
                <w:text/>
              </w:sdtPr>
              <w:sdtEndPr/>
              <w:sdtContent>
                <w:r w:rsidR="00A537AB">
                  <w:t>NA</w:t>
                </w:r>
              </w:sdtContent>
            </w:sdt>
            <w:r w:rsidR="00916EC0" w:rsidRPr="003365A5">
              <w:tab/>
            </w:r>
            <w:r w:rsidR="0051509C">
              <w:tab/>
            </w:r>
            <w:sdt>
              <w:sdtPr>
                <w:alias w:val="DFG WES equivalent"/>
                <w:tag w:val="DFG WES equivalent"/>
                <w:id w:val="-736175395"/>
                <w:placeholder>
                  <w:docPart w:val="1ED9AEC91FDC4528B51A567B2B19EB9F"/>
                </w:placeholder>
              </w:sdtPr>
              <w:sdtEndPr/>
              <w:sdtContent>
                <w:r w:rsidR="00A537AB">
                  <w:t>NA</w:t>
                </w:r>
              </w:sdtContent>
            </w:sdt>
          </w:p>
        </w:tc>
      </w:tr>
      <w:tr w:rsidR="00C978F0" w:rsidRPr="00DA352E" w:rsidTr="00DE26E8">
        <w:trPr>
          <w:gridAfter w:val="1"/>
          <w:wAfter w:w="8" w:type="pct"/>
          <w:cantSplit/>
        </w:trPr>
        <w:tc>
          <w:tcPr>
            <w:tcW w:w="4992" w:type="pct"/>
          </w:tcPr>
          <w:p w:rsidR="00C978F0" w:rsidRPr="00DA352E" w:rsidRDefault="00A537AB" w:rsidP="003365A5">
            <w:pPr>
              <w:pStyle w:val="Tabletextprimarysource"/>
            </w:pPr>
            <w:r>
              <w:t>No report</w:t>
            </w:r>
            <w:r w:rsidR="001F5FC9">
              <w:t>.</w:t>
            </w:r>
          </w:p>
        </w:tc>
      </w:tr>
      <w:tr w:rsidR="00C978F0" w:rsidRPr="00DA352E" w:rsidTr="00DE26E8">
        <w:trPr>
          <w:gridAfter w:val="1"/>
          <w:wAfter w:w="8" w:type="pct"/>
          <w:cantSplit/>
        </w:trPr>
        <w:tc>
          <w:tcPr>
            <w:tcW w:w="4992" w:type="pct"/>
            <w:shd w:val="clear" w:color="auto" w:fill="F2F2F2" w:themeFill="background1" w:themeFillShade="F2"/>
          </w:tcPr>
          <w:p w:rsidR="00C978F0" w:rsidRPr="00DA352E" w:rsidRDefault="00DA352E" w:rsidP="0051509C">
            <w:pPr>
              <w:pStyle w:val="Tablerowheadingitalic"/>
              <w:tabs>
                <w:tab w:val="clear" w:pos="2268"/>
                <w:tab w:val="clear" w:pos="5670"/>
                <w:tab w:val="left" w:pos="1418"/>
                <w:tab w:val="left" w:pos="2552"/>
              </w:tabs>
            </w:pPr>
            <w:r w:rsidRPr="00DA352E">
              <w:t>SCOEL</w:t>
            </w:r>
            <w:r w:rsidR="00916EC0" w:rsidRPr="003365A5">
              <w:t xml:space="preserve"> </w:t>
            </w:r>
            <w:r w:rsidR="00916EC0" w:rsidRPr="003365A5">
              <w:tab/>
            </w:r>
            <w:sdt>
              <w:sdtPr>
                <w:id w:val="-768699850"/>
                <w:placeholder>
                  <w:docPart w:val="FDC2A24E7D2549238DA6EE03BD0A6AE0"/>
                </w:placeholder>
                <w:text/>
              </w:sdtPr>
              <w:sdtEndPr/>
              <w:sdtContent>
                <w:r w:rsidR="00A537AB">
                  <w:t>NA</w:t>
                </w:r>
              </w:sdtContent>
            </w:sdt>
            <w:r w:rsidR="00916EC0" w:rsidRPr="003365A5">
              <w:tab/>
            </w:r>
            <w:r w:rsidR="0051509C">
              <w:tab/>
            </w:r>
            <w:sdt>
              <w:sdtPr>
                <w:alias w:val="SCOEL WES equivalent"/>
                <w:tag w:val="SCOEL WES equivalent"/>
                <w:id w:val="-1474213062"/>
                <w:placeholder>
                  <w:docPart w:val="9E827C9D0DA949E385F2E9AB4264125E"/>
                </w:placeholder>
              </w:sdtPr>
              <w:sdtEndPr/>
              <w:sdtContent>
                <w:sdt>
                  <w:sdtPr>
                    <w:id w:val="1663506245"/>
                    <w:placeholder>
                      <w:docPart w:val="1B91D3AB120F428CB728115BE9FE49D5"/>
                    </w:placeholder>
                    <w:text/>
                  </w:sdtPr>
                  <w:sdtEndPr/>
                  <w:sdtContent>
                    <w:r w:rsidR="00A537AB">
                      <w:t>NA</w:t>
                    </w:r>
                  </w:sdtContent>
                </w:sdt>
              </w:sdtContent>
            </w:sdt>
          </w:p>
        </w:tc>
      </w:tr>
      <w:tr w:rsidR="00C978F0" w:rsidRPr="00DA352E" w:rsidTr="00DE26E8">
        <w:trPr>
          <w:gridAfter w:val="1"/>
          <w:wAfter w:w="8" w:type="pct"/>
          <w:cantSplit/>
        </w:trPr>
        <w:tc>
          <w:tcPr>
            <w:tcW w:w="4992" w:type="pct"/>
          </w:tcPr>
          <w:p w:rsidR="00C978F0" w:rsidRPr="00DA352E" w:rsidRDefault="00A537AB" w:rsidP="003365A5">
            <w:pPr>
              <w:pStyle w:val="Tabletextprimarysource"/>
            </w:pPr>
            <w:r>
              <w:t>No report</w:t>
            </w:r>
            <w:r w:rsidR="001F5FC9">
              <w:t>.</w:t>
            </w:r>
          </w:p>
        </w:tc>
      </w:tr>
      <w:tr w:rsidR="00DA352E" w:rsidRPr="00DA352E" w:rsidTr="00DE26E8">
        <w:trPr>
          <w:gridAfter w:val="1"/>
          <w:wAfter w:w="8" w:type="pct"/>
          <w:cantSplit/>
        </w:trPr>
        <w:tc>
          <w:tcPr>
            <w:tcW w:w="4992" w:type="pct"/>
            <w:shd w:val="clear" w:color="auto" w:fill="F2F2F2" w:themeFill="background1" w:themeFillShade="F2"/>
          </w:tcPr>
          <w:p w:rsidR="00DA352E" w:rsidRPr="00DA352E" w:rsidRDefault="00DA352E" w:rsidP="0051509C">
            <w:pPr>
              <w:pStyle w:val="Tablerowheadingitalic"/>
              <w:tabs>
                <w:tab w:val="clear" w:pos="2268"/>
                <w:tab w:val="clear" w:pos="5670"/>
                <w:tab w:val="left" w:pos="1418"/>
                <w:tab w:val="left" w:pos="2552"/>
              </w:tabs>
            </w:pPr>
            <w:r w:rsidRPr="00DA352E">
              <w:t>OARS/AIHA</w:t>
            </w:r>
            <w:r w:rsidR="00916EC0" w:rsidRPr="003365A5">
              <w:t xml:space="preserve"> </w:t>
            </w:r>
            <w:r w:rsidR="00916EC0" w:rsidRPr="003365A5">
              <w:tab/>
            </w:r>
            <w:sdt>
              <w:sdtPr>
                <w:id w:val="-936748013"/>
                <w:placeholder>
                  <w:docPart w:val="47E4EC2DB10B4B8E8A66F7A5C13653CB"/>
                </w:placeholder>
                <w:text/>
              </w:sdtPr>
              <w:sdtEndPr/>
              <w:sdtContent>
                <w:r w:rsidR="00A537AB">
                  <w:t>NA</w:t>
                </w:r>
              </w:sdtContent>
            </w:sdt>
            <w:r w:rsidR="00916EC0" w:rsidRPr="003365A5">
              <w:tab/>
            </w:r>
            <w:r w:rsidR="0051509C">
              <w:tab/>
            </w:r>
            <w:sdt>
              <w:sdtPr>
                <w:alias w:val="OARS/AIHA WES equivalent"/>
                <w:tag w:val="OARS/AIHA WES equivalent"/>
                <w:id w:val="-1320338798"/>
                <w:placeholder>
                  <w:docPart w:val="5E4DD00C3A334F93BF5CC79754EBC5EA"/>
                </w:placeholder>
              </w:sdtPr>
              <w:sdtEndPr/>
              <w:sdtContent>
                <w:sdt>
                  <w:sdtPr>
                    <w:id w:val="-711269347"/>
                    <w:placeholder>
                      <w:docPart w:val="7D7D34B2721C4CA5A8C565E7780D9EBA"/>
                    </w:placeholder>
                    <w:text/>
                  </w:sdtPr>
                  <w:sdtEndPr/>
                  <w:sdtContent>
                    <w:r w:rsidR="00A537AB">
                      <w:t>NA</w:t>
                    </w:r>
                  </w:sdtContent>
                </w:sdt>
              </w:sdtContent>
            </w:sdt>
          </w:p>
        </w:tc>
      </w:tr>
      <w:tr w:rsidR="00DA352E" w:rsidRPr="00DA352E" w:rsidTr="00DE26E8">
        <w:trPr>
          <w:gridAfter w:val="1"/>
          <w:wAfter w:w="8" w:type="pct"/>
          <w:cantSplit/>
        </w:trPr>
        <w:tc>
          <w:tcPr>
            <w:tcW w:w="4992" w:type="pct"/>
          </w:tcPr>
          <w:p w:rsidR="00DA352E" w:rsidRPr="00DA352E" w:rsidRDefault="00A537AB" w:rsidP="003365A5">
            <w:pPr>
              <w:pStyle w:val="Tabletextprimarysource"/>
            </w:pPr>
            <w:r>
              <w:t>No report</w:t>
            </w:r>
            <w:r w:rsidR="001F5FC9">
              <w:t>.</w:t>
            </w:r>
          </w:p>
        </w:tc>
      </w:tr>
      <w:tr w:rsidR="00DA352E" w:rsidRPr="00DA352E" w:rsidTr="00DE26E8">
        <w:trPr>
          <w:gridAfter w:val="1"/>
          <w:wAfter w:w="8" w:type="pct"/>
          <w:cantSplit/>
        </w:trPr>
        <w:tc>
          <w:tcPr>
            <w:tcW w:w="4992" w:type="pct"/>
            <w:shd w:val="clear" w:color="auto" w:fill="F2F2F2" w:themeFill="background1" w:themeFillShade="F2"/>
          </w:tcPr>
          <w:p w:rsidR="00DA352E" w:rsidRPr="00DA352E" w:rsidRDefault="00DA352E" w:rsidP="0051509C">
            <w:pPr>
              <w:pStyle w:val="Tablerowheadingitalic"/>
              <w:tabs>
                <w:tab w:val="clear" w:pos="2268"/>
                <w:tab w:val="clear" w:pos="5670"/>
                <w:tab w:val="left" w:pos="1418"/>
                <w:tab w:val="left" w:pos="2552"/>
              </w:tabs>
            </w:pPr>
            <w:r w:rsidRPr="00DA352E">
              <w:t>HCOTN</w:t>
            </w:r>
            <w:r w:rsidR="00916EC0" w:rsidRPr="003365A5">
              <w:t xml:space="preserve"> </w:t>
            </w:r>
            <w:r w:rsidR="00916EC0" w:rsidRPr="003365A5">
              <w:tab/>
            </w:r>
            <w:sdt>
              <w:sdtPr>
                <w:id w:val="1543090908"/>
                <w:placeholder>
                  <w:docPart w:val="EA1708404F1C4A3BB080A0D8EEB67D1D"/>
                </w:placeholder>
                <w:text/>
              </w:sdtPr>
              <w:sdtEndPr/>
              <w:sdtContent>
                <w:r w:rsidR="00A537AB">
                  <w:t>NA</w:t>
                </w:r>
              </w:sdtContent>
            </w:sdt>
            <w:r w:rsidR="00916EC0" w:rsidRPr="003365A5">
              <w:tab/>
            </w:r>
            <w:r w:rsidR="0051509C">
              <w:tab/>
            </w:r>
            <w:sdt>
              <w:sdtPr>
                <w:alias w:val="HCOTN WES equivalent"/>
                <w:tag w:val="HCOTN WES equivalent"/>
                <w:id w:val="1471562734"/>
                <w:placeholder>
                  <w:docPart w:val="F3D4204BA37A4A21A656C76DA4274412"/>
                </w:placeholder>
              </w:sdtPr>
              <w:sdtEndPr/>
              <w:sdtContent>
                <w:sdt>
                  <w:sdtPr>
                    <w:id w:val="1511022514"/>
                    <w:placeholder>
                      <w:docPart w:val="F3352181144745968532811783336490"/>
                    </w:placeholder>
                    <w:text/>
                  </w:sdtPr>
                  <w:sdtEndPr/>
                  <w:sdtContent>
                    <w:r w:rsidR="00A537AB">
                      <w:t>NA</w:t>
                    </w:r>
                  </w:sdtContent>
                </w:sdt>
              </w:sdtContent>
            </w:sdt>
          </w:p>
        </w:tc>
      </w:tr>
      <w:tr w:rsidR="00DA352E" w:rsidRPr="00DA352E" w:rsidTr="00DE26E8">
        <w:trPr>
          <w:gridAfter w:val="1"/>
          <w:wAfter w:w="8" w:type="pct"/>
          <w:cantSplit/>
        </w:trPr>
        <w:tc>
          <w:tcPr>
            <w:tcW w:w="4992" w:type="pct"/>
          </w:tcPr>
          <w:p w:rsidR="00DA352E" w:rsidRPr="00DA352E" w:rsidRDefault="00A537AB" w:rsidP="003365A5">
            <w:pPr>
              <w:pStyle w:val="Tabletextprimarysource"/>
            </w:pPr>
            <w:r>
              <w:t>No report</w:t>
            </w:r>
            <w:r w:rsidR="001F5FC9">
              <w:t>.</w:t>
            </w:r>
          </w:p>
        </w:tc>
      </w:tr>
    </w:tbl>
    <w:p w:rsidR="00A20751" w:rsidRPr="004C23F4" w:rsidRDefault="00A20751" w:rsidP="003365A5">
      <w:pPr>
        <w:pStyle w:val="Heading3"/>
      </w:pPr>
      <w:bookmarkStart w:id="0" w:name="SecondSource"/>
      <w:r w:rsidRPr="004C23F4">
        <w:t xml:space="preserve">Secondary </w:t>
      </w:r>
      <w:r w:rsidR="0088798F">
        <w:t xml:space="preserve">source reports relied upon </w:t>
      </w:r>
    </w:p>
    <w:tbl>
      <w:tblPr>
        <w:tblStyle w:val="LightList"/>
        <w:tblW w:w="0" w:type="auto"/>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tblBorders>
        <w:tblLook w:val="0600" w:firstRow="0" w:lastRow="0" w:firstColumn="0" w:lastColumn="0" w:noHBand="1" w:noVBand="1"/>
        <w:tblCaption w:val="Table"/>
        <w:tblDescription w:val="Listing secondary sources with reports"/>
      </w:tblPr>
      <w:tblGrid>
        <w:gridCol w:w="1494"/>
        <w:gridCol w:w="422"/>
        <w:gridCol w:w="661"/>
        <w:gridCol w:w="6449"/>
      </w:tblGrid>
      <w:tr w:rsidR="004966BF" w:rsidRPr="00263255" w:rsidTr="007B65A7">
        <w:trPr>
          <w:cantSplit/>
          <w:trHeight w:val="393"/>
          <w:tblHeader/>
        </w:trPr>
        <w:tc>
          <w:tcPr>
            <w:tcW w:w="1494" w:type="dxa"/>
            <w:shd w:val="clear" w:color="auto" w:fill="BFBFBF" w:themeFill="background1" w:themeFillShade="BF"/>
            <w:vAlign w:val="center"/>
          </w:tcPr>
          <w:p w:rsidR="004966BF" w:rsidRPr="00263255" w:rsidRDefault="004966BF" w:rsidP="00263255">
            <w:pPr>
              <w:pStyle w:val="Tableheader"/>
            </w:pPr>
            <w:r w:rsidRPr="00263255">
              <w:t>Source</w:t>
            </w:r>
          </w:p>
        </w:tc>
        <w:tc>
          <w:tcPr>
            <w:tcW w:w="422" w:type="dxa"/>
            <w:shd w:val="clear" w:color="auto" w:fill="BFBFBF" w:themeFill="background1" w:themeFillShade="BF"/>
            <w:vAlign w:val="center"/>
          </w:tcPr>
          <w:p w:rsidR="004966BF" w:rsidRPr="00263255" w:rsidRDefault="004966BF" w:rsidP="00263255">
            <w:pPr>
              <w:pStyle w:val="Tableheader"/>
            </w:pPr>
          </w:p>
        </w:tc>
        <w:tc>
          <w:tcPr>
            <w:tcW w:w="661" w:type="dxa"/>
            <w:shd w:val="clear" w:color="auto" w:fill="BFBFBF" w:themeFill="background1" w:themeFillShade="BF"/>
            <w:vAlign w:val="center"/>
          </w:tcPr>
          <w:p w:rsidR="004966BF" w:rsidRPr="00263255" w:rsidRDefault="004966BF" w:rsidP="00263255">
            <w:pPr>
              <w:pStyle w:val="Tableheader"/>
            </w:pPr>
            <w:r>
              <w:t>Year</w:t>
            </w:r>
          </w:p>
        </w:tc>
        <w:tc>
          <w:tcPr>
            <w:tcW w:w="6449" w:type="dxa"/>
            <w:shd w:val="clear" w:color="auto" w:fill="BFBFBF" w:themeFill="background1" w:themeFillShade="BF"/>
            <w:vAlign w:val="center"/>
          </w:tcPr>
          <w:p w:rsidR="004966BF" w:rsidRPr="00263255" w:rsidRDefault="004966BF" w:rsidP="00263255">
            <w:pPr>
              <w:pStyle w:val="Tableheader"/>
            </w:pPr>
            <w:r>
              <w:t>Additional information</w:t>
            </w:r>
          </w:p>
        </w:tc>
      </w:tr>
      <w:tr w:rsidR="004966BF" w:rsidRPr="004C23F4" w:rsidTr="007B65A7">
        <w:trPr>
          <w:cantSplit/>
        </w:trPr>
        <w:tc>
          <w:tcPr>
            <w:tcW w:w="1494" w:type="dxa"/>
          </w:tcPr>
          <w:p w:rsidR="004966BF" w:rsidRPr="004C23F4" w:rsidRDefault="004966BF" w:rsidP="00224EE2">
            <w:pPr>
              <w:pStyle w:val="Tablefont"/>
            </w:pPr>
            <w:r>
              <w:t>HSE</w:t>
            </w:r>
          </w:p>
        </w:tc>
        <w:tc>
          <w:tcPr>
            <w:tcW w:w="422" w:type="dxa"/>
          </w:tcPr>
          <w:p w:rsidR="004966BF" w:rsidRPr="00CE617F" w:rsidRDefault="001F256E" w:rsidP="00AB43C4">
            <w:pPr>
              <w:spacing w:before="40"/>
              <w:jc w:val="center"/>
              <w:rPr>
                <w:rStyle w:val="checkbox"/>
              </w:rPr>
            </w:pPr>
            <w:sdt>
              <w:sdtPr>
                <w:rPr>
                  <w:rStyle w:val="checkbox"/>
                </w:rPr>
                <w:id w:val="-1382551732"/>
                <w:placeholder>
                  <w:docPart w:val="8DD754E365844A4E82EC69A07E229629"/>
                </w:placeholder>
                <w:dropDownList>
                  <w:listItem w:displayText="" w:value=""/>
                  <w:listItem w:displayText="" w:value=""/>
                  <w:listItem w:displayText="" w:value=""/>
                </w:dropDownList>
              </w:sdtPr>
              <w:sdtEndPr>
                <w:rPr>
                  <w:rStyle w:val="checkbox"/>
                </w:rPr>
              </w:sdtEndPr>
              <w:sdtContent>
                <w:r w:rsidR="00E35527">
                  <w:rPr>
                    <w:rStyle w:val="checkbox"/>
                  </w:rPr>
                  <w:t></w:t>
                </w:r>
              </w:sdtContent>
            </w:sdt>
          </w:p>
        </w:tc>
        <w:tc>
          <w:tcPr>
            <w:tcW w:w="661" w:type="dxa"/>
          </w:tcPr>
          <w:p w:rsidR="004966BF" w:rsidRPr="004C23F4" w:rsidRDefault="00E35527" w:rsidP="00717D45">
            <w:pPr>
              <w:pStyle w:val="Tablefont"/>
            </w:pPr>
            <w:r>
              <w:t>2002</w:t>
            </w:r>
          </w:p>
        </w:tc>
        <w:tc>
          <w:tcPr>
            <w:tcW w:w="6449" w:type="dxa"/>
          </w:tcPr>
          <w:p w:rsidR="004966BF" w:rsidRPr="001E0078" w:rsidRDefault="00E35527" w:rsidP="00DE2A0E">
            <w:pPr>
              <w:pStyle w:val="ListBullet"/>
              <w:spacing w:before="60" w:after="60"/>
              <w:ind w:left="714" w:hanging="357"/>
              <w:contextualSpacing w:val="0"/>
            </w:pPr>
            <w:r w:rsidRPr="00DE2A0E">
              <w:rPr>
                <w:rStyle w:val="checkbox"/>
                <w:rFonts w:ascii="Arial" w:hAnsi="Arial" w:cs="Arial"/>
              </w:rPr>
              <w:t>8</w:t>
            </w:r>
            <w:r w:rsidR="001E0078" w:rsidRPr="00DE2A0E">
              <w:rPr>
                <w:rStyle w:val="checkbox"/>
                <w:rFonts w:ascii="Arial" w:hAnsi="Arial" w:cs="Arial"/>
              </w:rPr>
              <w:t xml:space="preserve"> </w:t>
            </w:r>
            <w:r w:rsidRPr="00DE2A0E">
              <w:rPr>
                <w:rStyle w:val="checkbox"/>
                <w:rFonts w:ascii="Arial" w:hAnsi="Arial" w:cs="Arial"/>
              </w:rPr>
              <w:t>h TWA: 0.5 mg/m</w:t>
            </w:r>
            <w:r w:rsidRPr="00A61DCC">
              <w:rPr>
                <w:rStyle w:val="checkbox"/>
                <w:rFonts w:ascii="Arial" w:hAnsi="Arial" w:cs="Arial"/>
                <w:vertAlign w:val="superscript"/>
              </w:rPr>
              <w:t>3</w:t>
            </w:r>
            <w:r w:rsidRPr="00DE2A0E">
              <w:rPr>
                <w:rStyle w:val="checkbox"/>
                <w:rFonts w:ascii="Arial" w:hAnsi="Arial" w:cs="Arial"/>
              </w:rPr>
              <w:t>; 15</w:t>
            </w:r>
            <w:r w:rsidR="001E0078" w:rsidRPr="00DE2A0E">
              <w:rPr>
                <w:rStyle w:val="checkbox"/>
                <w:rFonts w:ascii="Arial" w:hAnsi="Arial" w:cs="Arial"/>
              </w:rPr>
              <w:t xml:space="preserve"> </w:t>
            </w:r>
            <w:r w:rsidRPr="00DE2A0E">
              <w:rPr>
                <w:rStyle w:val="checkbox"/>
                <w:rFonts w:ascii="Arial" w:hAnsi="Arial" w:cs="Arial"/>
              </w:rPr>
              <w:t>min STEL: 1 mg/</w:t>
            </w:r>
            <w:r w:rsidR="00E4712A" w:rsidRPr="00DE2A0E">
              <w:rPr>
                <w:rStyle w:val="checkbox"/>
                <w:rFonts w:ascii="Arial" w:hAnsi="Arial" w:cs="Arial"/>
              </w:rPr>
              <w:t>m</w:t>
            </w:r>
            <w:r w:rsidR="00E4712A" w:rsidRPr="00DE2A0E">
              <w:rPr>
                <w:rStyle w:val="checkbox"/>
                <w:rFonts w:ascii="Arial" w:hAnsi="Arial" w:cs="Arial"/>
                <w:vertAlign w:val="superscript"/>
              </w:rPr>
              <w:t>3</w:t>
            </w:r>
            <w:r w:rsidR="001E0078" w:rsidRPr="00DE2A0E">
              <w:rPr>
                <w:rStyle w:val="checkbox"/>
                <w:rFonts w:ascii="Arial" w:hAnsi="Arial" w:cs="Arial"/>
              </w:rPr>
              <w:t>.</w:t>
            </w:r>
          </w:p>
        </w:tc>
      </w:tr>
      <w:tr w:rsidR="004966BF" w:rsidRPr="004C23F4" w:rsidTr="007B65A7">
        <w:trPr>
          <w:cantSplit/>
        </w:trPr>
        <w:tc>
          <w:tcPr>
            <w:tcW w:w="1494" w:type="dxa"/>
          </w:tcPr>
          <w:p w:rsidR="004966BF" w:rsidRPr="004C23F4" w:rsidRDefault="004966BF" w:rsidP="00224EE2">
            <w:pPr>
              <w:pStyle w:val="Tablefont"/>
            </w:pPr>
            <w:r>
              <w:t>NICNAS</w:t>
            </w:r>
          </w:p>
        </w:tc>
        <w:tc>
          <w:tcPr>
            <w:tcW w:w="422" w:type="dxa"/>
          </w:tcPr>
          <w:p w:rsidR="004966BF" w:rsidRPr="00CE617F" w:rsidRDefault="001F256E" w:rsidP="00AB43C4">
            <w:pPr>
              <w:spacing w:before="40"/>
              <w:jc w:val="center"/>
              <w:rPr>
                <w:rStyle w:val="checkbox"/>
              </w:rPr>
            </w:pPr>
            <w:sdt>
              <w:sdtPr>
                <w:rPr>
                  <w:rStyle w:val="checkbox"/>
                </w:rPr>
                <w:id w:val="1234131032"/>
                <w:placeholder>
                  <w:docPart w:val="C2B44F29000D47BD8588D2D5E8DFA6C8"/>
                </w:placeholder>
                <w:dropDownList>
                  <w:listItem w:displayText="" w:value=""/>
                  <w:listItem w:displayText="" w:value=""/>
                  <w:listItem w:displayText="" w:value=""/>
                </w:dropDownList>
              </w:sdtPr>
              <w:sdtEndPr>
                <w:rPr>
                  <w:rStyle w:val="checkbox"/>
                </w:rPr>
              </w:sdtEndPr>
              <w:sdtContent>
                <w:r w:rsidR="00CE7724">
                  <w:rPr>
                    <w:rStyle w:val="checkbox"/>
                  </w:rPr>
                  <w:t></w:t>
                </w:r>
              </w:sdtContent>
            </w:sdt>
          </w:p>
        </w:tc>
        <w:tc>
          <w:tcPr>
            <w:tcW w:w="661" w:type="dxa"/>
          </w:tcPr>
          <w:p w:rsidR="004966BF" w:rsidRPr="004C23F4" w:rsidRDefault="00CE7724" w:rsidP="00717D45">
            <w:pPr>
              <w:pStyle w:val="Tablefont"/>
              <w:rPr>
                <w:rStyle w:val="checkbox"/>
                <w:rFonts w:ascii="Arial" w:hAnsi="Arial" w:cs="Arial"/>
              </w:rPr>
            </w:pPr>
            <w:r>
              <w:rPr>
                <w:rStyle w:val="checkbox"/>
                <w:rFonts w:ascii="Arial" w:hAnsi="Arial" w:cs="Arial"/>
              </w:rPr>
              <w:t>2018</w:t>
            </w:r>
          </w:p>
        </w:tc>
        <w:tc>
          <w:tcPr>
            <w:tcW w:w="6449" w:type="dxa"/>
          </w:tcPr>
          <w:p w:rsidR="004966BF" w:rsidRPr="004C23F4" w:rsidRDefault="00E35527" w:rsidP="00DE2A0E">
            <w:pPr>
              <w:pStyle w:val="ListBullet"/>
              <w:spacing w:before="60" w:after="60"/>
              <w:ind w:left="714" w:hanging="357"/>
              <w:contextualSpacing w:val="0"/>
              <w:rPr>
                <w:rStyle w:val="checkbox"/>
                <w:rFonts w:ascii="Arial" w:hAnsi="Arial" w:cs="Arial"/>
                <w:lang w:eastAsia="en-AU"/>
              </w:rPr>
            </w:pPr>
            <w:r>
              <w:rPr>
                <w:rStyle w:val="checkbox"/>
                <w:rFonts w:ascii="Arial" w:hAnsi="Arial" w:cs="Arial"/>
              </w:rPr>
              <w:t>Tier I assessment</w:t>
            </w:r>
            <w:r w:rsidR="00CE7724">
              <w:rPr>
                <w:rStyle w:val="checkbox"/>
                <w:rFonts w:ascii="Arial" w:hAnsi="Arial" w:cs="Arial"/>
              </w:rPr>
              <w:t xml:space="preserve">: </w:t>
            </w:r>
            <w:r w:rsidR="00CE7724" w:rsidRPr="00DE2A0E">
              <w:rPr>
                <w:rStyle w:val="checkbox"/>
                <w:rFonts w:ascii="Arial" w:hAnsi="Arial" w:cs="Arial"/>
              </w:rPr>
              <w:t>agricultural and therapeutic uses are excluded from assessment</w:t>
            </w:r>
            <w:r w:rsidR="001E0078" w:rsidRPr="00DE2A0E">
              <w:rPr>
                <w:rStyle w:val="checkbox"/>
                <w:rFonts w:ascii="Arial" w:hAnsi="Arial" w:cs="Arial"/>
              </w:rPr>
              <w:t>.</w:t>
            </w:r>
          </w:p>
        </w:tc>
      </w:tr>
      <w:tr w:rsidR="004966BF" w:rsidRPr="004C23F4" w:rsidTr="007B65A7">
        <w:trPr>
          <w:cantSplit/>
        </w:trPr>
        <w:tc>
          <w:tcPr>
            <w:tcW w:w="1494" w:type="dxa"/>
          </w:tcPr>
          <w:p w:rsidR="004966BF" w:rsidRPr="004C23F4" w:rsidRDefault="004966BF" w:rsidP="00224EE2">
            <w:pPr>
              <w:pStyle w:val="Tablefont"/>
            </w:pPr>
            <w:r>
              <w:t>US EPA</w:t>
            </w:r>
          </w:p>
        </w:tc>
        <w:tc>
          <w:tcPr>
            <w:tcW w:w="422" w:type="dxa"/>
          </w:tcPr>
          <w:p w:rsidR="004966BF" w:rsidRPr="00CE617F" w:rsidRDefault="001F256E" w:rsidP="00AB43C4">
            <w:pPr>
              <w:spacing w:before="40"/>
              <w:jc w:val="center"/>
              <w:rPr>
                <w:rStyle w:val="checkbox"/>
              </w:rPr>
            </w:pPr>
            <w:sdt>
              <w:sdtPr>
                <w:rPr>
                  <w:rStyle w:val="checkbox"/>
                </w:rPr>
                <w:id w:val="1015498594"/>
                <w:placeholder>
                  <w:docPart w:val="CFFDE270CB50461B826B0194984892C5"/>
                </w:placeholder>
                <w:dropDownList>
                  <w:listItem w:displayText="" w:value=""/>
                  <w:listItem w:displayText="" w:value=""/>
                  <w:listItem w:displayText="" w:value=""/>
                </w:dropDownList>
              </w:sdtPr>
              <w:sdtEndPr>
                <w:rPr>
                  <w:rStyle w:val="checkbox"/>
                </w:rPr>
              </w:sdtEndPr>
              <w:sdtContent>
                <w:r w:rsidR="00F131BE">
                  <w:rPr>
                    <w:rStyle w:val="checkbox"/>
                  </w:rPr>
                  <w:t></w:t>
                </w:r>
              </w:sdtContent>
            </w:sdt>
          </w:p>
        </w:tc>
        <w:tc>
          <w:tcPr>
            <w:tcW w:w="661" w:type="dxa"/>
          </w:tcPr>
          <w:p w:rsidR="004966BF" w:rsidRPr="004C23F4" w:rsidRDefault="000D025C" w:rsidP="00717D45">
            <w:pPr>
              <w:pStyle w:val="Tablefont"/>
              <w:rPr>
                <w:rStyle w:val="checkbox"/>
                <w:rFonts w:ascii="Arial" w:hAnsi="Arial" w:cs="Arial"/>
              </w:rPr>
            </w:pPr>
            <w:r>
              <w:rPr>
                <w:rStyle w:val="checkbox"/>
                <w:rFonts w:ascii="Arial" w:hAnsi="Arial" w:cs="Arial"/>
              </w:rPr>
              <w:t>1994</w:t>
            </w:r>
          </w:p>
        </w:tc>
        <w:tc>
          <w:tcPr>
            <w:tcW w:w="6449" w:type="dxa"/>
          </w:tcPr>
          <w:p w:rsidR="00CE7724" w:rsidRDefault="00CE7724" w:rsidP="00DE2A0E">
            <w:pPr>
              <w:pStyle w:val="ListBullet"/>
              <w:spacing w:before="60" w:after="60"/>
              <w:ind w:left="714" w:hanging="357"/>
              <w:contextualSpacing w:val="0"/>
              <w:rPr>
                <w:rStyle w:val="checkbox"/>
                <w:rFonts w:ascii="Arial" w:hAnsi="Arial" w:cs="Arial"/>
                <w:lang w:eastAsia="en-AU"/>
              </w:rPr>
            </w:pPr>
            <w:r>
              <w:rPr>
                <w:rStyle w:val="checkbox"/>
                <w:rFonts w:ascii="Arial" w:hAnsi="Arial" w:cs="Arial"/>
              </w:rPr>
              <w:t>Reference oral dose derived from same studies as reported in ACGIH (2018)</w:t>
            </w:r>
            <w:r w:rsidR="00F131BE">
              <w:rPr>
                <w:rStyle w:val="checkbox"/>
                <w:rFonts w:ascii="Arial" w:hAnsi="Arial" w:cs="Arial"/>
              </w:rPr>
              <w:t>; additional teratology study reports (rabbits, no further experimental details provided):</w:t>
            </w:r>
          </w:p>
          <w:p w:rsidR="00F131BE" w:rsidRDefault="002B6B1B" w:rsidP="00DE2A0E">
            <w:pPr>
              <w:pStyle w:val="ListBullet"/>
              <w:numPr>
                <w:ilvl w:val="0"/>
                <w:numId w:val="4"/>
              </w:numPr>
              <w:spacing w:before="60" w:after="60"/>
              <w:ind w:left="1094" w:hanging="357"/>
              <w:contextualSpacing w:val="0"/>
              <w:rPr>
                <w:rStyle w:val="checkbox"/>
                <w:rFonts w:ascii="Arial" w:hAnsi="Arial" w:cs="Arial"/>
              </w:rPr>
            </w:pPr>
            <w:r>
              <w:rPr>
                <w:rStyle w:val="checkbox"/>
                <w:rFonts w:ascii="Arial" w:hAnsi="Arial" w:cs="Arial"/>
              </w:rPr>
              <w:t>s</w:t>
            </w:r>
            <w:r w:rsidR="00F131BE">
              <w:rPr>
                <w:rStyle w:val="checkbox"/>
                <w:rFonts w:ascii="Arial" w:hAnsi="Arial" w:cs="Arial"/>
              </w:rPr>
              <w:t xml:space="preserve">ystemic NOEL of </w:t>
            </w:r>
            <w:r w:rsidR="00CE7724" w:rsidRPr="00CE7724">
              <w:rPr>
                <w:rStyle w:val="checkbox"/>
                <w:rFonts w:ascii="Arial" w:hAnsi="Arial" w:cs="Arial"/>
              </w:rPr>
              <w:t xml:space="preserve">1.25 mg/kg/day </w:t>
            </w:r>
          </w:p>
          <w:p w:rsidR="004966BF" w:rsidRDefault="002B6B1B" w:rsidP="00DE2A0E">
            <w:pPr>
              <w:pStyle w:val="ListBullet"/>
              <w:numPr>
                <w:ilvl w:val="0"/>
                <w:numId w:val="4"/>
              </w:numPr>
              <w:spacing w:before="60" w:after="60"/>
              <w:ind w:left="1094" w:hanging="357"/>
              <w:contextualSpacing w:val="0"/>
              <w:rPr>
                <w:rStyle w:val="checkbox"/>
                <w:rFonts w:ascii="Arial" w:hAnsi="Arial" w:cs="Arial"/>
              </w:rPr>
            </w:pPr>
            <w:r>
              <w:rPr>
                <w:rStyle w:val="checkbox"/>
                <w:rFonts w:ascii="Arial" w:hAnsi="Arial" w:cs="Arial"/>
              </w:rPr>
              <w:t>t</w:t>
            </w:r>
            <w:r w:rsidR="00F131BE">
              <w:rPr>
                <w:rStyle w:val="checkbox"/>
                <w:rFonts w:ascii="Arial" w:hAnsi="Arial" w:cs="Arial"/>
              </w:rPr>
              <w:t xml:space="preserve">eratogenic NOEL of </w:t>
            </w:r>
            <w:r w:rsidR="00CE7724" w:rsidRPr="00CE7724">
              <w:rPr>
                <w:rStyle w:val="checkbox"/>
                <w:rFonts w:ascii="Arial" w:hAnsi="Arial" w:cs="Arial"/>
              </w:rPr>
              <w:t>5.0 mg/kg/day</w:t>
            </w:r>
            <w:r w:rsidR="00CE7724">
              <w:rPr>
                <w:rStyle w:val="checkbox"/>
                <w:rFonts w:ascii="Arial" w:hAnsi="Arial" w:cs="Arial"/>
              </w:rPr>
              <w:t xml:space="preserve"> </w:t>
            </w:r>
            <w:r w:rsidR="00F131BE">
              <w:rPr>
                <w:rStyle w:val="checkbox"/>
                <w:rFonts w:ascii="Arial" w:hAnsi="Arial" w:cs="Arial"/>
              </w:rPr>
              <w:t>for m</w:t>
            </w:r>
            <w:r w:rsidR="000D025C">
              <w:rPr>
                <w:rStyle w:val="checkbox"/>
                <w:rFonts w:ascii="Arial" w:hAnsi="Arial" w:cs="Arial"/>
              </w:rPr>
              <w:t>aternal weight loss</w:t>
            </w:r>
          </w:p>
          <w:p w:rsidR="007E6093" w:rsidRDefault="000D025C" w:rsidP="00DE2A0E">
            <w:pPr>
              <w:pStyle w:val="ListBullet"/>
              <w:spacing w:before="60" w:after="60"/>
              <w:ind w:left="714" w:hanging="357"/>
              <w:contextualSpacing w:val="0"/>
              <w:rPr>
                <w:rStyle w:val="checkbox"/>
                <w:rFonts w:ascii="Arial" w:hAnsi="Arial" w:cs="Arial"/>
              </w:rPr>
            </w:pPr>
            <w:r>
              <w:rPr>
                <w:rStyle w:val="checkbox"/>
                <w:rFonts w:ascii="Arial" w:hAnsi="Arial" w:cs="Arial"/>
              </w:rPr>
              <w:t>Carcinogenicity not evaluated</w:t>
            </w:r>
          </w:p>
          <w:p w:rsidR="000D025C" w:rsidRPr="004C23F4" w:rsidRDefault="000D77E6" w:rsidP="00DE2A0E">
            <w:pPr>
              <w:pStyle w:val="ListBullet"/>
              <w:spacing w:before="60" w:after="60"/>
              <w:ind w:left="714" w:hanging="357"/>
              <w:contextualSpacing w:val="0"/>
              <w:rPr>
                <w:rStyle w:val="checkbox"/>
                <w:rFonts w:ascii="Arial" w:hAnsi="Arial" w:cs="Arial"/>
              </w:rPr>
            </w:pPr>
            <w:r>
              <w:rPr>
                <w:rStyle w:val="checkbox"/>
                <w:rFonts w:ascii="Arial" w:hAnsi="Arial" w:cs="Arial"/>
              </w:rPr>
              <w:t>Sensitisation potential not discussed</w:t>
            </w:r>
            <w:r w:rsidR="002B6B1B">
              <w:rPr>
                <w:rStyle w:val="checkbox"/>
                <w:rFonts w:ascii="Arial" w:hAnsi="Arial" w:cs="Arial"/>
              </w:rPr>
              <w:t>.</w:t>
            </w:r>
          </w:p>
        </w:tc>
      </w:tr>
      <w:tr w:rsidR="004966BF" w:rsidRPr="004C23F4" w:rsidTr="007B65A7">
        <w:trPr>
          <w:cantSplit/>
        </w:trPr>
        <w:tc>
          <w:tcPr>
            <w:tcW w:w="1494" w:type="dxa"/>
          </w:tcPr>
          <w:p w:rsidR="004966BF" w:rsidRPr="004C23F4" w:rsidRDefault="004966BF" w:rsidP="00224EE2">
            <w:pPr>
              <w:pStyle w:val="Tablefont"/>
            </w:pPr>
            <w:r>
              <w:t>ECHA</w:t>
            </w:r>
          </w:p>
        </w:tc>
        <w:tc>
          <w:tcPr>
            <w:tcW w:w="422" w:type="dxa"/>
          </w:tcPr>
          <w:p w:rsidR="004966BF" w:rsidRPr="00CE617F" w:rsidRDefault="001F256E" w:rsidP="00AB43C4">
            <w:pPr>
              <w:spacing w:before="40"/>
              <w:jc w:val="center"/>
              <w:rPr>
                <w:rStyle w:val="checkbox"/>
              </w:rPr>
            </w:pPr>
            <w:sdt>
              <w:sdtPr>
                <w:rPr>
                  <w:rStyle w:val="checkbox"/>
                </w:rPr>
                <w:id w:val="-2066787458"/>
                <w:placeholder>
                  <w:docPart w:val="EA32968BF93744FAABC5FC124DBE04BD"/>
                </w:placeholder>
                <w:dropDownList>
                  <w:listItem w:displayText="" w:value=""/>
                  <w:listItem w:displayText="" w:value=""/>
                  <w:listItem w:displayText="" w:value=""/>
                </w:dropDownList>
              </w:sdtPr>
              <w:sdtEndPr>
                <w:rPr>
                  <w:rStyle w:val="checkbox"/>
                </w:rPr>
              </w:sdtEndPr>
              <w:sdtContent>
                <w:r w:rsidR="000D77E6">
                  <w:rPr>
                    <w:rStyle w:val="checkbox"/>
                  </w:rPr>
                  <w:t></w:t>
                </w:r>
              </w:sdtContent>
            </w:sdt>
          </w:p>
        </w:tc>
        <w:tc>
          <w:tcPr>
            <w:tcW w:w="661" w:type="dxa"/>
          </w:tcPr>
          <w:p w:rsidR="004966BF" w:rsidRPr="004C23F4" w:rsidRDefault="000D77E6" w:rsidP="00717D45">
            <w:pPr>
              <w:pStyle w:val="Tablefont"/>
              <w:rPr>
                <w:rStyle w:val="checkbox"/>
                <w:rFonts w:ascii="Arial" w:hAnsi="Arial" w:cs="Arial"/>
              </w:rPr>
            </w:pPr>
            <w:r>
              <w:rPr>
                <w:rStyle w:val="checkbox"/>
                <w:rFonts w:ascii="Arial" w:hAnsi="Arial" w:cs="Arial"/>
              </w:rPr>
              <w:t>2019</w:t>
            </w:r>
          </w:p>
        </w:tc>
        <w:tc>
          <w:tcPr>
            <w:tcW w:w="6449" w:type="dxa"/>
          </w:tcPr>
          <w:p w:rsidR="004966BF" w:rsidRPr="004C23F4" w:rsidRDefault="000D77E6" w:rsidP="00DE2A0E">
            <w:pPr>
              <w:pStyle w:val="ListBullet"/>
              <w:spacing w:before="60" w:after="60"/>
              <w:ind w:left="714" w:hanging="357"/>
              <w:contextualSpacing w:val="0"/>
              <w:rPr>
                <w:rStyle w:val="checkbox"/>
                <w:rFonts w:ascii="Arial" w:hAnsi="Arial" w:cs="Arial"/>
                <w:lang w:eastAsia="en-AU"/>
              </w:rPr>
            </w:pPr>
            <w:r>
              <w:rPr>
                <w:rStyle w:val="checkbox"/>
                <w:rFonts w:ascii="Arial" w:hAnsi="Arial" w:cs="Arial"/>
              </w:rPr>
              <w:t>M</w:t>
            </w:r>
            <w:r w:rsidR="00F131BE" w:rsidRPr="00F131BE">
              <w:rPr>
                <w:rStyle w:val="checkbox"/>
                <w:rFonts w:ascii="Arial" w:hAnsi="Arial" w:cs="Arial"/>
              </w:rPr>
              <w:t xml:space="preserve">ay cause an allergic skin reaction and </w:t>
            </w:r>
            <w:r w:rsidR="00F131BE">
              <w:rPr>
                <w:rStyle w:val="checkbox"/>
                <w:rFonts w:ascii="Arial" w:hAnsi="Arial" w:cs="Arial"/>
              </w:rPr>
              <w:t>respiratory irritation (no further information provided)</w:t>
            </w:r>
            <w:r w:rsidR="001E0078">
              <w:rPr>
                <w:rStyle w:val="checkbox"/>
                <w:rFonts w:ascii="Arial" w:hAnsi="Arial" w:cs="Arial"/>
              </w:rPr>
              <w:t>.</w:t>
            </w:r>
          </w:p>
        </w:tc>
      </w:tr>
    </w:tbl>
    <w:bookmarkEnd w:id="0"/>
    <w:p w:rsidR="007E2A4B" w:rsidRDefault="007E2A4B" w:rsidP="00DE2A0E">
      <w:pPr>
        <w:pStyle w:val="Heading3"/>
        <w:keepNext w:val="0"/>
      </w:pPr>
      <w:r>
        <w:t>Carcinogenicity — non-threshold based genotoxic carcinogens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Listing secondary sources with reports"/>
      </w:tblPr>
      <w:tblGrid>
        <w:gridCol w:w="6597"/>
        <w:gridCol w:w="2429"/>
      </w:tblGrid>
      <w:tr w:rsidR="002E0D61" w:rsidTr="00460BDA">
        <w:trPr>
          <w:trHeight w:val="454"/>
          <w:tblHeader/>
        </w:trPr>
        <w:tc>
          <w:tcPr>
            <w:tcW w:w="6597" w:type="dxa"/>
            <w:vAlign w:val="center"/>
          </w:tcPr>
          <w:p w:rsidR="002E0D61" w:rsidRDefault="00B1422A" w:rsidP="00DE2A0E">
            <w:pPr>
              <w:pStyle w:val="Tablefont"/>
              <w:spacing w:before="40" w:after="40"/>
            </w:pPr>
            <w:bookmarkStart w:id="1" w:name="GCQuest"/>
            <w:r>
              <w:t>Is the chemical mutagenic</w:t>
            </w:r>
            <w:r w:rsidR="002E0D61">
              <w:t>?</w:t>
            </w:r>
          </w:p>
        </w:tc>
        <w:sdt>
          <w:sdtPr>
            <w:id w:val="319705052"/>
            <w:placeholder>
              <w:docPart w:val="0168237C60E6479CAFA3D9A1A8409B78"/>
            </w:placeholder>
            <w:comboBox>
              <w:listItem w:value="Choose an item."/>
              <w:listItem w:displayText="Yes" w:value="Yes"/>
              <w:listItem w:displayText="No" w:value="No"/>
              <w:listItem w:displayText="Insufficient data" w:value="Insufficient data"/>
            </w:comboBox>
          </w:sdtPr>
          <w:sdtEndPr/>
          <w:sdtContent>
            <w:tc>
              <w:tcPr>
                <w:tcW w:w="2429" w:type="dxa"/>
                <w:vAlign w:val="center"/>
              </w:tcPr>
              <w:p w:rsidR="002E0D61" w:rsidRDefault="00460BDA" w:rsidP="00DE2A0E">
                <w:pPr>
                  <w:pStyle w:val="Tablefont"/>
                  <w:spacing w:before="40" w:after="40"/>
                </w:pPr>
                <w:r>
                  <w:t>Insufficient data</w:t>
                </w:r>
              </w:p>
            </w:tc>
          </w:sdtContent>
        </w:sdt>
      </w:tr>
      <w:tr w:rsidR="008A36CF" w:rsidTr="00460BDA">
        <w:trPr>
          <w:trHeight w:val="454"/>
        </w:trPr>
        <w:tc>
          <w:tcPr>
            <w:tcW w:w="6597" w:type="dxa"/>
            <w:vAlign w:val="center"/>
          </w:tcPr>
          <w:p w:rsidR="008A36CF" w:rsidRDefault="008A36CF" w:rsidP="00DE2A0E">
            <w:pPr>
              <w:pStyle w:val="Tablefont"/>
              <w:spacing w:before="40" w:after="40"/>
            </w:pPr>
            <w:r>
              <w:t>Is the chemical carcinogenic with a mutagenic mechanism of action?</w:t>
            </w:r>
          </w:p>
        </w:tc>
        <w:sdt>
          <w:sdtPr>
            <w:id w:val="-1035572737"/>
            <w:placeholder>
              <w:docPart w:val="5CBFEC560F894890BBD09B93174FFAE0"/>
            </w:placeholder>
            <w:comboBox>
              <w:listItem w:value="Choose an item."/>
              <w:listItem w:displayText="Yes" w:value="Yes"/>
              <w:listItem w:displayText="No" w:value="No"/>
              <w:listItem w:displayText="Insufficient data" w:value="Insufficient data"/>
              <w:listItem w:displayText="NA" w:value="NA"/>
            </w:comboBox>
          </w:sdtPr>
          <w:sdtEndPr/>
          <w:sdtContent>
            <w:tc>
              <w:tcPr>
                <w:tcW w:w="2429" w:type="dxa"/>
                <w:vAlign w:val="center"/>
              </w:tcPr>
              <w:p w:rsidR="008A36CF" w:rsidRDefault="00460BDA" w:rsidP="00DE2A0E">
                <w:pPr>
                  <w:pStyle w:val="Tablefont"/>
                  <w:spacing w:before="40" w:after="40"/>
                </w:pPr>
                <w:r>
                  <w:t>No</w:t>
                </w:r>
              </w:p>
            </w:tc>
          </w:sdtContent>
        </w:sdt>
      </w:tr>
      <w:tr w:rsidR="008A36CF" w:rsidTr="00460BDA">
        <w:trPr>
          <w:trHeight w:val="454"/>
        </w:trPr>
        <w:sdt>
          <w:sdtPr>
            <w:rPr>
              <w:b/>
            </w:rPr>
            <w:id w:val="1830936485"/>
            <w:placeholder>
              <w:docPart w:val="CAD2D506A5824AB88D896BC2795BCEDE"/>
            </w:placeholder>
            <w:dropDownList>
              <w:listItem w:value="Choose an item."/>
              <w:listItem w:displayText="The chemical is a non-threshold based genotoxic carcinogen." w:value="The chemical is a non-threshold based genotoxic carcinogen."/>
              <w:listItem w:displayText="The chemical is not a non-threshold based genotoxic carcinogen." w:value="The chemical is not a non-threshold based genotoxic carcinogen."/>
              <w:listItem w:displayText="Insufficient data are available to determine if the chemical is a non-threshold based genotoxic carcinogen." w:value="Insufficient data are available to determine if the chemical is a non-threshold based genotoxic carcinogen."/>
            </w:dropDownList>
          </w:sdtPr>
          <w:sdtEndPr/>
          <w:sdtContent>
            <w:tc>
              <w:tcPr>
                <w:tcW w:w="6597" w:type="dxa"/>
                <w:vAlign w:val="center"/>
              </w:tcPr>
              <w:p w:rsidR="008A36CF" w:rsidRPr="006901A2" w:rsidRDefault="00460BDA" w:rsidP="00DE2A0E">
                <w:pPr>
                  <w:pStyle w:val="Tablefont"/>
                  <w:spacing w:before="40" w:after="40"/>
                  <w:rPr>
                    <w:b/>
                  </w:rPr>
                </w:pPr>
                <w:r>
                  <w:rPr>
                    <w:b/>
                  </w:rPr>
                  <w:t>The chemical is not a non-threshold based genotoxic carcinogen.</w:t>
                </w:r>
              </w:p>
            </w:tc>
          </w:sdtContent>
        </w:sdt>
        <w:tc>
          <w:tcPr>
            <w:tcW w:w="2429" w:type="dxa"/>
            <w:vAlign w:val="center"/>
          </w:tcPr>
          <w:p w:rsidR="008A36CF" w:rsidRDefault="008A36CF" w:rsidP="00DE2A0E">
            <w:pPr>
              <w:pStyle w:val="Tablefont"/>
              <w:spacing w:before="40" w:after="40"/>
            </w:pPr>
          </w:p>
        </w:tc>
      </w:tr>
    </w:tbl>
    <w:bookmarkEnd w:id="1"/>
    <w:p w:rsidR="00687890" w:rsidRPr="004C23F4" w:rsidRDefault="00B479A9" w:rsidP="00474E33">
      <w:pPr>
        <w:pStyle w:val="Heading2"/>
      </w:pPr>
      <w:r w:rsidRPr="004C23F4">
        <w:lastRenderedPageBreak/>
        <w:t>Notations</w:t>
      </w:r>
    </w:p>
    <w:tbl>
      <w:tblPr>
        <w:tblStyle w:val="LightList"/>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tblBorders>
        <w:tblLayout w:type="fixed"/>
        <w:tblLook w:val="0600" w:firstRow="0" w:lastRow="0" w:firstColumn="0" w:lastColumn="0" w:noHBand="1" w:noVBand="1"/>
        <w:tblCaption w:val="Table"/>
        <w:tblDescription w:val="Listing notations"/>
      </w:tblPr>
      <w:tblGrid>
        <w:gridCol w:w="3153"/>
        <w:gridCol w:w="5873"/>
      </w:tblGrid>
      <w:tr w:rsidR="00687890" w:rsidRPr="004C23F4" w:rsidTr="00812887">
        <w:trPr>
          <w:cantSplit/>
          <w:tblHeader/>
        </w:trPr>
        <w:tc>
          <w:tcPr>
            <w:tcW w:w="3227" w:type="dxa"/>
            <w:shd w:val="clear" w:color="auto" w:fill="BFBFBF" w:themeFill="background1" w:themeFillShade="BF"/>
            <w:vAlign w:val="center"/>
          </w:tcPr>
          <w:p w:rsidR="00687890" w:rsidRPr="004C23F4" w:rsidRDefault="00687890" w:rsidP="00263255">
            <w:pPr>
              <w:pStyle w:val="Tableheader"/>
            </w:pPr>
            <w:bookmarkStart w:id="2" w:name="Notations"/>
            <w:r w:rsidRPr="004C23F4">
              <w:t>Source</w:t>
            </w:r>
          </w:p>
        </w:tc>
        <w:tc>
          <w:tcPr>
            <w:tcW w:w="6015" w:type="dxa"/>
            <w:shd w:val="clear" w:color="auto" w:fill="BFBFBF" w:themeFill="background1" w:themeFillShade="BF"/>
            <w:vAlign w:val="center"/>
          </w:tcPr>
          <w:p w:rsidR="00687890" w:rsidRPr="004C23F4" w:rsidRDefault="00687890" w:rsidP="00F4402E">
            <w:pPr>
              <w:pStyle w:val="Tableheader"/>
              <w:tabs>
                <w:tab w:val="right" w:pos="5272"/>
              </w:tabs>
            </w:pPr>
            <w:r w:rsidRPr="004C23F4">
              <w:t>Notations</w:t>
            </w:r>
            <w:r w:rsidR="003A2B94">
              <w:tab/>
            </w:r>
          </w:p>
        </w:tc>
      </w:tr>
      <w:tr w:rsidR="00687890" w:rsidRPr="004C23F4" w:rsidTr="00812887">
        <w:trPr>
          <w:cantSplit/>
        </w:trPr>
        <w:tc>
          <w:tcPr>
            <w:tcW w:w="3227" w:type="dxa"/>
          </w:tcPr>
          <w:p w:rsidR="004079B4" w:rsidRPr="004C23F4" w:rsidRDefault="00084513" w:rsidP="00F4402E">
            <w:pPr>
              <w:pStyle w:val="Tablefont"/>
            </w:pPr>
            <w:r w:rsidRPr="004C23F4">
              <w:t>SWA</w:t>
            </w:r>
          </w:p>
        </w:tc>
        <w:tc>
          <w:tcPr>
            <w:tcW w:w="6015" w:type="dxa"/>
          </w:tcPr>
          <w:p w:rsidR="00687890" w:rsidRPr="00DD2F9B" w:rsidRDefault="00A537AB" w:rsidP="00DD2F9B">
            <w:pPr>
              <w:pStyle w:val="Tablefont"/>
            </w:pPr>
            <w:r w:rsidRPr="00A537AB">
              <w:t>Sen</w:t>
            </w:r>
          </w:p>
        </w:tc>
      </w:tr>
      <w:tr w:rsidR="007925F0" w:rsidRPr="004C23F4" w:rsidTr="00812887">
        <w:trPr>
          <w:cantSplit/>
        </w:trPr>
        <w:tc>
          <w:tcPr>
            <w:tcW w:w="3227" w:type="dxa"/>
          </w:tcPr>
          <w:p w:rsidR="004079B4" w:rsidRPr="004C23F4" w:rsidRDefault="007925F0" w:rsidP="00F4402E">
            <w:pPr>
              <w:pStyle w:val="Tablefont"/>
            </w:pPr>
            <w:r>
              <w:t>HCIS</w:t>
            </w:r>
          </w:p>
        </w:tc>
        <w:tc>
          <w:tcPr>
            <w:tcW w:w="6015" w:type="dxa"/>
          </w:tcPr>
          <w:p w:rsidR="007925F0" w:rsidRPr="00DD2F9B" w:rsidRDefault="00A537AB" w:rsidP="00DD2F9B">
            <w:pPr>
              <w:pStyle w:val="Tablefont"/>
            </w:pPr>
            <w:r w:rsidRPr="00A537AB">
              <w:t>Skin sensitisation – category 1</w:t>
            </w:r>
          </w:p>
        </w:tc>
      </w:tr>
      <w:tr w:rsidR="00AF483F" w:rsidRPr="004C23F4" w:rsidTr="00812887">
        <w:trPr>
          <w:cantSplit/>
        </w:trPr>
        <w:tc>
          <w:tcPr>
            <w:tcW w:w="3227" w:type="dxa"/>
          </w:tcPr>
          <w:p w:rsidR="00AF483F" w:rsidRPr="004C23F4" w:rsidRDefault="00AF483F" w:rsidP="00F4402E">
            <w:pPr>
              <w:pStyle w:val="Tablefont"/>
            </w:pPr>
            <w:r>
              <w:t>NICNAS</w:t>
            </w:r>
          </w:p>
        </w:tc>
        <w:tc>
          <w:tcPr>
            <w:tcW w:w="6015" w:type="dxa"/>
          </w:tcPr>
          <w:p w:rsidR="00AF483F" w:rsidRPr="00DD2F9B" w:rsidRDefault="00A537AB" w:rsidP="00DD2F9B">
            <w:pPr>
              <w:pStyle w:val="Tablefont"/>
            </w:pPr>
            <w:r>
              <w:t>NA</w:t>
            </w:r>
          </w:p>
        </w:tc>
      </w:tr>
      <w:tr w:rsidR="00687890" w:rsidRPr="004C23F4" w:rsidTr="00812887">
        <w:trPr>
          <w:cantSplit/>
        </w:trPr>
        <w:tc>
          <w:tcPr>
            <w:tcW w:w="3227" w:type="dxa"/>
          </w:tcPr>
          <w:p w:rsidR="004079B4" w:rsidRPr="004C23F4" w:rsidRDefault="00687890" w:rsidP="00F4402E">
            <w:pPr>
              <w:pStyle w:val="Tablefont"/>
            </w:pPr>
            <w:r w:rsidRPr="004C23F4">
              <w:t>EU Annex</w:t>
            </w:r>
          </w:p>
        </w:tc>
        <w:tc>
          <w:tcPr>
            <w:tcW w:w="6015" w:type="dxa"/>
          </w:tcPr>
          <w:p w:rsidR="00687890" w:rsidRPr="00DD2F9B" w:rsidRDefault="00A537AB" w:rsidP="00DD2F9B">
            <w:pPr>
              <w:pStyle w:val="Tablefont"/>
            </w:pPr>
            <w:r>
              <w:t>NA</w:t>
            </w:r>
          </w:p>
        </w:tc>
      </w:tr>
      <w:tr w:rsidR="00E41A26" w:rsidRPr="004C23F4" w:rsidTr="00812887">
        <w:trPr>
          <w:cantSplit/>
        </w:trPr>
        <w:tc>
          <w:tcPr>
            <w:tcW w:w="3227" w:type="dxa"/>
          </w:tcPr>
          <w:p w:rsidR="00E41A26" w:rsidRDefault="00E41A26" w:rsidP="00F4402E">
            <w:pPr>
              <w:pStyle w:val="Tablefont"/>
            </w:pPr>
            <w:r>
              <w:t>ECHA</w:t>
            </w:r>
          </w:p>
        </w:tc>
        <w:tc>
          <w:tcPr>
            <w:tcW w:w="6015" w:type="dxa"/>
          </w:tcPr>
          <w:p w:rsidR="00E41A26" w:rsidRPr="00DD2F9B" w:rsidRDefault="00A537AB" w:rsidP="00DD2F9B">
            <w:pPr>
              <w:pStyle w:val="Tablefont"/>
            </w:pPr>
            <w:r w:rsidRPr="00A537AB">
              <w:t>Skin Sens. 1</w:t>
            </w:r>
          </w:p>
        </w:tc>
      </w:tr>
      <w:tr w:rsidR="002E0D61" w:rsidRPr="004C23F4" w:rsidTr="00812887">
        <w:trPr>
          <w:cantSplit/>
        </w:trPr>
        <w:tc>
          <w:tcPr>
            <w:tcW w:w="3227" w:type="dxa"/>
          </w:tcPr>
          <w:p w:rsidR="004079B4" w:rsidRPr="004C23F4" w:rsidRDefault="002E0D61" w:rsidP="00F4402E">
            <w:pPr>
              <w:pStyle w:val="Tablefont"/>
            </w:pPr>
            <w:r>
              <w:t>ACGIH</w:t>
            </w:r>
          </w:p>
        </w:tc>
        <w:tc>
          <w:tcPr>
            <w:tcW w:w="6015" w:type="dxa"/>
          </w:tcPr>
          <w:p w:rsidR="002E0D61" w:rsidRPr="00DD2F9B" w:rsidRDefault="00A537AB" w:rsidP="00DD2F9B">
            <w:pPr>
              <w:pStyle w:val="Tablefont"/>
            </w:pPr>
            <w:r w:rsidRPr="00A537AB">
              <w:t>Carcinogenicity – A4</w:t>
            </w:r>
            <w:r>
              <w:t xml:space="preserve">, </w:t>
            </w:r>
            <w:r w:rsidRPr="00A537AB">
              <w:t>Skin</w:t>
            </w:r>
          </w:p>
        </w:tc>
      </w:tr>
      <w:tr w:rsidR="002E0D61" w:rsidRPr="004C23F4" w:rsidTr="00812887">
        <w:trPr>
          <w:cantSplit/>
        </w:trPr>
        <w:tc>
          <w:tcPr>
            <w:tcW w:w="3227" w:type="dxa"/>
          </w:tcPr>
          <w:p w:rsidR="004079B4" w:rsidRPr="004C23F4" w:rsidRDefault="002E0D61" w:rsidP="00F4402E">
            <w:pPr>
              <w:pStyle w:val="Tablefont"/>
            </w:pPr>
            <w:r>
              <w:t>DFG</w:t>
            </w:r>
          </w:p>
        </w:tc>
        <w:tc>
          <w:tcPr>
            <w:tcW w:w="6015" w:type="dxa"/>
          </w:tcPr>
          <w:p w:rsidR="002E0D61" w:rsidRPr="00DD2F9B" w:rsidRDefault="00A537AB" w:rsidP="00DD2F9B">
            <w:pPr>
              <w:pStyle w:val="Tablefont"/>
            </w:pPr>
            <w:r>
              <w:t>NA</w:t>
            </w:r>
          </w:p>
        </w:tc>
      </w:tr>
      <w:tr w:rsidR="002E0D61" w:rsidRPr="004C23F4" w:rsidTr="00812887">
        <w:trPr>
          <w:cantSplit/>
        </w:trPr>
        <w:tc>
          <w:tcPr>
            <w:tcW w:w="3227" w:type="dxa"/>
          </w:tcPr>
          <w:p w:rsidR="004079B4" w:rsidRPr="004C23F4" w:rsidRDefault="002E0D61" w:rsidP="00F4402E">
            <w:pPr>
              <w:pStyle w:val="Tablefont"/>
            </w:pPr>
            <w:r>
              <w:t>SCOEL</w:t>
            </w:r>
          </w:p>
        </w:tc>
        <w:tc>
          <w:tcPr>
            <w:tcW w:w="6015" w:type="dxa"/>
          </w:tcPr>
          <w:p w:rsidR="002E0D61" w:rsidRPr="00DD2F9B" w:rsidRDefault="00A537AB" w:rsidP="00DD2F9B">
            <w:pPr>
              <w:pStyle w:val="Tablefont"/>
            </w:pPr>
            <w:r>
              <w:t>NA</w:t>
            </w:r>
          </w:p>
        </w:tc>
      </w:tr>
      <w:tr w:rsidR="002E0D61" w:rsidRPr="004C23F4" w:rsidTr="00812887">
        <w:trPr>
          <w:cantSplit/>
        </w:trPr>
        <w:tc>
          <w:tcPr>
            <w:tcW w:w="3227" w:type="dxa"/>
          </w:tcPr>
          <w:p w:rsidR="004079B4" w:rsidRDefault="002E0D61" w:rsidP="00F4402E">
            <w:pPr>
              <w:pStyle w:val="Tablefont"/>
            </w:pPr>
            <w:r>
              <w:t>HCOTN</w:t>
            </w:r>
          </w:p>
        </w:tc>
        <w:tc>
          <w:tcPr>
            <w:tcW w:w="6015" w:type="dxa"/>
          </w:tcPr>
          <w:p w:rsidR="002E0D61" w:rsidRPr="00DD2F9B" w:rsidRDefault="00A537AB" w:rsidP="00DD2F9B">
            <w:pPr>
              <w:pStyle w:val="Tablefont"/>
            </w:pPr>
            <w:r>
              <w:t>NA</w:t>
            </w:r>
          </w:p>
        </w:tc>
      </w:tr>
      <w:tr w:rsidR="00386093" w:rsidRPr="004C23F4" w:rsidTr="00812887">
        <w:trPr>
          <w:cantSplit/>
        </w:trPr>
        <w:tc>
          <w:tcPr>
            <w:tcW w:w="3227" w:type="dxa"/>
          </w:tcPr>
          <w:p w:rsidR="004079B4" w:rsidRDefault="00386093" w:rsidP="00F4402E">
            <w:pPr>
              <w:pStyle w:val="Tablefont"/>
            </w:pPr>
            <w:r>
              <w:t>IARC</w:t>
            </w:r>
          </w:p>
        </w:tc>
        <w:tc>
          <w:tcPr>
            <w:tcW w:w="6015" w:type="dxa"/>
          </w:tcPr>
          <w:p w:rsidR="00386093" w:rsidRPr="00DD2F9B" w:rsidRDefault="00A537AB" w:rsidP="00DD2F9B">
            <w:pPr>
              <w:pStyle w:val="Tablefont"/>
            </w:pPr>
            <w:r>
              <w:t>NA</w:t>
            </w:r>
          </w:p>
        </w:tc>
      </w:tr>
      <w:tr w:rsidR="00386093" w:rsidRPr="004C23F4" w:rsidTr="00812887">
        <w:trPr>
          <w:cantSplit/>
        </w:trPr>
        <w:tc>
          <w:tcPr>
            <w:tcW w:w="3227" w:type="dxa"/>
          </w:tcPr>
          <w:p w:rsidR="004079B4" w:rsidRDefault="00386093" w:rsidP="00F4402E">
            <w:pPr>
              <w:pStyle w:val="Tablefont"/>
              <w:keepNext/>
            </w:pPr>
            <w:r>
              <w:t>US NIOSH</w:t>
            </w:r>
          </w:p>
        </w:tc>
        <w:tc>
          <w:tcPr>
            <w:tcW w:w="6015" w:type="dxa"/>
          </w:tcPr>
          <w:p w:rsidR="00386093" w:rsidRPr="00DD2F9B" w:rsidRDefault="00A537AB" w:rsidP="00D87570">
            <w:pPr>
              <w:pStyle w:val="Tablefont"/>
              <w:keepNext/>
            </w:pPr>
            <w:r>
              <w:t>NA</w:t>
            </w:r>
          </w:p>
        </w:tc>
      </w:tr>
    </w:tbl>
    <w:bookmarkEnd w:id="2"/>
    <w:p w:rsidR="00485BFD" w:rsidRDefault="00485BFD" w:rsidP="00485BFD">
      <w:pPr>
        <w:pStyle w:val="Tablefooter"/>
      </w:pPr>
      <w:r>
        <w:t>NA = not applicable (a recommendation has not been made by this Agency); —</w:t>
      </w:r>
      <w:r w:rsidR="00D87570">
        <w:t xml:space="preserve"> = the Agency has assessed available data for this chemical but has not recommended any notations</w:t>
      </w:r>
    </w:p>
    <w:p w:rsidR="00474E33" w:rsidRDefault="00474E33" w:rsidP="00474E33">
      <w:pPr>
        <w:pStyle w:val="Heading3"/>
      </w:pPr>
      <w:r>
        <w:t>Skin notation assessment</w:t>
      </w:r>
    </w:p>
    <w:tbl>
      <w:tblPr>
        <w:tblStyle w:val="TableGrid"/>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insideV w:val="none" w:sz="0" w:space="0" w:color="auto"/>
        </w:tblBorders>
        <w:tblLook w:val="04A0" w:firstRow="1" w:lastRow="0" w:firstColumn="1" w:lastColumn="0" w:noHBand="0" w:noVBand="1"/>
        <w:tblCaption w:val="Table"/>
        <w:tblDescription w:val="Skin notation assessment calculation"/>
      </w:tblPr>
      <w:tblGrid>
        <w:gridCol w:w="9026"/>
      </w:tblGrid>
      <w:tr w:rsidR="00932DCE" w:rsidRPr="004C23F4" w:rsidTr="00EA6243">
        <w:trPr>
          <w:cantSplit/>
          <w:tblHeader/>
        </w:trPr>
        <w:tc>
          <w:tcPr>
            <w:tcW w:w="5000" w:type="pct"/>
            <w:shd w:val="clear" w:color="auto" w:fill="BFBFBF" w:themeFill="background1" w:themeFillShade="BF"/>
            <w:vAlign w:val="center"/>
          </w:tcPr>
          <w:p w:rsidR="00932DCE" w:rsidRPr="004C23F4" w:rsidRDefault="00932DCE" w:rsidP="00F4402E">
            <w:pPr>
              <w:pStyle w:val="Tableheader"/>
              <w:keepNext/>
              <w:tabs>
                <w:tab w:val="right" w:pos="8800"/>
              </w:tabs>
            </w:pPr>
            <w:bookmarkStart w:id="3" w:name="SkinNot"/>
            <w:r>
              <w:t>Calculation</w:t>
            </w:r>
            <w:r w:rsidR="00177CA1">
              <w:tab/>
            </w:r>
          </w:p>
        </w:tc>
      </w:tr>
      <w:tr w:rsidR="00932DCE" w:rsidRPr="004C23F4" w:rsidTr="00EA6243">
        <w:trPr>
          <w:cantSplit/>
          <w:tblHeader/>
        </w:trPr>
        <w:tc>
          <w:tcPr>
            <w:tcW w:w="5000" w:type="pct"/>
            <w:vAlign w:val="center"/>
          </w:tcPr>
          <w:tbl>
            <w:tblPr>
              <w:tblW w:w="8586" w:type="dxa"/>
              <w:tblLook w:val="04A0" w:firstRow="1" w:lastRow="0" w:firstColumn="1" w:lastColumn="0" w:noHBand="0" w:noVBand="1"/>
            </w:tblPr>
            <w:tblGrid>
              <w:gridCol w:w="3723"/>
              <w:gridCol w:w="801"/>
              <w:gridCol w:w="547"/>
              <w:gridCol w:w="3588"/>
            </w:tblGrid>
            <w:tr w:rsidR="002075D1" w:rsidRPr="001F5FC9" w:rsidTr="002075D1">
              <w:trPr>
                <w:trHeight w:val="155"/>
              </w:trPr>
              <w:tc>
                <w:tcPr>
                  <w:tcW w:w="3723" w:type="dxa"/>
                  <w:tcBorders>
                    <w:top w:val="nil"/>
                    <w:left w:val="nil"/>
                    <w:bottom w:val="nil"/>
                    <w:right w:val="nil"/>
                  </w:tcBorders>
                  <w:shd w:val="clear" w:color="000000" w:fill="C5D9F1"/>
                  <w:noWrap/>
                  <w:vAlign w:val="center"/>
                  <w:hideMark/>
                </w:tcPr>
                <w:p w:rsidR="002075D1" w:rsidRPr="001F5FC9" w:rsidRDefault="002075D1" w:rsidP="001F5FC9">
                  <w:pPr>
                    <w:spacing w:after="0" w:line="240" w:lineRule="auto"/>
                    <w:rPr>
                      <w:rFonts w:ascii="Segoe UI" w:eastAsia="Times New Roman" w:hAnsi="Segoe UI" w:cs="Segoe UI"/>
                      <w:color w:val="000000"/>
                      <w:sz w:val="18"/>
                      <w:szCs w:val="18"/>
                      <w:lang w:eastAsia="en-AU"/>
                    </w:rPr>
                  </w:pPr>
                  <w:r w:rsidRPr="001F5FC9">
                    <w:rPr>
                      <w:rFonts w:ascii="Segoe UI" w:eastAsia="Times New Roman" w:hAnsi="Segoe UI" w:cs="Segoe UI"/>
                      <w:color w:val="000000"/>
                      <w:sz w:val="18"/>
                      <w:szCs w:val="18"/>
                      <w:lang w:eastAsia="en-AU"/>
                    </w:rPr>
                    <w:t> </w:t>
                  </w:r>
                </w:p>
              </w:tc>
              <w:tc>
                <w:tcPr>
                  <w:tcW w:w="801" w:type="dxa"/>
                  <w:tcBorders>
                    <w:top w:val="nil"/>
                    <w:left w:val="nil"/>
                    <w:bottom w:val="nil"/>
                    <w:right w:val="nil"/>
                  </w:tcBorders>
                  <w:shd w:val="clear" w:color="000000" w:fill="C5D9F1"/>
                  <w:noWrap/>
                  <w:vAlign w:val="center"/>
                  <w:hideMark/>
                </w:tcPr>
                <w:p w:rsidR="002075D1" w:rsidRPr="001F5FC9" w:rsidRDefault="002075D1" w:rsidP="001F5FC9">
                  <w:pPr>
                    <w:spacing w:after="0" w:line="240" w:lineRule="auto"/>
                    <w:jc w:val="center"/>
                    <w:rPr>
                      <w:rFonts w:ascii="Segoe UI" w:eastAsia="Times New Roman" w:hAnsi="Segoe UI" w:cs="Segoe UI"/>
                      <w:color w:val="000000"/>
                      <w:sz w:val="18"/>
                      <w:szCs w:val="18"/>
                      <w:lang w:eastAsia="en-AU"/>
                    </w:rPr>
                  </w:pPr>
                  <w:r w:rsidRPr="001F5FC9">
                    <w:rPr>
                      <w:rFonts w:ascii="Segoe UI" w:eastAsia="Times New Roman" w:hAnsi="Segoe UI" w:cs="Segoe UI"/>
                      <w:color w:val="000000"/>
                      <w:sz w:val="18"/>
                      <w:szCs w:val="18"/>
                      <w:lang w:eastAsia="en-AU"/>
                    </w:rPr>
                    <w:t> </w:t>
                  </w:r>
                </w:p>
              </w:tc>
              <w:tc>
                <w:tcPr>
                  <w:tcW w:w="474" w:type="dxa"/>
                  <w:tcBorders>
                    <w:top w:val="nil"/>
                    <w:left w:val="nil"/>
                    <w:bottom w:val="nil"/>
                    <w:right w:val="nil"/>
                  </w:tcBorders>
                  <w:shd w:val="clear" w:color="000000" w:fill="C5D9F1"/>
                  <w:noWrap/>
                  <w:vAlign w:val="center"/>
                  <w:hideMark/>
                </w:tcPr>
                <w:p w:rsidR="002075D1" w:rsidRPr="001F5FC9" w:rsidRDefault="002075D1" w:rsidP="001F5FC9">
                  <w:pPr>
                    <w:spacing w:after="0" w:line="240" w:lineRule="auto"/>
                    <w:rPr>
                      <w:rFonts w:ascii="Segoe UI" w:eastAsia="Times New Roman" w:hAnsi="Segoe UI" w:cs="Segoe UI"/>
                      <w:color w:val="000000"/>
                      <w:sz w:val="18"/>
                      <w:szCs w:val="18"/>
                      <w:lang w:eastAsia="en-AU"/>
                    </w:rPr>
                  </w:pPr>
                  <w:r w:rsidRPr="001F5FC9">
                    <w:rPr>
                      <w:rFonts w:ascii="Segoe UI" w:eastAsia="Times New Roman" w:hAnsi="Segoe UI" w:cs="Segoe UI"/>
                      <w:color w:val="000000"/>
                      <w:sz w:val="18"/>
                      <w:szCs w:val="18"/>
                      <w:lang w:eastAsia="en-AU"/>
                    </w:rPr>
                    <w:t> </w:t>
                  </w:r>
                </w:p>
              </w:tc>
              <w:tc>
                <w:tcPr>
                  <w:tcW w:w="3588" w:type="dxa"/>
                  <w:tcBorders>
                    <w:top w:val="nil"/>
                    <w:left w:val="nil"/>
                    <w:bottom w:val="nil"/>
                    <w:right w:val="nil"/>
                  </w:tcBorders>
                  <w:shd w:val="clear" w:color="000000" w:fill="C5D9F1"/>
                  <w:noWrap/>
                  <w:vAlign w:val="center"/>
                  <w:hideMark/>
                </w:tcPr>
                <w:p w:rsidR="002075D1" w:rsidRPr="001F5FC9" w:rsidRDefault="002075D1" w:rsidP="001F5FC9">
                  <w:pPr>
                    <w:spacing w:after="0" w:line="240" w:lineRule="auto"/>
                    <w:rPr>
                      <w:rFonts w:ascii="Segoe UI" w:eastAsia="Times New Roman" w:hAnsi="Segoe UI" w:cs="Segoe UI"/>
                      <w:color w:val="000000"/>
                      <w:sz w:val="18"/>
                      <w:szCs w:val="18"/>
                      <w:lang w:eastAsia="en-AU"/>
                    </w:rPr>
                  </w:pPr>
                  <w:r w:rsidRPr="001F5FC9">
                    <w:rPr>
                      <w:rFonts w:ascii="Segoe UI" w:eastAsia="Times New Roman" w:hAnsi="Segoe UI" w:cs="Segoe UI"/>
                      <w:color w:val="000000"/>
                      <w:sz w:val="18"/>
                      <w:szCs w:val="18"/>
                      <w:lang w:eastAsia="en-AU"/>
                    </w:rPr>
                    <w:t> </w:t>
                  </w:r>
                </w:p>
              </w:tc>
            </w:tr>
            <w:tr w:rsidR="002075D1" w:rsidRPr="001F5FC9" w:rsidTr="002075D1">
              <w:trPr>
                <w:trHeight w:val="221"/>
              </w:trPr>
              <w:tc>
                <w:tcPr>
                  <w:tcW w:w="3723" w:type="dxa"/>
                  <w:tcBorders>
                    <w:top w:val="nil"/>
                    <w:left w:val="nil"/>
                    <w:bottom w:val="nil"/>
                    <w:right w:val="nil"/>
                  </w:tcBorders>
                  <w:shd w:val="clear" w:color="000000" w:fill="C5D9F1"/>
                  <w:noWrap/>
                  <w:vAlign w:val="center"/>
                  <w:hideMark/>
                </w:tcPr>
                <w:p w:rsidR="002075D1" w:rsidRPr="001F5FC9" w:rsidRDefault="002075D1" w:rsidP="001F5FC9">
                  <w:pPr>
                    <w:spacing w:after="0" w:line="240" w:lineRule="auto"/>
                    <w:jc w:val="right"/>
                    <w:rPr>
                      <w:rFonts w:ascii="Segoe UI" w:eastAsia="Times New Roman" w:hAnsi="Segoe UI" w:cs="Segoe UI"/>
                      <w:color w:val="000000"/>
                      <w:sz w:val="18"/>
                      <w:szCs w:val="18"/>
                      <w:lang w:eastAsia="en-AU"/>
                    </w:rPr>
                  </w:pPr>
                  <w:r w:rsidRPr="001F5FC9">
                    <w:rPr>
                      <w:rFonts w:ascii="Segoe UI" w:eastAsia="Times New Roman" w:hAnsi="Segoe UI" w:cs="Segoe UI"/>
                      <w:color w:val="000000"/>
                      <w:sz w:val="18"/>
                      <w:szCs w:val="18"/>
                      <w:lang w:eastAsia="en-AU"/>
                    </w:rPr>
                    <w:t>Adverse effects in human case study:</w:t>
                  </w:r>
                </w:p>
              </w:tc>
              <w:tc>
                <w:tcPr>
                  <w:tcW w:w="801" w:type="dxa"/>
                  <w:tcBorders>
                    <w:top w:val="nil"/>
                    <w:left w:val="nil"/>
                    <w:bottom w:val="nil"/>
                    <w:right w:val="nil"/>
                  </w:tcBorders>
                  <w:shd w:val="clear" w:color="000000" w:fill="C5D9F1"/>
                  <w:noWrap/>
                  <w:vAlign w:val="center"/>
                  <w:hideMark/>
                </w:tcPr>
                <w:p w:rsidR="002075D1" w:rsidRPr="001F5FC9" w:rsidRDefault="002075D1" w:rsidP="001F5FC9">
                  <w:pPr>
                    <w:spacing w:after="0" w:line="240" w:lineRule="auto"/>
                    <w:jc w:val="center"/>
                    <w:rPr>
                      <w:rFonts w:ascii="Segoe UI" w:eastAsia="Times New Roman" w:hAnsi="Segoe UI" w:cs="Segoe UI"/>
                      <w:color w:val="000000"/>
                      <w:sz w:val="18"/>
                      <w:szCs w:val="18"/>
                      <w:lang w:eastAsia="en-AU"/>
                    </w:rPr>
                  </w:pPr>
                  <w:r w:rsidRPr="001F5FC9">
                    <w:rPr>
                      <w:rFonts w:ascii="Segoe UI" w:eastAsia="Times New Roman" w:hAnsi="Segoe UI" w:cs="Segoe UI"/>
                      <w:color w:val="000000"/>
                      <w:sz w:val="18"/>
                      <w:szCs w:val="18"/>
                      <w:lang w:eastAsia="en-AU"/>
                    </w:rPr>
                    <w:t>no</w:t>
                  </w:r>
                </w:p>
              </w:tc>
              <w:tc>
                <w:tcPr>
                  <w:tcW w:w="474" w:type="dxa"/>
                  <w:tcBorders>
                    <w:top w:val="nil"/>
                    <w:left w:val="nil"/>
                    <w:bottom w:val="nil"/>
                    <w:right w:val="nil"/>
                  </w:tcBorders>
                  <w:shd w:val="clear" w:color="000000" w:fill="C5D9F1"/>
                  <w:noWrap/>
                  <w:vAlign w:val="center"/>
                  <w:hideMark/>
                </w:tcPr>
                <w:p w:rsidR="002075D1" w:rsidRPr="001F5FC9" w:rsidRDefault="002075D1" w:rsidP="001F5FC9">
                  <w:pPr>
                    <w:spacing w:after="0" w:line="240" w:lineRule="auto"/>
                    <w:rPr>
                      <w:rFonts w:ascii="Segoe UI" w:eastAsia="Times New Roman" w:hAnsi="Segoe UI" w:cs="Segoe UI"/>
                      <w:color w:val="C5D9F1"/>
                      <w:sz w:val="18"/>
                      <w:szCs w:val="18"/>
                      <w:lang w:eastAsia="en-AU"/>
                    </w:rPr>
                  </w:pPr>
                  <w:r w:rsidRPr="001F5FC9">
                    <w:rPr>
                      <w:rFonts w:ascii="Segoe UI" w:eastAsia="Times New Roman" w:hAnsi="Segoe UI" w:cs="Segoe UI"/>
                      <w:color w:val="C5D9F1"/>
                      <w:sz w:val="18"/>
                      <w:szCs w:val="18"/>
                      <w:lang w:eastAsia="en-AU"/>
                    </w:rPr>
                    <w:t> </w:t>
                  </w:r>
                </w:p>
              </w:tc>
              <w:tc>
                <w:tcPr>
                  <w:tcW w:w="3588" w:type="dxa"/>
                  <w:tcBorders>
                    <w:top w:val="nil"/>
                    <w:left w:val="nil"/>
                    <w:bottom w:val="nil"/>
                    <w:right w:val="nil"/>
                  </w:tcBorders>
                  <w:shd w:val="clear" w:color="000000" w:fill="C5D9F1"/>
                  <w:noWrap/>
                  <w:vAlign w:val="center"/>
                  <w:hideMark/>
                </w:tcPr>
                <w:p w:rsidR="002075D1" w:rsidRPr="001F5FC9" w:rsidRDefault="002075D1" w:rsidP="001F5FC9">
                  <w:pPr>
                    <w:spacing w:after="0" w:line="240" w:lineRule="auto"/>
                    <w:rPr>
                      <w:rFonts w:ascii="Segoe UI" w:eastAsia="Times New Roman" w:hAnsi="Segoe UI" w:cs="Segoe UI"/>
                      <w:color w:val="000000"/>
                      <w:sz w:val="18"/>
                      <w:szCs w:val="18"/>
                      <w:lang w:eastAsia="en-AU"/>
                    </w:rPr>
                  </w:pPr>
                  <w:r w:rsidRPr="001F5FC9">
                    <w:rPr>
                      <w:rFonts w:ascii="Segoe UI" w:eastAsia="Times New Roman" w:hAnsi="Segoe UI" w:cs="Segoe UI"/>
                      <w:color w:val="000000"/>
                      <w:sz w:val="18"/>
                      <w:szCs w:val="18"/>
                      <w:lang w:eastAsia="en-AU"/>
                    </w:rPr>
                    <w:t> </w:t>
                  </w:r>
                </w:p>
              </w:tc>
            </w:tr>
            <w:tr w:rsidR="002075D1" w:rsidRPr="001F5FC9" w:rsidTr="002075D1">
              <w:trPr>
                <w:trHeight w:val="221"/>
              </w:trPr>
              <w:tc>
                <w:tcPr>
                  <w:tcW w:w="3723" w:type="dxa"/>
                  <w:tcBorders>
                    <w:top w:val="nil"/>
                    <w:left w:val="nil"/>
                    <w:bottom w:val="nil"/>
                    <w:right w:val="nil"/>
                  </w:tcBorders>
                  <w:shd w:val="clear" w:color="000000" w:fill="C5D9F1"/>
                  <w:noWrap/>
                  <w:vAlign w:val="center"/>
                  <w:hideMark/>
                </w:tcPr>
                <w:p w:rsidR="002075D1" w:rsidRPr="001F5FC9" w:rsidRDefault="002075D1" w:rsidP="001F5FC9">
                  <w:pPr>
                    <w:spacing w:after="0" w:line="240" w:lineRule="auto"/>
                    <w:jc w:val="right"/>
                    <w:rPr>
                      <w:rFonts w:ascii="Segoe UI" w:eastAsia="Times New Roman" w:hAnsi="Segoe UI" w:cs="Segoe UI"/>
                      <w:color w:val="000000"/>
                      <w:sz w:val="18"/>
                      <w:szCs w:val="18"/>
                      <w:lang w:eastAsia="en-AU"/>
                    </w:rPr>
                  </w:pPr>
                  <w:r w:rsidRPr="001F5FC9">
                    <w:rPr>
                      <w:rFonts w:ascii="Segoe UI" w:eastAsia="Times New Roman" w:hAnsi="Segoe UI" w:cs="Segoe UI"/>
                      <w:color w:val="000000"/>
                      <w:sz w:val="18"/>
                      <w:szCs w:val="18"/>
                      <w:lang w:eastAsia="en-AU"/>
                    </w:rPr>
                    <w:t>Dermal LD</w:t>
                  </w:r>
                  <w:r w:rsidRPr="001F5FC9">
                    <w:rPr>
                      <w:rFonts w:ascii="Segoe UI" w:eastAsia="Times New Roman" w:hAnsi="Segoe UI" w:cs="Segoe UI"/>
                      <w:color w:val="000000"/>
                      <w:sz w:val="18"/>
                      <w:szCs w:val="18"/>
                      <w:vertAlign w:val="subscript"/>
                      <w:lang w:eastAsia="en-AU"/>
                    </w:rPr>
                    <w:t>50</w:t>
                  </w:r>
                  <w:r w:rsidRPr="001F5FC9">
                    <w:rPr>
                      <w:rFonts w:ascii="Segoe UI" w:eastAsia="Times New Roman" w:hAnsi="Segoe UI" w:cs="Segoe UI"/>
                      <w:color w:val="000000"/>
                      <w:sz w:val="18"/>
                      <w:szCs w:val="18"/>
                      <w:lang w:eastAsia="en-AU"/>
                    </w:rPr>
                    <w:t xml:space="preserve"> ≤1000 mg/kg:</w:t>
                  </w:r>
                </w:p>
              </w:tc>
              <w:tc>
                <w:tcPr>
                  <w:tcW w:w="801" w:type="dxa"/>
                  <w:tcBorders>
                    <w:top w:val="nil"/>
                    <w:left w:val="nil"/>
                    <w:bottom w:val="nil"/>
                    <w:right w:val="nil"/>
                  </w:tcBorders>
                  <w:shd w:val="clear" w:color="000000" w:fill="FFEB9C"/>
                  <w:noWrap/>
                  <w:vAlign w:val="center"/>
                  <w:hideMark/>
                </w:tcPr>
                <w:p w:rsidR="002075D1" w:rsidRPr="001F5FC9" w:rsidRDefault="002075D1" w:rsidP="001F5FC9">
                  <w:pPr>
                    <w:spacing w:after="0" w:line="240" w:lineRule="auto"/>
                    <w:jc w:val="center"/>
                    <w:rPr>
                      <w:rFonts w:ascii="Segoe UI" w:eastAsia="Times New Roman" w:hAnsi="Segoe UI" w:cs="Segoe UI"/>
                      <w:color w:val="9C6500"/>
                      <w:sz w:val="18"/>
                      <w:szCs w:val="18"/>
                      <w:lang w:eastAsia="en-AU"/>
                    </w:rPr>
                  </w:pPr>
                  <w:r w:rsidRPr="001F5FC9">
                    <w:rPr>
                      <w:rFonts w:ascii="Segoe UI" w:eastAsia="Times New Roman" w:hAnsi="Segoe UI" w:cs="Segoe UI"/>
                      <w:color w:val="9C6500"/>
                      <w:sz w:val="18"/>
                      <w:szCs w:val="18"/>
                      <w:lang w:eastAsia="en-AU"/>
                    </w:rPr>
                    <w:t>yes</w:t>
                  </w:r>
                </w:p>
              </w:tc>
              <w:tc>
                <w:tcPr>
                  <w:tcW w:w="474" w:type="dxa"/>
                  <w:tcBorders>
                    <w:top w:val="nil"/>
                    <w:left w:val="nil"/>
                    <w:bottom w:val="nil"/>
                    <w:right w:val="nil"/>
                  </w:tcBorders>
                  <w:shd w:val="clear" w:color="000000" w:fill="C5D9F1"/>
                  <w:noWrap/>
                  <w:vAlign w:val="center"/>
                  <w:hideMark/>
                </w:tcPr>
                <w:p w:rsidR="002075D1" w:rsidRPr="001F5FC9" w:rsidRDefault="002075D1" w:rsidP="001F5FC9">
                  <w:pPr>
                    <w:spacing w:after="0" w:line="240" w:lineRule="auto"/>
                    <w:jc w:val="right"/>
                    <w:rPr>
                      <w:rFonts w:ascii="Segoe UI" w:eastAsia="Times New Roman" w:hAnsi="Segoe UI" w:cs="Segoe UI"/>
                      <w:color w:val="C5D9F1"/>
                      <w:sz w:val="18"/>
                      <w:szCs w:val="18"/>
                      <w:lang w:eastAsia="en-AU"/>
                    </w:rPr>
                  </w:pPr>
                  <w:r w:rsidRPr="001F5FC9">
                    <w:rPr>
                      <w:rFonts w:ascii="Segoe UI" w:eastAsia="Times New Roman" w:hAnsi="Segoe UI" w:cs="Segoe UI"/>
                      <w:color w:val="C5D9F1"/>
                      <w:sz w:val="18"/>
                      <w:szCs w:val="18"/>
                      <w:lang w:eastAsia="en-AU"/>
                    </w:rPr>
                    <w:t>3.00</w:t>
                  </w:r>
                </w:p>
              </w:tc>
              <w:tc>
                <w:tcPr>
                  <w:tcW w:w="3588" w:type="dxa"/>
                  <w:tcBorders>
                    <w:top w:val="nil"/>
                    <w:left w:val="nil"/>
                    <w:bottom w:val="nil"/>
                    <w:right w:val="nil"/>
                  </w:tcBorders>
                  <w:shd w:val="clear" w:color="000000" w:fill="C5D9F1"/>
                  <w:noWrap/>
                  <w:vAlign w:val="center"/>
                  <w:hideMark/>
                </w:tcPr>
                <w:p w:rsidR="002075D1" w:rsidRPr="001F5FC9" w:rsidRDefault="002075D1" w:rsidP="001F5FC9">
                  <w:pPr>
                    <w:spacing w:after="0" w:line="240" w:lineRule="auto"/>
                    <w:rPr>
                      <w:rFonts w:ascii="Segoe UI" w:eastAsia="Times New Roman" w:hAnsi="Segoe UI" w:cs="Segoe UI"/>
                      <w:color w:val="000000"/>
                      <w:sz w:val="18"/>
                      <w:szCs w:val="18"/>
                      <w:lang w:eastAsia="en-AU"/>
                    </w:rPr>
                  </w:pPr>
                  <w:r w:rsidRPr="001F5FC9">
                    <w:rPr>
                      <w:rFonts w:ascii="Segoe UI" w:eastAsia="Times New Roman" w:hAnsi="Segoe UI" w:cs="Segoe UI"/>
                      <w:color w:val="000000"/>
                      <w:sz w:val="18"/>
                      <w:szCs w:val="18"/>
                      <w:lang w:eastAsia="en-AU"/>
                    </w:rPr>
                    <w:t> </w:t>
                  </w:r>
                </w:p>
              </w:tc>
            </w:tr>
            <w:tr w:rsidR="002075D1" w:rsidRPr="001F5FC9" w:rsidTr="002075D1">
              <w:trPr>
                <w:trHeight w:val="221"/>
              </w:trPr>
              <w:tc>
                <w:tcPr>
                  <w:tcW w:w="3723" w:type="dxa"/>
                  <w:tcBorders>
                    <w:top w:val="nil"/>
                    <w:left w:val="nil"/>
                    <w:bottom w:val="nil"/>
                    <w:right w:val="nil"/>
                  </w:tcBorders>
                  <w:shd w:val="clear" w:color="000000" w:fill="C5D9F1"/>
                  <w:noWrap/>
                  <w:vAlign w:val="center"/>
                  <w:hideMark/>
                </w:tcPr>
                <w:p w:rsidR="002075D1" w:rsidRPr="001F5FC9" w:rsidRDefault="002075D1" w:rsidP="001F5FC9">
                  <w:pPr>
                    <w:spacing w:after="0" w:line="240" w:lineRule="auto"/>
                    <w:jc w:val="right"/>
                    <w:rPr>
                      <w:rFonts w:ascii="Segoe UI" w:eastAsia="Times New Roman" w:hAnsi="Segoe UI" w:cs="Segoe UI"/>
                      <w:color w:val="000000"/>
                      <w:sz w:val="18"/>
                      <w:szCs w:val="18"/>
                      <w:lang w:eastAsia="en-AU"/>
                    </w:rPr>
                  </w:pPr>
                  <w:r w:rsidRPr="001F5FC9">
                    <w:rPr>
                      <w:rFonts w:ascii="Segoe UI" w:eastAsia="Times New Roman" w:hAnsi="Segoe UI" w:cs="Segoe UI"/>
                      <w:color w:val="000000"/>
                      <w:sz w:val="18"/>
                      <w:szCs w:val="18"/>
                      <w:lang w:eastAsia="en-AU"/>
                    </w:rPr>
                    <w:t>Dermal repeat-dose NOAEL ≤200 mg/kg:</w:t>
                  </w:r>
                </w:p>
              </w:tc>
              <w:tc>
                <w:tcPr>
                  <w:tcW w:w="801" w:type="dxa"/>
                  <w:tcBorders>
                    <w:top w:val="nil"/>
                    <w:left w:val="nil"/>
                    <w:bottom w:val="nil"/>
                    <w:right w:val="nil"/>
                  </w:tcBorders>
                  <w:shd w:val="clear" w:color="000000" w:fill="C5D9F1"/>
                  <w:noWrap/>
                  <w:vAlign w:val="center"/>
                  <w:hideMark/>
                </w:tcPr>
                <w:p w:rsidR="002075D1" w:rsidRPr="001F5FC9" w:rsidRDefault="002075D1" w:rsidP="001F5FC9">
                  <w:pPr>
                    <w:spacing w:after="0" w:line="240" w:lineRule="auto"/>
                    <w:jc w:val="center"/>
                    <w:rPr>
                      <w:rFonts w:ascii="Segoe UI" w:eastAsia="Times New Roman" w:hAnsi="Segoe UI" w:cs="Segoe UI"/>
                      <w:color w:val="000000"/>
                      <w:sz w:val="18"/>
                      <w:szCs w:val="18"/>
                      <w:lang w:eastAsia="en-AU"/>
                    </w:rPr>
                  </w:pPr>
                  <w:r w:rsidRPr="001F5FC9">
                    <w:rPr>
                      <w:rFonts w:ascii="Segoe UI" w:eastAsia="Times New Roman" w:hAnsi="Segoe UI" w:cs="Segoe UI"/>
                      <w:color w:val="000000"/>
                      <w:sz w:val="18"/>
                      <w:szCs w:val="18"/>
                      <w:lang w:eastAsia="en-AU"/>
                    </w:rPr>
                    <w:t> </w:t>
                  </w:r>
                </w:p>
              </w:tc>
              <w:tc>
                <w:tcPr>
                  <w:tcW w:w="474" w:type="dxa"/>
                  <w:tcBorders>
                    <w:top w:val="nil"/>
                    <w:left w:val="nil"/>
                    <w:bottom w:val="nil"/>
                    <w:right w:val="nil"/>
                  </w:tcBorders>
                  <w:shd w:val="clear" w:color="000000" w:fill="C5D9F1"/>
                  <w:noWrap/>
                  <w:vAlign w:val="center"/>
                  <w:hideMark/>
                </w:tcPr>
                <w:p w:rsidR="002075D1" w:rsidRPr="001F5FC9" w:rsidRDefault="002075D1" w:rsidP="001F5FC9">
                  <w:pPr>
                    <w:spacing w:after="0" w:line="240" w:lineRule="auto"/>
                    <w:rPr>
                      <w:rFonts w:ascii="Segoe UI" w:eastAsia="Times New Roman" w:hAnsi="Segoe UI" w:cs="Segoe UI"/>
                      <w:color w:val="C5D9F1"/>
                      <w:sz w:val="18"/>
                      <w:szCs w:val="18"/>
                      <w:lang w:eastAsia="en-AU"/>
                    </w:rPr>
                  </w:pPr>
                  <w:r w:rsidRPr="001F5FC9">
                    <w:rPr>
                      <w:rFonts w:ascii="Segoe UI" w:eastAsia="Times New Roman" w:hAnsi="Segoe UI" w:cs="Segoe UI"/>
                      <w:color w:val="C5D9F1"/>
                      <w:sz w:val="18"/>
                      <w:szCs w:val="18"/>
                      <w:lang w:eastAsia="en-AU"/>
                    </w:rPr>
                    <w:t> </w:t>
                  </w:r>
                </w:p>
              </w:tc>
              <w:tc>
                <w:tcPr>
                  <w:tcW w:w="3588" w:type="dxa"/>
                  <w:tcBorders>
                    <w:top w:val="nil"/>
                    <w:left w:val="nil"/>
                    <w:bottom w:val="nil"/>
                    <w:right w:val="nil"/>
                  </w:tcBorders>
                  <w:shd w:val="clear" w:color="000000" w:fill="C5D9F1"/>
                  <w:noWrap/>
                  <w:vAlign w:val="center"/>
                  <w:hideMark/>
                </w:tcPr>
                <w:p w:rsidR="002075D1" w:rsidRPr="001F5FC9" w:rsidRDefault="002075D1" w:rsidP="001F5FC9">
                  <w:pPr>
                    <w:spacing w:after="0" w:line="240" w:lineRule="auto"/>
                    <w:rPr>
                      <w:rFonts w:ascii="Segoe UI" w:eastAsia="Times New Roman" w:hAnsi="Segoe UI" w:cs="Segoe UI"/>
                      <w:color w:val="000000"/>
                      <w:sz w:val="18"/>
                      <w:szCs w:val="18"/>
                      <w:lang w:eastAsia="en-AU"/>
                    </w:rPr>
                  </w:pPr>
                  <w:r w:rsidRPr="001F5FC9">
                    <w:rPr>
                      <w:rFonts w:ascii="Segoe UI" w:eastAsia="Times New Roman" w:hAnsi="Segoe UI" w:cs="Segoe UI"/>
                      <w:color w:val="000000"/>
                      <w:sz w:val="18"/>
                      <w:szCs w:val="18"/>
                      <w:lang w:eastAsia="en-AU"/>
                    </w:rPr>
                    <w:t> </w:t>
                  </w:r>
                </w:p>
              </w:tc>
            </w:tr>
            <w:tr w:rsidR="002075D1" w:rsidRPr="001F5FC9" w:rsidTr="002075D1">
              <w:trPr>
                <w:trHeight w:val="221"/>
              </w:trPr>
              <w:tc>
                <w:tcPr>
                  <w:tcW w:w="3723" w:type="dxa"/>
                  <w:tcBorders>
                    <w:top w:val="nil"/>
                    <w:left w:val="nil"/>
                    <w:bottom w:val="nil"/>
                    <w:right w:val="nil"/>
                  </w:tcBorders>
                  <w:shd w:val="clear" w:color="000000" w:fill="C5D9F1"/>
                  <w:noWrap/>
                  <w:vAlign w:val="center"/>
                  <w:hideMark/>
                </w:tcPr>
                <w:p w:rsidR="002075D1" w:rsidRPr="001F5FC9" w:rsidRDefault="002075D1" w:rsidP="001F5FC9">
                  <w:pPr>
                    <w:spacing w:after="0" w:line="240" w:lineRule="auto"/>
                    <w:jc w:val="right"/>
                    <w:rPr>
                      <w:rFonts w:ascii="Segoe UI" w:eastAsia="Times New Roman" w:hAnsi="Segoe UI" w:cs="Segoe UI"/>
                      <w:color w:val="000000"/>
                      <w:sz w:val="18"/>
                      <w:szCs w:val="18"/>
                      <w:lang w:eastAsia="en-AU"/>
                    </w:rPr>
                  </w:pPr>
                  <w:r w:rsidRPr="001F5FC9">
                    <w:rPr>
                      <w:rFonts w:ascii="Segoe UI" w:eastAsia="Times New Roman" w:hAnsi="Segoe UI" w:cs="Segoe UI"/>
                      <w:color w:val="000000"/>
                      <w:sz w:val="18"/>
                      <w:szCs w:val="18"/>
                      <w:lang w:eastAsia="en-AU"/>
                    </w:rPr>
                    <w:t>Dermal LD</w:t>
                  </w:r>
                  <w:r w:rsidRPr="001F5FC9">
                    <w:rPr>
                      <w:rFonts w:ascii="Segoe UI" w:eastAsia="Times New Roman" w:hAnsi="Segoe UI" w:cs="Segoe UI"/>
                      <w:color w:val="000000"/>
                      <w:sz w:val="18"/>
                      <w:szCs w:val="18"/>
                      <w:vertAlign w:val="subscript"/>
                      <w:lang w:eastAsia="en-AU"/>
                    </w:rPr>
                    <w:t>50</w:t>
                  </w:r>
                  <w:r w:rsidRPr="001F5FC9">
                    <w:rPr>
                      <w:rFonts w:ascii="Segoe UI" w:eastAsia="Times New Roman" w:hAnsi="Segoe UI" w:cs="Segoe UI"/>
                      <w:color w:val="000000"/>
                      <w:sz w:val="18"/>
                      <w:szCs w:val="18"/>
                      <w:lang w:eastAsia="en-AU"/>
                    </w:rPr>
                    <w:t>/Inhalation LD</w:t>
                  </w:r>
                  <w:r w:rsidRPr="001F5FC9">
                    <w:rPr>
                      <w:rFonts w:ascii="Segoe UI" w:eastAsia="Times New Roman" w:hAnsi="Segoe UI" w:cs="Segoe UI"/>
                      <w:color w:val="000000"/>
                      <w:sz w:val="18"/>
                      <w:szCs w:val="18"/>
                      <w:vertAlign w:val="subscript"/>
                      <w:lang w:eastAsia="en-AU"/>
                    </w:rPr>
                    <w:t>50</w:t>
                  </w:r>
                  <w:r w:rsidRPr="001F5FC9">
                    <w:rPr>
                      <w:rFonts w:ascii="Segoe UI" w:eastAsia="Times New Roman" w:hAnsi="Segoe UI" w:cs="Segoe UI"/>
                      <w:color w:val="000000"/>
                      <w:sz w:val="18"/>
                      <w:szCs w:val="18"/>
                      <w:lang w:eastAsia="en-AU"/>
                    </w:rPr>
                    <w:t xml:space="preserve"> &lt;10:</w:t>
                  </w:r>
                </w:p>
              </w:tc>
              <w:tc>
                <w:tcPr>
                  <w:tcW w:w="801" w:type="dxa"/>
                  <w:tcBorders>
                    <w:top w:val="nil"/>
                    <w:left w:val="nil"/>
                    <w:bottom w:val="nil"/>
                    <w:right w:val="nil"/>
                  </w:tcBorders>
                  <w:shd w:val="clear" w:color="000000" w:fill="C5D9F1"/>
                  <w:noWrap/>
                  <w:vAlign w:val="center"/>
                  <w:hideMark/>
                </w:tcPr>
                <w:p w:rsidR="002075D1" w:rsidRPr="001F5FC9" w:rsidRDefault="002075D1" w:rsidP="001F5FC9">
                  <w:pPr>
                    <w:spacing w:after="0" w:line="240" w:lineRule="auto"/>
                    <w:jc w:val="center"/>
                    <w:rPr>
                      <w:rFonts w:ascii="Segoe UI" w:eastAsia="Times New Roman" w:hAnsi="Segoe UI" w:cs="Segoe UI"/>
                      <w:color w:val="000000"/>
                      <w:sz w:val="18"/>
                      <w:szCs w:val="18"/>
                      <w:lang w:eastAsia="en-AU"/>
                    </w:rPr>
                  </w:pPr>
                  <w:r w:rsidRPr="001F5FC9">
                    <w:rPr>
                      <w:rFonts w:ascii="Segoe UI" w:eastAsia="Times New Roman" w:hAnsi="Segoe UI" w:cs="Segoe UI"/>
                      <w:color w:val="000000"/>
                      <w:sz w:val="18"/>
                      <w:szCs w:val="18"/>
                      <w:lang w:eastAsia="en-AU"/>
                    </w:rPr>
                    <w:t> </w:t>
                  </w:r>
                </w:p>
              </w:tc>
              <w:tc>
                <w:tcPr>
                  <w:tcW w:w="474" w:type="dxa"/>
                  <w:tcBorders>
                    <w:top w:val="nil"/>
                    <w:left w:val="nil"/>
                    <w:bottom w:val="nil"/>
                    <w:right w:val="nil"/>
                  </w:tcBorders>
                  <w:shd w:val="clear" w:color="000000" w:fill="C5D9F1"/>
                  <w:noWrap/>
                  <w:vAlign w:val="center"/>
                  <w:hideMark/>
                </w:tcPr>
                <w:p w:rsidR="002075D1" w:rsidRPr="001F5FC9" w:rsidRDefault="002075D1" w:rsidP="001F5FC9">
                  <w:pPr>
                    <w:spacing w:after="0" w:line="240" w:lineRule="auto"/>
                    <w:rPr>
                      <w:rFonts w:ascii="Segoe UI" w:eastAsia="Times New Roman" w:hAnsi="Segoe UI" w:cs="Segoe UI"/>
                      <w:color w:val="C5D9F1"/>
                      <w:sz w:val="18"/>
                      <w:szCs w:val="18"/>
                      <w:lang w:eastAsia="en-AU"/>
                    </w:rPr>
                  </w:pPr>
                  <w:r w:rsidRPr="001F5FC9">
                    <w:rPr>
                      <w:rFonts w:ascii="Segoe UI" w:eastAsia="Times New Roman" w:hAnsi="Segoe UI" w:cs="Segoe UI"/>
                      <w:color w:val="C5D9F1"/>
                      <w:sz w:val="18"/>
                      <w:szCs w:val="18"/>
                      <w:lang w:eastAsia="en-AU"/>
                    </w:rPr>
                    <w:t> </w:t>
                  </w:r>
                </w:p>
              </w:tc>
              <w:tc>
                <w:tcPr>
                  <w:tcW w:w="3588" w:type="dxa"/>
                  <w:tcBorders>
                    <w:top w:val="nil"/>
                    <w:left w:val="nil"/>
                    <w:bottom w:val="nil"/>
                    <w:right w:val="nil"/>
                  </w:tcBorders>
                  <w:shd w:val="clear" w:color="000000" w:fill="C5D9F1"/>
                  <w:noWrap/>
                  <w:vAlign w:val="center"/>
                  <w:hideMark/>
                </w:tcPr>
                <w:p w:rsidR="002075D1" w:rsidRPr="001F5FC9" w:rsidRDefault="002075D1" w:rsidP="001F5FC9">
                  <w:pPr>
                    <w:spacing w:after="0" w:line="240" w:lineRule="auto"/>
                    <w:rPr>
                      <w:rFonts w:ascii="Segoe UI" w:eastAsia="Times New Roman" w:hAnsi="Segoe UI" w:cs="Segoe UI"/>
                      <w:color w:val="000000"/>
                      <w:sz w:val="18"/>
                      <w:szCs w:val="18"/>
                      <w:lang w:eastAsia="en-AU"/>
                    </w:rPr>
                  </w:pPr>
                  <w:r w:rsidRPr="001F5FC9">
                    <w:rPr>
                      <w:rFonts w:ascii="Segoe UI" w:eastAsia="Times New Roman" w:hAnsi="Segoe UI" w:cs="Segoe UI"/>
                      <w:color w:val="000000"/>
                      <w:sz w:val="18"/>
                      <w:szCs w:val="18"/>
                      <w:lang w:eastAsia="en-AU"/>
                    </w:rPr>
                    <w:t> </w:t>
                  </w:r>
                </w:p>
              </w:tc>
            </w:tr>
            <w:tr w:rsidR="002075D1" w:rsidRPr="001F5FC9" w:rsidTr="002075D1">
              <w:trPr>
                <w:trHeight w:val="221"/>
              </w:trPr>
              <w:tc>
                <w:tcPr>
                  <w:tcW w:w="3723" w:type="dxa"/>
                  <w:tcBorders>
                    <w:top w:val="nil"/>
                    <w:left w:val="nil"/>
                    <w:bottom w:val="nil"/>
                    <w:right w:val="nil"/>
                  </w:tcBorders>
                  <w:shd w:val="clear" w:color="000000" w:fill="C5D9F1"/>
                  <w:noWrap/>
                  <w:vAlign w:val="center"/>
                  <w:hideMark/>
                </w:tcPr>
                <w:p w:rsidR="002075D1" w:rsidRPr="001F5FC9" w:rsidRDefault="002075D1" w:rsidP="001F5FC9">
                  <w:pPr>
                    <w:spacing w:after="0" w:line="240" w:lineRule="auto"/>
                    <w:jc w:val="right"/>
                    <w:rPr>
                      <w:rFonts w:ascii="Segoe UI" w:eastAsia="Times New Roman" w:hAnsi="Segoe UI" w:cs="Segoe UI"/>
                      <w:i/>
                      <w:iCs/>
                      <w:color w:val="000000"/>
                      <w:sz w:val="18"/>
                      <w:szCs w:val="18"/>
                      <w:lang w:eastAsia="en-AU"/>
                    </w:rPr>
                  </w:pPr>
                  <w:r w:rsidRPr="001F5FC9">
                    <w:rPr>
                      <w:rFonts w:ascii="Segoe UI" w:eastAsia="Times New Roman" w:hAnsi="Segoe UI" w:cs="Segoe UI"/>
                      <w:i/>
                      <w:iCs/>
                      <w:color w:val="000000"/>
                      <w:sz w:val="18"/>
                      <w:szCs w:val="18"/>
                      <w:lang w:eastAsia="en-AU"/>
                    </w:rPr>
                    <w:t>In vivo</w:t>
                  </w:r>
                  <w:r w:rsidRPr="001F5FC9">
                    <w:rPr>
                      <w:rFonts w:ascii="Segoe UI" w:eastAsia="Times New Roman" w:hAnsi="Segoe UI" w:cs="Segoe UI"/>
                      <w:color w:val="000000"/>
                      <w:sz w:val="18"/>
                      <w:szCs w:val="18"/>
                      <w:lang w:eastAsia="en-AU"/>
                    </w:rPr>
                    <w:t xml:space="preserve"> dermal absorption rate &gt;10%:</w:t>
                  </w:r>
                </w:p>
              </w:tc>
              <w:tc>
                <w:tcPr>
                  <w:tcW w:w="801" w:type="dxa"/>
                  <w:tcBorders>
                    <w:top w:val="nil"/>
                    <w:left w:val="nil"/>
                    <w:bottom w:val="nil"/>
                    <w:right w:val="nil"/>
                  </w:tcBorders>
                  <w:shd w:val="clear" w:color="000000" w:fill="C5D9F1"/>
                  <w:noWrap/>
                  <w:vAlign w:val="center"/>
                  <w:hideMark/>
                </w:tcPr>
                <w:p w:rsidR="002075D1" w:rsidRPr="001F5FC9" w:rsidRDefault="002075D1" w:rsidP="001F5FC9">
                  <w:pPr>
                    <w:spacing w:after="0" w:line="240" w:lineRule="auto"/>
                    <w:jc w:val="center"/>
                    <w:rPr>
                      <w:rFonts w:ascii="Segoe UI" w:eastAsia="Times New Roman" w:hAnsi="Segoe UI" w:cs="Segoe UI"/>
                      <w:color w:val="000000"/>
                      <w:sz w:val="18"/>
                      <w:szCs w:val="18"/>
                      <w:lang w:eastAsia="en-AU"/>
                    </w:rPr>
                  </w:pPr>
                  <w:r w:rsidRPr="001F5FC9">
                    <w:rPr>
                      <w:rFonts w:ascii="Segoe UI" w:eastAsia="Times New Roman" w:hAnsi="Segoe UI" w:cs="Segoe UI"/>
                      <w:color w:val="000000"/>
                      <w:sz w:val="18"/>
                      <w:szCs w:val="18"/>
                      <w:lang w:eastAsia="en-AU"/>
                    </w:rPr>
                    <w:t> </w:t>
                  </w:r>
                </w:p>
              </w:tc>
              <w:tc>
                <w:tcPr>
                  <w:tcW w:w="474" w:type="dxa"/>
                  <w:tcBorders>
                    <w:top w:val="nil"/>
                    <w:left w:val="nil"/>
                    <w:bottom w:val="nil"/>
                    <w:right w:val="nil"/>
                  </w:tcBorders>
                  <w:shd w:val="clear" w:color="000000" w:fill="C5D9F1"/>
                  <w:noWrap/>
                  <w:vAlign w:val="center"/>
                  <w:hideMark/>
                </w:tcPr>
                <w:p w:rsidR="002075D1" w:rsidRPr="001F5FC9" w:rsidRDefault="002075D1" w:rsidP="001F5FC9">
                  <w:pPr>
                    <w:spacing w:after="0" w:line="240" w:lineRule="auto"/>
                    <w:rPr>
                      <w:rFonts w:ascii="Segoe UI" w:eastAsia="Times New Roman" w:hAnsi="Segoe UI" w:cs="Segoe UI"/>
                      <w:color w:val="C5D9F1"/>
                      <w:sz w:val="18"/>
                      <w:szCs w:val="18"/>
                      <w:lang w:eastAsia="en-AU"/>
                    </w:rPr>
                  </w:pPr>
                  <w:r w:rsidRPr="001F5FC9">
                    <w:rPr>
                      <w:rFonts w:ascii="Segoe UI" w:eastAsia="Times New Roman" w:hAnsi="Segoe UI" w:cs="Segoe UI"/>
                      <w:color w:val="C5D9F1"/>
                      <w:sz w:val="18"/>
                      <w:szCs w:val="18"/>
                      <w:lang w:eastAsia="en-AU"/>
                    </w:rPr>
                    <w:t> </w:t>
                  </w:r>
                </w:p>
              </w:tc>
              <w:tc>
                <w:tcPr>
                  <w:tcW w:w="3588" w:type="dxa"/>
                  <w:tcBorders>
                    <w:top w:val="nil"/>
                    <w:left w:val="nil"/>
                    <w:bottom w:val="nil"/>
                    <w:right w:val="nil"/>
                  </w:tcBorders>
                  <w:shd w:val="clear" w:color="000000" w:fill="C5D9F1"/>
                  <w:noWrap/>
                  <w:vAlign w:val="center"/>
                  <w:hideMark/>
                </w:tcPr>
                <w:p w:rsidR="002075D1" w:rsidRPr="001F5FC9" w:rsidRDefault="002075D1" w:rsidP="001F5FC9">
                  <w:pPr>
                    <w:spacing w:after="0" w:line="240" w:lineRule="auto"/>
                    <w:rPr>
                      <w:rFonts w:ascii="Segoe UI" w:eastAsia="Times New Roman" w:hAnsi="Segoe UI" w:cs="Segoe UI"/>
                      <w:color w:val="000000"/>
                      <w:sz w:val="18"/>
                      <w:szCs w:val="18"/>
                      <w:lang w:eastAsia="en-AU"/>
                    </w:rPr>
                  </w:pPr>
                  <w:r w:rsidRPr="001F5FC9">
                    <w:rPr>
                      <w:rFonts w:ascii="Segoe UI" w:eastAsia="Times New Roman" w:hAnsi="Segoe UI" w:cs="Segoe UI"/>
                      <w:color w:val="000000"/>
                      <w:sz w:val="18"/>
                      <w:szCs w:val="18"/>
                      <w:lang w:eastAsia="en-AU"/>
                    </w:rPr>
                    <w:t> </w:t>
                  </w:r>
                </w:p>
              </w:tc>
            </w:tr>
            <w:tr w:rsidR="002075D1" w:rsidRPr="001F5FC9" w:rsidTr="002075D1">
              <w:trPr>
                <w:trHeight w:val="221"/>
              </w:trPr>
              <w:tc>
                <w:tcPr>
                  <w:tcW w:w="3723" w:type="dxa"/>
                  <w:tcBorders>
                    <w:top w:val="nil"/>
                    <w:left w:val="nil"/>
                    <w:bottom w:val="nil"/>
                    <w:right w:val="nil"/>
                  </w:tcBorders>
                  <w:shd w:val="clear" w:color="000000" w:fill="C5D9F1"/>
                  <w:noWrap/>
                  <w:vAlign w:val="center"/>
                  <w:hideMark/>
                </w:tcPr>
                <w:p w:rsidR="002075D1" w:rsidRPr="001F5FC9" w:rsidRDefault="002075D1" w:rsidP="001F5FC9">
                  <w:pPr>
                    <w:spacing w:after="0" w:line="240" w:lineRule="auto"/>
                    <w:jc w:val="right"/>
                    <w:rPr>
                      <w:rFonts w:ascii="Segoe UI" w:eastAsia="Times New Roman" w:hAnsi="Segoe UI" w:cs="Segoe UI"/>
                      <w:color w:val="000000"/>
                      <w:sz w:val="18"/>
                      <w:szCs w:val="18"/>
                      <w:lang w:eastAsia="en-AU"/>
                    </w:rPr>
                  </w:pPr>
                  <w:r w:rsidRPr="001F5FC9">
                    <w:rPr>
                      <w:rFonts w:ascii="Segoe UI" w:eastAsia="Times New Roman" w:hAnsi="Segoe UI" w:cs="Segoe UI"/>
                      <w:color w:val="000000"/>
                      <w:sz w:val="18"/>
                      <w:szCs w:val="18"/>
                      <w:lang w:eastAsia="en-AU"/>
                    </w:rPr>
                    <w:t>Estimated dermal exposure at WES &gt;10%:</w:t>
                  </w:r>
                </w:p>
              </w:tc>
              <w:tc>
                <w:tcPr>
                  <w:tcW w:w="801" w:type="dxa"/>
                  <w:tcBorders>
                    <w:top w:val="nil"/>
                    <w:left w:val="nil"/>
                    <w:bottom w:val="nil"/>
                    <w:right w:val="nil"/>
                  </w:tcBorders>
                  <w:shd w:val="clear" w:color="000000" w:fill="C5D9F1"/>
                  <w:noWrap/>
                  <w:vAlign w:val="center"/>
                  <w:hideMark/>
                </w:tcPr>
                <w:p w:rsidR="002075D1" w:rsidRPr="001F5FC9" w:rsidRDefault="002075D1" w:rsidP="001F5FC9">
                  <w:pPr>
                    <w:spacing w:after="0" w:line="240" w:lineRule="auto"/>
                    <w:jc w:val="center"/>
                    <w:rPr>
                      <w:rFonts w:ascii="Segoe UI" w:eastAsia="Times New Roman" w:hAnsi="Segoe UI" w:cs="Segoe UI"/>
                      <w:color w:val="000000"/>
                      <w:sz w:val="18"/>
                      <w:szCs w:val="18"/>
                      <w:lang w:eastAsia="en-AU"/>
                    </w:rPr>
                  </w:pPr>
                  <w:r w:rsidRPr="001F5FC9">
                    <w:rPr>
                      <w:rFonts w:ascii="Segoe UI" w:eastAsia="Times New Roman" w:hAnsi="Segoe UI" w:cs="Segoe UI"/>
                      <w:color w:val="000000"/>
                      <w:sz w:val="18"/>
                      <w:szCs w:val="18"/>
                      <w:lang w:eastAsia="en-AU"/>
                    </w:rPr>
                    <w:t> </w:t>
                  </w:r>
                </w:p>
              </w:tc>
              <w:tc>
                <w:tcPr>
                  <w:tcW w:w="474" w:type="dxa"/>
                  <w:tcBorders>
                    <w:top w:val="nil"/>
                    <w:left w:val="nil"/>
                    <w:bottom w:val="nil"/>
                    <w:right w:val="nil"/>
                  </w:tcBorders>
                  <w:shd w:val="clear" w:color="000000" w:fill="C5D9F1"/>
                  <w:noWrap/>
                  <w:vAlign w:val="center"/>
                  <w:hideMark/>
                </w:tcPr>
                <w:p w:rsidR="002075D1" w:rsidRPr="001F5FC9" w:rsidRDefault="002075D1" w:rsidP="001F5FC9">
                  <w:pPr>
                    <w:spacing w:after="0" w:line="240" w:lineRule="auto"/>
                    <w:rPr>
                      <w:rFonts w:ascii="Segoe UI" w:eastAsia="Times New Roman" w:hAnsi="Segoe UI" w:cs="Segoe UI"/>
                      <w:color w:val="C5D9F1"/>
                      <w:sz w:val="18"/>
                      <w:szCs w:val="18"/>
                      <w:lang w:eastAsia="en-AU"/>
                    </w:rPr>
                  </w:pPr>
                  <w:r w:rsidRPr="001F5FC9">
                    <w:rPr>
                      <w:rFonts w:ascii="Segoe UI" w:eastAsia="Times New Roman" w:hAnsi="Segoe UI" w:cs="Segoe UI"/>
                      <w:color w:val="C5D9F1"/>
                      <w:sz w:val="18"/>
                      <w:szCs w:val="18"/>
                      <w:lang w:eastAsia="en-AU"/>
                    </w:rPr>
                    <w:t> </w:t>
                  </w:r>
                </w:p>
              </w:tc>
              <w:tc>
                <w:tcPr>
                  <w:tcW w:w="3588" w:type="dxa"/>
                  <w:tcBorders>
                    <w:top w:val="nil"/>
                    <w:left w:val="nil"/>
                    <w:bottom w:val="nil"/>
                    <w:right w:val="nil"/>
                  </w:tcBorders>
                  <w:shd w:val="clear" w:color="000000" w:fill="C5D9F1"/>
                  <w:noWrap/>
                  <w:vAlign w:val="center"/>
                  <w:hideMark/>
                </w:tcPr>
                <w:p w:rsidR="002075D1" w:rsidRPr="001F5FC9" w:rsidRDefault="002075D1" w:rsidP="001F5FC9">
                  <w:pPr>
                    <w:spacing w:after="0" w:line="240" w:lineRule="auto"/>
                    <w:rPr>
                      <w:rFonts w:ascii="Segoe UI" w:eastAsia="Times New Roman" w:hAnsi="Segoe UI" w:cs="Segoe UI"/>
                      <w:color w:val="000000"/>
                      <w:sz w:val="18"/>
                      <w:szCs w:val="18"/>
                      <w:lang w:eastAsia="en-AU"/>
                    </w:rPr>
                  </w:pPr>
                  <w:r w:rsidRPr="001F5FC9">
                    <w:rPr>
                      <w:rFonts w:ascii="Segoe UI" w:eastAsia="Times New Roman" w:hAnsi="Segoe UI" w:cs="Segoe UI"/>
                      <w:color w:val="000000"/>
                      <w:sz w:val="18"/>
                      <w:szCs w:val="18"/>
                      <w:lang w:eastAsia="en-AU"/>
                    </w:rPr>
                    <w:t> </w:t>
                  </w:r>
                </w:p>
              </w:tc>
            </w:tr>
            <w:tr w:rsidR="002075D1" w:rsidRPr="001F5FC9" w:rsidTr="002075D1">
              <w:trPr>
                <w:trHeight w:val="221"/>
              </w:trPr>
              <w:tc>
                <w:tcPr>
                  <w:tcW w:w="3723" w:type="dxa"/>
                  <w:tcBorders>
                    <w:top w:val="nil"/>
                    <w:left w:val="nil"/>
                    <w:bottom w:val="nil"/>
                    <w:right w:val="nil"/>
                  </w:tcBorders>
                  <w:shd w:val="clear" w:color="000000" w:fill="C5D9F1"/>
                  <w:noWrap/>
                  <w:vAlign w:val="center"/>
                  <w:hideMark/>
                </w:tcPr>
                <w:p w:rsidR="002075D1" w:rsidRPr="001F5FC9" w:rsidRDefault="002075D1" w:rsidP="001F5FC9">
                  <w:pPr>
                    <w:spacing w:after="0" w:line="240" w:lineRule="auto"/>
                    <w:jc w:val="right"/>
                    <w:rPr>
                      <w:rFonts w:ascii="Segoe UI" w:eastAsia="Times New Roman" w:hAnsi="Segoe UI" w:cs="Segoe UI"/>
                      <w:color w:val="000000"/>
                      <w:sz w:val="18"/>
                      <w:szCs w:val="18"/>
                      <w:lang w:eastAsia="en-AU"/>
                    </w:rPr>
                  </w:pPr>
                  <w:r w:rsidRPr="001F5FC9">
                    <w:rPr>
                      <w:rFonts w:ascii="Segoe UI" w:eastAsia="Times New Roman" w:hAnsi="Segoe UI" w:cs="Segoe UI"/>
                      <w:color w:val="000000"/>
                      <w:sz w:val="18"/>
                      <w:szCs w:val="18"/>
                      <w:lang w:eastAsia="en-AU"/>
                    </w:rPr>
                    <w:t> </w:t>
                  </w:r>
                </w:p>
              </w:tc>
              <w:tc>
                <w:tcPr>
                  <w:tcW w:w="801" w:type="dxa"/>
                  <w:tcBorders>
                    <w:top w:val="nil"/>
                    <w:left w:val="nil"/>
                    <w:bottom w:val="nil"/>
                    <w:right w:val="nil"/>
                  </w:tcBorders>
                  <w:shd w:val="clear" w:color="000000" w:fill="C5D9F1"/>
                  <w:noWrap/>
                  <w:vAlign w:val="center"/>
                  <w:hideMark/>
                </w:tcPr>
                <w:p w:rsidR="002075D1" w:rsidRPr="001F5FC9" w:rsidRDefault="002075D1" w:rsidP="001F5FC9">
                  <w:pPr>
                    <w:spacing w:after="0" w:line="240" w:lineRule="auto"/>
                    <w:jc w:val="center"/>
                    <w:rPr>
                      <w:rFonts w:ascii="Segoe UI" w:eastAsia="Times New Roman" w:hAnsi="Segoe UI" w:cs="Segoe UI"/>
                      <w:color w:val="000000"/>
                      <w:sz w:val="18"/>
                      <w:szCs w:val="18"/>
                      <w:lang w:eastAsia="en-AU"/>
                    </w:rPr>
                  </w:pPr>
                  <w:r w:rsidRPr="001F5FC9">
                    <w:rPr>
                      <w:rFonts w:ascii="Segoe UI" w:eastAsia="Times New Roman" w:hAnsi="Segoe UI" w:cs="Segoe UI"/>
                      <w:color w:val="000000"/>
                      <w:sz w:val="18"/>
                      <w:szCs w:val="18"/>
                      <w:lang w:eastAsia="en-AU"/>
                    </w:rPr>
                    <w:t> </w:t>
                  </w:r>
                </w:p>
              </w:tc>
              <w:tc>
                <w:tcPr>
                  <w:tcW w:w="474" w:type="dxa"/>
                  <w:tcBorders>
                    <w:top w:val="nil"/>
                    <w:left w:val="nil"/>
                    <w:bottom w:val="nil"/>
                    <w:right w:val="nil"/>
                  </w:tcBorders>
                  <w:shd w:val="clear" w:color="000000" w:fill="C5D9F1"/>
                  <w:noWrap/>
                  <w:vAlign w:val="center"/>
                  <w:hideMark/>
                </w:tcPr>
                <w:p w:rsidR="002075D1" w:rsidRPr="001F5FC9" w:rsidRDefault="002075D1" w:rsidP="001F5FC9">
                  <w:pPr>
                    <w:spacing w:after="0" w:line="240" w:lineRule="auto"/>
                    <w:jc w:val="right"/>
                    <w:rPr>
                      <w:rFonts w:ascii="Segoe UI" w:eastAsia="Times New Roman" w:hAnsi="Segoe UI" w:cs="Segoe UI"/>
                      <w:color w:val="C5D9F1"/>
                      <w:sz w:val="18"/>
                      <w:szCs w:val="18"/>
                      <w:lang w:eastAsia="en-AU"/>
                    </w:rPr>
                  </w:pPr>
                  <w:r w:rsidRPr="001F5FC9">
                    <w:rPr>
                      <w:rFonts w:ascii="Segoe UI" w:eastAsia="Times New Roman" w:hAnsi="Segoe UI" w:cs="Segoe UI"/>
                      <w:color w:val="C5D9F1"/>
                      <w:sz w:val="18"/>
                      <w:szCs w:val="18"/>
                      <w:lang w:eastAsia="en-AU"/>
                    </w:rPr>
                    <w:t>3</w:t>
                  </w:r>
                </w:p>
              </w:tc>
              <w:tc>
                <w:tcPr>
                  <w:tcW w:w="3588" w:type="dxa"/>
                  <w:tcBorders>
                    <w:top w:val="nil"/>
                    <w:left w:val="nil"/>
                    <w:bottom w:val="nil"/>
                    <w:right w:val="nil"/>
                  </w:tcBorders>
                  <w:shd w:val="clear" w:color="000000" w:fill="C5D9F1"/>
                  <w:noWrap/>
                  <w:vAlign w:val="center"/>
                  <w:hideMark/>
                </w:tcPr>
                <w:p w:rsidR="002075D1" w:rsidRPr="001F5FC9" w:rsidRDefault="002075D1" w:rsidP="001F5FC9">
                  <w:pPr>
                    <w:spacing w:after="0" w:line="240" w:lineRule="auto"/>
                    <w:rPr>
                      <w:rFonts w:ascii="Segoe UI" w:eastAsia="Times New Roman" w:hAnsi="Segoe UI" w:cs="Segoe UI"/>
                      <w:b/>
                      <w:bCs/>
                      <w:color w:val="000000"/>
                      <w:sz w:val="18"/>
                      <w:szCs w:val="18"/>
                      <w:lang w:eastAsia="en-AU"/>
                    </w:rPr>
                  </w:pPr>
                  <w:r w:rsidRPr="001F5FC9">
                    <w:rPr>
                      <w:rFonts w:ascii="Segoe UI" w:eastAsia="Times New Roman" w:hAnsi="Segoe UI" w:cs="Segoe UI"/>
                      <w:b/>
                      <w:bCs/>
                      <w:color w:val="000000"/>
                      <w:sz w:val="18"/>
                      <w:szCs w:val="18"/>
                      <w:lang w:eastAsia="en-AU"/>
                    </w:rPr>
                    <w:t>consider assigning a skin notation</w:t>
                  </w:r>
                </w:p>
              </w:tc>
            </w:tr>
            <w:tr w:rsidR="002075D1" w:rsidRPr="001F5FC9" w:rsidTr="002075D1">
              <w:trPr>
                <w:trHeight w:val="155"/>
              </w:trPr>
              <w:tc>
                <w:tcPr>
                  <w:tcW w:w="3723" w:type="dxa"/>
                  <w:tcBorders>
                    <w:top w:val="nil"/>
                    <w:left w:val="nil"/>
                    <w:bottom w:val="nil"/>
                    <w:right w:val="nil"/>
                  </w:tcBorders>
                  <w:shd w:val="clear" w:color="000000" w:fill="C5D9F1"/>
                  <w:noWrap/>
                  <w:vAlign w:val="center"/>
                  <w:hideMark/>
                </w:tcPr>
                <w:p w:rsidR="002075D1" w:rsidRPr="001F5FC9" w:rsidRDefault="002075D1" w:rsidP="001F5FC9">
                  <w:pPr>
                    <w:spacing w:after="0" w:line="240" w:lineRule="auto"/>
                    <w:jc w:val="right"/>
                    <w:rPr>
                      <w:rFonts w:ascii="Segoe UI" w:eastAsia="Times New Roman" w:hAnsi="Segoe UI" w:cs="Segoe UI"/>
                      <w:color w:val="000000"/>
                      <w:sz w:val="18"/>
                      <w:szCs w:val="18"/>
                      <w:lang w:eastAsia="en-AU"/>
                    </w:rPr>
                  </w:pPr>
                  <w:r w:rsidRPr="001F5FC9">
                    <w:rPr>
                      <w:rFonts w:ascii="Segoe UI" w:eastAsia="Times New Roman" w:hAnsi="Segoe UI" w:cs="Segoe UI"/>
                      <w:color w:val="000000"/>
                      <w:sz w:val="18"/>
                      <w:szCs w:val="18"/>
                      <w:lang w:eastAsia="en-AU"/>
                    </w:rPr>
                    <w:t> </w:t>
                  </w:r>
                </w:p>
              </w:tc>
              <w:tc>
                <w:tcPr>
                  <w:tcW w:w="801" w:type="dxa"/>
                  <w:tcBorders>
                    <w:top w:val="nil"/>
                    <w:left w:val="nil"/>
                    <w:bottom w:val="nil"/>
                    <w:right w:val="nil"/>
                  </w:tcBorders>
                  <w:shd w:val="clear" w:color="000000" w:fill="C5D9F1"/>
                  <w:noWrap/>
                  <w:vAlign w:val="center"/>
                  <w:hideMark/>
                </w:tcPr>
                <w:p w:rsidR="002075D1" w:rsidRPr="001F5FC9" w:rsidRDefault="002075D1" w:rsidP="001F5FC9">
                  <w:pPr>
                    <w:spacing w:after="0" w:line="240" w:lineRule="auto"/>
                    <w:jc w:val="center"/>
                    <w:rPr>
                      <w:rFonts w:ascii="Segoe UI" w:eastAsia="Times New Roman" w:hAnsi="Segoe UI" w:cs="Segoe UI"/>
                      <w:color w:val="000000"/>
                      <w:sz w:val="18"/>
                      <w:szCs w:val="18"/>
                      <w:lang w:eastAsia="en-AU"/>
                    </w:rPr>
                  </w:pPr>
                  <w:r w:rsidRPr="001F5FC9">
                    <w:rPr>
                      <w:rFonts w:ascii="Segoe UI" w:eastAsia="Times New Roman" w:hAnsi="Segoe UI" w:cs="Segoe UI"/>
                      <w:color w:val="000000"/>
                      <w:sz w:val="18"/>
                      <w:szCs w:val="18"/>
                      <w:lang w:eastAsia="en-AU"/>
                    </w:rPr>
                    <w:t> </w:t>
                  </w:r>
                </w:p>
              </w:tc>
              <w:tc>
                <w:tcPr>
                  <w:tcW w:w="474" w:type="dxa"/>
                  <w:tcBorders>
                    <w:top w:val="nil"/>
                    <w:left w:val="nil"/>
                    <w:bottom w:val="nil"/>
                    <w:right w:val="nil"/>
                  </w:tcBorders>
                  <w:shd w:val="clear" w:color="000000" w:fill="C5D9F1"/>
                  <w:noWrap/>
                  <w:vAlign w:val="center"/>
                  <w:hideMark/>
                </w:tcPr>
                <w:p w:rsidR="002075D1" w:rsidRPr="001F5FC9" w:rsidRDefault="002075D1" w:rsidP="001F5FC9">
                  <w:pPr>
                    <w:spacing w:after="0" w:line="240" w:lineRule="auto"/>
                    <w:rPr>
                      <w:rFonts w:ascii="Segoe UI" w:eastAsia="Times New Roman" w:hAnsi="Segoe UI" w:cs="Segoe UI"/>
                      <w:color w:val="000000"/>
                      <w:sz w:val="18"/>
                      <w:szCs w:val="18"/>
                      <w:lang w:eastAsia="en-AU"/>
                    </w:rPr>
                  </w:pPr>
                  <w:r w:rsidRPr="001F5FC9">
                    <w:rPr>
                      <w:rFonts w:ascii="Segoe UI" w:eastAsia="Times New Roman" w:hAnsi="Segoe UI" w:cs="Segoe UI"/>
                      <w:color w:val="000000"/>
                      <w:sz w:val="18"/>
                      <w:szCs w:val="18"/>
                      <w:lang w:eastAsia="en-AU"/>
                    </w:rPr>
                    <w:t> </w:t>
                  </w:r>
                </w:p>
              </w:tc>
              <w:tc>
                <w:tcPr>
                  <w:tcW w:w="3588" w:type="dxa"/>
                  <w:tcBorders>
                    <w:top w:val="nil"/>
                    <w:left w:val="nil"/>
                    <w:bottom w:val="nil"/>
                    <w:right w:val="nil"/>
                  </w:tcBorders>
                  <w:shd w:val="clear" w:color="000000" w:fill="C5D9F1"/>
                  <w:noWrap/>
                  <w:vAlign w:val="center"/>
                  <w:hideMark/>
                </w:tcPr>
                <w:p w:rsidR="002075D1" w:rsidRPr="001F5FC9" w:rsidRDefault="002075D1" w:rsidP="001F5FC9">
                  <w:pPr>
                    <w:spacing w:after="0" w:line="240" w:lineRule="auto"/>
                    <w:rPr>
                      <w:rFonts w:ascii="Segoe UI" w:eastAsia="Times New Roman" w:hAnsi="Segoe UI" w:cs="Segoe UI"/>
                      <w:color w:val="000000"/>
                      <w:sz w:val="18"/>
                      <w:szCs w:val="18"/>
                      <w:lang w:eastAsia="en-AU"/>
                    </w:rPr>
                  </w:pPr>
                  <w:r w:rsidRPr="001F5FC9">
                    <w:rPr>
                      <w:rFonts w:ascii="Segoe UI" w:eastAsia="Times New Roman" w:hAnsi="Segoe UI" w:cs="Segoe UI"/>
                      <w:color w:val="000000"/>
                      <w:sz w:val="18"/>
                      <w:szCs w:val="18"/>
                      <w:lang w:eastAsia="en-AU"/>
                    </w:rPr>
                    <w:t> </w:t>
                  </w:r>
                </w:p>
              </w:tc>
            </w:tr>
          </w:tbl>
          <w:p w:rsidR="00932DCE" w:rsidRPr="004C23F4" w:rsidRDefault="00932DCE" w:rsidP="00F9496B">
            <w:pPr>
              <w:pStyle w:val="Tablefont"/>
            </w:pPr>
          </w:p>
        </w:tc>
      </w:tr>
    </w:tbl>
    <w:bookmarkEnd w:id="3"/>
    <w:p w:rsidR="00EB3D1B" w:rsidRDefault="00EB3D1B" w:rsidP="00EB3D1B">
      <w:pPr>
        <w:pStyle w:val="Heading3"/>
      </w:pPr>
      <w:r>
        <w:t>IDLH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DLH Table"/>
        <w:tblDescription w:val="Poses question: Ist here a suitable IDLH value available"/>
      </w:tblPr>
      <w:tblGrid>
        <w:gridCol w:w="4269"/>
        <w:gridCol w:w="4757"/>
      </w:tblGrid>
      <w:tr w:rsidR="00EB3D1B" w:rsidTr="00610F2E">
        <w:trPr>
          <w:trHeight w:val="454"/>
          <w:tblHeader/>
        </w:trPr>
        <w:tc>
          <w:tcPr>
            <w:tcW w:w="4361" w:type="dxa"/>
            <w:vAlign w:val="center"/>
          </w:tcPr>
          <w:p w:rsidR="00EB3D1B" w:rsidRDefault="00EB3D1B" w:rsidP="00D87570">
            <w:pPr>
              <w:pStyle w:val="Tablefont"/>
            </w:pPr>
            <w:r>
              <w:t xml:space="preserve">Is there a </w:t>
            </w:r>
            <w:r w:rsidR="006E5D05">
              <w:t>suitable</w:t>
            </w:r>
            <w:r>
              <w:t xml:space="preserve"> IDLH value available?</w:t>
            </w:r>
          </w:p>
        </w:tc>
        <w:sdt>
          <w:sdtPr>
            <w:id w:val="1781757649"/>
            <w:placeholder>
              <w:docPart w:val="F426C563814E402488AC06CC39354A11"/>
            </w:placeholder>
            <w:comboBox>
              <w:listItem w:value="Choose an item."/>
              <w:listItem w:displayText="Yes" w:value="Yes"/>
              <w:listItem w:displayText="Yes, based on LEL" w:value="Yes, based on LEL"/>
              <w:listItem w:displayText="No" w:value="No"/>
              <w:listItem w:displayText="No, the chemical is a genotoxic carcinogen" w:value="No, the chemical is a genotoxic carcinogen"/>
            </w:comboBox>
          </w:sdtPr>
          <w:sdtEndPr/>
          <w:sdtContent>
            <w:tc>
              <w:tcPr>
                <w:tcW w:w="4881" w:type="dxa"/>
                <w:vAlign w:val="center"/>
              </w:tcPr>
              <w:p w:rsidR="00EB3D1B" w:rsidRDefault="00A537AB" w:rsidP="00EB3D1B">
                <w:pPr>
                  <w:pStyle w:val="Tablefont"/>
                </w:pPr>
                <w:r>
                  <w:t>No</w:t>
                </w:r>
              </w:p>
            </w:tc>
          </w:sdtContent>
        </w:sdt>
      </w:tr>
    </w:tbl>
    <w:p w:rsidR="00687890" w:rsidRPr="004C23F4" w:rsidRDefault="00B479A9" w:rsidP="00DE2A0E">
      <w:pPr>
        <w:pStyle w:val="Heading2"/>
        <w:keepNext w:val="0"/>
      </w:pPr>
      <w:r w:rsidRPr="004C23F4">
        <w:t>Additional information</w:t>
      </w:r>
    </w:p>
    <w:tbl>
      <w:tblPr>
        <w:tblStyle w:val="TableGrid"/>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insideV w:val="none" w:sz="0" w:space="0" w:color="auto"/>
        </w:tblBorders>
        <w:tblLook w:val="04A0" w:firstRow="1" w:lastRow="0" w:firstColumn="1" w:lastColumn="0" w:noHBand="0" w:noVBand="1"/>
        <w:tblCaption w:val="Table"/>
        <w:tblDescription w:val="Showing additional information"/>
      </w:tblPr>
      <w:tblGrid>
        <w:gridCol w:w="3996"/>
        <w:gridCol w:w="5030"/>
      </w:tblGrid>
      <w:tr w:rsidR="001B79E5" w:rsidRPr="004C23F4" w:rsidTr="00EA6243">
        <w:trPr>
          <w:cantSplit/>
          <w:tblHeader/>
        </w:trPr>
        <w:tc>
          <w:tcPr>
            <w:tcW w:w="4077" w:type="dxa"/>
            <w:vAlign w:val="center"/>
          </w:tcPr>
          <w:p w:rsidR="001B79E5" w:rsidRDefault="001B79E5" w:rsidP="00DE2A0E">
            <w:pPr>
              <w:pStyle w:val="Tablefont"/>
            </w:pPr>
            <w:r>
              <w:t>Molecular weight:</w:t>
            </w:r>
          </w:p>
        </w:tc>
        <w:sdt>
          <w:sdtPr>
            <w:id w:val="2058126578"/>
            <w:placeholder>
              <w:docPart w:val="0DAD3FB9ACEF4778B961F088737E2361"/>
            </w:placeholder>
          </w:sdtPr>
          <w:sdtEndPr/>
          <w:sdtContent>
            <w:tc>
              <w:tcPr>
                <w:tcW w:w="5165" w:type="dxa"/>
                <w:vAlign w:val="center"/>
              </w:tcPr>
              <w:p w:rsidR="001B79E5" w:rsidRDefault="00A537AB" w:rsidP="00DE2A0E">
                <w:pPr>
                  <w:pStyle w:val="Tablefont"/>
                </w:pPr>
                <w:r w:rsidRPr="00A537AB">
                  <w:t>344.1</w:t>
                </w:r>
                <w:r w:rsidR="00DB6A73">
                  <w:t xml:space="preserve"> </w:t>
                </w:r>
              </w:p>
            </w:tc>
          </w:sdtContent>
        </w:sdt>
      </w:tr>
      <w:tr w:rsidR="00A31D99" w:rsidRPr="004C23F4" w:rsidTr="00EA6243">
        <w:trPr>
          <w:cantSplit/>
          <w:tblHeader/>
        </w:trPr>
        <w:tc>
          <w:tcPr>
            <w:tcW w:w="4077" w:type="dxa"/>
            <w:vAlign w:val="center"/>
          </w:tcPr>
          <w:p w:rsidR="00A31D99" w:rsidRPr="00263255" w:rsidRDefault="00A31D99" w:rsidP="00DE2A0E">
            <w:pPr>
              <w:pStyle w:val="Tablefont"/>
            </w:pPr>
            <w:r>
              <w:t>Conversion factors at 25</w:t>
            </w:r>
            <w:r>
              <w:rPr>
                <w:rFonts w:cs="Arial"/>
              </w:rPr>
              <w:t>°</w:t>
            </w:r>
            <w:r>
              <w:t xml:space="preserve">C and 101.3 kPa: </w:t>
            </w:r>
          </w:p>
        </w:tc>
        <w:tc>
          <w:tcPr>
            <w:tcW w:w="5165" w:type="dxa"/>
            <w:vAlign w:val="center"/>
          </w:tcPr>
          <w:p w:rsidR="00A31D99" w:rsidRDefault="00A0643F" w:rsidP="00DE2A0E">
            <w:pPr>
              <w:pStyle w:val="Tablefont"/>
            </w:pPr>
            <w:r>
              <w:t xml:space="preserve">1 ppm = </w:t>
            </w:r>
            <w:sdt>
              <w:sdtPr>
                <w:id w:val="-371151491"/>
                <w:placeholder>
                  <w:docPart w:val="A7231FB73EFF4B2B92EB3BD21C0CEA01"/>
                </w:placeholder>
              </w:sdtPr>
              <w:sdtEndPr/>
              <w:sdtContent>
                <w:r w:rsidR="00A537AB">
                  <w:t>14.07</w:t>
                </w:r>
              </w:sdtContent>
            </w:sdt>
            <w:r>
              <w:t xml:space="preserve"> mg/m</w:t>
            </w:r>
            <w:r w:rsidRPr="00D83761">
              <w:rPr>
                <w:vertAlign w:val="superscript"/>
              </w:rPr>
              <w:t>3</w:t>
            </w:r>
            <w:r>
              <w:t>; 1 mg/m</w:t>
            </w:r>
            <w:r w:rsidRPr="00D83761">
              <w:rPr>
                <w:vertAlign w:val="superscript"/>
              </w:rPr>
              <w:t>3</w:t>
            </w:r>
            <w:r>
              <w:t xml:space="preserve"> = </w:t>
            </w:r>
            <w:sdt>
              <w:sdtPr>
                <w:id w:val="-1913150218"/>
                <w:placeholder>
                  <w:docPart w:val="5D98FA8C84704C71B6F1557317AE5303"/>
                </w:placeholder>
              </w:sdtPr>
              <w:sdtEndPr/>
              <w:sdtContent>
                <w:r w:rsidR="00A537AB">
                  <w:t>0.07</w:t>
                </w:r>
              </w:sdtContent>
            </w:sdt>
            <w:r>
              <w:t xml:space="preserve"> ppm</w:t>
            </w:r>
          </w:p>
        </w:tc>
      </w:tr>
      <w:tr w:rsidR="00687890" w:rsidRPr="004C23F4" w:rsidTr="00EA6243">
        <w:trPr>
          <w:cantSplit/>
          <w:tblHeader/>
        </w:trPr>
        <w:tc>
          <w:tcPr>
            <w:tcW w:w="4077" w:type="dxa"/>
            <w:vAlign w:val="center"/>
          </w:tcPr>
          <w:p w:rsidR="00687890" w:rsidRPr="00263255" w:rsidRDefault="00687890" w:rsidP="00DE2A0E">
            <w:pPr>
              <w:pStyle w:val="Tablefont"/>
            </w:pPr>
            <w:r w:rsidRPr="00263255">
              <w:t>This chemical is used as a pesticide:</w:t>
            </w:r>
          </w:p>
        </w:tc>
        <w:sdt>
          <w:sdtPr>
            <w:id w:val="1704441067"/>
            <w14:checkbox>
              <w14:checked w14:val="1"/>
              <w14:checkedState w14:val="00FC" w14:font="Wingdings"/>
              <w14:uncheckedState w14:val="2610" w14:font="MS Gothic"/>
            </w14:checkbox>
          </w:sdtPr>
          <w:sdtEndPr/>
          <w:sdtContent>
            <w:tc>
              <w:tcPr>
                <w:tcW w:w="5165" w:type="dxa"/>
                <w:vAlign w:val="center"/>
              </w:tcPr>
              <w:p w:rsidR="00687890" w:rsidRPr="004C23F4" w:rsidRDefault="00A537AB" w:rsidP="00DE2A0E">
                <w:pPr>
                  <w:pStyle w:val="Tablefont"/>
                </w:pPr>
                <w:r>
                  <w:sym w:font="Wingdings" w:char="F0FC"/>
                </w:r>
              </w:p>
            </w:tc>
          </w:sdtContent>
        </w:sdt>
      </w:tr>
      <w:tr w:rsidR="00687890" w:rsidRPr="004C23F4" w:rsidTr="00EA6243">
        <w:trPr>
          <w:cantSplit/>
        </w:trPr>
        <w:tc>
          <w:tcPr>
            <w:tcW w:w="4077" w:type="dxa"/>
            <w:vAlign w:val="center"/>
          </w:tcPr>
          <w:p w:rsidR="00687890" w:rsidRPr="00263255" w:rsidRDefault="00687890" w:rsidP="00DE2A0E">
            <w:pPr>
              <w:pStyle w:val="Tablefont"/>
            </w:pPr>
            <w:r w:rsidRPr="00263255">
              <w:t>This chemical is a biological product:</w:t>
            </w:r>
          </w:p>
        </w:tc>
        <w:sdt>
          <w:sdtPr>
            <w:id w:val="-659616774"/>
            <w14:checkbox>
              <w14:checked w14:val="0"/>
              <w14:checkedState w14:val="00FC" w14:font="Wingdings"/>
              <w14:uncheckedState w14:val="2610" w14:font="MS Gothic"/>
            </w14:checkbox>
          </w:sdtPr>
          <w:sdtEndPr/>
          <w:sdtContent>
            <w:tc>
              <w:tcPr>
                <w:tcW w:w="5165" w:type="dxa"/>
                <w:vAlign w:val="center"/>
              </w:tcPr>
              <w:p w:rsidR="00687890" w:rsidRPr="004C23F4" w:rsidRDefault="00A20751" w:rsidP="00DE2A0E">
                <w:pPr>
                  <w:pStyle w:val="Tablefont"/>
                </w:pPr>
                <w:r w:rsidRPr="004C23F4">
                  <w:rPr>
                    <w:rFonts w:ascii="MS Gothic" w:eastAsia="MS Gothic" w:hAnsi="MS Gothic" w:cs="MS Gothic" w:hint="eastAsia"/>
                  </w:rPr>
                  <w:t>☐</w:t>
                </w:r>
              </w:p>
            </w:tc>
          </w:sdtContent>
        </w:sdt>
      </w:tr>
      <w:tr w:rsidR="00687890" w:rsidRPr="004C23F4" w:rsidTr="00EA6243">
        <w:trPr>
          <w:cantSplit/>
        </w:trPr>
        <w:tc>
          <w:tcPr>
            <w:tcW w:w="4077" w:type="dxa"/>
            <w:vAlign w:val="center"/>
          </w:tcPr>
          <w:p w:rsidR="00687890" w:rsidRPr="00263255" w:rsidRDefault="00687890" w:rsidP="00DE2A0E">
            <w:pPr>
              <w:pStyle w:val="Tablefont"/>
            </w:pPr>
            <w:r w:rsidRPr="00263255">
              <w:t>This chemical is a by-product of a process:</w:t>
            </w:r>
          </w:p>
        </w:tc>
        <w:sdt>
          <w:sdtPr>
            <w:id w:val="-863134491"/>
            <w14:checkbox>
              <w14:checked w14:val="0"/>
              <w14:checkedState w14:val="00FC" w14:font="Wingdings"/>
              <w14:uncheckedState w14:val="2610" w14:font="MS Gothic"/>
            </w14:checkbox>
          </w:sdtPr>
          <w:sdtEndPr/>
          <w:sdtContent>
            <w:tc>
              <w:tcPr>
                <w:tcW w:w="5165" w:type="dxa"/>
                <w:vAlign w:val="center"/>
              </w:tcPr>
              <w:p w:rsidR="00687890" w:rsidRPr="004C23F4" w:rsidRDefault="00687890" w:rsidP="00DE2A0E">
                <w:pPr>
                  <w:pStyle w:val="Tablefont"/>
                </w:pPr>
                <w:r w:rsidRPr="004C23F4">
                  <w:rPr>
                    <w:rFonts w:ascii="MS Gothic" w:eastAsia="MS Gothic" w:hAnsi="MS Gothic" w:cs="MS Gothic" w:hint="eastAsia"/>
                  </w:rPr>
                  <w:t>☐</w:t>
                </w:r>
              </w:p>
            </w:tc>
          </w:sdtContent>
        </w:sdt>
      </w:tr>
      <w:tr w:rsidR="00E06F40" w:rsidRPr="004C23F4" w:rsidTr="00EA6243">
        <w:trPr>
          <w:cantSplit/>
        </w:trPr>
        <w:tc>
          <w:tcPr>
            <w:tcW w:w="4077" w:type="dxa"/>
            <w:vAlign w:val="center"/>
          </w:tcPr>
          <w:p w:rsidR="00E06F40" w:rsidRPr="00263255" w:rsidRDefault="00E06F40" w:rsidP="00DE2A0E">
            <w:pPr>
              <w:pStyle w:val="Tablefont"/>
            </w:pPr>
            <w:r w:rsidRPr="00263255">
              <w:t xml:space="preserve">A biological exposure index has been recommended by </w:t>
            </w:r>
            <w:r w:rsidR="00084513">
              <w:t>these agencies</w:t>
            </w:r>
            <w:r w:rsidRPr="00263255">
              <w:t>:</w:t>
            </w:r>
          </w:p>
        </w:tc>
        <w:tc>
          <w:tcPr>
            <w:tcW w:w="5165" w:type="dxa"/>
            <w:vAlign w:val="center"/>
          </w:tcPr>
          <w:p w:rsidR="00E06F40" w:rsidRPr="00A006A0" w:rsidRDefault="001F256E" w:rsidP="00DE2A0E">
            <w:pPr>
              <w:pStyle w:val="Tablefont"/>
              <w:tabs>
                <w:tab w:val="left" w:pos="1310"/>
                <w:tab w:val="left" w:pos="2444"/>
                <w:tab w:val="left" w:pos="3861"/>
              </w:tabs>
            </w:pPr>
            <w:sdt>
              <w:sdtPr>
                <w:id w:val="92759666"/>
                <w14:checkbox>
                  <w14:checked w14:val="0"/>
                  <w14:checkedState w14:val="00FC" w14:font="Wingdings"/>
                  <w14:uncheckedState w14:val="2610" w14:font="MS Gothic"/>
                </w14:checkbox>
              </w:sdtPr>
              <w:sdtEndPr/>
              <w:sdtContent>
                <w:r w:rsidR="00E06F40" w:rsidRPr="004C23F4">
                  <w:rPr>
                    <w:rFonts w:ascii="MS Gothic" w:eastAsia="MS Gothic" w:hAnsi="MS Gothic" w:cs="MS Gothic" w:hint="eastAsia"/>
                  </w:rPr>
                  <w:t>☐</w:t>
                </w:r>
              </w:sdtContent>
            </w:sdt>
            <w:r w:rsidR="00E06F40" w:rsidRPr="00A006A0">
              <w:t xml:space="preserve"> ACGIH</w:t>
            </w:r>
            <w:r w:rsidR="00E06F40">
              <w:tab/>
            </w:r>
            <w:sdt>
              <w:sdtPr>
                <w:id w:val="129367724"/>
                <w14:checkbox>
                  <w14:checked w14:val="0"/>
                  <w14:checkedState w14:val="00FC" w14:font="Wingdings"/>
                  <w14:uncheckedState w14:val="2610" w14:font="MS Gothic"/>
                </w14:checkbox>
              </w:sdtPr>
              <w:sdtEndPr/>
              <w:sdtContent>
                <w:r w:rsidR="00DB01EA">
                  <w:rPr>
                    <w:rFonts w:ascii="MS Gothic" w:eastAsia="MS Gothic" w:hAnsi="MS Gothic" w:hint="eastAsia"/>
                  </w:rPr>
                  <w:t>☐</w:t>
                </w:r>
              </w:sdtContent>
            </w:sdt>
            <w:r w:rsidR="00E06F40" w:rsidRPr="00A006A0">
              <w:t xml:space="preserve"> DFG</w:t>
            </w:r>
            <w:r w:rsidR="00E06F40">
              <w:tab/>
            </w:r>
            <w:sdt>
              <w:sdtPr>
                <w:id w:val="-1535876012"/>
                <w14:checkbox>
                  <w14:checked w14:val="0"/>
                  <w14:checkedState w14:val="00FC" w14:font="Wingdings"/>
                  <w14:uncheckedState w14:val="2610" w14:font="MS Gothic"/>
                </w14:checkbox>
              </w:sdtPr>
              <w:sdtEndPr/>
              <w:sdtContent>
                <w:r w:rsidR="00E06F40" w:rsidRPr="004C23F4">
                  <w:rPr>
                    <w:rFonts w:ascii="MS Gothic" w:eastAsia="MS Gothic" w:hAnsi="MS Gothic" w:cs="MS Gothic" w:hint="eastAsia"/>
                  </w:rPr>
                  <w:t>☐</w:t>
                </w:r>
              </w:sdtContent>
            </w:sdt>
            <w:r w:rsidR="00E06F40" w:rsidRPr="00A006A0">
              <w:t xml:space="preserve"> SCOEL</w:t>
            </w:r>
            <w:r w:rsidR="00E06F40">
              <w:tab/>
            </w:r>
          </w:p>
        </w:tc>
      </w:tr>
    </w:tbl>
    <w:p w:rsidR="007F1005" w:rsidRPr="004C23F4" w:rsidRDefault="007F1005" w:rsidP="00EB3D1B">
      <w:pPr>
        <w:pStyle w:val="Heading2"/>
        <w:keepLines/>
      </w:pPr>
      <w:r w:rsidRPr="004C23F4">
        <w:lastRenderedPageBreak/>
        <w:t xml:space="preserve">Workplace exposure </w:t>
      </w:r>
      <w:r w:rsidR="00B479A9" w:rsidRPr="004C23F4">
        <w:t>standard history</w:t>
      </w:r>
    </w:p>
    <w:tbl>
      <w:tblPr>
        <w:tblStyle w:val="TableGrid"/>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insideV w:val="none" w:sz="0" w:space="0" w:color="auto"/>
        </w:tblBorders>
        <w:tblLook w:val="04A0" w:firstRow="1" w:lastRow="0" w:firstColumn="1" w:lastColumn="0" w:noHBand="0" w:noVBand="1"/>
        <w:tblCaption w:val="Table"/>
        <w:tblDescription w:val="Showing Workplace Exposure Standard history"/>
      </w:tblPr>
      <w:tblGrid>
        <w:gridCol w:w="3979"/>
        <w:gridCol w:w="5047"/>
      </w:tblGrid>
      <w:tr w:rsidR="00224EE2" w:rsidRPr="004C23F4" w:rsidTr="00F053FA">
        <w:trPr>
          <w:tblHeader/>
        </w:trPr>
        <w:tc>
          <w:tcPr>
            <w:tcW w:w="4077" w:type="dxa"/>
            <w:shd w:val="clear" w:color="auto" w:fill="BFBFBF" w:themeFill="background1" w:themeFillShade="BF"/>
            <w:vAlign w:val="center"/>
          </w:tcPr>
          <w:p w:rsidR="00224EE2" w:rsidRPr="004C23F4" w:rsidRDefault="00224EE2" w:rsidP="00EB3D1B">
            <w:pPr>
              <w:pStyle w:val="Tableheader"/>
              <w:keepNext/>
              <w:keepLines/>
            </w:pPr>
            <w:bookmarkStart w:id="4" w:name="History" w:colFirst="0" w:colLast="1"/>
            <w:r>
              <w:t>Year</w:t>
            </w:r>
          </w:p>
        </w:tc>
        <w:tc>
          <w:tcPr>
            <w:tcW w:w="5165" w:type="dxa"/>
            <w:shd w:val="clear" w:color="auto" w:fill="BFBFBF" w:themeFill="background1" w:themeFillShade="BF"/>
            <w:vAlign w:val="center"/>
          </w:tcPr>
          <w:p w:rsidR="00224EE2" w:rsidRPr="004C23F4" w:rsidRDefault="00224EE2" w:rsidP="00EB3D1B">
            <w:pPr>
              <w:pStyle w:val="Tableheader"/>
              <w:keepNext/>
              <w:keepLines/>
            </w:pPr>
            <w:r>
              <w:t>Standard</w:t>
            </w:r>
          </w:p>
        </w:tc>
      </w:tr>
      <w:tr w:rsidR="007F1005" w:rsidRPr="004C23F4" w:rsidTr="00F053FA">
        <w:trPr>
          <w:tblHeader/>
        </w:trPr>
        <w:sdt>
          <w:sdtPr>
            <w:id w:val="-25557549"/>
            <w:placeholder>
              <w:docPart w:val="2BF891C0AB704CDAB9BC6E80D556473F"/>
            </w:placeholder>
            <w:showingPlcHdr/>
            <w:text/>
          </w:sdtPr>
          <w:sdtEndPr/>
          <w:sdtContent>
            <w:tc>
              <w:tcPr>
                <w:tcW w:w="4077" w:type="dxa"/>
                <w:vAlign w:val="center"/>
              </w:tcPr>
              <w:p w:rsidR="007F1005" w:rsidRPr="004C23F4" w:rsidRDefault="00131092" w:rsidP="00EB3D1B">
                <w:pPr>
                  <w:pStyle w:val="Tablefont"/>
                  <w:keepLines/>
                </w:pPr>
                <w:r w:rsidRPr="004C23F4">
                  <w:rPr>
                    <w:rStyle w:val="PlaceholderText"/>
                    <w:rFonts w:cs="Arial"/>
                  </w:rPr>
                  <w:t>Click here to enter year</w:t>
                </w:r>
              </w:p>
            </w:tc>
          </w:sdtContent>
        </w:sdt>
        <w:tc>
          <w:tcPr>
            <w:tcW w:w="5165" w:type="dxa"/>
            <w:vAlign w:val="center"/>
          </w:tcPr>
          <w:p w:rsidR="007F1005" w:rsidRPr="004C23F4" w:rsidRDefault="007F1005" w:rsidP="00EB3D1B">
            <w:pPr>
              <w:pStyle w:val="Tablefont"/>
              <w:keepLines/>
            </w:pPr>
          </w:p>
        </w:tc>
      </w:tr>
    </w:tbl>
    <w:bookmarkEnd w:id="4"/>
    <w:p w:rsidR="00F87D92" w:rsidRDefault="00F87D92" w:rsidP="00EF7F78">
      <w:pPr>
        <w:pStyle w:val="Heading2"/>
        <w:tabs>
          <w:tab w:val="right" w:pos="8505"/>
        </w:tabs>
      </w:pPr>
      <w:r>
        <w:t>References</w:t>
      </w:r>
      <w:r w:rsidR="00EF7F78">
        <w:tab/>
      </w:r>
    </w:p>
    <w:p w:rsidR="007F1005" w:rsidRDefault="006650FE" w:rsidP="00084859">
      <w:r>
        <w:t>American Conference of Industrial Hygienists (ACGIH</w:t>
      </w:r>
      <w:r>
        <w:rPr>
          <w:vertAlign w:val="superscript"/>
        </w:rPr>
        <w:t>®</w:t>
      </w:r>
      <w:r>
        <w:t>) (201</w:t>
      </w:r>
      <w:r w:rsidR="00F67BBB">
        <w:t>8</w:t>
      </w:r>
      <w:r>
        <w:t>) TLVs</w:t>
      </w:r>
      <w:r>
        <w:rPr>
          <w:vertAlign w:val="superscript"/>
        </w:rPr>
        <w:t>®</w:t>
      </w:r>
      <w:r>
        <w:t xml:space="preserve"> and BEIs</w:t>
      </w:r>
      <w:r>
        <w:rPr>
          <w:vertAlign w:val="superscript"/>
        </w:rPr>
        <w:t>®</w:t>
      </w:r>
      <w:r>
        <w:t xml:space="preserve"> with 7</w:t>
      </w:r>
      <w:r>
        <w:rPr>
          <w:vertAlign w:val="superscript"/>
        </w:rPr>
        <w:t>th</w:t>
      </w:r>
      <w:r>
        <w:t xml:space="preserve"> Edition Documentation, CD-ROM, Single User Version. Copyright 201</w:t>
      </w:r>
      <w:r w:rsidR="00F67BBB">
        <w:t>8</w:t>
      </w:r>
      <w:r>
        <w:t xml:space="preserve">. Reprinted with permission. See the </w:t>
      </w:r>
      <w:hyperlink r:id="rId17" w:history="1">
        <w:r>
          <w:rPr>
            <w:rStyle w:val="Hyperlink"/>
            <w:i/>
          </w:rPr>
          <w:t>TLVs</w:t>
        </w:r>
        <w:r>
          <w:rPr>
            <w:rStyle w:val="Hyperlink"/>
            <w:i/>
            <w:vertAlign w:val="superscript"/>
          </w:rPr>
          <w:t>®</w:t>
        </w:r>
        <w:r>
          <w:rPr>
            <w:rStyle w:val="Hyperlink"/>
            <w:i/>
          </w:rPr>
          <w:t xml:space="preserve"> and BEIs</w:t>
        </w:r>
        <w:r>
          <w:rPr>
            <w:rStyle w:val="Hyperlink"/>
            <w:i/>
            <w:vertAlign w:val="superscript"/>
          </w:rPr>
          <w:t>®</w:t>
        </w:r>
        <w:r>
          <w:rPr>
            <w:rStyle w:val="Hyperlink"/>
            <w:i/>
          </w:rPr>
          <w:t xml:space="preserve"> Guidelines section</w:t>
        </w:r>
      </w:hyperlink>
      <w:r>
        <w:t xml:space="preserve"> on the ACGIH website.</w:t>
      </w:r>
    </w:p>
    <w:p w:rsidR="00A537AB" w:rsidRDefault="00A537AB" w:rsidP="00084859">
      <w:r>
        <w:t xml:space="preserve">European Chemicals Agency (ECHA) (2019) </w:t>
      </w:r>
      <w:r w:rsidRPr="00A537AB">
        <w:t>Diquat</w:t>
      </w:r>
      <w:r w:rsidR="00F131BE">
        <w:t xml:space="preserve"> dibromide</w:t>
      </w:r>
      <w:r>
        <w:t xml:space="preserve"> – REACH assessment.</w:t>
      </w:r>
    </w:p>
    <w:p w:rsidR="00D00CD9" w:rsidRDefault="00D00CD9" w:rsidP="00D00CD9">
      <w:r w:rsidRPr="00DB0A36">
        <w:t>National Industrial Chemicals Notification and Assessment Scheme (NICNAS) (</w:t>
      </w:r>
      <w:r>
        <w:t>2018</w:t>
      </w:r>
      <w:r w:rsidRPr="00DB0A36">
        <w:t xml:space="preserve">) </w:t>
      </w:r>
      <w:r>
        <w:rPr>
          <w:rFonts w:cs="Arial"/>
          <w:color w:val="262626"/>
          <w:shd w:val="clear" w:color="auto" w:fill="FFFFFF"/>
        </w:rPr>
        <w:t>Dipyrido[1,2-a:2',1'-c]pyrazinediium, 6,7-dihydro-, dibromide</w:t>
      </w:r>
      <w:r w:rsidRPr="00DB0A36">
        <w:t>:</w:t>
      </w:r>
      <w:r>
        <w:t xml:space="preserve"> </w:t>
      </w:r>
      <w:r w:rsidRPr="00DB0A36">
        <w:t xml:space="preserve">Human </w:t>
      </w:r>
      <w:r w:rsidRPr="004633BA">
        <w:t xml:space="preserve">health </w:t>
      </w:r>
      <w:r>
        <w:t>tier I</w:t>
      </w:r>
      <w:r w:rsidRPr="004633BA">
        <w:t xml:space="preserve"> assessment </w:t>
      </w:r>
      <w:r w:rsidRPr="00DB0A36">
        <w:t>– IMAP report.</w:t>
      </w:r>
    </w:p>
    <w:p w:rsidR="007B65A7" w:rsidRDefault="007B65A7" w:rsidP="007B65A7">
      <w:r w:rsidRPr="00E461B8">
        <w:rPr>
          <w:color w:val="000000"/>
        </w:rPr>
        <w:t>Tenth Adaptation to Technical Progress Commission Regulation (EU Annex) No 2017/776 amending, for the purposes of its adaptation to technical and scientific progress, Regulation (EC) No 1272/2008 of the European Parliament and of the Council on classification, labelling and packaging of substances and mixtures (the CLP Regulation).</w:t>
      </w:r>
    </w:p>
    <w:p w:rsidR="000D025C" w:rsidRDefault="00D00CD9" w:rsidP="000D025C">
      <w:r w:rsidRPr="00D00CD9">
        <w:t>US Environmental Protection Authority (US EPA) (</w:t>
      </w:r>
      <w:r>
        <w:t>1994</w:t>
      </w:r>
      <w:r w:rsidRPr="00D00CD9">
        <w:t xml:space="preserve">) Integrated Risk Information System (IRIS) Chemical Assessment Summary – </w:t>
      </w:r>
      <w:r>
        <w:t>Diquat</w:t>
      </w:r>
      <w:r w:rsidRPr="00D00CD9">
        <w:t>.</w:t>
      </w:r>
    </w:p>
    <w:p w:rsidR="001E0078" w:rsidRPr="00351FE0" w:rsidRDefault="001E0078" w:rsidP="000D025C"/>
    <w:sectPr w:rsidR="001E0078" w:rsidRPr="00351FE0" w:rsidSect="00B87D4C">
      <w:headerReference w:type="default" r:id="rId18"/>
      <w:pgSz w:w="11906" w:h="16838"/>
      <w:pgMar w:top="1440" w:right="1440" w:bottom="1440" w:left="1440" w:header="708" w:footer="283"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E1D62D" w16cid:durableId="216C01F1"/>
  <w16cid:commentId w16cid:paraId="29A1C193" w16cid:durableId="216C065E"/>
  <w16cid:commentId w16cid:paraId="14FFDA19" w16cid:durableId="216C06E9"/>
  <w16cid:commentId w16cid:paraId="0BE2DB4A" w16cid:durableId="216C09F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8BB" w:rsidRDefault="00AA28BB" w:rsidP="00F43AD5">
      <w:pPr>
        <w:spacing w:after="0" w:line="240" w:lineRule="auto"/>
      </w:pPr>
      <w:r>
        <w:separator/>
      </w:r>
    </w:p>
  </w:endnote>
  <w:endnote w:type="continuationSeparator" w:id="0">
    <w:p w:rsidR="00AA28BB" w:rsidRDefault="00AA28BB" w:rsidP="00F43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56E" w:rsidRDefault="001F25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5787447"/>
      <w:docPartObj>
        <w:docPartGallery w:val="Page Numbers (Bottom of Page)"/>
        <w:docPartUnique/>
      </w:docPartObj>
    </w:sdtPr>
    <w:sdtEndPr>
      <w:rPr>
        <w:noProof/>
        <w:sz w:val="18"/>
        <w:szCs w:val="18"/>
      </w:rPr>
    </w:sdtEndPr>
    <w:sdtContent>
      <w:p w:rsidR="008A36CF" w:rsidRDefault="003B10B5" w:rsidP="003B10B5">
        <w:pPr>
          <w:pStyle w:val="Footer"/>
          <w:rPr>
            <w:sz w:val="18"/>
            <w:szCs w:val="18"/>
          </w:rPr>
        </w:pPr>
        <w:r w:rsidRPr="003B10B5">
          <w:rPr>
            <w:b/>
            <w:sz w:val="18"/>
            <w:szCs w:val="18"/>
          </w:rPr>
          <w:t>Diquat</w:t>
        </w:r>
        <w:r w:rsidR="008A36CF">
          <w:rPr>
            <w:b/>
            <w:sz w:val="18"/>
            <w:szCs w:val="18"/>
          </w:rPr>
          <w:t xml:space="preserve"> (</w:t>
        </w:r>
        <w:r w:rsidRPr="003B10B5">
          <w:rPr>
            <w:b/>
            <w:sz w:val="18"/>
            <w:szCs w:val="18"/>
          </w:rPr>
          <w:t>85-00-7</w:t>
        </w:r>
        <w:r w:rsidR="008A36CF">
          <w:rPr>
            <w:b/>
            <w:sz w:val="18"/>
            <w:szCs w:val="18"/>
          </w:rPr>
          <w:t>)</w:t>
        </w:r>
        <w:r w:rsidR="008A36CF" w:rsidRPr="00F43AD5">
          <w:rPr>
            <w:sz w:val="18"/>
            <w:szCs w:val="18"/>
          </w:rPr>
          <w:br/>
          <w:t xml:space="preserve">Safe Work Australia </w:t>
        </w:r>
        <w:r w:rsidR="008A36CF" w:rsidRPr="00F43AD5">
          <w:rPr>
            <w:rFonts w:ascii="Courier New" w:hAnsi="Courier New" w:cs="Courier New"/>
            <w:sz w:val="18"/>
            <w:szCs w:val="18"/>
          </w:rPr>
          <w:t>—</w:t>
        </w:r>
        <w:r w:rsidR="008A36CF" w:rsidRPr="00F43AD5">
          <w:rPr>
            <w:sz w:val="18"/>
            <w:szCs w:val="18"/>
          </w:rPr>
          <w:t xml:space="preserve"> 201</w:t>
        </w:r>
        <w:r w:rsidR="00351FE0">
          <w:rPr>
            <w:sz w:val="18"/>
            <w:szCs w:val="18"/>
          </w:rPr>
          <w:t>9</w:t>
        </w:r>
      </w:p>
      <w:p w:rsidR="008A36CF" w:rsidRPr="00F43AD5" w:rsidRDefault="008A36CF" w:rsidP="00A27E2D">
        <w:pPr>
          <w:pStyle w:val="Footer"/>
          <w:jc w:val="right"/>
          <w:rPr>
            <w:sz w:val="18"/>
            <w:szCs w:val="18"/>
          </w:rPr>
        </w:pPr>
        <w:r w:rsidRPr="00F43AD5">
          <w:rPr>
            <w:sz w:val="18"/>
            <w:szCs w:val="18"/>
          </w:rPr>
          <w:fldChar w:fldCharType="begin"/>
        </w:r>
        <w:r w:rsidRPr="00F43AD5">
          <w:rPr>
            <w:sz w:val="18"/>
            <w:szCs w:val="18"/>
          </w:rPr>
          <w:instrText xml:space="preserve"> PAGE   \* MERGEFORMAT </w:instrText>
        </w:r>
        <w:r w:rsidRPr="00F43AD5">
          <w:rPr>
            <w:sz w:val="18"/>
            <w:szCs w:val="18"/>
          </w:rPr>
          <w:fldChar w:fldCharType="separate"/>
        </w:r>
        <w:r w:rsidR="001F256E">
          <w:rPr>
            <w:noProof/>
            <w:sz w:val="18"/>
            <w:szCs w:val="18"/>
          </w:rPr>
          <w:t>5</w:t>
        </w:r>
        <w:r w:rsidRPr="00F43AD5">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56E" w:rsidRDefault="001F25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8BB" w:rsidRDefault="00AA28BB" w:rsidP="00F43AD5">
      <w:pPr>
        <w:spacing w:after="0" w:line="240" w:lineRule="auto"/>
      </w:pPr>
      <w:r>
        <w:separator/>
      </w:r>
    </w:p>
  </w:footnote>
  <w:footnote w:type="continuationSeparator" w:id="0">
    <w:p w:rsidR="00AA28BB" w:rsidRDefault="00AA28BB" w:rsidP="00F43A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56E" w:rsidRDefault="001F25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56E" w:rsidRDefault="001F256E" w:rsidP="001F256E">
    <w:pPr>
      <w:pStyle w:val="Header"/>
      <w:jc w:val="right"/>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9598187" o:spid="_x0000_s4097" type="#_x0000_t136" style="position:absolute;left:0;text-align:left;margin-left:0;margin-top:0;width:454.5pt;height:181.8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Pr>
        <w:noProof/>
        <w:lang w:eastAsia="en-AU"/>
      </w:rPr>
      <w:drawing>
        <wp:inline distT="0" distB="0" distL="0" distR="0">
          <wp:extent cx="2947670" cy="586740"/>
          <wp:effectExtent l="0" t="0" r="0" b="3810"/>
          <wp:docPr id="3" name="Picture 3" descr="Safe Work Australia logo" title="Image"/>
          <wp:cNvGraphicFramePr/>
          <a:graphic xmlns:a="http://schemas.openxmlformats.org/drawingml/2006/main">
            <a:graphicData uri="http://schemas.openxmlformats.org/drawingml/2006/picture">
              <pic:pic xmlns:pic="http://schemas.openxmlformats.org/drawingml/2006/picture">
                <pic:nvPicPr>
                  <pic:cNvPr id="3" name="Picture 3" descr="Safe Work Australia logo" title="Imag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38145" cy="594360"/>
                  </a:xfrm>
                  <a:prstGeom prst="rect">
                    <a:avLst/>
                  </a:prstGeom>
                </pic:spPr>
              </pic:pic>
            </a:graphicData>
          </a:graphic>
        </wp:inline>
      </w:drawing>
    </w:r>
  </w:p>
  <w:p w:rsidR="008A36CF" w:rsidRDefault="008A36CF" w:rsidP="00F43AD5">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56E" w:rsidRDefault="001F256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6CF" w:rsidRDefault="001F256E" w:rsidP="001F256E">
    <w:pPr>
      <w:pStyle w:val="Header"/>
      <w:jc w:val="right"/>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098" type="#_x0000_t136" style="position:absolute;left:0;text-align:left;margin-left:0;margin-top:0;width:454.5pt;height:181.8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Pr>
        <w:noProof/>
        <w:lang w:eastAsia="en-AU"/>
      </w:rPr>
      <w:drawing>
        <wp:inline distT="0" distB="0" distL="0" distR="0">
          <wp:extent cx="2947670" cy="586740"/>
          <wp:effectExtent l="0" t="0" r="0" b="3810"/>
          <wp:docPr id="1" name="Picture 1" descr="Safe Work Australia logo" title="Image"/>
          <wp:cNvGraphicFramePr/>
          <a:graphic xmlns:a="http://schemas.openxmlformats.org/drawingml/2006/main">
            <a:graphicData uri="http://schemas.openxmlformats.org/drawingml/2006/picture">
              <pic:pic xmlns:pic="http://schemas.openxmlformats.org/drawingml/2006/picture">
                <pic:nvPicPr>
                  <pic:cNvPr id="3" name="Picture 3" descr="Safe Work Australia logo" title="Imag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38145" cy="594360"/>
                  </a:xfrm>
                  <a:prstGeom prst="rect">
                    <a:avLst/>
                  </a:prstGeom>
                </pic:spPr>
              </pic:pic>
            </a:graphicData>
          </a:graphic>
        </wp:inline>
      </w:drawing>
    </w:r>
    <w:bookmarkStart w:id="5" w:name="_GoBack"/>
    <w:bookmarkEnd w:id="5"/>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53211F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DB015DA"/>
    <w:multiLevelType w:val="hybridMultilevel"/>
    <w:tmpl w:val="B49C55BC"/>
    <w:lvl w:ilvl="0" w:tplc="BCB28DA6">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40B2021"/>
    <w:multiLevelType w:val="hybridMultilevel"/>
    <w:tmpl w:val="6EFC48BE"/>
    <w:lvl w:ilvl="0" w:tplc="41C2F9A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7496DA5"/>
    <w:multiLevelType w:val="hybridMultilevel"/>
    <w:tmpl w:val="3A38D1D4"/>
    <w:lvl w:ilvl="0" w:tplc="04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AppendixName" w:val="Appendix"/>
  </w:docVars>
  <w:rsids>
    <w:rsidRoot w:val="00610F2E"/>
    <w:rsid w:val="00000109"/>
    <w:rsid w:val="00007B80"/>
    <w:rsid w:val="00013A22"/>
    <w:rsid w:val="00014C3F"/>
    <w:rsid w:val="00017C82"/>
    <w:rsid w:val="00032B88"/>
    <w:rsid w:val="00046DF5"/>
    <w:rsid w:val="00052060"/>
    <w:rsid w:val="0005574A"/>
    <w:rsid w:val="00055FE1"/>
    <w:rsid w:val="00056EC2"/>
    <w:rsid w:val="00060B48"/>
    <w:rsid w:val="00067F32"/>
    <w:rsid w:val="00071807"/>
    <w:rsid w:val="00075B70"/>
    <w:rsid w:val="000803E1"/>
    <w:rsid w:val="00084513"/>
    <w:rsid w:val="00084859"/>
    <w:rsid w:val="00092D94"/>
    <w:rsid w:val="000961F6"/>
    <w:rsid w:val="000B0868"/>
    <w:rsid w:val="000B3E12"/>
    <w:rsid w:val="000B3E78"/>
    <w:rsid w:val="000B7B48"/>
    <w:rsid w:val="000C096D"/>
    <w:rsid w:val="000C139A"/>
    <w:rsid w:val="000C2053"/>
    <w:rsid w:val="000C248C"/>
    <w:rsid w:val="000D025C"/>
    <w:rsid w:val="000D291C"/>
    <w:rsid w:val="000D77E6"/>
    <w:rsid w:val="000E5A54"/>
    <w:rsid w:val="000E63D3"/>
    <w:rsid w:val="000E67CF"/>
    <w:rsid w:val="0010461E"/>
    <w:rsid w:val="00106FAA"/>
    <w:rsid w:val="00113443"/>
    <w:rsid w:val="001269A7"/>
    <w:rsid w:val="00131092"/>
    <w:rsid w:val="00140E6A"/>
    <w:rsid w:val="00146545"/>
    <w:rsid w:val="00146B75"/>
    <w:rsid w:val="0015266D"/>
    <w:rsid w:val="0015288A"/>
    <w:rsid w:val="00160F47"/>
    <w:rsid w:val="00177CA1"/>
    <w:rsid w:val="00183823"/>
    <w:rsid w:val="00183942"/>
    <w:rsid w:val="001A009E"/>
    <w:rsid w:val="001A1287"/>
    <w:rsid w:val="001A3859"/>
    <w:rsid w:val="001A3C9D"/>
    <w:rsid w:val="001A43F8"/>
    <w:rsid w:val="001B79E5"/>
    <w:rsid w:val="001D49D3"/>
    <w:rsid w:val="001D56F0"/>
    <w:rsid w:val="001D663B"/>
    <w:rsid w:val="001D7B41"/>
    <w:rsid w:val="001E0078"/>
    <w:rsid w:val="001E46DA"/>
    <w:rsid w:val="001E5EEC"/>
    <w:rsid w:val="001E7D80"/>
    <w:rsid w:val="001F256E"/>
    <w:rsid w:val="001F4B6C"/>
    <w:rsid w:val="001F5FC9"/>
    <w:rsid w:val="001F62CB"/>
    <w:rsid w:val="001F6ED0"/>
    <w:rsid w:val="001F72E6"/>
    <w:rsid w:val="001F73C5"/>
    <w:rsid w:val="002046A6"/>
    <w:rsid w:val="00204956"/>
    <w:rsid w:val="002075D1"/>
    <w:rsid w:val="00213640"/>
    <w:rsid w:val="00221547"/>
    <w:rsid w:val="002216FC"/>
    <w:rsid w:val="00222533"/>
    <w:rsid w:val="00222F30"/>
    <w:rsid w:val="00224EE2"/>
    <w:rsid w:val="00227EC7"/>
    <w:rsid w:val="00244AD1"/>
    <w:rsid w:val="002463BC"/>
    <w:rsid w:val="002465CE"/>
    <w:rsid w:val="0025734A"/>
    <w:rsid w:val="00263255"/>
    <w:rsid w:val="00276494"/>
    <w:rsid w:val="00277B0C"/>
    <w:rsid w:val="002A208E"/>
    <w:rsid w:val="002B1A2C"/>
    <w:rsid w:val="002B6B1B"/>
    <w:rsid w:val="002C34F2"/>
    <w:rsid w:val="002C58FF"/>
    <w:rsid w:val="002C7AFE"/>
    <w:rsid w:val="002D05D2"/>
    <w:rsid w:val="002E0D61"/>
    <w:rsid w:val="002E4C7B"/>
    <w:rsid w:val="0030740C"/>
    <w:rsid w:val="00315833"/>
    <w:rsid w:val="003215EE"/>
    <w:rsid w:val="003224BF"/>
    <w:rsid w:val="003241A8"/>
    <w:rsid w:val="003253F0"/>
    <w:rsid w:val="003337DA"/>
    <w:rsid w:val="00334EFB"/>
    <w:rsid w:val="00335CDE"/>
    <w:rsid w:val="003365A5"/>
    <w:rsid w:val="00347192"/>
    <w:rsid w:val="0034744C"/>
    <w:rsid w:val="00351FE0"/>
    <w:rsid w:val="00352615"/>
    <w:rsid w:val="0035412B"/>
    <w:rsid w:val="003567A8"/>
    <w:rsid w:val="00362895"/>
    <w:rsid w:val="00370DBF"/>
    <w:rsid w:val="00376DE6"/>
    <w:rsid w:val="00386093"/>
    <w:rsid w:val="003904A4"/>
    <w:rsid w:val="00391841"/>
    <w:rsid w:val="00391B6D"/>
    <w:rsid w:val="00394922"/>
    <w:rsid w:val="003A0E32"/>
    <w:rsid w:val="003A2B94"/>
    <w:rsid w:val="003B10B5"/>
    <w:rsid w:val="003B387D"/>
    <w:rsid w:val="003C0D58"/>
    <w:rsid w:val="003D4FA3"/>
    <w:rsid w:val="003E0807"/>
    <w:rsid w:val="003E51FB"/>
    <w:rsid w:val="003E6B39"/>
    <w:rsid w:val="003F07E1"/>
    <w:rsid w:val="004030BC"/>
    <w:rsid w:val="00403F7D"/>
    <w:rsid w:val="00406785"/>
    <w:rsid w:val="004079B4"/>
    <w:rsid w:val="00417A56"/>
    <w:rsid w:val="00420957"/>
    <w:rsid w:val="00422A10"/>
    <w:rsid w:val="00430179"/>
    <w:rsid w:val="004414B5"/>
    <w:rsid w:val="00444482"/>
    <w:rsid w:val="00444B42"/>
    <w:rsid w:val="00445E44"/>
    <w:rsid w:val="004509E2"/>
    <w:rsid w:val="004515EE"/>
    <w:rsid w:val="004529F0"/>
    <w:rsid w:val="00460A03"/>
    <w:rsid w:val="00460BDA"/>
    <w:rsid w:val="00472A11"/>
    <w:rsid w:val="00472AAD"/>
    <w:rsid w:val="00474E33"/>
    <w:rsid w:val="00476803"/>
    <w:rsid w:val="00485BFD"/>
    <w:rsid w:val="004867A2"/>
    <w:rsid w:val="004873F2"/>
    <w:rsid w:val="00490D4C"/>
    <w:rsid w:val="00493A35"/>
    <w:rsid w:val="0049527A"/>
    <w:rsid w:val="004966BF"/>
    <w:rsid w:val="00497984"/>
    <w:rsid w:val="004A5088"/>
    <w:rsid w:val="004C1815"/>
    <w:rsid w:val="004C1E3F"/>
    <w:rsid w:val="004C23F4"/>
    <w:rsid w:val="004C3475"/>
    <w:rsid w:val="004C58B6"/>
    <w:rsid w:val="004D16A3"/>
    <w:rsid w:val="004D4AA1"/>
    <w:rsid w:val="004D6D68"/>
    <w:rsid w:val="004E5EDD"/>
    <w:rsid w:val="004E751A"/>
    <w:rsid w:val="004F448A"/>
    <w:rsid w:val="004F493D"/>
    <w:rsid w:val="004F65E8"/>
    <w:rsid w:val="0050005E"/>
    <w:rsid w:val="00502B88"/>
    <w:rsid w:val="005142C4"/>
    <w:rsid w:val="0051509C"/>
    <w:rsid w:val="005272E2"/>
    <w:rsid w:val="0053108F"/>
    <w:rsid w:val="00532B56"/>
    <w:rsid w:val="00534B10"/>
    <w:rsid w:val="005446A2"/>
    <w:rsid w:val="00544D2F"/>
    <w:rsid w:val="00551BD8"/>
    <w:rsid w:val="00572715"/>
    <w:rsid w:val="00581055"/>
    <w:rsid w:val="00591E38"/>
    <w:rsid w:val="005A19C5"/>
    <w:rsid w:val="005A3034"/>
    <w:rsid w:val="005A462D"/>
    <w:rsid w:val="005B253B"/>
    <w:rsid w:val="005B771D"/>
    <w:rsid w:val="005C49EA"/>
    <w:rsid w:val="005C5D16"/>
    <w:rsid w:val="005D3193"/>
    <w:rsid w:val="005D4A6E"/>
    <w:rsid w:val="005E6979"/>
    <w:rsid w:val="005E75CB"/>
    <w:rsid w:val="006013C1"/>
    <w:rsid w:val="0060669E"/>
    <w:rsid w:val="00610F2E"/>
    <w:rsid w:val="00611399"/>
    <w:rsid w:val="00624C4E"/>
    <w:rsid w:val="00625200"/>
    <w:rsid w:val="006363A8"/>
    <w:rsid w:val="00636DB7"/>
    <w:rsid w:val="00650905"/>
    <w:rsid w:val="006532ED"/>
    <w:rsid w:val="00654418"/>
    <w:rsid w:val="006549F2"/>
    <w:rsid w:val="006567B7"/>
    <w:rsid w:val="00657BFB"/>
    <w:rsid w:val="0066333C"/>
    <w:rsid w:val="006639B4"/>
    <w:rsid w:val="006650FE"/>
    <w:rsid w:val="0067305D"/>
    <w:rsid w:val="00677D9B"/>
    <w:rsid w:val="006867F3"/>
    <w:rsid w:val="00687890"/>
    <w:rsid w:val="006901A2"/>
    <w:rsid w:val="00690368"/>
    <w:rsid w:val="0069079C"/>
    <w:rsid w:val="00690B53"/>
    <w:rsid w:val="00695B72"/>
    <w:rsid w:val="006B160A"/>
    <w:rsid w:val="006B4E6C"/>
    <w:rsid w:val="006B50B6"/>
    <w:rsid w:val="006D79EA"/>
    <w:rsid w:val="006E5D05"/>
    <w:rsid w:val="00701053"/>
    <w:rsid w:val="00701507"/>
    <w:rsid w:val="00714021"/>
    <w:rsid w:val="00716A0F"/>
    <w:rsid w:val="00717D45"/>
    <w:rsid w:val="007208F7"/>
    <w:rsid w:val="007218AF"/>
    <w:rsid w:val="0072220B"/>
    <w:rsid w:val="00727FD9"/>
    <w:rsid w:val="007365D1"/>
    <w:rsid w:val="00740E0E"/>
    <w:rsid w:val="00750212"/>
    <w:rsid w:val="00754779"/>
    <w:rsid w:val="0075716D"/>
    <w:rsid w:val="00765F14"/>
    <w:rsid w:val="00770E31"/>
    <w:rsid w:val="007770F1"/>
    <w:rsid w:val="00783FB1"/>
    <w:rsid w:val="00785CDD"/>
    <w:rsid w:val="00791847"/>
    <w:rsid w:val="007925F0"/>
    <w:rsid w:val="007939B3"/>
    <w:rsid w:val="0079509C"/>
    <w:rsid w:val="00796708"/>
    <w:rsid w:val="007B1B42"/>
    <w:rsid w:val="007B65A7"/>
    <w:rsid w:val="007C30EB"/>
    <w:rsid w:val="007E063C"/>
    <w:rsid w:val="007E2A4B"/>
    <w:rsid w:val="007E307D"/>
    <w:rsid w:val="007E6093"/>
    <w:rsid w:val="007E6A4E"/>
    <w:rsid w:val="007E6C94"/>
    <w:rsid w:val="007F1005"/>
    <w:rsid w:val="007F25E0"/>
    <w:rsid w:val="007F2E6C"/>
    <w:rsid w:val="007F5328"/>
    <w:rsid w:val="00804F5A"/>
    <w:rsid w:val="00810C6D"/>
    <w:rsid w:val="00812887"/>
    <w:rsid w:val="00826F21"/>
    <w:rsid w:val="00834CC8"/>
    <w:rsid w:val="00835E00"/>
    <w:rsid w:val="00837113"/>
    <w:rsid w:val="008414E4"/>
    <w:rsid w:val="00843E21"/>
    <w:rsid w:val="0084508E"/>
    <w:rsid w:val="00857A8A"/>
    <w:rsid w:val="008630EE"/>
    <w:rsid w:val="00864D13"/>
    <w:rsid w:val="00865219"/>
    <w:rsid w:val="00871CD5"/>
    <w:rsid w:val="008745A2"/>
    <w:rsid w:val="008768A8"/>
    <w:rsid w:val="0088798F"/>
    <w:rsid w:val="00887E4B"/>
    <w:rsid w:val="008915C8"/>
    <w:rsid w:val="008A36CF"/>
    <w:rsid w:val="008A3BC4"/>
    <w:rsid w:val="008B403C"/>
    <w:rsid w:val="008B7983"/>
    <w:rsid w:val="008C2511"/>
    <w:rsid w:val="008D026D"/>
    <w:rsid w:val="008D23AB"/>
    <w:rsid w:val="008D4B8B"/>
    <w:rsid w:val="008D5A78"/>
    <w:rsid w:val="008E7B64"/>
    <w:rsid w:val="008F5DCD"/>
    <w:rsid w:val="00900951"/>
    <w:rsid w:val="009118A6"/>
    <w:rsid w:val="00916909"/>
    <w:rsid w:val="00916EC0"/>
    <w:rsid w:val="00920467"/>
    <w:rsid w:val="00921DE7"/>
    <w:rsid w:val="0093041A"/>
    <w:rsid w:val="00930714"/>
    <w:rsid w:val="00931B03"/>
    <w:rsid w:val="009323B9"/>
    <w:rsid w:val="00932DCE"/>
    <w:rsid w:val="0093327E"/>
    <w:rsid w:val="00934028"/>
    <w:rsid w:val="0093760E"/>
    <w:rsid w:val="00946044"/>
    <w:rsid w:val="0094660B"/>
    <w:rsid w:val="00946A33"/>
    <w:rsid w:val="0095260E"/>
    <w:rsid w:val="009578DD"/>
    <w:rsid w:val="00961124"/>
    <w:rsid w:val="009621B6"/>
    <w:rsid w:val="00974F2D"/>
    <w:rsid w:val="00977524"/>
    <w:rsid w:val="00977E88"/>
    <w:rsid w:val="00984920"/>
    <w:rsid w:val="0099303A"/>
    <w:rsid w:val="009971C2"/>
    <w:rsid w:val="009A1254"/>
    <w:rsid w:val="009B2FF2"/>
    <w:rsid w:val="009B380C"/>
    <w:rsid w:val="009B4843"/>
    <w:rsid w:val="009B6543"/>
    <w:rsid w:val="009C199D"/>
    <w:rsid w:val="009C278F"/>
    <w:rsid w:val="009C2B94"/>
    <w:rsid w:val="009C5874"/>
    <w:rsid w:val="009D3B5A"/>
    <w:rsid w:val="009E0C05"/>
    <w:rsid w:val="009E0D1C"/>
    <w:rsid w:val="009E2214"/>
    <w:rsid w:val="009E355A"/>
    <w:rsid w:val="009E63E2"/>
    <w:rsid w:val="009F04D2"/>
    <w:rsid w:val="009F05CF"/>
    <w:rsid w:val="009F0F3A"/>
    <w:rsid w:val="009F110E"/>
    <w:rsid w:val="00A003E5"/>
    <w:rsid w:val="00A01D0C"/>
    <w:rsid w:val="00A0643F"/>
    <w:rsid w:val="00A067EE"/>
    <w:rsid w:val="00A10FCE"/>
    <w:rsid w:val="00A11762"/>
    <w:rsid w:val="00A16D91"/>
    <w:rsid w:val="00A174CC"/>
    <w:rsid w:val="00A2073D"/>
    <w:rsid w:val="00A20751"/>
    <w:rsid w:val="00A2169F"/>
    <w:rsid w:val="00A27E2D"/>
    <w:rsid w:val="00A31D99"/>
    <w:rsid w:val="00A357BA"/>
    <w:rsid w:val="00A35ADC"/>
    <w:rsid w:val="00A402A3"/>
    <w:rsid w:val="00A53681"/>
    <w:rsid w:val="00A537AB"/>
    <w:rsid w:val="00A53B04"/>
    <w:rsid w:val="00A61DCC"/>
    <w:rsid w:val="00A633D4"/>
    <w:rsid w:val="00A6461A"/>
    <w:rsid w:val="00A84504"/>
    <w:rsid w:val="00A8672F"/>
    <w:rsid w:val="00A93057"/>
    <w:rsid w:val="00A93E6E"/>
    <w:rsid w:val="00A968B0"/>
    <w:rsid w:val="00AA28BB"/>
    <w:rsid w:val="00AB2672"/>
    <w:rsid w:val="00AB2817"/>
    <w:rsid w:val="00AB43C4"/>
    <w:rsid w:val="00AC32E7"/>
    <w:rsid w:val="00AC3A9F"/>
    <w:rsid w:val="00AC6D2F"/>
    <w:rsid w:val="00AE2745"/>
    <w:rsid w:val="00AE2F64"/>
    <w:rsid w:val="00AF42CB"/>
    <w:rsid w:val="00AF483F"/>
    <w:rsid w:val="00AF5E07"/>
    <w:rsid w:val="00AF5F06"/>
    <w:rsid w:val="00B00A25"/>
    <w:rsid w:val="00B1422A"/>
    <w:rsid w:val="00B1765C"/>
    <w:rsid w:val="00B213C4"/>
    <w:rsid w:val="00B30429"/>
    <w:rsid w:val="00B40C60"/>
    <w:rsid w:val="00B479A9"/>
    <w:rsid w:val="00B52EDF"/>
    <w:rsid w:val="00B71188"/>
    <w:rsid w:val="00B76A41"/>
    <w:rsid w:val="00B7771C"/>
    <w:rsid w:val="00B87D4C"/>
    <w:rsid w:val="00B93646"/>
    <w:rsid w:val="00BA0B38"/>
    <w:rsid w:val="00BA1DBB"/>
    <w:rsid w:val="00BA4510"/>
    <w:rsid w:val="00BA529A"/>
    <w:rsid w:val="00BB612A"/>
    <w:rsid w:val="00BD499F"/>
    <w:rsid w:val="00BD56DE"/>
    <w:rsid w:val="00BF2406"/>
    <w:rsid w:val="00BF436D"/>
    <w:rsid w:val="00C05375"/>
    <w:rsid w:val="00C06E43"/>
    <w:rsid w:val="00C12F79"/>
    <w:rsid w:val="00C16315"/>
    <w:rsid w:val="00C3091E"/>
    <w:rsid w:val="00C40FF1"/>
    <w:rsid w:val="00C419E2"/>
    <w:rsid w:val="00C5020E"/>
    <w:rsid w:val="00C57452"/>
    <w:rsid w:val="00C61167"/>
    <w:rsid w:val="00C61EDF"/>
    <w:rsid w:val="00C6239D"/>
    <w:rsid w:val="00C6594B"/>
    <w:rsid w:val="00C67FFB"/>
    <w:rsid w:val="00C7155E"/>
    <w:rsid w:val="00C71D1E"/>
    <w:rsid w:val="00C71D7D"/>
    <w:rsid w:val="00C74833"/>
    <w:rsid w:val="00C850A0"/>
    <w:rsid w:val="00C85A86"/>
    <w:rsid w:val="00C95687"/>
    <w:rsid w:val="00C978F0"/>
    <w:rsid w:val="00CA58FE"/>
    <w:rsid w:val="00CB1CB1"/>
    <w:rsid w:val="00CB6BC1"/>
    <w:rsid w:val="00CB6CB8"/>
    <w:rsid w:val="00CC1A68"/>
    <w:rsid w:val="00CC2123"/>
    <w:rsid w:val="00CD2BFD"/>
    <w:rsid w:val="00CE5AD6"/>
    <w:rsid w:val="00CE617F"/>
    <w:rsid w:val="00CE7724"/>
    <w:rsid w:val="00CE78EF"/>
    <w:rsid w:val="00D00CD9"/>
    <w:rsid w:val="00D048F7"/>
    <w:rsid w:val="00D0517E"/>
    <w:rsid w:val="00D140FC"/>
    <w:rsid w:val="00D21D8C"/>
    <w:rsid w:val="00D31357"/>
    <w:rsid w:val="00D33220"/>
    <w:rsid w:val="00D334D1"/>
    <w:rsid w:val="00D44C89"/>
    <w:rsid w:val="00D516CD"/>
    <w:rsid w:val="00D668E6"/>
    <w:rsid w:val="00D70670"/>
    <w:rsid w:val="00D74D80"/>
    <w:rsid w:val="00D76624"/>
    <w:rsid w:val="00D86D9F"/>
    <w:rsid w:val="00D87570"/>
    <w:rsid w:val="00D91CB9"/>
    <w:rsid w:val="00D97989"/>
    <w:rsid w:val="00D97D8D"/>
    <w:rsid w:val="00DA352E"/>
    <w:rsid w:val="00DB01EA"/>
    <w:rsid w:val="00DB6A73"/>
    <w:rsid w:val="00DC7694"/>
    <w:rsid w:val="00DD1BF6"/>
    <w:rsid w:val="00DD2F9B"/>
    <w:rsid w:val="00DE2513"/>
    <w:rsid w:val="00DE26E8"/>
    <w:rsid w:val="00DE2A0E"/>
    <w:rsid w:val="00DF6F36"/>
    <w:rsid w:val="00E0084C"/>
    <w:rsid w:val="00E025AB"/>
    <w:rsid w:val="00E02B23"/>
    <w:rsid w:val="00E06F40"/>
    <w:rsid w:val="00E07CE8"/>
    <w:rsid w:val="00E26A07"/>
    <w:rsid w:val="00E32595"/>
    <w:rsid w:val="00E35527"/>
    <w:rsid w:val="00E37CFD"/>
    <w:rsid w:val="00E41A26"/>
    <w:rsid w:val="00E46BCB"/>
    <w:rsid w:val="00E4712A"/>
    <w:rsid w:val="00E51CAF"/>
    <w:rsid w:val="00E60F04"/>
    <w:rsid w:val="00E62AAC"/>
    <w:rsid w:val="00E67C2F"/>
    <w:rsid w:val="00E67EF5"/>
    <w:rsid w:val="00E804EA"/>
    <w:rsid w:val="00E80A71"/>
    <w:rsid w:val="00E82337"/>
    <w:rsid w:val="00E92499"/>
    <w:rsid w:val="00E949AF"/>
    <w:rsid w:val="00E96077"/>
    <w:rsid w:val="00EA0A06"/>
    <w:rsid w:val="00EA6243"/>
    <w:rsid w:val="00EA74AB"/>
    <w:rsid w:val="00EB3D1B"/>
    <w:rsid w:val="00ED1D89"/>
    <w:rsid w:val="00ED66BC"/>
    <w:rsid w:val="00EF233A"/>
    <w:rsid w:val="00EF303E"/>
    <w:rsid w:val="00EF3A40"/>
    <w:rsid w:val="00EF7F78"/>
    <w:rsid w:val="00F01B08"/>
    <w:rsid w:val="00F01C4D"/>
    <w:rsid w:val="00F053FA"/>
    <w:rsid w:val="00F10C97"/>
    <w:rsid w:val="00F11C71"/>
    <w:rsid w:val="00F131BE"/>
    <w:rsid w:val="00F16019"/>
    <w:rsid w:val="00F20E68"/>
    <w:rsid w:val="00F22093"/>
    <w:rsid w:val="00F236DF"/>
    <w:rsid w:val="00F43AD5"/>
    <w:rsid w:val="00F4402E"/>
    <w:rsid w:val="00F56DD0"/>
    <w:rsid w:val="00F6491C"/>
    <w:rsid w:val="00F67BBB"/>
    <w:rsid w:val="00F87D92"/>
    <w:rsid w:val="00F90AA7"/>
    <w:rsid w:val="00F92498"/>
    <w:rsid w:val="00F9496B"/>
    <w:rsid w:val="00F970C9"/>
    <w:rsid w:val="00FA06A8"/>
    <w:rsid w:val="00FA3DF5"/>
    <w:rsid w:val="00FA741F"/>
    <w:rsid w:val="00FB4E07"/>
    <w:rsid w:val="00FB755A"/>
    <w:rsid w:val="00FC60A2"/>
    <w:rsid w:val="00FD1871"/>
    <w:rsid w:val="00FD3110"/>
    <w:rsid w:val="00FF5C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4:docId w14:val="3D5817FF"/>
  <w15:docId w15:val="{17D0BA17-3D0C-497E-8DB9-33D804C8E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220"/>
    <w:pPr>
      <w:spacing w:after="120"/>
    </w:pPr>
  </w:style>
  <w:style w:type="paragraph" w:styleId="Heading1">
    <w:name w:val="heading 1"/>
    <w:basedOn w:val="Normal"/>
    <w:next w:val="Normal"/>
    <w:link w:val="Heading1Char"/>
    <w:qFormat/>
    <w:rsid w:val="00AE2745"/>
    <w:pPr>
      <w:keepNext/>
      <w:spacing w:before="360" w:after="240" w:line="240" w:lineRule="auto"/>
      <w:outlineLvl w:val="0"/>
    </w:pPr>
    <w:rPr>
      <w:rFonts w:ascii="Arial Bold" w:eastAsiaTheme="majorEastAsia" w:hAnsi="Arial Bold" w:cstheme="majorBidi"/>
      <w:b/>
      <w:bCs/>
      <w:caps/>
      <w:kern w:val="32"/>
      <w:sz w:val="36"/>
      <w:szCs w:val="40"/>
      <w:lang w:eastAsia="en-AU"/>
    </w:rPr>
  </w:style>
  <w:style w:type="paragraph" w:styleId="Heading2">
    <w:name w:val="heading 2"/>
    <w:basedOn w:val="Normal"/>
    <w:next w:val="Normal"/>
    <w:link w:val="Heading2Char"/>
    <w:unhideWhenUsed/>
    <w:qFormat/>
    <w:rsid w:val="00AE2745"/>
    <w:pPr>
      <w:keepNext/>
      <w:spacing w:before="240" w:line="240" w:lineRule="auto"/>
      <w:outlineLvl w:val="1"/>
    </w:pPr>
    <w:rPr>
      <w:rFonts w:eastAsiaTheme="majorEastAsia" w:cs="Arial"/>
      <w:b/>
      <w:bCs/>
      <w:iCs/>
      <w:color w:val="000000" w:themeColor="text1"/>
      <w:sz w:val="28"/>
      <w:szCs w:val="32"/>
      <w:lang w:eastAsia="en-AU"/>
    </w:rPr>
  </w:style>
  <w:style w:type="paragraph" w:styleId="Heading3">
    <w:name w:val="heading 3"/>
    <w:basedOn w:val="Normal"/>
    <w:next w:val="Normal"/>
    <w:link w:val="Heading3Char"/>
    <w:uiPriority w:val="9"/>
    <w:unhideWhenUsed/>
    <w:qFormat/>
    <w:rsid w:val="002E0D61"/>
    <w:pPr>
      <w:keepNext/>
      <w:spacing w:before="240" w:line="240" w:lineRule="auto"/>
      <w:outlineLvl w:val="2"/>
    </w:pPr>
    <w:rPr>
      <w:rFonts w:eastAsiaTheme="majorEastAsia" w:cs="Arial"/>
      <w:b/>
      <w:bCs/>
      <w:color w:val="000000" w:themeColor="text1"/>
      <w:sz w:val="24"/>
      <w:lang w:eastAsia="en-AU"/>
    </w:rPr>
  </w:style>
  <w:style w:type="paragraph" w:styleId="Heading4">
    <w:name w:val="heading 4"/>
    <w:basedOn w:val="Normal"/>
    <w:next w:val="Normal"/>
    <w:link w:val="Heading4Char"/>
    <w:uiPriority w:val="9"/>
    <w:semiHidden/>
    <w:unhideWhenUsed/>
    <w:qFormat/>
    <w:rsid w:val="00AF5E07"/>
    <w:pPr>
      <w:spacing w:before="200" w:after="0" w:line="240" w:lineRule="auto"/>
      <w:outlineLvl w:val="3"/>
    </w:pPr>
    <w:rPr>
      <w:rFonts w:eastAsiaTheme="majorEastAsia" w:cstheme="majorBidi"/>
      <w:b/>
      <w:bCs/>
      <w:i/>
      <w:iCs/>
      <w:lang w:eastAsia="en-AU"/>
    </w:rPr>
  </w:style>
  <w:style w:type="paragraph" w:styleId="Heading5">
    <w:name w:val="heading 5"/>
    <w:basedOn w:val="Normal"/>
    <w:next w:val="Normal"/>
    <w:link w:val="Heading5Char"/>
    <w:uiPriority w:val="9"/>
    <w:semiHidden/>
    <w:unhideWhenUsed/>
    <w:qFormat/>
    <w:rsid w:val="00C61EDF"/>
    <w:pPr>
      <w:spacing w:before="200" w:after="0" w:line="240" w:lineRule="auto"/>
      <w:outlineLvl w:val="4"/>
    </w:pPr>
    <w:rPr>
      <w:rFonts w:asciiTheme="majorHAnsi" w:eastAsiaTheme="majorEastAsia" w:hAnsiTheme="majorHAnsi" w:cstheme="majorBidi"/>
      <w:b/>
      <w:bCs/>
      <w:color w:val="7F7F7F" w:themeColor="text1" w:themeTint="8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A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3AD5"/>
  </w:style>
  <w:style w:type="paragraph" w:styleId="Footer">
    <w:name w:val="footer"/>
    <w:basedOn w:val="Normal"/>
    <w:link w:val="FooterChar"/>
    <w:uiPriority w:val="99"/>
    <w:unhideWhenUsed/>
    <w:rsid w:val="00F43A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3AD5"/>
  </w:style>
  <w:style w:type="paragraph" w:styleId="BalloonText">
    <w:name w:val="Balloon Text"/>
    <w:basedOn w:val="Normal"/>
    <w:link w:val="BalloonTextChar"/>
    <w:uiPriority w:val="99"/>
    <w:semiHidden/>
    <w:unhideWhenUsed/>
    <w:rsid w:val="00F43A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AD5"/>
    <w:rPr>
      <w:rFonts w:ascii="Tahoma" w:hAnsi="Tahoma" w:cs="Tahoma"/>
      <w:sz w:val="16"/>
      <w:szCs w:val="16"/>
    </w:rPr>
  </w:style>
  <w:style w:type="paragraph" w:customStyle="1" w:styleId="ChemicalName">
    <w:name w:val="Chemical Name"/>
    <w:basedOn w:val="Normal"/>
    <w:next w:val="Normal"/>
    <w:qFormat/>
    <w:rsid w:val="00F43AD5"/>
    <w:rPr>
      <w:rFonts w:ascii="Arial Bold" w:hAnsi="Arial Bold"/>
      <w:b/>
      <w:caps/>
      <w:sz w:val="28"/>
    </w:rPr>
  </w:style>
  <w:style w:type="table" w:styleId="TableGrid">
    <w:name w:val="Table Grid"/>
    <w:basedOn w:val="TableNormal"/>
    <w:uiPriority w:val="59"/>
    <w:rsid w:val="00717D45"/>
    <w:pPr>
      <w:spacing w:after="0" w:line="240"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B1CB1"/>
    <w:rPr>
      <w:color w:val="808080"/>
    </w:rPr>
  </w:style>
  <w:style w:type="character" w:customStyle="1" w:styleId="Heading1Char">
    <w:name w:val="Heading 1 Char"/>
    <w:basedOn w:val="DefaultParagraphFont"/>
    <w:link w:val="Heading1"/>
    <w:rsid w:val="00AE2745"/>
    <w:rPr>
      <w:rFonts w:ascii="Arial Bold" w:eastAsiaTheme="majorEastAsia" w:hAnsi="Arial Bold" w:cstheme="majorBidi"/>
      <w:b/>
      <w:bCs/>
      <w:caps/>
      <w:kern w:val="32"/>
      <w:sz w:val="36"/>
      <w:szCs w:val="40"/>
      <w:lang w:eastAsia="en-AU"/>
    </w:rPr>
  </w:style>
  <w:style w:type="paragraph" w:customStyle="1" w:styleId="Tablefont">
    <w:name w:val="Table font"/>
    <w:basedOn w:val="Normal"/>
    <w:qFormat/>
    <w:rsid w:val="002C58FF"/>
    <w:pPr>
      <w:spacing w:before="80" w:after="80" w:line="240" w:lineRule="auto"/>
    </w:pPr>
    <w:rPr>
      <w:lang w:eastAsia="en-AU"/>
    </w:rPr>
  </w:style>
  <w:style w:type="paragraph" w:customStyle="1" w:styleId="Tableheader">
    <w:name w:val="Table header"/>
    <w:basedOn w:val="Tablefont"/>
    <w:qFormat/>
    <w:rsid w:val="00263255"/>
    <w:pPr>
      <w:spacing w:before="60" w:after="60"/>
    </w:pPr>
    <w:rPr>
      <w:b/>
      <w:bCs/>
      <w:color w:val="000000" w:themeColor="text1"/>
    </w:rPr>
  </w:style>
  <w:style w:type="character" w:customStyle="1" w:styleId="checkbox">
    <w:name w:val="checkbox"/>
    <w:basedOn w:val="DefaultParagraphFont"/>
    <w:uiPriority w:val="1"/>
    <w:rsid w:val="00687890"/>
    <w:rPr>
      <w:rFonts w:ascii="Wingdings" w:hAnsi="Wingdings"/>
    </w:rPr>
  </w:style>
  <w:style w:type="character" w:customStyle="1" w:styleId="WESstatus">
    <w:name w:val="WES status"/>
    <w:basedOn w:val="DefaultParagraphFont"/>
    <w:uiPriority w:val="1"/>
    <w:rsid w:val="007F1005"/>
    <w:rPr>
      <w:b w:val="0"/>
      <w:color w:val="A6A6A6" w:themeColor="background1" w:themeShade="A6"/>
    </w:rPr>
  </w:style>
  <w:style w:type="table" w:customStyle="1" w:styleId="TableGrid1">
    <w:name w:val="Table Grid1"/>
    <w:basedOn w:val="TableNormal"/>
    <w:next w:val="TableGrid"/>
    <w:uiPriority w:val="59"/>
    <w:rsid w:val="000C2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AE2745"/>
    <w:rPr>
      <w:rFonts w:eastAsiaTheme="majorEastAsia" w:cs="Arial"/>
      <w:b/>
      <w:bCs/>
      <w:iCs/>
      <w:color w:val="000000" w:themeColor="text1"/>
      <w:sz w:val="28"/>
      <w:szCs w:val="32"/>
      <w:lang w:eastAsia="en-AU"/>
    </w:rPr>
  </w:style>
  <w:style w:type="character" w:customStyle="1" w:styleId="Heading3Char">
    <w:name w:val="Heading 3 Char"/>
    <w:basedOn w:val="DefaultParagraphFont"/>
    <w:link w:val="Heading3"/>
    <w:uiPriority w:val="9"/>
    <w:rsid w:val="002E0D61"/>
    <w:rPr>
      <w:rFonts w:eastAsiaTheme="majorEastAsia" w:cs="Arial"/>
      <w:b/>
      <w:bCs/>
      <w:color w:val="000000" w:themeColor="text1"/>
      <w:sz w:val="24"/>
      <w:lang w:eastAsia="en-AU"/>
    </w:rPr>
  </w:style>
  <w:style w:type="character" w:customStyle="1" w:styleId="Heading4Char">
    <w:name w:val="Heading 4 Char"/>
    <w:basedOn w:val="DefaultParagraphFont"/>
    <w:link w:val="Heading4"/>
    <w:uiPriority w:val="9"/>
    <w:semiHidden/>
    <w:rsid w:val="00AF5E07"/>
    <w:rPr>
      <w:rFonts w:eastAsiaTheme="majorEastAsia" w:cstheme="majorBidi"/>
      <w:b/>
      <w:bCs/>
      <w:i/>
      <w:iCs/>
      <w:lang w:eastAsia="en-AU"/>
    </w:rPr>
  </w:style>
  <w:style w:type="character" w:customStyle="1" w:styleId="Heading5Char">
    <w:name w:val="Heading 5 Char"/>
    <w:basedOn w:val="DefaultParagraphFont"/>
    <w:link w:val="Heading5"/>
    <w:uiPriority w:val="9"/>
    <w:semiHidden/>
    <w:rsid w:val="00C61EDF"/>
    <w:rPr>
      <w:rFonts w:asciiTheme="majorHAnsi" w:eastAsiaTheme="majorEastAsia" w:hAnsiTheme="majorHAnsi" w:cstheme="majorBidi"/>
      <w:b/>
      <w:bCs/>
      <w:color w:val="7F7F7F" w:themeColor="text1" w:themeTint="80"/>
      <w:lang w:eastAsia="en-AU"/>
    </w:rPr>
  </w:style>
  <w:style w:type="paragraph" w:styleId="Title">
    <w:name w:val="Title"/>
    <w:basedOn w:val="Normal"/>
    <w:next w:val="Heading1"/>
    <w:link w:val="TitleChar"/>
    <w:qFormat/>
    <w:rsid w:val="006532ED"/>
    <w:pPr>
      <w:spacing w:before="240" w:after="60" w:line="240" w:lineRule="auto"/>
      <w:jc w:val="center"/>
      <w:outlineLvl w:val="0"/>
    </w:pPr>
    <w:rPr>
      <w:rFonts w:eastAsiaTheme="majorEastAsia" w:cstheme="majorBidi"/>
      <w:b/>
      <w:bCs/>
      <w:kern w:val="28"/>
      <w:sz w:val="72"/>
      <w:szCs w:val="32"/>
      <w:lang w:eastAsia="en-AU"/>
    </w:rPr>
  </w:style>
  <w:style w:type="character" w:customStyle="1" w:styleId="TitleChar">
    <w:name w:val="Title Char"/>
    <w:basedOn w:val="DefaultParagraphFont"/>
    <w:link w:val="Title"/>
    <w:rsid w:val="006532ED"/>
    <w:rPr>
      <w:rFonts w:eastAsiaTheme="majorEastAsia" w:cstheme="majorBidi"/>
      <w:b/>
      <w:bCs/>
      <w:kern w:val="28"/>
      <w:sz w:val="72"/>
      <w:szCs w:val="32"/>
      <w:lang w:eastAsia="en-AU"/>
    </w:rPr>
  </w:style>
  <w:style w:type="paragraph" w:styleId="Subtitle">
    <w:name w:val="Subtitle"/>
    <w:basedOn w:val="Normal"/>
    <w:next w:val="Normal"/>
    <w:link w:val="SubtitleChar"/>
    <w:uiPriority w:val="11"/>
    <w:qFormat/>
    <w:rsid w:val="006532ED"/>
    <w:pPr>
      <w:numPr>
        <w:ilvl w:val="1"/>
      </w:numPr>
    </w:pPr>
    <w:rPr>
      <w:rFonts w:eastAsiaTheme="majorEastAsia" w:cstheme="majorBidi"/>
      <w:i/>
      <w:iCs/>
      <w:color w:val="7F7F7F" w:themeColor="text1" w:themeTint="80"/>
      <w:spacing w:val="15"/>
      <w:sz w:val="24"/>
      <w:szCs w:val="24"/>
    </w:rPr>
  </w:style>
  <w:style w:type="character" w:customStyle="1" w:styleId="SubtitleChar">
    <w:name w:val="Subtitle Char"/>
    <w:basedOn w:val="DefaultParagraphFont"/>
    <w:link w:val="Subtitle"/>
    <w:uiPriority w:val="11"/>
    <w:rsid w:val="006532ED"/>
    <w:rPr>
      <w:rFonts w:eastAsiaTheme="majorEastAsia" w:cstheme="majorBidi"/>
      <w:i/>
      <w:iCs/>
      <w:color w:val="7F7F7F" w:themeColor="text1" w:themeTint="80"/>
      <w:spacing w:val="15"/>
      <w:sz w:val="24"/>
      <w:szCs w:val="24"/>
    </w:rPr>
  </w:style>
  <w:style w:type="character" w:styleId="IntenseEmphasis">
    <w:name w:val="Intense Emphasis"/>
    <w:basedOn w:val="DefaultParagraphFont"/>
    <w:uiPriority w:val="21"/>
    <w:qFormat/>
    <w:rsid w:val="006532ED"/>
    <w:rPr>
      <w:rFonts w:ascii="Arial" w:hAnsi="Arial"/>
      <w:b/>
      <w:bCs/>
      <w:i/>
      <w:iCs/>
      <w:color w:val="7F7F7F" w:themeColor="text1" w:themeTint="80"/>
    </w:rPr>
  </w:style>
  <w:style w:type="paragraph" w:customStyle="1" w:styleId="Tableitalics">
    <w:name w:val="Table italics"/>
    <w:basedOn w:val="Tablefont"/>
    <w:qFormat/>
    <w:rsid w:val="00717D45"/>
    <w:pPr>
      <w:jc w:val="right"/>
    </w:pPr>
    <w:rPr>
      <w:i/>
    </w:rPr>
  </w:style>
  <w:style w:type="table" w:styleId="LightList-Accent1">
    <w:name w:val="Light List Accent 1"/>
    <w:basedOn w:val="TableNormal"/>
    <w:uiPriority w:val="61"/>
    <w:rsid w:val="00D048F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7E307D"/>
    <w:pPr>
      <w:spacing w:before="80" w:after="80" w:line="240" w:lineRule="auto"/>
    </w:pPr>
    <w:tblPr>
      <w:tblStyleRowBandSize w:val="1"/>
      <w:tblStyleColBandSize w:val="1"/>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dotted" w:sz="4" w:space="0" w:color="808080" w:themeColor="background1" w:themeShade="80"/>
      </w:tblBorders>
    </w:tblPr>
    <w:tblStylePr w:type="firstRow">
      <w:pPr>
        <w:spacing w:before="0" w:after="0" w:line="240" w:lineRule="auto"/>
      </w:pPr>
      <w:rPr>
        <w:b/>
        <w:bCs/>
        <w:color w:val="FFFFFF" w:themeColor="background1"/>
      </w:rPr>
      <w:tblPr/>
      <w:tcPr>
        <w:shd w:val="clear" w:color="auto" w:fill="7F7F7F" w:themeFill="text1" w:themeFillTint="8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dotted" w:sz="4" w:space="0" w:color="808080" w:themeColor="background1" w:themeShade="80"/>
          <w:left w:val="single" w:sz="8" w:space="0" w:color="7F7F7F" w:themeColor="text1" w:themeTint="80"/>
          <w:bottom w:val="dotted" w:sz="4" w:space="0" w:color="808080" w:themeColor="background1" w:themeShade="80"/>
          <w:right w:val="single" w:sz="8" w:space="0" w:color="7F7F7F" w:themeColor="text1" w:themeTint="80"/>
          <w:insideH w:val="nil"/>
          <w:insideV w:val="nil"/>
          <w:tl2br w:val="nil"/>
          <w:tr2bl w:val="nil"/>
        </w:tcBorders>
      </w:tcPr>
    </w:tblStylePr>
  </w:style>
  <w:style w:type="paragraph" w:styleId="IntenseQuote">
    <w:name w:val="Intense Quote"/>
    <w:basedOn w:val="Normal"/>
    <w:next w:val="Normal"/>
    <w:link w:val="IntenseQuoteChar"/>
    <w:uiPriority w:val="30"/>
    <w:qFormat/>
    <w:rsid w:val="00D33220"/>
    <w:pPr>
      <w:pBdr>
        <w:bottom w:val="single" w:sz="4" w:space="4" w:color="7F7F7F" w:themeColor="text1" w:themeTint="80"/>
      </w:pBdr>
      <w:spacing w:before="200" w:after="280"/>
      <w:ind w:left="936" w:right="936"/>
    </w:pPr>
    <w:rPr>
      <w:b/>
      <w:bCs/>
      <w:i/>
      <w:iCs/>
      <w:color w:val="808080" w:themeColor="background1" w:themeShade="80"/>
    </w:rPr>
  </w:style>
  <w:style w:type="character" w:customStyle="1" w:styleId="IntenseQuoteChar">
    <w:name w:val="Intense Quote Char"/>
    <w:basedOn w:val="DefaultParagraphFont"/>
    <w:link w:val="IntenseQuote"/>
    <w:uiPriority w:val="30"/>
    <w:rsid w:val="00D33220"/>
    <w:rPr>
      <w:b/>
      <w:bCs/>
      <w:i/>
      <w:iCs/>
      <w:color w:val="808080" w:themeColor="background1" w:themeShade="80"/>
    </w:rPr>
  </w:style>
  <w:style w:type="character" w:styleId="SubtleReference">
    <w:name w:val="Subtle Reference"/>
    <w:basedOn w:val="DefaultParagraphFont"/>
    <w:uiPriority w:val="31"/>
    <w:qFormat/>
    <w:rsid w:val="00AF5E07"/>
    <w:rPr>
      <w:rFonts w:ascii="Arial" w:hAnsi="Arial"/>
      <w:smallCaps/>
      <w:color w:val="000000" w:themeColor="text1"/>
      <w:u w:val="single"/>
    </w:rPr>
  </w:style>
  <w:style w:type="character" w:styleId="IntenseReference">
    <w:name w:val="Intense Reference"/>
    <w:basedOn w:val="DefaultParagraphFont"/>
    <w:uiPriority w:val="32"/>
    <w:qFormat/>
    <w:rsid w:val="00AF5E07"/>
    <w:rPr>
      <w:rFonts w:ascii="Arial" w:hAnsi="Arial"/>
      <w:b/>
      <w:bCs/>
      <w:smallCaps/>
      <w:color w:val="000000" w:themeColor="text1"/>
      <w:spacing w:val="5"/>
      <w:u w:val="single"/>
    </w:rPr>
  </w:style>
  <w:style w:type="character" w:styleId="Strong">
    <w:name w:val="Strong"/>
    <w:basedOn w:val="DefaultParagraphFont"/>
    <w:uiPriority w:val="22"/>
    <w:qFormat/>
    <w:rsid w:val="007770F1"/>
    <w:rPr>
      <w:b/>
      <w:bCs/>
    </w:rPr>
  </w:style>
  <w:style w:type="paragraph" w:styleId="NoSpacing">
    <w:name w:val="No Spacing"/>
    <w:uiPriority w:val="1"/>
    <w:qFormat/>
    <w:rsid w:val="00717D45"/>
    <w:pPr>
      <w:spacing w:after="0" w:line="240" w:lineRule="auto"/>
    </w:pPr>
  </w:style>
  <w:style w:type="paragraph" w:customStyle="1" w:styleId="WES">
    <w:name w:val="WES"/>
    <w:basedOn w:val="Tablefont"/>
    <w:qFormat/>
    <w:rsid w:val="00AE2745"/>
    <w:pPr>
      <w:spacing w:before="240" w:after="120"/>
    </w:pPr>
    <w:rPr>
      <w:b/>
      <w:sz w:val="24"/>
    </w:rPr>
  </w:style>
  <w:style w:type="paragraph" w:customStyle="1" w:styleId="Tablerowheading">
    <w:name w:val="Table row heading"/>
    <w:basedOn w:val="Normal"/>
    <w:qFormat/>
    <w:rsid w:val="00D33220"/>
    <w:pPr>
      <w:spacing w:before="80" w:after="80" w:line="240" w:lineRule="auto"/>
    </w:pPr>
    <w:rPr>
      <w:b/>
      <w:lang w:eastAsia="en-AU"/>
    </w:rPr>
  </w:style>
  <w:style w:type="paragraph" w:customStyle="1" w:styleId="Tablerowright">
    <w:name w:val="Table row right"/>
    <w:basedOn w:val="Tablerowheading"/>
    <w:qFormat/>
    <w:rsid w:val="00921DE7"/>
    <w:pPr>
      <w:jc w:val="right"/>
    </w:pPr>
  </w:style>
  <w:style w:type="paragraph" w:customStyle="1" w:styleId="Tablerowheadingitalic">
    <w:name w:val="Table row heading italic"/>
    <w:basedOn w:val="Tablerowheading"/>
    <w:qFormat/>
    <w:rsid w:val="003365A5"/>
    <w:pPr>
      <w:keepNext/>
      <w:keepLines/>
      <w:tabs>
        <w:tab w:val="left" w:pos="2268"/>
        <w:tab w:val="left" w:pos="5670"/>
      </w:tabs>
    </w:pPr>
    <w:rPr>
      <w:i/>
    </w:rPr>
  </w:style>
  <w:style w:type="paragraph" w:customStyle="1" w:styleId="Tabletextprimarysource">
    <w:name w:val="Table text primary source"/>
    <w:basedOn w:val="Normal"/>
    <w:qFormat/>
    <w:rsid w:val="003365A5"/>
    <w:pPr>
      <w:spacing w:before="60" w:after="60" w:line="240" w:lineRule="auto"/>
    </w:pPr>
  </w:style>
  <w:style w:type="paragraph" w:styleId="z-TopofForm">
    <w:name w:val="HTML Top of Form"/>
    <w:basedOn w:val="Normal"/>
    <w:next w:val="Normal"/>
    <w:link w:val="z-TopofFormChar"/>
    <w:hidden/>
    <w:uiPriority w:val="99"/>
    <w:semiHidden/>
    <w:unhideWhenUsed/>
    <w:rsid w:val="00F9496B"/>
    <w:pPr>
      <w:pBdr>
        <w:bottom w:val="single" w:sz="6" w:space="1" w:color="auto"/>
      </w:pBdr>
      <w:spacing w:after="0"/>
      <w:jc w:val="center"/>
    </w:pPr>
    <w:rPr>
      <w:rFonts w:cs="Arial"/>
      <w:vanish/>
      <w:sz w:val="16"/>
      <w:szCs w:val="16"/>
    </w:rPr>
  </w:style>
  <w:style w:type="character" w:customStyle="1" w:styleId="z-TopofFormChar">
    <w:name w:val="z-Top of Form Char"/>
    <w:basedOn w:val="DefaultParagraphFont"/>
    <w:link w:val="z-TopofForm"/>
    <w:uiPriority w:val="99"/>
    <w:semiHidden/>
    <w:rsid w:val="00F9496B"/>
    <w:rPr>
      <w:rFonts w:cs="Arial"/>
      <w:vanish/>
      <w:sz w:val="16"/>
      <w:szCs w:val="16"/>
    </w:rPr>
  </w:style>
  <w:style w:type="paragraph" w:styleId="z-BottomofForm">
    <w:name w:val="HTML Bottom of Form"/>
    <w:basedOn w:val="Normal"/>
    <w:next w:val="Normal"/>
    <w:link w:val="z-BottomofFormChar"/>
    <w:hidden/>
    <w:uiPriority w:val="99"/>
    <w:semiHidden/>
    <w:unhideWhenUsed/>
    <w:rsid w:val="00F9496B"/>
    <w:pPr>
      <w:pBdr>
        <w:top w:val="single" w:sz="6" w:space="1" w:color="auto"/>
      </w:pBdr>
      <w:spacing w:after="0"/>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F9496B"/>
    <w:rPr>
      <w:rFonts w:cs="Arial"/>
      <w:vanish/>
      <w:sz w:val="16"/>
      <w:szCs w:val="16"/>
    </w:rPr>
  </w:style>
  <w:style w:type="character" w:styleId="Hyperlink">
    <w:name w:val="Hyperlink"/>
    <w:basedOn w:val="DefaultParagraphFont"/>
    <w:uiPriority w:val="99"/>
    <w:semiHidden/>
    <w:unhideWhenUsed/>
    <w:rsid w:val="006650FE"/>
    <w:rPr>
      <w:color w:val="0000FF" w:themeColor="hyperlink"/>
      <w:u w:val="single"/>
    </w:rPr>
  </w:style>
  <w:style w:type="paragraph" w:customStyle="1" w:styleId="SWALink">
    <w:name w:val="SWA Link"/>
    <w:basedOn w:val="Normal"/>
    <w:link w:val="SWALinkChar"/>
    <w:qFormat/>
    <w:rsid w:val="00DD2F9B"/>
    <w:pPr>
      <w:spacing w:line="240" w:lineRule="auto"/>
    </w:pPr>
    <w:rPr>
      <w:rFonts w:eastAsia="Times New Roman" w:cs="Times New Roman"/>
      <w:szCs w:val="24"/>
      <w:u w:val="single"/>
      <w:lang w:eastAsia="en-AU"/>
    </w:rPr>
  </w:style>
  <w:style w:type="character" w:customStyle="1" w:styleId="SWALinkChar">
    <w:name w:val="SWA Link Char"/>
    <w:basedOn w:val="DefaultParagraphFont"/>
    <w:link w:val="SWALink"/>
    <w:rsid w:val="00DD2F9B"/>
    <w:rPr>
      <w:rFonts w:eastAsia="Times New Roman" w:cs="Times New Roman"/>
      <w:szCs w:val="24"/>
      <w:u w:val="single"/>
      <w:lang w:eastAsia="en-AU"/>
    </w:rPr>
  </w:style>
  <w:style w:type="paragraph" w:customStyle="1" w:styleId="Tablefooter">
    <w:name w:val="Table footer"/>
    <w:basedOn w:val="Tablefont"/>
    <w:next w:val="Normal"/>
    <w:qFormat/>
    <w:rsid w:val="00485BFD"/>
    <w:pPr>
      <w:spacing w:before="0" w:after="240"/>
      <w:ind w:left="227"/>
    </w:pPr>
    <w:rPr>
      <w:sz w:val="17"/>
    </w:rPr>
  </w:style>
  <w:style w:type="character" w:styleId="CommentReference">
    <w:name w:val="annotation reference"/>
    <w:basedOn w:val="DefaultParagraphFont"/>
    <w:uiPriority w:val="99"/>
    <w:semiHidden/>
    <w:unhideWhenUsed/>
    <w:rsid w:val="00C95687"/>
    <w:rPr>
      <w:sz w:val="16"/>
      <w:szCs w:val="16"/>
    </w:rPr>
  </w:style>
  <w:style w:type="paragraph" w:styleId="CommentText">
    <w:name w:val="annotation text"/>
    <w:basedOn w:val="Normal"/>
    <w:link w:val="CommentTextChar"/>
    <w:uiPriority w:val="99"/>
    <w:semiHidden/>
    <w:unhideWhenUsed/>
    <w:rsid w:val="00C95687"/>
    <w:pPr>
      <w:spacing w:line="240" w:lineRule="auto"/>
    </w:pPr>
    <w:rPr>
      <w:szCs w:val="20"/>
    </w:rPr>
  </w:style>
  <w:style w:type="character" w:customStyle="1" w:styleId="CommentTextChar">
    <w:name w:val="Comment Text Char"/>
    <w:basedOn w:val="DefaultParagraphFont"/>
    <w:link w:val="CommentText"/>
    <w:uiPriority w:val="99"/>
    <w:semiHidden/>
    <w:rsid w:val="00C95687"/>
    <w:rPr>
      <w:szCs w:val="20"/>
    </w:rPr>
  </w:style>
  <w:style w:type="paragraph" w:styleId="CommentSubject">
    <w:name w:val="annotation subject"/>
    <w:basedOn w:val="CommentText"/>
    <w:next w:val="CommentText"/>
    <w:link w:val="CommentSubjectChar"/>
    <w:uiPriority w:val="99"/>
    <w:semiHidden/>
    <w:unhideWhenUsed/>
    <w:rsid w:val="00C95687"/>
    <w:rPr>
      <w:b/>
      <w:bCs/>
    </w:rPr>
  </w:style>
  <w:style w:type="character" w:customStyle="1" w:styleId="CommentSubjectChar">
    <w:name w:val="Comment Subject Char"/>
    <w:basedOn w:val="CommentTextChar"/>
    <w:link w:val="CommentSubject"/>
    <w:uiPriority w:val="99"/>
    <w:semiHidden/>
    <w:rsid w:val="00C95687"/>
    <w:rPr>
      <w:b/>
      <w:bCs/>
      <w:szCs w:val="20"/>
    </w:rPr>
  </w:style>
  <w:style w:type="paragraph" w:styleId="ListBullet">
    <w:name w:val="List Bullet"/>
    <w:basedOn w:val="Normal"/>
    <w:uiPriority w:val="99"/>
    <w:unhideWhenUsed/>
    <w:rsid w:val="002B6B1B"/>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4684346">
      <w:bodyDiv w:val="1"/>
      <w:marLeft w:val="0"/>
      <w:marRight w:val="0"/>
      <w:marTop w:val="0"/>
      <w:marBottom w:val="0"/>
      <w:divBdr>
        <w:top w:val="none" w:sz="0" w:space="0" w:color="auto"/>
        <w:left w:val="none" w:sz="0" w:space="0" w:color="auto"/>
        <w:bottom w:val="none" w:sz="0" w:space="0" w:color="auto"/>
        <w:right w:val="none" w:sz="0" w:space="0" w:color="auto"/>
      </w:divBdr>
    </w:div>
    <w:div w:id="1853450945">
      <w:bodyDiv w:val="1"/>
      <w:marLeft w:val="0"/>
      <w:marRight w:val="0"/>
      <w:marTop w:val="0"/>
      <w:marBottom w:val="0"/>
      <w:divBdr>
        <w:top w:val="none" w:sz="0" w:space="0" w:color="auto"/>
        <w:left w:val="none" w:sz="0" w:space="0" w:color="auto"/>
        <w:bottom w:val="none" w:sz="0" w:space="0" w:color="auto"/>
        <w:right w:val="none" w:sz="0" w:space="0" w:color="auto"/>
      </w:divBdr>
    </w:div>
    <w:div w:id="211971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acgih.org/tlv-bei-guidelines/policies-procedures-presentation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16/09/relationships/commentsIds" Target="commentsIds.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E1736E50B02464986D1BEC8B7ACDE96"/>
        <w:category>
          <w:name w:val="General"/>
          <w:gallery w:val="placeholder"/>
        </w:category>
        <w:types>
          <w:type w:val="bbPlcHdr"/>
        </w:types>
        <w:behaviors>
          <w:behavior w:val="content"/>
        </w:behaviors>
        <w:guid w:val="{C8D94199-680D-4E9C-9EF3-3D915D06B842}"/>
      </w:docPartPr>
      <w:docPartBody>
        <w:p w:rsidR="00D21A9F" w:rsidRDefault="00D21A9F">
          <w:pPr>
            <w:pStyle w:val="CE1736E50B02464986D1BEC8B7ACDE96"/>
          </w:pPr>
          <w:r>
            <w:rPr>
              <w:rStyle w:val="PlaceholderText"/>
            </w:rPr>
            <w:t>Nameofchemical</w:t>
          </w:r>
        </w:p>
      </w:docPartBody>
    </w:docPart>
    <w:docPart>
      <w:docPartPr>
        <w:name w:val="E23B83A762C94EBA8097A4DA3FB4D503"/>
        <w:category>
          <w:name w:val="General"/>
          <w:gallery w:val="placeholder"/>
        </w:category>
        <w:types>
          <w:type w:val="bbPlcHdr"/>
        </w:types>
        <w:behaviors>
          <w:behavior w:val="content"/>
        </w:behaviors>
        <w:guid w:val="{65A02F65-DBBA-4D5A-AAD5-C6FAA5E6CE0E}"/>
      </w:docPartPr>
      <w:docPartBody>
        <w:p w:rsidR="00D21A9F" w:rsidRDefault="00D21A9F">
          <w:pPr>
            <w:pStyle w:val="E23B83A762C94EBA8097A4DA3FB4D503"/>
          </w:pPr>
          <w:r>
            <w:rPr>
              <w:rStyle w:val="PlaceholderText"/>
            </w:rPr>
            <w:t>Has this value changed?</w:t>
          </w:r>
        </w:p>
      </w:docPartBody>
    </w:docPart>
    <w:docPart>
      <w:docPartPr>
        <w:name w:val="0A35AF4547E94E219E26BC12DBC33282"/>
        <w:category>
          <w:name w:val="General"/>
          <w:gallery w:val="placeholder"/>
        </w:category>
        <w:types>
          <w:type w:val="bbPlcHdr"/>
        </w:types>
        <w:behaviors>
          <w:behavior w:val="content"/>
        </w:behaviors>
        <w:guid w:val="{817D360E-8225-4AF6-9FDF-3CF80276F4FF}"/>
      </w:docPartPr>
      <w:docPartBody>
        <w:p w:rsidR="00D21A9F" w:rsidRDefault="00D21A9F">
          <w:pPr>
            <w:pStyle w:val="0A35AF4547E94E219E26BC12DBC33282"/>
          </w:pPr>
          <w:r>
            <w:rPr>
              <w:rStyle w:val="PlaceholderText"/>
            </w:rPr>
            <w:t>Y</w:t>
          </w:r>
          <w:r w:rsidRPr="003365A5">
            <w:rPr>
              <w:rStyle w:val="PlaceholderText"/>
            </w:rPr>
            <w:t>ear</w:t>
          </w:r>
        </w:p>
      </w:docPartBody>
    </w:docPart>
    <w:docPart>
      <w:docPartPr>
        <w:name w:val="81CFEC2FDBC5451289F394E66D92D1A0"/>
        <w:category>
          <w:name w:val="General"/>
          <w:gallery w:val="placeholder"/>
        </w:category>
        <w:types>
          <w:type w:val="bbPlcHdr"/>
        </w:types>
        <w:behaviors>
          <w:behavior w:val="content"/>
        </w:behaviors>
        <w:guid w:val="{7B474E63-31E6-4636-887F-D101B2E0A187}"/>
      </w:docPartPr>
      <w:docPartBody>
        <w:p w:rsidR="00D21A9F" w:rsidRDefault="00D21A9F">
          <w:pPr>
            <w:pStyle w:val="81CFEC2FDBC5451289F394E66D92D1A0"/>
          </w:pPr>
          <w:r w:rsidRPr="0051509C">
            <w:rPr>
              <w:rStyle w:val="PlaceholderText"/>
            </w:rPr>
            <w:t>Click here to enter standard</w:t>
          </w:r>
        </w:p>
      </w:docPartBody>
    </w:docPart>
    <w:docPart>
      <w:docPartPr>
        <w:name w:val="C8FBF9621EB94FE084F687C8955AF85F"/>
        <w:category>
          <w:name w:val="General"/>
          <w:gallery w:val="placeholder"/>
        </w:category>
        <w:types>
          <w:type w:val="bbPlcHdr"/>
        </w:types>
        <w:behaviors>
          <w:behavior w:val="content"/>
        </w:behaviors>
        <w:guid w:val="{540EEAE9-5999-4667-9E06-55916FEE5D03}"/>
      </w:docPartPr>
      <w:docPartBody>
        <w:p w:rsidR="00D21A9F" w:rsidRDefault="00D21A9F">
          <w:pPr>
            <w:pStyle w:val="C8FBF9621EB94FE084F687C8955AF85F"/>
          </w:pPr>
          <w:r>
            <w:rPr>
              <w:rStyle w:val="PlaceholderText"/>
            </w:rPr>
            <w:t>Y</w:t>
          </w:r>
          <w:r w:rsidRPr="003365A5">
            <w:rPr>
              <w:rStyle w:val="PlaceholderText"/>
            </w:rPr>
            <w:t>ear</w:t>
          </w:r>
        </w:p>
      </w:docPartBody>
    </w:docPart>
    <w:docPart>
      <w:docPartPr>
        <w:name w:val="522022AAE76B4622AC0DF750489702EB"/>
        <w:category>
          <w:name w:val="General"/>
          <w:gallery w:val="placeholder"/>
        </w:category>
        <w:types>
          <w:type w:val="bbPlcHdr"/>
        </w:types>
        <w:behaviors>
          <w:behavior w:val="content"/>
        </w:behaviors>
        <w:guid w:val="{4755DFBF-019C-4562-B49E-2AA0323A449A}"/>
      </w:docPartPr>
      <w:docPartBody>
        <w:p w:rsidR="00D21A9F" w:rsidRDefault="00D21A9F">
          <w:pPr>
            <w:pStyle w:val="522022AAE76B4622AC0DF750489702EB"/>
          </w:pPr>
          <w:r w:rsidRPr="0051509C">
            <w:rPr>
              <w:rStyle w:val="PlaceholderText"/>
            </w:rPr>
            <w:t>Click here to enter standard</w:t>
          </w:r>
        </w:p>
      </w:docPartBody>
    </w:docPart>
    <w:docPart>
      <w:docPartPr>
        <w:name w:val="6918C77959FE4E2CB3B6BD78ABC69E19"/>
        <w:category>
          <w:name w:val="General"/>
          <w:gallery w:val="placeholder"/>
        </w:category>
        <w:types>
          <w:type w:val="bbPlcHdr"/>
        </w:types>
        <w:behaviors>
          <w:behavior w:val="content"/>
        </w:behaviors>
        <w:guid w:val="{E8FDE167-8D8A-4F47-8F15-5DED52B85CB3}"/>
      </w:docPartPr>
      <w:docPartBody>
        <w:p w:rsidR="00D21A9F" w:rsidRDefault="00D21A9F">
          <w:pPr>
            <w:pStyle w:val="6918C77959FE4E2CB3B6BD78ABC69E19"/>
          </w:pPr>
          <w:r>
            <w:rPr>
              <w:rStyle w:val="PlaceholderText"/>
            </w:rPr>
            <w:t>Y</w:t>
          </w:r>
          <w:r w:rsidRPr="003365A5">
            <w:rPr>
              <w:rStyle w:val="PlaceholderText"/>
            </w:rPr>
            <w:t>ear</w:t>
          </w:r>
        </w:p>
      </w:docPartBody>
    </w:docPart>
    <w:docPart>
      <w:docPartPr>
        <w:name w:val="1ED9AEC91FDC4528B51A567B2B19EB9F"/>
        <w:category>
          <w:name w:val="General"/>
          <w:gallery w:val="placeholder"/>
        </w:category>
        <w:types>
          <w:type w:val="bbPlcHdr"/>
        </w:types>
        <w:behaviors>
          <w:behavior w:val="content"/>
        </w:behaviors>
        <w:guid w:val="{2F68FFA9-39F8-44B7-9FD3-B2DA6644805F}"/>
      </w:docPartPr>
      <w:docPartBody>
        <w:p w:rsidR="00D21A9F" w:rsidRDefault="00D21A9F">
          <w:pPr>
            <w:pStyle w:val="1ED9AEC91FDC4528B51A567B2B19EB9F"/>
          </w:pPr>
          <w:r w:rsidRPr="0051509C">
            <w:rPr>
              <w:rStyle w:val="PlaceholderText"/>
            </w:rPr>
            <w:t>Click here to enter standard</w:t>
          </w:r>
        </w:p>
      </w:docPartBody>
    </w:docPart>
    <w:docPart>
      <w:docPartPr>
        <w:name w:val="FDC2A24E7D2549238DA6EE03BD0A6AE0"/>
        <w:category>
          <w:name w:val="General"/>
          <w:gallery w:val="placeholder"/>
        </w:category>
        <w:types>
          <w:type w:val="bbPlcHdr"/>
        </w:types>
        <w:behaviors>
          <w:behavior w:val="content"/>
        </w:behaviors>
        <w:guid w:val="{B8AA2BDC-5672-4815-991F-0CE2DEE74014}"/>
      </w:docPartPr>
      <w:docPartBody>
        <w:p w:rsidR="00D21A9F" w:rsidRDefault="00D21A9F">
          <w:pPr>
            <w:pStyle w:val="FDC2A24E7D2549238DA6EE03BD0A6AE0"/>
          </w:pPr>
          <w:r>
            <w:rPr>
              <w:rStyle w:val="PlaceholderText"/>
            </w:rPr>
            <w:t>Y</w:t>
          </w:r>
          <w:r w:rsidRPr="003365A5">
            <w:rPr>
              <w:rStyle w:val="PlaceholderText"/>
            </w:rPr>
            <w:t>ear</w:t>
          </w:r>
        </w:p>
      </w:docPartBody>
    </w:docPart>
    <w:docPart>
      <w:docPartPr>
        <w:name w:val="9E827C9D0DA949E385F2E9AB4264125E"/>
        <w:category>
          <w:name w:val="General"/>
          <w:gallery w:val="placeholder"/>
        </w:category>
        <w:types>
          <w:type w:val="bbPlcHdr"/>
        </w:types>
        <w:behaviors>
          <w:behavior w:val="content"/>
        </w:behaviors>
        <w:guid w:val="{014BB1BA-B22F-4B62-9CED-7D4A7A141414}"/>
      </w:docPartPr>
      <w:docPartBody>
        <w:p w:rsidR="00D21A9F" w:rsidRDefault="00D21A9F">
          <w:pPr>
            <w:pStyle w:val="9E827C9D0DA949E385F2E9AB4264125E"/>
          </w:pPr>
          <w:r w:rsidRPr="0051509C">
            <w:rPr>
              <w:rStyle w:val="PlaceholderText"/>
            </w:rPr>
            <w:t>Click here to enter standard</w:t>
          </w:r>
        </w:p>
      </w:docPartBody>
    </w:docPart>
    <w:docPart>
      <w:docPartPr>
        <w:name w:val="47E4EC2DB10B4B8E8A66F7A5C13653CB"/>
        <w:category>
          <w:name w:val="General"/>
          <w:gallery w:val="placeholder"/>
        </w:category>
        <w:types>
          <w:type w:val="bbPlcHdr"/>
        </w:types>
        <w:behaviors>
          <w:behavior w:val="content"/>
        </w:behaviors>
        <w:guid w:val="{B5D78905-5FB3-41F1-93DC-9CC4E0026343}"/>
      </w:docPartPr>
      <w:docPartBody>
        <w:p w:rsidR="00D21A9F" w:rsidRDefault="00D21A9F">
          <w:pPr>
            <w:pStyle w:val="47E4EC2DB10B4B8E8A66F7A5C13653CB"/>
          </w:pPr>
          <w:r>
            <w:rPr>
              <w:rStyle w:val="PlaceholderText"/>
            </w:rPr>
            <w:t>Y</w:t>
          </w:r>
          <w:r w:rsidRPr="003365A5">
            <w:rPr>
              <w:rStyle w:val="PlaceholderText"/>
            </w:rPr>
            <w:t>ear</w:t>
          </w:r>
        </w:p>
      </w:docPartBody>
    </w:docPart>
    <w:docPart>
      <w:docPartPr>
        <w:name w:val="5E4DD00C3A334F93BF5CC79754EBC5EA"/>
        <w:category>
          <w:name w:val="General"/>
          <w:gallery w:val="placeholder"/>
        </w:category>
        <w:types>
          <w:type w:val="bbPlcHdr"/>
        </w:types>
        <w:behaviors>
          <w:behavior w:val="content"/>
        </w:behaviors>
        <w:guid w:val="{604CD032-152D-43ED-B301-B773F4E16730}"/>
      </w:docPartPr>
      <w:docPartBody>
        <w:p w:rsidR="00D21A9F" w:rsidRDefault="00D21A9F">
          <w:pPr>
            <w:pStyle w:val="5E4DD00C3A334F93BF5CC79754EBC5EA"/>
          </w:pPr>
          <w:r w:rsidRPr="0051509C">
            <w:rPr>
              <w:rStyle w:val="PlaceholderText"/>
            </w:rPr>
            <w:t>Click here to enter standard</w:t>
          </w:r>
        </w:p>
      </w:docPartBody>
    </w:docPart>
    <w:docPart>
      <w:docPartPr>
        <w:name w:val="EA1708404F1C4A3BB080A0D8EEB67D1D"/>
        <w:category>
          <w:name w:val="General"/>
          <w:gallery w:val="placeholder"/>
        </w:category>
        <w:types>
          <w:type w:val="bbPlcHdr"/>
        </w:types>
        <w:behaviors>
          <w:behavior w:val="content"/>
        </w:behaviors>
        <w:guid w:val="{7EF895B6-0ED1-45DE-89C6-97EC2AC4C0B7}"/>
      </w:docPartPr>
      <w:docPartBody>
        <w:p w:rsidR="00D21A9F" w:rsidRDefault="00D21A9F">
          <w:pPr>
            <w:pStyle w:val="EA1708404F1C4A3BB080A0D8EEB67D1D"/>
          </w:pPr>
          <w:r>
            <w:rPr>
              <w:rStyle w:val="PlaceholderText"/>
            </w:rPr>
            <w:t>Y</w:t>
          </w:r>
          <w:r w:rsidRPr="003365A5">
            <w:rPr>
              <w:rStyle w:val="PlaceholderText"/>
            </w:rPr>
            <w:t>ear</w:t>
          </w:r>
        </w:p>
      </w:docPartBody>
    </w:docPart>
    <w:docPart>
      <w:docPartPr>
        <w:name w:val="F3D4204BA37A4A21A656C76DA4274412"/>
        <w:category>
          <w:name w:val="General"/>
          <w:gallery w:val="placeholder"/>
        </w:category>
        <w:types>
          <w:type w:val="bbPlcHdr"/>
        </w:types>
        <w:behaviors>
          <w:behavior w:val="content"/>
        </w:behaviors>
        <w:guid w:val="{C0DD64BC-C0C9-4379-B1B0-F8982B824A8E}"/>
      </w:docPartPr>
      <w:docPartBody>
        <w:p w:rsidR="00D21A9F" w:rsidRDefault="00D21A9F">
          <w:pPr>
            <w:pStyle w:val="F3D4204BA37A4A21A656C76DA4274412"/>
          </w:pPr>
          <w:r w:rsidRPr="0051509C">
            <w:rPr>
              <w:rStyle w:val="PlaceholderText"/>
            </w:rPr>
            <w:t>Click here to enter standard</w:t>
          </w:r>
        </w:p>
      </w:docPartBody>
    </w:docPart>
    <w:docPart>
      <w:docPartPr>
        <w:name w:val="8DD754E365844A4E82EC69A07E229629"/>
        <w:category>
          <w:name w:val="General"/>
          <w:gallery w:val="placeholder"/>
        </w:category>
        <w:types>
          <w:type w:val="bbPlcHdr"/>
        </w:types>
        <w:behaviors>
          <w:behavior w:val="content"/>
        </w:behaviors>
        <w:guid w:val="{9F4DDB53-9FC4-45A7-A37C-FDECC7AE23CB}"/>
      </w:docPartPr>
      <w:docPartBody>
        <w:p w:rsidR="00D21A9F" w:rsidRDefault="00D21A9F">
          <w:pPr>
            <w:pStyle w:val="8DD754E365844A4E82EC69A07E229629"/>
          </w:pPr>
          <w:r w:rsidRPr="00724F1C">
            <w:rPr>
              <w:rStyle w:val="PlaceholderText"/>
            </w:rPr>
            <w:t>Choose an item.</w:t>
          </w:r>
        </w:p>
      </w:docPartBody>
    </w:docPart>
    <w:docPart>
      <w:docPartPr>
        <w:name w:val="C2B44F29000D47BD8588D2D5E8DFA6C8"/>
        <w:category>
          <w:name w:val="General"/>
          <w:gallery w:val="placeholder"/>
        </w:category>
        <w:types>
          <w:type w:val="bbPlcHdr"/>
        </w:types>
        <w:behaviors>
          <w:behavior w:val="content"/>
        </w:behaviors>
        <w:guid w:val="{9D2592D5-75B8-4D64-A901-EB344ED20046}"/>
      </w:docPartPr>
      <w:docPartBody>
        <w:p w:rsidR="00D21A9F" w:rsidRDefault="00D21A9F">
          <w:pPr>
            <w:pStyle w:val="C2B44F29000D47BD8588D2D5E8DFA6C8"/>
          </w:pPr>
          <w:r w:rsidRPr="00724F1C">
            <w:rPr>
              <w:rStyle w:val="PlaceholderText"/>
            </w:rPr>
            <w:t>Choose an item.</w:t>
          </w:r>
        </w:p>
      </w:docPartBody>
    </w:docPart>
    <w:docPart>
      <w:docPartPr>
        <w:name w:val="CFFDE270CB50461B826B0194984892C5"/>
        <w:category>
          <w:name w:val="General"/>
          <w:gallery w:val="placeholder"/>
        </w:category>
        <w:types>
          <w:type w:val="bbPlcHdr"/>
        </w:types>
        <w:behaviors>
          <w:behavior w:val="content"/>
        </w:behaviors>
        <w:guid w:val="{FD5D30F8-F751-45C7-BEFB-A7D3397CEB99}"/>
      </w:docPartPr>
      <w:docPartBody>
        <w:p w:rsidR="00D21A9F" w:rsidRDefault="00D21A9F">
          <w:pPr>
            <w:pStyle w:val="CFFDE270CB50461B826B0194984892C5"/>
          </w:pPr>
          <w:r w:rsidRPr="00724F1C">
            <w:rPr>
              <w:rStyle w:val="PlaceholderText"/>
            </w:rPr>
            <w:t>Choose an item.</w:t>
          </w:r>
        </w:p>
      </w:docPartBody>
    </w:docPart>
    <w:docPart>
      <w:docPartPr>
        <w:name w:val="EA32968BF93744FAABC5FC124DBE04BD"/>
        <w:category>
          <w:name w:val="General"/>
          <w:gallery w:val="placeholder"/>
        </w:category>
        <w:types>
          <w:type w:val="bbPlcHdr"/>
        </w:types>
        <w:behaviors>
          <w:behavior w:val="content"/>
        </w:behaviors>
        <w:guid w:val="{E83D2459-1556-46A4-AC27-2E79E2305DAC}"/>
      </w:docPartPr>
      <w:docPartBody>
        <w:p w:rsidR="00D21A9F" w:rsidRDefault="00D21A9F">
          <w:pPr>
            <w:pStyle w:val="EA32968BF93744FAABC5FC124DBE04BD"/>
          </w:pPr>
          <w:r w:rsidRPr="00724F1C">
            <w:rPr>
              <w:rStyle w:val="PlaceholderText"/>
            </w:rPr>
            <w:t>Choose an item.</w:t>
          </w:r>
        </w:p>
      </w:docPartBody>
    </w:docPart>
    <w:docPart>
      <w:docPartPr>
        <w:name w:val="0168237C60E6479CAFA3D9A1A8409B78"/>
        <w:category>
          <w:name w:val="General"/>
          <w:gallery w:val="placeholder"/>
        </w:category>
        <w:types>
          <w:type w:val="bbPlcHdr"/>
        </w:types>
        <w:behaviors>
          <w:behavior w:val="content"/>
        </w:behaviors>
        <w:guid w:val="{C7BCB098-81C9-4E32-956E-CDD3A6DFECE7}"/>
      </w:docPartPr>
      <w:docPartBody>
        <w:p w:rsidR="00D21A9F" w:rsidRDefault="00D21A9F">
          <w:pPr>
            <w:pStyle w:val="0168237C60E6479CAFA3D9A1A8409B78"/>
          </w:pPr>
          <w:r w:rsidRPr="00F4402E">
            <w:rPr>
              <w:rStyle w:val="PlaceholderText"/>
              <w:color w:val="FFFFFF" w:themeColor="background1"/>
            </w:rPr>
            <w:t>Choose an item.</w:t>
          </w:r>
        </w:p>
      </w:docPartBody>
    </w:docPart>
    <w:docPart>
      <w:docPartPr>
        <w:name w:val="5CBFEC560F894890BBD09B93174FFAE0"/>
        <w:category>
          <w:name w:val="General"/>
          <w:gallery w:val="placeholder"/>
        </w:category>
        <w:types>
          <w:type w:val="bbPlcHdr"/>
        </w:types>
        <w:behaviors>
          <w:behavior w:val="content"/>
        </w:behaviors>
        <w:guid w:val="{7DD8AA47-26C1-43F2-BE0B-3C03EF3669BD}"/>
      </w:docPartPr>
      <w:docPartBody>
        <w:p w:rsidR="00D21A9F" w:rsidRDefault="00D21A9F">
          <w:pPr>
            <w:pStyle w:val="5CBFEC560F894890BBD09B93174FFAE0"/>
          </w:pPr>
          <w:r w:rsidRPr="00F4402E">
            <w:rPr>
              <w:rStyle w:val="PlaceholderText"/>
              <w:color w:val="FFFFFF" w:themeColor="background1"/>
            </w:rPr>
            <w:t>Choose an item.</w:t>
          </w:r>
        </w:p>
      </w:docPartBody>
    </w:docPart>
    <w:docPart>
      <w:docPartPr>
        <w:name w:val="CAD2D506A5824AB88D896BC2795BCEDE"/>
        <w:category>
          <w:name w:val="General"/>
          <w:gallery w:val="placeholder"/>
        </w:category>
        <w:types>
          <w:type w:val="bbPlcHdr"/>
        </w:types>
        <w:behaviors>
          <w:behavior w:val="content"/>
        </w:behaviors>
        <w:guid w:val="{4E99D28C-1B09-4DD0-B83A-09A1AFF622AA}"/>
      </w:docPartPr>
      <w:docPartBody>
        <w:p w:rsidR="00D21A9F" w:rsidRDefault="00D21A9F">
          <w:pPr>
            <w:pStyle w:val="CAD2D506A5824AB88D896BC2795BCEDE"/>
          </w:pPr>
          <w:r w:rsidRPr="001D56F0">
            <w:rPr>
              <w:rStyle w:val="PlaceholderText"/>
            </w:rPr>
            <w:t>Choose an item.</w:t>
          </w:r>
        </w:p>
      </w:docPartBody>
    </w:docPart>
    <w:docPart>
      <w:docPartPr>
        <w:name w:val="F426C563814E402488AC06CC39354A11"/>
        <w:category>
          <w:name w:val="General"/>
          <w:gallery w:val="placeholder"/>
        </w:category>
        <w:types>
          <w:type w:val="bbPlcHdr"/>
        </w:types>
        <w:behaviors>
          <w:behavior w:val="content"/>
        </w:behaviors>
        <w:guid w:val="{F0BA6214-28BA-4138-BF55-E76AD08567C8}"/>
      </w:docPartPr>
      <w:docPartBody>
        <w:p w:rsidR="00D21A9F" w:rsidRDefault="00D21A9F">
          <w:pPr>
            <w:pStyle w:val="F426C563814E402488AC06CC39354A11"/>
          </w:pPr>
          <w:r w:rsidRPr="00EB3D1B">
            <w:rPr>
              <w:rStyle w:val="PlaceholderText"/>
              <w:color w:val="FFFFFF" w:themeColor="background1"/>
            </w:rPr>
            <w:t>Choose an item.</w:t>
          </w:r>
        </w:p>
      </w:docPartBody>
    </w:docPart>
    <w:docPart>
      <w:docPartPr>
        <w:name w:val="0DAD3FB9ACEF4778B961F088737E2361"/>
        <w:category>
          <w:name w:val="General"/>
          <w:gallery w:val="placeholder"/>
        </w:category>
        <w:types>
          <w:type w:val="bbPlcHdr"/>
        </w:types>
        <w:behaviors>
          <w:behavior w:val="content"/>
        </w:behaviors>
        <w:guid w:val="{1818AAEB-C7DB-4A80-88DB-772F73C8E66D}"/>
      </w:docPartPr>
      <w:docPartBody>
        <w:p w:rsidR="00D21A9F" w:rsidRDefault="00D21A9F">
          <w:pPr>
            <w:pStyle w:val="0DAD3FB9ACEF4778B961F088737E2361"/>
          </w:pPr>
          <w:r>
            <w:rPr>
              <w:rStyle w:val="PlaceholderText"/>
            </w:rPr>
            <w:t>Insert molecular weight</w:t>
          </w:r>
        </w:p>
      </w:docPartBody>
    </w:docPart>
    <w:docPart>
      <w:docPartPr>
        <w:name w:val="A7231FB73EFF4B2B92EB3BD21C0CEA01"/>
        <w:category>
          <w:name w:val="General"/>
          <w:gallery w:val="placeholder"/>
        </w:category>
        <w:types>
          <w:type w:val="bbPlcHdr"/>
        </w:types>
        <w:behaviors>
          <w:behavior w:val="content"/>
        </w:behaviors>
        <w:guid w:val="{FF1A3F6B-F6BB-479E-BB6A-087EA1FCFDFA}"/>
      </w:docPartPr>
      <w:docPartBody>
        <w:p w:rsidR="00D21A9F" w:rsidRDefault="00D21A9F">
          <w:pPr>
            <w:pStyle w:val="A7231FB73EFF4B2B92EB3BD21C0CEA01"/>
          </w:pPr>
          <w:r>
            <w:rPr>
              <w:rStyle w:val="PlaceholderText"/>
            </w:rPr>
            <w:t>Number</w:t>
          </w:r>
        </w:p>
      </w:docPartBody>
    </w:docPart>
    <w:docPart>
      <w:docPartPr>
        <w:name w:val="5D98FA8C84704C71B6F1557317AE5303"/>
        <w:category>
          <w:name w:val="General"/>
          <w:gallery w:val="placeholder"/>
        </w:category>
        <w:types>
          <w:type w:val="bbPlcHdr"/>
        </w:types>
        <w:behaviors>
          <w:behavior w:val="content"/>
        </w:behaviors>
        <w:guid w:val="{5F8DFB54-C6B8-4F2D-88BE-C0D2DC34C42D}"/>
      </w:docPartPr>
      <w:docPartBody>
        <w:p w:rsidR="00D21A9F" w:rsidRDefault="00D21A9F">
          <w:pPr>
            <w:pStyle w:val="5D98FA8C84704C71B6F1557317AE5303"/>
          </w:pPr>
          <w:r w:rsidRPr="00DF796F">
            <w:rPr>
              <w:rStyle w:val="PlaceholderText"/>
            </w:rPr>
            <w:t>Click or tap here to enter text.</w:t>
          </w:r>
        </w:p>
      </w:docPartBody>
    </w:docPart>
    <w:docPart>
      <w:docPartPr>
        <w:name w:val="2BF891C0AB704CDAB9BC6E80D556473F"/>
        <w:category>
          <w:name w:val="General"/>
          <w:gallery w:val="placeholder"/>
        </w:category>
        <w:types>
          <w:type w:val="bbPlcHdr"/>
        </w:types>
        <w:behaviors>
          <w:behavior w:val="content"/>
        </w:behaviors>
        <w:guid w:val="{DE1FED3B-D766-43B3-B75A-764D619F223B}"/>
      </w:docPartPr>
      <w:docPartBody>
        <w:p w:rsidR="00D21A9F" w:rsidRDefault="00D21A9F">
          <w:pPr>
            <w:pStyle w:val="2BF891C0AB704CDAB9BC6E80D556473F"/>
          </w:pPr>
          <w:r w:rsidRPr="004C23F4">
            <w:rPr>
              <w:rStyle w:val="PlaceholderText"/>
              <w:rFonts w:cs="Arial"/>
            </w:rPr>
            <w:t>Click here to enter year</w:t>
          </w:r>
        </w:p>
      </w:docPartBody>
    </w:docPart>
    <w:docPart>
      <w:docPartPr>
        <w:name w:val="1B91D3AB120F428CB728115BE9FE49D5"/>
        <w:category>
          <w:name w:val="General"/>
          <w:gallery w:val="placeholder"/>
        </w:category>
        <w:types>
          <w:type w:val="bbPlcHdr"/>
        </w:types>
        <w:behaviors>
          <w:behavior w:val="content"/>
        </w:behaviors>
        <w:guid w:val="{604E3AA8-089B-4C9B-9586-71BC9198D687}"/>
      </w:docPartPr>
      <w:docPartBody>
        <w:p w:rsidR="00752912" w:rsidRDefault="00584CFE" w:rsidP="00584CFE">
          <w:pPr>
            <w:pStyle w:val="1B91D3AB120F428CB728115BE9FE49D5"/>
          </w:pPr>
          <w:r>
            <w:rPr>
              <w:rStyle w:val="PlaceholderText"/>
            </w:rPr>
            <w:t>Y</w:t>
          </w:r>
          <w:r w:rsidRPr="003365A5">
            <w:rPr>
              <w:rStyle w:val="PlaceholderText"/>
            </w:rPr>
            <w:t>ear</w:t>
          </w:r>
        </w:p>
      </w:docPartBody>
    </w:docPart>
    <w:docPart>
      <w:docPartPr>
        <w:name w:val="7D7D34B2721C4CA5A8C565E7780D9EBA"/>
        <w:category>
          <w:name w:val="General"/>
          <w:gallery w:val="placeholder"/>
        </w:category>
        <w:types>
          <w:type w:val="bbPlcHdr"/>
        </w:types>
        <w:behaviors>
          <w:behavior w:val="content"/>
        </w:behaviors>
        <w:guid w:val="{4288342A-0355-4DC1-992E-292B43930C7C}"/>
      </w:docPartPr>
      <w:docPartBody>
        <w:p w:rsidR="00752912" w:rsidRDefault="00584CFE" w:rsidP="00584CFE">
          <w:pPr>
            <w:pStyle w:val="7D7D34B2721C4CA5A8C565E7780D9EBA"/>
          </w:pPr>
          <w:r>
            <w:rPr>
              <w:rStyle w:val="PlaceholderText"/>
            </w:rPr>
            <w:t>Y</w:t>
          </w:r>
          <w:r w:rsidRPr="003365A5">
            <w:rPr>
              <w:rStyle w:val="PlaceholderText"/>
            </w:rPr>
            <w:t>ear</w:t>
          </w:r>
        </w:p>
      </w:docPartBody>
    </w:docPart>
    <w:docPart>
      <w:docPartPr>
        <w:name w:val="F3352181144745968532811783336490"/>
        <w:category>
          <w:name w:val="General"/>
          <w:gallery w:val="placeholder"/>
        </w:category>
        <w:types>
          <w:type w:val="bbPlcHdr"/>
        </w:types>
        <w:behaviors>
          <w:behavior w:val="content"/>
        </w:behaviors>
        <w:guid w:val="{38554155-D053-4E4B-9A2B-5D1500D7D33C}"/>
      </w:docPartPr>
      <w:docPartBody>
        <w:p w:rsidR="00752912" w:rsidRDefault="00584CFE" w:rsidP="00584CFE">
          <w:pPr>
            <w:pStyle w:val="F3352181144745968532811783336490"/>
          </w:pPr>
          <w:r>
            <w:rPr>
              <w:rStyle w:val="PlaceholderText"/>
            </w:rPr>
            <w:t>Y</w:t>
          </w:r>
          <w:r w:rsidRPr="003365A5">
            <w:rPr>
              <w:rStyle w:val="PlaceholderText"/>
            </w:rPr>
            <w:t>ear</w:t>
          </w:r>
        </w:p>
      </w:docPartBody>
    </w:docPart>
    <w:docPart>
      <w:docPartPr>
        <w:name w:val="BD51F382B2B64EE8AD72E3EFE109FCCB"/>
        <w:category>
          <w:name w:val="General"/>
          <w:gallery w:val="placeholder"/>
        </w:category>
        <w:types>
          <w:type w:val="bbPlcHdr"/>
        </w:types>
        <w:behaviors>
          <w:behavior w:val="content"/>
        </w:behaviors>
        <w:guid w:val="{C303296D-9C10-434A-8944-D4086AA80BEC}"/>
      </w:docPartPr>
      <w:docPartBody>
        <w:p w:rsidR="0000560C" w:rsidRDefault="005F53B5" w:rsidP="005F53B5">
          <w:pPr>
            <w:pStyle w:val="BD51F382B2B64EE8AD72E3EFE109FCCB"/>
          </w:pPr>
          <w:r>
            <w:rPr>
              <w:rStyle w:val="PlaceholderText"/>
            </w:rPr>
            <w:t>Has this value changed?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A9F"/>
    <w:rsid w:val="0000560C"/>
    <w:rsid w:val="00085F4B"/>
    <w:rsid w:val="00584CFE"/>
    <w:rsid w:val="005F53B5"/>
    <w:rsid w:val="00752912"/>
    <w:rsid w:val="00B26D4D"/>
    <w:rsid w:val="00D21A9F"/>
    <w:rsid w:val="00FE5B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53B5"/>
    <w:rPr>
      <w:color w:val="808080"/>
    </w:rPr>
  </w:style>
  <w:style w:type="paragraph" w:customStyle="1" w:styleId="CE1736E50B02464986D1BEC8B7ACDE96">
    <w:name w:val="CE1736E50B02464986D1BEC8B7ACDE96"/>
  </w:style>
  <w:style w:type="paragraph" w:customStyle="1" w:styleId="E23B83A762C94EBA8097A4DA3FB4D503">
    <w:name w:val="E23B83A762C94EBA8097A4DA3FB4D503"/>
  </w:style>
  <w:style w:type="paragraph" w:customStyle="1" w:styleId="0A35AF4547E94E219E26BC12DBC33282">
    <w:name w:val="0A35AF4547E94E219E26BC12DBC33282"/>
  </w:style>
  <w:style w:type="paragraph" w:customStyle="1" w:styleId="81CFEC2FDBC5451289F394E66D92D1A0">
    <w:name w:val="81CFEC2FDBC5451289F394E66D92D1A0"/>
  </w:style>
  <w:style w:type="paragraph" w:customStyle="1" w:styleId="C8FBF9621EB94FE084F687C8955AF85F">
    <w:name w:val="C8FBF9621EB94FE084F687C8955AF85F"/>
  </w:style>
  <w:style w:type="paragraph" w:customStyle="1" w:styleId="522022AAE76B4622AC0DF750489702EB">
    <w:name w:val="522022AAE76B4622AC0DF750489702EB"/>
  </w:style>
  <w:style w:type="paragraph" w:customStyle="1" w:styleId="6918C77959FE4E2CB3B6BD78ABC69E19">
    <w:name w:val="6918C77959FE4E2CB3B6BD78ABC69E19"/>
  </w:style>
  <w:style w:type="paragraph" w:customStyle="1" w:styleId="1ED9AEC91FDC4528B51A567B2B19EB9F">
    <w:name w:val="1ED9AEC91FDC4528B51A567B2B19EB9F"/>
  </w:style>
  <w:style w:type="paragraph" w:customStyle="1" w:styleId="FDC2A24E7D2549238DA6EE03BD0A6AE0">
    <w:name w:val="FDC2A24E7D2549238DA6EE03BD0A6AE0"/>
  </w:style>
  <w:style w:type="paragraph" w:customStyle="1" w:styleId="9E827C9D0DA949E385F2E9AB4264125E">
    <w:name w:val="9E827C9D0DA949E385F2E9AB4264125E"/>
  </w:style>
  <w:style w:type="paragraph" w:customStyle="1" w:styleId="47E4EC2DB10B4B8E8A66F7A5C13653CB">
    <w:name w:val="47E4EC2DB10B4B8E8A66F7A5C13653CB"/>
  </w:style>
  <w:style w:type="paragraph" w:customStyle="1" w:styleId="5E4DD00C3A334F93BF5CC79754EBC5EA">
    <w:name w:val="5E4DD00C3A334F93BF5CC79754EBC5EA"/>
  </w:style>
  <w:style w:type="paragraph" w:customStyle="1" w:styleId="EA1708404F1C4A3BB080A0D8EEB67D1D">
    <w:name w:val="EA1708404F1C4A3BB080A0D8EEB67D1D"/>
  </w:style>
  <w:style w:type="paragraph" w:customStyle="1" w:styleId="F3D4204BA37A4A21A656C76DA4274412">
    <w:name w:val="F3D4204BA37A4A21A656C76DA4274412"/>
  </w:style>
  <w:style w:type="paragraph" w:customStyle="1" w:styleId="8DD754E365844A4E82EC69A07E229629">
    <w:name w:val="8DD754E365844A4E82EC69A07E229629"/>
  </w:style>
  <w:style w:type="paragraph" w:customStyle="1" w:styleId="29D96B65566944F4988BAEB665EF7897">
    <w:name w:val="29D96B65566944F4988BAEB665EF7897"/>
  </w:style>
  <w:style w:type="paragraph" w:customStyle="1" w:styleId="C2B44F29000D47BD8588D2D5E8DFA6C8">
    <w:name w:val="C2B44F29000D47BD8588D2D5E8DFA6C8"/>
  </w:style>
  <w:style w:type="paragraph" w:customStyle="1" w:styleId="CC96E8CFB35445F7B98574D62F848316">
    <w:name w:val="CC96E8CFB35445F7B98574D62F848316"/>
  </w:style>
  <w:style w:type="paragraph" w:customStyle="1" w:styleId="20BC8D26515A4C11AC6304FB75A7CBAD">
    <w:name w:val="20BC8D26515A4C11AC6304FB75A7CBAD"/>
  </w:style>
  <w:style w:type="paragraph" w:customStyle="1" w:styleId="0599BE4318CD4CC0836196E577CC2921">
    <w:name w:val="0599BE4318CD4CC0836196E577CC2921"/>
  </w:style>
  <w:style w:type="paragraph" w:customStyle="1" w:styleId="CA68404C5F6B4780904F09DAAE62489A">
    <w:name w:val="CA68404C5F6B4780904F09DAAE62489A"/>
  </w:style>
  <w:style w:type="paragraph" w:customStyle="1" w:styleId="CFFDE270CB50461B826B0194984892C5">
    <w:name w:val="CFFDE270CB50461B826B0194984892C5"/>
  </w:style>
  <w:style w:type="paragraph" w:customStyle="1" w:styleId="EA32968BF93744FAABC5FC124DBE04BD">
    <w:name w:val="EA32968BF93744FAABC5FC124DBE04BD"/>
  </w:style>
  <w:style w:type="paragraph" w:customStyle="1" w:styleId="320A77D155374054996F168A20882C28">
    <w:name w:val="320A77D155374054996F168A20882C28"/>
  </w:style>
  <w:style w:type="paragraph" w:customStyle="1" w:styleId="EA51C8540A4D4F0A9062F5B1698DCBB0">
    <w:name w:val="EA51C8540A4D4F0A9062F5B1698DCBB0"/>
  </w:style>
  <w:style w:type="paragraph" w:customStyle="1" w:styleId="0168237C60E6479CAFA3D9A1A8409B78">
    <w:name w:val="0168237C60E6479CAFA3D9A1A8409B78"/>
  </w:style>
  <w:style w:type="paragraph" w:customStyle="1" w:styleId="5CBFEC560F894890BBD09B93174FFAE0">
    <w:name w:val="5CBFEC560F894890BBD09B93174FFAE0"/>
  </w:style>
  <w:style w:type="paragraph" w:customStyle="1" w:styleId="CAD2D506A5824AB88D896BC2795BCEDE">
    <w:name w:val="CAD2D506A5824AB88D896BC2795BCEDE"/>
  </w:style>
  <w:style w:type="paragraph" w:customStyle="1" w:styleId="047AD93791DC493F8562BB3488160D64">
    <w:name w:val="047AD93791DC493F8562BB3488160D64"/>
  </w:style>
  <w:style w:type="paragraph" w:customStyle="1" w:styleId="7B0BAA2441D5427984E6018FB38900E7">
    <w:name w:val="7B0BAA2441D5427984E6018FB38900E7"/>
  </w:style>
  <w:style w:type="paragraph" w:customStyle="1" w:styleId="5C1D38B030D146B59436754F8399D502">
    <w:name w:val="5C1D38B030D146B59436754F8399D502"/>
  </w:style>
  <w:style w:type="paragraph" w:customStyle="1" w:styleId="F426C563814E402488AC06CC39354A11">
    <w:name w:val="F426C563814E402488AC06CC39354A11"/>
  </w:style>
  <w:style w:type="paragraph" w:customStyle="1" w:styleId="0DAD3FB9ACEF4778B961F088737E2361">
    <w:name w:val="0DAD3FB9ACEF4778B961F088737E2361"/>
  </w:style>
  <w:style w:type="paragraph" w:customStyle="1" w:styleId="A7231FB73EFF4B2B92EB3BD21C0CEA01">
    <w:name w:val="A7231FB73EFF4B2B92EB3BD21C0CEA01"/>
  </w:style>
  <w:style w:type="paragraph" w:customStyle="1" w:styleId="5D98FA8C84704C71B6F1557317AE5303">
    <w:name w:val="5D98FA8C84704C71B6F1557317AE5303"/>
  </w:style>
  <w:style w:type="paragraph" w:customStyle="1" w:styleId="2BF891C0AB704CDAB9BC6E80D556473F">
    <w:name w:val="2BF891C0AB704CDAB9BC6E80D556473F"/>
  </w:style>
  <w:style w:type="paragraph" w:customStyle="1" w:styleId="1B91D3AB120F428CB728115BE9FE49D5">
    <w:name w:val="1B91D3AB120F428CB728115BE9FE49D5"/>
    <w:rsid w:val="00584CFE"/>
  </w:style>
  <w:style w:type="paragraph" w:customStyle="1" w:styleId="7D7D34B2721C4CA5A8C565E7780D9EBA">
    <w:name w:val="7D7D34B2721C4CA5A8C565E7780D9EBA"/>
    <w:rsid w:val="00584CFE"/>
  </w:style>
  <w:style w:type="paragraph" w:customStyle="1" w:styleId="F3352181144745968532811783336490">
    <w:name w:val="F3352181144745968532811783336490"/>
    <w:rsid w:val="00584CFE"/>
  </w:style>
  <w:style w:type="paragraph" w:customStyle="1" w:styleId="41B3E1A9EC8540BF81D004045B21C581">
    <w:name w:val="41B3E1A9EC8540BF81D004045B21C581"/>
    <w:rsid w:val="00584CFE"/>
  </w:style>
  <w:style w:type="paragraph" w:customStyle="1" w:styleId="0E0CD071F6C54BBCA06CA6B2232CA912">
    <w:name w:val="0E0CD071F6C54BBCA06CA6B2232CA912"/>
    <w:rsid w:val="00584CFE"/>
  </w:style>
  <w:style w:type="paragraph" w:customStyle="1" w:styleId="BD51F382B2B64EE8AD72E3EFE109FCCB">
    <w:name w:val="BD51F382B2B64EE8AD72E3EFE109FCCB"/>
    <w:rsid w:val="005F53B5"/>
  </w:style>
  <w:style w:type="paragraph" w:customStyle="1" w:styleId="80D215463F4848A69E9629A2B0C981F9">
    <w:name w:val="80D215463F4848A69E9629A2B0C981F9"/>
    <w:rsid w:val="00085F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2833B9C0B50D4EB62CF206B9DF4D6F" ma:contentTypeVersion="2" ma:contentTypeDescription="Create a new document." ma:contentTypeScope="" ma:versionID="3f0239daee0f58ef4204c8121a58097c">
  <xsd:schema xmlns:xsd="http://www.w3.org/2001/XMLSchema" xmlns:xs="http://www.w3.org/2001/XMLSchema" xmlns:p="http://schemas.microsoft.com/office/2006/metadata/properties" xmlns:ns2="bf54d604-3e62-4e70-ba33-9e9084b96a66" targetNamespace="http://schemas.microsoft.com/office/2006/metadata/properties" ma:root="true" ma:fieldsID="84d0abafb20839a02dba80eb6ea31e1c" ns2:_="">
    <xsd:import namespace="bf54d604-3e62-4e70-ba33-9e9084b96a6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54d604-3e62-4e70-ba33-9e9084b96a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CD600-6411-4068-834B-23583BEF8830}">
  <ds:schemaRefs>
    <ds:schemaRef ds:uri="http://schemas.microsoft.com/sharepoint/v3/contenttype/forms"/>
  </ds:schemaRefs>
</ds:datastoreItem>
</file>

<file path=customXml/itemProps2.xml><?xml version="1.0" encoding="utf-8"?>
<ds:datastoreItem xmlns:ds="http://schemas.openxmlformats.org/officeDocument/2006/customXml" ds:itemID="{E5A4773F-99D0-4616-86AF-866EB9DEB4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54d604-3e62-4e70-ba33-9e9084b96a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6FD3B4-E5FF-44D0-A85D-1656AEB7AF7B}">
  <ds:schemaRefs>
    <ds:schemaRef ds:uri="http://purl.org/dc/terms/"/>
    <ds:schemaRef ds:uri="http://schemas.openxmlformats.org/package/2006/metadata/core-properties"/>
    <ds:schemaRef ds:uri="http://purl.org/dc/dcmitype/"/>
    <ds:schemaRef ds:uri="bf54d604-3e62-4e70-ba33-9e9084b96a66"/>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E0AE3846-FB71-489C-8264-7D81391F5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47FACAAE.dotm</Template>
  <TotalTime>432</TotalTime>
  <Pages>6</Pages>
  <Words>1406</Words>
  <Characters>8017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HEARD,Jonathan</dc:creator>
  <cp:lastModifiedBy>WARING,Owen</cp:lastModifiedBy>
  <cp:revision>17</cp:revision>
  <cp:lastPrinted>2018-10-22T22:41:00Z</cp:lastPrinted>
  <dcterms:created xsi:type="dcterms:W3CDTF">2019-08-22T06:47:00Z</dcterms:created>
  <dcterms:modified xsi:type="dcterms:W3CDTF">2019-11-07T05:05:00Z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0x010100EC2833B9C0B50D4EB62CF206B9DF4D6F</vt:lpwstr>
  </property>
</Properties>
</file>