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B72D026" w14:textId="4B638F45" w:rsidR="00BD499F" w:rsidRPr="004C23F4" w:rsidRDefault="00935D4A" w:rsidP="00B40C60">
          <w:pPr>
            <w:pStyle w:val="Heading1"/>
            <w:jc w:val="center"/>
            <w:rPr>
              <w:rFonts w:ascii="Arial" w:hAnsi="Arial" w:cs="Arial"/>
            </w:rPr>
          </w:pPr>
          <w:r w:rsidRPr="00935D4A">
            <w:rPr>
              <w:rFonts w:ascii="Arial" w:hAnsi="Arial" w:cs="Arial"/>
            </w:rPr>
            <w:t>Disulfiram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67"/>
        <w:gridCol w:w="5059"/>
      </w:tblGrid>
      <w:tr w:rsidR="00F43AD5" w:rsidRPr="004C23F4" w14:paraId="2A4061FD" w14:textId="77777777" w:rsidTr="00B76A41">
        <w:trPr>
          <w:cantSplit/>
          <w:tblHeader/>
        </w:trPr>
        <w:tc>
          <w:tcPr>
            <w:tcW w:w="4077" w:type="dxa"/>
          </w:tcPr>
          <w:p w14:paraId="2EA82157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313D0DD" w14:textId="7BBBD12C" w:rsidR="00F43AD5" w:rsidRPr="00717D45" w:rsidRDefault="00935D4A" w:rsidP="00B76A41">
            <w:pPr>
              <w:pStyle w:val="Tablefont"/>
            </w:pPr>
            <w:r w:rsidRPr="00935D4A">
              <w:t>97-77-8</w:t>
            </w:r>
          </w:p>
        </w:tc>
      </w:tr>
      <w:tr w:rsidR="00F43AD5" w:rsidRPr="004C23F4" w14:paraId="3ADFE551" w14:textId="77777777" w:rsidTr="00B76A41">
        <w:trPr>
          <w:cantSplit/>
        </w:trPr>
        <w:tc>
          <w:tcPr>
            <w:tcW w:w="4077" w:type="dxa"/>
          </w:tcPr>
          <w:p w14:paraId="02FBE721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4DE9AA8" w14:textId="2122D881" w:rsidR="00F43AD5" w:rsidRPr="00717D45" w:rsidRDefault="00935D4A" w:rsidP="00B76A41">
            <w:pPr>
              <w:pStyle w:val="Tablefont"/>
            </w:pPr>
            <w:r w:rsidRPr="00935D4A">
              <w:t xml:space="preserve">Tetraethyl </w:t>
            </w:r>
            <w:proofErr w:type="spellStart"/>
            <w:r w:rsidRPr="00935D4A">
              <w:t>thiuram</w:t>
            </w:r>
            <w:proofErr w:type="spellEnd"/>
            <w:r w:rsidRPr="00935D4A">
              <w:t xml:space="preserve"> disulphide</w:t>
            </w:r>
            <w:r>
              <w:t xml:space="preserve">, </w:t>
            </w:r>
            <w:r w:rsidR="005C7BEF">
              <w:t>A</w:t>
            </w:r>
            <w:r w:rsidR="00DA2341">
              <w:t>ntabuse</w:t>
            </w:r>
            <w:r>
              <w:t xml:space="preserve">, </w:t>
            </w:r>
            <w:proofErr w:type="spellStart"/>
            <w:r>
              <w:t>bis</w:t>
            </w:r>
            <w:proofErr w:type="spellEnd"/>
            <w:r>
              <w:t>(</w:t>
            </w:r>
            <w:proofErr w:type="spellStart"/>
            <w:r>
              <w:t>Diethylthiocarbamoyl</w:t>
            </w:r>
            <w:proofErr w:type="spellEnd"/>
            <w:r>
              <w:t xml:space="preserve">) disulphide, TETD, </w:t>
            </w:r>
            <w:proofErr w:type="spellStart"/>
            <w:r w:rsidR="00DA2341">
              <w:t>tetraethylthiuram</w:t>
            </w:r>
            <w:proofErr w:type="spellEnd"/>
          </w:p>
        </w:tc>
      </w:tr>
      <w:tr w:rsidR="00F43AD5" w:rsidRPr="004C23F4" w14:paraId="6C6B8777" w14:textId="77777777" w:rsidTr="00B76A41">
        <w:trPr>
          <w:cantSplit/>
        </w:trPr>
        <w:tc>
          <w:tcPr>
            <w:tcW w:w="4077" w:type="dxa"/>
          </w:tcPr>
          <w:p w14:paraId="3A6D2D71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97519CD" w14:textId="37EB04ED" w:rsidR="00F43AD5" w:rsidRPr="00717D45" w:rsidRDefault="00935D4A" w:rsidP="00B76A41">
            <w:pPr>
              <w:pStyle w:val="Tablefont"/>
            </w:pPr>
            <w:r>
              <w:t>C</w:t>
            </w:r>
            <w:r w:rsidRPr="00935D4A">
              <w:rPr>
                <w:vertAlign w:val="subscript"/>
              </w:rPr>
              <w:t>10</w:t>
            </w:r>
            <w:r>
              <w:t>H</w:t>
            </w:r>
            <w:r w:rsidRPr="00935D4A">
              <w:rPr>
                <w:vertAlign w:val="subscript"/>
              </w:rPr>
              <w:t>20</w:t>
            </w:r>
            <w:r>
              <w:t>N</w:t>
            </w:r>
            <w:r w:rsidRPr="00935D4A">
              <w:rPr>
                <w:vertAlign w:val="subscript"/>
              </w:rPr>
              <w:t>2</w:t>
            </w:r>
            <w:r>
              <w:t>S</w:t>
            </w:r>
            <w:r w:rsidRPr="00935D4A">
              <w:rPr>
                <w:vertAlign w:val="subscript"/>
              </w:rPr>
              <w:t>4</w:t>
            </w:r>
          </w:p>
        </w:tc>
      </w:tr>
      <w:tr w:rsidR="00F43AD5" w:rsidRPr="004C23F4" w14:paraId="3C3FB9EF" w14:textId="77777777" w:rsidTr="00B76A41">
        <w:trPr>
          <w:cantSplit/>
        </w:trPr>
        <w:tc>
          <w:tcPr>
            <w:tcW w:w="4077" w:type="dxa"/>
          </w:tcPr>
          <w:p w14:paraId="7438D0B2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42AB2F3B" w14:textId="4892730B" w:rsidR="00F43AD5" w:rsidRPr="00DA2341" w:rsidRDefault="00935D4A" w:rsidP="00B76A41">
            <w:pPr>
              <w:pStyle w:val="Tablerowheading"/>
              <w:rPr>
                <w:b w:val="0"/>
              </w:rPr>
            </w:pPr>
            <w:r w:rsidRPr="000F7B9C">
              <w:rPr>
                <w:b w:val="0"/>
              </w:rPr>
              <w:t>—</w:t>
            </w:r>
          </w:p>
        </w:tc>
      </w:tr>
    </w:tbl>
    <w:p w14:paraId="73CCD4F2" w14:textId="1933A43E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CA29DD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6B45DB" w:rsidRPr="004C23F4" w14:paraId="216A7CCC" w14:textId="77777777" w:rsidTr="000F7B9C">
        <w:trPr>
          <w:cantSplit/>
          <w:tblHeader/>
        </w:trPr>
        <w:tc>
          <w:tcPr>
            <w:tcW w:w="4005" w:type="dxa"/>
            <w:vAlign w:val="center"/>
          </w:tcPr>
          <w:p w14:paraId="141240ED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1B518510" w14:textId="31149A64" w:rsidR="002C7AFE" w:rsidRPr="00C855B5" w:rsidRDefault="00CA29DD" w:rsidP="00017C82">
            <w:pPr>
              <w:pStyle w:val="Tablefont"/>
              <w:rPr>
                <w:b/>
              </w:rPr>
            </w:pPr>
            <w:r w:rsidRPr="00C855B5">
              <w:rPr>
                <w:b/>
              </w:rPr>
              <w:t>2 mg/m</w:t>
            </w:r>
            <w:r w:rsidRPr="00C855B5">
              <w:rPr>
                <w:b/>
                <w:vertAlign w:val="superscript"/>
              </w:rPr>
              <w:t>3</w:t>
            </w:r>
          </w:p>
        </w:tc>
      </w:tr>
      <w:tr w:rsidR="006B45DB" w:rsidRPr="004C23F4" w14:paraId="61EA8121" w14:textId="77777777" w:rsidTr="000F7B9C">
        <w:trPr>
          <w:cantSplit/>
        </w:trPr>
        <w:tc>
          <w:tcPr>
            <w:tcW w:w="4005" w:type="dxa"/>
            <w:vAlign w:val="center"/>
          </w:tcPr>
          <w:p w14:paraId="0D426A9D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4800CDF8" w14:textId="12BF2D35" w:rsidR="002C7AFE" w:rsidRPr="00C855B5" w:rsidRDefault="00CA29DD" w:rsidP="00017C82">
            <w:pPr>
              <w:pStyle w:val="Tablefont"/>
              <w:rPr>
                <w:b/>
              </w:rPr>
            </w:pPr>
            <w:r w:rsidRPr="00C855B5">
              <w:rPr>
                <w:b/>
              </w:rPr>
              <w:t>—</w:t>
            </w:r>
          </w:p>
        </w:tc>
      </w:tr>
      <w:tr w:rsidR="006B45DB" w:rsidRPr="004C23F4" w14:paraId="570AEFB2" w14:textId="77777777" w:rsidTr="000F7B9C">
        <w:trPr>
          <w:cantSplit/>
        </w:trPr>
        <w:tc>
          <w:tcPr>
            <w:tcW w:w="4005" w:type="dxa"/>
            <w:vAlign w:val="center"/>
          </w:tcPr>
          <w:p w14:paraId="7C68A740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55E54167" w14:textId="4B3613E8" w:rsidR="002C7AFE" w:rsidRPr="00C855B5" w:rsidRDefault="00CA29DD" w:rsidP="00017C82">
            <w:pPr>
              <w:pStyle w:val="Tablefont"/>
              <w:rPr>
                <w:b/>
              </w:rPr>
            </w:pPr>
            <w:r w:rsidRPr="00C855B5">
              <w:rPr>
                <w:b/>
              </w:rPr>
              <w:t>—</w:t>
            </w:r>
          </w:p>
        </w:tc>
      </w:tr>
      <w:tr w:rsidR="006B45DB" w:rsidRPr="004C23F4" w14:paraId="0D3CC471" w14:textId="77777777" w:rsidTr="000F7B9C">
        <w:trPr>
          <w:cantSplit/>
        </w:trPr>
        <w:tc>
          <w:tcPr>
            <w:tcW w:w="4005" w:type="dxa"/>
          </w:tcPr>
          <w:p w14:paraId="599A735A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15482EEC" w14:textId="2B87A2EA" w:rsidR="002C7AFE" w:rsidRPr="00C855B5" w:rsidRDefault="00C855B5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D</w:t>
            </w:r>
            <w:r w:rsidR="00CA29DD" w:rsidRPr="00C855B5">
              <w:rPr>
                <w:b/>
              </w:rPr>
              <w:t>SEN</w:t>
            </w:r>
          </w:p>
        </w:tc>
      </w:tr>
      <w:tr w:rsidR="006B45DB" w:rsidRPr="004C23F4" w14:paraId="5379B827" w14:textId="77777777" w:rsidTr="000F7B9C">
        <w:trPr>
          <w:cantSplit/>
        </w:trPr>
        <w:tc>
          <w:tcPr>
            <w:tcW w:w="4005" w:type="dxa"/>
            <w:vAlign w:val="center"/>
          </w:tcPr>
          <w:p w14:paraId="6F48D912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58BC8651" w14:textId="275A3EAD" w:rsidR="002C7AFE" w:rsidRPr="00C855B5" w:rsidRDefault="00935D4A" w:rsidP="00017C82">
            <w:pPr>
              <w:pStyle w:val="Tablefont"/>
              <w:rPr>
                <w:b/>
              </w:rPr>
            </w:pPr>
            <w:r w:rsidRPr="00C855B5">
              <w:rPr>
                <w:b/>
              </w:rPr>
              <w:t>—</w:t>
            </w:r>
          </w:p>
        </w:tc>
      </w:tr>
      <w:tr w:rsidR="000F7B9C" w:rsidRPr="004C23F4" w14:paraId="15AC96E2" w14:textId="77777777" w:rsidTr="00C00374">
        <w:trPr>
          <w:cantSplit/>
        </w:trPr>
        <w:tc>
          <w:tcPr>
            <w:tcW w:w="9026" w:type="dxa"/>
            <w:gridSpan w:val="2"/>
            <w:vAlign w:val="center"/>
          </w:tcPr>
          <w:p w14:paraId="66D85E75" w14:textId="76DA7603" w:rsidR="000F7B9C" w:rsidRPr="00C855B5" w:rsidRDefault="000F7B9C" w:rsidP="00017C82">
            <w:pPr>
              <w:pStyle w:val="Tablefont"/>
              <w:rPr>
                <w:b/>
              </w:rPr>
            </w:pPr>
            <w:r w:rsidRPr="008B1D6B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3BB8255DE5294964ADA638ED43D057C4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8B1D6B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925108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DF8D0C2" w14:textId="3158AB9F" w:rsidR="006639B4" w:rsidRDefault="004E1ADB" w:rsidP="000C139A">
      <w:pPr>
        <w:rPr>
          <w:rFonts w:cs="Arial"/>
        </w:rPr>
      </w:pPr>
      <w:r>
        <w:rPr>
          <w:rFonts w:cs="Arial"/>
        </w:rPr>
        <w:t>A</w:t>
      </w:r>
      <w:r w:rsidR="00B50EB9">
        <w:rPr>
          <w:rFonts w:cs="Arial"/>
        </w:rPr>
        <w:t xml:space="preserve"> TWA of 2 mg/m</w:t>
      </w:r>
      <w:r w:rsidR="00B50EB9">
        <w:rPr>
          <w:rFonts w:cs="Arial"/>
          <w:vertAlign w:val="superscript"/>
        </w:rPr>
        <w:t>3</w:t>
      </w:r>
      <w:r w:rsidR="00B50EB9">
        <w:rPr>
          <w:rFonts w:cs="Arial"/>
        </w:rPr>
        <w:t xml:space="preserve"> is </w:t>
      </w:r>
      <w:r w:rsidR="005C7BEF">
        <w:rPr>
          <w:rFonts w:cs="Arial"/>
        </w:rPr>
        <w:t xml:space="preserve">recommended </w:t>
      </w:r>
      <w:r w:rsidR="00E64D1E">
        <w:rPr>
          <w:rFonts w:cs="Arial"/>
        </w:rPr>
        <w:t>to minimi</w:t>
      </w:r>
      <w:r w:rsidR="000F7B9C">
        <w:rPr>
          <w:rFonts w:cs="Arial"/>
        </w:rPr>
        <w:t>s</w:t>
      </w:r>
      <w:r w:rsidR="00E64D1E">
        <w:rPr>
          <w:rFonts w:cs="Arial"/>
        </w:rPr>
        <w:t xml:space="preserve">e potential for “Antabuse-like” effects, </w:t>
      </w:r>
      <w:r w:rsidR="005C7BEF">
        <w:rPr>
          <w:rFonts w:cs="Arial"/>
        </w:rPr>
        <w:t>including</w:t>
      </w:r>
      <w:r w:rsidR="00E64D1E">
        <w:rPr>
          <w:rFonts w:cs="Arial"/>
        </w:rPr>
        <w:t xml:space="preserve"> increased heart rate, shortness of breath, nausea and vomiting </w:t>
      </w:r>
      <w:r>
        <w:rPr>
          <w:rFonts w:cs="Arial"/>
        </w:rPr>
        <w:t xml:space="preserve">in </w:t>
      </w:r>
      <w:r w:rsidR="00E64D1E">
        <w:rPr>
          <w:rFonts w:cs="Arial"/>
        </w:rPr>
        <w:t>exposed workers.</w:t>
      </w:r>
    </w:p>
    <w:p w14:paraId="31BCB2D4" w14:textId="55E09327" w:rsidR="009836C7" w:rsidRPr="00B50EB9" w:rsidRDefault="009836C7" w:rsidP="000C139A">
      <w:pPr>
        <w:rPr>
          <w:rFonts w:cs="Arial"/>
        </w:rPr>
      </w:pPr>
      <w:r w:rsidRPr="009836C7"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0D6D6CA9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3EFF2D7" w14:textId="77777777" w:rsidR="005C7BEF" w:rsidRDefault="008B1D6B" w:rsidP="006639B4">
      <w:pPr>
        <w:rPr>
          <w:rFonts w:cs="Arial"/>
        </w:rPr>
      </w:pPr>
      <w:r>
        <w:rPr>
          <w:rFonts w:cs="Arial"/>
        </w:rPr>
        <w:t xml:space="preserve">Disulfiram is </w:t>
      </w:r>
      <w:r>
        <w:rPr>
          <w:rFonts w:cs="Arial"/>
          <w:color w:val="222222"/>
          <w:shd w:val="clear" w:color="auto" w:fill="FFFFFF"/>
        </w:rPr>
        <w:t>a drug (Antabuse™) used in the treatment of chronic alcoholism by producing an acute sensitivity to ethanol.</w:t>
      </w:r>
      <w:r>
        <w:rPr>
          <w:rFonts w:cs="Arial"/>
        </w:rPr>
        <w:t xml:space="preserve"> </w:t>
      </w:r>
    </w:p>
    <w:p w14:paraId="372475B1" w14:textId="1AFD8283" w:rsidR="005C7BEF" w:rsidRDefault="008B1D6B" w:rsidP="006639B4">
      <w:pPr>
        <w:rPr>
          <w:rFonts w:cs="Arial"/>
        </w:rPr>
      </w:pPr>
      <w:r>
        <w:rPr>
          <w:rFonts w:cs="Arial"/>
        </w:rPr>
        <w:t xml:space="preserve">Critical effects include </w:t>
      </w:r>
      <w:r w:rsidR="005C7BEF">
        <w:rPr>
          <w:rFonts w:cs="Arial"/>
        </w:rPr>
        <w:t>vasodilation</w:t>
      </w:r>
      <w:r>
        <w:rPr>
          <w:rFonts w:cs="Arial"/>
        </w:rPr>
        <w:t xml:space="preserve">, tachycardia and nausea. There </w:t>
      </w:r>
      <w:r w:rsidR="009836C7">
        <w:rPr>
          <w:rFonts w:cs="Arial"/>
        </w:rPr>
        <w:t>are</w:t>
      </w:r>
      <w:r>
        <w:rPr>
          <w:rFonts w:cs="Arial"/>
        </w:rPr>
        <w:t xml:space="preserve"> a l</w:t>
      </w:r>
      <w:r w:rsidR="00F83E69">
        <w:rPr>
          <w:rFonts w:cs="Arial"/>
        </w:rPr>
        <w:t xml:space="preserve">ack of </w:t>
      </w:r>
      <w:r w:rsidR="00E64D1E">
        <w:rPr>
          <w:rFonts w:cs="Arial"/>
        </w:rPr>
        <w:t xml:space="preserve">data for inhalation and dermal exposures </w:t>
      </w:r>
      <w:r w:rsidR="005C7BEF">
        <w:rPr>
          <w:rFonts w:cs="Arial"/>
        </w:rPr>
        <w:t>in</w:t>
      </w:r>
      <w:r w:rsidR="00E64D1E">
        <w:rPr>
          <w:rFonts w:cs="Arial"/>
        </w:rPr>
        <w:t xml:space="preserve"> animals and humans; studies largely focus on oral exposure of the phar</w:t>
      </w:r>
      <w:r>
        <w:rPr>
          <w:rFonts w:cs="Arial"/>
        </w:rPr>
        <w:t>maceutical grade</w:t>
      </w:r>
      <w:r w:rsidR="005C7BEF">
        <w:rPr>
          <w:rFonts w:cs="Arial"/>
        </w:rPr>
        <w:t xml:space="preserve"> chemical</w:t>
      </w:r>
      <w:r w:rsidR="00DF53EC">
        <w:rPr>
          <w:rFonts w:cs="Arial"/>
        </w:rPr>
        <w:t>.</w:t>
      </w:r>
      <w:r w:rsidR="00E64D1E">
        <w:rPr>
          <w:rFonts w:cs="Arial"/>
        </w:rPr>
        <w:t xml:space="preserve"> </w:t>
      </w:r>
      <w:r w:rsidR="005C7BEF">
        <w:rPr>
          <w:rFonts w:cs="Arial"/>
        </w:rPr>
        <w:t xml:space="preserve">Studies report that some workers involved in the manufacture and handling of disulfiram developed Antabuse-like effects. Experimental animal studies demonstrate the hepatotoxic effects of disulfiram following oral exposure and evidence of carcinogenicity, </w:t>
      </w:r>
      <w:proofErr w:type="spellStart"/>
      <w:r w:rsidR="005C7BEF">
        <w:rPr>
          <w:rFonts w:cs="Arial"/>
        </w:rPr>
        <w:t>genotoxicity</w:t>
      </w:r>
      <w:proofErr w:type="spellEnd"/>
      <w:r w:rsidR="005C7BEF">
        <w:rPr>
          <w:rFonts w:cs="Arial"/>
        </w:rPr>
        <w:t xml:space="preserve"> </w:t>
      </w:r>
      <w:proofErr w:type="gramStart"/>
      <w:r w:rsidR="005C7BEF">
        <w:rPr>
          <w:rFonts w:cs="Arial"/>
        </w:rPr>
        <w:t>and</w:t>
      </w:r>
      <w:proofErr w:type="gramEnd"/>
      <w:r w:rsidR="005C7BEF">
        <w:rPr>
          <w:rFonts w:cs="Arial"/>
        </w:rPr>
        <w:t xml:space="preserve"> reproductive and developmental effects remain inconclusive (ACGIH, 2018).</w:t>
      </w:r>
    </w:p>
    <w:p w14:paraId="39EE3C21" w14:textId="48062ED7" w:rsidR="006639B4" w:rsidRPr="004C23F4" w:rsidRDefault="00E64D1E" w:rsidP="006639B4">
      <w:pPr>
        <w:rPr>
          <w:rFonts w:cs="Arial"/>
        </w:rPr>
      </w:pPr>
      <w:r>
        <w:rPr>
          <w:rFonts w:cs="Arial"/>
        </w:rPr>
        <w:t xml:space="preserve">The </w:t>
      </w:r>
      <w:r w:rsidR="005C7BEF">
        <w:rPr>
          <w:rFonts w:cs="Arial"/>
        </w:rPr>
        <w:t>recommended</w:t>
      </w:r>
      <w:r>
        <w:rPr>
          <w:rFonts w:cs="Arial"/>
        </w:rPr>
        <w:t xml:space="preserve"> TWA </w:t>
      </w:r>
      <w:r w:rsidR="00B20A03">
        <w:rPr>
          <w:rFonts w:cs="Arial"/>
        </w:rPr>
        <w:t>of 2 mg/m</w:t>
      </w:r>
      <w:r w:rsidR="00B20A03">
        <w:rPr>
          <w:rFonts w:cs="Arial"/>
          <w:vertAlign w:val="superscript"/>
        </w:rPr>
        <w:t>3</w:t>
      </w:r>
      <w:r w:rsidR="00B20A03">
        <w:rPr>
          <w:rFonts w:cs="Arial"/>
        </w:rPr>
        <w:t xml:space="preserve"> </w:t>
      </w:r>
      <w:r>
        <w:rPr>
          <w:rFonts w:cs="Arial"/>
        </w:rPr>
        <w:t xml:space="preserve">is </w:t>
      </w:r>
      <w:r w:rsidR="00B20A03">
        <w:rPr>
          <w:rFonts w:cs="Arial"/>
        </w:rPr>
        <w:t>adopted from ACGIH (2001) and DFG (2007)</w:t>
      </w:r>
      <w:r w:rsidR="009836C7">
        <w:rPr>
          <w:rFonts w:cs="Arial"/>
        </w:rPr>
        <w:t>.</w:t>
      </w:r>
      <w:r w:rsidR="00B20A03">
        <w:rPr>
          <w:rFonts w:cs="Arial"/>
        </w:rPr>
        <w:t xml:space="preserve"> ACGIH does not </w:t>
      </w:r>
      <w:r w:rsidR="009836C7">
        <w:rPr>
          <w:rFonts w:cs="Arial"/>
        </w:rPr>
        <w:t>present the derivation of</w:t>
      </w:r>
      <w:r w:rsidR="00B20A03">
        <w:rPr>
          <w:rFonts w:cs="Arial"/>
        </w:rPr>
        <w:t xml:space="preserve"> the TWA. DFG report that</w:t>
      </w:r>
      <w:r w:rsidR="009836C7">
        <w:rPr>
          <w:rFonts w:cs="Arial"/>
        </w:rPr>
        <w:t xml:space="preserve"> the</w:t>
      </w:r>
      <w:r w:rsidR="00B20A03">
        <w:rPr>
          <w:rFonts w:cs="Arial"/>
        </w:rPr>
        <w:t xml:space="preserve"> MAK </w:t>
      </w:r>
      <w:r w:rsidR="009836C7">
        <w:t>i</w:t>
      </w:r>
      <w:r w:rsidR="00B20A03">
        <w:t xml:space="preserve">s based on observations in adults exposed </w:t>
      </w:r>
      <w:r w:rsidR="009836C7">
        <w:t>at</w:t>
      </w:r>
      <w:r w:rsidR="00B20A03">
        <w:t xml:space="preserve"> 125 mg/d</w:t>
      </w:r>
      <w:r w:rsidR="009836C7">
        <w:t>ay</w:t>
      </w:r>
      <w:r w:rsidR="00B20A03">
        <w:rPr>
          <w:rFonts w:cs="Arial"/>
        </w:rPr>
        <w:t xml:space="preserve"> </w:t>
      </w:r>
      <w:r w:rsidR="007A16A1">
        <w:rPr>
          <w:rFonts w:cs="Arial"/>
        </w:rPr>
        <w:t>which may be</w:t>
      </w:r>
      <w:r>
        <w:rPr>
          <w:rFonts w:cs="Arial"/>
        </w:rPr>
        <w:t xml:space="preserve"> the therapeutic oral dose recommended for treatment of alcoholism</w:t>
      </w:r>
      <w:r w:rsidR="007A16A1">
        <w:rPr>
          <w:rFonts w:cs="Arial"/>
        </w:rPr>
        <w:t xml:space="preserve"> (not qualified by DFG the daily dose nor describe how TWA was derived)</w:t>
      </w:r>
      <w:r>
        <w:rPr>
          <w:rFonts w:cs="Arial"/>
        </w:rPr>
        <w:t xml:space="preserve">. </w:t>
      </w:r>
      <w:r w:rsidR="009836C7">
        <w:rPr>
          <w:rFonts w:cs="Arial"/>
        </w:rPr>
        <w:t>This TWA is considered to be protective of the critical effects. However, an investigation of additional sources is recommended at the next scheduled review.</w:t>
      </w:r>
    </w:p>
    <w:p w14:paraId="03858254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4BE0797D" w14:textId="5A4F355A" w:rsidR="00935D4A" w:rsidRPr="00A70823" w:rsidRDefault="00935D4A" w:rsidP="00935D4A">
      <w:pPr>
        <w:rPr>
          <w:rFonts w:cs="Arial"/>
        </w:rPr>
      </w:pPr>
      <w:r w:rsidRPr="00A70823">
        <w:rPr>
          <w:rFonts w:cs="Arial"/>
        </w:rPr>
        <w:t>Not classified as a carcinogen according to the Globally Harmonized System of Classification and Labelling o</w:t>
      </w:r>
      <w:r w:rsidR="00C855B5">
        <w:rPr>
          <w:rFonts w:cs="Arial"/>
        </w:rPr>
        <w:t>f</w:t>
      </w:r>
      <w:r w:rsidRPr="00A70823">
        <w:rPr>
          <w:rFonts w:cs="Arial"/>
        </w:rPr>
        <w:t xml:space="preserve"> Chemicals (GHS). </w:t>
      </w:r>
    </w:p>
    <w:p w14:paraId="7DA191E3" w14:textId="5E64C6BA" w:rsidR="00935D4A" w:rsidRPr="00A70823" w:rsidRDefault="00B50EB9" w:rsidP="00935D4A">
      <w:pPr>
        <w:rPr>
          <w:rFonts w:cs="Arial"/>
        </w:rPr>
      </w:pPr>
      <w:r>
        <w:rPr>
          <w:rFonts w:cs="Arial"/>
        </w:rPr>
        <w:t xml:space="preserve">Classified as a </w:t>
      </w:r>
      <w:r w:rsidR="000C1D98">
        <w:rPr>
          <w:rFonts w:cs="Arial"/>
        </w:rPr>
        <w:t>dermal</w:t>
      </w:r>
      <w:r>
        <w:rPr>
          <w:rFonts w:cs="Arial"/>
        </w:rPr>
        <w:t xml:space="preserve"> </w:t>
      </w:r>
      <w:r w:rsidR="000C1D98">
        <w:rPr>
          <w:rFonts w:cs="Arial"/>
        </w:rPr>
        <w:t>s</w:t>
      </w:r>
      <w:r>
        <w:rPr>
          <w:rFonts w:cs="Arial"/>
        </w:rPr>
        <w:t>ensiti</w:t>
      </w:r>
      <w:r w:rsidR="000C1D98">
        <w:rPr>
          <w:rFonts w:cs="Arial"/>
        </w:rPr>
        <w:t>s</w:t>
      </w:r>
      <w:r>
        <w:rPr>
          <w:rFonts w:cs="Arial"/>
        </w:rPr>
        <w:t xml:space="preserve">er </w:t>
      </w:r>
      <w:r w:rsidR="005C7BEF">
        <w:rPr>
          <w:rFonts w:cs="Arial"/>
        </w:rPr>
        <w:t>and</w:t>
      </w:r>
      <w:r w:rsidR="000F7B9C">
        <w:rPr>
          <w:rFonts w:cs="Arial"/>
        </w:rPr>
        <w:t xml:space="preserve"> not a respiratory sensitiser </w:t>
      </w:r>
      <w:r>
        <w:rPr>
          <w:rFonts w:cs="Arial"/>
        </w:rPr>
        <w:t xml:space="preserve">according to </w:t>
      </w:r>
      <w:r w:rsidR="000F7B9C">
        <w:rPr>
          <w:rFonts w:cs="Arial"/>
        </w:rPr>
        <w:t xml:space="preserve">the </w:t>
      </w:r>
      <w:r>
        <w:rPr>
          <w:rFonts w:cs="Arial"/>
        </w:rPr>
        <w:t>GHS.</w:t>
      </w:r>
    </w:p>
    <w:p w14:paraId="639FCF3B" w14:textId="77777777" w:rsidR="008B1D6B" w:rsidRDefault="008B1D6B" w:rsidP="008B1D6B">
      <w:pPr>
        <w:rPr>
          <w:rFonts w:cs="Arial"/>
        </w:rPr>
      </w:pPr>
      <w:r>
        <w:rPr>
          <w:rFonts w:cs="Arial"/>
        </w:rPr>
        <w:t>There are insufficient data to recommend a skin notation.</w:t>
      </w:r>
    </w:p>
    <w:p w14:paraId="050B8FB6" w14:textId="77777777" w:rsidR="0025734A" w:rsidRPr="004C23F4" w:rsidRDefault="0025734A">
      <w:pPr>
        <w:rPr>
          <w:rFonts w:cs="Arial"/>
        </w:rPr>
      </w:pPr>
    </w:p>
    <w:p w14:paraId="01B880C8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E311AC0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CDC0407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5ED7185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F936DEF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6641344E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128D35C" w14:textId="1E95F954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935D4A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56E39">
                  <w:t>TWA: 2 mg/m</w:t>
                </w:r>
                <w:r w:rsidR="00556E39" w:rsidRPr="00556E39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5351208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E8083E7" w14:textId="637AC41C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C4C654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A593B7F" w14:textId="19FAAE9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56E39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56E39">
                  <w:t>TLV-TWA: 2 mg/m</w:t>
                </w:r>
                <w:r w:rsidR="00556E39" w:rsidRPr="00556E39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E98CB9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385C194" w14:textId="5EC65048" w:rsidR="0023403B" w:rsidRPr="0023403B" w:rsidRDefault="0023403B" w:rsidP="003365A5">
            <w:pPr>
              <w:pStyle w:val="Tabletextprimarysource"/>
            </w:pPr>
            <w:r>
              <w:t xml:space="preserve">TLV-TWA </w:t>
            </w:r>
            <w:r w:rsidR="008B1D6B">
              <w:t>recommended to minimis</w:t>
            </w:r>
            <w:r>
              <w:t>e possible Antabuse-li</w:t>
            </w:r>
            <w:r w:rsidR="00A34343">
              <w:t>k</w:t>
            </w:r>
            <w:r>
              <w:t xml:space="preserve">e effects </w:t>
            </w:r>
            <w:r w:rsidR="00661BC6">
              <w:t>in</w:t>
            </w:r>
            <w:r w:rsidR="00A34343">
              <w:t xml:space="preserve"> </w:t>
            </w:r>
            <w:r>
              <w:t>exposed workers</w:t>
            </w:r>
            <w:r w:rsidR="00661BC6">
              <w:t xml:space="preserve">. </w:t>
            </w:r>
          </w:p>
          <w:p w14:paraId="3CE2904C" w14:textId="77777777" w:rsidR="008B1D6B" w:rsidRDefault="008B1D6B" w:rsidP="008B1D6B">
            <w:pPr>
              <w:pStyle w:val="Tabletextprimarysource"/>
            </w:pPr>
            <w:r>
              <w:t>Summary of data:</w:t>
            </w:r>
          </w:p>
          <w:p w14:paraId="63B07BD0" w14:textId="77777777" w:rsidR="00E91C74" w:rsidRDefault="00E91C74" w:rsidP="003365A5">
            <w:pPr>
              <w:pStyle w:val="Tabletextprimarysource"/>
            </w:pPr>
            <w:r>
              <w:t>Human data:</w:t>
            </w:r>
          </w:p>
          <w:p w14:paraId="026F7F1D" w14:textId="399E2259" w:rsidR="00452033" w:rsidRDefault="00E86173" w:rsidP="00452033">
            <w:pPr>
              <w:pStyle w:val="Tabletextprimarysource"/>
              <w:numPr>
                <w:ilvl w:val="0"/>
                <w:numId w:val="1"/>
              </w:numPr>
            </w:pPr>
            <w:r>
              <w:t>Many studies examine disul</w:t>
            </w:r>
            <w:r w:rsidR="00D276E3">
              <w:t>firam</w:t>
            </w:r>
            <w:r w:rsidR="00763296">
              <w:t xml:space="preserve"> used as medication to treat chronic alcoholism </w:t>
            </w:r>
            <w:r w:rsidR="00C23D3D">
              <w:t>report</w:t>
            </w:r>
            <w:r w:rsidR="00763296">
              <w:t xml:space="preserve"> </w:t>
            </w:r>
            <w:r w:rsidR="004076AC">
              <w:t xml:space="preserve">Antabuse-like </w:t>
            </w:r>
            <w:r w:rsidR="00763296">
              <w:t>symptoms includ</w:t>
            </w:r>
            <w:r w:rsidR="00C23D3D">
              <w:t>ing</w:t>
            </w:r>
            <w:r w:rsidR="00763296">
              <w:t xml:space="preserve"> vasodilation of face and neck, tachycardia, </w:t>
            </w:r>
            <w:r w:rsidR="000F7B9C">
              <w:t>tachypnoea</w:t>
            </w:r>
            <w:r w:rsidR="00763296">
              <w:t xml:space="preserve"> followed by nausea, vomiting pallor and hypotension; occasionally, convulsion, cardiac arrhythmias and myocardial infarction may occur</w:t>
            </w:r>
            <w:r w:rsidR="00A17A8D">
              <w:t>, amongst other complications</w:t>
            </w:r>
          </w:p>
          <w:p w14:paraId="7FCBB038" w14:textId="77777777" w:rsidR="005C7BEF" w:rsidRDefault="00C23D3D" w:rsidP="00452033">
            <w:pPr>
              <w:pStyle w:val="Tabletextprimarysource"/>
              <w:numPr>
                <w:ilvl w:val="0"/>
                <w:numId w:val="1"/>
              </w:numPr>
            </w:pPr>
            <w:r>
              <w:t>W</w:t>
            </w:r>
            <w:r w:rsidR="001F7AF4">
              <w:t xml:space="preserve">orkers who manufacture and handle </w:t>
            </w:r>
            <w:r w:rsidR="008B1D6B">
              <w:t>the chemical</w:t>
            </w:r>
            <w:r w:rsidR="001F7AF4">
              <w:t xml:space="preserve"> may experience these symptoms, and one investigation indicated 9% of workers deve</w:t>
            </w:r>
            <w:r w:rsidR="008B1D6B">
              <w:t>loped skin irritation</w:t>
            </w:r>
          </w:p>
          <w:p w14:paraId="2B3764CB" w14:textId="5884CEB1" w:rsidR="00342E5B" w:rsidRDefault="008B1D6B" w:rsidP="005C7BEF">
            <w:pPr>
              <w:pStyle w:val="Tabletextprimarysource"/>
              <w:numPr>
                <w:ilvl w:val="0"/>
                <w:numId w:val="6"/>
              </w:numPr>
            </w:pPr>
            <w:r>
              <w:t>there is</w:t>
            </w:r>
            <w:r w:rsidR="001F7AF4">
              <w:t xml:space="preserve"> insufficient evidence to directly link exposure to skin irritation</w:t>
            </w:r>
          </w:p>
          <w:p w14:paraId="4EEDF107" w14:textId="0F740E40" w:rsidR="001F7AF4" w:rsidRDefault="001F7AF4" w:rsidP="00452033">
            <w:pPr>
              <w:pStyle w:val="Tabletextprimarysource"/>
              <w:numPr>
                <w:ilvl w:val="0"/>
                <w:numId w:val="1"/>
              </w:numPr>
            </w:pPr>
            <w:r>
              <w:t>Consumption has been shown to have a possible therapeutic effect in severe trichloroethylene poisoning</w:t>
            </w:r>
            <w:r w:rsidR="008B1D6B">
              <w:t>.</w:t>
            </w:r>
          </w:p>
          <w:p w14:paraId="114D5B42" w14:textId="77777777" w:rsidR="004076AC" w:rsidRDefault="004076AC" w:rsidP="004076AC">
            <w:pPr>
              <w:pStyle w:val="Tabletextprimarysource"/>
            </w:pPr>
            <w:r>
              <w:t>Animal data:</w:t>
            </w:r>
          </w:p>
          <w:p w14:paraId="0329F7C9" w14:textId="20A6804E" w:rsidR="004076AC" w:rsidRDefault="004076AC" w:rsidP="004076AC">
            <w:pPr>
              <w:pStyle w:val="Tabletextprimarysource"/>
              <w:numPr>
                <w:ilvl w:val="0"/>
                <w:numId w:val="2"/>
              </w:numPr>
            </w:pPr>
            <w:r>
              <w:t>Oral LD</w:t>
            </w:r>
            <w:r>
              <w:rPr>
                <w:vertAlign w:val="subscript"/>
              </w:rPr>
              <w:t>50</w:t>
            </w:r>
            <w:r w:rsidR="00C23D3D">
              <w:t xml:space="preserve">: </w:t>
            </w:r>
            <w:r>
              <w:t xml:space="preserve">8.6 g/kg </w:t>
            </w:r>
            <w:r w:rsidR="00C23D3D">
              <w:t xml:space="preserve">(rats), </w:t>
            </w:r>
            <w:r>
              <w:t xml:space="preserve">2.05 g/kg </w:t>
            </w:r>
            <w:r w:rsidR="00C23D3D">
              <w:t>(</w:t>
            </w:r>
            <w:r>
              <w:t>rabbits</w:t>
            </w:r>
            <w:r w:rsidR="00C23D3D">
              <w:t>)</w:t>
            </w:r>
          </w:p>
          <w:p w14:paraId="7A61F901" w14:textId="03790BB8" w:rsidR="004076AC" w:rsidRDefault="004076AC" w:rsidP="004076AC">
            <w:pPr>
              <w:pStyle w:val="Tabletextprimarysource"/>
              <w:numPr>
                <w:ilvl w:val="0"/>
                <w:numId w:val="2"/>
              </w:numPr>
            </w:pPr>
            <w:r>
              <w:t>Animal studies reported that oral exposure results in increased incidence of liver cell tumo</w:t>
            </w:r>
            <w:r w:rsidR="005858E3">
              <w:t>u</w:t>
            </w:r>
            <w:r>
              <w:t>rs in rats and mice, and an increase in lung tumo</w:t>
            </w:r>
            <w:r w:rsidR="005858E3">
              <w:t>u</w:t>
            </w:r>
            <w:r>
              <w:t>rs for select mice strains</w:t>
            </w:r>
          </w:p>
          <w:p w14:paraId="0DF73E7D" w14:textId="77777777" w:rsidR="005C7BEF" w:rsidRDefault="00C23D3D" w:rsidP="004076AC">
            <w:pPr>
              <w:pStyle w:val="Tabletextprimarysource"/>
              <w:numPr>
                <w:ilvl w:val="0"/>
                <w:numId w:val="2"/>
              </w:numPr>
            </w:pPr>
            <w:r>
              <w:t>N</w:t>
            </w:r>
            <w:r w:rsidR="004076AC">
              <w:t xml:space="preserve">egative evidence of carcinogenic effects </w:t>
            </w:r>
            <w:r w:rsidR="0023403B">
              <w:t>on male and female rats</w:t>
            </w:r>
          </w:p>
          <w:p w14:paraId="3335EE71" w14:textId="79FA547C" w:rsidR="004076AC" w:rsidRDefault="005C7BEF" w:rsidP="005C7BEF">
            <w:pPr>
              <w:pStyle w:val="Tabletextprimarysource"/>
              <w:numPr>
                <w:ilvl w:val="0"/>
                <w:numId w:val="6"/>
              </w:numPr>
            </w:pPr>
            <w:r>
              <w:t>l</w:t>
            </w:r>
            <w:r w:rsidR="0023403B">
              <w:t xml:space="preserve">imited </w:t>
            </w:r>
            <w:r w:rsidR="00C23D3D">
              <w:t xml:space="preserve">data </w:t>
            </w:r>
            <w:r w:rsidR="0023403B">
              <w:t>exists for carcinogenic effects</w:t>
            </w:r>
          </w:p>
          <w:p w14:paraId="2E34D872" w14:textId="638328EE" w:rsidR="008B1D6B" w:rsidRDefault="0023403B" w:rsidP="004076AC">
            <w:pPr>
              <w:pStyle w:val="Tabletextprimarysource"/>
              <w:numPr>
                <w:ilvl w:val="0"/>
                <w:numId w:val="2"/>
              </w:numPr>
            </w:pPr>
            <w:proofErr w:type="spellStart"/>
            <w:r>
              <w:t>Genotoxicity</w:t>
            </w:r>
            <w:proofErr w:type="spellEnd"/>
            <w:r>
              <w:t xml:space="preserve"> studies </w:t>
            </w:r>
            <w:r w:rsidR="005C7BEF">
              <w:t xml:space="preserve">report </w:t>
            </w:r>
            <w:r w:rsidR="00531E21">
              <w:t xml:space="preserve">mixed results; </w:t>
            </w:r>
            <w:r>
              <w:t xml:space="preserve">positive for the induction of </w:t>
            </w:r>
            <w:r w:rsidR="005C7BEF">
              <w:t>SCE</w:t>
            </w:r>
            <w:r>
              <w:t xml:space="preserve"> and negative for the induction of chromosomal aberrations.</w:t>
            </w:r>
            <w:r w:rsidR="008B1D6B">
              <w:t xml:space="preserve"> </w:t>
            </w:r>
          </w:p>
          <w:p w14:paraId="50FE6116" w14:textId="77777777" w:rsidR="00F4683F" w:rsidRDefault="00F4683F" w:rsidP="008B1D6B">
            <w:pPr>
              <w:pStyle w:val="Tabletextprimarysource"/>
            </w:pPr>
          </w:p>
          <w:p w14:paraId="2C972F8D" w14:textId="77777777" w:rsidR="005C7BEF" w:rsidRDefault="008B1D6B" w:rsidP="008B1D6B">
            <w:pPr>
              <w:pStyle w:val="Tabletextprimarysource"/>
            </w:pPr>
            <w:r>
              <w:t xml:space="preserve">A4 carcinogenicity category assigned due to limited data available to allow classification. Limited animal and human studies exist regarding inhalation exposure. </w:t>
            </w:r>
          </w:p>
          <w:p w14:paraId="10D8F9EE" w14:textId="4E6C521E" w:rsidR="00DF53EC" w:rsidRDefault="008B1D6B" w:rsidP="008B1D6B">
            <w:pPr>
              <w:pStyle w:val="Tabletextprimarysource"/>
            </w:pPr>
            <w:r>
              <w:t>No TLV-STEL is available, and no skin or SEN notations are assigned.</w:t>
            </w:r>
          </w:p>
          <w:p w14:paraId="19D65573" w14:textId="7D46668C" w:rsidR="00DF53EC" w:rsidRPr="00DA352E" w:rsidRDefault="00DF53EC" w:rsidP="008B1D6B">
            <w:pPr>
              <w:pStyle w:val="Tabletextprimarysource"/>
            </w:pPr>
          </w:p>
        </w:tc>
      </w:tr>
      <w:tr w:rsidR="00C978F0" w:rsidRPr="00DA352E" w14:paraId="4E0167B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6C7E74D" w14:textId="2B25468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CB57D2">
                  <w:t>2007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556E39">
                  <w:t>MAK: 2 mg/m</w:t>
                </w:r>
                <w:r w:rsidR="00556E39" w:rsidRPr="00556E39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C8C51E2" w14:textId="77777777" w:rsidTr="000F7B9C">
        <w:trPr>
          <w:gridAfter w:val="1"/>
          <w:wAfter w:w="8" w:type="pct"/>
        </w:trPr>
        <w:tc>
          <w:tcPr>
            <w:tcW w:w="0" w:type="pct"/>
          </w:tcPr>
          <w:p w14:paraId="3B0996DD" w14:textId="671DD5D5" w:rsidR="009E7FCF" w:rsidRDefault="005C7BEF" w:rsidP="009E7FCF">
            <w:pPr>
              <w:pStyle w:val="Tabletextprimarysource"/>
            </w:pPr>
            <w:r>
              <w:t>S</w:t>
            </w:r>
            <w:r w:rsidR="009E7FCF">
              <w:t xml:space="preserve">ummary of </w:t>
            </w:r>
            <w:r>
              <w:t xml:space="preserve">additional </w:t>
            </w:r>
            <w:r w:rsidR="009E7FCF">
              <w:t>data:</w:t>
            </w:r>
          </w:p>
          <w:p w14:paraId="2280E1D7" w14:textId="7081DA2D" w:rsidR="009E7FCF" w:rsidRDefault="005C7BEF" w:rsidP="009E7FCF">
            <w:pPr>
              <w:pStyle w:val="Tabletextprimarysource"/>
            </w:pPr>
            <w:r>
              <w:t>H</w:t>
            </w:r>
            <w:r w:rsidR="009E7FCF">
              <w:t>uman data:</w:t>
            </w:r>
          </w:p>
          <w:p w14:paraId="6FB75A4D" w14:textId="77B2E0EF" w:rsidR="00132EC6" w:rsidRDefault="00132EC6" w:rsidP="009E7FCF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MAK based on observations </w:t>
            </w:r>
            <w:r w:rsidR="00FF59F3">
              <w:t>in</w:t>
            </w:r>
            <w:r>
              <w:t xml:space="preserve"> adults exposed to 125 mg/d, symptoms included fatigue, muscle weakness and shortness of breath</w:t>
            </w:r>
          </w:p>
          <w:p w14:paraId="2296F024" w14:textId="3BE672BE" w:rsidR="003622A0" w:rsidRDefault="000F7B9C" w:rsidP="009E7FCF">
            <w:pPr>
              <w:pStyle w:val="Tabletextprimarysource"/>
              <w:numPr>
                <w:ilvl w:val="0"/>
                <w:numId w:val="1"/>
              </w:numPr>
            </w:pPr>
            <w:r>
              <w:t>Sensitis</w:t>
            </w:r>
            <w:r w:rsidR="00FF59F3">
              <w:t>er</w:t>
            </w:r>
            <w:r w:rsidR="003622A0">
              <w:t>, causing allergic response upon dermal contact</w:t>
            </w:r>
            <w:r w:rsidR="00CB57D2">
              <w:t xml:space="preserve">, </w:t>
            </w:r>
            <w:r w:rsidR="00FF59F3">
              <w:t xml:space="preserve">reported </w:t>
            </w:r>
            <w:r w:rsidR="00CB57D2">
              <w:t xml:space="preserve">in several </w:t>
            </w:r>
            <w:r w:rsidR="00FF59F3">
              <w:t>human case studies</w:t>
            </w:r>
          </w:p>
          <w:p w14:paraId="4564A895" w14:textId="0A36BBAF" w:rsidR="009E7FCF" w:rsidRDefault="00161FF2" w:rsidP="009E7FCF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Incidence cases </w:t>
            </w:r>
            <w:r w:rsidR="00FF59F3">
              <w:t>of</w:t>
            </w:r>
            <w:r>
              <w:t xml:space="preserve"> exposure to high concentrations lead to peripheral neuropathy</w:t>
            </w:r>
          </w:p>
          <w:p w14:paraId="0CA0D0F9" w14:textId="12CCC5DB" w:rsidR="00161FF2" w:rsidRDefault="00FF59F3" w:rsidP="009E7FCF">
            <w:pPr>
              <w:pStyle w:val="Tabletextprimarysource"/>
              <w:numPr>
                <w:ilvl w:val="0"/>
                <w:numId w:val="1"/>
              </w:numPr>
            </w:pPr>
            <w:r>
              <w:t>H</w:t>
            </w:r>
            <w:r w:rsidR="00161FF2">
              <w:t xml:space="preserve">uman cases reported repeated chronic exposure </w:t>
            </w:r>
            <w:r w:rsidR="00132EC6">
              <w:t>(&gt;250</w:t>
            </w:r>
            <w:r w:rsidR="005858E3">
              <w:t xml:space="preserve"> </w:t>
            </w:r>
            <w:r w:rsidR="00132EC6">
              <w:t>mg/d)</w:t>
            </w:r>
            <w:r w:rsidR="00161FF2">
              <w:t xml:space="preserve"> can potentially cause hepatotoxicity, encephalopathy</w:t>
            </w:r>
            <w:r w:rsidR="00C62519">
              <w:t xml:space="preserve"> and </w:t>
            </w:r>
            <w:r w:rsidR="00161FF2">
              <w:t xml:space="preserve">adverse effects on the endocrine system (impotence), </w:t>
            </w:r>
            <w:r w:rsidR="00C62519">
              <w:t>among other complications</w:t>
            </w:r>
            <w:r w:rsidR="008B1D6B">
              <w:t>.</w:t>
            </w:r>
          </w:p>
          <w:p w14:paraId="41B28A08" w14:textId="04CED45E" w:rsidR="00007836" w:rsidRDefault="00BD20E7" w:rsidP="009836C7">
            <w:pPr>
              <w:pStyle w:val="Tabletextprimarysource"/>
              <w:keepNext/>
            </w:pPr>
            <w:r>
              <w:t>Animal data:</w:t>
            </w:r>
          </w:p>
          <w:p w14:paraId="1BD44226" w14:textId="6303AC16" w:rsidR="00007836" w:rsidRDefault="00007836" w:rsidP="00BD20E7">
            <w:pPr>
              <w:pStyle w:val="Tabletextprimarysource"/>
              <w:numPr>
                <w:ilvl w:val="0"/>
                <w:numId w:val="3"/>
              </w:numPr>
            </w:pPr>
            <w:r>
              <w:t xml:space="preserve">Repeated exposure </w:t>
            </w:r>
            <w:r w:rsidR="005C7BEF">
              <w:t>at</w:t>
            </w:r>
            <w:r>
              <w:t xml:space="preserve"> 12 mg/kg</w:t>
            </w:r>
            <w:r w:rsidR="00862090">
              <w:t>/d</w:t>
            </w:r>
            <w:r>
              <w:t xml:space="preserve"> in rats reduced glutathione levels in the liver and brain, with increased concentrations resulting in thyroid hyperplasia</w:t>
            </w:r>
          </w:p>
          <w:p w14:paraId="7010E067" w14:textId="22F0B102" w:rsidR="00BD20E7" w:rsidRDefault="00A7662C" w:rsidP="00BD20E7">
            <w:pPr>
              <w:pStyle w:val="Tabletextprimarysource"/>
              <w:numPr>
                <w:ilvl w:val="0"/>
                <w:numId w:val="3"/>
              </w:numPr>
            </w:pPr>
            <w:r>
              <w:lastRenderedPageBreak/>
              <w:t xml:space="preserve">Results on carcinogenicity data are equivocal, with some studies reporting an increased incidence of subcutaneous </w:t>
            </w:r>
            <w:proofErr w:type="spellStart"/>
            <w:r w:rsidR="00862090">
              <w:t>fibrosarcoma</w:t>
            </w:r>
            <w:r w:rsidR="00B20A03">
              <w:t>s</w:t>
            </w:r>
            <w:proofErr w:type="spellEnd"/>
            <w:r>
              <w:t xml:space="preserve"> and </w:t>
            </w:r>
            <w:proofErr w:type="spellStart"/>
            <w:r>
              <w:t>hepatomas</w:t>
            </w:r>
            <w:proofErr w:type="spellEnd"/>
            <w:r>
              <w:t xml:space="preserve"> in certain mouse strains, and other studies concluding that exposure had no effect on tumo</w:t>
            </w:r>
            <w:r w:rsidR="00CB57D2">
              <w:t>u</w:t>
            </w:r>
            <w:r>
              <w:t>r growth</w:t>
            </w:r>
          </w:p>
          <w:p w14:paraId="004E179E" w14:textId="3910B911" w:rsidR="00CB57D2" w:rsidRDefault="00A7662C">
            <w:pPr>
              <w:pStyle w:val="Tabletextprimarysource"/>
              <w:numPr>
                <w:ilvl w:val="0"/>
                <w:numId w:val="3"/>
              </w:numPr>
            </w:pPr>
            <w:r>
              <w:t xml:space="preserve">Animal studies </w:t>
            </w:r>
            <w:r w:rsidR="005C7BEF">
              <w:t xml:space="preserve">report </w:t>
            </w:r>
            <w:r>
              <w:t>developmental</w:t>
            </w:r>
            <w:r w:rsidR="00CB57D2">
              <w:t xml:space="preserve">/teratogenic </w:t>
            </w:r>
            <w:r>
              <w:t>effects are inconclusive</w:t>
            </w:r>
          </w:p>
          <w:p w14:paraId="631D8885" w14:textId="77777777" w:rsidR="00A7662C" w:rsidRDefault="00007836">
            <w:pPr>
              <w:pStyle w:val="Tabletextprimarysource"/>
              <w:numPr>
                <w:ilvl w:val="0"/>
                <w:numId w:val="3"/>
              </w:numPr>
            </w:pPr>
            <w:r>
              <w:t>Experimental animal studies for inhalation and dermal exposure are not available.</w:t>
            </w:r>
          </w:p>
          <w:p w14:paraId="26F3A84D" w14:textId="63377F5A" w:rsidR="00DF53EC" w:rsidRPr="00DA352E" w:rsidRDefault="00DF53EC" w:rsidP="005C7BEF">
            <w:pPr>
              <w:pStyle w:val="Tabletextprimarysource"/>
              <w:ind w:left="720"/>
            </w:pPr>
          </w:p>
        </w:tc>
      </w:tr>
      <w:tr w:rsidR="00C978F0" w:rsidRPr="00DA352E" w14:paraId="30B2A50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E2E48FB" w14:textId="0441C86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56E3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556E39">
                  <w:t>NA</w:t>
                </w:r>
                <w:proofErr w:type="spellEnd"/>
              </w:sdtContent>
            </w:sdt>
          </w:p>
        </w:tc>
      </w:tr>
      <w:tr w:rsidR="00C978F0" w:rsidRPr="00DA352E" w14:paraId="2AF5EDD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0717081" w14:textId="56AEADF6" w:rsidR="00C978F0" w:rsidRPr="00DA352E" w:rsidRDefault="00556E39" w:rsidP="003365A5">
            <w:pPr>
              <w:pStyle w:val="Tabletextprimarysource"/>
            </w:pPr>
            <w:r>
              <w:t>No report</w:t>
            </w:r>
            <w:r w:rsidR="000F7B9C">
              <w:t>.</w:t>
            </w:r>
          </w:p>
        </w:tc>
      </w:tr>
      <w:tr w:rsidR="00DA352E" w:rsidRPr="00DA352E" w14:paraId="4626DA1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7B216F1" w14:textId="0854CEC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56E3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556E39">
                  <w:t>NA</w:t>
                </w:r>
                <w:proofErr w:type="spellEnd"/>
              </w:sdtContent>
            </w:sdt>
          </w:p>
        </w:tc>
      </w:tr>
      <w:tr w:rsidR="00DA352E" w:rsidRPr="00DA352E" w14:paraId="6B137C3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B8A7E13" w14:textId="531DB478" w:rsidR="00DA352E" w:rsidRPr="00DA352E" w:rsidRDefault="00556E39" w:rsidP="003365A5">
            <w:pPr>
              <w:pStyle w:val="Tabletextprimarysource"/>
            </w:pPr>
            <w:r>
              <w:t>No report</w:t>
            </w:r>
            <w:r w:rsidR="000F7B9C">
              <w:t>.</w:t>
            </w:r>
          </w:p>
        </w:tc>
      </w:tr>
      <w:tr w:rsidR="00DA352E" w:rsidRPr="00DA352E" w14:paraId="64ABA70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901CBF" w14:textId="0DBCC32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556E3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556E39">
                  <w:t>NA</w:t>
                </w:r>
                <w:proofErr w:type="spellEnd"/>
              </w:sdtContent>
            </w:sdt>
          </w:p>
        </w:tc>
      </w:tr>
      <w:tr w:rsidR="00DA352E" w:rsidRPr="00DA352E" w14:paraId="587506C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83370A4" w14:textId="04B76C5D" w:rsidR="00DA352E" w:rsidRPr="00DA352E" w:rsidRDefault="000F7B9C" w:rsidP="003365A5">
            <w:pPr>
              <w:pStyle w:val="Tabletextprimarysource"/>
            </w:pPr>
            <w:r w:rsidRPr="000F7B9C">
              <w:t>No report.</w:t>
            </w:r>
          </w:p>
        </w:tc>
      </w:tr>
    </w:tbl>
    <w:p w14:paraId="1C924A9A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86"/>
        <w:gridCol w:w="421"/>
        <w:gridCol w:w="661"/>
        <w:gridCol w:w="6458"/>
      </w:tblGrid>
      <w:tr w:rsidR="004966BF" w:rsidRPr="00263255" w14:paraId="514908EB" w14:textId="77777777" w:rsidTr="000F7B9C">
        <w:trPr>
          <w:cantSplit/>
          <w:trHeight w:val="393"/>
          <w:tblHeader/>
        </w:trPr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3344B9E8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E9CC974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FE94E9F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8" w:type="dxa"/>
            <w:shd w:val="clear" w:color="auto" w:fill="BFBFBF" w:themeFill="background1" w:themeFillShade="BF"/>
            <w:vAlign w:val="center"/>
          </w:tcPr>
          <w:p w14:paraId="0479D766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B3CA000" w14:textId="77777777" w:rsidTr="000F7B9C">
        <w:trPr>
          <w:cantSplit/>
        </w:trPr>
        <w:tc>
          <w:tcPr>
            <w:tcW w:w="1486" w:type="dxa"/>
          </w:tcPr>
          <w:p w14:paraId="7762C08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1" w:type="dxa"/>
          </w:tcPr>
          <w:p w14:paraId="22806B3C" w14:textId="49BE889D" w:rsidR="004966BF" w:rsidRPr="00CE617F" w:rsidRDefault="005B314A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622A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39EAA33" w14:textId="161FFAA4" w:rsidR="004966BF" w:rsidRPr="004C23F4" w:rsidRDefault="003E6B8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58" w:type="dxa"/>
          </w:tcPr>
          <w:p w14:paraId="71E678FB" w14:textId="4F7C450F" w:rsidR="00A57CB2" w:rsidRPr="00A57CB2" w:rsidRDefault="00A57CB2" w:rsidP="005C7BEF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C855B5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&gt;2</w:t>
            </w:r>
            <w:r w:rsidR="00DF53EC">
              <w:rPr>
                <w:rStyle w:val="checkbox"/>
                <w:rFonts w:ascii="Arial" w:hAnsi="Arial" w:cs="Arial"/>
              </w:rPr>
              <w:t>,</w:t>
            </w:r>
            <w:r>
              <w:rPr>
                <w:rStyle w:val="checkbox"/>
                <w:rFonts w:ascii="Arial" w:hAnsi="Arial" w:cs="Arial"/>
              </w:rPr>
              <w:t xml:space="preserve">000 mg/kg </w:t>
            </w:r>
            <w:r w:rsidR="00C855B5">
              <w:rPr>
                <w:rStyle w:val="checkbox"/>
                <w:rFonts w:ascii="Arial" w:hAnsi="Arial" w:cs="Arial"/>
              </w:rPr>
              <w:t>(</w:t>
            </w:r>
            <w:r>
              <w:rPr>
                <w:rStyle w:val="checkbox"/>
                <w:rFonts w:ascii="Arial" w:hAnsi="Arial" w:cs="Arial"/>
              </w:rPr>
              <w:t>rats</w:t>
            </w:r>
            <w:r w:rsidR="00C855B5">
              <w:rPr>
                <w:rStyle w:val="checkbox"/>
                <w:rFonts w:ascii="Arial" w:hAnsi="Arial" w:cs="Arial"/>
              </w:rPr>
              <w:t>,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="00C855B5">
              <w:rPr>
                <w:rStyle w:val="checkbox"/>
                <w:rFonts w:ascii="Arial" w:hAnsi="Arial" w:cs="Arial"/>
              </w:rPr>
              <w:t>dermal)</w:t>
            </w:r>
          </w:p>
          <w:p w14:paraId="6F982B34" w14:textId="2C8B6F8E" w:rsidR="004966BF" w:rsidRDefault="00A57CB2" w:rsidP="005C7BEF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Dermal application on rabbits (2</w:t>
            </w:r>
            <w:r w:rsidR="005858E3">
              <w:rPr>
                <w:rStyle w:val="checkbox"/>
                <w:rFonts w:ascii="Arial" w:hAnsi="Arial" w:cs="Arial"/>
              </w:rPr>
              <w:t>,</w:t>
            </w:r>
            <w:r>
              <w:rPr>
                <w:rStyle w:val="checkbox"/>
                <w:rFonts w:ascii="Arial" w:hAnsi="Arial" w:cs="Arial"/>
              </w:rPr>
              <w:t>000 mg/kg) resulted in hepatotoxicity</w:t>
            </w:r>
          </w:p>
          <w:p w14:paraId="1E24D731" w14:textId="67BDCAF6" w:rsidR="00A57CB2" w:rsidRDefault="00A57CB2" w:rsidP="005C7BEF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Several </w:t>
            </w:r>
            <w:r w:rsidR="00CB57D2">
              <w:rPr>
                <w:rStyle w:val="checkbox"/>
                <w:rFonts w:ascii="Arial" w:hAnsi="Arial" w:cs="Arial"/>
                <w:i/>
              </w:rPr>
              <w:t xml:space="preserve">in </w:t>
            </w:r>
            <w:r>
              <w:rPr>
                <w:rStyle w:val="checkbox"/>
                <w:rFonts w:ascii="Arial" w:hAnsi="Arial" w:cs="Arial"/>
                <w:i/>
              </w:rPr>
              <w:t xml:space="preserve">vitro </w:t>
            </w:r>
            <w:r>
              <w:rPr>
                <w:rStyle w:val="checkbox"/>
                <w:rFonts w:ascii="Arial" w:hAnsi="Arial" w:cs="Arial"/>
              </w:rPr>
              <w:t xml:space="preserve">and </w:t>
            </w:r>
            <w:r>
              <w:rPr>
                <w:rStyle w:val="checkbox"/>
                <w:rFonts w:ascii="Arial" w:hAnsi="Arial" w:cs="Arial"/>
                <w:i/>
              </w:rPr>
              <w:t xml:space="preserve">in vivo </w:t>
            </w:r>
            <w:r>
              <w:rPr>
                <w:rStyle w:val="checkbox"/>
                <w:rFonts w:ascii="Arial" w:hAnsi="Arial" w:cs="Arial"/>
              </w:rPr>
              <w:t xml:space="preserve">studies reported positive </w:t>
            </w:r>
            <w:proofErr w:type="spellStart"/>
            <w:r>
              <w:rPr>
                <w:rStyle w:val="checkbox"/>
                <w:rFonts w:ascii="Arial" w:hAnsi="Arial" w:cs="Arial"/>
              </w:rPr>
              <w:t>genotoxicity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results, indicating that disulfiram has a genotoxic response </w:t>
            </w:r>
          </w:p>
          <w:p w14:paraId="68F4325A" w14:textId="7C4367FC" w:rsidR="003E6B85" w:rsidRPr="00A57CB2" w:rsidRDefault="003E6B85" w:rsidP="005C7BEF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Animal studies did not show evidence of carcinogenicity, or reproductive/developmental toxicity</w:t>
            </w:r>
            <w:r w:rsidR="005858E3">
              <w:rPr>
                <w:rStyle w:val="checkbox"/>
                <w:rFonts w:ascii="Arial" w:hAnsi="Arial" w:cs="Arial"/>
              </w:rPr>
              <w:t>.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</w:p>
        </w:tc>
      </w:tr>
    </w:tbl>
    <w:bookmarkEnd w:id="1"/>
    <w:p w14:paraId="34C5967F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02B94944" w14:textId="77777777" w:rsidTr="000F7B9C">
        <w:trPr>
          <w:trHeight w:val="454"/>
          <w:tblHeader/>
        </w:trPr>
        <w:tc>
          <w:tcPr>
            <w:tcW w:w="6597" w:type="dxa"/>
            <w:vAlign w:val="center"/>
          </w:tcPr>
          <w:p w14:paraId="1B2B68D2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6B60FC3B" w14:textId="4B186CCE" w:rsidR="002E0D61" w:rsidRDefault="00CB57D2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6254BF4D" w14:textId="77777777" w:rsidTr="000F7B9C">
        <w:trPr>
          <w:trHeight w:val="454"/>
        </w:trPr>
        <w:tc>
          <w:tcPr>
            <w:tcW w:w="6597" w:type="dxa"/>
            <w:vAlign w:val="center"/>
          </w:tcPr>
          <w:p w14:paraId="193C637D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3CC16537" w14:textId="5C605658" w:rsidR="008A36CF" w:rsidRDefault="003870A6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38F36DF3" w14:textId="77777777" w:rsidTr="000F7B9C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683BE262" w14:textId="59A97D1E" w:rsidR="008A36CF" w:rsidRPr="006901A2" w:rsidRDefault="00C855B5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5C68BBA4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35B4CC16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C3F213F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40629DA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B808370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A101148" w14:textId="77777777" w:rsidTr="00812887">
        <w:trPr>
          <w:cantSplit/>
        </w:trPr>
        <w:tc>
          <w:tcPr>
            <w:tcW w:w="3227" w:type="dxa"/>
          </w:tcPr>
          <w:p w14:paraId="1CEB6B9E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E8C5E73" w14:textId="2228A54C" w:rsidR="00687890" w:rsidRPr="00DD2F9B" w:rsidRDefault="00556E39" w:rsidP="00DD2F9B">
            <w:pPr>
              <w:pStyle w:val="Tablefont"/>
            </w:pPr>
            <w:r w:rsidRPr="00556E39">
              <w:t>Sen</w:t>
            </w:r>
          </w:p>
        </w:tc>
      </w:tr>
      <w:tr w:rsidR="007925F0" w:rsidRPr="004C23F4" w14:paraId="6ADED31F" w14:textId="77777777" w:rsidTr="00812887">
        <w:trPr>
          <w:cantSplit/>
        </w:trPr>
        <w:tc>
          <w:tcPr>
            <w:tcW w:w="3227" w:type="dxa"/>
          </w:tcPr>
          <w:p w14:paraId="1573D724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8114DB5" w14:textId="277E923A" w:rsidR="007925F0" w:rsidRPr="00DD2F9B" w:rsidRDefault="00556E39" w:rsidP="00DD2F9B">
            <w:pPr>
              <w:pStyle w:val="Tablefont"/>
            </w:pPr>
            <w:r w:rsidRPr="00556E39">
              <w:t>Skin sensitisation – category 1</w:t>
            </w:r>
          </w:p>
        </w:tc>
      </w:tr>
      <w:tr w:rsidR="00AF483F" w:rsidRPr="004C23F4" w14:paraId="4428E326" w14:textId="77777777" w:rsidTr="00812887">
        <w:trPr>
          <w:cantSplit/>
        </w:trPr>
        <w:tc>
          <w:tcPr>
            <w:tcW w:w="3227" w:type="dxa"/>
          </w:tcPr>
          <w:p w14:paraId="01563936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3DD8449" w14:textId="6F05772C" w:rsidR="00AF483F" w:rsidRPr="00DD2F9B" w:rsidRDefault="00556E39" w:rsidP="00DD2F9B">
            <w:pPr>
              <w:pStyle w:val="Tablefont"/>
            </w:pPr>
            <w:r w:rsidRPr="00556E39">
              <w:t>Skin sensitisation</w:t>
            </w:r>
          </w:p>
        </w:tc>
      </w:tr>
      <w:tr w:rsidR="00687890" w:rsidRPr="004C23F4" w14:paraId="70F7F04D" w14:textId="77777777" w:rsidTr="00812887">
        <w:trPr>
          <w:cantSplit/>
        </w:trPr>
        <w:tc>
          <w:tcPr>
            <w:tcW w:w="3227" w:type="dxa"/>
          </w:tcPr>
          <w:p w14:paraId="6F9F0D0E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3C4D3A3" w14:textId="594DD917" w:rsidR="00687890" w:rsidRPr="00DD2F9B" w:rsidRDefault="00556E39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7D7B3807" w14:textId="77777777" w:rsidTr="00812887">
        <w:trPr>
          <w:cantSplit/>
        </w:trPr>
        <w:tc>
          <w:tcPr>
            <w:tcW w:w="3227" w:type="dxa"/>
          </w:tcPr>
          <w:p w14:paraId="72CA9CE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1F13496" w14:textId="52B67ECB" w:rsidR="00E41A26" w:rsidRPr="00DD2F9B" w:rsidRDefault="00556E39" w:rsidP="00DD2F9B">
            <w:pPr>
              <w:pStyle w:val="Tablefont"/>
            </w:pPr>
            <w:r w:rsidRPr="00556E39">
              <w:t>Skin Sens. 1</w:t>
            </w:r>
          </w:p>
        </w:tc>
      </w:tr>
      <w:tr w:rsidR="002E0D61" w:rsidRPr="004C23F4" w14:paraId="6A7B3C43" w14:textId="77777777" w:rsidTr="00812887">
        <w:trPr>
          <w:cantSplit/>
        </w:trPr>
        <w:tc>
          <w:tcPr>
            <w:tcW w:w="3227" w:type="dxa"/>
          </w:tcPr>
          <w:p w14:paraId="7B21671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B7BE133" w14:textId="6FED7329" w:rsidR="002E0D61" w:rsidRPr="00DD2F9B" w:rsidRDefault="00556E39" w:rsidP="00DD2F9B">
            <w:pPr>
              <w:pStyle w:val="Tablefont"/>
            </w:pPr>
            <w:r w:rsidRPr="00556E39">
              <w:t>Carcinogenicity – A4</w:t>
            </w:r>
          </w:p>
        </w:tc>
      </w:tr>
      <w:tr w:rsidR="002E0D61" w:rsidRPr="004C23F4" w14:paraId="2F0496DF" w14:textId="77777777" w:rsidTr="00812887">
        <w:trPr>
          <w:cantSplit/>
        </w:trPr>
        <w:tc>
          <w:tcPr>
            <w:tcW w:w="3227" w:type="dxa"/>
          </w:tcPr>
          <w:p w14:paraId="14C3D54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7D9865E" w14:textId="4EA99DCD" w:rsidR="002E0D61" w:rsidRPr="00DD2F9B" w:rsidRDefault="00556E39" w:rsidP="00DD2F9B">
            <w:pPr>
              <w:pStyle w:val="Tablefont"/>
            </w:pPr>
            <w:proofErr w:type="spellStart"/>
            <w:r w:rsidRPr="00556E39">
              <w:t>Sh</w:t>
            </w:r>
            <w:proofErr w:type="spellEnd"/>
            <w:r w:rsidRPr="00556E39">
              <w:t xml:space="preserve"> (dermal sensitiser)</w:t>
            </w:r>
          </w:p>
        </w:tc>
      </w:tr>
      <w:tr w:rsidR="002E0D61" w:rsidRPr="004C23F4" w14:paraId="36E73648" w14:textId="77777777" w:rsidTr="00812887">
        <w:trPr>
          <w:cantSplit/>
        </w:trPr>
        <w:tc>
          <w:tcPr>
            <w:tcW w:w="3227" w:type="dxa"/>
          </w:tcPr>
          <w:p w14:paraId="5E1CB0DE" w14:textId="77777777" w:rsidR="004079B4" w:rsidRPr="004C23F4" w:rsidRDefault="002E0D61" w:rsidP="00F4402E">
            <w:pPr>
              <w:pStyle w:val="Tablefont"/>
            </w:pPr>
            <w:r>
              <w:lastRenderedPageBreak/>
              <w:t>SCOEL</w:t>
            </w:r>
          </w:p>
        </w:tc>
        <w:tc>
          <w:tcPr>
            <w:tcW w:w="6015" w:type="dxa"/>
          </w:tcPr>
          <w:p w14:paraId="0DBA15E9" w14:textId="319A61F8" w:rsidR="002E0D61" w:rsidRPr="00DD2F9B" w:rsidRDefault="00556E3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761B748" w14:textId="77777777" w:rsidTr="00812887">
        <w:trPr>
          <w:cantSplit/>
        </w:trPr>
        <w:tc>
          <w:tcPr>
            <w:tcW w:w="3227" w:type="dxa"/>
          </w:tcPr>
          <w:p w14:paraId="5F1A2931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9AB301E" w14:textId="736BFAD1" w:rsidR="002E0D61" w:rsidRPr="00DD2F9B" w:rsidRDefault="00556E3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F3BD00C" w14:textId="77777777" w:rsidTr="00812887">
        <w:trPr>
          <w:cantSplit/>
        </w:trPr>
        <w:tc>
          <w:tcPr>
            <w:tcW w:w="3227" w:type="dxa"/>
          </w:tcPr>
          <w:p w14:paraId="4AC10A77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ABB51BE" w14:textId="44F75570" w:rsidR="00386093" w:rsidRPr="00DD2F9B" w:rsidRDefault="00556E39" w:rsidP="00DD2F9B">
            <w:pPr>
              <w:pStyle w:val="Tablefont"/>
            </w:pPr>
            <w:r w:rsidRPr="00556E39">
              <w:t>Carcinogenicity – Group 3</w:t>
            </w:r>
          </w:p>
        </w:tc>
      </w:tr>
      <w:tr w:rsidR="00386093" w:rsidRPr="004C23F4" w14:paraId="37C74EB7" w14:textId="77777777" w:rsidTr="00812887">
        <w:trPr>
          <w:cantSplit/>
        </w:trPr>
        <w:tc>
          <w:tcPr>
            <w:tcW w:w="3227" w:type="dxa"/>
          </w:tcPr>
          <w:p w14:paraId="24A9370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AB0B2C8" w14:textId="47623D11" w:rsidR="00386093" w:rsidRPr="00DD2F9B" w:rsidRDefault="00556E39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742394D3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4115466" w14:textId="6A59EA76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2CBC4A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7DF7656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988226C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02" w:type="dxa"/>
              <w:tblLook w:val="04A0" w:firstRow="1" w:lastRow="0" w:firstColumn="1" w:lastColumn="0" w:noHBand="0" w:noVBand="1"/>
            </w:tblPr>
            <w:tblGrid>
              <w:gridCol w:w="3314"/>
              <w:gridCol w:w="976"/>
              <w:gridCol w:w="732"/>
              <w:gridCol w:w="1424"/>
              <w:gridCol w:w="2356"/>
            </w:tblGrid>
            <w:tr w:rsidR="00D124AF" w:rsidRPr="00FF1434" w14:paraId="26250A97" w14:textId="77777777" w:rsidTr="00531E21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7CDE85" w14:textId="77777777" w:rsidR="00D124AF" w:rsidRPr="00FF1434" w:rsidRDefault="00D124AF" w:rsidP="00D124A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14:paraId="15714F23" w14:textId="6BC3570A" w:rsidR="00D124AF" w:rsidRPr="00E1241A" w:rsidRDefault="00D124AF" w:rsidP="00D124A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F5BBBF" w14:textId="77777777" w:rsidR="00D124AF" w:rsidRPr="00FF1434" w:rsidRDefault="00D124AF" w:rsidP="00D124A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30538D" w14:textId="77777777" w:rsidR="00D124AF" w:rsidRPr="00FF1434" w:rsidRDefault="00D124AF" w:rsidP="00D124A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01EE70" w14:textId="77777777" w:rsidR="00D124AF" w:rsidRPr="00FF1434" w:rsidRDefault="00D124AF" w:rsidP="00D124A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24AF" w:rsidRPr="00FF1434" w14:paraId="60023ACB" w14:textId="77777777" w:rsidTr="00531E21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141CC4" w14:textId="77777777" w:rsidR="00D124AF" w:rsidRPr="00FF1434" w:rsidRDefault="00D124AF" w:rsidP="00D124A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14:paraId="7CA08A34" w14:textId="77777777" w:rsidR="00D124AF" w:rsidRPr="00E1241A" w:rsidRDefault="00D124AF" w:rsidP="00D124A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E2E899" w14:textId="77777777" w:rsidR="00D124AF" w:rsidRPr="00FF1434" w:rsidRDefault="00D124AF" w:rsidP="00D124A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020B39" w14:textId="77777777" w:rsidR="00D124AF" w:rsidRPr="00FF1434" w:rsidRDefault="00D124AF" w:rsidP="00D124A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757B26" w14:textId="77777777" w:rsidR="00D124AF" w:rsidRPr="00FF1434" w:rsidRDefault="00D124AF" w:rsidP="00D124A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24AF" w:rsidRPr="00FF1434" w14:paraId="459352AB" w14:textId="77777777" w:rsidTr="00531E21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965D5B" w14:textId="77777777" w:rsidR="00D124AF" w:rsidRPr="00FF1434" w:rsidRDefault="00D124AF" w:rsidP="00D124A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14:paraId="33883D35" w14:textId="53D70D80" w:rsidR="00D124AF" w:rsidRPr="00E1241A" w:rsidRDefault="00D124AF" w:rsidP="00D124A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No data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A0E93B" w14:textId="77777777" w:rsidR="00D124AF" w:rsidRPr="00FF1434" w:rsidRDefault="00D124AF" w:rsidP="00D124A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204125" w14:textId="77777777" w:rsidR="00D124AF" w:rsidRPr="00FF1434" w:rsidRDefault="00D124AF" w:rsidP="00D124A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6FF193" w14:textId="77777777" w:rsidR="00D124AF" w:rsidRPr="00FF1434" w:rsidRDefault="00D124AF" w:rsidP="00D124A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24AF" w:rsidRPr="00FF1434" w14:paraId="012CF39D" w14:textId="77777777" w:rsidTr="00531E21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D741CA" w14:textId="77777777" w:rsidR="00D124AF" w:rsidRPr="00FF1434" w:rsidRDefault="00D124AF" w:rsidP="00D124A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14:paraId="4003A9CA" w14:textId="0E96AA96" w:rsidR="00D124AF" w:rsidRPr="00E1241A" w:rsidRDefault="00D124AF" w:rsidP="00D124A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No data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958831" w14:textId="77777777" w:rsidR="00D124AF" w:rsidRPr="00FF1434" w:rsidRDefault="00D124AF" w:rsidP="00D124A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96A986" w14:textId="77777777" w:rsidR="00D124AF" w:rsidRPr="00FF1434" w:rsidRDefault="00D124AF" w:rsidP="00D124A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F25ED6" w14:textId="77777777" w:rsidR="00D124AF" w:rsidRPr="00FF1434" w:rsidRDefault="00D124AF" w:rsidP="00D124A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24AF" w:rsidRPr="00FF1434" w14:paraId="789E7431" w14:textId="77777777" w:rsidTr="00531E21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8A8688" w14:textId="77777777" w:rsidR="00D124AF" w:rsidRPr="00FF1434" w:rsidRDefault="00D124AF" w:rsidP="00D124A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14:paraId="4157E799" w14:textId="56942967" w:rsidR="00D124AF" w:rsidRPr="00E1241A" w:rsidRDefault="00D124AF" w:rsidP="00D124A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No data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5CB5E7" w14:textId="77777777" w:rsidR="00D124AF" w:rsidRPr="00FF1434" w:rsidRDefault="00D124AF" w:rsidP="00D124A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BB54DB" w14:textId="77777777" w:rsidR="00D124AF" w:rsidRPr="00FF1434" w:rsidRDefault="00D124AF" w:rsidP="00D124A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B32BA6" w14:textId="77777777" w:rsidR="00D124AF" w:rsidRPr="00FF1434" w:rsidRDefault="00D124AF" w:rsidP="00D124A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24AF" w:rsidRPr="00FF1434" w14:paraId="0220EC32" w14:textId="77777777" w:rsidTr="00531E21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DC636D" w14:textId="77777777" w:rsidR="00D124AF" w:rsidRPr="00FF1434" w:rsidRDefault="00D124AF" w:rsidP="00D124A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</w:tcPr>
                <w:p w14:paraId="2EDF2E88" w14:textId="77777777" w:rsidR="00D124AF" w:rsidRPr="00E1241A" w:rsidRDefault="00D124AF" w:rsidP="00D124A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No data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08DA78" w14:textId="77777777" w:rsidR="00D124AF" w:rsidRPr="00FF1434" w:rsidRDefault="00D124AF" w:rsidP="00D124A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B1F6E0" w14:textId="77777777" w:rsidR="00D124AF" w:rsidRPr="00FF1434" w:rsidRDefault="00D124AF" w:rsidP="00D124A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58BB93" w14:textId="77777777" w:rsidR="00D124AF" w:rsidRPr="00FF1434" w:rsidRDefault="00D124AF" w:rsidP="00D124A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124AF" w:rsidRPr="00FF1434" w14:paraId="723EBEF0" w14:textId="77777777" w:rsidTr="00531E21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11DBF5" w14:textId="77777777" w:rsidR="00D124AF" w:rsidRPr="00FF1434" w:rsidRDefault="00D124AF" w:rsidP="00D124A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301CC5" w14:textId="77777777" w:rsidR="00D124AF" w:rsidRPr="00FF1434" w:rsidRDefault="00D124AF" w:rsidP="00D124A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CCAF72" w14:textId="77777777" w:rsidR="00D124AF" w:rsidRPr="00FF1434" w:rsidRDefault="00D124AF" w:rsidP="00D124A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738840" w14:textId="510A2F28" w:rsidR="00D124AF" w:rsidRPr="00FF1434" w:rsidRDefault="00D124AF" w:rsidP="00D124AF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 xml:space="preserve">A skin </w:t>
                  </w:r>
                  <w:r w:rsidRPr="00C7376D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notation is not warranted</w:t>
                  </w:r>
                </w:p>
              </w:tc>
            </w:tr>
          </w:tbl>
          <w:p w14:paraId="6E449EA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569D5F7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6B00F950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E64A7C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685830B" w14:textId="10BF084E" w:rsidR="00EB3D1B" w:rsidRDefault="00556E39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1F69545F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0E9C960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6D67FF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DF86DE5" w14:textId="77E9F707" w:rsidR="001B79E5" w:rsidRDefault="00556E39" w:rsidP="001B79E5">
                <w:pPr>
                  <w:pStyle w:val="Tablefont"/>
                </w:pPr>
                <w:r w:rsidRPr="00556E39">
                  <w:t>296.54</w:t>
                </w:r>
              </w:p>
            </w:tc>
          </w:sdtContent>
        </w:sdt>
      </w:tr>
      <w:tr w:rsidR="00A31D99" w:rsidRPr="004C23F4" w14:paraId="21F2F34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83447F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78BA6649" w14:textId="155E0E9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D124AF">
                  <w:t>12.13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D124AF">
                  <w:t>0.08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958A1F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06B04D2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4A4979A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E3DF4C6" w14:textId="77777777" w:rsidTr="00EA6243">
        <w:trPr>
          <w:cantSplit/>
        </w:trPr>
        <w:tc>
          <w:tcPr>
            <w:tcW w:w="4077" w:type="dxa"/>
            <w:vAlign w:val="center"/>
          </w:tcPr>
          <w:p w14:paraId="384AA72F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2FC907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F12D651" w14:textId="77777777" w:rsidTr="00EA6243">
        <w:trPr>
          <w:cantSplit/>
        </w:trPr>
        <w:tc>
          <w:tcPr>
            <w:tcW w:w="4077" w:type="dxa"/>
            <w:vAlign w:val="center"/>
          </w:tcPr>
          <w:p w14:paraId="39E432D6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27F0C98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8F16470" w14:textId="77777777" w:rsidTr="00EA6243">
        <w:trPr>
          <w:cantSplit/>
        </w:trPr>
        <w:tc>
          <w:tcPr>
            <w:tcW w:w="4077" w:type="dxa"/>
            <w:vAlign w:val="center"/>
          </w:tcPr>
          <w:p w14:paraId="70B4DCFB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58E8E2E" w14:textId="77777777" w:rsidR="00E06F40" w:rsidRPr="00A006A0" w:rsidRDefault="005B314A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FA6DB7A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3B16B0A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F3EB967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45B7557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34ED3AC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8642FB5" w14:textId="6DA96C4B" w:rsidR="007F1005" w:rsidRPr="004C23F4" w:rsidRDefault="00477935" w:rsidP="00EB3D1B">
                <w:pPr>
                  <w:pStyle w:val="Tablefont"/>
                  <w:keepLines/>
                </w:pPr>
                <w:r>
                  <w:t>1991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686FAC2" w14:textId="3E566918" w:rsidR="007F1005" w:rsidRPr="00477935" w:rsidRDefault="00477935" w:rsidP="00EB3D1B">
            <w:pPr>
              <w:pStyle w:val="Tablefont"/>
              <w:keepLines/>
            </w:pPr>
            <w:r>
              <w:t>TWA: 2 mg/m</w:t>
            </w:r>
            <w:r>
              <w:rPr>
                <w:vertAlign w:val="superscript"/>
              </w:rPr>
              <w:t>3</w:t>
            </w:r>
          </w:p>
        </w:tc>
      </w:tr>
    </w:tbl>
    <w:bookmarkEnd w:id="5"/>
    <w:p w14:paraId="721B363D" w14:textId="77777777" w:rsidR="00F87D92" w:rsidRDefault="00F87D92" w:rsidP="00EF7F78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14:paraId="18FCAA50" w14:textId="6055767D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</w:t>
      </w:r>
      <w:r w:rsidR="00477935">
        <w:t xml:space="preserve">. </w:t>
      </w:r>
      <w:r>
        <w:t>(201</w:t>
      </w:r>
      <w:r w:rsidR="00F67BBB">
        <w:t>8</w:t>
      </w:r>
      <w:r>
        <w:t>)</w:t>
      </w:r>
      <w:r w:rsidR="00477935">
        <w:t>.</w:t>
      </w:r>
      <w:r>
        <w:t xml:space="preserve">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9C55CA8" w14:textId="3D0F3CDF" w:rsidR="00ED4850" w:rsidRDefault="00ED4850" w:rsidP="00084859">
      <w:r>
        <w:t xml:space="preserve">Deutsche </w:t>
      </w:r>
      <w:proofErr w:type="spellStart"/>
      <w:r>
        <w:t>Forschungsgemeinschaft</w:t>
      </w:r>
      <w:proofErr w:type="spellEnd"/>
      <w:r>
        <w:t xml:space="preserve"> (DFG). (2007). </w:t>
      </w:r>
      <w:r w:rsidRPr="00D90F17">
        <w:t>Disulfiram</w:t>
      </w:r>
      <w:r>
        <w:t xml:space="preserve"> – MAK value documentation.</w:t>
      </w:r>
    </w:p>
    <w:p w14:paraId="110C4B95" w14:textId="2BC209E4" w:rsidR="00CB57D2" w:rsidRDefault="00CB57D2" w:rsidP="00084859">
      <w:r>
        <w:t xml:space="preserve">Deutsche </w:t>
      </w:r>
      <w:proofErr w:type="spellStart"/>
      <w:r>
        <w:t>Forschungsgemeinschaft</w:t>
      </w:r>
      <w:proofErr w:type="spellEnd"/>
      <w:r>
        <w:t xml:space="preserve"> (DFG). (2002). </w:t>
      </w:r>
      <w:r w:rsidRPr="00D90F17">
        <w:t>Disulfiram</w:t>
      </w:r>
      <w:r>
        <w:t xml:space="preserve"> – MAK value documentation</w:t>
      </w:r>
      <w:r w:rsidR="00996D12">
        <w:t>.</w:t>
      </w:r>
      <w:r>
        <w:t xml:space="preserve"> </w:t>
      </w:r>
    </w:p>
    <w:p w14:paraId="6D01A9F3" w14:textId="29513745" w:rsidR="00CB57D2" w:rsidRDefault="00CB57D2" w:rsidP="00084859">
      <w:r>
        <w:t xml:space="preserve">Deutsche </w:t>
      </w:r>
      <w:proofErr w:type="spellStart"/>
      <w:r>
        <w:t>Forschungsgemeinschaft</w:t>
      </w:r>
      <w:proofErr w:type="spellEnd"/>
      <w:r>
        <w:t xml:space="preserve"> (DFG). (1997). </w:t>
      </w:r>
      <w:r w:rsidRPr="00D90F17">
        <w:t>Disulfiram</w:t>
      </w:r>
      <w:r>
        <w:t xml:space="preserve"> – MAK value documentation</w:t>
      </w:r>
      <w:r w:rsidR="00996D12">
        <w:t>.</w:t>
      </w:r>
      <w:r>
        <w:t xml:space="preserve"> </w:t>
      </w:r>
    </w:p>
    <w:p w14:paraId="6C95A4FC" w14:textId="641038B9" w:rsidR="008D2C8E" w:rsidRDefault="008D2C8E" w:rsidP="00084859">
      <w:r>
        <w:t>European Chemicals Agency (ECHA)</w:t>
      </w:r>
      <w:r w:rsidR="00477935">
        <w:t>.</w:t>
      </w:r>
      <w:r w:rsidR="00996D12">
        <w:t xml:space="preserve"> </w:t>
      </w:r>
      <w:r>
        <w:t>(</w:t>
      </w:r>
      <w:r w:rsidR="00D90F17">
        <w:t>2019</w:t>
      </w:r>
      <w:r>
        <w:t>)</w:t>
      </w:r>
      <w:r w:rsidR="00477935">
        <w:t>.</w:t>
      </w:r>
      <w:r>
        <w:t xml:space="preserve"> </w:t>
      </w:r>
      <w:r w:rsidR="00D90F17" w:rsidRPr="00D90F17">
        <w:t>Disulfiram</w:t>
      </w:r>
      <w:r>
        <w:t xml:space="preserve"> – REACH assessment.</w:t>
      </w:r>
    </w:p>
    <w:p w14:paraId="4528C5DD" w14:textId="3C159AB9" w:rsidR="008D2C8E" w:rsidRDefault="008D2C8E" w:rsidP="00084859">
      <w:r>
        <w:t>International Agency for Research on Cancer (IARC) (</w:t>
      </w:r>
      <w:r w:rsidR="00D90F17" w:rsidRPr="00D90F17">
        <w:t>1987</w:t>
      </w:r>
      <w:r>
        <w:t xml:space="preserve">) </w:t>
      </w:r>
      <w:r w:rsidR="00D90F17" w:rsidRPr="00D90F17">
        <w:t>Disulfiram</w:t>
      </w:r>
      <w:r>
        <w:t>. IARC Monographs on the evaluation of the carcinogenic risk to humans.</w:t>
      </w:r>
    </w:p>
    <w:p w14:paraId="23DD8CFE" w14:textId="34CF83EC" w:rsidR="00ED4850" w:rsidRDefault="00ED4850" w:rsidP="00084859">
      <w:r>
        <w:t xml:space="preserve">National Industrial Chemicals Notification and Assessment Scheme (NICNAS). (2016). </w:t>
      </w:r>
      <w:proofErr w:type="spellStart"/>
      <w:r w:rsidRPr="00D90F17">
        <w:t>Thioperoxydicarbonic</w:t>
      </w:r>
      <w:proofErr w:type="spellEnd"/>
      <w:r w:rsidRPr="00D90F17">
        <w:t xml:space="preserve"> </w:t>
      </w:r>
      <w:proofErr w:type="spellStart"/>
      <w:r w:rsidRPr="00D90F17">
        <w:t>diamide</w:t>
      </w:r>
      <w:proofErr w:type="spellEnd"/>
      <w:r w:rsidRPr="00D90F17">
        <w:t xml:space="preserve"> ([(H2N</w:t>
      </w:r>
      <w:proofErr w:type="gramStart"/>
      <w:r w:rsidRPr="00D90F17">
        <w:t>)C</w:t>
      </w:r>
      <w:proofErr w:type="gramEnd"/>
      <w:r w:rsidRPr="00D90F17">
        <w:t>(S)]2S2), tetraethyl-</w:t>
      </w:r>
      <w:r>
        <w:t>: Human health tier II assessment – IMAP report.</w:t>
      </w:r>
    </w:p>
    <w:p w14:paraId="3BDA8168" w14:textId="77777777" w:rsidR="00ED4850" w:rsidRPr="00351FE0" w:rsidRDefault="00ED4850" w:rsidP="00084859"/>
    <w:sectPr w:rsidR="00ED4850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CEDA8D" w16cid:durableId="216D6D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7EE2B" w14:textId="77777777" w:rsidR="001B0920" w:rsidRDefault="001B0920" w:rsidP="00F43AD5">
      <w:pPr>
        <w:spacing w:after="0" w:line="240" w:lineRule="auto"/>
      </w:pPr>
      <w:r>
        <w:separator/>
      </w:r>
    </w:p>
  </w:endnote>
  <w:endnote w:type="continuationSeparator" w:id="0">
    <w:p w14:paraId="53452223" w14:textId="77777777" w:rsidR="001B0920" w:rsidRDefault="001B0920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91D2E" w14:textId="77777777" w:rsidR="005B314A" w:rsidRDefault="005B3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41BAF9E" w14:textId="0018B268" w:rsidR="00531E21" w:rsidRDefault="00531E21" w:rsidP="0034744C">
        <w:pPr>
          <w:pStyle w:val="Footer"/>
          <w:rPr>
            <w:sz w:val="18"/>
            <w:szCs w:val="18"/>
          </w:rPr>
        </w:pPr>
        <w:r w:rsidRPr="00935D4A">
          <w:rPr>
            <w:b/>
            <w:sz w:val="18"/>
            <w:szCs w:val="18"/>
          </w:rPr>
          <w:t>Disulfiram</w:t>
        </w:r>
        <w:r>
          <w:rPr>
            <w:b/>
            <w:sz w:val="18"/>
            <w:szCs w:val="18"/>
          </w:rPr>
          <w:t xml:space="preserve"> (</w:t>
        </w:r>
        <w:r w:rsidRPr="00935D4A">
          <w:rPr>
            <w:b/>
            <w:sz w:val="18"/>
            <w:szCs w:val="18"/>
          </w:rPr>
          <w:t>97-77-8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  <w:bookmarkStart w:id="0" w:name="_GoBack"/>
        <w:bookmarkEnd w:id="0"/>
      </w:p>
      <w:p w14:paraId="152D30DE" w14:textId="7CBA9B0B" w:rsidR="00531E21" w:rsidRPr="00F43AD5" w:rsidRDefault="00531E21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B314A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53894" w14:textId="77777777" w:rsidR="005B314A" w:rsidRDefault="005B3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B2D15" w14:textId="77777777" w:rsidR="001B0920" w:rsidRDefault="001B0920" w:rsidP="00F43AD5">
      <w:pPr>
        <w:spacing w:after="0" w:line="240" w:lineRule="auto"/>
      </w:pPr>
      <w:r>
        <w:separator/>
      </w:r>
    </w:p>
  </w:footnote>
  <w:footnote w:type="continuationSeparator" w:id="0">
    <w:p w14:paraId="7AE77465" w14:textId="77777777" w:rsidR="001B0920" w:rsidRDefault="001B0920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DB29" w14:textId="77777777" w:rsidR="005B314A" w:rsidRDefault="005B3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A1BE1" w14:textId="1B6B84CC" w:rsidR="00531E21" w:rsidRPr="005B314A" w:rsidRDefault="005B314A" w:rsidP="005B314A">
    <w:pPr>
      <w:pStyle w:val="Header"/>
      <w:jc w:val="right"/>
    </w:pPr>
    <w:r>
      <w:pict w14:anchorId="7B8E09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6145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5214B79" wp14:editId="29593BC6">
          <wp:extent cx="2952750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3F2B8" w14:textId="77777777" w:rsidR="005B314A" w:rsidRDefault="005B31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9BC0" w14:textId="77777777" w:rsidR="005B314A" w:rsidRPr="00AB4C6A" w:rsidRDefault="005B314A" w:rsidP="005B314A">
    <w:pPr>
      <w:pStyle w:val="Header"/>
      <w:jc w:val="right"/>
    </w:pPr>
    <w:r>
      <w:pict w14:anchorId="27064E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6EEEE98" wp14:editId="6743E886">
          <wp:extent cx="2952750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5C9BC" w14:textId="77777777" w:rsidR="00531E21" w:rsidRDefault="00531E21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6DA24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70325"/>
    <w:multiLevelType w:val="hybridMultilevel"/>
    <w:tmpl w:val="BF9416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49C6"/>
    <w:multiLevelType w:val="hybridMultilevel"/>
    <w:tmpl w:val="D5E6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D1881"/>
    <w:multiLevelType w:val="hybridMultilevel"/>
    <w:tmpl w:val="96A6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D183F"/>
    <w:multiLevelType w:val="hybridMultilevel"/>
    <w:tmpl w:val="CC9E5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A506F"/>
    <w:multiLevelType w:val="hybridMultilevel"/>
    <w:tmpl w:val="EF40F70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836"/>
    <w:rsid w:val="00007B80"/>
    <w:rsid w:val="00013A22"/>
    <w:rsid w:val="00014C3F"/>
    <w:rsid w:val="00017C82"/>
    <w:rsid w:val="00032B88"/>
    <w:rsid w:val="00043595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16F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1D98"/>
    <w:rsid w:val="000C2053"/>
    <w:rsid w:val="000C248C"/>
    <w:rsid w:val="000D291C"/>
    <w:rsid w:val="000E5A54"/>
    <w:rsid w:val="000E63D3"/>
    <w:rsid w:val="000E67CF"/>
    <w:rsid w:val="000F7B9C"/>
    <w:rsid w:val="00100D1C"/>
    <w:rsid w:val="0010461E"/>
    <w:rsid w:val="00106FAA"/>
    <w:rsid w:val="00113443"/>
    <w:rsid w:val="0012309F"/>
    <w:rsid w:val="001269A7"/>
    <w:rsid w:val="00131092"/>
    <w:rsid w:val="00132EC6"/>
    <w:rsid w:val="00140E6A"/>
    <w:rsid w:val="00146545"/>
    <w:rsid w:val="00146B75"/>
    <w:rsid w:val="0015266D"/>
    <w:rsid w:val="0015288A"/>
    <w:rsid w:val="001571AF"/>
    <w:rsid w:val="00160F47"/>
    <w:rsid w:val="00161FF2"/>
    <w:rsid w:val="00177CA1"/>
    <w:rsid w:val="00183823"/>
    <w:rsid w:val="00183942"/>
    <w:rsid w:val="001A009E"/>
    <w:rsid w:val="001A1287"/>
    <w:rsid w:val="001A22BB"/>
    <w:rsid w:val="001A3859"/>
    <w:rsid w:val="001A3C9D"/>
    <w:rsid w:val="001A43F8"/>
    <w:rsid w:val="001B0920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1F7AF4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403B"/>
    <w:rsid w:val="00244AD1"/>
    <w:rsid w:val="002463BC"/>
    <w:rsid w:val="002465CE"/>
    <w:rsid w:val="00256312"/>
    <w:rsid w:val="0025734A"/>
    <w:rsid w:val="00263255"/>
    <w:rsid w:val="00273884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2F69E0"/>
    <w:rsid w:val="0030740C"/>
    <w:rsid w:val="00315833"/>
    <w:rsid w:val="00320C49"/>
    <w:rsid w:val="003215EE"/>
    <w:rsid w:val="003224BF"/>
    <w:rsid w:val="003241A8"/>
    <w:rsid w:val="003253F0"/>
    <w:rsid w:val="003337DA"/>
    <w:rsid w:val="00334EFB"/>
    <w:rsid w:val="00335CDE"/>
    <w:rsid w:val="003365A5"/>
    <w:rsid w:val="00342E5B"/>
    <w:rsid w:val="00344C44"/>
    <w:rsid w:val="00347192"/>
    <w:rsid w:val="0034744C"/>
    <w:rsid w:val="00351FE0"/>
    <w:rsid w:val="00352615"/>
    <w:rsid w:val="0035412B"/>
    <w:rsid w:val="003567A8"/>
    <w:rsid w:val="003622A0"/>
    <w:rsid w:val="00362895"/>
    <w:rsid w:val="00366F99"/>
    <w:rsid w:val="00370DBF"/>
    <w:rsid w:val="00386093"/>
    <w:rsid w:val="003870A6"/>
    <w:rsid w:val="003904A4"/>
    <w:rsid w:val="00391841"/>
    <w:rsid w:val="00391B6D"/>
    <w:rsid w:val="00394922"/>
    <w:rsid w:val="003A0E32"/>
    <w:rsid w:val="003A2B94"/>
    <w:rsid w:val="003B387D"/>
    <w:rsid w:val="003C0D58"/>
    <w:rsid w:val="003C6821"/>
    <w:rsid w:val="003D4FA3"/>
    <w:rsid w:val="003E0807"/>
    <w:rsid w:val="003E51FB"/>
    <w:rsid w:val="003E6B39"/>
    <w:rsid w:val="003E6B85"/>
    <w:rsid w:val="003F07E1"/>
    <w:rsid w:val="004030BC"/>
    <w:rsid w:val="00403F7D"/>
    <w:rsid w:val="00406785"/>
    <w:rsid w:val="004076AC"/>
    <w:rsid w:val="004079B4"/>
    <w:rsid w:val="00417A56"/>
    <w:rsid w:val="00420957"/>
    <w:rsid w:val="00422A10"/>
    <w:rsid w:val="00430179"/>
    <w:rsid w:val="00431725"/>
    <w:rsid w:val="004414B5"/>
    <w:rsid w:val="00444482"/>
    <w:rsid w:val="00444B42"/>
    <w:rsid w:val="00445E44"/>
    <w:rsid w:val="004509E2"/>
    <w:rsid w:val="004515EE"/>
    <w:rsid w:val="00452033"/>
    <w:rsid w:val="004529F0"/>
    <w:rsid w:val="0045703E"/>
    <w:rsid w:val="00460A03"/>
    <w:rsid w:val="00472A11"/>
    <w:rsid w:val="00472AAD"/>
    <w:rsid w:val="00474E33"/>
    <w:rsid w:val="00476803"/>
    <w:rsid w:val="00477935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1ADB"/>
    <w:rsid w:val="004E5E25"/>
    <w:rsid w:val="004E5EDD"/>
    <w:rsid w:val="004F448A"/>
    <w:rsid w:val="004F493D"/>
    <w:rsid w:val="004F65E8"/>
    <w:rsid w:val="0050005E"/>
    <w:rsid w:val="00500B3A"/>
    <w:rsid w:val="00502B88"/>
    <w:rsid w:val="005142C4"/>
    <w:rsid w:val="0051509C"/>
    <w:rsid w:val="005272E2"/>
    <w:rsid w:val="0053108F"/>
    <w:rsid w:val="00531E21"/>
    <w:rsid w:val="00532B56"/>
    <w:rsid w:val="00534B10"/>
    <w:rsid w:val="005446A2"/>
    <w:rsid w:val="00544D2F"/>
    <w:rsid w:val="00551BD8"/>
    <w:rsid w:val="00556E39"/>
    <w:rsid w:val="00566F2D"/>
    <w:rsid w:val="00581055"/>
    <w:rsid w:val="005858E3"/>
    <w:rsid w:val="00591E38"/>
    <w:rsid w:val="005A19C5"/>
    <w:rsid w:val="005A3034"/>
    <w:rsid w:val="005A462D"/>
    <w:rsid w:val="005B253B"/>
    <w:rsid w:val="005B314A"/>
    <w:rsid w:val="005B771D"/>
    <w:rsid w:val="005C5D16"/>
    <w:rsid w:val="005C7BEF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1BC6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5DB"/>
    <w:rsid w:val="006B4E6C"/>
    <w:rsid w:val="006B50B6"/>
    <w:rsid w:val="006D5981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37C50"/>
    <w:rsid w:val="00740967"/>
    <w:rsid w:val="00740E0E"/>
    <w:rsid w:val="00750212"/>
    <w:rsid w:val="00754779"/>
    <w:rsid w:val="0075716D"/>
    <w:rsid w:val="00763296"/>
    <w:rsid w:val="00765F14"/>
    <w:rsid w:val="00770E31"/>
    <w:rsid w:val="007770F1"/>
    <w:rsid w:val="00780D76"/>
    <w:rsid w:val="00783FB1"/>
    <w:rsid w:val="00785CDD"/>
    <w:rsid w:val="00791847"/>
    <w:rsid w:val="007925F0"/>
    <w:rsid w:val="007939B3"/>
    <w:rsid w:val="0079509C"/>
    <w:rsid w:val="00796708"/>
    <w:rsid w:val="007A16A1"/>
    <w:rsid w:val="007B1B42"/>
    <w:rsid w:val="007C30EB"/>
    <w:rsid w:val="007D20DF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2090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1D6B"/>
    <w:rsid w:val="008B403C"/>
    <w:rsid w:val="008B7983"/>
    <w:rsid w:val="008C2511"/>
    <w:rsid w:val="008D026D"/>
    <w:rsid w:val="008D23AB"/>
    <w:rsid w:val="008D2C8E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5D4A"/>
    <w:rsid w:val="0093760E"/>
    <w:rsid w:val="00946044"/>
    <w:rsid w:val="0094660B"/>
    <w:rsid w:val="00946A33"/>
    <w:rsid w:val="0095260E"/>
    <w:rsid w:val="009546E9"/>
    <w:rsid w:val="009578DD"/>
    <w:rsid w:val="00961124"/>
    <w:rsid w:val="009621B6"/>
    <w:rsid w:val="00974F2D"/>
    <w:rsid w:val="00977524"/>
    <w:rsid w:val="00977E88"/>
    <w:rsid w:val="00981C59"/>
    <w:rsid w:val="009836C7"/>
    <w:rsid w:val="00984920"/>
    <w:rsid w:val="0099303A"/>
    <w:rsid w:val="00996D12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E7FCF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17A8D"/>
    <w:rsid w:val="00A2073D"/>
    <w:rsid w:val="00A20751"/>
    <w:rsid w:val="00A27E2D"/>
    <w:rsid w:val="00A31D99"/>
    <w:rsid w:val="00A34343"/>
    <w:rsid w:val="00A357BA"/>
    <w:rsid w:val="00A35ADC"/>
    <w:rsid w:val="00A402A3"/>
    <w:rsid w:val="00A43312"/>
    <w:rsid w:val="00A53681"/>
    <w:rsid w:val="00A57CB2"/>
    <w:rsid w:val="00A633D4"/>
    <w:rsid w:val="00A6461A"/>
    <w:rsid w:val="00A7662C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0A03"/>
    <w:rsid w:val="00B213C4"/>
    <w:rsid w:val="00B40C60"/>
    <w:rsid w:val="00B479A9"/>
    <w:rsid w:val="00B50EB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20E7"/>
    <w:rsid w:val="00BD499F"/>
    <w:rsid w:val="00BD56DE"/>
    <w:rsid w:val="00BF185B"/>
    <w:rsid w:val="00BF2406"/>
    <w:rsid w:val="00C06E43"/>
    <w:rsid w:val="00C16315"/>
    <w:rsid w:val="00C23D3D"/>
    <w:rsid w:val="00C3091E"/>
    <w:rsid w:val="00C40FF1"/>
    <w:rsid w:val="00C419E2"/>
    <w:rsid w:val="00C5020E"/>
    <w:rsid w:val="00C57452"/>
    <w:rsid w:val="00C61EDF"/>
    <w:rsid w:val="00C6239D"/>
    <w:rsid w:val="00C62519"/>
    <w:rsid w:val="00C6594B"/>
    <w:rsid w:val="00C67FFB"/>
    <w:rsid w:val="00C7155E"/>
    <w:rsid w:val="00C71D1E"/>
    <w:rsid w:val="00C71D7D"/>
    <w:rsid w:val="00C7376D"/>
    <w:rsid w:val="00C74833"/>
    <w:rsid w:val="00C824FE"/>
    <w:rsid w:val="00C850A0"/>
    <w:rsid w:val="00C855B5"/>
    <w:rsid w:val="00C85A86"/>
    <w:rsid w:val="00C978F0"/>
    <w:rsid w:val="00CA29DD"/>
    <w:rsid w:val="00CA58FE"/>
    <w:rsid w:val="00CB1CB1"/>
    <w:rsid w:val="00CB57D2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24AF"/>
    <w:rsid w:val="00D140FC"/>
    <w:rsid w:val="00D21D8C"/>
    <w:rsid w:val="00D276E3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0F17"/>
    <w:rsid w:val="00D91CB9"/>
    <w:rsid w:val="00D97989"/>
    <w:rsid w:val="00D97D8D"/>
    <w:rsid w:val="00DA2341"/>
    <w:rsid w:val="00DA352E"/>
    <w:rsid w:val="00DC7694"/>
    <w:rsid w:val="00DC76BA"/>
    <w:rsid w:val="00DD1BF6"/>
    <w:rsid w:val="00DD2F9B"/>
    <w:rsid w:val="00DE2513"/>
    <w:rsid w:val="00DE26E8"/>
    <w:rsid w:val="00DF2238"/>
    <w:rsid w:val="00DF53EC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4D1E"/>
    <w:rsid w:val="00E67C2F"/>
    <w:rsid w:val="00E67EF5"/>
    <w:rsid w:val="00E804EA"/>
    <w:rsid w:val="00E80A71"/>
    <w:rsid w:val="00E82337"/>
    <w:rsid w:val="00E86173"/>
    <w:rsid w:val="00E91C74"/>
    <w:rsid w:val="00E92499"/>
    <w:rsid w:val="00E949AF"/>
    <w:rsid w:val="00E96077"/>
    <w:rsid w:val="00EA029A"/>
    <w:rsid w:val="00EA0A06"/>
    <w:rsid w:val="00EA6243"/>
    <w:rsid w:val="00EA74AB"/>
    <w:rsid w:val="00EB3D1B"/>
    <w:rsid w:val="00ED1D89"/>
    <w:rsid w:val="00ED4850"/>
    <w:rsid w:val="00ED66BC"/>
    <w:rsid w:val="00EF233A"/>
    <w:rsid w:val="00EF303E"/>
    <w:rsid w:val="00EF3A40"/>
    <w:rsid w:val="00EF7DC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4683F"/>
    <w:rsid w:val="00F56DD0"/>
    <w:rsid w:val="00F6491C"/>
    <w:rsid w:val="00F67BBB"/>
    <w:rsid w:val="00F703CD"/>
    <w:rsid w:val="00F83E69"/>
    <w:rsid w:val="00F87D92"/>
    <w:rsid w:val="00F90AA7"/>
    <w:rsid w:val="00F92498"/>
    <w:rsid w:val="00F92CA5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9F3"/>
    <w:rsid w:val="00FF5C3D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A57CB2"/>
    <w:pPr>
      <w:numPr>
        <w:numId w:val="5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2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2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23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3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3BB8255DE5294964ADA638ED43D05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DA354-EEA4-4204-8927-AB79FED478BB}"/>
      </w:docPartPr>
      <w:docPartBody>
        <w:p w:rsidR="00D67EE0" w:rsidRDefault="00104005" w:rsidP="00104005">
          <w:pPr>
            <w:pStyle w:val="3BB8255DE5294964ADA638ED43D057C4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93F84"/>
    <w:rsid w:val="00104005"/>
    <w:rsid w:val="001B777F"/>
    <w:rsid w:val="00366102"/>
    <w:rsid w:val="005361E6"/>
    <w:rsid w:val="006D74E8"/>
    <w:rsid w:val="008F1346"/>
    <w:rsid w:val="00BC2AB0"/>
    <w:rsid w:val="00D21A9F"/>
    <w:rsid w:val="00D67EE0"/>
    <w:rsid w:val="00E16CC1"/>
    <w:rsid w:val="00E4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005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91FEA6EDB8194C0880299678C99589B3">
    <w:name w:val="91FEA6EDB8194C0880299678C99589B3"/>
    <w:rsid w:val="00E409CC"/>
  </w:style>
  <w:style w:type="paragraph" w:customStyle="1" w:styleId="E9169F10174D48D1909CB9DF01D643CD">
    <w:name w:val="E9169F10174D48D1909CB9DF01D643CD"/>
    <w:rsid w:val="00E409CC"/>
  </w:style>
  <w:style w:type="paragraph" w:customStyle="1" w:styleId="C6710DE12BD841F293465A03328F9C40">
    <w:name w:val="C6710DE12BD841F293465A03328F9C40"/>
    <w:rsid w:val="00E409CC"/>
  </w:style>
  <w:style w:type="paragraph" w:customStyle="1" w:styleId="E32539CC549C44C68F537451CD2C7C2C">
    <w:name w:val="E32539CC549C44C68F537451CD2C7C2C"/>
    <w:rsid w:val="00E409CC"/>
  </w:style>
  <w:style w:type="paragraph" w:customStyle="1" w:styleId="114162F9A840458E924242E84114F3A5">
    <w:name w:val="114162F9A840458E924242E84114F3A5"/>
    <w:rsid w:val="00E409CC"/>
  </w:style>
  <w:style w:type="paragraph" w:customStyle="1" w:styleId="C1AF3A784E1642EEADA9243F3198F076">
    <w:name w:val="C1AF3A784E1642EEADA9243F3198F076"/>
    <w:rsid w:val="00E409CC"/>
  </w:style>
  <w:style w:type="paragraph" w:customStyle="1" w:styleId="80AEB5DB7EDB43C2AB5C91D32686A3E3">
    <w:name w:val="80AEB5DB7EDB43C2AB5C91D32686A3E3"/>
    <w:rsid w:val="00E409CC"/>
  </w:style>
  <w:style w:type="paragraph" w:customStyle="1" w:styleId="FE4317A58A0D4AB48EE2457E13203468">
    <w:name w:val="FE4317A58A0D4AB48EE2457E13203468"/>
    <w:rsid w:val="00E409CC"/>
  </w:style>
  <w:style w:type="paragraph" w:customStyle="1" w:styleId="BB422CD3D30A45C6BFB7FDC0A0CA23C6">
    <w:name w:val="BB422CD3D30A45C6BFB7FDC0A0CA23C6"/>
    <w:rsid w:val="00E409CC"/>
  </w:style>
  <w:style w:type="paragraph" w:customStyle="1" w:styleId="3BB8255DE5294964ADA638ED43D057C4">
    <w:name w:val="3BB8255DE5294964ADA638ED43D057C4"/>
    <w:rsid w:val="001040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07F081-1C16-4786-8689-84876F081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DC4E5F-0412-458B-B56A-361E68DB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B79ADD9C.dotm</Template>
  <TotalTime>170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12</cp:revision>
  <cp:lastPrinted>2018-10-22T22:41:00Z</cp:lastPrinted>
  <dcterms:created xsi:type="dcterms:W3CDTF">2019-09-24T15:09:00Z</dcterms:created>
  <dcterms:modified xsi:type="dcterms:W3CDTF">2019-11-08T00:38:00Z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