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61B6D5E" w14:textId="058D5907" w:rsidR="00BD499F" w:rsidRPr="004C23F4" w:rsidRDefault="001952A7" w:rsidP="00D029A2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Divinyl benzene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1FF297CA" w14:textId="77777777" w:rsidTr="00D12435">
        <w:trPr>
          <w:cantSplit/>
          <w:tblHeader/>
        </w:trPr>
        <w:tc>
          <w:tcPr>
            <w:tcW w:w="3978" w:type="dxa"/>
          </w:tcPr>
          <w:p w14:paraId="553F738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8" w:type="dxa"/>
          </w:tcPr>
          <w:p w14:paraId="7E410891" w14:textId="19C93B67" w:rsidR="00F43AD5" w:rsidRPr="00717D45" w:rsidRDefault="006458CC" w:rsidP="00B76A41">
            <w:pPr>
              <w:pStyle w:val="Tablefont"/>
            </w:pPr>
            <w:r w:rsidRPr="006458CC">
              <w:t>1321-74-0</w:t>
            </w:r>
          </w:p>
        </w:tc>
      </w:tr>
      <w:tr w:rsidR="00F43AD5" w:rsidRPr="004C23F4" w14:paraId="56C53DE0" w14:textId="77777777" w:rsidTr="00D12435">
        <w:trPr>
          <w:cantSplit/>
        </w:trPr>
        <w:tc>
          <w:tcPr>
            <w:tcW w:w="3978" w:type="dxa"/>
          </w:tcPr>
          <w:p w14:paraId="38B5F6A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8" w:type="dxa"/>
          </w:tcPr>
          <w:p w14:paraId="37C33496" w14:textId="7C4A82CC" w:rsidR="00F43AD5" w:rsidRPr="00717D45" w:rsidRDefault="006458CC" w:rsidP="00B76A41">
            <w:pPr>
              <w:pStyle w:val="Tablefont"/>
            </w:pPr>
            <w:r>
              <w:t>Diethenylbenzene, DVB, 1,4-</w:t>
            </w:r>
            <w:r w:rsidR="008A2F81">
              <w:t>d</w:t>
            </w:r>
            <w:r>
              <w:t xml:space="preserve">ivinylbenzene, </w:t>
            </w:r>
            <w:r w:rsidR="00177912">
              <w:t>vinylstyrene</w:t>
            </w:r>
            <w:r w:rsidR="009C0B4F">
              <w:t xml:space="preserve">  </w:t>
            </w:r>
          </w:p>
        </w:tc>
      </w:tr>
      <w:tr w:rsidR="00F43AD5" w:rsidRPr="004C23F4" w14:paraId="7A27EC43" w14:textId="77777777" w:rsidTr="00D12435">
        <w:trPr>
          <w:cantSplit/>
        </w:trPr>
        <w:tc>
          <w:tcPr>
            <w:tcW w:w="3978" w:type="dxa"/>
          </w:tcPr>
          <w:p w14:paraId="67E39CF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8" w:type="dxa"/>
          </w:tcPr>
          <w:p w14:paraId="220A2486" w14:textId="2BC3184D" w:rsidR="00F43AD5" w:rsidRPr="00717D45" w:rsidRDefault="006458CC" w:rsidP="00B76A41">
            <w:pPr>
              <w:pStyle w:val="Tablefont"/>
            </w:pPr>
            <w:r>
              <w:t>C</w:t>
            </w:r>
            <w:r w:rsidRPr="006458CC">
              <w:rPr>
                <w:vertAlign w:val="subscript"/>
              </w:rPr>
              <w:t>10</w:t>
            </w:r>
            <w:r>
              <w:t>H</w:t>
            </w:r>
            <w:r w:rsidRPr="006458CC">
              <w:rPr>
                <w:vertAlign w:val="subscript"/>
              </w:rPr>
              <w:t>10</w:t>
            </w:r>
          </w:p>
        </w:tc>
      </w:tr>
    </w:tbl>
    <w:p w14:paraId="3CCE6D94" w14:textId="337B0A4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952A7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68FC7BF3" w14:textId="77777777" w:rsidTr="008A2F81">
        <w:trPr>
          <w:cantSplit/>
          <w:tblHeader/>
        </w:trPr>
        <w:tc>
          <w:tcPr>
            <w:tcW w:w="4005" w:type="dxa"/>
            <w:vAlign w:val="center"/>
          </w:tcPr>
          <w:p w14:paraId="564EA73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2271209A" w14:textId="2E3C675B" w:rsidR="002C7AFE" w:rsidRPr="001952A7" w:rsidRDefault="001952A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 ppm (53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69997844" w14:textId="77777777" w:rsidTr="008A2F81">
        <w:trPr>
          <w:cantSplit/>
        </w:trPr>
        <w:tc>
          <w:tcPr>
            <w:tcW w:w="4005" w:type="dxa"/>
            <w:vAlign w:val="center"/>
          </w:tcPr>
          <w:p w14:paraId="392C0879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694DD2B6" w14:textId="3F5724F8" w:rsidR="002C7AFE" w:rsidRPr="00EB3D1B" w:rsidRDefault="001952A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7D28C1E" w14:textId="77777777" w:rsidTr="008A2F81">
        <w:trPr>
          <w:cantSplit/>
        </w:trPr>
        <w:tc>
          <w:tcPr>
            <w:tcW w:w="4005" w:type="dxa"/>
            <w:vAlign w:val="center"/>
          </w:tcPr>
          <w:p w14:paraId="3FA7B4F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1FD6A05B" w14:textId="24BD55EF" w:rsidR="002C7AFE" w:rsidRPr="00EB3D1B" w:rsidRDefault="001952A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EA9CEAC" w14:textId="77777777" w:rsidTr="008A2F81">
        <w:trPr>
          <w:cantSplit/>
        </w:trPr>
        <w:tc>
          <w:tcPr>
            <w:tcW w:w="4005" w:type="dxa"/>
          </w:tcPr>
          <w:p w14:paraId="33561232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0804E3F4" w14:textId="77A7F995" w:rsidR="002C7AFE" w:rsidRPr="00EB3D1B" w:rsidRDefault="001952A7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835181C" w14:textId="77777777" w:rsidTr="008A2F81">
        <w:trPr>
          <w:cantSplit/>
        </w:trPr>
        <w:tc>
          <w:tcPr>
            <w:tcW w:w="4005" w:type="dxa"/>
            <w:vAlign w:val="center"/>
          </w:tcPr>
          <w:p w14:paraId="136A7DD2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76992E3" w14:textId="2B0F20B5" w:rsidR="002C7AFE" w:rsidRPr="001952A7" w:rsidRDefault="008E38CF" w:rsidP="00017C82">
            <w:pPr>
              <w:pStyle w:val="Tablefont"/>
              <w:rPr>
                <w:b/>
              </w:rPr>
            </w:pPr>
            <w:r w:rsidRPr="001952A7">
              <w:rPr>
                <w:b/>
              </w:rPr>
              <w:t>—</w:t>
            </w:r>
          </w:p>
        </w:tc>
      </w:tr>
      <w:tr w:rsidR="008A2F81" w:rsidRPr="004C23F4" w14:paraId="3B730061" w14:textId="77777777" w:rsidTr="00A41DC8">
        <w:trPr>
          <w:cantSplit/>
        </w:trPr>
        <w:tc>
          <w:tcPr>
            <w:tcW w:w="9026" w:type="dxa"/>
            <w:gridSpan w:val="2"/>
            <w:vAlign w:val="center"/>
          </w:tcPr>
          <w:p w14:paraId="22914E3B" w14:textId="3C0EC74C" w:rsidR="008A2F81" w:rsidRPr="00EB3D1B" w:rsidRDefault="008A2F81" w:rsidP="00017C82">
            <w:pPr>
              <w:pStyle w:val="Tablefont"/>
              <w:rPr>
                <w:b/>
              </w:rPr>
            </w:pPr>
            <w:r w:rsidRPr="00C50FE9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7CA047F7A574FE68FE3F4A089BEAC29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C50FE9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5E26600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96FE2E5" w14:textId="256F98CA" w:rsidR="006639B4" w:rsidRDefault="001952A7" w:rsidP="000C139A">
      <w:pPr>
        <w:rPr>
          <w:rFonts w:cs="Arial"/>
        </w:rPr>
      </w:pPr>
      <w:r w:rsidRPr="001952A7">
        <w:rPr>
          <w:rFonts w:cs="Arial"/>
        </w:rPr>
        <w:t xml:space="preserve">A TWA of </w:t>
      </w:r>
      <w:r>
        <w:rPr>
          <w:rFonts w:cs="Arial"/>
        </w:rPr>
        <w:t>10</w:t>
      </w:r>
      <w:r w:rsidRPr="001952A7">
        <w:rPr>
          <w:rFonts w:cs="Arial"/>
        </w:rPr>
        <w:t xml:space="preserve"> ppm (</w:t>
      </w:r>
      <w:r>
        <w:rPr>
          <w:rFonts w:cs="Arial"/>
        </w:rPr>
        <w:t>53</w:t>
      </w:r>
      <w:r w:rsidRPr="001952A7">
        <w:rPr>
          <w:rFonts w:cs="Arial"/>
        </w:rPr>
        <w:t xml:space="preserve"> mg/m</w:t>
      </w:r>
      <w:r w:rsidRPr="001952A7">
        <w:rPr>
          <w:rFonts w:cs="Arial"/>
          <w:vertAlign w:val="superscript"/>
        </w:rPr>
        <w:t>3</w:t>
      </w:r>
      <w:r>
        <w:rPr>
          <w:rFonts w:cs="Arial"/>
        </w:rPr>
        <w:t>) is recommended</w:t>
      </w:r>
      <w:r w:rsidRPr="001952A7">
        <w:rPr>
          <w:rFonts w:cs="Arial"/>
        </w:rPr>
        <w:t xml:space="preserve"> to protect for </w:t>
      </w:r>
      <w:r w:rsidR="00877D7E">
        <w:rPr>
          <w:rFonts w:cs="Arial"/>
        </w:rPr>
        <w:t>irritation of</w:t>
      </w:r>
      <w:r>
        <w:rPr>
          <w:rFonts w:cs="Arial"/>
        </w:rPr>
        <w:t xml:space="preserve"> the eyes, skin</w:t>
      </w:r>
      <w:r w:rsidR="00877D7E">
        <w:rPr>
          <w:rFonts w:cs="Arial"/>
        </w:rPr>
        <w:t xml:space="preserve"> and</w:t>
      </w:r>
      <w:r>
        <w:rPr>
          <w:rFonts w:cs="Arial"/>
        </w:rPr>
        <w:t xml:space="preserve"> respiratory tract and potential liver damage in exposed workers.</w:t>
      </w:r>
    </w:p>
    <w:p w14:paraId="790F3F53" w14:textId="0BE5E8C9" w:rsidR="00D42A8A" w:rsidRPr="004C23F4" w:rsidRDefault="00877D7E" w:rsidP="000C139A">
      <w:pPr>
        <w:rPr>
          <w:rFonts w:cs="Arial"/>
        </w:rPr>
      </w:pPr>
      <w:r w:rsidRPr="00877D7E">
        <w:rPr>
          <w:rFonts w:cs="Arial"/>
        </w:rPr>
        <w:t>Given the limited data available from the primary sources, it is recommended that a review of additional sources be conduct</w:t>
      </w:r>
      <w:r>
        <w:rPr>
          <w:rFonts w:cs="Arial"/>
        </w:rPr>
        <w:t>ed at the next scheduled review</w:t>
      </w:r>
      <w:r w:rsidR="00D42A8A" w:rsidRPr="007E45DB">
        <w:rPr>
          <w:rFonts w:cs="Arial"/>
        </w:rPr>
        <w:t>.</w:t>
      </w:r>
    </w:p>
    <w:p w14:paraId="74603D4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6F6570F" w14:textId="77777777" w:rsidR="00877D7E" w:rsidRDefault="001952A7" w:rsidP="006639B4">
      <w:pPr>
        <w:rPr>
          <w:rFonts w:cs="Arial"/>
        </w:rPr>
      </w:pPr>
      <w:r>
        <w:rPr>
          <w:rFonts w:cs="Arial"/>
        </w:rPr>
        <w:t xml:space="preserve">Divinyl benzene is used as a starting material in the manufacture of various polymers. </w:t>
      </w:r>
    </w:p>
    <w:p w14:paraId="2B1D02E6" w14:textId="29E92E91" w:rsidR="006639B4" w:rsidRDefault="001952A7" w:rsidP="006639B4">
      <w:pPr>
        <w:rPr>
          <w:rFonts w:cs="Arial"/>
        </w:rPr>
      </w:pPr>
      <w:r>
        <w:rPr>
          <w:rFonts w:cs="Arial"/>
        </w:rPr>
        <w:t>Critical effects are eye</w:t>
      </w:r>
      <w:r w:rsidR="00877D7E">
        <w:rPr>
          <w:rFonts w:cs="Arial"/>
        </w:rPr>
        <w:t>,</w:t>
      </w:r>
      <w:r>
        <w:rPr>
          <w:rFonts w:cs="Arial"/>
        </w:rPr>
        <w:t xml:space="preserve"> skin and respiratory tract irritation and, at much higher concentrations, potential central nervous </w:t>
      </w:r>
      <w:r w:rsidR="00877D7E">
        <w:rPr>
          <w:rFonts w:cs="Arial"/>
        </w:rPr>
        <w:t xml:space="preserve">system (CNS) </w:t>
      </w:r>
      <w:r>
        <w:rPr>
          <w:rFonts w:cs="Arial"/>
        </w:rPr>
        <w:t>depression. Limited animal studies indicate a potential for liver damage above approximately 100 ppm (ACGIH, 2018). The toxicological database for the substance is currently very limited.</w:t>
      </w:r>
    </w:p>
    <w:p w14:paraId="0C906FA6" w14:textId="60018565" w:rsidR="001952A7" w:rsidRDefault="001952A7" w:rsidP="006639B4">
      <w:pPr>
        <w:rPr>
          <w:rFonts w:cs="Arial"/>
        </w:rPr>
      </w:pPr>
      <w:r>
        <w:rPr>
          <w:rFonts w:cs="Arial"/>
        </w:rPr>
        <w:t xml:space="preserve">In the absence of reliable substance-specific human exposure data and limited animal exposure data, the current TWA of 10 ppm is retained in the interim. The current TWA agrees with the current </w:t>
      </w:r>
      <w:r w:rsidR="008A2F81">
        <w:rPr>
          <w:rFonts w:cs="Arial"/>
        </w:rPr>
        <w:t xml:space="preserve">recommendation </w:t>
      </w:r>
      <w:r>
        <w:rPr>
          <w:rFonts w:cs="Arial"/>
        </w:rPr>
        <w:t xml:space="preserve">by the ACGIH (2018), which is derived from a </w:t>
      </w:r>
      <w:r w:rsidR="009C0B4F">
        <w:rPr>
          <w:rFonts w:cs="Arial"/>
        </w:rPr>
        <w:t xml:space="preserve">NOAEC </w:t>
      </w:r>
      <w:r>
        <w:rPr>
          <w:rFonts w:cs="Arial"/>
        </w:rPr>
        <w:t>for nasal inflammation and systemic effects on the liver reported in rats (ACGIH, 2018).</w:t>
      </w:r>
    </w:p>
    <w:p w14:paraId="0856048D" w14:textId="34E912DF" w:rsidR="001952A7" w:rsidRPr="004C23F4" w:rsidRDefault="001952A7" w:rsidP="006639B4">
      <w:pPr>
        <w:rPr>
          <w:rFonts w:cs="Arial"/>
        </w:rPr>
      </w:pPr>
      <w:r>
        <w:rPr>
          <w:rFonts w:cs="Arial"/>
        </w:rPr>
        <w:t xml:space="preserve">The current database indicates that </w:t>
      </w:r>
      <w:r w:rsidR="00D12435">
        <w:rPr>
          <w:rFonts w:cs="Arial"/>
        </w:rPr>
        <w:t>divinyl benzene</w:t>
      </w:r>
      <w:r>
        <w:rPr>
          <w:rFonts w:cs="Arial"/>
        </w:rPr>
        <w:t xml:space="preserve"> is not genotoxic based on several </w:t>
      </w:r>
      <w:r>
        <w:rPr>
          <w:rFonts w:cs="Arial"/>
          <w:i/>
        </w:rPr>
        <w:t xml:space="preserve">in vitro </w:t>
      </w:r>
      <w:r>
        <w:rPr>
          <w:rFonts w:cs="Arial"/>
        </w:rPr>
        <w:t xml:space="preserve">and </w:t>
      </w:r>
      <w:r>
        <w:rPr>
          <w:rFonts w:cs="Arial"/>
          <w:i/>
        </w:rPr>
        <w:t>in</w:t>
      </w:r>
      <w:r w:rsidR="00CC0D57">
        <w:rPr>
          <w:rFonts w:cs="Arial"/>
          <w:i/>
        </w:rPr>
        <w:t> </w:t>
      </w:r>
      <w:r>
        <w:rPr>
          <w:rFonts w:cs="Arial"/>
          <w:i/>
        </w:rPr>
        <w:t>vivo</w:t>
      </w:r>
      <w:r>
        <w:rPr>
          <w:rFonts w:cs="Arial"/>
        </w:rPr>
        <w:t xml:space="preserve"> assays (ACGIH, 2018; NTP, 2006)</w:t>
      </w:r>
      <w:r w:rsidR="00877D7E">
        <w:rPr>
          <w:rFonts w:cs="Arial"/>
        </w:rPr>
        <w:t>.</w:t>
      </w:r>
      <w:r>
        <w:rPr>
          <w:rFonts w:cs="Arial"/>
        </w:rPr>
        <w:t xml:space="preserve"> </w:t>
      </w:r>
      <w:r w:rsidR="00877D7E">
        <w:rPr>
          <w:rFonts w:cs="Arial"/>
        </w:rPr>
        <w:t>H</w:t>
      </w:r>
      <w:r>
        <w:rPr>
          <w:rFonts w:cs="Arial"/>
        </w:rPr>
        <w:t>owever, evidence for lung and kidney carcinogenicity from chronic animal inhalational studies is equivocal (NTP, 2006)</w:t>
      </w:r>
      <w:r w:rsidR="00D12435">
        <w:rPr>
          <w:rFonts w:cs="Arial"/>
        </w:rPr>
        <w:t xml:space="preserve"> and investigation of additional data sources for this endpoint</w:t>
      </w:r>
      <w:r w:rsidR="007D0593">
        <w:rPr>
          <w:rFonts w:cs="Arial"/>
        </w:rPr>
        <w:t xml:space="preserve"> should be prioritised for review during subsequent evaluations.</w:t>
      </w:r>
    </w:p>
    <w:p w14:paraId="13050D7F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3387C869" w14:textId="00B4140F" w:rsidR="006458CC" w:rsidRPr="00A70823" w:rsidRDefault="006458CC" w:rsidP="006458CC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</w:t>
      </w:r>
      <w:r w:rsidR="008A2F81">
        <w:rPr>
          <w:rFonts w:cs="Arial"/>
        </w:rPr>
        <w:t xml:space="preserve"> Classification and Labelling of Chemicals (GHS)</w:t>
      </w:r>
      <w:r w:rsidR="002708C2" w:rsidRPr="008A2F81">
        <w:rPr>
          <w:rFonts w:cs="Arial"/>
          <w:i/>
        </w:rPr>
        <w:t>.</w:t>
      </w:r>
    </w:p>
    <w:p w14:paraId="7B202FD2" w14:textId="0D6CB741" w:rsidR="006458CC" w:rsidRPr="00A70823" w:rsidRDefault="006458CC" w:rsidP="006458CC">
      <w:pPr>
        <w:rPr>
          <w:rFonts w:cs="Arial"/>
        </w:rPr>
      </w:pPr>
      <w:r w:rsidRPr="00A70823">
        <w:rPr>
          <w:rFonts w:cs="Arial"/>
        </w:rPr>
        <w:lastRenderedPageBreak/>
        <w:t xml:space="preserve">Not classified as a skin </w:t>
      </w:r>
      <w:r w:rsidR="008A2F81" w:rsidRPr="00A70823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</w:p>
    <w:p w14:paraId="427725BE" w14:textId="77777777" w:rsidR="00D42A8A" w:rsidRDefault="00D42A8A" w:rsidP="00D42A8A">
      <w:pPr>
        <w:rPr>
          <w:rFonts w:cs="Arial"/>
        </w:rPr>
      </w:pPr>
      <w:r>
        <w:rPr>
          <w:rFonts w:cs="Arial"/>
        </w:rPr>
        <w:t>There are insufficient data to recommend a skin notation.</w:t>
      </w:r>
    </w:p>
    <w:p w14:paraId="5DA9FD02" w14:textId="1011CD26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D5C247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2EFFB4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DD13A01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B873A38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405C524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EAB1306" w14:textId="7DEF9CF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952A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E38CF">
                  <w:t>TWA: 10 ppm (53 mg/m</w:t>
                </w:r>
                <w:r w:rsidR="008E38CF" w:rsidRPr="008E38CF">
                  <w:rPr>
                    <w:vertAlign w:val="superscript"/>
                  </w:rPr>
                  <w:t>3</w:t>
                </w:r>
                <w:r w:rsidR="008E38CF">
                  <w:t>)</w:t>
                </w:r>
              </w:sdtContent>
            </w:sdt>
          </w:p>
        </w:tc>
      </w:tr>
      <w:tr w:rsidR="00C978F0" w:rsidRPr="00DA352E" w14:paraId="3AE388B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C68C89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6232F5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600C21A" w14:textId="251A5C1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952A7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8E38CF">
                  <w:t>TLV-TWA: 10 ppm (53 mg/m</w:t>
                </w:r>
                <w:r w:rsidR="008E38CF" w:rsidRPr="008E38CF">
                  <w:rPr>
                    <w:vertAlign w:val="superscript"/>
                  </w:rPr>
                  <w:t>3</w:t>
                </w:r>
                <w:r w:rsidR="008E38CF">
                  <w:t>)</w:t>
                </w:r>
              </w:sdtContent>
            </w:sdt>
          </w:p>
        </w:tc>
      </w:tr>
      <w:tr w:rsidR="00C978F0" w:rsidRPr="00DA352E" w14:paraId="28A968B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46974C1" w14:textId="6FAEA1C5" w:rsidR="00C978F0" w:rsidRDefault="00111D15" w:rsidP="003365A5">
            <w:pPr>
              <w:pStyle w:val="Tabletextprimarysource"/>
            </w:pPr>
            <w:r>
              <w:t xml:space="preserve">TLV-TWA intended to minimise potential for irritation to eyes, skin, and respiratory tract. </w:t>
            </w:r>
          </w:p>
          <w:p w14:paraId="4ECCEDE1" w14:textId="6B5BB358" w:rsidR="00111D15" w:rsidRDefault="00111D15" w:rsidP="003365A5">
            <w:pPr>
              <w:pStyle w:val="Tabletextprimarysource"/>
            </w:pPr>
            <w:r>
              <w:t>Summary of data:</w:t>
            </w:r>
          </w:p>
          <w:p w14:paraId="37FC23C4" w14:textId="762C7721" w:rsidR="001952A7" w:rsidRDefault="001952A7" w:rsidP="003365A5">
            <w:pPr>
              <w:pStyle w:val="Tabletextprimarysource"/>
            </w:pPr>
            <w:r>
              <w:t>TLV-TWA derived from NOAEL of 25 ppm divinyl benzene mixed with 20 ppm ethyl vinyl benzene in a sub</w:t>
            </w:r>
            <w:r w:rsidR="0015457C">
              <w:t>-</w:t>
            </w:r>
            <w:r>
              <w:t>chronic inhalational study with rats and by analogy to the structurally related mono-substituted congener, styrene.</w:t>
            </w:r>
          </w:p>
          <w:p w14:paraId="25CD20F5" w14:textId="54A510B3" w:rsidR="00111D15" w:rsidRDefault="00AE055B" w:rsidP="003365A5">
            <w:pPr>
              <w:pStyle w:val="Tabletextprimarysource"/>
            </w:pPr>
            <w:r>
              <w:t>Human data:</w:t>
            </w:r>
          </w:p>
          <w:p w14:paraId="5B7E8DCC" w14:textId="67CA1A02" w:rsidR="000C5996" w:rsidRDefault="000C5996" w:rsidP="000C5996">
            <w:pPr>
              <w:pStyle w:val="Tabletextprimarysource"/>
              <w:numPr>
                <w:ilvl w:val="0"/>
                <w:numId w:val="2"/>
              </w:numPr>
            </w:pPr>
            <w:r>
              <w:t>Mild respiratory, skin and eye irritation repo</w:t>
            </w:r>
            <w:r w:rsidR="00AF4EDC">
              <w:t>rted in acutely exposed workers; no data on chronic effects available</w:t>
            </w:r>
          </w:p>
          <w:p w14:paraId="795E4688" w14:textId="64291AF1" w:rsidR="00944C3E" w:rsidRDefault="00AF4EDC" w:rsidP="003365A5">
            <w:pPr>
              <w:pStyle w:val="Tabletextprimarysource"/>
              <w:numPr>
                <w:ilvl w:val="0"/>
                <w:numId w:val="2"/>
              </w:numPr>
            </w:pPr>
            <w:r>
              <w:t>Plant surveys indicate average exposures of 0.4 ppm with peaks of 4 ppm</w:t>
            </w:r>
            <w:r w:rsidR="001952A7">
              <w:t xml:space="preserve"> to workers</w:t>
            </w:r>
            <w:r w:rsidR="00944C3E">
              <w:t>.</w:t>
            </w:r>
          </w:p>
          <w:p w14:paraId="7FEC9441" w14:textId="3528CD71" w:rsidR="00AE055B" w:rsidRDefault="00AE055B" w:rsidP="003365A5">
            <w:pPr>
              <w:pStyle w:val="Tabletextprimarysource"/>
            </w:pPr>
            <w:r>
              <w:t>Animal data:</w:t>
            </w:r>
          </w:p>
          <w:p w14:paraId="4CB5EFAC" w14:textId="649DE9E3" w:rsidR="00AE055B" w:rsidRDefault="00AE055B" w:rsidP="00AE055B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2,155–4,640 mg/kg (rats</w:t>
            </w:r>
            <w:r w:rsidR="00D42A8A">
              <w:t>, oral</w:t>
            </w:r>
            <w:r>
              <w:t>); male rats more susceptible than females, lethargy/</w:t>
            </w:r>
            <w:r w:rsidR="0015457C">
              <w:t>CNS</w:t>
            </w:r>
            <w:r>
              <w:t xml:space="preserve"> effects begin at 630 mg/kg</w:t>
            </w:r>
          </w:p>
          <w:p w14:paraId="3D9D541F" w14:textId="53E35CA9" w:rsidR="00AE055B" w:rsidRDefault="00AE055B" w:rsidP="00AE055B">
            <w:pPr>
              <w:pStyle w:val="Tabletextprimarysource"/>
              <w:numPr>
                <w:ilvl w:val="0"/>
                <w:numId w:val="1"/>
              </w:numPr>
            </w:pPr>
            <w:r>
              <w:t>Mild irritation/pain response when 0.1 mL applied to eyes (rabbits, 30 s</w:t>
            </w:r>
            <w:r w:rsidR="00177912">
              <w:t>ec</w:t>
            </w:r>
            <w:r>
              <w:t>); pain increases when washed with water, effects resolve in 1 h</w:t>
            </w:r>
          </w:p>
          <w:p w14:paraId="47AB06F6" w14:textId="6590918B" w:rsidR="00AE055B" w:rsidRDefault="00AE055B" w:rsidP="00AE055B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Lethal </w:t>
            </w:r>
            <w:r w:rsidR="00D42A8A">
              <w:t>&gt;</w:t>
            </w:r>
            <w:r>
              <w:t>3 d when applied undiluted to skin at 7,950 mg/kg (rabbits, 24 h)</w:t>
            </w:r>
            <w:r w:rsidR="000C5996">
              <w:t>; mild erythema and exfoliation at sub</w:t>
            </w:r>
            <w:r w:rsidR="0015457C">
              <w:t>-</w:t>
            </w:r>
            <w:r w:rsidR="000C5996">
              <w:t>chronic exposure of 1–2 mL (5 d/wk, 2 wk), systemic effects not discussed</w:t>
            </w:r>
          </w:p>
          <w:p w14:paraId="5596E1CF" w14:textId="7238625D" w:rsidR="00C569CD" w:rsidRDefault="00C569CD" w:rsidP="00AE055B">
            <w:pPr>
              <w:pStyle w:val="Tabletextprimarysource"/>
              <w:numPr>
                <w:ilvl w:val="0"/>
                <w:numId w:val="1"/>
              </w:numPr>
            </w:pPr>
            <w:r>
              <w:t>No adverse effects at 645 in single inhalational dose study (rats, 7 h)</w:t>
            </w:r>
            <w:r w:rsidR="000B737C">
              <w:t>:</w:t>
            </w:r>
            <w:r>
              <w:t xml:space="preserve"> </w:t>
            </w:r>
          </w:p>
          <w:p w14:paraId="4918EF9B" w14:textId="782280EB" w:rsidR="00C569CD" w:rsidRDefault="000B737C" w:rsidP="00877D7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</w:t>
            </w:r>
            <w:r w:rsidR="00C569CD">
              <w:t>asal discharge at 2,340 ppm</w:t>
            </w:r>
          </w:p>
          <w:p w14:paraId="41BD0087" w14:textId="6E536090" w:rsidR="00C569CD" w:rsidRDefault="000B737C" w:rsidP="00877D7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a</w:t>
            </w:r>
            <w:r w:rsidR="00C569CD">
              <w:t>taxia, irregular heart rate, eye irritation at 3,312 ppm, bw loss and lethargy during 14</w:t>
            </w:r>
            <w:r>
              <w:t> </w:t>
            </w:r>
            <w:r w:rsidR="00C569CD">
              <w:t>d observation period</w:t>
            </w:r>
          </w:p>
          <w:p w14:paraId="569A5B5B" w14:textId="0FAC60A9" w:rsidR="00AE055B" w:rsidRDefault="000B737C" w:rsidP="00877D7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l</w:t>
            </w:r>
            <w:r w:rsidR="000A092E">
              <w:t>ethal within 24 h at 4,835 ppm; haematuria in survivors</w:t>
            </w:r>
          </w:p>
          <w:p w14:paraId="06AAE33D" w14:textId="6305000B" w:rsidR="00B85545" w:rsidRDefault="000B737C" w:rsidP="00877D7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s</w:t>
            </w:r>
            <w:r w:rsidR="000C5996">
              <w:t>imilar effects in addition to lung inflammation observed at 27,317 ppm (rats, 2 h)</w:t>
            </w:r>
          </w:p>
          <w:p w14:paraId="2B60DBA4" w14:textId="51DF9F3B" w:rsidR="000C5996" w:rsidRDefault="00AF4EDC" w:rsidP="000C5996">
            <w:pPr>
              <w:pStyle w:val="Tabletextprimarysource"/>
              <w:numPr>
                <w:ilvl w:val="0"/>
                <w:numId w:val="1"/>
              </w:numPr>
            </w:pPr>
            <w:r>
              <w:t>Sub-chronic inhalational exposure studies with respective mixed exposures to 25, 101, or 252 ppm divinyl benzene and 20, 79 and 199</w:t>
            </w:r>
            <w:r w:rsidR="001952A7">
              <w:t xml:space="preserve"> ppm ethyl vinyl benzene (rats</w:t>
            </w:r>
            <w:r>
              <w:t>, 6 h/d, 5</w:t>
            </w:r>
            <w:r w:rsidR="00456A97">
              <w:t xml:space="preserve"> </w:t>
            </w:r>
            <w:r>
              <w:t>wk, duration not specified)</w:t>
            </w:r>
          </w:p>
          <w:p w14:paraId="15D4E55C" w14:textId="5C2DF7D8" w:rsidR="00AF4EDC" w:rsidRDefault="00AF4EDC" w:rsidP="00877D7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</w:t>
            </w:r>
            <w:r w:rsidR="00D12435">
              <w:t>C</w:t>
            </w:r>
            <w:r>
              <w:t xml:space="preserve"> of 25:20 ppm (divinyl benzene:</w:t>
            </w:r>
            <w:r w:rsidR="00D42A8A">
              <w:t xml:space="preserve"> </w:t>
            </w:r>
            <w:r>
              <w:t xml:space="preserve">ethyl vinyl benzene) </w:t>
            </w:r>
          </w:p>
          <w:p w14:paraId="203B57CF" w14:textId="49678DF3" w:rsidR="00AF4EDC" w:rsidRDefault="000B737C" w:rsidP="00877D7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i</w:t>
            </w:r>
            <w:r w:rsidR="001952A7">
              <w:t xml:space="preserve">nflammation and degradation of nasal cavity observed above 101:79 ppm, increased </w:t>
            </w:r>
            <w:r w:rsidR="00D12435">
              <w:t>bw</w:t>
            </w:r>
            <w:r w:rsidR="001952A7">
              <w:t>, liver weight and abdominal fat at 252:199 ppm</w:t>
            </w:r>
          </w:p>
          <w:p w14:paraId="7D30F909" w14:textId="56B32FBD" w:rsidR="001952A7" w:rsidRDefault="000B737C" w:rsidP="00877D7E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m</w:t>
            </w:r>
            <w:r w:rsidR="001952A7">
              <w:t>ice exposed to 101:79 ppm under same exposure regimen presented similar symptoms as well as kidney damage; NOAEL of 10:8 ppm (mice)</w:t>
            </w:r>
          </w:p>
          <w:p w14:paraId="33C5B6B0" w14:textId="692C5584" w:rsidR="00D42A8A" w:rsidRDefault="00877D7E" w:rsidP="001952A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Not </w:t>
            </w:r>
            <w:r w:rsidR="001952A7">
              <w:t xml:space="preserve">genotoxic </w:t>
            </w:r>
            <w:r w:rsidR="001952A7">
              <w:rPr>
                <w:i/>
              </w:rPr>
              <w:t>in vitro</w:t>
            </w:r>
            <w:r w:rsidR="001952A7">
              <w:t>.</w:t>
            </w:r>
            <w:r w:rsidR="00D42A8A">
              <w:t xml:space="preserve"> </w:t>
            </w:r>
          </w:p>
          <w:p w14:paraId="6C1647AF" w14:textId="77777777" w:rsidR="00944C3E" w:rsidRDefault="00944C3E" w:rsidP="00D42A8A">
            <w:pPr>
              <w:pStyle w:val="Tabletextprimarysource"/>
            </w:pPr>
          </w:p>
          <w:p w14:paraId="15200BD4" w14:textId="77777777" w:rsidR="001952A7" w:rsidRDefault="00D42A8A" w:rsidP="00D42A8A">
            <w:pPr>
              <w:pStyle w:val="Tabletextprimarysource"/>
            </w:pPr>
            <w:r>
              <w:t>Insufficient data to recommend a TLV-STEL or notations for carcinogenicity, skin absorption or sensitisation.</w:t>
            </w:r>
          </w:p>
          <w:p w14:paraId="2EDB2865" w14:textId="0B88AB4B" w:rsidR="00944C3E" w:rsidRPr="00DA352E" w:rsidRDefault="00944C3E" w:rsidP="00D42A8A">
            <w:pPr>
              <w:pStyle w:val="Tabletextprimarysource"/>
            </w:pPr>
          </w:p>
        </w:tc>
      </w:tr>
      <w:tr w:rsidR="00C978F0" w:rsidRPr="00DA352E" w14:paraId="23328E3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623B710" w14:textId="52312BF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952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E38CF">
                  <w:t>NA</w:t>
                </w:r>
              </w:sdtContent>
            </w:sdt>
          </w:p>
        </w:tc>
      </w:tr>
      <w:tr w:rsidR="00C978F0" w:rsidRPr="00DA352E" w14:paraId="00F41BD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586D707" w14:textId="238E9CA5" w:rsidR="00C978F0" w:rsidRPr="00DA352E" w:rsidRDefault="008E38CF" w:rsidP="003365A5">
            <w:pPr>
              <w:pStyle w:val="Tabletextprimarysource"/>
            </w:pPr>
            <w:r>
              <w:t>No report</w:t>
            </w:r>
            <w:r w:rsidR="008A2F81">
              <w:t>.</w:t>
            </w:r>
          </w:p>
        </w:tc>
      </w:tr>
      <w:tr w:rsidR="00C978F0" w:rsidRPr="00DA352E" w14:paraId="3BA5003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FDC909F" w14:textId="3244921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952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8E38CF">
                  <w:t>NA</w:t>
                </w:r>
              </w:sdtContent>
            </w:sdt>
          </w:p>
        </w:tc>
      </w:tr>
      <w:tr w:rsidR="00C978F0" w:rsidRPr="00DA352E" w14:paraId="46DA132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4067598" w14:textId="4FE34BFD" w:rsidR="00C978F0" w:rsidRPr="00DA352E" w:rsidRDefault="008E38CF" w:rsidP="003365A5">
            <w:pPr>
              <w:pStyle w:val="Tabletextprimarysource"/>
            </w:pPr>
            <w:r>
              <w:t>No report</w:t>
            </w:r>
            <w:r w:rsidR="008A2F81">
              <w:t>.</w:t>
            </w:r>
          </w:p>
        </w:tc>
      </w:tr>
      <w:tr w:rsidR="00DA352E" w:rsidRPr="00DA352E" w14:paraId="7DB30D6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71D64DC" w14:textId="7DB4190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952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8E38CF">
                  <w:t>NA</w:t>
                </w:r>
              </w:sdtContent>
            </w:sdt>
          </w:p>
        </w:tc>
      </w:tr>
      <w:tr w:rsidR="00DA352E" w:rsidRPr="00DA352E" w14:paraId="4676BB9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916458B" w14:textId="6790E825" w:rsidR="00DA352E" w:rsidRPr="00DA352E" w:rsidRDefault="008E38CF" w:rsidP="003365A5">
            <w:pPr>
              <w:pStyle w:val="Tabletextprimarysource"/>
            </w:pPr>
            <w:r>
              <w:t>No report</w:t>
            </w:r>
            <w:r w:rsidR="008A2F81">
              <w:t>.</w:t>
            </w:r>
          </w:p>
        </w:tc>
      </w:tr>
      <w:tr w:rsidR="00DA352E" w:rsidRPr="00DA352E" w14:paraId="39BC96D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4075E61" w14:textId="53E0E0E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952A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8E38CF">
                  <w:t>NA</w:t>
                </w:r>
              </w:sdtContent>
            </w:sdt>
          </w:p>
        </w:tc>
      </w:tr>
      <w:tr w:rsidR="00DA352E" w:rsidRPr="00DA352E" w14:paraId="48980D7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2F47E25" w14:textId="05C5DADC" w:rsidR="00DA352E" w:rsidRPr="00DA352E" w:rsidRDefault="008E38CF" w:rsidP="003365A5">
            <w:pPr>
              <w:pStyle w:val="Tabletextprimarysource"/>
            </w:pPr>
            <w:r>
              <w:t>No report</w:t>
            </w:r>
            <w:r w:rsidR="008A2F81">
              <w:t>.</w:t>
            </w:r>
          </w:p>
        </w:tc>
      </w:tr>
    </w:tbl>
    <w:p w14:paraId="0C492E4E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88"/>
        <w:gridCol w:w="422"/>
        <w:gridCol w:w="661"/>
        <w:gridCol w:w="6455"/>
      </w:tblGrid>
      <w:tr w:rsidR="004966BF" w:rsidRPr="00263255" w14:paraId="448BD896" w14:textId="77777777" w:rsidTr="008A2F81">
        <w:trPr>
          <w:cantSplit/>
          <w:trHeight w:val="393"/>
          <w:tblHeader/>
        </w:trPr>
        <w:tc>
          <w:tcPr>
            <w:tcW w:w="1488" w:type="dxa"/>
            <w:shd w:val="clear" w:color="auto" w:fill="BFBFBF" w:themeFill="background1" w:themeFillShade="BF"/>
            <w:vAlign w:val="center"/>
          </w:tcPr>
          <w:p w14:paraId="6E820FEB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0EA9A34F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CEAC7C5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5" w:type="dxa"/>
            <w:shd w:val="clear" w:color="auto" w:fill="BFBFBF" w:themeFill="background1" w:themeFillShade="BF"/>
            <w:vAlign w:val="center"/>
          </w:tcPr>
          <w:p w14:paraId="75FEA1A3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0E15F8" w14:paraId="11C616A2" w14:textId="77777777" w:rsidTr="008A2F81">
        <w:trPr>
          <w:cantSplit/>
        </w:trPr>
        <w:tc>
          <w:tcPr>
            <w:tcW w:w="1488" w:type="dxa"/>
          </w:tcPr>
          <w:p w14:paraId="355E5CDB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2" w:type="dxa"/>
          </w:tcPr>
          <w:p w14:paraId="001D087E" w14:textId="25481579" w:rsidR="004966BF" w:rsidRPr="00CE617F" w:rsidRDefault="00DC43C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952A7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4DB6F76" w14:textId="7BA6043C" w:rsidR="004966BF" w:rsidRPr="004C23F4" w:rsidRDefault="001952A7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2006</w:t>
            </w:r>
          </w:p>
        </w:tc>
        <w:tc>
          <w:tcPr>
            <w:tcW w:w="6455" w:type="dxa"/>
          </w:tcPr>
          <w:p w14:paraId="7FF49795" w14:textId="37877239" w:rsidR="001952A7" w:rsidRDefault="001952A7" w:rsidP="00877D7E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Chronic inhalation study with exposure groups 100, 200, and 400 ppm (rats, 6 h/d, 5 d /wk, 2 yr) and 10, 30</w:t>
            </w:r>
            <w:r w:rsidR="00944C3E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and 100 ppm (mice, 6 h/d, 5</w:t>
            </w:r>
            <w:r w:rsidR="00456A97">
              <w:rPr>
                <w:rStyle w:val="checkbox"/>
                <w:rFonts w:ascii="Arial" w:hAnsi="Arial" w:cs="Arial"/>
              </w:rPr>
              <w:t xml:space="preserve"> </w:t>
            </w:r>
            <w:r w:rsidR="00944C3E">
              <w:rPr>
                <w:rStyle w:val="checkbox"/>
                <w:rFonts w:ascii="Arial" w:hAnsi="Arial" w:cs="Arial"/>
              </w:rPr>
              <w:t>d/wk, 2 yr):</w:t>
            </w:r>
          </w:p>
          <w:p w14:paraId="3232A9B5" w14:textId="4DB9B331" w:rsidR="001952A7" w:rsidRDefault="001952A7" w:rsidP="008A2F81">
            <w:pPr>
              <w:pStyle w:val="Tablefont"/>
              <w:ind w:left="799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Rats:</w:t>
            </w:r>
          </w:p>
          <w:p w14:paraId="568DE599" w14:textId="15676C13" w:rsidR="001952A7" w:rsidRDefault="0015457C" w:rsidP="00877D7E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 w:rsidRPr="0015457C">
              <w:rPr>
                <w:rStyle w:val="checkbox"/>
                <w:rFonts w:ascii="Arial" w:hAnsi="Arial" w:cs="Arial"/>
              </w:rPr>
              <w:t>b</w:t>
            </w:r>
            <w:r w:rsidR="00D12435">
              <w:rPr>
                <w:rStyle w:val="checkbox"/>
                <w:rFonts w:ascii="Arial" w:hAnsi="Arial" w:cs="Arial"/>
              </w:rPr>
              <w:t>w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1952A7">
              <w:rPr>
                <w:rStyle w:val="checkbox"/>
                <w:rFonts w:ascii="Arial" w:hAnsi="Arial" w:cs="Arial"/>
              </w:rPr>
              <w:t>decrease in 400 ppm group</w:t>
            </w:r>
          </w:p>
          <w:p w14:paraId="1DC39485" w14:textId="1FBD7237" w:rsidR="001952A7" w:rsidRDefault="00D42A8A" w:rsidP="00877D7E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</w:t>
            </w:r>
            <w:r w:rsidR="001952A7">
              <w:rPr>
                <w:rStyle w:val="checkbox"/>
                <w:rFonts w:ascii="Arial" w:hAnsi="Arial" w:cs="Arial"/>
              </w:rPr>
              <w:t>lightly higher incidence of kidney tumours in males, significantly increased nephropathy</w:t>
            </w:r>
          </w:p>
          <w:p w14:paraId="5D847A9C" w14:textId="7293FE8B" w:rsidR="001952A7" w:rsidRDefault="00D42A8A" w:rsidP="00877D7E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</w:t>
            </w:r>
            <w:r w:rsidR="001952A7">
              <w:rPr>
                <w:rStyle w:val="checkbox"/>
                <w:rFonts w:ascii="Arial" w:hAnsi="Arial" w:cs="Arial"/>
              </w:rPr>
              <w:t>light increase in brain tumours in 200 ppm males, slight</w:t>
            </w:r>
            <w:r w:rsidR="00D12435">
              <w:rPr>
                <w:rStyle w:val="checkbox"/>
                <w:rFonts w:ascii="Arial" w:hAnsi="Arial" w:cs="Arial"/>
              </w:rPr>
              <w:t>,</w:t>
            </w:r>
            <w:r w:rsidR="001952A7">
              <w:rPr>
                <w:rStyle w:val="checkbox"/>
                <w:rFonts w:ascii="Arial" w:hAnsi="Arial" w:cs="Arial"/>
              </w:rPr>
              <w:t xml:space="preserve"> non-significant increase observed 100 ppm </w:t>
            </w:r>
          </w:p>
          <w:p w14:paraId="4EA45AE3" w14:textId="13427FDD" w:rsidR="001952A7" w:rsidRDefault="00D42A8A" w:rsidP="00877D7E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</w:t>
            </w:r>
            <w:r w:rsidR="001952A7">
              <w:rPr>
                <w:rStyle w:val="checkbox"/>
                <w:rFonts w:ascii="Arial" w:hAnsi="Arial" w:cs="Arial"/>
              </w:rPr>
              <w:t>egenerative and regenerative changes to nasal epithelium in all exposure groups</w:t>
            </w:r>
          </w:p>
          <w:p w14:paraId="3279076A" w14:textId="24E900C7" w:rsidR="001952A7" w:rsidRDefault="00D42A8A" w:rsidP="00877D7E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</w:t>
            </w:r>
            <w:r w:rsidR="001952A7">
              <w:rPr>
                <w:rStyle w:val="checkbox"/>
                <w:rFonts w:ascii="Arial" w:hAnsi="Arial" w:cs="Arial"/>
              </w:rPr>
              <w:t>tudy concluded equivocal evidence for carcinogenicity in males, but negative for females</w:t>
            </w:r>
          </w:p>
          <w:p w14:paraId="0E18E71F" w14:textId="53452547" w:rsidR="001952A7" w:rsidRDefault="001952A7" w:rsidP="008A2F81">
            <w:pPr>
              <w:pStyle w:val="Tablefont"/>
              <w:ind w:left="864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Mice:</w:t>
            </w:r>
          </w:p>
          <w:p w14:paraId="1EB3F288" w14:textId="36451D5C" w:rsidR="001952A7" w:rsidRDefault="000E15F8" w:rsidP="00877D7E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 w:rsidRPr="00334852">
              <w:rPr>
                <w:rStyle w:val="checkbox"/>
                <w:rFonts w:ascii="Arial" w:hAnsi="Arial" w:cs="Arial"/>
              </w:rPr>
              <w:t>b</w:t>
            </w:r>
            <w:r w:rsidR="00D12435">
              <w:rPr>
                <w:rStyle w:val="checkbox"/>
                <w:rFonts w:ascii="Arial" w:hAnsi="Arial" w:cs="Arial"/>
              </w:rPr>
              <w:t>w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1952A7">
              <w:rPr>
                <w:rStyle w:val="checkbox"/>
                <w:rFonts w:ascii="Arial" w:hAnsi="Arial" w:cs="Arial"/>
              </w:rPr>
              <w:t>decrease in males at 100 ppm and at 30</w:t>
            </w:r>
            <w:r>
              <w:rPr>
                <w:rStyle w:val="checkbox"/>
                <w:rFonts w:ascii="Arial" w:hAnsi="Arial" w:cs="Arial"/>
              </w:rPr>
              <w:noBreakHyphen/>
              <w:t>100 </w:t>
            </w:r>
            <w:r w:rsidR="001952A7">
              <w:rPr>
                <w:rStyle w:val="checkbox"/>
                <w:rFonts w:ascii="Arial" w:hAnsi="Arial" w:cs="Arial"/>
              </w:rPr>
              <w:t>ppm in females</w:t>
            </w:r>
          </w:p>
          <w:p w14:paraId="71362D0D" w14:textId="20484451" w:rsidR="001952A7" w:rsidRDefault="00D42A8A" w:rsidP="00877D7E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="001952A7">
              <w:rPr>
                <w:rStyle w:val="checkbox"/>
                <w:rFonts w:ascii="Arial" w:hAnsi="Arial" w:cs="Arial"/>
              </w:rPr>
              <w:t>on-significant increase in lung tumour incidence in males at 100 ppm, increased incidence in females of all groups, some significantly greater than controls (not specified)</w:t>
            </w:r>
          </w:p>
          <w:p w14:paraId="00EB9C11" w14:textId="2A4FB080" w:rsidR="001952A7" w:rsidRDefault="00D42A8A" w:rsidP="00877D7E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="001952A7">
              <w:rPr>
                <w:rStyle w:val="checkbox"/>
                <w:rFonts w:ascii="Arial" w:hAnsi="Arial" w:cs="Arial"/>
              </w:rPr>
              <w:t>asal lesions observed in most exposed mice</w:t>
            </w:r>
          </w:p>
          <w:p w14:paraId="552150C3" w14:textId="1B9DCC8C" w:rsidR="004966BF" w:rsidRDefault="00D42A8A" w:rsidP="00877D7E">
            <w:pPr>
              <w:pStyle w:val="Tablefont"/>
              <w:numPr>
                <w:ilvl w:val="1"/>
                <w:numId w:val="1"/>
              </w:numPr>
              <w:spacing w:before="60" w:after="60"/>
              <w:ind w:left="109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</w:t>
            </w:r>
            <w:r w:rsidR="001952A7">
              <w:rPr>
                <w:rStyle w:val="checkbox"/>
                <w:rFonts w:ascii="Arial" w:hAnsi="Arial" w:cs="Arial"/>
              </w:rPr>
              <w:t>tudy concluded equivocal evidence for carcinogenicity in females, but negative for males</w:t>
            </w:r>
          </w:p>
          <w:p w14:paraId="214FE9B9" w14:textId="540C4A42" w:rsidR="001952A7" w:rsidRPr="000E15F8" w:rsidRDefault="001952A7" w:rsidP="00877D7E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 w:rsidRPr="000E15F8">
              <w:rPr>
                <w:rStyle w:val="checkbox"/>
                <w:rFonts w:ascii="Arial" w:hAnsi="Arial" w:cs="Arial"/>
              </w:rPr>
              <w:t xml:space="preserve">Non-genotoxic </w:t>
            </w:r>
            <w:r w:rsidRPr="000E15F8">
              <w:rPr>
                <w:rStyle w:val="checkbox"/>
                <w:rFonts w:ascii="Arial" w:hAnsi="Arial" w:cs="Arial"/>
                <w:i/>
              </w:rPr>
              <w:t>in vitro</w:t>
            </w:r>
            <w:r w:rsidRPr="000E15F8">
              <w:rPr>
                <w:rStyle w:val="checkbox"/>
                <w:rFonts w:ascii="Arial" w:hAnsi="Arial" w:cs="Arial"/>
              </w:rPr>
              <w:t xml:space="preserve"> or </w:t>
            </w:r>
            <w:r w:rsidRPr="000E15F8">
              <w:rPr>
                <w:rStyle w:val="checkbox"/>
                <w:rFonts w:ascii="Arial" w:hAnsi="Arial" w:cs="Arial"/>
                <w:i/>
              </w:rPr>
              <w:t>in vivo</w:t>
            </w:r>
            <w:r w:rsidRPr="000E15F8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2CB7FBD3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772494D4" w14:textId="77777777" w:rsidTr="001952A7">
        <w:trPr>
          <w:trHeight w:val="454"/>
          <w:tblHeader/>
        </w:trPr>
        <w:tc>
          <w:tcPr>
            <w:tcW w:w="6597" w:type="dxa"/>
            <w:vAlign w:val="center"/>
          </w:tcPr>
          <w:p w14:paraId="29449F40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89E2CAC" w14:textId="4B41FA26" w:rsidR="002E0D61" w:rsidRDefault="001952A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1AF5BA4" w14:textId="77777777" w:rsidTr="001952A7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61B60657" w14:textId="141DC4AF" w:rsidR="008A36CF" w:rsidRPr="006901A2" w:rsidRDefault="001952A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1F1E1F9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6A64261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447B707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F171309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341F45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6A4E196" w14:textId="77777777" w:rsidTr="00812887">
        <w:trPr>
          <w:cantSplit/>
        </w:trPr>
        <w:tc>
          <w:tcPr>
            <w:tcW w:w="3227" w:type="dxa"/>
          </w:tcPr>
          <w:p w14:paraId="6E453FF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1B3B7F3" w14:textId="42148445" w:rsidR="00687890" w:rsidRPr="00DD2F9B" w:rsidRDefault="003A12DE" w:rsidP="00DD2F9B">
            <w:pPr>
              <w:pStyle w:val="Tablefont"/>
            </w:pPr>
            <w:r w:rsidRPr="003A12DE">
              <w:t>—</w:t>
            </w:r>
          </w:p>
        </w:tc>
      </w:tr>
      <w:tr w:rsidR="007925F0" w:rsidRPr="004C23F4" w14:paraId="45D4EE59" w14:textId="77777777" w:rsidTr="00812887">
        <w:trPr>
          <w:cantSplit/>
        </w:trPr>
        <w:tc>
          <w:tcPr>
            <w:tcW w:w="3227" w:type="dxa"/>
          </w:tcPr>
          <w:p w14:paraId="4E6EF82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232E702" w14:textId="4569482E" w:rsidR="007925F0" w:rsidRPr="00DD2F9B" w:rsidRDefault="003A12DE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1779C21" w14:textId="77777777" w:rsidTr="00812887">
        <w:trPr>
          <w:cantSplit/>
        </w:trPr>
        <w:tc>
          <w:tcPr>
            <w:tcW w:w="3227" w:type="dxa"/>
          </w:tcPr>
          <w:p w14:paraId="14C8B622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2FFFC1B" w14:textId="0A0B1435" w:rsidR="00AF483F" w:rsidRPr="00DD2F9B" w:rsidRDefault="003A12DE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2CB09A98" w14:textId="77777777" w:rsidTr="00812887">
        <w:trPr>
          <w:cantSplit/>
        </w:trPr>
        <w:tc>
          <w:tcPr>
            <w:tcW w:w="3227" w:type="dxa"/>
          </w:tcPr>
          <w:p w14:paraId="44AD95CC" w14:textId="77777777" w:rsidR="004079B4" w:rsidRPr="004C23F4" w:rsidRDefault="00687890" w:rsidP="00F4402E">
            <w:pPr>
              <w:pStyle w:val="Tablefont"/>
            </w:pPr>
            <w:r w:rsidRPr="004C23F4">
              <w:lastRenderedPageBreak/>
              <w:t>EU Annex</w:t>
            </w:r>
          </w:p>
        </w:tc>
        <w:tc>
          <w:tcPr>
            <w:tcW w:w="6015" w:type="dxa"/>
          </w:tcPr>
          <w:p w14:paraId="52589DF5" w14:textId="38B821C2" w:rsidR="00687890" w:rsidRPr="00DD2F9B" w:rsidRDefault="003A12DE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BD41ED9" w14:textId="77777777" w:rsidTr="00812887">
        <w:trPr>
          <w:cantSplit/>
        </w:trPr>
        <w:tc>
          <w:tcPr>
            <w:tcW w:w="3227" w:type="dxa"/>
          </w:tcPr>
          <w:p w14:paraId="0E2783D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CF9F260" w14:textId="655D9CFE" w:rsidR="00E41A26" w:rsidRPr="00DD2F9B" w:rsidRDefault="003A12D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2190FE2" w14:textId="77777777" w:rsidTr="00812887">
        <w:trPr>
          <w:cantSplit/>
        </w:trPr>
        <w:tc>
          <w:tcPr>
            <w:tcW w:w="3227" w:type="dxa"/>
          </w:tcPr>
          <w:p w14:paraId="53B039B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AA39F0A" w14:textId="7EB2C35E" w:rsidR="002E0D61" w:rsidRPr="00DD2F9B" w:rsidRDefault="003A12DE" w:rsidP="00DD2F9B">
            <w:pPr>
              <w:pStyle w:val="Tablefont"/>
            </w:pPr>
            <w:r w:rsidRPr="003A12DE">
              <w:t>—</w:t>
            </w:r>
          </w:p>
        </w:tc>
      </w:tr>
      <w:tr w:rsidR="002E0D61" w:rsidRPr="004C23F4" w14:paraId="588FAFF9" w14:textId="77777777" w:rsidTr="00812887">
        <w:trPr>
          <w:cantSplit/>
        </w:trPr>
        <w:tc>
          <w:tcPr>
            <w:tcW w:w="3227" w:type="dxa"/>
          </w:tcPr>
          <w:p w14:paraId="7683355A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2A2BF40" w14:textId="3A9CA6E7" w:rsidR="002E0D61" w:rsidRPr="00DD2F9B" w:rsidRDefault="003A12D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F45652" w14:textId="77777777" w:rsidTr="00812887">
        <w:trPr>
          <w:cantSplit/>
        </w:trPr>
        <w:tc>
          <w:tcPr>
            <w:tcW w:w="3227" w:type="dxa"/>
          </w:tcPr>
          <w:p w14:paraId="1B5EC65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DECAEA3" w14:textId="42EA3C58" w:rsidR="002E0D61" w:rsidRPr="00DD2F9B" w:rsidRDefault="003A12D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512A40A" w14:textId="77777777" w:rsidTr="00812887">
        <w:trPr>
          <w:cantSplit/>
        </w:trPr>
        <w:tc>
          <w:tcPr>
            <w:tcW w:w="3227" w:type="dxa"/>
          </w:tcPr>
          <w:p w14:paraId="07A0369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85C3965" w14:textId="02860185" w:rsidR="002E0D61" w:rsidRPr="00DD2F9B" w:rsidRDefault="003A12D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BB24E81" w14:textId="77777777" w:rsidTr="00812887">
        <w:trPr>
          <w:cantSplit/>
        </w:trPr>
        <w:tc>
          <w:tcPr>
            <w:tcW w:w="3227" w:type="dxa"/>
          </w:tcPr>
          <w:p w14:paraId="672C175B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188E47D" w14:textId="28FDDFC2" w:rsidR="00386093" w:rsidRPr="00DD2F9B" w:rsidRDefault="003A12D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9377176" w14:textId="77777777" w:rsidTr="00812887">
        <w:trPr>
          <w:cantSplit/>
        </w:trPr>
        <w:tc>
          <w:tcPr>
            <w:tcW w:w="3227" w:type="dxa"/>
          </w:tcPr>
          <w:p w14:paraId="227A5C18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B2BC528" w14:textId="26554FC3" w:rsidR="00386093" w:rsidRPr="00DD2F9B" w:rsidRDefault="003A12DE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0F08A53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9B717A7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1316A1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013585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6F59334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FC07FDA" w14:textId="329314B7" w:rsidR="00932DCE" w:rsidRPr="004C23F4" w:rsidRDefault="001952A7" w:rsidP="00F9496B">
            <w:pPr>
              <w:pStyle w:val="Tablefont"/>
            </w:pPr>
            <w:r>
              <w:t xml:space="preserve">Insufficient data to assign a </w:t>
            </w:r>
            <w:r w:rsidR="00456A97">
              <w:t xml:space="preserve">skin </w:t>
            </w:r>
            <w:r>
              <w:t>notation</w:t>
            </w:r>
            <w:r w:rsidR="00D12435">
              <w:t>.</w:t>
            </w:r>
          </w:p>
        </w:tc>
      </w:tr>
    </w:tbl>
    <w:bookmarkEnd w:id="3"/>
    <w:p w14:paraId="261D16E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0743C78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504235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ACC7368" w14:textId="5C70F75A" w:rsidR="00EB3D1B" w:rsidRDefault="001952A7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640795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71907E4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27C163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D6BF486" w14:textId="519E4A74" w:rsidR="001B79E5" w:rsidRDefault="00C87FB4" w:rsidP="001B79E5">
                <w:pPr>
                  <w:pStyle w:val="Tablefont"/>
                </w:pPr>
                <w:r>
                  <w:t>130.19</w:t>
                </w:r>
              </w:p>
            </w:tc>
          </w:sdtContent>
        </w:sdt>
      </w:tr>
      <w:tr w:rsidR="00A31D99" w:rsidRPr="004C23F4" w14:paraId="059A697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F49ACE8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587B19D2" w14:textId="5BAC04B8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87FB4">
                  <w:t>5.32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87FB4">
                  <w:t>0.188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533BD8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FCC4AA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B58B565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35A2F41" w14:textId="77777777" w:rsidTr="00EA6243">
        <w:trPr>
          <w:cantSplit/>
        </w:trPr>
        <w:tc>
          <w:tcPr>
            <w:tcW w:w="4077" w:type="dxa"/>
            <w:vAlign w:val="center"/>
          </w:tcPr>
          <w:p w14:paraId="2CFADC1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ED9C4A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F89EA67" w14:textId="77777777" w:rsidTr="00EA6243">
        <w:trPr>
          <w:cantSplit/>
        </w:trPr>
        <w:tc>
          <w:tcPr>
            <w:tcW w:w="4077" w:type="dxa"/>
            <w:vAlign w:val="center"/>
          </w:tcPr>
          <w:p w14:paraId="65D3C2BA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7E24BFD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A637774" w14:textId="77777777" w:rsidTr="00EA6243">
        <w:trPr>
          <w:cantSplit/>
        </w:trPr>
        <w:tc>
          <w:tcPr>
            <w:tcW w:w="4077" w:type="dxa"/>
            <w:vAlign w:val="center"/>
          </w:tcPr>
          <w:p w14:paraId="38F21B7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B140729" w14:textId="77777777" w:rsidR="00E06F40" w:rsidRPr="00A006A0" w:rsidRDefault="00DC43C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4EA628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0C351F27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ED2902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EF15ACB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8F116A1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CF8C2F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E5BF5C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63FE0CEE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442FCA0" w14:textId="0F51A8D3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AC658EE" w14:textId="2F691E2B" w:rsidR="001952A7" w:rsidRPr="00351FE0" w:rsidRDefault="001952A7" w:rsidP="00084859">
      <w:r w:rsidRPr="002022B6">
        <w:lastRenderedPageBreak/>
        <w:t>National Toxicology Program (NTP)</w:t>
      </w:r>
      <w:r>
        <w:t xml:space="preserve"> (2006) </w:t>
      </w:r>
      <w:r w:rsidRPr="001952A7">
        <w:t>Toxicology and carcinogenesis studies of divinylbenzene-HP</w:t>
      </w:r>
      <w:r>
        <w:t>. NTP Technical report series No. 534. DHHS (NIH) Pub No 1-290.</w:t>
      </w:r>
    </w:p>
    <w:sectPr w:rsidR="001952A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430FA" w14:textId="77777777" w:rsidR="00B73D44" w:rsidRDefault="00B73D44" w:rsidP="00F43AD5">
      <w:pPr>
        <w:spacing w:after="0" w:line="240" w:lineRule="auto"/>
      </w:pPr>
      <w:r>
        <w:separator/>
      </w:r>
    </w:p>
  </w:endnote>
  <w:endnote w:type="continuationSeparator" w:id="0">
    <w:p w14:paraId="0CB29ECB" w14:textId="77777777" w:rsidR="00B73D44" w:rsidRDefault="00B73D4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97DA" w14:textId="77777777" w:rsidR="00DC43C3" w:rsidRDefault="00DC4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E513994" w14:textId="6718FFD8" w:rsidR="008A36CF" w:rsidRDefault="006458CC" w:rsidP="0034744C">
        <w:pPr>
          <w:pStyle w:val="Footer"/>
          <w:rPr>
            <w:sz w:val="18"/>
            <w:szCs w:val="18"/>
          </w:rPr>
        </w:pPr>
        <w:r w:rsidRPr="006458CC">
          <w:rPr>
            <w:b/>
            <w:sz w:val="18"/>
            <w:szCs w:val="18"/>
          </w:rPr>
          <w:t>Divinyl benzene</w:t>
        </w:r>
        <w:r w:rsidR="008A36CF">
          <w:rPr>
            <w:b/>
            <w:sz w:val="18"/>
            <w:szCs w:val="18"/>
          </w:rPr>
          <w:t xml:space="preserve"> (</w:t>
        </w:r>
        <w:r w:rsidRPr="006458CC">
          <w:rPr>
            <w:b/>
            <w:sz w:val="18"/>
            <w:szCs w:val="18"/>
          </w:rPr>
          <w:t>1321-74-0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D1AF15C" w14:textId="446FA39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C43C3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C586" w14:textId="77777777" w:rsidR="00DC43C3" w:rsidRDefault="00DC4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7FC61" w14:textId="77777777" w:rsidR="00B73D44" w:rsidRDefault="00B73D44" w:rsidP="00F43AD5">
      <w:pPr>
        <w:spacing w:after="0" w:line="240" w:lineRule="auto"/>
      </w:pPr>
      <w:r>
        <w:separator/>
      </w:r>
    </w:p>
  </w:footnote>
  <w:footnote w:type="continuationSeparator" w:id="0">
    <w:p w14:paraId="460CAF34" w14:textId="77777777" w:rsidR="00B73D44" w:rsidRDefault="00B73D4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FFBBD" w14:textId="77777777" w:rsidR="00DC43C3" w:rsidRDefault="00DC4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19A6" w14:textId="2C20F77B" w:rsidR="00DC43C3" w:rsidRDefault="00DC43C3" w:rsidP="00DC43C3">
    <w:pPr>
      <w:pStyle w:val="Header"/>
      <w:jc w:val="right"/>
    </w:pPr>
    <w:r>
      <w:pict w14:anchorId="09DE45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F110E44" wp14:editId="08331E60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DD211" w14:textId="77777777" w:rsidR="00DC43C3" w:rsidRDefault="00DC43C3" w:rsidP="00DC43C3">
    <w:pPr>
      <w:pStyle w:val="Header"/>
    </w:pPr>
  </w:p>
  <w:p w14:paraId="7FBFCD7C" w14:textId="5589285C" w:rsidR="008A36CF" w:rsidRPr="00DC43C3" w:rsidRDefault="008A36CF" w:rsidP="00DC43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00A26" w14:textId="77777777" w:rsidR="00DC43C3" w:rsidRDefault="00DC43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FB801" w14:textId="7563668B" w:rsidR="00DC43C3" w:rsidRDefault="00DC43C3" w:rsidP="00DC43C3">
    <w:pPr>
      <w:pStyle w:val="Header"/>
      <w:jc w:val="right"/>
    </w:pPr>
    <w:r>
      <w:pict w14:anchorId="61B278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6C31956" wp14:editId="03ABEB02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2EE4E" w14:textId="77777777" w:rsidR="00DC43C3" w:rsidRDefault="00DC43C3" w:rsidP="00DC43C3">
    <w:pPr>
      <w:pStyle w:val="Header"/>
    </w:pPr>
  </w:p>
  <w:p w14:paraId="5C5ADD00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4645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B43A78"/>
    <w:multiLevelType w:val="hybridMultilevel"/>
    <w:tmpl w:val="447816CC"/>
    <w:lvl w:ilvl="0" w:tplc="CD303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F1141"/>
    <w:multiLevelType w:val="hybridMultilevel"/>
    <w:tmpl w:val="9400593A"/>
    <w:lvl w:ilvl="0" w:tplc="43348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092E"/>
    <w:rsid w:val="000B0868"/>
    <w:rsid w:val="000B3E12"/>
    <w:rsid w:val="000B3E78"/>
    <w:rsid w:val="000B737C"/>
    <w:rsid w:val="000B7B48"/>
    <w:rsid w:val="000C096D"/>
    <w:rsid w:val="000C139A"/>
    <w:rsid w:val="000C2053"/>
    <w:rsid w:val="000C248C"/>
    <w:rsid w:val="000C5996"/>
    <w:rsid w:val="000D291C"/>
    <w:rsid w:val="000E15F8"/>
    <w:rsid w:val="000E5A54"/>
    <w:rsid w:val="000E63D3"/>
    <w:rsid w:val="000E67CF"/>
    <w:rsid w:val="0010461E"/>
    <w:rsid w:val="00106FAA"/>
    <w:rsid w:val="00111D15"/>
    <w:rsid w:val="00113443"/>
    <w:rsid w:val="001269A7"/>
    <w:rsid w:val="00131092"/>
    <w:rsid w:val="00140E6A"/>
    <w:rsid w:val="00146545"/>
    <w:rsid w:val="00146B75"/>
    <w:rsid w:val="0015266D"/>
    <w:rsid w:val="0015288A"/>
    <w:rsid w:val="0015457C"/>
    <w:rsid w:val="00160F47"/>
    <w:rsid w:val="00177912"/>
    <w:rsid w:val="00177CA1"/>
    <w:rsid w:val="00183823"/>
    <w:rsid w:val="00183942"/>
    <w:rsid w:val="001952A7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08C2"/>
    <w:rsid w:val="00276494"/>
    <w:rsid w:val="00277B0C"/>
    <w:rsid w:val="00293106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12DE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6A97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3096"/>
    <w:rsid w:val="006363A8"/>
    <w:rsid w:val="00636DB7"/>
    <w:rsid w:val="006458CC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20F0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08D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D0593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77D7E"/>
    <w:rsid w:val="0088798F"/>
    <w:rsid w:val="00887E4B"/>
    <w:rsid w:val="008915C8"/>
    <w:rsid w:val="008A2F81"/>
    <w:rsid w:val="008A36CF"/>
    <w:rsid w:val="008A3BC4"/>
    <w:rsid w:val="008B1228"/>
    <w:rsid w:val="008B403C"/>
    <w:rsid w:val="008B7983"/>
    <w:rsid w:val="008C2511"/>
    <w:rsid w:val="008D026D"/>
    <w:rsid w:val="008D23AB"/>
    <w:rsid w:val="008D4B8B"/>
    <w:rsid w:val="008D5A78"/>
    <w:rsid w:val="008E38C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4C3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0B4F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055B"/>
    <w:rsid w:val="00AE2745"/>
    <w:rsid w:val="00AE2F64"/>
    <w:rsid w:val="00AF42CB"/>
    <w:rsid w:val="00AF483F"/>
    <w:rsid w:val="00AF4EDC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3D44"/>
    <w:rsid w:val="00B76A41"/>
    <w:rsid w:val="00B85545"/>
    <w:rsid w:val="00B87D4C"/>
    <w:rsid w:val="00B93646"/>
    <w:rsid w:val="00BA0B38"/>
    <w:rsid w:val="00BA1DBB"/>
    <w:rsid w:val="00BA31B9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0FE9"/>
    <w:rsid w:val="00C569CD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87FB4"/>
    <w:rsid w:val="00C978F0"/>
    <w:rsid w:val="00CA58FE"/>
    <w:rsid w:val="00CB1CB1"/>
    <w:rsid w:val="00CB6BC1"/>
    <w:rsid w:val="00CB6CB8"/>
    <w:rsid w:val="00CC0D57"/>
    <w:rsid w:val="00CC1A68"/>
    <w:rsid w:val="00CC2123"/>
    <w:rsid w:val="00CD2BFD"/>
    <w:rsid w:val="00CE5AD6"/>
    <w:rsid w:val="00CE617F"/>
    <w:rsid w:val="00CE78EF"/>
    <w:rsid w:val="00D029A2"/>
    <w:rsid w:val="00D048F7"/>
    <w:rsid w:val="00D0517E"/>
    <w:rsid w:val="00D12435"/>
    <w:rsid w:val="00D140FC"/>
    <w:rsid w:val="00D21D8C"/>
    <w:rsid w:val="00D31357"/>
    <w:rsid w:val="00D33220"/>
    <w:rsid w:val="00D334D1"/>
    <w:rsid w:val="00D42A8A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43C3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  <w15:docId w15:val="{8798A249-FC43-4D6D-93E7-9A6D46E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1952A7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7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3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37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37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7CA047F7A574FE68FE3F4A089BE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C6E9-83B0-44D8-8CBB-F2A3EFA362B5}"/>
      </w:docPartPr>
      <w:docPartBody>
        <w:p w:rsidR="007748F7" w:rsidRDefault="001747E9" w:rsidP="001747E9">
          <w:pPr>
            <w:pStyle w:val="B7CA047F7A574FE68FE3F4A089BEAC29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747E9"/>
    <w:rsid w:val="007748F7"/>
    <w:rsid w:val="008217B3"/>
    <w:rsid w:val="00D04738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7E9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6EE09C687EA4435A9F798EC4AD2E6E3">
    <w:name w:val="36EE09C687EA4435A9F798EC4AD2E6E3"/>
  </w:style>
  <w:style w:type="paragraph" w:customStyle="1" w:styleId="ACD1C7CA20DE4B2586485E6BDAB19DE5">
    <w:name w:val="ACD1C7CA20DE4B2586485E6BDAB19DE5"/>
  </w:style>
  <w:style w:type="paragraph" w:customStyle="1" w:styleId="B7245D986C3F49EE88FFCE7036A46136">
    <w:name w:val="B7245D986C3F49EE88FFCE7036A46136"/>
  </w:style>
  <w:style w:type="paragraph" w:customStyle="1" w:styleId="8A6376DE1F4C4EF29887CBDAB440B7D3">
    <w:name w:val="8A6376DE1F4C4EF29887CBDAB440B7D3"/>
  </w:style>
  <w:style w:type="paragraph" w:customStyle="1" w:styleId="B7CA047F7A574FE68FE3F4A089BEAC29">
    <w:name w:val="B7CA047F7A574FE68FE3F4A089BEAC29"/>
    <w:rsid w:val="00174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8B541C-3B7E-40D0-AFAD-264B12F1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C968C-5C87-4CFE-83D8-784EAFFA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F184284B.dotm</Template>
  <TotalTime>281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HEARD,Jonathan</dc:creator>
  <cp:keywords/>
  <dc:description/>
  <cp:lastModifiedBy>WARING,Owen</cp:lastModifiedBy>
  <cp:revision>14</cp:revision>
  <cp:lastPrinted>2018-10-22T22:41:00Z</cp:lastPrinted>
  <dcterms:created xsi:type="dcterms:W3CDTF">2019-08-23T01:18:00Z</dcterms:created>
  <dcterms:modified xsi:type="dcterms:W3CDTF">2019-11-06T22:33:00Z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