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416698" w:rsidP="00B40C60">
          <w:pPr>
            <w:pStyle w:val="Heading1"/>
            <w:jc w:val="center"/>
            <w:rPr>
              <w:rFonts w:ascii="Arial" w:hAnsi="Arial" w:cs="Arial"/>
            </w:rPr>
          </w:pPr>
          <w:r w:rsidRPr="00416698">
            <w:rPr>
              <w:rFonts w:ascii="Arial" w:hAnsi="Arial" w:cs="Arial"/>
            </w:rPr>
            <w:t>Endrin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1"/>
        <w:gridCol w:w="5055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416698" w:rsidP="00B76A41">
            <w:pPr>
              <w:pStyle w:val="Tablefont"/>
            </w:pPr>
            <w:r w:rsidRPr="00416698">
              <w:t>72-20-8</w:t>
            </w:r>
          </w:p>
        </w:tc>
      </w:tr>
      <w:tr w:rsidR="00F43AD5" w:rsidRPr="00536149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484A8D" w:rsidRDefault="00416698" w:rsidP="00B76A41">
            <w:pPr>
              <w:pStyle w:val="Tablefont"/>
              <w:rPr>
                <w:lang w:val="it-IT"/>
              </w:rPr>
            </w:pPr>
            <w:r w:rsidRPr="00484A8D">
              <w:rPr>
                <w:lang w:val="it-IT"/>
              </w:rPr>
              <w:t>1,2,3,4,10,10-Hexachloro-6,7-epoxy-1</w:t>
            </w:r>
            <w:r w:rsidR="009D0F88" w:rsidRPr="00484A8D">
              <w:rPr>
                <w:lang w:val="it-IT"/>
              </w:rPr>
              <w:t xml:space="preserve">,4,4a,5,6,7,8,8a-octahydro-endo, </w:t>
            </w:r>
            <w:r w:rsidRPr="00484A8D">
              <w:rPr>
                <w:lang w:val="it-IT"/>
              </w:rPr>
              <w:t>endo-1,4:5,8-dimethanonaphthalene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416698" w:rsidP="00B76A41">
            <w:pPr>
              <w:pStyle w:val="Tablefont"/>
            </w:pPr>
            <w:r>
              <w:t>C</w:t>
            </w:r>
            <w:r w:rsidRPr="00416698">
              <w:rPr>
                <w:vertAlign w:val="subscript"/>
              </w:rPr>
              <w:t>12</w:t>
            </w:r>
            <w:r>
              <w:t>H</w:t>
            </w:r>
            <w:r w:rsidRPr="00416698">
              <w:rPr>
                <w:vertAlign w:val="subscript"/>
              </w:rPr>
              <w:t>8</w:t>
            </w:r>
            <w:r>
              <w:t>Cl</w:t>
            </w:r>
            <w:r w:rsidRPr="00416698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40C60" w:rsidRDefault="00416698" w:rsidP="00B76A41">
            <w:pPr>
              <w:pStyle w:val="Tablerowheading"/>
              <w:rPr>
                <w:b w:val="0"/>
              </w:rPr>
            </w:pPr>
            <w:r w:rsidRPr="00416698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42F0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2"/>
        <w:gridCol w:w="5034"/>
      </w:tblGrid>
      <w:tr w:rsidR="002C7AFE" w:rsidRPr="004C23F4" w:rsidTr="00E8036D">
        <w:trPr>
          <w:cantSplit/>
          <w:tblHeader/>
        </w:trPr>
        <w:tc>
          <w:tcPr>
            <w:tcW w:w="3992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34" w:type="dxa"/>
          </w:tcPr>
          <w:p w:rsidR="002C7AFE" w:rsidRPr="009552DC" w:rsidRDefault="00F42F07" w:rsidP="00017C82">
            <w:pPr>
              <w:pStyle w:val="Tablefont"/>
              <w:rPr>
                <w:b/>
              </w:rPr>
            </w:pPr>
            <w:r w:rsidRPr="009552DC">
              <w:rPr>
                <w:b/>
              </w:rPr>
              <w:t>0.1 mg/m</w:t>
            </w:r>
            <w:r w:rsidRPr="009552DC">
              <w:rPr>
                <w:b/>
                <w:vertAlign w:val="superscript"/>
              </w:rPr>
              <w:t>3</w:t>
            </w:r>
          </w:p>
        </w:tc>
      </w:tr>
      <w:tr w:rsidR="002C7AFE" w:rsidRPr="004C23F4" w:rsidTr="00E8036D">
        <w:trPr>
          <w:cantSplit/>
        </w:trPr>
        <w:tc>
          <w:tcPr>
            <w:tcW w:w="3992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34" w:type="dxa"/>
          </w:tcPr>
          <w:p w:rsidR="002C7AFE" w:rsidRPr="009552DC" w:rsidRDefault="00F42F07" w:rsidP="00017C82">
            <w:pPr>
              <w:pStyle w:val="Tablefont"/>
              <w:rPr>
                <w:b/>
              </w:rPr>
            </w:pPr>
            <w:r w:rsidRPr="009552DC">
              <w:rPr>
                <w:b/>
              </w:rPr>
              <w:t>—</w:t>
            </w:r>
          </w:p>
        </w:tc>
      </w:tr>
      <w:tr w:rsidR="002C7AFE" w:rsidRPr="004C23F4" w:rsidTr="00E8036D">
        <w:trPr>
          <w:cantSplit/>
        </w:trPr>
        <w:tc>
          <w:tcPr>
            <w:tcW w:w="3992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34" w:type="dxa"/>
          </w:tcPr>
          <w:p w:rsidR="002C7AFE" w:rsidRPr="009552DC" w:rsidRDefault="00F42F07" w:rsidP="00017C82">
            <w:pPr>
              <w:pStyle w:val="Tablefont"/>
              <w:rPr>
                <w:b/>
              </w:rPr>
            </w:pPr>
            <w:r w:rsidRPr="009552DC">
              <w:rPr>
                <w:b/>
              </w:rPr>
              <w:t>—</w:t>
            </w:r>
          </w:p>
        </w:tc>
      </w:tr>
      <w:tr w:rsidR="002C7AFE" w:rsidRPr="004C23F4" w:rsidTr="00E8036D">
        <w:trPr>
          <w:cantSplit/>
        </w:trPr>
        <w:tc>
          <w:tcPr>
            <w:tcW w:w="3992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34" w:type="dxa"/>
          </w:tcPr>
          <w:p w:rsidR="002C7AFE" w:rsidRPr="009552DC" w:rsidRDefault="00F42F07" w:rsidP="008A36CF">
            <w:pPr>
              <w:pStyle w:val="Tablefont"/>
              <w:rPr>
                <w:b/>
              </w:rPr>
            </w:pPr>
            <w:r w:rsidRPr="009552DC">
              <w:rPr>
                <w:b/>
              </w:rPr>
              <w:t>Sk</w:t>
            </w:r>
            <w:r w:rsidR="00766028">
              <w:rPr>
                <w:b/>
              </w:rPr>
              <w:t>.</w:t>
            </w:r>
          </w:p>
        </w:tc>
      </w:tr>
      <w:tr w:rsidR="002C7AFE" w:rsidRPr="004C23F4" w:rsidTr="00E8036D">
        <w:trPr>
          <w:cantSplit/>
        </w:trPr>
        <w:tc>
          <w:tcPr>
            <w:tcW w:w="3992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34" w:type="dxa"/>
          </w:tcPr>
          <w:p w:rsidR="002C7AFE" w:rsidRPr="009552DC" w:rsidRDefault="00416698" w:rsidP="00017C82">
            <w:pPr>
              <w:pStyle w:val="Tablefont"/>
              <w:rPr>
                <w:b/>
              </w:rPr>
            </w:pPr>
            <w:r w:rsidRPr="009552DC">
              <w:rPr>
                <w:b/>
              </w:rPr>
              <w:t>2 mg/m</w:t>
            </w:r>
            <w:r w:rsidRPr="009552DC">
              <w:rPr>
                <w:b/>
                <w:vertAlign w:val="superscript"/>
              </w:rPr>
              <w:t>3</w:t>
            </w:r>
          </w:p>
        </w:tc>
      </w:tr>
      <w:tr w:rsidR="00E8036D" w:rsidRPr="004C23F4" w:rsidTr="00191466">
        <w:trPr>
          <w:cantSplit/>
        </w:trPr>
        <w:tc>
          <w:tcPr>
            <w:tcW w:w="9026" w:type="dxa"/>
            <w:gridSpan w:val="2"/>
            <w:vAlign w:val="center"/>
          </w:tcPr>
          <w:p w:rsidR="00E8036D" w:rsidRPr="00F42F07" w:rsidRDefault="00E8036D" w:rsidP="009552DC">
            <w:pPr>
              <w:pStyle w:val="Tablerowright"/>
              <w:jc w:val="left"/>
            </w:pPr>
            <w: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F26FC715654A4550AFF7734DAA4A56E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  <w:r w:rsidDel="00E8036D">
              <w:t xml:space="preserve"> </w:t>
            </w:r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E000E4" w:rsidRDefault="00F62AFC" w:rsidP="000C139A">
      <w:pPr>
        <w:rPr>
          <w:rFonts w:cs="Arial"/>
        </w:rPr>
      </w:pPr>
      <w:r>
        <w:rPr>
          <w:rFonts w:cs="Arial"/>
        </w:rPr>
        <w:t>A</w:t>
      </w:r>
      <w:r w:rsidR="00E000E4">
        <w:rPr>
          <w:rFonts w:cs="Arial"/>
        </w:rPr>
        <w:t xml:space="preserve"> TWA of 0.1 mg/m</w:t>
      </w:r>
      <w:r w:rsidR="00E000E4">
        <w:rPr>
          <w:rFonts w:cs="Arial"/>
          <w:vertAlign w:val="superscript"/>
        </w:rPr>
        <w:t>3</w:t>
      </w:r>
      <w:r w:rsidR="00D34F9F">
        <w:rPr>
          <w:rFonts w:cs="Arial"/>
        </w:rPr>
        <w:t xml:space="preserve"> is re</w:t>
      </w:r>
      <w:r w:rsidR="00FC4F4B">
        <w:rPr>
          <w:rFonts w:cs="Arial"/>
        </w:rPr>
        <w:t>commended</w:t>
      </w:r>
      <w:r w:rsidR="00D34F9F">
        <w:rPr>
          <w:rFonts w:cs="Arial"/>
        </w:rPr>
        <w:t xml:space="preserve"> to protect </w:t>
      </w:r>
      <w:r>
        <w:rPr>
          <w:rFonts w:cs="Arial"/>
        </w:rPr>
        <w:t>for</w:t>
      </w:r>
      <w:r w:rsidR="00D34F9F">
        <w:rPr>
          <w:rFonts w:cs="Arial"/>
        </w:rPr>
        <w:t xml:space="preserve"> effects </w:t>
      </w:r>
      <w:r>
        <w:rPr>
          <w:rFonts w:cs="Arial"/>
        </w:rPr>
        <w:t>in</w:t>
      </w:r>
      <w:r w:rsidR="00D34F9F">
        <w:rPr>
          <w:rFonts w:cs="Arial"/>
        </w:rPr>
        <w:t xml:space="preserve"> the liver and </w:t>
      </w:r>
      <w:r w:rsidR="00FC4F4B">
        <w:rPr>
          <w:rFonts w:cs="Arial"/>
        </w:rPr>
        <w:t>central nervous system (</w:t>
      </w:r>
      <w:r w:rsidR="00D34F9F">
        <w:rPr>
          <w:rFonts w:cs="Arial"/>
        </w:rPr>
        <w:t>CNS</w:t>
      </w:r>
      <w:r w:rsidR="00FC4F4B">
        <w:rPr>
          <w:rFonts w:cs="Arial"/>
        </w:rPr>
        <w:t>) in exposed workers</w:t>
      </w:r>
      <w:r w:rsidR="00D34F9F">
        <w:rPr>
          <w:rFonts w:cs="Arial"/>
        </w:rPr>
        <w:t xml:space="preserve"> </w:t>
      </w:r>
      <w:r>
        <w:rPr>
          <w:rFonts w:cs="Arial"/>
        </w:rPr>
        <w:t xml:space="preserve">including </w:t>
      </w:r>
      <w:r w:rsidR="00D34F9F">
        <w:rPr>
          <w:rFonts w:cs="Arial"/>
        </w:rPr>
        <w:t xml:space="preserve">headache, dizziness, weakness, muscle tremors and convulsions. 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FC4F4B" w:rsidRDefault="00F62AFC" w:rsidP="006639B4">
      <w:pPr>
        <w:rPr>
          <w:rFonts w:cs="Arial"/>
        </w:rPr>
      </w:pPr>
      <w:proofErr w:type="spellStart"/>
      <w:r>
        <w:rPr>
          <w:rFonts w:cs="Arial"/>
        </w:rPr>
        <w:t>Endrin</w:t>
      </w:r>
      <w:proofErr w:type="spellEnd"/>
      <w:r>
        <w:rPr>
          <w:rFonts w:cs="Arial"/>
        </w:rPr>
        <w:t xml:space="preserve"> was formerly used as an</w:t>
      </w:r>
      <w:r w:rsidR="00AF6914">
        <w:rPr>
          <w:rFonts w:cs="Arial"/>
        </w:rPr>
        <w:t xml:space="preserve"> </w:t>
      </w:r>
      <w:r w:rsidR="00026E38" w:rsidRPr="005D7B49">
        <w:rPr>
          <w:rFonts w:cs="Arial"/>
        </w:rPr>
        <w:t>organochlorine</w:t>
      </w:r>
      <w:r w:rsidR="00026E38">
        <w:rPr>
          <w:rFonts w:cs="Arial"/>
          <w:color w:val="353735"/>
          <w:sz w:val="21"/>
          <w:szCs w:val="21"/>
          <w:shd w:val="clear" w:color="auto" w:fill="FFFFFF"/>
        </w:rPr>
        <w:t xml:space="preserve"> </w:t>
      </w:r>
      <w:r>
        <w:rPr>
          <w:rFonts w:cs="Arial"/>
        </w:rPr>
        <w:t>insecticide</w:t>
      </w:r>
      <w:r w:rsidR="00536149">
        <w:rPr>
          <w:rFonts w:cs="Arial"/>
        </w:rPr>
        <w:t xml:space="preserve"> and </w:t>
      </w:r>
      <w:r>
        <w:rPr>
          <w:rFonts w:cs="Arial"/>
        </w:rPr>
        <w:t>rodenticide</w:t>
      </w:r>
      <w:r w:rsidR="00FC4F4B">
        <w:rPr>
          <w:rFonts w:cs="Arial"/>
        </w:rPr>
        <w:t>. Its</w:t>
      </w:r>
      <w:r w:rsidR="0048720A">
        <w:rPr>
          <w:rFonts w:cs="Arial"/>
        </w:rPr>
        <w:t xml:space="preserve"> use was discontinued since the late 1980s (ACGIH, 2018)</w:t>
      </w:r>
      <w:r w:rsidR="00AF6914">
        <w:rPr>
          <w:rFonts w:cs="Arial"/>
        </w:rPr>
        <w:t xml:space="preserve"> and </w:t>
      </w:r>
      <w:r w:rsidR="00484A8D">
        <w:rPr>
          <w:rFonts w:cs="Arial"/>
        </w:rPr>
        <w:t xml:space="preserve">it is </w:t>
      </w:r>
      <w:r w:rsidR="00AF6914">
        <w:rPr>
          <w:rFonts w:cs="Arial"/>
        </w:rPr>
        <w:t>prohibited for use in Australia</w:t>
      </w:r>
      <w:r w:rsidR="0048720A">
        <w:rPr>
          <w:rFonts w:cs="Arial"/>
        </w:rPr>
        <w:t xml:space="preserve">. </w:t>
      </w:r>
    </w:p>
    <w:p w:rsidR="00DE0EFA" w:rsidRDefault="009D0F88" w:rsidP="006639B4">
      <w:r>
        <w:rPr>
          <w:rFonts w:cs="Arial"/>
        </w:rPr>
        <w:t>Critical effects include liver toxicity and CNS effects including muscle tremors and convulsions</w:t>
      </w:r>
      <w:r w:rsidR="00484A8D">
        <w:rPr>
          <w:rFonts w:cs="Arial"/>
        </w:rPr>
        <w:t xml:space="preserve">. The ACGIH (2018) base its TLV-TWA recommendations by extrapolation of acute </w:t>
      </w:r>
      <w:r w:rsidR="00484A8D" w:rsidRPr="00B56DEA">
        <w:t xml:space="preserve">toxicity data </w:t>
      </w:r>
      <w:r w:rsidR="00484A8D" w:rsidRPr="0048720A">
        <w:t>from animal studies</w:t>
      </w:r>
      <w:r w:rsidR="00484A8D">
        <w:t xml:space="preserve"> and note that th</w:t>
      </w:r>
      <w:r w:rsidR="002D13D9">
        <w:t>is concentration</w:t>
      </w:r>
      <w:r w:rsidR="00484A8D">
        <w:t xml:space="preserve"> do</w:t>
      </w:r>
      <w:r w:rsidR="002D13D9">
        <w:t>es</w:t>
      </w:r>
      <w:r w:rsidR="00484A8D">
        <w:t xml:space="preserve"> not appear </w:t>
      </w:r>
      <w:r w:rsidR="00DE0EFA">
        <w:t>to result in adverse effects in humans.</w:t>
      </w:r>
    </w:p>
    <w:p w:rsidR="00DE0EFA" w:rsidRDefault="00484C94" w:rsidP="006639B4">
      <w:r>
        <w:t>Given the limited human data available, the current TWA is retained, in line with the recommended TLV-TWA from ACGIH (2018). There are no available data to refute this position and the recommended TWA of 0.1 mg/m</w:t>
      </w:r>
      <w:r>
        <w:rPr>
          <w:vertAlign w:val="superscript"/>
        </w:rPr>
        <w:t>3</w:t>
      </w:r>
      <w:r>
        <w:t xml:space="preserve"> is considered protective of liver and CNS effects in exposed workers.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4E3B2E" w:rsidRPr="00A70823" w:rsidRDefault="004E3B2E" w:rsidP="004E3B2E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:rsidR="004E3B2E" w:rsidRPr="00A70823" w:rsidRDefault="004E3B2E" w:rsidP="004E3B2E">
      <w:pPr>
        <w:rPr>
          <w:rFonts w:cs="Arial"/>
        </w:rPr>
      </w:pPr>
      <w:r w:rsidRPr="00A70823">
        <w:rPr>
          <w:rFonts w:cs="Arial"/>
        </w:rPr>
        <w:t>Not classified as a skin sensitiser or respiratory sensitiser according to the GHS.</w:t>
      </w:r>
    </w:p>
    <w:p w:rsidR="005E6979" w:rsidRPr="004C23F4" w:rsidRDefault="004E3B2E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4E3B2E">
        <w:rPr>
          <w:rFonts w:cs="Arial"/>
        </w:rPr>
        <w:t xml:space="preserve">A skin notation </w:t>
      </w:r>
      <w:r w:rsidR="00FC4F4B">
        <w:rPr>
          <w:rFonts w:cs="Arial"/>
        </w:rPr>
        <w:t xml:space="preserve">is </w:t>
      </w:r>
      <w:r w:rsidRPr="004E3B2E">
        <w:rPr>
          <w:rFonts w:cs="Arial"/>
        </w:rPr>
        <w:t>recommended based on evidence suggesting potential dermal absorption and adverse systemic effects in animals.</w:t>
      </w: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1669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16698">
                  <w:t>TWA: 0.1 mg/m</w:t>
                </w:r>
                <w:r w:rsidR="00416698" w:rsidRPr="0041669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1669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16698">
                  <w:t>TLV-TWA: 0.1 mg/m</w:t>
                </w:r>
                <w:r w:rsidR="00416698" w:rsidRPr="0041669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FC4F4B" w:rsidRDefault="005530F9" w:rsidP="003365A5">
            <w:pPr>
              <w:pStyle w:val="Tabletextprimarysource"/>
            </w:pPr>
            <w:r>
              <w:t xml:space="preserve">TLV-TWA </w:t>
            </w:r>
            <w:r w:rsidR="00D70FE3">
              <w:t>recommended</w:t>
            </w:r>
            <w:r w:rsidR="004E3B2E">
              <w:t xml:space="preserve"> to minimis</w:t>
            </w:r>
            <w:r>
              <w:t xml:space="preserve">e </w:t>
            </w:r>
            <w:r w:rsidR="00F51E38">
              <w:t xml:space="preserve">CNS </w:t>
            </w:r>
            <w:r>
              <w:t>effects includ</w:t>
            </w:r>
            <w:r w:rsidR="00F51E38">
              <w:t>ing</w:t>
            </w:r>
            <w:r>
              <w:t xml:space="preserve"> headache, dizziness, weakness, muscle tremors, convulsion, as well as effects on the liver. </w:t>
            </w:r>
            <w:r w:rsidR="00B56DEA">
              <w:t xml:space="preserve">TLV-TWA based on </w:t>
            </w:r>
            <w:r w:rsidR="00B91385">
              <w:t xml:space="preserve">extrapolations (not clearly presented) from </w:t>
            </w:r>
            <w:r w:rsidR="00B56DEA">
              <w:t>a</w:t>
            </w:r>
            <w:r w:rsidRPr="00B56DEA">
              <w:t xml:space="preserve">cute toxicity data and </w:t>
            </w:r>
            <w:r w:rsidR="00FF03A0" w:rsidRPr="0048720A">
              <w:t>o</w:t>
            </w:r>
            <w:r w:rsidRPr="0048720A">
              <w:t>ral LD</w:t>
            </w:r>
            <w:r w:rsidRPr="0048720A">
              <w:rPr>
                <w:vertAlign w:val="subscript"/>
              </w:rPr>
              <w:t>50</w:t>
            </w:r>
            <w:r w:rsidRPr="0048720A">
              <w:t xml:space="preserve"> values obtained from experimental animal studies </w:t>
            </w:r>
            <w:r w:rsidRPr="00141210">
              <w:t>due to a lack of human data</w:t>
            </w:r>
            <w:r w:rsidR="00463C99">
              <w:t xml:space="preserve"> (including comparison to Aldrin and </w:t>
            </w:r>
            <w:proofErr w:type="spellStart"/>
            <w:r w:rsidR="00463C99">
              <w:t>dieldrin</w:t>
            </w:r>
            <w:proofErr w:type="spellEnd"/>
            <w:r w:rsidR="00463C99">
              <w:t>)</w:t>
            </w:r>
            <w:r w:rsidRPr="00141210">
              <w:t xml:space="preserve">. </w:t>
            </w:r>
          </w:p>
          <w:p w:rsidR="00E62092" w:rsidRPr="005530F9" w:rsidRDefault="00B56DEA" w:rsidP="003365A5">
            <w:pPr>
              <w:pStyle w:val="Tabletextprimarysource"/>
            </w:pPr>
            <w:r>
              <w:t>D</w:t>
            </w:r>
            <w:r w:rsidR="005530F9" w:rsidRPr="00B56DEA">
              <w:t xml:space="preserve">ermal exposure is also significant to the overall toxicity </w:t>
            </w:r>
            <w:r w:rsidR="005530F9" w:rsidRPr="0048720A">
              <w:t xml:space="preserve">due to lethality observed in animals </w:t>
            </w:r>
            <w:r>
              <w:t>after</w:t>
            </w:r>
            <w:r w:rsidRPr="00B56DEA">
              <w:t xml:space="preserve"> </w:t>
            </w:r>
            <w:r w:rsidR="005530F9" w:rsidRPr="00B56DEA">
              <w:t>dermal application</w:t>
            </w:r>
            <w:r w:rsidR="009D0F88">
              <w:t>.</w:t>
            </w:r>
          </w:p>
          <w:p w:rsidR="00AF6914" w:rsidRDefault="00AF6914" w:rsidP="00AF6914">
            <w:pPr>
              <w:pStyle w:val="Tabletextprimarysource"/>
            </w:pPr>
            <w:r>
              <w:t>Summary of data:</w:t>
            </w:r>
          </w:p>
          <w:p w:rsidR="00E513FD" w:rsidRDefault="00E513FD" w:rsidP="003365A5">
            <w:pPr>
              <w:pStyle w:val="Tabletextprimarysource"/>
            </w:pPr>
            <w:r>
              <w:t>Human d</w:t>
            </w:r>
            <w:r w:rsidR="00357215">
              <w:t>ata:</w:t>
            </w:r>
          </w:p>
          <w:p w:rsidR="00FC4F4B" w:rsidRDefault="00F51E38" w:rsidP="00357215">
            <w:pPr>
              <w:pStyle w:val="Tabletextprimarysource"/>
              <w:numPr>
                <w:ilvl w:val="0"/>
                <w:numId w:val="1"/>
              </w:numPr>
            </w:pPr>
            <w:r>
              <w:t>O</w:t>
            </w:r>
            <w:r w:rsidR="00357215">
              <w:t xml:space="preserve">ral dose between 0.2 and 0.25 mg/kg </w:t>
            </w:r>
            <w:r>
              <w:t xml:space="preserve">reported to </w:t>
            </w:r>
            <w:r w:rsidR="00357215">
              <w:t>induce convulsions</w:t>
            </w:r>
          </w:p>
          <w:p w:rsidR="00357215" w:rsidRDefault="00357215" w:rsidP="00FC4F4B">
            <w:pPr>
              <w:pStyle w:val="Tabletextprimarysource"/>
              <w:numPr>
                <w:ilvl w:val="0"/>
                <w:numId w:val="10"/>
              </w:numPr>
            </w:pPr>
            <w:r>
              <w:t xml:space="preserve">1.0 mg/kg </w:t>
            </w:r>
            <w:r w:rsidR="00F51E38">
              <w:t>caused</w:t>
            </w:r>
            <w:r>
              <w:t xml:space="preserve"> repeated seizures, which can manifest within 3 h of exposure</w:t>
            </w:r>
          </w:p>
          <w:p w:rsidR="00FC4F4B" w:rsidRDefault="00357215" w:rsidP="00357215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Studies on carcinogenicity </w:t>
            </w:r>
            <w:r w:rsidR="003A4C1F">
              <w:t>unable to identify association between exposure and increased incidence of cancer in a manufacturing setting</w:t>
            </w:r>
          </w:p>
          <w:p w:rsidR="00357215" w:rsidRDefault="005146F5" w:rsidP="00FC4F4B">
            <w:pPr>
              <w:pStyle w:val="Tabletextprimarysource"/>
              <w:numPr>
                <w:ilvl w:val="0"/>
                <w:numId w:val="10"/>
              </w:numPr>
            </w:pPr>
            <w:r>
              <w:t>1</w:t>
            </w:r>
            <w:r w:rsidR="003A4C1F">
              <w:t xml:space="preserve"> case study involved 233 chemical workers in a Dutch manufacturing facility, and it was reported that after 15 </w:t>
            </w:r>
            <w:proofErr w:type="spellStart"/>
            <w:r w:rsidR="003A4C1F">
              <w:t>y</w:t>
            </w:r>
            <w:r>
              <w:t>r</w:t>
            </w:r>
            <w:proofErr w:type="spellEnd"/>
            <w:r w:rsidR="003A4C1F">
              <w:t xml:space="preserve"> of observation, there was no evidence of increased cancer incidence in the same group of workers following exposure durations 4</w:t>
            </w:r>
            <w:r w:rsidR="00FC4F4B">
              <w:t>-</w:t>
            </w:r>
            <w:r w:rsidR="003A4C1F">
              <w:t>13 y</w:t>
            </w:r>
            <w:r>
              <w:t>r</w:t>
            </w:r>
            <w:r w:rsidR="009D0F88">
              <w:t>.</w:t>
            </w:r>
          </w:p>
          <w:p w:rsidR="003A4C1F" w:rsidRDefault="003A4C1F" w:rsidP="003A4C1F">
            <w:pPr>
              <w:pStyle w:val="Tabletextprimarysource"/>
            </w:pPr>
            <w:r>
              <w:t>Animal data:</w:t>
            </w:r>
          </w:p>
          <w:p w:rsidR="003A4C1F" w:rsidRDefault="003A4C1F" w:rsidP="003A4C1F">
            <w:pPr>
              <w:pStyle w:val="Tabletextprimarysource"/>
              <w:numPr>
                <w:ilvl w:val="0"/>
                <w:numId w:val="2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 w:rsidR="00572F6B">
              <w:t xml:space="preserve">: </w:t>
            </w:r>
            <w:r>
              <w:t>1.37</w:t>
            </w:r>
            <w:r w:rsidR="00572F6B">
              <w:t xml:space="preserve"> mg/kg (mice)</w:t>
            </w:r>
            <w:r>
              <w:t>, 3</w:t>
            </w:r>
            <w:r w:rsidR="00FF03A0">
              <w:t>.0</w:t>
            </w:r>
            <w:r w:rsidR="00572F6B">
              <w:t xml:space="preserve"> mg/kg (monkeys), </w:t>
            </w:r>
            <w:r>
              <w:t xml:space="preserve">5.3 mg/kg </w:t>
            </w:r>
            <w:r w:rsidR="00572F6B">
              <w:t>(</w:t>
            </w:r>
            <w:r>
              <w:t>rats</w:t>
            </w:r>
            <w:r w:rsidR="00572F6B">
              <w:t>)</w:t>
            </w:r>
          </w:p>
          <w:p w:rsidR="003A4C1F" w:rsidRDefault="003A4C1F" w:rsidP="003A4C1F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 w:rsidR="00572F6B">
              <w:rPr>
                <w:vertAlign w:val="subscript"/>
              </w:rPr>
              <w:t>:</w:t>
            </w:r>
            <w:r w:rsidR="008D23C4">
              <w:rPr>
                <w:vertAlign w:val="subscript"/>
              </w:rPr>
              <w:t xml:space="preserve"> </w:t>
            </w:r>
            <w:r>
              <w:t>15</w:t>
            </w:r>
            <w:r w:rsidR="005146F5">
              <w:t>–</w:t>
            </w:r>
            <w:r>
              <w:t xml:space="preserve">18 </w:t>
            </w:r>
            <w:r w:rsidR="004E3B2E">
              <w:t>mg/kg (female and male rats, dermal)</w:t>
            </w:r>
          </w:p>
          <w:p w:rsidR="003A4C1F" w:rsidRDefault="003A4C1F" w:rsidP="003A4C1F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Acute toxicity generally targets the </w:t>
            </w:r>
            <w:r w:rsidR="00FF03A0">
              <w:t>CNS</w:t>
            </w:r>
            <w:r>
              <w:t>, manifesting in the form of twitching, convulsions and coma</w:t>
            </w:r>
          </w:p>
          <w:p w:rsidR="003A4C1F" w:rsidRDefault="004E3B2E" w:rsidP="003A4C1F">
            <w:pPr>
              <w:pStyle w:val="Tabletextprimarysource"/>
              <w:numPr>
                <w:ilvl w:val="0"/>
                <w:numId w:val="2"/>
              </w:numPr>
            </w:pPr>
            <w:r>
              <w:t>R</w:t>
            </w:r>
            <w:r w:rsidR="00E62092">
              <w:t>ats and mice subjected through inhalation exposure to concentration of 0.36 ppm (</w:t>
            </w:r>
            <w:r w:rsidR="00536149">
              <w:t>15 </w:t>
            </w:r>
            <w:r w:rsidR="00E62092">
              <w:t>mg/m</w:t>
            </w:r>
            <w:r w:rsidR="00E62092">
              <w:rPr>
                <w:vertAlign w:val="superscript"/>
              </w:rPr>
              <w:t>3</w:t>
            </w:r>
            <w:r w:rsidR="00E62092">
              <w:t>) for 7 h/d, 5 d/</w:t>
            </w:r>
            <w:proofErr w:type="spellStart"/>
            <w:r w:rsidR="00E62092">
              <w:t>wk</w:t>
            </w:r>
            <w:proofErr w:type="spellEnd"/>
            <w:r w:rsidR="00E62092">
              <w:t xml:space="preserve"> for 26 </w:t>
            </w:r>
            <w:proofErr w:type="spellStart"/>
            <w:r w:rsidR="00E62092">
              <w:t>w</w:t>
            </w:r>
            <w:r w:rsidR="00572F6B">
              <w:t>k</w:t>
            </w:r>
            <w:proofErr w:type="spellEnd"/>
            <w:r w:rsidR="00E62092">
              <w:t xml:space="preserve">, </w:t>
            </w:r>
            <w:r>
              <w:t xml:space="preserve">showed </w:t>
            </w:r>
            <w:r w:rsidR="00E62092">
              <w:t>no signs of intoxication or retardation of growth. However, in an experiment involving 4 rabbits under identical conditions, 2 fatalities reported</w:t>
            </w:r>
          </w:p>
          <w:p w:rsidR="00E62092" w:rsidRDefault="00E62092" w:rsidP="003A4C1F">
            <w:pPr>
              <w:pStyle w:val="Tabletextprimarysource"/>
              <w:numPr>
                <w:ilvl w:val="0"/>
                <w:numId w:val="2"/>
              </w:numPr>
            </w:pPr>
            <w:r>
              <w:t>Carcinogenic studies on mice and rats concluded no effect on tumo</w:t>
            </w:r>
            <w:r w:rsidR="00572F6B">
              <w:t>u</w:t>
            </w:r>
            <w:r>
              <w:t>r growth</w:t>
            </w:r>
          </w:p>
          <w:p w:rsidR="009D0F88" w:rsidRDefault="00E62092" w:rsidP="003A4C1F">
            <w:pPr>
              <w:pStyle w:val="Tabletextprimarysource"/>
              <w:numPr>
                <w:ilvl w:val="0"/>
                <w:numId w:val="2"/>
              </w:numPr>
            </w:pPr>
            <w:r>
              <w:t>Some studies suggest adverse reproductive/developmental effects, as a single dose of 2.</w:t>
            </w:r>
            <w:r w:rsidR="00FC4F4B">
              <w:t>5 </w:t>
            </w:r>
            <w:r>
              <w:t xml:space="preserve">mg/kg administered to pregnant hamsters resulted in higher incidence of </w:t>
            </w:r>
            <w:r w:rsidR="005146F5">
              <w:t>foetal</w:t>
            </w:r>
            <w:r>
              <w:t xml:space="preserve"> death, congenital anomalies and growth retardation.</w:t>
            </w:r>
          </w:p>
          <w:p w:rsidR="00FC4F4B" w:rsidRDefault="00FC4F4B" w:rsidP="009D0F88">
            <w:pPr>
              <w:pStyle w:val="Tabletextprimarysource"/>
            </w:pPr>
          </w:p>
          <w:p w:rsidR="00E62092" w:rsidRDefault="009D0F88" w:rsidP="009D0F88">
            <w:pPr>
              <w:pStyle w:val="Tabletextprimarysource"/>
            </w:pPr>
            <w:r w:rsidRPr="00384B7F">
              <w:t xml:space="preserve">A4 </w:t>
            </w:r>
            <w:r>
              <w:t xml:space="preserve">carcinogenicity </w:t>
            </w:r>
            <w:r w:rsidRPr="00384B7F">
              <w:t>classification assigned</w:t>
            </w:r>
            <w:r>
              <w:t xml:space="preserve"> based on lack of </w:t>
            </w:r>
            <w:r w:rsidRPr="00B56DEA">
              <w:t>evidence in animal or human case studies</w:t>
            </w:r>
            <w:r w:rsidRPr="0048720A">
              <w:t>.</w:t>
            </w:r>
          </w:p>
          <w:p w:rsidR="00FC4F4B" w:rsidRPr="00DA352E" w:rsidRDefault="00FC4F4B" w:rsidP="009D0F88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17EC2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16698">
                  <w:t>MAK: 0.05 mg/m</w:t>
                </w:r>
                <w:r w:rsidR="00416698" w:rsidRPr="0041669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9552DC">
        <w:trPr>
          <w:gridAfter w:val="1"/>
          <w:wAfter w:w="8" w:type="pct"/>
        </w:trPr>
        <w:tc>
          <w:tcPr>
            <w:tcW w:w="0" w:type="pct"/>
          </w:tcPr>
          <w:p w:rsidR="00C978F0" w:rsidRDefault="00C00190" w:rsidP="003365A5">
            <w:pPr>
              <w:pStyle w:val="Tabletextprimarysource"/>
            </w:pPr>
            <w:r>
              <w:t xml:space="preserve">Summary of </w:t>
            </w:r>
            <w:r w:rsidR="00970EBC">
              <w:t xml:space="preserve">additional </w:t>
            </w:r>
            <w:r>
              <w:t>data:</w:t>
            </w:r>
          </w:p>
          <w:p w:rsidR="00C00190" w:rsidRDefault="009D0F88" w:rsidP="003365A5">
            <w:pPr>
              <w:pStyle w:val="Tabletextprimarysource"/>
            </w:pPr>
            <w:r>
              <w:t>H</w:t>
            </w:r>
            <w:r w:rsidR="00A077F7">
              <w:t>uman data:</w:t>
            </w:r>
          </w:p>
          <w:p w:rsidR="00A077F7" w:rsidRDefault="00040D68" w:rsidP="00A077F7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Some studies reported a dose of </w:t>
            </w:r>
            <w:r w:rsidR="003565AC">
              <w:t>~</w:t>
            </w:r>
            <w:r>
              <w:t>100 mg/kg considered lethal</w:t>
            </w:r>
          </w:p>
          <w:p w:rsidR="00040D68" w:rsidRDefault="00040D68" w:rsidP="00A077F7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A plant worker suffered seizures following </w:t>
            </w:r>
            <w:r w:rsidR="00B56DEA">
              <w:t xml:space="preserve">acute </w:t>
            </w:r>
            <w:r>
              <w:t xml:space="preserve">inhalation exposure (quantity unknown), whilst two workers </w:t>
            </w:r>
            <w:r w:rsidR="00B56DEA">
              <w:t xml:space="preserve">following </w:t>
            </w:r>
            <w:r>
              <w:t>skin contact did not develop symptoms of intoxication</w:t>
            </w:r>
          </w:p>
          <w:p w:rsidR="00040D68" w:rsidRDefault="00040D68" w:rsidP="00A077F7">
            <w:pPr>
              <w:pStyle w:val="Tabletextprimarysource"/>
              <w:numPr>
                <w:ilvl w:val="0"/>
                <w:numId w:val="3"/>
              </w:numPr>
            </w:pPr>
            <w:r>
              <w:t>Several studies examined workers exposed for 12</w:t>
            </w:r>
            <w:r w:rsidR="005146F5">
              <w:t>–</w:t>
            </w:r>
            <w:r>
              <w:t xml:space="preserve">24 </w:t>
            </w:r>
            <w:proofErr w:type="spellStart"/>
            <w:r>
              <w:t>y</w:t>
            </w:r>
            <w:r w:rsidR="005146F5">
              <w:t>r</w:t>
            </w:r>
            <w:proofErr w:type="spellEnd"/>
            <w:r w:rsidR="00B56DEA">
              <w:t xml:space="preserve"> showed no </w:t>
            </w:r>
            <w:r>
              <w:t>signs of toxicity</w:t>
            </w:r>
          </w:p>
          <w:p w:rsidR="008944AB" w:rsidRDefault="008944AB" w:rsidP="008944AB">
            <w:pPr>
              <w:pStyle w:val="Tabletextprimarysource"/>
              <w:numPr>
                <w:ilvl w:val="0"/>
                <w:numId w:val="3"/>
              </w:numPr>
            </w:pPr>
            <w:r>
              <w:lastRenderedPageBreak/>
              <w:t>No increase in chromosomal aberrations observed in a study involving the peripheral lymphocytes of 8 male workers</w:t>
            </w:r>
            <w:r w:rsidR="00FC4F4B">
              <w:t>.</w:t>
            </w:r>
          </w:p>
          <w:p w:rsidR="00040D68" w:rsidRDefault="009D0F88" w:rsidP="009552DC">
            <w:pPr>
              <w:pStyle w:val="Tabletextprimarysource"/>
              <w:keepNext/>
            </w:pPr>
            <w:r>
              <w:t>A</w:t>
            </w:r>
            <w:r w:rsidR="00040D68">
              <w:t>nimal data:</w:t>
            </w:r>
          </w:p>
          <w:p w:rsidR="00040D68" w:rsidRDefault="003565AC" w:rsidP="009552DC">
            <w:pPr>
              <w:pStyle w:val="Tabletextprimarysource"/>
              <w:keepNext/>
              <w:numPr>
                <w:ilvl w:val="0"/>
                <w:numId w:val="4"/>
              </w:numPr>
            </w:pPr>
            <w:r>
              <w:t>S</w:t>
            </w:r>
            <w:r w:rsidR="00E21EBB">
              <w:t xml:space="preserve">tudy reported </w:t>
            </w:r>
            <w:r w:rsidR="00F62AFC">
              <w:t xml:space="preserve">fatalities in groups of 10 rats following </w:t>
            </w:r>
            <w:r w:rsidR="00E21EBB">
              <w:t xml:space="preserve">exposure </w:t>
            </w:r>
            <w:r w:rsidR="00F62AFC">
              <w:t>to</w:t>
            </w:r>
            <w:r w:rsidR="00E21EBB">
              <w:t xml:space="preserve"> 2</w:t>
            </w:r>
            <w:r w:rsidR="005146F5">
              <w:t>,</w:t>
            </w:r>
            <w:r w:rsidR="00E21EBB">
              <w:t>000 mg/</w:t>
            </w:r>
            <w:r w:rsidR="00E21EBB" w:rsidRPr="00E21EBB">
              <w:t>m</w:t>
            </w:r>
            <w:r w:rsidR="00E21EBB">
              <w:rPr>
                <w:vertAlign w:val="superscript"/>
              </w:rPr>
              <w:t>3</w:t>
            </w:r>
            <w:r w:rsidR="00E21EBB">
              <w:t xml:space="preserve"> </w:t>
            </w:r>
            <w:r w:rsidR="00E21EBB" w:rsidRPr="00E21EBB">
              <w:t>for</w:t>
            </w:r>
            <w:r w:rsidR="00E21EBB">
              <w:t xml:space="preserve"> 1 h </w:t>
            </w:r>
          </w:p>
          <w:p w:rsidR="00B03B95" w:rsidRPr="0092664B" w:rsidRDefault="00FB701A" w:rsidP="006953BA">
            <w:pPr>
              <w:pStyle w:val="Tabletextprimarysource"/>
              <w:keepNext/>
              <w:numPr>
                <w:ilvl w:val="0"/>
                <w:numId w:val="4"/>
              </w:numPr>
            </w:pPr>
            <w:r>
              <w:rPr>
                <w:rFonts w:cs="Arial"/>
                <w:color w:val="1C1D1E"/>
                <w:shd w:val="clear" w:color="auto" w:fill="FFFFFF"/>
              </w:rPr>
              <w:t>Chronic feedin</w:t>
            </w:r>
            <w:r w:rsidRPr="0092664B">
              <w:rPr>
                <w:rFonts w:cs="Arial"/>
                <w:color w:val="1C1D1E"/>
                <w:shd w:val="clear" w:color="auto" w:fill="FFFFFF"/>
              </w:rPr>
              <w:t xml:space="preserve">g studies identified NOAELs: mice 0.045 mg/kg/d, 0.05 mg/kg/d rats, dogs 0.025 mg/kg/d; </w:t>
            </w:r>
            <w:proofErr w:type="spellStart"/>
            <w:r w:rsidRPr="0092664B">
              <w:rPr>
                <w:rFonts w:cs="Arial"/>
                <w:color w:val="1C1D1E"/>
                <w:shd w:val="clear" w:color="auto" w:fill="FFFFFF"/>
              </w:rPr>
              <w:t>t</w:t>
            </w:r>
            <w:r w:rsidR="006953BA" w:rsidRPr="0092664B">
              <w:t>oxicokinetic</w:t>
            </w:r>
            <w:proofErr w:type="spellEnd"/>
            <w:r w:rsidR="006953BA" w:rsidRPr="0092664B">
              <w:t xml:space="preserve"> transfer of NOAEL to a concentration in air</w:t>
            </w:r>
            <w:r w:rsidR="00B03B95" w:rsidRPr="0092664B">
              <w:t xml:space="preserve"> using the following:</w:t>
            </w:r>
          </w:p>
          <w:p w:rsidR="00B03B95" w:rsidRPr="0092664B" w:rsidRDefault="00B03B95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>d</w:t>
            </w:r>
            <w:r w:rsidR="006953BA" w:rsidRPr="0092664B">
              <w:t xml:space="preserve">aily exposure of animals compared to the </w:t>
            </w:r>
            <w:r w:rsidR="0092664B" w:rsidRPr="0092664B">
              <w:t>5-d</w:t>
            </w:r>
            <w:r w:rsidRPr="0092664B">
              <w:t xml:space="preserve"> work-week exposure (7/5)</w:t>
            </w:r>
          </w:p>
          <w:p w:rsidR="00B03B95" w:rsidRPr="0092664B" w:rsidRDefault="006953B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 xml:space="preserve">species-specific </w:t>
            </w:r>
            <w:proofErr w:type="spellStart"/>
            <w:r w:rsidRPr="0092664B">
              <w:t>toxicokinetic</w:t>
            </w:r>
            <w:proofErr w:type="spellEnd"/>
            <w:r w:rsidRPr="0092664B">
              <w:t xml:space="preserve"> differences </w:t>
            </w:r>
            <w:r w:rsidR="00682B9A" w:rsidRPr="0092664B">
              <w:t xml:space="preserve">between animal and human: </w:t>
            </w:r>
            <w:r w:rsidRPr="0092664B">
              <w:t>mouse</w:t>
            </w:r>
            <w:r w:rsidR="00682B9A" w:rsidRPr="0092664B">
              <w:t xml:space="preserve"> (1:7), </w:t>
            </w:r>
            <w:r w:rsidR="00B03B95" w:rsidRPr="0092664B">
              <w:t>rat</w:t>
            </w:r>
            <w:r w:rsidR="00682B9A" w:rsidRPr="0092664B">
              <w:t xml:space="preserve"> (1:4) and d</w:t>
            </w:r>
            <w:r w:rsidR="00B03B95" w:rsidRPr="0092664B">
              <w:t xml:space="preserve">og </w:t>
            </w:r>
            <w:r w:rsidR="00682B9A" w:rsidRPr="0092664B">
              <w:t xml:space="preserve">(1:1.4) </w:t>
            </w:r>
          </w:p>
          <w:p w:rsidR="00B03B95" w:rsidRPr="0092664B" w:rsidRDefault="00FB701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 xml:space="preserve">oral absorption </w:t>
            </w:r>
            <w:r w:rsidR="00B03B95" w:rsidRPr="0092664B">
              <w:t>90%</w:t>
            </w:r>
          </w:p>
          <w:p w:rsidR="00B03B95" w:rsidRPr="0092664B" w:rsidRDefault="00FB701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 xml:space="preserve">human body weight </w:t>
            </w:r>
            <w:r w:rsidR="006953BA" w:rsidRPr="0092664B">
              <w:t>7</w:t>
            </w:r>
            <w:r w:rsidR="00B03B95" w:rsidRPr="0092664B">
              <w:t>0 kg</w:t>
            </w:r>
          </w:p>
          <w:p w:rsidR="00B03B95" w:rsidRPr="0092664B" w:rsidRDefault="00682B9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>t</w:t>
            </w:r>
            <w:r w:rsidR="00FB701A" w:rsidRPr="0092664B">
              <w:t xml:space="preserve">he respiratory volume </w:t>
            </w:r>
            <w:r w:rsidR="006953BA" w:rsidRPr="0092664B">
              <w:t>10 m</w:t>
            </w:r>
            <w:r w:rsidR="006953BA" w:rsidRPr="0092664B">
              <w:rPr>
                <w:vertAlign w:val="superscript"/>
              </w:rPr>
              <w:t xml:space="preserve">3 </w:t>
            </w:r>
          </w:p>
          <w:p w:rsidR="00FB701A" w:rsidRPr="0092664B" w:rsidRDefault="006953B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 xml:space="preserve">assumed 100% absorption </w:t>
            </w:r>
            <w:r w:rsidR="00682B9A" w:rsidRPr="0092664B">
              <w:t>in lungs</w:t>
            </w:r>
            <w:r w:rsidRPr="0092664B">
              <w:t xml:space="preserve"> humans</w:t>
            </w:r>
          </w:p>
          <w:p w:rsidR="00B03B95" w:rsidRPr="0092664B" w:rsidRDefault="00FB701A" w:rsidP="00682B9A">
            <w:pPr>
              <w:pStyle w:val="Tabletextprimarysource"/>
              <w:keepNext/>
              <w:numPr>
                <w:ilvl w:val="0"/>
                <w:numId w:val="9"/>
              </w:numPr>
            </w:pPr>
            <w:r w:rsidRPr="0092664B">
              <w:t>corresponding concentrations 0.06, 0.11 and 0.16 mg/m</w:t>
            </w:r>
            <w:r w:rsidRPr="0092664B">
              <w:rPr>
                <w:vertAlign w:val="superscript"/>
              </w:rPr>
              <w:t>3</w:t>
            </w:r>
            <w:r w:rsidR="0092664B" w:rsidRPr="0092664B">
              <w:t xml:space="preserve"> </w:t>
            </w:r>
          </w:p>
          <w:p w:rsidR="006953BA" w:rsidRDefault="006953BA" w:rsidP="006953BA">
            <w:pPr>
              <w:pStyle w:val="Tabletextprimarysource"/>
              <w:keepNext/>
              <w:numPr>
                <w:ilvl w:val="0"/>
                <w:numId w:val="4"/>
              </w:numPr>
            </w:pPr>
            <w:r w:rsidRPr="0092664B">
              <w:t>Based on the rat study</w:t>
            </w:r>
            <w:r w:rsidR="00FB701A" w:rsidRPr="0092664B">
              <w:t xml:space="preserve"> derivation divided by 2 and rounded </w:t>
            </w:r>
            <w:r w:rsidR="00484A8D">
              <w:t>down</w:t>
            </w:r>
            <w:r w:rsidR="00FB701A" w:rsidRPr="0092664B">
              <w:t>:</w:t>
            </w:r>
            <w:r w:rsidR="00484A8D">
              <w:t xml:space="preserve"> MAK value of 0.05 </w:t>
            </w:r>
            <w:r w:rsidR="00FB701A" w:rsidRPr="0092664B">
              <w:t>mg/m</w:t>
            </w:r>
            <w:r w:rsidR="004338D6" w:rsidRPr="0092664B">
              <w:rPr>
                <w:vertAlign w:val="superscript"/>
              </w:rPr>
              <w:t>3</w:t>
            </w:r>
            <w:r w:rsidR="004338D6" w:rsidRPr="0092664B">
              <w:t xml:space="preserve"> is</w:t>
            </w:r>
            <w:r w:rsidR="00FB701A" w:rsidRPr="0092664B">
              <w:t xml:space="preserve"> established.</w:t>
            </w:r>
          </w:p>
          <w:p w:rsidR="00FC4F4B" w:rsidRPr="00DA352E" w:rsidRDefault="00FC4F4B" w:rsidP="00FC4F4B">
            <w:pPr>
              <w:pStyle w:val="Tabletextprimarysource"/>
              <w:keepNext/>
              <w:ind w:left="360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1669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16698">
                  <w:t>NA</w:t>
                </w:r>
                <w:proofErr w:type="spellEnd"/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416698" w:rsidP="003365A5">
            <w:pPr>
              <w:pStyle w:val="Tabletextprimarysource"/>
            </w:pPr>
            <w:r>
              <w:t>No report</w:t>
            </w:r>
            <w:r w:rsidR="003565AC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1669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16698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416698" w:rsidP="003365A5">
            <w:pPr>
              <w:pStyle w:val="Tabletextprimarysource"/>
            </w:pPr>
            <w:r>
              <w:t>No report</w:t>
            </w:r>
            <w:r w:rsidR="003565AC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1669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416698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416698" w:rsidP="003365A5">
            <w:pPr>
              <w:pStyle w:val="Tabletextprimarysource"/>
            </w:pPr>
            <w:r>
              <w:t>No report</w:t>
            </w:r>
            <w:r w:rsidR="003565AC">
              <w:t>.</w:t>
            </w: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:rsidTr="003565AC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3565AC">
        <w:trPr>
          <w:cantSplit/>
        </w:trPr>
        <w:tc>
          <w:tcPr>
            <w:tcW w:w="1497" w:type="dxa"/>
          </w:tcPr>
          <w:p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:rsidR="004966BF" w:rsidRPr="00CE617F" w:rsidRDefault="00BF143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17EC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217EC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44" w:type="dxa"/>
          </w:tcPr>
          <w:p w:rsidR="00217EC2" w:rsidRPr="003565AC" w:rsidRDefault="00217EC2" w:rsidP="003565AC">
            <w:pPr>
              <w:pStyle w:val="Tablefont"/>
              <w:numPr>
                <w:ilvl w:val="0"/>
                <w:numId w:val="8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Oral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of 0.0003 mg/kg-d based on NOEL of 0.025 mg/kg</w:t>
            </w:r>
            <w:r w:rsidR="005146F5">
              <w:rPr>
                <w:rStyle w:val="checkbox"/>
                <w:rFonts w:ascii="Arial" w:hAnsi="Arial" w:cs="Arial"/>
              </w:rPr>
              <w:t>/</w:t>
            </w:r>
            <w:r>
              <w:rPr>
                <w:rStyle w:val="checkbox"/>
                <w:rFonts w:ascii="Arial" w:hAnsi="Arial" w:cs="Arial"/>
              </w:rPr>
              <w:t>d and LOAEL of 0.05 mg/kg</w:t>
            </w:r>
            <w:r w:rsidR="005146F5">
              <w:rPr>
                <w:rStyle w:val="checkbox"/>
                <w:rFonts w:ascii="Arial" w:hAnsi="Arial" w:cs="Arial"/>
              </w:rPr>
              <w:t>/</w:t>
            </w:r>
            <w:r>
              <w:rPr>
                <w:rStyle w:val="checkbox"/>
                <w:rFonts w:ascii="Arial" w:hAnsi="Arial" w:cs="Arial"/>
              </w:rPr>
              <w:t>d for mild histological lesions in liver and occasional convulsions in dogs (chronic oral bioassay)</w:t>
            </w:r>
          </w:p>
        </w:tc>
      </w:tr>
      <w:tr w:rsidR="00354032" w:rsidRPr="004C23F4" w:rsidTr="003565AC">
        <w:trPr>
          <w:cantSplit/>
        </w:trPr>
        <w:tc>
          <w:tcPr>
            <w:tcW w:w="1497" w:type="dxa"/>
          </w:tcPr>
          <w:p w:rsidR="00354032" w:rsidRDefault="00354032" w:rsidP="0035403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:rsidR="00354032" w:rsidRDefault="00BF143C" w:rsidP="0035403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808887DCDC8B4730952B1069FEA6FFC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5403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354032" w:rsidRPr="004C23F4" w:rsidRDefault="00354032" w:rsidP="00354032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:rsidR="00354032" w:rsidRPr="004C23F4" w:rsidRDefault="00354032" w:rsidP="00354032">
            <w:pPr>
              <w:pStyle w:val="Tablefont"/>
              <w:numPr>
                <w:ilvl w:val="0"/>
                <w:numId w:val="7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TWA: 0.1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[skin]</w:t>
            </w:r>
          </w:p>
        </w:tc>
      </w:tr>
    </w:tbl>
    <w:bookmarkEnd w:id="0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:rsidTr="009552DC">
        <w:trPr>
          <w:trHeight w:val="454"/>
          <w:tblHeader/>
        </w:trPr>
        <w:tc>
          <w:tcPr>
            <w:tcW w:w="6609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:rsidR="002E0D61" w:rsidRDefault="00B4396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9552DC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:rsidR="008A36CF" w:rsidRPr="006901A2" w:rsidRDefault="003565AC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037A1F" w:rsidP="00DD2F9B">
            <w:pPr>
              <w:pStyle w:val="Tablefont"/>
            </w:pPr>
            <w:r w:rsidRPr="00037A1F">
              <w:t>Sk</w:t>
            </w:r>
            <w:r w:rsidR="003565AC">
              <w:t>in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037A1F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037A1F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:rsidR="00687890" w:rsidRPr="00DD2F9B" w:rsidRDefault="00037A1F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037A1F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037A1F" w:rsidP="00DD2F9B">
            <w:pPr>
              <w:pStyle w:val="Tablefont"/>
            </w:pPr>
            <w:r w:rsidRPr="00037A1F">
              <w:t>Carcinogenicity – A4</w:t>
            </w:r>
            <w:r>
              <w:t xml:space="preserve">, </w:t>
            </w:r>
            <w:r w:rsidRPr="00037A1F">
              <w:t>Skin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037A1F" w:rsidP="00DD2F9B">
            <w:pPr>
              <w:pStyle w:val="Tablefont"/>
            </w:pPr>
            <w:r w:rsidRPr="00037A1F">
              <w:t>H (skin)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037A1F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037A1F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037A1F" w:rsidP="00DD2F9B">
            <w:pPr>
              <w:pStyle w:val="Tablefont"/>
            </w:pPr>
            <w:r w:rsidRPr="00037A1F">
              <w:t>Carcinogenicity – Group 3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3565AC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2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23" w:type="dxa"/>
              <w:tblLook w:val="04A0" w:firstRow="1" w:lastRow="0" w:firstColumn="1" w:lastColumn="0" w:noHBand="0" w:noVBand="1"/>
            </w:tblPr>
            <w:tblGrid>
              <w:gridCol w:w="1192"/>
              <w:gridCol w:w="813"/>
              <w:gridCol w:w="2726"/>
              <w:gridCol w:w="813"/>
              <w:gridCol w:w="813"/>
              <w:gridCol w:w="2366"/>
            </w:tblGrid>
            <w:tr w:rsidR="003565AC" w:rsidRPr="003565AC" w:rsidTr="003565AC">
              <w:trPr>
                <w:trHeight w:val="148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3565AC">
              <w:trPr>
                <w:trHeight w:val="212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565AC" w:rsidRPr="003565AC" w:rsidTr="00D623BA">
              <w:trPr>
                <w:trHeight w:val="80"/>
              </w:trPr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565AC" w:rsidRPr="003565AC" w:rsidRDefault="003565AC" w:rsidP="003565A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  <w:p w:rsidR="003565AC" w:rsidRPr="003565AC" w:rsidRDefault="003565AC" w:rsidP="003565A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565A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3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037A1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4C39E9" w:rsidP="001B79E5">
                <w:pPr>
                  <w:pStyle w:val="Tablefont"/>
                </w:pPr>
                <w:r>
                  <w:t xml:space="preserve">380.93 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C39E9">
                  <w:t>15.58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r w:rsidR="004C39E9">
              <w:t>0.064</w:t>
            </w:r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4C39E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BF143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A743BC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A743BC" w:rsidRDefault="00A743BC" w:rsidP="00EB3D1B">
            <w:pPr>
              <w:pStyle w:val="Tablefont"/>
              <w:keepLines/>
            </w:pPr>
            <w:r>
              <w:t>TWA: 0.1 mg/m</w:t>
            </w:r>
            <w:r>
              <w:rPr>
                <w:vertAlign w:val="superscript"/>
              </w:rPr>
              <w:t>3</w:t>
            </w:r>
          </w:p>
        </w:tc>
      </w:tr>
    </w:tbl>
    <w:bookmarkEnd w:id="4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</w:t>
      </w:r>
      <w:r w:rsidR="008C1569">
        <w:t xml:space="preserve">. </w:t>
      </w:r>
      <w:r>
        <w:t>(201</w:t>
      </w:r>
      <w:r w:rsidR="00F67BBB">
        <w:t>8</w:t>
      </w:r>
      <w:r>
        <w:t>)</w:t>
      </w:r>
      <w:r w:rsidR="008C1569">
        <w:t>.</w:t>
      </w:r>
      <w:r>
        <w:t xml:space="preserve">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217EC2" w:rsidRDefault="00217EC2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(DFG). (1998). </w:t>
      </w:r>
      <w:proofErr w:type="spellStart"/>
      <w:r w:rsidRPr="00037A1F">
        <w:t>Endrin</w:t>
      </w:r>
      <w:proofErr w:type="spellEnd"/>
      <w:r>
        <w:t xml:space="preserve"> – MAK value documentation.</w:t>
      </w:r>
      <w:r w:rsidRPr="00217EC2">
        <w:t xml:space="preserve"> </w:t>
      </w:r>
    </w:p>
    <w:p w:rsidR="00217EC2" w:rsidRDefault="00217EC2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(DFG). (2002). </w:t>
      </w:r>
      <w:proofErr w:type="spellStart"/>
      <w:r w:rsidRPr="00037A1F">
        <w:t>Endrin</w:t>
      </w:r>
      <w:proofErr w:type="spellEnd"/>
      <w:r>
        <w:t xml:space="preserve"> – MAK value documentation.</w:t>
      </w:r>
    </w:p>
    <w:p w:rsidR="00037A1F" w:rsidRDefault="00037A1F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</w:t>
      </w:r>
      <w:r w:rsidR="008C1569">
        <w:t xml:space="preserve">. </w:t>
      </w:r>
      <w:r>
        <w:t>(2012)</w:t>
      </w:r>
      <w:r w:rsidR="008C1569">
        <w:t>.</w:t>
      </w:r>
      <w:r>
        <w:t xml:space="preserve"> </w:t>
      </w:r>
      <w:proofErr w:type="spellStart"/>
      <w:r w:rsidRPr="00037A1F">
        <w:t>Endrin</w:t>
      </w:r>
      <w:proofErr w:type="spellEnd"/>
      <w:r>
        <w:t xml:space="preserve"> – MAK value documentation.</w:t>
      </w:r>
    </w:p>
    <w:p w:rsidR="00037A1F" w:rsidRDefault="00037A1F" w:rsidP="00084859">
      <w:r>
        <w:t>International Agency for Research on Cancer (IARC)</w:t>
      </w:r>
      <w:r w:rsidR="008C1569">
        <w:t xml:space="preserve">. </w:t>
      </w:r>
      <w:r>
        <w:t>(</w:t>
      </w:r>
      <w:r w:rsidRPr="00037A1F">
        <w:t>1987</w:t>
      </w:r>
      <w:r>
        <w:t>)</w:t>
      </w:r>
      <w:r w:rsidR="008C1569">
        <w:t>.</w:t>
      </w:r>
      <w:r>
        <w:t xml:space="preserve"> </w:t>
      </w:r>
      <w:proofErr w:type="spellStart"/>
      <w:r>
        <w:t>Endrin</w:t>
      </w:r>
      <w:proofErr w:type="spellEnd"/>
      <w:r>
        <w:t>. IARC Monographs on the evaluation of the carcinogenic risk to humans.</w:t>
      </w:r>
    </w:p>
    <w:p w:rsidR="003565AC" w:rsidRDefault="003565AC" w:rsidP="003565AC">
      <w:r>
        <w:t xml:space="preserve">US Environmental Protection Authority (US EPA) (1998)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Endrin</w:t>
      </w:r>
      <w:proofErr w:type="spellEnd"/>
      <w:r>
        <w:t>.</w:t>
      </w:r>
    </w:p>
    <w:p w:rsidR="00037A1F" w:rsidRDefault="00037A1F" w:rsidP="00084859">
      <w:r>
        <w:t>US National Institute for Occupational Safety and Health</w:t>
      </w:r>
      <w:r w:rsidR="008C1569">
        <w:t xml:space="preserve"> </w:t>
      </w:r>
      <w:r>
        <w:t>(NIOSH)</w:t>
      </w:r>
      <w:r w:rsidR="008C1569">
        <w:t>.</w:t>
      </w:r>
      <w:r>
        <w:t xml:space="preserve"> (1994)</w:t>
      </w:r>
      <w:r w:rsidR="008C1569">
        <w:t>.</w:t>
      </w:r>
      <w:r>
        <w:t xml:space="preserve">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Pr="00037A1F">
        <w:t>Endrin</w:t>
      </w:r>
      <w:proofErr w:type="spellEnd"/>
      <w:r>
        <w:t>.</w:t>
      </w:r>
    </w:p>
    <w:p w:rsidR="00037A1F" w:rsidRDefault="00037A1F" w:rsidP="00084859"/>
    <w:sectPr w:rsidR="00037A1F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04241F" w16cid:durableId="216981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13" w:rsidRDefault="00AA3A13" w:rsidP="00F43AD5">
      <w:pPr>
        <w:spacing w:after="0" w:line="240" w:lineRule="auto"/>
      </w:pPr>
      <w:r>
        <w:separator/>
      </w:r>
    </w:p>
  </w:endnote>
  <w:endnote w:type="continuationSeparator" w:id="0">
    <w:p w:rsidR="00AA3A13" w:rsidRDefault="00AA3A1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62AFC" w:rsidRDefault="00F62AFC" w:rsidP="0034744C">
        <w:pPr>
          <w:pStyle w:val="Footer"/>
          <w:rPr>
            <w:sz w:val="18"/>
            <w:szCs w:val="18"/>
          </w:rPr>
        </w:pPr>
        <w:proofErr w:type="spellStart"/>
        <w:r w:rsidRPr="00416698">
          <w:rPr>
            <w:b/>
            <w:sz w:val="18"/>
            <w:szCs w:val="18"/>
          </w:rPr>
          <w:t>Endrin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416698">
          <w:rPr>
            <w:b/>
            <w:sz w:val="18"/>
            <w:szCs w:val="18"/>
          </w:rPr>
          <w:t>72-20-8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:rsidR="00F62AFC" w:rsidRPr="00F43AD5" w:rsidRDefault="00F62AFC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F143C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13" w:rsidRDefault="00AA3A13" w:rsidP="00F43AD5">
      <w:pPr>
        <w:spacing w:after="0" w:line="240" w:lineRule="auto"/>
      </w:pPr>
      <w:r>
        <w:separator/>
      </w:r>
    </w:p>
  </w:footnote>
  <w:footnote w:type="continuationSeparator" w:id="0">
    <w:p w:rsidR="00AA3A13" w:rsidRDefault="00AA3A1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3C" w:rsidRDefault="00BF143C" w:rsidP="00BF143C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4455" o:spid="_x0000_s4098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AFC" w:rsidRDefault="00F62AFC" w:rsidP="00BF1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3C" w:rsidRDefault="00BF143C" w:rsidP="00BF143C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9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2AFC" w:rsidRDefault="00F62AFC" w:rsidP="00BF14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7B8"/>
    <w:multiLevelType w:val="hybridMultilevel"/>
    <w:tmpl w:val="A5007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7104"/>
    <w:multiLevelType w:val="hybridMultilevel"/>
    <w:tmpl w:val="D64EE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33A6"/>
    <w:multiLevelType w:val="hybridMultilevel"/>
    <w:tmpl w:val="36D84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622C"/>
    <w:multiLevelType w:val="hybridMultilevel"/>
    <w:tmpl w:val="F90A811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10883"/>
    <w:multiLevelType w:val="hybridMultilevel"/>
    <w:tmpl w:val="754A2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089C"/>
    <w:multiLevelType w:val="hybridMultilevel"/>
    <w:tmpl w:val="0554BE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07514"/>
    <w:multiLevelType w:val="hybridMultilevel"/>
    <w:tmpl w:val="B100D1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6FA4"/>
    <w:multiLevelType w:val="hybridMultilevel"/>
    <w:tmpl w:val="59384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03333"/>
    <w:multiLevelType w:val="hybridMultilevel"/>
    <w:tmpl w:val="BF04B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75E0B"/>
    <w:multiLevelType w:val="hybridMultilevel"/>
    <w:tmpl w:val="606C6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12A5"/>
    <w:multiLevelType w:val="multilevel"/>
    <w:tmpl w:val="03DEA6B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6E38"/>
    <w:rsid w:val="00032B88"/>
    <w:rsid w:val="00037A1F"/>
    <w:rsid w:val="00040D68"/>
    <w:rsid w:val="00046DF5"/>
    <w:rsid w:val="00052060"/>
    <w:rsid w:val="0005574A"/>
    <w:rsid w:val="00055FE1"/>
    <w:rsid w:val="00056EC2"/>
    <w:rsid w:val="00060B48"/>
    <w:rsid w:val="00067F32"/>
    <w:rsid w:val="00070BC5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1210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26BD"/>
    <w:rsid w:val="00213640"/>
    <w:rsid w:val="00217EC2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13D9"/>
    <w:rsid w:val="002E0D61"/>
    <w:rsid w:val="002E4C7B"/>
    <w:rsid w:val="0030740C"/>
    <w:rsid w:val="00315833"/>
    <w:rsid w:val="003215EE"/>
    <w:rsid w:val="003224BF"/>
    <w:rsid w:val="003241A8"/>
    <w:rsid w:val="00324B33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032"/>
    <w:rsid w:val="0035412B"/>
    <w:rsid w:val="003565AC"/>
    <w:rsid w:val="003567A8"/>
    <w:rsid w:val="00357215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A3392"/>
    <w:rsid w:val="003A4C1F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6698"/>
    <w:rsid w:val="00417A56"/>
    <w:rsid w:val="00420957"/>
    <w:rsid w:val="00422A10"/>
    <w:rsid w:val="00430179"/>
    <w:rsid w:val="004338D6"/>
    <w:rsid w:val="004414B5"/>
    <w:rsid w:val="00444482"/>
    <w:rsid w:val="00444B42"/>
    <w:rsid w:val="00445E44"/>
    <w:rsid w:val="004509E2"/>
    <w:rsid w:val="004515EE"/>
    <w:rsid w:val="004529F0"/>
    <w:rsid w:val="00460A03"/>
    <w:rsid w:val="00463C99"/>
    <w:rsid w:val="0046472E"/>
    <w:rsid w:val="00472A11"/>
    <w:rsid w:val="00472AAD"/>
    <w:rsid w:val="00474E33"/>
    <w:rsid w:val="00476803"/>
    <w:rsid w:val="00484A8D"/>
    <w:rsid w:val="00484C94"/>
    <w:rsid w:val="00485BFD"/>
    <w:rsid w:val="004867A2"/>
    <w:rsid w:val="0048720A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39E9"/>
    <w:rsid w:val="004C5201"/>
    <w:rsid w:val="004C58B6"/>
    <w:rsid w:val="004D16A3"/>
    <w:rsid w:val="004D230B"/>
    <w:rsid w:val="004D4AA1"/>
    <w:rsid w:val="004D6D68"/>
    <w:rsid w:val="004E3B2E"/>
    <w:rsid w:val="004E5EDD"/>
    <w:rsid w:val="004F448A"/>
    <w:rsid w:val="004F493D"/>
    <w:rsid w:val="004F65E8"/>
    <w:rsid w:val="0050005E"/>
    <w:rsid w:val="00502B88"/>
    <w:rsid w:val="005142C4"/>
    <w:rsid w:val="005146F5"/>
    <w:rsid w:val="0051509C"/>
    <w:rsid w:val="005272E2"/>
    <w:rsid w:val="0053108F"/>
    <w:rsid w:val="00532B56"/>
    <w:rsid w:val="00534B10"/>
    <w:rsid w:val="00536149"/>
    <w:rsid w:val="005446A2"/>
    <w:rsid w:val="00544D2F"/>
    <w:rsid w:val="00551BD8"/>
    <w:rsid w:val="005530F9"/>
    <w:rsid w:val="00572F6B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322A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2B9A"/>
    <w:rsid w:val="006867F3"/>
    <w:rsid w:val="00687890"/>
    <w:rsid w:val="006901A2"/>
    <w:rsid w:val="00690368"/>
    <w:rsid w:val="0069079C"/>
    <w:rsid w:val="00690B53"/>
    <w:rsid w:val="006953BA"/>
    <w:rsid w:val="00695B72"/>
    <w:rsid w:val="006B160A"/>
    <w:rsid w:val="006B4E6C"/>
    <w:rsid w:val="006B50B6"/>
    <w:rsid w:val="006D79EA"/>
    <w:rsid w:val="006E5D05"/>
    <w:rsid w:val="00701053"/>
    <w:rsid w:val="00701072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66028"/>
    <w:rsid w:val="00770E31"/>
    <w:rsid w:val="007770F1"/>
    <w:rsid w:val="00783FB1"/>
    <w:rsid w:val="00785CDD"/>
    <w:rsid w:val="00791847"/>
    <w:rsid w:val="007925F0"/>
    <w:rsid w:val="007939B3"/>
    <w:rsid w:val="0079509C"/>
    <w:rsid w:val="00796407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2954"/>
    <w:rsid w:val="00826F21"/>
    <w:rsid w:val="00834CC8"/>
    <w:rsid w:val="00835E00"/>
    <w:rsid w:val="00837113"/>
    <w:rsid w:val="008414E4"/>
    <w:rsid w:val="00843E21"/>
    <w:rsid w:val="0084508E"/>
    <w:rsid w:val="008536ED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44AB"/>
    <w:rsid w:val="008A36CF"/>
    <w:rsid w:val="008A3BC4"/>
    <w:rsid w:val="008B403C"/>
    <w:rsid w:val="008B7983"/>
    <w:rsid w:val="008C1569"/>
    <w:rsid w:val="008C2511"/>
    <w:rsid w:val="008D026D"/>
    <w:rsid w:val="008D23AB"/>
    <w:rsid w:val="008D23C4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664B"/>
    <w:rsid w:val="0093041A"/>
    <w:rsid w:val="00930714"/>
    <w:rsid w:val="00931B03"/>
    <w:rsid w:val="009323B9"/>
    <w:rsid w:val="00932DCE"/>
    <w:rsid w:val="0093327E"/>
    <w:rsid w:val="00934028"/>
    <w:rsid w:val="00937571"/>
    <w:rsid w:val="0093760E"/>
    <w:rsid w:val="00946044"/>
    <w:rsid w:val="0094660B"/>
    <w:rsid w:val="00946A33"/>
    <w:rsid w:val="0095260E"/>
    <w:rsid w:val="009552DC"/>
    <w:rsid w:val="009578DD"/>
    <w:rsid w:val="00961124"/>
    <w:rsid w:val="00961EEF"/>
    <w:rsid w:val="009621B6"/>
    <w:rsid w:val="00970EBC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0F88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077F7"/>
    <w:rsid w:val="00A10FCE"/>
    <w:rsid w:val="00A16D91"/>
    <w:rsid w:val="00A174CC"/>
    <w:rsid w:val="00A2073D"/>
    <w:rsid w:val="00A20751"/>
    <w:rsid w:val="00A23D56"/>
    <w:rsid w:val="00A27E2D"/>
    <w:rsid w:val="00A31D99"/>
    <w:rsid w:val="00A357BA"/>
    <w:rsid w:val="00A35ADC"/>
    <w:rsid w:val="00A402A3"/>
    <w:rsid w:val="00A53681"/>
    <w:rsid w:val="00A633D4"/>
    <w:rsid w:val="00A6461A"/>
    <w:rsid w:val="00A743BC"/>
    <w:rsid w:val="00A84504"/>
    <w:rsid w:val="00A8672F"/>
    <w:rsid w:val="00A93057"/>
    <w:rsid w:val="00A968B0"/>
    <w:rsid w:val="00AA3A13"/>
    <w:rsid w:val="00AB2672"/>
    <w:rsid w:val="00AB2817"/>
    <w:rsid w:val="00AB43C4"/>
    <w:rsid w:val="00AC32E7"/>
    <w:rsid w:val="00AC3A9F"/>
    <w:rsid w:val="00AC6D2F"/>
    <w:rsid w:val="00AD16CE"/>
    <w:rsid w:val="00AE2745"/>
    <w:rsid w:val="00AE2F64"/>
    <w:rsid w:val="00AF42CB"/>
    <w:rsid w:val="00AF483F"/>
    <w:rsid w:val="00AF5E07"/>
    <w:rsid w:val="00AF5F06"/>
    <w:rsid w:val="00AF6914"/>
    <w:rsid w:val="00B00A25"/>
    <w:rsid w:val="00B03B95"/>
    <w:rsid w:val="00B1422A"/>
    <w:rsid w:val="00B1765C"/>
    <w:rsid w:val="00B179E9"/>
    <w:rsid w:val="00B213C4"/>
    <w:rsid w:val="00B40C60"/>
    <w:rsid w:val="00B43964"/>
    <w:rsid w:val="00B479A9"/>
    <w:rsid w:val="00B52EDF"/>
    <w:rsid w:val="00B56DEA"/>
    <w:rsid w:val="00B71188"/>
    <w:rsid w:val="00B76A41"/>
    <w:rsid w:val="00B87D4C"/>
    <w:rsid w:val="00B91385"/>
    <w:rsid w:val="00B93646"/>
    <w:rsid w:val="00BA0B38"/>
    <w:rsid w:val="00BA1DBB"/>
    <w:rsid w:val="00BA4510"/>
    <w:rsid w:val="00BA529A"/>
    <w:rsid w:val="00BB612A"/>
    <w:rsid w:val="00BD499F"/>
    <w:rsid w:val="00BD56DE"/>
    <w:rsid w:val="00BF143C"/>
    <w:rsid w:val="00BF2406"/>
    <w:rsid w:val="00C00190"/>
    <w:rsid w:val="00C03742"/>
    <w:rsid w:val="00C06E43"/>
    <w:rsid w:val="00C16315"/>
    <w:rsid w:val="00C3091E"/>
    <w:rsid w:val="00C3263C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4F9F"/>
    <w:rsid w:val="00D44C89"/>
    <w:rsid w:val="00D516CD"/>
    <w:rsid w:val="00D668E6"/>
    <w:rsid w:val="00D70670"/>
    <w:rsid w:val="00D70FE3"/>
    <w:rsid w:val="00D74D80"/>
    <w:rsid w:val="00D76624"/>
    <w:rsid w:val="00D87570"/>
    <w:rsid w:val="00D91CB9"/>
    <w:rsid w:val="00D97989"/>
    <w:rsid w:val="00D97D8D"/>
    <w:rsid w:val="00DA352E"/>
    <w:rsid w:val="00DC1416"/>
    <w:rsid w:val="00DC7694"/>
    <w:rsid w:val="00DD1BF6"/>
    <w:rsid w:val="00DD2F9B"/>
    <w:rsid w:val="00DE0EFA"/>
    <w:rsid w:val="00DE2513"/>
    <w:rsid w:val="00DE26E8"/>
    <w:rsid w:val="00DF6F36"/>
    <w:rsid w:val="00E000E4"/>
    <w:rsid w:val="00E0084C"/>
    <w:rsid w:val="00E025AB"/>
    <w:rsid w:val="00E02B23"/>
    <w:rsid w:val="00E06BBB"/>
    <w:rsid w:val="00E06F40"/>
    <w:rsid w:val="00E07CE8"/>
    <w:rsid w:val="00E108F9"/>
    <w:rsid w:val="00E21EBB"/>
    <w:rsid w:val="00E26A07"/>
    <w:rsid w:val="00E32595"/>
    <w:rsid w:val="00E33B57"/>
    <w:rsid w:val="00E37CFD"/>
    <w:rsid w:val="00E41A26"/>
    <w:rsid w:val="00E46BCB"/>
    <w:rsid w:val="00E513FD"/>
    <w:rsid w:val="00E51CAF"/>
    <w:rsid w:val="00E5237C"/>
    <w:rsid w:val="00E60F04"/>
    <w:rsid w:val="00E62092"/>
    <w:rsid w:val="00E62AAC"/>
    <w:rsid w:val="00E67C2F"/>
    <w:rsid w:val="00E67EF5"/>
    <w:rsid w:val="00E8036D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29FB"/>
    <w:rsid w:val="00F42F07"/>
    <w:rsid w:val="00F43AD5"/>
    <w:rsid w:val="00F4402E"/>
    <w:rsid w:val="00F51E38"/>
    <w:rsid w:val="00F56DD0"/>
    <w:rsid w:val="00F62AFC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01A"/>
    <w:rsid w:val="00FB755A"/>
    <w:rsid w:val="00FC4F4B"/>
    <w:rsid w:val="00FC60A2"/>
    <w:rsid w:val="00FD1871"/>
    <w:rsid w:val="00FD3110"/>
    <w:rsid w:val="00FF03A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2D47A4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E3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2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14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08887DCDC8B4730952B1069FEA6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7AE5-AFEC-4A47-92AC-0B3A4C0776B6}"/>
      </w:docPartPr>
      <w:docPartBody>
        <w:p w:rsidR="00E06118" w:rsidRDefault="00DB2037" w:rsidP="00DB2037">
          <w:pPr>
            <w:pStyle w:val="808887DCDC8B4730952B1069FEA6FFC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26FC715654A4550AFF7734DAA4A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CCBA-8622-4075-8E5E-A267F3707FBD}"/>
      </w:docPartPr>
      <w:docPartBody>
        <w:p w:rsidR="003416CE" w:rsidRDefault="00C5061A" w:rsidP="00C5061A">
          <w:pPr>
            <w:pStyle w:val="F26FC715654A4550AFF7734DAA4A56E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561D7"/>
    <w:rsid w:val="003416CE"/>
    <w:rsid w:val="003E2214"/>
    <w:rsid w:val="004E5933"/>
    <w:rsid w:val="00531658"/>
    <w:rsid w:val="00871015"/>
    <w:rsid w:val="00885C07"/>
    <w:rsid w:val="00A43921"/>
    <w:rsid w:val="00C5061A"/>
    <w:rsid w:val="00D21A9F"/>
    <w:rsid w:val="00DB2037"/>
    <w:rsid w:val="00E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61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0270EEED1FC4A7CAC67F94F218BDD60">
    <w:name w:val="C0270EEED1FC4A7CAC67F94F218BDD60"/>
    <w:rsid w:val="00531658"/>
  </w:style>
  <w:style w:type="paragraph" w:customStyle="1" w:styleId="B12AA4D40AD94E9E8BBFDB70D4BD50CF">
    <w:name w:val="B12AA4D40AD94E9E8BBFDB70D4BD50CF"/>
    <w:rsid w:val="00531658"/>
  </w:style>
  <w:style w:type="paragraph" w:customStyle="1" w:styleId="8062FAFB96D946D39C20318B1A45B5DE">
    <w:name w:val="8062FAFB96D946D39C20318B1A45B5DE"/>
    <w:rsid w:val="00531658"/>
  </w:style>
  <w:style w:type="paragraph" w:customStyle="1" w:styleId="FE4FC609BDBB4A10AE8642EA9BB62C94">
    <w:name w:val="FE4FC609BDBB4A10AE8642EA9BB62C94"/>
    <w:rsid w:val="00531658"/>
  </w:style>
  <w:style w:type="paragraph" w:customStyle="1" w:styleId="2BC7746C10564D4C9AB34248A1A76919">
    <w:name w:val="2BC7746C10564D4C9AB34248A1A76919"/>
    <w:rsid w:val="00531658"/>
  </w:style>
  <w:style w:type="paragraph" w:customStyle="1" w:styleId="73B07357784547BBA3A0BF4C3D9B8C60">
    <w:name w:val="73B07357784547BBA3A0BF4C3D9B8C60"/>
    <w:rsid w:val="00531658"/>
  </w:style>
  <w:style w:type="paragraph" w:customStyle="1" w:styleId="BE153BA68CA54519ADE82E5DFD741776">
    <w:name w:val="BE153BA68CA54519ADE82E5DFD741776"/>
    <w:rsid w:val="00531658"/>
  </w:style>
  <w:style w:type="paragraph" w:customStyle="1" w:styleId="6B9B1DE4F8F34989A4AF1E30FD51813F">
    <w:name w:val="6B9B1DE4F8F34989A4AF1E30FD51813F"/>
    <w:rsid w:val="00531658"/>
  </w:style>
  <w:style w:type="paragraph" w:customStyle="1" w:styleId="9027E4A80E144CF481D7AE5863FF1571">
    <w:name w:val="9027E4A80E144CF481D7AE5863FF1571"/>
    <w:rsid w:val="00DB2037"/>
    <w:rPr>
      <w:lang w:val="en-CA" w:eastAsia="en-CA"/>
    </w:rPr>
  </w:style>
  <w:style w:type="paragraph" w:customStyle="1" w:styleId="808887DCDC8B4730952B1069FEA6FFCC">
    <w:name w:val="808887DCDC8B4730952B1069FEA6FFCC"/>
    <w:rsid w:val="00DB2037"/>
    <w:rPr>
      <w:lang w:val="en-CA" w:eastAsia="en-CA"/>
    </w:rPr>
  </w:style>
  <w:style w:type="paragraph" w:customStyle="1" w:styleId="F26FC715654A4550AFF7734DAA4A56E6">
    <w:name w:val="F26FC715654A4550AFF7734DAA4A56E6"/>
    <w:rsid w:val="00C5061A"/>
  </w:style>
  <w:style w:type="paragraph" w:customStyle="1" w:styleId="787444453AFF4DF084D24451F277AD16">
    <w:name w:val="787444453AFF4DF084D24451F277AD16"/>
    <w:rsid w:val="004E5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1CF1-B61C-40BA-9C14-326561B4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03C65-33CB-48D1-ADE7-740F59EE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33559354.dotm</Template>
  <TotalTime>188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Negm, Ahmed</dc:creator>
  <cp:lastModifiedBy>WARING,Owen</cp:lastModifiedBy>
  <cp:revision>21</cp:revision>
  <cp:lastPrinted>2018-10-22T22:41:00Z</cp:lastPrinted>
  <dcterms:created xsi:type="dcterms:W3CDTF">2019-09-24T16:20:00Z</dcterms:created>
  <dcterms:modified xsi:type="dcterms:W3CDTF">2019-11-07T03:44:00Z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