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B71ED" w14:textId="05F4123A" w:rsidR="00EB222D" w:rsidRDefault="00A5228F" w:rsidP="008E6292">
      <w:r w:rsidRPr="005378B1">
        <w:rPr>
          <w:noProof/>
          <w:lang w:eastAsia="zh-CN"/>
        </w:rPr>
        <w:drawing>
          <wp:anchor distT="0" distB="0" distL="114300" distR="114300" simplePos="0" relativeHeight="251658240" behindDoc="1" locked="0" layoutInCell="1" allowOverlap="1" wp14:anchorId="08DC5D66" wp14:editId="18924659">
            <wp:simplePos x="0" y="0"/>
            <wp:positionH relativeFrom="page">
              <wp:posOffset>-11753</wp:posOffset>
            </wp:positionH>
            <wp:positionV relativeFrom="page">
              <wp:posOffset>27066</wp:posOffset>
            </wp:positionV>
            <wp:extent cx="7558767" cy="10691998"/>
            <wp:effectExtent l="0" t="0" r="444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58767" cy="10691998"/>
                    </a:xfrm>
                    <a:prstGeom prst="rect">
                      <a:avLst/>
                    </a:prstGeom>
                  </pic:spPr>
                </pic:pic>
              </a:graphicData>
            </a:graphic>
            <wp14:sizeRelH relativeFrom="margin">
              <wp14:pctWidth>0</wp14:pctWidth>
            </wp14:sizeRelH>
            <wp14:sizeRelV relativeFrom="margin">
              <wp14:pctHeight>0</wp14:pctHeight>
            </wp14:sizeRelV>
          </wp:anchor>
        </w:drawing>
      </w:r>
    </w:p>
    <w:sdt>
      <w:sdtPr>
        <w:id w:val="-1206409104"/>
        <w:docPartObj>
          <w:docPartGallery w:val="Cover Pages"/>
          <w:docPartUnique/>
        </w:docPartObj>
      </w:sdtPr>
      <w:sdtEndPr/>
      <w:sdtContent>
        <w:p w14:paraId="06460590" w14:textId="273A62FC" w:rsidR="00A652B8" w:rsidRPr="005378B1" w:rsidRDefault="00A652B8" w:rsidP="008E6292"/>
        <w:p w14:paraId="47502A52" w14:textId="77777777" w:rsidR="00A652B8" w:rsidRPr="005378B1" w:rsidRDefault="00A652B8" w:rsidP="001D4EAA">
          <w:pPr>
            <w:pStyle w:val="Header"/>
            <w:spacing w:after="1320"/>
            <w:jc w:val="left"/>
          </w:pPr>
        </w:p>
        <w:p w14:paraId="697470CA" w14:textId="121328DC" w:rsidR="00A652B8" w:rsidRPr="005378B1" w:rsidRDefault="003C6509" w:rsidP="001D4EAA">
          <w:pPr>
            <w:pStyle w:val="Title"/>
          </w:pPr>
          <w:r w:rsidRPr="005378B1">
            <w:t xml:space="preserve">Proposed Financial Institutions Supervisory Levies for </w:t>
          </w:r>
          <w:r w:rsidR="00E20842" w:rsidRPr="005378B1">
            <w:t>202</w:t>
          </w:r>
          <w:r w:rsidR="5C7EC1B5" w:rsidRPr="005378B1">
            <w:t>5</w:t>
          </w:r>
          <w:r w:rsidR="00E20842" w:rsidRPr="005378B1">
            <w:t>-2</w:t>
          </w:r>
          <w:r w:rsidR="5C0EC210" w:rsidRPr="005378B1">
            <w:t>6</w:t>
          </w:r>
        </w:p>
        <w:p w14:paraId="3317EFE4" w14:textId="6B6FC4D0" w:rsidR="00A652B8" w:rsidRPr="005378B1" w:rsidRDefault="003C6509" w:rsidP="00082FC2">
          <w:pPr>
            <w:pStyle w:val="Subtitle"/>
            <w:spacing w:after="240"/>
          </w:pPr>
          <w:r w:rsidRPr="005378B1">
            <w:t>Discussion paper</w:t>
          </w:r>
        </w:p>
        <w:p w14:paraId="385AD6FE" w14:textId="027D86F1" w:rsidR="00A652B8" w:rsidRPr="005378B1" w:rsidRDefault="003C6509" w:rsidP="434DE3F0">
          <w:pPr>
            <w:pStyle w:val="ReportDate"/>
            <w:rPr>
              <w:rStyle w:val="ReportDateChar"/>
            </w:rPr>
          </w:pPr>
          <w:r w:rsidRPr="005378B1">
            <w:rPr>
              <w:rStyle w:val="ReportDateChar"/>
            </w:rPr>
            <w:t>Ma</w:t>
          </w:r>
          <w:r w:rsidR="18A01B06" w:rsidRPr="005378B1">
            <w:rPr>
              <w:rStyle w:val="ReportDateChar"/>
            </w:rPr>
            <w:t>rch</w:t>
          </w:r>
          <w:r w:rsidR="00762E42" w:rsidRPr="005378B1">
            <w:rPr>
              <w:rStyle w:val="ReportDateChar"/>
            </w:rPr>
            <w:t xml:space="preserve"> 202</w:t>
          </w:r>
          <w:r w:rsidR="162135CC" w:rsidRPr="005378B1">
            <w:rPr>
              <w:rStyle w:val="ReportDateChar"/>
            </w:rPr>
            <w:t>5</w:t>
          </w:r>
        </w:p>
        <w:p w14:paraId="0FF6ADF6" w14:textId="05E12449" w:rsidR="00A652B8" w:rsidRPr="005378B1" w:rsidRDefault="00A652B8" w:rsidP="00762E42">
          <w:pPr>
            <w:pStyle w:val="Instructions"/>
            <w:shd w:val="clear" w:color="auto" w:fill="auto"/>
            <w:ind w:left="0" w:firstLine="0"/>
          </w:pPr>
        </w:p>
        <w:p w14:paraId="3578D828" w14:textId="77777777" w:rsidR="00A652B8" w:rsidRPr="005378B1" w:rsidRDefault="00A652B8" w:rsidP="00775702">
          <w:pPr>
            <w:spacing w:after="1640"/>
          </w:pPr>
        </w:p>
        <w:p w14:paraId="7809468D" w14:textId="77777777" w:rsidR="00A652B8" w:rsidRPr="005378B1" w:rsidRDefault="00A652B8" w:rsidP="00775702">
          <w:pPr>
            <w:spacing w:after="1640"/>
          </w:pPr>
        </w:p>
        <w:p w14:paraId="16E48F21" w14:textId="3C6661F2" w:rsidR="00A652B8" w:rsidRPr="005378B1" w:rsidRDefault="003C6509">
          <w:pPr>
            <w:spacing w:before="0" w:after="160" w:line="259" w:lineRule="auto"/>
          </w:pPr>
          <w:r w:rsidRPr="005378B1">
            <w:br w:type="page"/>
          </w:r>
        </w:p>
      </w:sdtContent>
    </w:sdt>
    <w:p w14:paraId="59539ADC" w14:textId="77777777" w:rsidR="000E0B74" w:rsidRPr="005378B1" w:rsidRDefault="000E0B74" w:rsidP="000E0B74">
      <w:pPr>
        <w:sectPr w:rsidR="000E0B74" w:rsidRPr="005378B1" w:rsidSect="000F2169">
          <w:headerReference w:type="default" r:id="rId8"/>
          <w:footerReference w:type="default" r:id="rId9"/>
          <w:headerReference w:type="first" r:id="rId10"/>
          <w:footerReference w:type="first" r:id="rId11"/>
          <w:pgSz w:w="11906" w:h="16838" w:code="9"/>
          <w:pgMar w:top="1843" w:right="1418" w:bottom="1418" w:left="1418" w:header="709" w:footer="709" w:gutter="0"/>
          <w:pgNumType w:fmt="lowerRoman" w:start="0"/>
          <w:cols w:space="720"/>
          <w:titlePg/>
          <w:docGrid w:linePitch="299"/>
        </w:sectPr>
      </w:pPr>
    </w:p>
    <w:p w14:paraId="2DC0D43A" w14:textId="39A2A8C1" w:rsidR="000E0B74" w:rsidRPr="005378B1" w:rsidRDefault="003C6509" w:rsidP="005378B1">
      <w:pPr>
        <w:spacing w:before="240"/>
      </w:pPr>
      <w:r w:rsidRPr="005378B1">
        <w:lastRenderedPageBreak/>
        <w:t xml:space="preserve">© Commonwealth of Australia </w:t>
      </w:r>
      <w:r w:rsidR="006473B2" w:rsidRPr="005378B1">
        <w:t>202</w:t>
      </w:r>
      <w:r w:rsidR="00426EC8">
        <w:t>5</w:t>
      </w:r>
    </w:p>
    <w:p w14:paraId="599A83E5" w14:textId="6C8917A9" w:rsidR="000E0B74" w:rsidRPr="005378B1" w:rsidRDefault="003C6509" w:rsidP="005378B1">
      <w:pPr>
        <w:tabs>
          <w:tab w:val="left" w:pos="1650"/>
        </w:tabs>
        <w:spacing w:before="240"/>
        <w:rPr>
          <w:rFonts w:cstheme="minorBidi"/>
          <w:sz w:val="24"/>
          <w:szCs w:val="24"/>
        </w:rPr>
      </w:pPr>
      <w:r w:rsidRPr="005378B1">
        <w:t>This publication is available for your use under a</w:t>
      </w:r>
      <w:r w:rsidRPr="005378B1">
        <w:rPr>
          <w:rFonts w:cstheme="minorHAnsi"/>
          <w:sz w:val="24"/>
          <w:szCs w:val="24"/>
        </w:rPr>
        <w:t xml:space="preserve"> </w:t>
      </w:r>
      <w:hyperlink r:id="rId12" w:history="1">
        <w:r w:rsidRPr="005378B1">
          <w:rPr>
            <w:rStyle w:val="Hyperlink"/>
            <w:color w:val="auto"/>
          </w:rPr>
          <w:t>Creative Commons Attribution 3.0 Australia</w:t>
        </w:r>
      </w:hyperlink>
      <w:r w:rsidRPr="005378B1">
        <w:rPr>
          <w:rFonts w:cstheme="minorHAnsi"/>
          <w:sz w:val="24"/>
          <w:szCs w:val="24"/>
        </w:rPr>
        <w:t xml:space="preserve"> </w:t>
      </w:r>
      <w:r w:rsidRPr="005378B1">
        <w:t>licence, with the exception of the Commonwealth Coat of Arms, the Treasury logo, photographs, images, signatures and where otherwise stated. The full licence terms are available from</w:t>
      </w:r>
      <w:r w:rsidRPr="005378B1">
        <w:rPr>
          <w:rFonts w:cstheme="minorHAnsi"/>
          <w:sz w:val="24"/>
          <w:szCs w:val="24"/>
        </w:rPr>
        <w:t xml:space="preserve"> </w:t>
      </w:r>
      <w:hyperlink r:id="rId13" w:history="1">
        <w:r w:rsidRPr="005378B1">
          <w:rPr>
            <w:rStyle w:val="Hyperlink"/>
            <w:color w:val="auto"/>
          </w:rPr>
          <w:t>http://creativecommons.org/licenses/by/3.0/au/legalcode</w:t>
        </w:r>
      </w:hyperlink>
      <w:r w:rsidRPr="005378B1">
        <w:rPr>
          <w:rStyle w:val="Hyperlink"/>
          <w:color w:val="auto"/>
        </w:rPr>
        <w:t>.</w:t>
      </w:r>
      <w:r w:rsidRPr="005378B1">
        <w:rPr>
          <w:sz w:val="24"/>
          <w:szCs w:val="24"/>
        </w:rPr>
        <w:t xml:space="preserve"> </w:t>
      </w:r>
    </w:p>
    <w:p w14:paraId="17C2C554" w14:textId="77777777" w:rsidR="000E0B74" w:rsidRPr="005378B1" w:rsidRDefault="000E0B74" w:rsidP="005378B1">
      <w:pPr>
        <w:pStyle w:val="ChartGraphic"/>
        <w:jc w:val="left"/>
        <w:rPr>
          <w:color w:val="auto"/>
        </w:rPr>
      </w:pPr>
      <w:r w:rsidRPr="005378B1">
        <w:rPr>
          <w:noProof/>
          <w:color w:val="auto"/>
          <w:lang w:eastAsia="zh-CN"/>
        </w:rPr>
        <w:drawing>
          <wp:inline distT="0" distB="0" distL="0" distR="0" wp14:anchorId="07C60480" wp14:editId="52A74A96">
            <wp:extent cx="809625" cy="285750"/>
            <wp:effectExtent l="0" t="0" r="9525" b="0"/>
            <wp:docPr id="3" name="Picture 1"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2618F8E4" w14:textId="77777777" w:rsidR="000E0B74" w:rsidRPr="005378B1" w:rsidRDefault="003C6509" w:rsidP="005378B1">
      <w:pPr>
        <w:tabs>
          <w:tab w:val="left" w:pos="1650"/>
        </w:tabs>
        <w:spacing w:before="240"/>
      </w:pPr>
      <w:r w:rsidRPr="005378B1">
        <w:t>Use of Treasury material under a</w:t>
      </w:r>
      <w:r w:rsidRPr="005378B1">
        <w:rPr>
          <w:rFonts w:cstheme="minorHAnsi"/>
          <w:sz w:val="24"/>
          <w:szCs w:val="24"/>
        </w:rPr>
        <w:t xml:space="preserve"> </w:t>
      </w:r>
      <w:hyperlink r:id="rId15" w:history="1">
        <w:r w:rsidRPr="005378B1">
          <w:rPr>
            <w:rStyle w:val="Hyperlink"/>
            <w:color w:val="auto"/>
          </w:rPr>
          <w:t>Creative Commons Attribution 3.0 Australia</w:t>
        </w:r>
      </w:hyperlink>
      <w:r w:rsidRPr="005378B1">
        <w:rPr>
          <w:rStyle w:val="Hyperlink"/>
          <w:color w:val="auto"/>
        </w:rPr>
        <w:t xml:space="preserve"> </w:t>
      </w:r>
      <w:r w:rsidRPr="005378B1">
        <w:t>licence requires you to attribute the work (but not in any way that suggests that the Treasury endorses you or your use of the work).</w:t>
      </w:r>
    </w:p>
    <w:p w14:paraId="27110059" w14:textId="77777777" w:rsidR="000E0B74" w:rsidRPr="005378B1" w:rsidRDefault="003C6509" w:rsidP="005378B1">
      <w:pPr>
        <w:spacing w:before="240"/>
        <w:rPr>
          <w:b/>
        </w:rPr>
      </w:pPr>
      <w:r w:rsidRPr="005378B1">
        <w:rPr>
          <w:b/>
        </w:rPr>
        <w:t>Treasury material used ‘as supplied’.</w:t>
      </w:r>
    </w:p>
    <w:p w14:paraId="52470EAD" w14:textId="77777777" w:rsidR="000E0B74" w:rsidRPr="005378B1" w:rsidRDefault="003C6509" w:rsidP="005378B1">
      <w:r w:rsidRPr="005378B1">
        <w:t xml:space="preserve">Provided you have not modified or transformed Treasury material in any way including, for example, by changing the Treasury text; calculating percentage changes; graphing or charting data; or deriving new statistics from published Treasury statistics — then Treasury prefers the following attribution: </w:t>
      </w:r>
    </w:p>
    <w:p w14:paraId="0B0AF378" w14:textId="118DF7EB" w:rsidR="000E0B74" w:rsidRPr="005378B1" w:rsidRDefault="003C6509" w:rsidP="005378B1">
      <w:pPr>
        <w:ind w:firstLine="720"/>
      </w:pPr>
      <w:r w:rsidRPr="005378B1">
        <w:rPr>
          <w:i/>
        </w:rPr>
        <w:t xml:space="preserve">Source: The </w:t>
      </w:r>
      <w:r w:rsidRPr="005378B1">
        <w:rPr>
          <w:i/>
          <w:iCs/>
        </w:rPr>
        <w:t>Australian Government the Treasury</w:t>
      </w:r>
    </w:p>
    <w:p w14:paraId="3E2AF64B" w14:textId="77777777" w:rsidR="000E0B74" w:rsidRPr="005378B1" w:rsidRDefault="003C6509" w:rsidP="005378B1">
      <w:pPr>
        <w:spacing w:before="240"/>
      </w:pPr>
      <w:r w:rsidRPr="005378B1">
        <w:rPr>
          <w:b/>
        </w:rPr>
        <w:t>Derivative</w:t>
      </w:r>
      <w:r w:rsidRPr="005378B1">
        <w:t xml:space="preserve"> </w:t>
      </w:r>
      <w:r w:rsidRPr="005378B1">
        <w:rPr>
          <w:b/>
        </w:rPr>
        <w:t>material</w:t>
      </w:r>
    </w:p>
    <w:p w14:paraId="113781D3" w14:textId="77777777" w:rsidR="000E0B74" w:rsidRPr="005378B1" w:rsidRDefault="003C6509" w:rsidP="005378B1">
      <w:r w:rsidRPr="005378B1">
        <w:t xml:space="preserve">If you have modified or transformed Treasury material, or derived new material from those of the Treasury in any way, then Treasury prefers the following attribution: </w:t>
      </w:r>
    </w:p>
    <w:p w14:paraId="197C48AE" w14:textId="10EBECF9" w:rsidR="000E0B74" w:rsidRPr="005378B1" w:rsidRDefault="003C6509" w:rsidP="005378B1">
      <w:pPr>
        <w:ind w:firstLine="720"/>
      </w:pPr>
      <w:r w:rsidRPr="005378B1">
        <w:rPr>
          <w:i/>
        </w:rPr>
        <w:t>Based on The Australian Government the Treasury data</w:t>
      </w:r>
    </w:p>
    <w:p w14:paraId="4FFD0A8F" w14:textId="77777777" w:rsidR="000E0B74" w:rsidRPr="005378B1" w:rsidRDefault="003C6509" w:rsidP="005378B1">
      <w:pPr>
        <w:spacing w:before="240"/>
        <w:rPr>
          <w:b/>
        </w:rPr>
      </w:pPr>
      <w:r w:rsidRPr="005378B1">
        <w:rPr>
          <w:b/>
        </w:rPr>
        <w:t>Use of the Coat of Arms</w:t>
      </w:r>
    </w:p>
    <w:p w14:paraId="398AF780" w14:textId="3FB2B389" w:rsidR="000E0B74" w:rsidRPr="005378B1" w:rsidRDefault="003C6509" w:rsidP="005378B1">
      <w:r w:rsidRPr="005378B1">
        <w:t xml:space="preserve">The terms under which the Coat of Arms can be used are set out on the Department of the Prime Minister and Cabinet website (see </w:t>
      </w:r>
      <w:hyperlink r:id="rId16" w:history="1">
        <w:r w:rsidR="003F5DF6" w:rsidRPr="005378B1">
          <w:rPr>
            <w:rStyle w:val="Hyperlink"/>
            <w:color w:val="auto"/>
          </w:rPr>
          <w:t>http://www.pmc.gov.au/government/commonwealth-coat-arms</w:t>
        </w:r>
      </w:hyperlink>
      <w:r w:rsidR="004A7BC2" w:rsidRPr="005378B1">
        <w:t>).</w:t>
      </w:r>
    </w:p>
    <w:p w14:paraId="2345C464" w14:textId="77777777" w:rsidR="000E0B74" w:rsidRPr="005378B1" w:rsidRDefault="003C6509" w:rsidP="005378B1">
      <w:pPr>
        <w:spacing w:before="240"/>
        <w:rPr>
          <w:b/>
        </w:rPr>
      </w:pPr>
      <w:r w:rsidRPr="005378B1">
        <w:rPr>
          <w:b/>
        </w:rPr>
        <w:t>Other uses</w:t>
      </w:r>
    </w:p>
    <w:p w14:paraId="468BF077" w14:textId="77777777" w:rsidR="000E0B74" w:rsidRPr="005378B1" w:rsidRDefault="003C6509" w:rsidP="005378B1">
      <w:r w:rsidRPr="005378B1">
        <w:t>Enquiries regarding this licence and any other use of this document are welcome at:</w:t>
      </w:r>
    </w:p>
    <w:p w14:paraId="0194F1A8" w14:textId="0895DDDD" w:rsidR="000E0B74" w:rsidRPr="005378B1" w:rsidRDefault="003F5DF6" w:rsidP="005378B1">
      <w:pPr>
        <w:ind w:left="720"/>
        <w:rPr>
          <w:rStyle w:val="Hyperlink"/>
          <w:color w:val="auto"/>
        </w:rPr>
      </w:pPr>
      <w:r w:rsidRPr="005378B1">
        <w:t>Director</w:t>
      </w:r>
      <w:r w:rsidR="009A668A" w:rsidRPr="005378B1">
        <w:br/>
      </w:r>
      <w:r w:rsidR="003C6509" w:rsidRPr="005378B1">
        <w:t>Media and Speeches Unit</w:t>
      </w:r>
      <w:r w:rsidR="003C6509" w:rsidRPr="005378B1">
        <w:br/>
        <w:t>The Treasury</w:t>
      </w:r>
      <w:r w:rsidR="003C6509" w:rsidRPr="005378B1">
        <w:br/>
        <w:t xml:space="preserve">Langton Crescent </w:t>
      </w:r>
      <w:r w:rsidR="003C6509" w:rsidRPr="005378B1">
        <w:br/>
        <w:t>Parkes ACT 2600</w:t>
      </w:r>
      <w:r w:rsidR="003C6509" w:rsidRPr="005378B1">
        <w:br/>
        <w:t xml:space="preserve">Email: </w:t>
      </w:r>
      <w:hyperlink r:id="rId17" w:history="1">
        <w:r w:rsidR="004A077D" w:rsidRPr="005378B1">
          <w:rPr>
            <w:rStyle w:val="Hyperlink"/>
            <w:color w:val="auto"/>
          </w:rPr>
          <w:t>media@treasury.gov.au</w:t>
        </w:r>
      </w:hyperlink>
      <w:r w:rsidR="004A077D" w:rsidRPr="005378B1">
        <w:t xml:space="preserve"> </w:t>
      </w:r>
    </w:p>
    <w:p w14:paraId="4A076723" w14:textId="77777777" w:rsidR="000E0B74" w:rsidRPr="005378B1" w:rsidRDefault="000E0B74" w:rsidP="005378B1">
      <w:pPr>
        <w:pStyle w:val="SingleParagraph"/>
        <w:sectPr w:rsidR="000E0B74" w:rsidRPr="005378B1" w:rsidSect="000F2169">
          <w:headerReference w:type="even" r:id="rId18"/>
          <w:headerReference w:type="default" r:id="rId19"/>
          <w:footerReference w:type="even" r:id="rId20"/>
          <w:footerReference w:type="default" r:id="rId21"/>
          <w:headerReference w:type="first" r:id="rId22"/>
          <w:footerReference w:type="first" r:id="rId23"/>
          <w:pgSz w:w="11906" w:h="16838" w:code="9"/>
          <w:pgMar w:top="1843" w:right="1418" w:bottom="1418" w:left="1418" w:header="709" w:footer="709" w:gutter="0"/>
          <w:pgNumType w:fmt="lowerRoman"/>
          <w:cols w:space="708"/>
          <w:titlePg/>
          <w:docGrid w:linePitch="360"/>
        </w:sectPr>
      </w:pPr>
    </w:p>
    <w:p w14:paraId="1C774983" w14:textId="77777777" w:rsidR="00236B68" w:rsidRPr="005378B1" w:rsidRDefault="00236B68" w:rsidP="00236B68">
      <w:pPr>
        <w:pStyle w:val="Heading1"/>
        <w:rPr>
          <w:color w:val="auto"/>
        </w:rPr>
      </w:pPr>
      <w:bookmarkStart w:id="0" w:name="_Toc192616728"/>
      <w:r w:rsidRPr="005378B1">
        <w:rPr>
          <w:color w:val="auto"/>
        </w:rPr>
        <w:lastRenderedPageBreak/>
        <w:t>Contents</w:t>
      </w:r>
      <w:bookmarkEnd w:id="0"/>
    </w:p>
    <w:p w14:paraId="0C31AAA1" w14:textId="1D33C237" w:rsidR="00420F55" w:rsidRDefault="00257AEE">
      <w:pPr>
        <w:pStyle w:val="TOC1"/>
        <w:rPr>
          <w:rFonts w:asciiTheme="minorHAnsi" w:eastAsiaTheme="minorEastAsia" w:hAnsiTheme="minorHAnsi" w:cstheme="minorBidi"/>
          <w:b w:val="0"/>
          <w:color w:val="auto"/>
          <w:kern w:val="2"/>
          <w:sz w:val="24"/>
          <w:szCs w:val="24"/>
          <w14:ligatures w14:val="standardContextual"/>
        </w:rPr>
      </w:pPr>
      <w:r w:rsidRPr="00CD3121">
        <w:rPr>
          <w:color w:val="auto"/>
        </w:rPr>
        <w:fldChar w:fldCharType="begin"/>
      </w:r>
      <w:r w:rsidRPr="00CD3121">
        <w:rPr>
          <w:color w:val="auto"/>
        </w:rPr>
        <w:instrText xml:space="preserve"> TOC \o "1-2" \h \z \t "Heading 3,3,Chart Main Heading,3,Table Main Heading,3,Heading 3 Numbered,3,Table Heading Continued,3" </w:instrText>
      </w:r>
      <w:r w:rsidRPr="00CD3121">
        <w:rPr>
          <w:color w:val="auto"/>
        </w:rPr>
        <w:fldChar w:fldCharType="separate"/>
      </w:r>
      <w:hyperlink w:anchor="_Toc192616728" w:history="1">
        <w:r w:rsidR="00420F55" w:rsidRPr="003802FD">
          <w:rPr>
            <w:rStyle w:val="Hyperlink"/>
          </w:rPr>
          <w:t>Contents</w:t>
        </w:r>
        <w:r w:rsidR="00420F55">
          <w:rPr>
            <w:webHidden/>
          </w:rPr>
          <w:tab/>
        </w:r>
        <w:r w:rsidR="00420F55">
          <w:rPr>
            <w:webHidden/>
          </w:rPr>
          <w:fldChar w:fldCharType="begin"/>
        </w:r>
        <w:r w:rsidR="00420F55">
          <w:rPr>
            <w:webHidden/>
          </w:rPr>
          <w:instrText xml:space="preserve"> PAGEREF _Toc192616728 \h </w:instrText>
        </w:r>
        <w:r w:rsidR="00420F55">
          <w:rPr>
            <w:webHidden/>
          </w:rPr>
        </w:r>
        <w:r w:rsidR="00420F55">
          <w:rPr>
            <w:webHidden/>
          </w:rPr>
          <w:fldChar w:fldCharType="separate"/>
        </w:r>
        <w:r w:rsidR="00176FDF">
          <w:rPr>
            <w:webHidden/>
          </w:rPr>
          <w:t>ii</w:t>
        </w:r>
        <w:r w:rsidR="00420F55">
          <w:rPr>
            <w:webHidden/>
          </w:rPr>
          <w:fldChar w:fldCharType="end"/>
        </w:r>
      </w:hyperlink>
    </w:p>
    <w:p w14:paraId="686B96DC" w14:textId="53E66209" w:rsidR="00420F55" w:rsidRDefault="00805677">
      <w:pPr>
        <w:pStyle w:val="TOC1"/>
        <w:rPr>
          <w:rFonts w:asciiTheme="minorHAnsi" w:eastAsiaTheme="minorEastAsia" w:hAnsiTheme="minorHAnsi" w:cstheme="minorBidi"/>
          <w:b w:val="0"/>
          <w:color w:val="auto"/>
          <w:kern w:val="2"/>
          <w:sz w:val="24"/>
          <w:szCs w:val="24"/>
          <w14:ligatures w14:val="standardContextual"/>
        </w:rPr>
      </w:pPr>
      <w:hyperlink w:anchor="_Toc192616729" w:history="1">
        <w:r w:rsidR="00420F55" w:rsidRPr="003802FD">
          <w:rPr>
            <w:rStyle w:val="Hyperlink"/>
          </w:rPr>
          <w:t>Consultation Process</w:t>
        </w:r>
        <w:r w:rsidR="00420F55">
          <w:rPr>
            <w:webHidden/>
          </w:rPr>
          <w:tab/>
        </w:r>
        <w:r w:rsidR="00420F55">
          <w:rPr>
            <w:webHidden/>
          </w:rPr>
          <w:fldChar w:fldCharType="begin"/>
        </w:r>
        <w:r w:rsidR="00420F55">
          <w:rPr>
            <w:webHidden/>
          </w:rPr>
          <w:instrText xml:space="preserve"> PAGEREF _Toc192616729 \h </w:instrText>
        </w:r>
        <w:r w:rsidR="00420F55">
          <w:rPr>
            <w:webHidden/>
          </w:rPr>
        </w:r>
        <w:r w:rsidR="00420F55">
          <w:rPr>
            <w:webHidden/>
          </w:rPr>
          <w:fldChar w:fldCharType="separate"/>
        </w:r>
        <w:r w:rsidR="00176FDF">
          <w:rPr>
            <w:webHidden/>
          </w:rPr>
          <w:t>1</w:t>
        </w:r>
        <w:r w:rsidR="00420F55">
          <w:rPr>
            <w:webHidden/>
          </w:rPr>
          <w:fldChar w:fldCharType="end"/>
        </w:r>
      </w:hyperlink>
    </w:p>
    <w:p w14:paraId="028774DB" w14:textId="1FB4F516" w:rsidR="00420F55" w:rsidRDefault="00805677">
      <w:pPr>
        <w:pStyle w:val="TOC2"/>
        <w:rPr>
          <w:rFonts w:asciiTheme="minorHAnsi" w:eastAsiaTheme="minorEastAsia" w:hAnsiTheme="minorHAnsi" w:cstheme="minorBidi"/>
          <w:color w:val="auto"/>
          <w:kern w:val="2"/>
          <w:sz w:val="24"/>
          <w:szCs w:val="24"/>
          <w14:ligatures w14:val="standardContextual"/>
        </w:rPr>
      </w:pPr>
      <w:hyperlink w:anchor="_Toc192616730" w:history="1">
        <w:r w:rsidR="00420F55" w:rsidRPr="003802FD">
          <w:rPr>
            <w:rStyle w:val="Hyperlink"/>
          </w:rPr>
          <w:t>Request for feedback and comments</w:t>
        </w:r>
        <w:r w:rsidR="00420F55">
          <w:rPr>
            <w:webHidden/>
          </w:rPr>
          <w:tab/>
        </w:r>
        <w:r w:rsidR="00420F55">
          <w:rPr>
            <w:webHidden/>
          </w:rPr>
          <w:fldChar w:fldCharType="begin"/>
        </w:r>
        <w:r w:rsidR="00420F55">
          <w:rPr>
            <w:webHidden/>
          </w:rPr>
          <w:instrText xml:space="preserve"> PAGEREF _Toc192616730 \h </w:instrText>
        </w:r>
        <w:r w:rsidR="00420F55">
          <w:rPr>
            <w:webHidden/>
          </w:rPr>
        </w:r>
        <w:r w:rsidR="00420F55">
          <w:rPr>
            <w:webHidden/>
          </w:rPr>
          <w:fldChar w:fldCharType="separate"/>
        </w:r>
        <w:r w:rsidR="00176FDF">
          <w:rPr>
            <w:webHidden/>
          </w:rPr>
          <w:t>1</w:t>
        </w:r>
        <w:r w:rsidR="00420F55">
          <w:rPr>
            <w:webHidden/>
          </w:rPr>
          <w:fldChar w:fldCharType="end"/>
        </w:r>
      </w:hyperlink>
    </w:p>
    <w:p w14:paraId="219A9D7F" w14:textId="1BDCE951" w:rsidR="00420F55" w:rsidRDefault="00805677">
      <w:pPr>
        <w:pStyle w:val="TOC1"/>
        <w:rPr>
          <w:rFonts w:asciiTheme="minorHAnsi" w:eastAsiaTheme="minorEastAsia" w:hAnsiTheme="minorHAnsi" w:cstheme="minorBidi"/>
          <w:b w:val="0"/>
          <w:color w:val="auto"/>
          <w:kern w:val="2"/>
          <w:sz w:val="24"/>
          <w:szCs w:val="24"/>
          <w14:ligatures w14:val="standardContextual"/>
        </w:rPr>
      </w:pPr>
      <w:hyperlink w:anchor="_Toc192616731" w:history="1">
        <w:r w:rsidR="00420F55" w:rsidRPr="003802FD">
          <w:rPr>
            <w:rStyle w:val="Hyperlink"/>
          </w:rPr>
          <w:t>Introduction</w:t>
        </w:r>
        <w:r w:rsidR="00420F55">
          <w:rPr>
            <w:webHidden/>
          </w:rPr>
          <w:tab/>
        </w:r>
        <w:r w:rsidR="00420F55">
          <w:rPr>
            <w:webHidden/>
          </w:rPr>
          <w:fldChar w:fldCharType="begin"/>
        </w:r>
        <w:r w:rsidR="00420F55">
          <w:rPr>
            <w:webHidden/>
          </w:rPr>
          <w:instrText xml:space="preserve"> PAGEREF _Toc192616731 \h </w:instrText>
        </w:r>
        <w:r w:rsidR="00420F55">
          <w:rPr>
            <w:webHidden/>
          </w:rPr>
        </w:r>
        <w:r w:rsidR="00420F55">
          <w:rPr>
            <w:webHidden/>
          </w:rPr>
          <w:fldChar w:fldCharType="separate"/>
        </w:r>
        <w:r w:rsidR="00176FDF">
          <w:rPr>
            <w:webHidden/>
          </w:rPr>
          <w:t>2</w:t>
        </w:r>
        <w:r w:rsidR="00420F55">
          <w:rPr>
            <w:webHidden/>
          </w:rPr>
          <w:fldChar w:fldCharType="end"/>
        </w:r>
      </w:hyperlink>
    </w:p>
    <w:p w14:paraId="4398E3DC" w14:textId="7329164F" w:rsidR="00420F55" w:rsidRDefault="00805677">
      <w:pPr>
        <w:pStyle w:val="TOC1"/>
        <w:rPr>
          <w:rFonts w:asciiTheme="minorHAnsi" w:eastAsiaTheme="minorEastAsia" w:hAnsiTheme="minorHAnsi" w:cstheme="minorBidi"/>
          <w:b w:val="0"/>
          <w:color w:val="auto"/>
          <w:kern w:val="2"/>
          <w:sz w:val="24"/>
          <w:szCs w:val="24"/>
          <w14:ligatures w14:val="standardContextual"/>
        </w:rPr>
      </w:pPr>
      <w:hyperlink w:anchor="_Toc192616732" w:history="1">
        <w:r w:rsidR="00420F55" w:rsidRPr="003802FD">
          <w:rPr>
            <w:rStyle w:val="Hyperlink"/>
          </w:rPr>
          <w:t>Australian Government cost recovery</w:t>
        </w:r>
        <w:r w:rsidR="00420F55">
          <w:rPr>
            <w:webHidden/>
          </w:rPr>
          <w:tab/>
        </w:r>
        <w:r w:rsidR="00420F55">
          <w:rPr>
            <w:webHidden/>
          </w:rPr>
          <w:fldChar w:fldCharType="begin"/>
        </w:r>
        <w:r w:rsidR="00420F55">
          <w:rPr>
            <w:webHidden/>
          </w:rPr>
          <w:instrText xml:space="preserve"> PAGEREF _Toc192616732 \h </w:instrText>
        </w:r>
        <w:r w:rsidR="00420F55">
          <w:rPr>
            <w:webHidden/>
          </w:rPr>
        </w:r>
        <w:r w:rsidR="00420F55">
          <w:rPr>
            <w:webHidden/>
          </w:rPr>
          <w:fldChar w:fldCharType="separate"/>
        </w:r>
        <w:r w:rsidR="00176FDF">
          <w:rPr>
            <w:webHidden/>
          </w:rPr>
          <w:t>2</w:t>
        </w:r>
        <w:r w:rsidR="00420F55">
          <w:rPr>
            <w:webHidden/>
          </w:rPr>
          <w:fldChar w:fldCharType="end"/>
        </w:r>
      </w:hyperlink>
    </w:p>
    <w:p w14:paraId="5B6A4DC8" w14:textId="4E202C2A" w:rsidR="00420F55" w:rsidRDefault="00805677">
      <w:pPr>
        <w:pStyle w:val="TOC1"/>
        <w:rPr>
          <w:rFonts w:asciiTheme="minorHAnsi" w:eastAsiaTheme="minorEastAsia" w:hAnsiTheme="minorHAnsi" w:cstheme="minorBidi"/>
          <w:b w:val="0"/>
          <w:color w:val="auto"/>
          <w:kern w:val="2"/>
          <w:sz w:val="24"/>
          <w:szCs w:val="24"/>
          <w14:ligatures w14:val="standardContextual"/>
        </w:rPr>
      </w:pPr>
      <w:hyperlink w:anchor="_Toc192616733" w:history="1">
        <w:r w:rsidR="00420F55" w:rsidRPr="003802FD">
          <w:rPr>
            <w:rStyle w:val="Hyperlink"/>
          </w:rPr>
          <w:t>Policy and legislative basis for the levies</w:t>
        </w:r>
        <w:r w:rsidR="00420F55">
          <w:rPr>
            <w:webHidden/>
          </w:rPr>
          <w:tab/>
        </w:r>
        <w:r w:rsidR="00420F55">
          <w:rPr>
            <w:webHidden/>
          </w:rPr>
          <w:fldChar w:fldCharType="begin"/>
        </w:r>
        <w:r w:rsidR="00420F55">
          <w:rPr>
            <w:webHidden/>
          </w:rPr>
          <w:instrText xml:space="preserve"> PAGEREF _Toc192616733 \h </w:instrText>
        </w:r>
        <w:r w:rsidR="00420F55">
          <w:rPr>
            <w:webHidden/>
          </w:rPr>
        </w:r>
        <w:r w:rsidR="00420F55">
          <w:rPr>
            <w:webHidden/>
          </w:rPr>
          <w:fldChar w:fldCharType="separate"/>
        </w:r>
        <w:r w:rsidR="00176FDF">
          <w:rPr>
            <w:webHidden/>
          </w:rPr>
          <w:t>2</w:t>
        </w:r>
        <w:r w:rsidR="00420F55">
          <w:rPr>
            <w:webHidden/>
          </w:rPr>
          <w:fldChar w:fldCharType="end"/>
        </w:r>
      </w:hyperlink>
    </w:p>
    <w:p w14:paraId="1836C9D9" w14:textId="33E871C4" w:rsidR="00420F55" w:rsidRDefault="00805677">
      <w:pPr>
        <w:pStyle w:val="TOC1"/>
        <w:rPr>
          <w:rFonts w:asciiTheme="minorHAnsi" w:eastAsiaTheme="minorEastAsia" w:hAnsiTheme="minorHAnsi" w:cstheme="minorBidi"/>
          <w:b w:val="0"/>
          <w:color w:val="auto"/>
          <w:kern w:val="2"/>
          <w:sz w:val="24"/>
          <w:szCs w:val="24"/>
          <w14:ligatures w14:val="standardContextual"/>
        </w:rPr>
      </w:pPr>
      <w:hyperlink w:anchor="_Toc192616734" w:history="1">
        <w:r w:rsidR="00420F55" w:rsidRPr="003802FD">
          <w:rPr>
            <w:rStyle w:val="Hyperlink"/>
          </w:rPr>
          <w:t>APRA</w:t>
        </w:r>
        <w:r w:rsidR="00420F55" w:rsidRPr="003802FD">
          <w:rPr>
            <w:rStyle w:val="Hyperlink"/>
            <w:rFonts w:hint="eastAsia"/>
          </w:rPr>
          <w:t>’</w:t>
        </w:r>
        <w:r w:rsidR="00420F55" w:rsidRPr="003802FD">
          <w:rPr>
            <w:rStyle w:val="Hyperlink"/>
          </w:rPr>
          <w:t>s activities</w:t>
        </w:r>
        <w:r w:rsidR="00420F55">
          <w:rPr>
            <w:webHidden/>
          </w:rPr>
          <w:tab/>
        </w:r>
        <w:r w:rsidR="00420F55">
          <w:rPr>
            <w:webHidden/>
          </w:rPr>
          <w:fldChar w:fldCharType="begin"/>
        </w:r>
        <w:r w:rsidR="00420F55">
          <w:rPr>
            <w:webHidden/>
          </w:rPr>
          <w:instrText xml:space="preserve"> PAGEREF _Toc192616734 \h </w:instrText>
        </w:r>
        <w:r w:rsidR="00420F55">
          <w:rPr>
            <w:webHidden/>
          </w:rPr>
        </w:r>
        <w:r w:rsidR="00420F55">
          <w:rPr>
            <w:webHidden/>
          </w:rPr>
          <w:fldChar w:fldCharType="separate"/>
        </w:r>
        <w:r w:rsidR="00176FDF">
          <w:rPr>
            <w:webHidden/>
          </w:rPr>
          <w:t>3</w:t>
        </w:r>
        <w:r w:rsidR="00420F55">
          <w:rPr>
            <w:webHidden/>
          </w:rPr>
          <w:fldChar w:fldCharType="end"/>
        </w:r>
      </w:hyperlink>
    </w:p>
    <w:p w14:paraId="08EA5BA8" w14:textId="65DDB2CD" w:rsidR="00420F55" w:rsidRDefault="00805677">
      <w:pPr>
        <w:pStyle w:val="TOC1"/>
        <w:rPr>
          <w:rFonts w:asciiTheme="minorHAnsi" w:eastAsiaTheme="minorEastAsia" w:hAnsiTheme="minorHAnsi" w:cstheme="minorBidi"/>
          <w:b w:val="0"/>
          <w:color w:val="auto"/>
          <w:kern w:val="2"/>
          <w:sz w:val="24"/>
          <w:szCs w:val="24"/>
          <w14:ligatures w14:val="standardContextual"/>
        </w:rPr>
      </w:pPr>
      <w:hyperlink w:anchor="_Toc192616735" w:history="1">
        <w:r w:rsidR="00420F55" w:rsidRPr="003802FD">
          <w:rPr>
            <w:rStyle w:val="Hyperlink"/>
          </w:rPr>
          <w:t>Summary of levies funding requirements for 2025</w:t>
        </w:r>
        <w:r w:rsidR="00420F55" w:rsidRPr="003802FD">
          <w:rPr>
            <w:rStyle w:val="Hyperlink"/>
            <w:rFonts w:hint="eastAsia"/>
          </w:rPr>
          <w:t>–</w:t>
        </w:r>
        <w:r w:rsidR="00420F55" w:rsidRPr="003802FD">
          <w:rPr>
            <w:rStyle w:val="Hyperlink"/>
          </w:rPr>
          <w:t>26</w:t>
        </w:r>
        <w:r w:rsidR="00420F55">
          <w:rPr>
            <w:webHidden/>
          </w:rPr>
          <w:tab/>
        </w:r>
        <w:r w:rsidR="00420F55">
          <w:rPr>
            <w:webHidden/>
          </w:rPr>
          <w:fldChar w:fldCharType="begin"/>
        </w:r>
        <w:r w:rsidR="00420F55">
          <w:rPr>
            <w:webHidden/>
          </w:rPr>
          <w:instrText xml:space="preserve"> PAGEREF _Toc192616735 \h </w:instrText>
        </w:r>
        <w:r w:rsidR="00420F55">
          <w:rPr>
            <w:webHidden/>
          </w:rPr>
        </w:r>
        <w:r w:rsidR="00420F55">
          <w:rPr>
            <w:webHidden/>
          </w:rPr>
          <w:fldChar w:fldCharType="separate"/>
        </w:r>
        <w:r w:rsidR="00176FDF">
          <w:rPr>
            <w:webHidden/>
          </w:rPr>
          <w:t>5</w:t>
        </w:r>
        <w:r w:rsidR="00420F55">
          <w:rPr>
            <w:webHidden/>
          </w:rPr>
          <w:fldChar w:fldCharType="end"/>
        </w:r>
      </w:hyperlink>
    </w:p>
    <w:p w14:paraId="035888A0" w14:textId="69D6BAEB" w:rsidR="00420F55" w:rsidRDefault="00805677">
      <w:pPr>
        <w:pStyle w:val="TOC2"/>
        <w:rPr>
          <w:rFonts w:asciiTheme="minorHAnsi" w:eastAsiaTheme="minorEastAsia" w:hAnsiTheme="minorHAnsi" w:cstheme="minorBidi"/>
          <w:color w:val="auto"/>
          <w:kern w:val="2"/>
          <w:sz w:val="24"/>
          <w:szCs w:val="24"/>
          <w14:ligatures w14:val="standardContextual"/>
        </w:rPr>
      </w:pPr>
      <w:hyperlink w:anchor="_Toc192616737" w:history="1">
        <w:r w:rsidR="00420F55" w:rsidRPr="003802FD">
          <w:rPr>
            <w:rStyle w:val="Hyperlink"/>
          </w:rPr>
          <w:t>APRA</w:t>
        </w:r>
        <w:r w:rsidR="00420F55" w:rsidRPr="003802FD">
          <w:rPr>
            <w:rStyle w:val="Hyperlink"/>
            <w:rFonts w:hint="eastAsia"/>
          </w:rPr>
          <w:t>’</w:t>
        </w:r>
        <w:r w:rsidR="00420F55" w:rsidRPr="003802FD">
          <w:rPr>
            <w:rStyle w:val="Hyperlink"/>
          </w:rPr>
          <w:t>s 2025</w:t>
        </w:r>
        <w:r w:rsidR="00420F55" w:rsidRPr="003802FD">
          <w:rPr>
            <w:rStyle w:val="Hyperlink"/>
            <w:rFonts w:hint="eastAsia"/>
          </w:rPr>
          <w:t>–</w:t>
        </w:r>
        <w:r w:rsidR="00420F55" w:rsidRPr="003802FD">
          <w:rPr>
            <w:rStyle w:val="Hyperlink"/>
          </w:rPr>
          <w:t>26 levy funding requirements</w:t>
        </w:r>
        <w:r w:rsidR="00420F55">
          <w:rPr>
            <w:webHidden/>
          </w:rPr>
          <w:tab/>
        </w:r>
        <w:r w:rsidR="00420F55">
          <w:rPr>
            <w:webHidden/>
          </w:rPr>
          <w:fldChar w:fldCharType="begin"/>
        </w:r>
        <w:r w:rsidR="00420F55">
          <w:rPr>
            <w:webHidden/>
          </w:rPr>
          <w:instrText xml:space="preserve"> PAGEREF _Toc192616737 \h </w:instrText>
        </w:r>
        <w:r w:rsidR="00420F55">
          <w:rPr>
            <w:webHidden/>
          </w:rPr>
        </w:r>
        <w:r w:rsidR="00420F55">
          <w:rPr>
            <w:webHidden/>
          </w:rPr>
          <w:fldChar w:fldCharType="separate"/>
        </w:r>
        <w:r w:rsidR="00176FDF">
          <w:rPr>
            <w:webHidden/>
          </w:rPr>
          <w:t>5</w:t>
        </w:r>
        <w:r w:rsidR="00420F55">
          <w:rPr>
            <w:webHidden/>
          </w:rPr>
          <w:fldChar w:fldCharType="end"/>
        </w:r>
      </w:hyperlink>
    </w:p>
    <w:p w14:paraId="67B6943F" w14:textId="0836FB0C" w:rsidR="00420F55" w:rsidRDefault="00805677">
      <w:pPr>
        <w:pStyle w:val="TOC2"/>
        <w:rPr>
          <w:rFonts w:asciiTheme="minorHAnsi" w:eastAsiaTheme="minorEastAsia" w:hAnsiTheme="minorHAnsi" w:cstheme="minorBidi"/>
          <w:color w:val="auto"/>
          <w:kern w:val="2"/>
          <w:sz w:val="24"/>
          <w:szCs w:val="24"/>
          <w14:ligatures w14:val="standardContextual"/>
        </w:rPr>
      </w:pPr>
      <w:hyperlink w:anchor="_Toc192616740" w:history="1">
        <w:r w:rsidR="00420F55" w:rsidRPr="003802FD">
          <w:rPr>
            <w:rStyle w:val="Hyperlink"/>
          </w:rPr>
          <w:t>Adjustment for over-collected levies</w:t>
        </w:r>
        <w:r w:rsidR="00420F55">
          <w:rPr>
            <w:webHidden/>
          </w:rPr>
          <w:tab/>
        </w:r>
        <w:r w:rsidR="00420F55">
          <w:rPr>
            <w:webHidden/>
          </w:rPr>
          <w:fldChar w:fldCharType="begin"/>
        </w:r>
        <w:r w:rsidR="00420F55">
          <w:rPr>
            <w:webHidden/>
          </w:rPr>
          <w:instrText xml:space="preserve"> PAGEREF _Toc192616740 \h </w:instrText>
        </w:r>
        <w:r w:rsidR="00420F55">
          <w:rPr>
            <w:webHidden/>
          </w:rPr>
        </w:r>
        <w:r w:rsidR="00420F55">
          <w:rPr>
            <w:webHidden/>
          </w:rPr>
          <w:fldChar w:fldCharType="separate"/>
        </w:r>
        <w:r w:rsidR="00176FDF">
          <w:rPr>
            <w:webHidden/>
          </w:rPr>
          <w:t>6</w:t>
        </w:r>
        <w:r w:rsidR="00420F55">
          <w:rPr>
            <w:webHidden/>
          </w:rPr>
          <w:fldChar w:fldCharType="end"/>
        </w:r>
      </w:hyperlink>
    </w:p>
    <w:p w14:paraId="6C5F27BE" w14:textId="661595CA" w:rsidR="00420F55" w:rsidRDefault="00805677">
      <w:pPr>
        <w:pStyle w:val="TOC2"/>
        <w:rPr>
          <w:rFonts w:asciiTheme="minorHAnsi" w:eastAsiaTheme="minorEastAsia" w:hAnsiTheme="minorHAnsi" w:cstheme="minorBidi"/>
          <w:color w:val="auto"/>
          <w:kern w:val="2"/>
          <w:sz w:val="24"/>
          <w:szCs w:val="24"/>
          <w14:ligatures w14:val="standardContextual"/>
        </w:rPr>
      </w:pPr>
      <w:hyperlink w:anchor="_Toc192616742" w:history="1">
        <w:r w:rsidR="00420F55" w:rsidRPr="003802FD">
          <w:rPr>
            <w:rStyle w:val="Hyperlink"/>
          </w:rPr>
          <w:t>Australian Taxation Office component</w:t>
        </w:r>
        <w:r w:rsidR="00420F55">
          <w:rPr>
            <w:webHidden/>
          </w:rPr>
          <w:tab/>
        </w:r>
        <w:r w:rsidR="00420F55">
          <w:rPr>
            <w:webHidden/>
          </w:rPr>
          <w:fldChar w:fldCharType="begin"/>
        </w:r>
        <w:r w:rsidR="00420F55">
          <w:rPr>
            <w:webHidden/>
          </w:rPr>
          <w:instrText xml:space="preserve"> PAGEREF _Toc192616742 \h </w:instrText>
        </w:r>
        <w:r w:rsidR="00420F55">
          <w:rPr>
            <w:webHidden/>
          </w:rPr>
        </w:r>
        <w:r w:rsidR="00420F55">
          <w:rPr>
            <w:webHidden/>
          </w:rPr>
          <w:fldChar w:fldCharType="separate"/>
        </w:r>
        <w:r w:rsidR="00176FDF">
          <w:rPr>
            <w:webHidden/>
          </w:rPr>
          <w:t>7</w:t>
        </w:r>
        <w:r w:rsidR="00420F55">
          <w:rPr>
            <w:webHidden/>
          </w:rPr>
          <w:fldChar w:fldCharType="end"/>
        </w:r>
      </w:hyperlink>
    </w:p>
    <w:p w14:paraId="1984873B" w14:textId="26EF9B76" w:rsidR="00420F55" w:rsidRDefault="00805677">
      <w:pPr>
        <w:pStyle w:val="TOC2"/>
        <w:rPr>
          <w:rFonts w:asciiTheme="minorHAnsi" w:eastAsiaTheme="minorEastAsia" w:hAnsiTheme="minorHAnsi" w:cstheme="minorBidi"/>
          <w:color w:val="auto"/>
          <w:kern w:val="2"/>
          <w:sz w:val="24"/>
          <w:szCs w:val="24"/>
          <w14:ligatures w14:val="standardContextual"/>
        </w:rPr>
      </w:pPr>
      <w:hyperlink w:anchor="_Toc192616743" w:history="1">
        <w:r w:rsidR="00420F55" w:rsidRPr="003802FD">
          <w:rPr>
            <w:rStyle w:val="Hyperlink"/>
            <w:lang w:val="en"/>
          </w:rPr>
          <w:t xml:space="preserve">Gateway Network Governance Body </w:t>
        </w:r>
        <w:r w:rsidR="00420F55" w:rsidRPr="003802FD">
          <w:rPr>
            <w:rStyle w:val="Hyperlink"/>
          </w:rPr>
          <w:t>component</w:t>
        </w:r>
        <w:r w:rsidR="00420F55">
          <w:rPr>
            <w:webHidden/>
          </w:rPr>
          <w:tab/>
        </w:r>
        <w:r w:rsidR="00420F55">
          <w:rPr>
            <w:webHidden/>
          </w:rPr>
          <w:fldChar w:fldCharType="begin"/>
        </w:r>
        <w:r w:rsidR="00420F55">
          <w:rPr>
            <w:webHidden/>
          </w:rPr>
          <w:instrText xml:space="preserve"> PAGEREF _Toc192616743 \h </w:instrText>
        </w:r>
        <w:r w:rsidR="00420F55">
          <w:rPr>
            <w:webHidden/>
          </w:rPr>
        </w:r>
        <w:r w:rsidR="00420F55">
          <w:rPr>
            <w:webHidden/>
          </w:rPr>
          <w:fldChar w:fldCharType="separate"/>
        </w:r>
        <w:r w:rsidR="00176FDF">
          <w:rPr>
            <w:webHidden/>
          </w:rPr>
          <w:t>7</w:t>
        </w:r>
        <w:r w:rsidR="00420F55">
          <w:rPr>
            <w:webHidden/>
          </w:rPr>
          <w:fldChar w:fldCharType="end"/>
        </w:r>
      </w:hyperlink>
    </w:p>
    <w:p w14:paraId="0C44A8CB" w14:textId="149B4A81" w:rsidR="00420F55" w:rsidRDefault="00805677">
      <w:pPr>
        <w:pStyle w:val="TOC2"/>
        <w:rPr>
          <w:rFonts w:asciiTheme="minorHAnsi" w:eastAsiaTheme="minorEastAsia" w:hAnsiTheme="minorHAnsi" w:cstheme="minorBidi"/>
          <w:color w:val="auto"/>
          <w:kern w:val="2"/>
          <w:sz w:val="24"/>
          <w:szCs w:val="24"/>
          <w14:ligatures w14:val="standardContextual"/>
        </w:rPr>
      </w:pPr>
      <w:hyperlink w:anchor="_Toc192616744" w:history="1">
        <w:r w:rsidR="00420F55" w:rsidRPr="003802FD">
          <w:rPr>
            <w:rStyle w:val="Hyperlink"/>
            <w:lang w:val="en-US"/>
          </w:rPr>
          <w:t>Treasury component</w:t>
        </w:r>
        <w:r w:rsidR="00420F55">
          <w:rPr>
            <w:webHidden/>
          </w:rPr>
          <w:tab/>
        </w:r>
        <w:r w:rsidR="00420F55">
          <w:rPr>
            <w:webHidden/>
          </w:rPr>
          <w:fldChar w:fldCharType="begin"/>
        </w:r>
        <w:r w:rsidR="00420F55">
          <w:rPr>
            <w:webHidden/>
          </w:rPr>
          <w:instrText xml:space="preserve"> PAGEREF _Toc192616744 \h </w:instrText>
        </w:r>
        <w:r w:rsidR="00420F55">
          <w:rPr>
            <w:webHidden/>
          </w:rPr>
        </w:r>
        <w:r w:rsidR="00420F55">
          <w:rPr>
            <w:webHidden/>
          </w:rPr>
          <w:fldChar w:fldCharType="separate"/>
        </w:r>
        <w:r w:rsidR="00176FDF">
          <w:rPr>
            <w:webHidden/>
          </w:rPr>
          <w:t>7</w:t>
        </w:r>
        <w:r w:rsidR="00420F55">
          <w:rPr>
            <w:webHidden/>
          </w:rPr>
          <w:fldChar w:fldCharType="end"/>
        </w:r>
      </w:hyperlink>
    </w:p>
    <w:p w14:paraId="410C3CBA" w14:textId="43A678CF" w:rsidR="00420F55" w:rsidRDefault="00805677">
      <w:pPr>
        <w:pStyle w:val="TOC1"/>
        <w:rPr>
          <w:rFonts w:asciiTheme="minorHAnsi" w:eastAsiaTheme="minorEastAsia" w:hAnsiTheme="minorHAnsi" w:cstheme="minorBidi"/>
          <w:b w:val="0"/>
          <w:color w:val="auto"/>
          <w:kern w:val="2"/>
          <w:sz w:val="24"/>
          <w:szCs w:val="24"/>
          <w14:ligatures w14:val="standardContextual"/>
        </w:rPr>
      </w:pPr>
      <w:hyperlink w:anchor="_Toc192616745" w:history="1">
        <w:r w:rsidR="00420F55" w:rsidRPr="003802FD">
          <w:rPr>
            <w:rStyle w:val="Hyperlink"/>
          </w:rPr>
          <w:t>Summary of sectoral levies arrangements for</w:t>
        </w:r>
        <w:r w:rsidR="00420F55" w:rsidRPr="003802FD">
          <w:rPr>
            <w:rStyle w:val="Hyperlink"/>
            <w:rFonts w:hint="eastAsia"/>
          </w:rPr>
          <w:t> </w:t>
        </w:r>
        <w:r w:rsidR="00420F55" w:rsidRPr="003802FD">
          <w:rPr>
            <w:rStyle w:val="Hyperlink"/>
          </w:rPr>
          <w:t>2025</w:t>
        </w:r>
        <w:r w:rsidR="00420F55" w:rsidRPr="003802FD">
          <w:rPr>
            <w:rStyle w:val="Hyperlink"/>
            <w:rFonts w:hint="eastAsia"/>
          </w:rPr>
          <w:t>–</w:t>
        </w:r>
        <w:r w:rsidR="00420F55" w:rsidRPr="003802FD">
          <w:rPr>
            <w:rStyle w:val="Hyperlink"/>
          </w:rPr>
          <w:t>26</w:t>
        </w:r>
        <w:r w:rsidR="00420F55">
          <w:rPr>
            <w:webHidden/>
          </w:rPr>
          <w:tab/>
        </w:r>
        <w:r w:rsidR="00420F55">
          <w:rPr>
            <w:webHidden/>
          </w:rPr>
          <w:fldChar w:fldCharType="begin"/>
        </w:r>
        <w:r w:rsidR="00420F55">
          <w:rPr>
            <w:webHidden/>
          </w:rPr>
          <w:instrText xml:space="preserve"> PAGEREF _Toc192616745 \h </w:instrText>
        </w:r>
        <w:r w:rsidR="00420F55">
          <w:rPr>
            <w:webHidden/>
          </w:rPr>
        </w:r>
        <w:r w:rsidR="00420F55">
          <w:rPr>
            <w:webHidden/>
          </w:rPr>
          <w:fldChar w:fldCharType="separate"/>
        </w:r>
        <w:r w:rsidR="00176FDF">
          <w:rPr>
            <w:webHidden/>
          </w:rPr>
          <w:t>8</w:t>
        </w:r>
        <w:r w:rsidR="00420F55">
          <w:rPr>
            <w:webHidden/>
          </w:rPr>
          <w:fldChar w:fldCharType="end"/>
        </w:r>
      </w:hyperlink>
    </w:p>
    <w:p w14:paraId="62CC243F" w14:textId="07A4207C" w:rsidR="00420F55" w:rsidRDefault="00805677">
      <w:pPr>
        <w:pStyle w:val="TOC1"/>
        <w:rPr>
          <w:rFonts w:asciiTheme="minorHAnsi" w:eastAsiaTheme="minorEastAsia" w:hAnsiTheme="minorHAnsi" w:cstheme="minorBidi"/>
          <w:b w:val="0"/>
          <w:color w:val="auto"/>
          <w:kern w:val="2"/>
          <w:sz w:val="24"/>
          <w:szCs w:val="24"/>
          <w14:ligatures w14:val="standardContextual"/>
        </w:rPr>
      </w:pPr>
      <w:hyperlink w:anchor="_Toc192616747" w:history="1">
        <w:r w:rsidR="00420F55" w:rsidRPr="003802FD">
          <w:rPr>
            <w:rStyle w:val="Hyperlink"/>
          </w:rPr>
          <w:t>APRA</w:t>
        </w:r>
        <w:r w:rsidR="00420F55" w:rsidRPr="003802FD">
          <w:rPr>
            <w:rStyle w:val="Hyperlink"/>
            <w:rFonts w:hint="eastAsia"/>
          </w:rPr>
          <w:t>’</w:t>
        </w:r>
        <w:r w:rsidR="00420F55" w:rsidRPr="003802FD">
          <w:rPr>
            <w:rStyle w:val="Hyperlink"/>
          </w:rPr>
          <w:t>s levies requirement</w:t>
        </w:r>
        <w:r w:rsidR="00420F55">
          <w:rPr>
            <w:webHidden/>
          </w:rPr>
          <w:tab/>
        </w:r>
        <w:r w:rsidR="00420F55">
          <w:rPr>
            <w:webHidden/>
          </w:rPr>
          <w:fldChar w:fldCharType="begin"/>
        </w:r>
        <w:r w:rsidR="00420F55">
          <w:rPr>
            <w:webHidden/>
          </w:rPr>
          <w:instrText xml:space="preserve"> PAGEREF _Toc192616747 \h </w:instrText>
        </w:r>
        <w:r w:rsidR="00420F55">
          <w:rPr>
            <w:webHidden/>
          </w:rPr>
        </w:r>
        <w:r w:rsidR="00420F55">
          <w:rPr>
            <w:webHidden/>
          </w:rPr>
          <w:fldChar w:fldCharType="separate"/>
        </w:r>
        <w:r w:rsidR="00176FDF">
          <w:rPr>
            <w:webHidden/>
          </w:rPr>
          <w:t>9</w:t>
        </w:r>
        <w:r w:rsidR="00420F55">
          <w:rPr>
            <w:webHidden/>
          </w:rPr>
          <w:fldChar w:fldCharType="end"/>
        </w:r>
      </w:hyperlink>
    </w:p>
    <w:p w14:paraId="68F9B622" w14:textId="24357F2A" w:rsidR="00420F55" w:rsidRDefault="00805677">
      <w:pPr>
        <w:pStyle w:val="TOC1"/>
        <w:rPr>
          <w:rFonts w:asciiTheme="minorHAnsi" w:eastAsiaTheme="minorEastAsia" w:hAnsiTheme="minorHAnsi" w:cstheme="minorBidi"/>
          <w:b w:val="0"/>
          <w:color w:val="auto"/>
          <w:kern w:val="2"/>
          <w:sz w:val="24"/>
          <w:szCs w:val="24"/>
          <w14:ligatures w14:val="standardContextual"/>
        </w:rPr>
      </w:pPr>
      <w:hyperlink w:anchor="_Toc192616749" w:history="1">
        <w:r w:rsidR="00420F55" w:rsidRPr="003802FD">
          <w:rPr>
            <w:rStyle w:val="Hyperlink"/>
          </w:rPr>
          <w:t>Total sectoral levies arrangements for 2025</w:t>
        </w:r>
        <w:r w:rsidR="00420F55" w:rsidRPr="003802FD">
          <w:rPr>
            <w:rStyle w:val="Hyperlink"/>
            <w:rFonts w:hint="eastAsia"/>
          </w:rPr>
          <w:t>–</w:t>
        </w:r>
        <w:r w:rsidR="00420F55" w:rsidRPr="003802FD">
          <w:rPr>
            <w:rStyle w:val="Hyperlink"/>
          </w:rPr>
          <w:t>26</w:t>
        </w:r>
        <w:r w:rsidR="00420F55">
          <w:rPr>
            <w:webHidden/>
          </w:rPr>
          <w:tab/>
        </w:r>
        <w:r w:rsidR="00420F55">
          <w:rPr>
            <w:webHidden/>
          </w:rPr>
          <w:fldChar w:fldCharType="begin"/>
        </w:r>
        <w:r w:rsidR="00420F55">
          <w:rPr>
            <w:webHidden/>
          </w:rPr>
          <w:instrText xml:space="preserve"> PAGEREF _Toc192616749 \h </w:instrText>
        </w:r>
        <w:r w:rsidR="00420F55">
          <w:rPr>
            <w:webHidden/>
          </w:rPr>
        </w:r>
        <w:r w:rsidR="00420F55">
          <w:rPr>
            <w:webHidden/>
          </w:rPr>
          <w:fldChar w:fldCharType="separate"/>
        </w:r>
        <w:r w:rsidR="00176FDF">
          <w:rPr>
            <w:webHidden/>
          </w:rPr>
          <w:t>9</w:t>
        </w:r>
        <w:r w:rsidR="00420F55">
          <w:rPr>
            <w:webHidden/>
          </w:rPr>
          <w:fldChar w:fldCharType="end"/>
        </w:r>
      </w:hyperlink>
    </w:p>
    <w:p w14:paraId="2EC19924" w14:textId="7601BBDB" w:rsidR="00420F55" w:rsidRDefault="00805677">
      <w:pPr>
        <w:pStyle w:val="TOC1"/>
        <w:rPr>
          <w:rFonts w:asciiTheme="minorHAnsi" w:eastAsiaTheme="minorEastAsia" w:hAnsiTheme="minorHAnsi" w:cstheme="minorBidi"/>
          <w:b w:val="0"/>
          <w:color w:val="auto"/>
          <w:kern w:val="2"/>
          <w:sz w:val="24"/>
          <w:szCs w:val="24"/>
          <w14:ligatures w14:val="standardContextual"/>
        </w:rPr>
      </w:pPr>
      <w:hyperlink w:anchor="_Toc192616751" w:history="1">
        <w:r w:rsidR="00420F55" w:rsidRPr="003802FD">
          <w:rPr>
            <w:rStyle w:val="Hyperlink"/>
          </w:rPr>
          <w:t>Industry structure</w:t>
        </w:r>
        <w:r w:rsidR="00420F55">
          <w:rPr>
            <w:webHidden/>
          </w:rPr>
          <w:tab/>
        </w:r>
        <w:r w:rsidR="00420F55">
          <w:rPr>
            <w:webHidden/>
          </w:rPr>
          <w:fldChar w:fldCharType="begin"/>
        </w:r>
        <w:r w:rsidR="00420F55">
          <w:rPr>
            <w:webHidden/>
          </w:rPr>
          <w:instrText xml:space="preserve"> PAGEREF _Toc192616751 \h </w:instrText>
        </w:r>
        <w:r w:rsidR="00420F55">
          <w:rPr>
            <w:webHidden/>
          </w:rPr>
        </w:r>
        <w:r w:rsidR="00420F55">
          <w:rPr>
            <w:webHidden/>
          </w:rPr>
          <w:fldChar w:fldCharType="separate"/>
        </w:r>
        <w:r w:rsidR="00176FDF">
          <w:rPr>
            <w:webHidden/>
          </w:rPr>
          <w:t>9</w:t>
        </w:r>
        <w:r w:rsidR="00420F55">
          <w:rPr>
            <w:webHidden/>
          </w:rPr>
          <w:fldChar w:fldCharType="end"/>
        </w:r>
      </w:hyperlink>
    </w:p>
    <w:p w14:paraId="71BE273F" w14:textId="38C1A74C" w:rsidR="00420F55" w:rsidRDefault="00805677">
      <w:pPr>
        <w:pStyle w:val="TOC1"/>
        <w:rPr>
          <w:rFonts w:asciiTheme="minorHAnsi" w:eastAsiaTheme="minorEastAsia" w:hAnsiTheme="minorHAnsi" w:cstheme="minorBidi"/>
          <w:b w:val="0"/>
          <w:color w:val="auto"/>
          <w:kern w:val="2"/>
          <w:sz w:val="24"/>
          <w:szCs w:val="24"/>
          <w14:ligatures w14:val="standardContextual"/>
        </w:rPr>
      </w:pPr>
      <w:hyperlink w:anchor="_Toc192616753" w:history="1">
        <w:r w:rsidR="00420F55" w:rsidRPr="003802FD">
          <w:rPr>
            <w:rStyle w:val="Hyperlink"/>
          </w:rPr>
          <w:t>Summary of the impact on each individual industry</w:t>
        </w:r>
        <w:r w:rsidR="00420F55">
          <w:rPr>
            <w:webHidden/>
          </w:rPr>
          <w:tab/>
        </w:r>
        <w:r w:rsidR="00420F55">
          <w:rPr>
            <w:webHidden/>
          </w:rPr>
          <w:fldChar w:fldCharType="begin"/>
        </w:r>
        <w:r w:rsidR="00420F55">
          <w:rPr>
            <w:webHidden/>
          </w:rPr>
          <w:instrText xml:space="preserve"> PAGEREF _Toc192616753 \h </w:instrText>
        </w:r>
        <w:r w:rsidR="00420F55">
          <w:rPr>
            <w:webHidden/>
          </w:rPr>
        </w:r>
        <w:r w:rsidR="00420F55">
          <w:rPr>
            <w:webHidden/>
          </w:rPr>
          <w:fldChar w:fldCharType="separate"/>
        </w:r>
        <w:r w:rsidR="00176FDF">
          <w:rPr>
            <w:webHidden/>
          </w:rPr>
          <w:t>11</w:t>
        </w:r>
        <w:r w:rsidR="00420F55">
          <w:rPr>
            <w:webHidden/>
          </w:rPr>
          <w:fldChar w:fldCharType="end"/>
        </w:r>
      </w:hyperlink>
    </w:p>
    <w:p w14:paraId="26F48FF4" w14:textId="2D6B3449" w:rsidR="00420F55" w:rsidRDefault="00805677">
      <w:pPr>
        <w:pStyle w:val="TOC2"/>
        <w:rPr>
          <w:rFonts w:asciiTheme="minorHAnsi" w:eastAsiaTheme="minorEastAsia" w:hAnsiTheme="minorHAnsi" w:cstheme="minorBidi"/>
          <w:color w:val="auto"/>
          <w:kern w:val="2"/>
          <w:sz w:val="24"/>
          <w:szCs w:val="24"/>
          <w14:ligatures w14:val="standardContextual"/>
        </w:rPr>
      </w:pPr>
      <w:hyperlink w:anchor="_Toc192616754" w:history="1">
        <w:r w:rsidR="00420F55" w:rsidRPr="003802FD">
          <w:rPr>
            <w:rStyle w:val="Hyperlink"/>
          </w:rPr>
          <w:t>Authorised deposit-taking institutions</w:t>
        </w:r>
        <w:r w:rsidR="00420F55">
          <w:rPr>
            <w:webHidden/>
          </w:rPr>
          <w:tab/>
        </w:r>
        <w:r w:rsidR="00420F55">
          <w:rPr>
            <w:webHidden/>
          </w:rPr>
          <w:fldChar w:fldCharType="begin"/>
        </w:r>
        <w:r w:rsidR="00420F55">
          <w:rPr>
            <w:webHidden/>
          </w:rPr>
          <w:instrText xml:space="preserve"> PAGEREF _Toc192616754 \h </w:instrText>
        </w:r>
        <w:r w:rsidR="00420F55">
          <w:rPr>
            <w:webHidden/>
          </w:rPr>
        </w:r>
        <w:r w:rsidR="00420F55">
          <w:rPr>
            <w:webHidden/>
          </w:rPr>
          <w:fldChar w:fldCharType="separate"/>
        </w:r>
        <w:r w:rsidR="00176FDF">
          <w:rPr>
            <w:webHidden/>
          </w:rPr>
          <w:t>11</w:t>
        </w:r>
        <w:r w:rsidR="00420F55">
          <w:rPr>
            <w:webHidden/>
          </w:rPr>
          <w:fldChar w:fldCharType="end"/>
        </w:r>
      </w:hyperlink>
    </w:p>
    <w:p w14:paraId="0F43450E" w14:textId="156D4F8B" w:rsidR="00420F55" w:rsidRDefault="00805677">
      <w:pPr>
        <w:pStyle w:val="TOC2"/>
        <w:rPr>
          <w:rFonts w:asciiTheme="minorHAnsi" w:eastAsiaTheme="minorEastAsia" w:hAnsiTheme="minorHAnsi" w:cstheme="minorBidi"/>
          <w:color w:val="auto"/>
          <w:kern w:val="2"/>
          <w:sz w:val="24"/>
          <w:szCs w:val="24"/>
          <w14:ligatures w14:val="standardContextual"/>
        </w:rPr>
      </w:pPr>
      <w:hyperlink w:anchor="_Toc192616755" w:history="1">
        <w:r w:rsidR="00420F55" w:rsidRPr="003802FD">
          <w:rPr>
            <w:rStyle w:val="Hyperlink"/>
          </w:rPr>
          <w:t>General insurance</w:t>
        </w:r>
        <w:r w:rsidR="00420F55">
          <w:rPr>
            <w:webHidden/>
          </w:rPr>
          <w:tab/>
        </w:r>
        <w:r w:rsidR="00420F55">
          <w:rPr>
            <w:webHidden/>
          </w:rPr>
          <w:fldChar w:fldCharType="begin"/>
        </w:r>
        <w:r w:rsidR="00420F55">
          <w:rPr>
            <w:webHidden/>
          </w:rPr>
          <w:instrText xml:space="preserve"> PAGEREF _Toc192616755 \h </w:instrText>
        </w:r>
        <w:r w:rsidR="00420F55">
          <w:rPr>
            <w:webHidden/>
          </w:rPr>
        </w:r>
        <w:r w:rsidR="00420F55">
          <w:rPr>
            <w:webHidden/>
          </w:rPr>
          <w:fldChar w:fldCharType="separate"/>
        </w:r>
        <w:r w:rsidR="00176FDF">
          <w:rPr>
            <w:webHidden/>
          </w:rPr>
          <w:t>12</w:t>
        </w:r>
        <w:r w:rsidR="00420F55">
          <w:rPr>
            <w:webHidden/>
          </w:rPr>
          <w:fldChar w:fldCharType="end"/>
        </w:r>
      </w:hyperlink>
    </w:p>
    <w:p w14:paraId="22BCF385" w14:textId="6B9545D4" w:rsidR="00420F55" w:rsidRDefault="00805677">
      <w:pPr>
        <w:pStyle w:val="TOC2"/>
        <w:rPr>
          <w:rFonts w:asciiTheme="minorHAnsi" w:eastAsiaTheme="minorEastAsia" w:hAnsiTheme="minorHAnsi" w:cstheme="minorBidi"/>
          <w:color w:val="auto"/>
          <w:kern w:val="2"/>
          <w:sz w:val="24"/>
          <w:szCs w:val="24"/>
          <w14:ligatures w14:val="standardContextual"/>
        </w:rPr>
      </w:pPr>
      <w:hyperlink w:anchor="_Toc192616756" w:history="1">
        <w:r w:rsidR="00420F55" w:rsidRPr="003802FD">
          <w:rPr>
            <w:rStyle w:val="Hyperlink"/>
          </w:rPr>
          <w:t>Life insurance/Friendly societies</w:t>
        </w:r>
        <w:r w:rsidR="00420F55">
          <w:rPr>
            <w:webHidden/>
          </w:rPr>
          <w:tab/>
        </w:r>
        <w:r w:rsidR="00420F55">
          <w:rPr>
            <w:webHidden/>
          </w:rPr>
          <w:fldChar w:fldCharType="begin"/>
        </w:r>
        <w:r w:rsidR="00420F55">
          <w:rPr>
            <w:webHidden/>
          </w:rPr>
          <w:instrText xml:space="preserve"> PAGEREF _Toc192616756 \h </w:instrText>
        </w:r>
        <w:r w:rsidR="00420F55">
          <w:rPr>
            <w:webHidden/>
          </w:rPr>
        </w:r>
        <w:r w:rsidR="00420F55">
          <w:rPr>
            <w:webHidden/>
          </w:rPr>
          <w:fldChar w:fldCharType="separate"/>
        </w:r>
        <w:r w:rsidR="00176FDF">
          <w:rPr>
            <w:webHidden/>
          </w:rPr>
          <w:t>12</w:t>
        </w:r>
        <w:r w:rsidR="00420F55">
          <w:rPr>
            <w:webHidden/>
          </w:rPr>
          <w:fldChar w:fldCharType="end"/>
        </w:r>
      </w:hyperlink>
    </w:p>
    <w:p w14:paraId="45D6E918" w14:textId="44091321" w:rsidR="00420F55" w:rsidRDefault="00805677">
      <w:pPr>
        <w:pStyle w:val="TOC2"/>
        <w:rPr>
          <w:rFonts w:asciiTheme="minorHAnsi" w:eastAsiaTheme="minorEastAsia" w:hAnsiTheme="minorHAnsi" w:cstheme="minorBidi"/>
          <w:color w:val="auto"/>
          <w:kern w:val="2"/>
          <w:sz w:val="24"/>
          <w:szCs w:val="24"/>
          <w14:ligatures w14:val="standardContextual"/>
        </w:rPr>
      </w:pPr>
      <w:hyperlink w:anchor="_Toc192616757" w:history="1">
        <w:r w:rsidR="00420F55" w:rsidRPr="003802FD">
          <w:rPr>
            <w:rStyle w:val="Hyperlink"/>
          </w:rPr>
          <w:t>National Claims and Policies Database special levy</w:t>
        </w:r>
        <w:r w:rsidR="00420F55">
          <w:rPr>
            <w:webHidden/>
          </w:rPr>
          <w:tab/>
        </w:r>
        <w:r w:rsidR="00420F55">
          <w:rPr>
            <w:webHidden/>
          </w:rPr>
          <w:fldChar w:fldCharType="begin"/>
        </w:r>
        <w:r w:rsidR="00420F55">
          <w:rPr>
            <w:webHidden/>
          </w:rPr>
          <w:instrText xml:space="preserve"> PAGEREF _Toc192616757 \h </w:instrText>
        </w:r>
        <w:r w:rsidR="00420F55">
          <w:rPr>
            <w:webHidden/>
          </w:rPr>
        </w:r>
        <w:r w:rsidR="00420F55">
          <w:rPr>
            <w:webHidden/>
          </w:rPr>
          <w:fldChar w:fldCharType="separate"/>
        </w:r>
        <w:r w:rsidR="00176FDF">
          <w:rPr>
            <w:webHidden/>
          </w:rPr>
          <w:t>13</w:t>
        </w:r>
        <w:r w:rsidR="00420F55">
          <w:rPr>
            <w:webHidden/>
          </w:rPr>
          <w:fldChar w:fldCharType="end"/>
        </w:r>
      </w:hyperlink>
    </w:p>
    <w:p w14:paraId="34FDDAD3" w14:textId="5FA463EB" w:rsidR="00420F55" w:rsidRDefault="00805677">
      <w:pPr>
        <w:pStyle w:val="TOC2"/>
        <w:rPr>
          <w:rFonts w:asciiTheme="minorHAnsi" w:eastAsiaTheme="minorEastAsia" w:hAnsiTheme="minorHAnsi" w:cstheme="minorBidi"/>
          <w:color w:val="auto"/>
          <w:kern w:val="2"/>
          <w:sz w:val="24"/>
          <w:szCs w:val="24"/>
          <w14:ligatures w14:val="standardContextual"/>
        </w:rPr>
      </w:pPr>
      <w:hyperlink w:anchor="_Toc192616759" w:history="1">
        <w:r w:rsidR="00420F55" w:rsidRPr="003802FD">
          <w:rPr>
            <w:rStyle w:val="Hyperlink"/>
          </w:rPr>
          <w:t>Private health insurance</w:t>
        </w:r>
        <w:r w:rsidR="00420F55">
          <w:rPr>
            <w:webHidden/>
          </w:rPr>
          <w:tab/>
        </w:r>
        <w:r w:rsidR="00420F55">
          <w:rPr>
            <w:webHidden/>
          </w:rPr>
          <w:fldChar w:fldCharType="begin"/>
        </w:r>
        <w:r w:rsidR="00420F55">
          <w:rPr>
            <w:webHidden/>
          </w:rPr>
          <w:instrText xml:space="preserve"> PAGEREF _Toc192616759 \h </w:instrText>
        </w:r>
        <w:r w:rsidR="00420F55">
          <w:rPr>
            <w:webHidden/>
          </w:rPr>
        </w:r>
        <w:r w:rsidR="00420F55">
          <w:rPr>
            <w:webHidden/>
          </w:rPr>
          <w:fldChar w:fldCharType="separate"/>
        </w:r>
        <w:r w:rsidR="00176FDF">
          <w:rPr>
            <w:webHidden/>
          </w:rPr>
          <w:t>13</w:t>
        </w:r>
        <w:r w:rsidR="00420F55">
          <w:rPr>
            <w:webHidden/>
          </w:rPr>
          <w:fldChar w:fldCharType="end"/>
        </w:r>
      </w:hyperlink>
    </w:p>
    <w:p w14:paraId="09C0A061" w14:textId="741984AB" w:rsidR="00420F55" w:rsidRDefault="00805677">
      <w:pPr>
        <w:pStyle w:val="TOC2"/>
        <w:rPr>
          <w:rFonts w:asciiTheme="minorHAnsi" w:eastAsiaTheme="minorEastAsia" w:hAnsiTheme="minorHAnsi" w:cstheme="minorBidi"/>
          <w:color w:val="auto"/>
          <w:kern w:val="2"/>
          <w:sz w:val="24"/>
          <w:szCs w:val="24"/>
          <w14:ligatures w14:val="standardContextual"/>
        </w:rPr>
      </w:pPr>
      <w:hyperlink w:anchor="_Toc192616760" w:history="1">
        <w:r w:rsidR="00420F55" w:rsidRPr="003802FD">
          <w:rPr>
            <w:rStyle w:val="Hyperlink"/>
          </w:rPr>
          <w:t>Non-operating holding companies</w:t>
        </w:r>
        <w:r w:rsidR="00420F55">
          <w:rPr>
            <w:webHidden/>
          </w:rPr>
          <w:tab/>
        </w:r>
        <w:r w:rsidR="00420F55">
          <w:rPr>
            <w:webHidden/>
          </w:rPr>
          <w:fldChar w:fldCharType="begin"/>
        </w:r>
        <w:r w:rsidR="00420F55">
          <w:rPr>
            <w:webHidden/>
          </w:rPr>
          <w:instrText xml:space="preserve"> PAGEREF _Toc192616760 \h </w:instrText>
        </w:r>
        <w:r w:rsidR="00420F55">
          <w:rPr>
            <w:webHidden/>
          </w:rPr>
        </w:r>
        <w:r w:rsidR="00420F55">
          <w:rPr>
            <w:webHidden/>
          </w:rPr>
          <w:fldChar w:fldCharType="separate"/>
        </w:r>
        <w:r w:rsidR="00176FDF">
          <w:rPr>
            <w:webHidden/>
          </w:rPr>
          <w:t>15</w:t>
        </w:r>
        <w:r w:rsidR="00420F55">
          <w:rPr>
            <w:webHidden/>
          </w:rPr>
          <w:fldChar w:fldCharType="end"/>
        </w:r>
      </w:hyperlink>
    </w:p>
    <w:p w14:paraId="3DD566E8" w14:textId="2DF3AAC3" w:rsidR="00420F55" w:rsidRDefault="00805677">
      <w:pPr>
        <w:pStyle w:val="TOC1"/>
        <w:rPr>
          <w:rFonts w:asciiTheme="minorHAnsi" w:eastAsiaTheme="minorEastAsia" w:hAnsiTheme="minorHAnsi" w:cstheme="minorBidi"/>
          <w:b w:val="0"/>
          <w:color w:val="auto"/>
          <w:kern w:val="2"/>
          <w:sz w:val="24"/>
          <w:szCs w:val="24"/>
          <w14:ligatures w14:val="standardContextual"/>
        </w:rPr>
      </w:pPr>
      <w:hyperlink w:anchor="_Toc192616761" w:history="1">
        <w:r w:rsidR="00420F55" w:rsidRPr="003802FD">
          <w:rPr>
            <w:rStyle w:val="Hyperlink"/>
          </w:rPr>
          <w:t>Levies comparison between previous years and</w:t>
        </w:r>
        <w:r w:rsidR="00420F55" w:rsidRPr="003802FD">
          <w:rPr>
            <w:rStyle w:val="Hyperlink"/>
            <w:rFonts w:hint="eastAsia"/>
          </w:rPr>
          <w:t> </w:t>
        </w:r>
        <w:r w:rsidR="00420F55" w:rsidRPr="003802FD">
          <w:rPr>
            <w:rStyle w:val="Hyperlink"/>
          </w:rPr>
          <w:t>2025-26</w:t>
        </w:r>
        <w:r w:rsidR="00420F55">
          <w:rPr>
            <w:webHidden/>
          </w:rPr>
          <w:tab/>
        </w:r>
        <w:r w:rsidR="00420F55">
          <w:rPr>
            <w:webHidden/>
          </w:rPr>
          <w:fldChar w:fldCharType="begin"/>
        </w:r>
        <w:r w:rsidR="00420F55">
          <w:rPr>
            <w:webHidden/>
          </w:rPr>
          <w:instrText xml:space="preserve"> PAGEREF _Toc192616761 \h </w:instrText>
        </w:r>
        <w:r w:rsidR="00420F55">
          <w:rPr>
            <w:webHidden/>
          </w:rPr>
        </w:r>
        <w:r w:rsidR="00420F55">
          <w:rPr>
            <w:webHidden/>
          </w:rPr>
          <w:fldChar w:fldCharType="separate"/>
        </w:r>
        <w:r w:rsidR="00176FDF">
          <w:rPr>
            <w:webHidden/>
          </w:rPr>
          <w:t>15</w:t>
        </w:r>
        <w:r w:rsidR="00420F55">
          <w:rPr>
            <w:webHidden/>
          </w:rPr>
          <w:fldChar w:fldCharType="end"/>
        </w:r>
      </w:hyperlink>
    </w:p>
    <w:p w14:paraId="793D71F9" w14:textId="1D86926D" w:rsidR="000E0B74" w:rsidRPr="00CD3121" w:rsidRDefault="00257AEE" w:rsidP="005378B1">
      <w:pPr>
        <w:pStyle w:val="SingleParagraph"/>
        <w:tabs>
          <w:tab w:val="right" w:leader="dot" w:pos="9072"/>
        </w:tabs>
        <w:ind w:right="-2"/>
        <w:sectPr w:rsidR="000E0B74" w:rsidRPr="00CD3121" w:rsidSect="000F2169">
          <w:footerReference w:type="default" r:id="rId24"/>
          <w:headerReference w:type="first" r:id="rId25"/>
          <w:footerReference w:type="first" r:id="rId26"/>
          <w:pgSz w:w="11906" w:h="16838" w:code="9"/>
          <w:pgMar w:top="1843" w:right="1418" w:bottom="1418" w:left="1418" w:header="709" w:footer="709" w:gutter="0"/>
          <w:pgNumType w:fmt="lowerRoman"/>
          <w:cols w:space="708"/>
          <w:titlePg/>
          <w:docGrid w:linePitch="360"/>
        </w:sectPr>
      </w:pPr>
      <w:r w:rsidRPr="00CD3121">
        <w:rPr>
          <w:noProof/>
        </w:rPr>
        <w:fldChar w:fldCharType="end"/>
      </w:r>
    </w:p>
    <w:p w14:paraId="454A64B4" w14:textId="087E1B83" w:rsidR="000E0B74" w:rsidRPr="005378B1" w:rsidRDefault="003C6509" w:rsidP="005378B1">
      <w:pPr>
        <w:pStyle w:val="Heading1"/>
        <w:rPr>
          <w:color w:val="auto"/>
        </w:rPr>
      </w:pPr>
      <w:bookmarkStart w:id="1" w:name="_Toc192616729"/>
      <w:r w:rsidRPr="005378B1">
        <w:rPr>
          <w:color w:val="auto"/>
        </w:rPr>
        <w:lastRenderedPageBreak/>
        <w:t>Consultation Process</w:t>
      </w:r>
      <w:bookmarkEnd w:id="1"/>
    </w:p>
    <w:p w14:paraId="520621FC" w14:textId="1ABE353D" w:rsidR="000E0B74" w:rsidRPr="005378B1" w:rsidRDefault="003C6509" w:rsidP="005378B1">
      <w:pPr>
        <w:pStyle w:val="Heading2"/>
        <w:rPr>
          <w:color w:val="auto"/>
        </w:rPr>
      </w:pPr>
      <w:bookmarkStart w:id="2" w:name="_Toc192616730"/>
      <w:r w:rsidRPr="005378B1">
        <w:rPr>
          <w:color w:val="auto"/>
        </w:rPr>
        <w:t>Request for feedback and comments</w:t>
      </w:r>
      <w:bookmarkEnd w:id="2"/>
    </w:p>
    <w:p w14:paraId="0C63F4DB" w14:textId="5974112B" w:rsidR="000E0B74" w:rsidRPr="005378B1" w:rsidRDefault="003C6509" w:rsidP="005378B1">
      <w:pPr>
        <w:pStyle w:val="Heading3noTOC"/>
        <w:rPr>
          <w:color w:val="auto"/>
        </w:rPr>
      </w:pPr>
      <w:r w:rsidRPr="005378B1">
        <w:rPr>
          <w:color w:val="auto"/>
        </w:rPr>
        <w:t xml:space="preserve">Closing date for submissions: </w:t>
      </w:r>
      <w:sdt>
        <w:sdtPr>
          <w:rPr>
            <w:rStyle w:val="Heading3Char"/>
            <w:color w:val="auto"/>
          </w:rPr>
          <w:id w:val="1454836312"/>
          <w:placeholder>
            <w:docPart w:val="EA21D4DE5C31499C9239BE382D448380"/>
          </w:placeholder>
          <w:date w:fullDate="2025-04-25T00:00:00Z">
            <w:dateFormat w:val="dd MMMM yyyy"/>
            <w:lid w:val="en-AU"/>
            <w:storeMappedDataAs w:val="dateTime"/>
            <w:calendar w:val="gregorian"/>
          </w:date>
        </w:sdtPr>
        <w:sdtEndPr>
          <w:rPr>
            <w:rStyle w:val="DefaultParagraphFont"/>
            <w:rFonts w:cs="Calibri"/>
            <w:b/>
          </w:rPr>
        </w:sdtEndPr>
        <w:sdtContent>
          <w:r w:rsidR="001603AD">
            <w:rPr>
              <w:rStyle w:val="Heading3Char"/>
              <w:color w:val="auto"/>
            </w:rPr>
            <w:t>25 April 2025</w:t>
          </w:r>
        </w:sdtContent>
      </w:sdt>
    </w:p>
    <w:tbl>
      <w:tblPr>
        <w:tblStyle w:val="TableGrid"/>
        <w:tblW w:w="0" w:type="auto"/>
        <w:tblLook w:val="04A0" w:firstRow="1" w:lastRow="0" w:firstColumn="1" w:lastColumn="0" w:noHBand="0" w:noVBand="1"/>
      </w:tblPr>
      <w:tblGrid>
        <w:gridCol w:w="1508"/>
        <w:gridCol w:w="7562"/>
      </w:tblGrid>
      <w:tr w:rsidR="005378B1" w:rsidRPr="005378B1" w14:paraId="2B014F40" w14:textId="77777777" w:rsidTr="00783A54">
        <w:trPr>
          <w:cnfStyle w:val="100000000000" w:firstRow="1" w:lastRow="0" w:firstColumn="0" w:lastColumn="0" w:oddVBand="0" w:evenVBand="0" w:oddHBand="0" w:evenHBand="0" w:firstRowFirstColumn="0" w:firstRowLastColumn="0" w:lastRowFirstColumn="0" w:lastRowLastColumn="0"/>
        </w:trPr>
        <w:tc>
          <w:tcPr>
            <w:tcW w:w="1526" w:type="dxa"/>
          </w:tcPr>
          <w:p w14:paraId="71B5298E" w14:textId="77777777" w:rsidR="000E0B74" w:rsidRPr="00CD768A" w:rsidRDefault="003C6509" w:rsidP="005378B1">
            <w:pPr>
              <w:spacing w:before="96" w:after="96"/>
              <w:rPr>
                <w:color w:val="auto"/>
                <w:sz w:val="22"/>
                <w:szCs w:val="22"/>
              </w:rPr>
            </w:pPr>
            <w:r w:rsidRPr="00CD768A">
              <w:rPr>
                <w:color w:val="auto"/>
                <w:sz w:val="22"/>
                <w:szCs w:val="22"/>
              </w:rPr>
              <w:t>Email</w:t>
            </w:r>
          </w:p>
        </w:tc>
        <w:tc>
          <w:tcPr>
            <w:tcW w:w="7654" w:type="dxa"/>
          </w:tcPr>
          <w:p w14:paraId="4E082F09" w14:textId="49E2FF4F" w:rsidR="000E0B74" w:rsidRPr="00CD768A" w:rsidRDefault="00805677" w:rsidP="005378B1">
            <w:pPr>
              <w:spacing w:before="96" w:after="96"/>
              <w:rPr>
                <w:color w:val="auto"/>
                <w:sz w:val="22"/>
                <w:szCs w:val="22"/>
              </w:rPr>
            </w:pPr>
            <w:hyperlink r:id="rId27" w:history="1">
              <w:r w:rsidR="000E2F23" w:rsidRPr="00E71AB6">
                <w:rPr>
                  <w:rStyle w:val="Hyperlink"/>
                  <w:rFonts w:cs="Arial"/>
                  <w:color w:val="auto"/>
                  <w:sz w:val="22"/>
                  <w:szCs w:val="22"/>
                </w:rPr>
                <w:t>Supervisorylevies@treasury.gov.au</w:t>
              </w:r>
            </w:hyperlink>
          </w:p>
        </w:tc>
      </w:tr>
      <w:tr w:rsidR="005378B1" w:rsidRPr="005378B1" w14:paraId="1DCCA569" w14:textId="77777777" w:rsidTr="00783A54">
        <w:tc>
          <w:tcPr>
            <w:tcW w:w="1526" w:type="dxa"/>
          </w:tcPr>
          <w:p w14:paraId="6C4A2210" w14:textId="77777777" w:rsidR="000E0B74" w:rsidRPr="00CD768A" w:rsidRDefault="003C6509" w:rsidP="005378B1">
            <w:pPr>
              <w:rPr>
                <w:sz w:val="22"/>
                <w:szCs w:val="22"/>
              </w:rPr>
            </w:pPr>
            <w:r w:rsidRPr="00CD768A">
              <w:rPr>
                <w:sz w:val="22"/>
                <w:szCs w:val="22"/>
              </w:rPr>
              <w:t>Mail</w:t>
            </w:r>
          </w:p>
          <w:p w14:paraId="7309BB84" w14:textId="77777777" w:rsidR="008D7F38" w:rsidRPr="00CD768A" w:rsidRDefault="008D7F38" w:rsidP="005378B1">
            <w:pPr>
              <w:rPr>
                <w:sz w:val="22"/>
                <w:szCs w:val="22"/>
              </w:rPr>
            </w:pPr>
          </w:p>
          <w:p w14:paraId="576BB2F5" w14:textId="77777777" w:rsidR="008D7F38" w:rsidRPr="00CD768A" w:rsidRDefault="008D7F38" w:rsidP="005378B1">
            <w:pPr>
              <w:rPr>
                <w:sz w:val="22"/>
                <w:szCs w:val="22"/>
              </w:rPr>
            </w:pPr>
          </w:p>
        </w:tc>
        <w:tc>
          <w:tcPr>
            <w:tcW w:w="7654" w:type="dxa"/>
          </w:tcPr>
          <w:p w14:paraId="59BD5285" w14:textId="36FE8AF9" w:rsidR="000E0B74" w:rsidRPr="00CD768A" w:rsidRDefault="003C6509" w:rsidP="005378B1">
            <w:pPr>
              <w:pStyle w:val="SingleParagraph"/>
              <w:rPr>
                <w:rFonts w:cs="Arial"/>
                <w:sz w:val="22"/>
                <w:szCs w:val="22"/>
              </w:rPr>
            </w:pPr>
            <w:r w:rsidRPr="00CD768A">
              <w:rPr>
                <w:rFonts w:cs="Arial"/>
                <w:sz w:val="22"/>
                <w:szCs w:val="22"/>
              </w:rPr>
              <w:t>Director</w:t>
            </w:r>
          </w:p>
          <w:p w14:paraId="4F139946" w14:textId="7517D85B" w:rsidR="000E0B74" w:rsidRPr="00CD768A" w:rsidRDefault="003C6509" w:rsidP="005378B1">
            <w:pPr>
              <w:pStyle w:val="SingleParagraph"/>
              <w:rPr>
                <w:rFonts w:cs="Arial"/>
                <w:sz w:val="22"/>
                <w:szCs w:val="22"/>
              </w:rPr>
            </w:pPr>
            <w:r w:rsidRPr="00CD768A">
              <w:rPr>
                <w:rFonts w:cs="Arial"/>
                <w:sz w:val="22"/>
                <w:szCs w:val="22"/>
              </w:rPr>
              <w:t xml:space="preserve">Regulator Engagement </w:t>
            </w:r>
            <w:r w:rsidR="000E2F23" w:rsidRPr="00CD768A">
              <w:rPr>
                <w:rFonts w:cs="Arial"/>
                <w:sz w:val="22"/>
                <w:szCs w:val="22"/>
              </w:rPr>
              <w:t>a</w:t>
            </w:r>
            <w:r w:rsidR="000E2F23" w:rsidRPr="00CD768A">
              <w:rPr>
                <w:sz w:val="22"/>
                <w:szCs w:val="22"/>
              </w:rPr>
              <w:t>nd Powers</w:t>
            </w:r>
            <w:r w:rsidR="00CC4528" w:rsidRPr="00CD768A">
              <w:rPr>
                <w:sz w:val="22"/>
                <w:szCs w:val="22"/>
              </w:rPr>
              <w:t xml:space="preserve"> </w:t>
            </w:r>
            <w:r w:rsidRPr="00CD768A">
              <w:rPr>
                <w:rFonts w:cs="Arial"/>
                <w:sz w:val="22"/>
                <w:szCs w:val="22"/>
              </w:rPr>
              <w:t>Unit</w:t>
            </w:r>
          </w:p>
          <w:p w14:paraId="3DEBEDEB" w14:textId="77777777" w:rsidR="000E0B74" w:rsidRPr="00CD768A" w:rsidRDefault="003C6509" w:rsidP="005378B1">
            <w:pPr>
              <w:pStyle w:val="SingleParagraph"/>
              <w:rPr>
                <w:rFonts w:cs="Arial"/>
                <w:sz w:val="22"/>
                <w:szCs w:val="22"/>
              </w:rPr>
            </w:pPr>
            <w:r w:rsidRPr="00CD768A">
              <w:rPr>
                <w:rFonts w:cs="Arial"/>
                <w:sz w:val="22"/>
                <w:szCs w:val="22"/>
              </w:rPr>
              <w:t>The Treasury</w:t>
            </w:r>
          </w:p>
          <w:p w14:paraId="1F1321E5" w14:textId="77777777" w:rsidR="000E0B74" w:rsidRPr="00CD768A" w:rsidRDefault="003C6509" w:rsidP="005378B1">
            <w:pPr>
              <w:pStyle w:val="SingleParagraph"/>
              <w:rPr>
                <w:rFonts w:cs="Arial"/>
                <w:sz w:val="22"/>
                <w:szCs w:val="22"/>
              </w:rPr>
            </w:pPr>
            <w:r w:rsidRPr="00CD768A">
              <w:rPr>
                <w:rFonts w:cs="Arial"/>
                <w:sz w:val="22"/>
                <w:szCs w:val="22"/>
              </w:rPr>
              <w:t>Langton Crescent</w:t>
            </w:r>
          </w:p>
          <w:p w14:paraId="3C0819A5" w14:textId="77777777" w:rsidR="000E0B74" w:rsidRPr="00CD768A" w:rsidRDefault="003C6509" w:rsidP="005378B1">
            <w:pPr>
              <w:pStyle w:val="SingleParagraph"/>
              <w:rPr>
                <w:sz w:val="22"/>
                <w:szCs w:val="22"/>
              </w:rPr>
            </w:pPr>
            <w:r w:rsidRPr="00CD768A">
              <w:rPr>
                <w:sz w:val="22"/>
                <w:szCs w:val="22"/>
              </w:rPr>
              <w:t>PARKES ACT 2600</w:t>
            </w:r>
          </w:p>
        </w:tc>
      </w:tr>
      <w:tr w:rsidR="005378B1" w:rsidRPr="005378B1" w14:paraId="3776AE62" w14:textId="77777777" w:rsidTr="00783A54">
        <w:tc>
          <w:tcPr>
            <w:tcW w:w="1526" w:type="dxa"/>
          </w:tcPr>
          <w:p w14:paraId="4EF27826" w14:textId="5E26366A" w:rsidR="000E0B74" w:rsidRPr="00CD768A" w:rsidRDefault="000E0B74" w:rsidP="005378B1">
            <w:pPr>
              <w:rPr>
                <w:sz w:val="22"/>
                <w:szCs w:val="22"/>
              </w:rPr>
            </w:pPr>
          </w:p>
        </w:tc>
        <w:tc>
          <w:tcPr>
            <w:tcW w:w="7654" w:type="dxa"/>
          </w:tcPr>
          <w:p w14:paraId="46F81CD3" w14:textId="48209DF4" w:rsidR="000E0B74" w:rsidRPr="00CD768A" w:rsidRDefault="000E0B74" w:rsidP="005378B1">
            <w:pPr>
              <w:rPr>
                <w:sz w:val="22"/>
                <w:szCs w:val="22"/>
              </w:rPr>
            </w:pPr>
          </w:p>
        </w:tc>
      </w:tr>
      <w:tr w:rsidR="005378B1" w:rsidRPr="005378B1" w14:paraId="4B343CD3" w14:textId="77777777" w:rsidTr="00783A54">
        <w:tc>
          <w:tcPr>
            <w:tcW w:w="1526" w:type="dxa"/>
          </w:tcPr>
          <w:p w14:paraId="5F0CB65F" w14:textId="265864DF" w:rsidR="000E0B74" w:rsidRPr="00CD768A" w:rsidRDefault="000E0B74" w:rsidP="005378B1">
            <w:pPr>
              <w:rPr>
                <w:sz w:val="22"/>
                <w:szCs w:val="22"/>
              </w:rPr>
            </w:pPr>
          </w:p>
        </w:tc>
        <w:tc>
          <w:tcPr>
            <w:tcW w:w="7654" w:type="dxa"/>
          </w:tcPr>
          <w:p w14:paraId="05BD5360" w14:textId="0A62E124" w:rsidR="000E0B74" w:rsidRPr="00CD768A" w:rsidRDefault="000E0B74" w:rsidP="005378B1">
            <w:pPr>
              <w:rPr>
                <w:sz w:val="22"/>
                <w:szCs w:val="22"/>
              </w:rPr>
            </w:pPr>
          </w:p>
        </w:tc>
      </w:tr>
    </w:tbl>
    <w:p w14:paraId="50388CF0" w14:textId="77777777" w:rsidR="008D7F38" w:rsidRPr="005378B1" w:rsidRDefault="008D7F38" w:rsidP="005378B1"/>
    <w:p w14:paraId="1F57A4CE" w14:textId="77777777" w:rsidR="00E10D39" w:rsidRDefault="003C6509" w:rsidP="005378B1">
      <w:pPr>
        <w:spacing w:before="0" w:after="160" w:line="259" w:lineRule="auto"/>
        <w:rPr>
          <w:rFonts w:ascii="Calibri" w:hAnsi="Calibri" w:cs="Arial"/>
          <w:b/>
          <w:kern w:val="32"/>
          <w:sz w:val="44"/>
          <w:szCs w:val="36"/>
        </w:rPr>
      </w:pPr>
      <w:r w:rsidRPr="005378B1">
        <w:br w:type="page"/>
      </w:r>
    </w:p>
    <w:p w14:paraId="28489247" w14:textId="3E3200DB" w:rsidR="00762E42" w:rsidRPr="005378B1" w:rsidRDefault="003C6509" w:rsidP="005378B1">
      <w:pPr>
        <w:pStyle w:val="Heading1"/>
        <w:rPr>
          <w:color w:val="auto"/>
        </w:rPr>
      </w:pPr>
      <w:bookmarkStart w:id="3" w:name="_Toc4662131"/>
      <w:bookmarkStart w:id="4" w:name="_Toc98841568"/>
      <w:bookmarkStart w:id="5" w:name="_Toc192616731"/>
      <w:r w:rsidRPr="005378B1">
        <w:rPr>
          <w:color w:val="auto"/>
        </w:rPr>
        <w:lastRenderedPageBreak/>
        <w:t>Introduction</w:t>
      </w:r>
      <w:bookmarkEnd w:id="3"/>
      <w:bookmarkEnd w:id="4"/>
      <w:bookmarkEnd w:id="5"/>
    </w:p>
    <w:p w14:paraId="6DC7D4FD" w14:textId="291B2234" w:rsidR="00673F87" w:rsidRDefault="003C6509" w:rsidP="005378B1">
      <w:r w:rsidRPr="005378B1">
        <w:t xml:space="preserve">The purpose of this paper is to seek industry views on the proposed Financial Institutions Supervisory Levies (‘the levies’ or ‘FISLs’) for the </w:t>
      </w:r>
      <w:r w:rsidRPr="005378B1" w:rsidDel="00A204EA">
        <w:t>202</w:t>
      </w:r>
      <w:r w:rsidR="00705D79" w:rsidRPr="005378B1">
        <w:t>5</w:t>
      </w:r>
      <w:bookmarkStart w:id="6" w:name="_Hlk192173212"/>
      <w:r w:rsidRPr="005378B1">
        <w:t>–</w:t>
      </w:r>
      <w:bookmarkEnd w:id="6"/>
      <w:r w:rsidRPr="005378B1" w:rsidDel="00A204EA">
        <w:t>2</w:t>
      </w:r>
      <w:r w:rsidR="00705D79" w:rsidRPr="005378B1">
        <w:t>6</w:t>
      </w:r>
      <w:r w:rsidRPr="005378B1" w:rsidDel="00A204EA">
        <w:t xml:space="preserve"> </w:t>
      </w:r>
      <w:r w:rsidRPr="005378B1">
        <w:t xml:space="preserve">financial year. The levies are </w:t>
      </w:r>
      <w:r w:rsidR="00FA6BBC">
        <w:t>used</w:t>
      </w:r>
      <w:r w:rsidR="00FA6BBC" w:rsidRPr="005378B1">
        <w:t xml:space="preserve"> </w:t>
      </w:r>
      <w:r w:rsidRPr="005378B1">
        <w:t xml:space="preserve">to recover the operational costs of the Australian Prudential Regulation Authority (APRA), and other specific costs incurred by certain </w:t>
      </w:r>
      <w:r w:rsidR="00E41488">
        <w:t>Commonwealth</w:t>
      </w:r>
      <w:r w:rsidR="00E41488" w:rsidRPr="005378B1">
        <w:t xml:space="preserve"> </w:t>
      </w:r>
      <w:r w:rsidRPr="005378B1">
        <w:t>agencies.</w:t>
      </w:r>
      <w:r w:rsidR="002A1A7F">
        <w:t xml:space="preserve"> </w:t>
      </w:r>
    </w:p>
    <w:p w14:paraId="0E908B1A" w14:textId="10FBFF08" w:rsidR="00762E42" w:rsidRPr="005378B1" w:rsidRDefault="003C6509" w:rsidP="005378B1">
      <w:r w:rsidRPr="005378B1">
        <w:t xml:space="preserve">This paper, prepared by Treasury </w:t>
      </w:r>
      <w:r w:rsidR="00172B76">
        <w:t>and</w:t>
      </w:r>
      <w:r w:rsidRPr="005378B1">
        <w:t xml:space="preserve"> APRA, sets out information </w:t>
      </w:r>
      <w:r w:rsidR="00E74913">
        <w:t>on</w:t>
      </w:r>
      <w:r w:rsidR="00E74913" w:rsidRPr="005378B1">
        <w:t xml:space="preserve"> </w:t>
      </w:r>
      <w:r w:rsidRPr="005378B1">
        <w:t xml:space="preserve">the total expenses </w:t>
      </w:r>
      <w:r w:rsidR="00D03B02">
        <w:t>incurred by</w:t>
      </w:r>
      <w:r w:rsidRPr="005378B1">
        <w:t xml:space="preserve"> APRA</w:t>
      </w:r>
      <w:r w:rsidR="00673F87">
        <w:t>,</w:t>
      </w:r>
      <w:r w:rsidRPr="005378B1">
        <w:t xml:space="preserve"> and </w:t>
      </w:r>
      <w:r w:rsidR="00673F87">
        <w:t>other</w:t>
      </w:r>
      <w:r w:rsidR="00673F87" w:rsidRPr="005378B1">
        <w:t xml:space="preserve"> </w:t>
      </w:r>
      <w:r w:rsidR="00E41488">
        <w:t xml:space="preserve">Commonwealth </w:t>
      </w:r>
      <w:r w:rsidR="00673F87">
        <w:t>agenc</w:t>
      </w:r>
      <w:r w:rsidR="00990A8B">
        <w:t>ies</w:t>
      </w:r>
      <w:r w:rsidR="00673F87">
        <w:t>,</w:t>
      </w:r>
      <w:r w:rsidR="00673F87" w:rsidRPr="005378B1">
        <w:t xml:space="preserve"> </w:t>
      </w:r>
      <w:r w:rsidR="00D82EC6">
        <w:t xml:space="preserve">for activities </w:t>
      </w:r>
      <w:r w:rsidRPr="005378B1">
        <w:t>to be funded through commensurate levies revenue collected in </w:t>
      </w:r>
      <w:r w:rsidRPr="005378B1" w:rsidDel="00554559">
        <w:t>202</w:t>
      </w:r>
      <w:r w:rsidR="00705D79" w:rsidRPr="005378B1">
        <w:t>5</w:t>
      </w:r>
      <w:r w:rsidR="00762E42" w:rsidRPr="005378B1">
        <w:t>–</w:t>
      </w:r>
      <w:r w:rsidR="001C3F26" w:rsidRPr="005378B1">
        <w:t>2</w:t>
      </w:r>
      <w:r w:rsidR="00705D79" w:rsidRPr="005378B1">
        <w:t>6</w:t>
      </w:r>
      <w:r w:rsidRPr="005378B1">
        <w:t>.</w:t>
      </w:r>
    </w:p>
    <w:p w14:paraId="5A351287" w14:textId="78729F9F" w:rsidR="00762E42" w:rsidRPr="005378B1" w:rsidRDefault="003C6509" w:rsidP="005378B1">
      <w:pPr>
        <w:pStyle w:val="Heading1"/>
        <w:rPr>
          <w:color w:val="auto"/>
        </w:rPr>
      </w:pPr>
      <w:bookmarkStart w:id="7" w:name="_Toc4662132"/>
      <w:bookmarkStart w:id="8" w:name="_Toc98841569"/>
      <w:bookmarkStart w:id="9" w:name="_Toc192616732"/>
      <w:r w:rsidRPr="005378B1">
        <w:rPr>
          <w:color w:val="auto"/>
        </w:rPr>
        <w:t xml:space="preserve">Australian Government </w:t>
      </w:r>
      <w:r w:rsidR="002A1A7F">
        <w:rPr>
          <w:color w:val="auto"/>
        </w:rPr>
        <w:t>c</w:t>
      </w:r>
      <w:r w:rsidR="002A1A7F" w:rsidRPr="005378B1">
        <w:rPr>
          <w:color w:val="auto"/>
        </w:rPr>
        <w:t xml:space="preserve">ost </w:t>
      </w:r>
      <w:bookmarkEnd w:id="7"/>
      <w:bookmarkEnd w:id="8"/>
      <w:r w:rsidR="002A1A7F">
        <w:rPr>
          <w:color w:val="auto"/>
        </w:rPr>
        <w:t>r</w:t>
      </w:r>
      <w:r w:rsidR="002A1A7F" w:rsidRPr="005378B1">
        <w:rPr>
          <w:color w:val="auto"/>
        </w:rPr>
        <w:t>ecovery</w:t>
      </w:r>
      <w:bookmarkEnd w:id="9"/>
    </w:p>
    <w:p w14:paraId="4114AAB9" w14:textId="10F4EEF7" w:rsidR="00762E42" w:rsidRPr="005378B1" w:rsidRDefault="003C6509" w:rsidP="005378B1">
      <w:r w:rsidRPr="005378B1">
        <w:t xml:space="preserve">In December 2002, the </w:t>
      </w:r>
      <w:r w:rsidR="007F7923" w:rsidDel="00F60B4F">
        <w:t>g</w:t>
      </w:r>
      <w:r w:rsidR="002A1A7F" w:rsidRPr="005378B1">
        <w:t xml:space="preserve">overnment </w:t>
      </w:r>
      <w:r w:rsidRPr="005378B1">
        <w:t>adopted a formal cost recovery policy to improve the consistency, transparency and accountability of cost recovered activities and promote the efficient allocation of resources. Cost recovery involves government entities charging individuals or non</w:t>
      </w:r>
      <w:r w:rsidRPr="005378B1">
        <w:noBreakHyphen/>
        <w:t>government organisations some</w:t>
      </w:r>
      <w:r w:rsidR="00721B6C" w:rsidRPr="005378B1">
        <w:t>,</w:t>
      </w:r>
      <w:r w:rsidRPr="005378B1">
        <w:t xml:space="preserve"> or all</w:t>
      </w:r>
      <w:r w:rsidR="00721B6C" w:rsidRPr="005378B1">
        <w:t>,</w:t>
      </w:r>
      <w:r w:rsidRPr="005378B1">
        <w:t xml:space="preserve"> of the efficient costs of a specific government activity. This may include goods, services or regulation, or a combination of these.</w:t>
      </w:r>
    </w:p>
    <w:p w14:paraId="50E64157" w14:textId="5513780A" w:rsidR="00762E42" w:rsidRPr="005378B1" w:rsidRDefault="003C6509" w:rsidP="005378B1">
      <w:r w:rsidRPr="005378B1">
        <w:t xml:space="preserve">The Australian Government Charging Framework (introduced </w:t>
      </w:r>
      <w:r w:rsidR="002A1A7F">
        <w:t xml:space="preserve">on </w:t>
      </w:r>
      <w:r w:rsidRPr="005378B1">
        <w:t xml:space="preserve">1 July 2015) and Cost Recovery </w:t>
      </w:r>
      <w:r w:rsidR="002A1A7F">
        <w:t>Policy</w:t>
      </w:r>
      <w:r w:rsidR="002A1A7F" w:rsidRPr="005378B1">
        <w:t xml:space="preserve"> </w:t>
      </w:r>
      <w:r w:rsidR="002A1A7F">
        <w:t xml:space="preserve">(CRP) </w:t>
      </w:r>
      <w:r w:rsidRPr="005378B1">
        <w:t>set out the overarching policy under which government entities design, implement and review cost recovered activities. In line with the policy, individual portfolio ministers are ultimately responsible for ensuring entities’ implementation and compliance with the CR</w:t>
      </w:r>
      <w:r w:rsidR="002A1A7F">
        <w:t>P</w:t>
      </w:r>
      <w:r w:rsidRPr="005378B1">
        <w:t>.</w:t>
      </w:r>
    </w:p>
    <w:p w14:paraId="2C65810C" w14:textId="77777777" w:rsidR="00762E42" w:rsidRPr="005378B1" w:rsidRDefault="003C6509" w:rsidP="005378B1">
      <w:r w:rsidRPr="005378B1">
        <w:t xml:space="preserve">APRA’s funding is outlined in the annual Treasury Portfolio Budget Statements. Generally, additional funding is provided to APRA through budget measures that are outlined in documents published on the </w:t>
      </w:r>
      <w:hyperlink r:id="rId28" w:history="1">
        <w:r w:rsidRPr="005378B1">
          <w:rPr>
            <w:rStyle w:val="Hyperlink"/>
            <w:color w:val="auto"/>
          </w:rPr>
          <w:t>www.budget.gov.au</w:t>
        </w:r>
      </w:hyperlink>
      <w:r w:rsidRPr="005378B1">
        <w:t xml:space="preserve"> website.</w:t>
      </w:r>
      <w:r w:rsidRPr="005378B1" w:rsidDel="00A70329">
        <w:t xml:space="preserve"> </w:t>
      </w:r>
    </w:p>
    <w:p w14:paraId="4D14660D" w14:textId="4F6D8E10" w:rsidR="00762E42" w:rsidRPr="005378B1" w:rsidRDefault="00E5524C" w:rsidP="005378B1">
      <w:r>
        <w:t>APRA will release a</w:t>
      </w:r>
      <w:r w:rsidR="003C6509" w:rsidRPr="005378B1">
        <w:t>n updated Cost Recovery Implementation Statement (CRIS) no later than 30</w:t>
      </w:r>
      <w:r w:rsidR="00584E6F">
        <w:t> </w:t>
      </w:r>
      <w:r w:rsidR="003C6509" w:rsidRPr="005378B1">
        <w:t>June</w:t>
      </w:r>
      <w:r w:rsidR="00584E6F">
        <w:t> </w:t>
      </w:r>
      <w:r w:rsidR="002A1A7F" w:rsidRPr="005378B1" w:rsidDel="00554559">
        <w:t>202</w:t>
      </w:r>
      <w:r w:rsidR="002A1A7F">
        <w:t>5.</w:t>
      </w:r>
      <w:r w:rsidR="003C6509" w:rsidRPr="005378B1">
        <w:t xml:space="preserve"> </w:t>
      </w:r>
      <w:r w:rsidR="002A1A7F">
        <w:t>This</w:t>
      </w:r>
      <w:r w:rsidR="002A1A7F" w:rsidRPr="005378B1">
        <w:t xml:space="preserve"> </w:t>
      </w:r>
      <w:r w:rsidR="003C6509" w:rsidRPr="005378B1">
        <w:t>will provide further transparency around the cost of APRA’s activities and the corresponding impact on the levies.</w:t>
      </w:r>
    </w:p>
    <w:p w14:paraId="229BDF82" w14:textId="39844181" w:rsidR="00762E42" w:rsidRPr="005378B1" w:rsidRDefault="003C6509" w:rsidP="005378B1">
      <w:pPr>
        <w:pStyle w:val="Heading1"/>
        <w:rPr>
          <w:color w:val="auto"/>
        </w:rPr>
      </w:pPr>
      <w:bookmarkStart w:id="10" w:name="_Toc4662133"/>
      <w:bookmarkStart w:id="11" w:name="_Toc98841570"/>
      <w:bookmarkStart w:id="12" w:name="_Toc192616733"/>
      <w:r w:rsidRPr="005378B1">
        <w:rPr>
          <w:color w:val="auto"/>
        </w:rPr>
        <w:t>Policy and legislative basis for the levies</w:t>
      </w:r>
      <w:bookmarkEnd w:id="10"/>
      <w:bookmarkEnd w:id="11"/>
      <w:bookmarkEnd w:id="12"/>
    </w:p>
    <w:p w14:paraId="50DA4F73" w14:textId="656B27C0" w:rsidR="00762E42" w:rsidRPr="005378B1" w:rsidRDefault="002A1A7F" w:rsidP="005378B1">
      <w:r>
        <w:t xml:space="preserve">Costs incurred by </w:t>
      </w:r>
      <w:r w:rsidR="003C6509" w:rsidRPr="005378B1">
        <w:t>APRA</w:t>
      </w:r>
      <w:r>
        <w:t>,</w:t>
      </w:r>
      <w:r w:rsidR="003C6509" w:rsidRPr="005378B1">
        <w:t xml:space="preserve"> and other </w:t>
      </w:r>
      <w:r w:rsidR="002116B0">
        <w:t>Commonwealth</w:t>
      </w:r>
      <w:r w:rsidR="002116B0" w:rsidRPr="005378B1">
        <w:t xml:space="preserve"> </w:t>
      </w:r>
      <w:r w:rsidR="003C6509" w:rsidRPr="005378B1">
        <w:t xml:space="preserve">agencies, in supporting the integrity and efficiency of markets and promoting the interests of consumers in the financial system, are funded through levies on industries that </w:t>
      </w:r>
      <w:r>
        <w:t xml:space="preserve">APRA </w:t>
      </w:r>
      <w:r w:rsidR="003C6509" w:rsidRPr="005378B1">
        <w:t>regulate</w:t>
      </w:r>
      <w:r>
        <w:t>s</w:t>
      </w:r>
      <w:r w:rsidR="003C6509" w:rsidRPr="005378B1">
        <w:t>. Essentially, the levies are imposed to ensure that the full cost of regulation is recovered from those who benefit from it.</w:t>
      </w:r>
    </w:p>
    <w:p w14:paraId="6226C4B8" w14:textId="6A875DB9" w:rsidR="00762E42" w:rsidRPr="005378B1" w:rsidRDefault="003C6509" w:rsidP="005378B1">
      <w:r w:rsidRPr="005378B1">
        <w:t xml:space="preserve">The legislative framework for these levies is established by the </w:t>
      </w:r>
      <w:r w:rsidRPr="005378B1">
        <w:rPr>
          <w:i/>
        </w:rPr>
        <w:t>Financial Institutions Supervisory Levies Collection Act 1998</w:t>
      </w:r>
      <w:r w:rsidRPr="005378B1">
        <w:t>, which prescribes the timing f</w:t>
      </w:r>
      <w:r w:rsidR="00E5524C">
        <w:t>or</w:t>
      </w:r>
      <w:r w:rsidRPr="005378B1">
        <w:t xml:space="preserve"> payment and collection of levies. A suite of imposition Acts impose levies on regulated industries. For all industries, </w:t>
      </w:r>
      <w:r w:rsidR="00DE100A">
        <w:t>except for</w:t>
      </w:r>
      <w:r w:rsidRPr="005378B1">
        <w:t xml:space="preserve"> the private health </w:t>
      </w:r>
      <w:r w:rsidR="00DE100A" w:rsidRPr="005378B1">
        <w:t>insur</w:t>
      </w:r>
      <w:r w:rsidR="00DE100A">
        <w:t>ance</w:t>
      </w:r>
      <w:r w:rsidR="00DE100A" w:rsidRPr="005378B1">
        <w:t xml:space="preserve"> </w:t>
      </w:r>
      <w:r w:rsidRPr="005378B1">
        <w:t xml:space="preserve">(PHI), these Acts set a CPI indexed statutory upper limit (which the restricted maximum cannot exceed) and provide for the Minister to </w:t>
      </w:r>
      <w:proofErr w:type="gramStart"/>
      <w:r w:rsidRPr="005378B1">
        <w:t>make a determination</w:t>
      </w:r>
      <w:proofErr w:type="gramEnd"/>
      <w:r w:rsidRPr="005378B1">
        <w:t xml:space="preserve"> as to certain matters</w:t>
      </w:r>
      <w:r w:rsidR="002A1A7F">
        <w:t>.</w:t>
      </w:r>
      <w:r w:rsidRPr="005378B1">
        <w:t xml:space="preserve"> </w:t>
      </w:r>
      <w:r w:rsidR="002A1A7F">
        <w:t>These include</w:t>
      </w:r>
      <w:r w:rsidRPr="005378B1">
        <w:t xml:space="preserve"> the percentages for each restricted and unrestricted levy component, the maximum and minimum levy amounts applicable to each restricted levy component, and the date at which the entity’s levy is to be calculated. Meanwhile, the imposition Act for PHI imposes a levy on regulated </w:t>
      </w:r>
      <w:r w:rsidR="002A1A7F">
        <w:lastRenderedPageBreak/>
        <w:t>entities</w:t>
      </w:r>
      <w:r w:rsidR="002A1A7F" w:rsidRPr="005378B1">
        <w:t xml:space="preserve"> </w:t>
      </w:r>
      <w:r w:rsidRPr="005378B1">
        <w:t>by setting a rate for each complying single and joint health insurance policy on issue on the census day</w:t>
      </w:r>
      <w:r w:rsidR="00DE100A">
        <w:t>.</w:t>
      </w:r>
      <w:r w:rsidR="00DE100A" w:rsidRPr="0071317A">
        <w:rPr>
          <w:rStyle w:val="FootnoteReference"/>
          <w:vertAlign w:val="superscript"/>
        </w:rPr>
        <w:footnoteReference w:id="2"/>
      </w:r>
    </w:p>
    <w:p w14:paraId="0455ADCD" w14:textId="77777777" w:rsidR="00762E42" w:rsidRPr="005378B1" w:rsidRDefault="003C6509" w:rsidP="005378B1">
      <w:r w:rsidRPr="005378B1">
        <w:t xml:space="preserve">Annually, the Minister </w:t>
      </w:r>
      <w:proofErr w:type="gramStart"/>
      <w:r w:rsidRPr="005378B1">
        <w:t>makes a determination</w:t>
      </w:r>
      <w:proofErr w:type="gramEnd"/>
      <w:r w:rsidRPr="005378B1">
        <w:t xml:space="preserve"> under each of the following Acts to provide the legal basis to impose a levy:</w:t>
      </w:r>
    </w:p>
    <w:p w14:paraId="65F9349D" w14:textId="352AE789" w:rsidR="00762E42" w:rsidRPr="005378B1" w:rsidRDefault="003C6509" w:rsidP="005378B1">
      <w:pPr>
        <w:pStyle w:val="Bullet"/>
        <w:numPr>
          <w:ilvl w:val="0"/>
          <w:numId w:val="1"/>
        </w:numPr>
        <w:tabs>
          <w:tab w:val="clear" w:pos="720"/>
        </w:tabs>
        <w:spacing w:before="0" w:after="120" w:line="240" w:lineRule="auto"/>
        <w:ind w:left="284" w:hanging="284"/>
        <w:rPr>
          <w:i/>
        </w:rPr>
      </w:pPr>
      <w:r w:rsidRPr="005378B1">
        <w:rPr>
          <w:i/>
        </w:rPr>
        <w:t>Authorised Deposit-taking Institutions Supervisory Levy Imposition Act 1998</w:t>
      </w:r>
    </w:p>
    <w:p w14:paraId="24644C25" w14:textId="4A0155AD" w:rsidR="00762E42" w:rsidRPr="005378B1" w:rsidRDefault="003C6509" w:rsidP="005378B1">
      <w:pPr>
        <w:pStyle w:val="Bullet"/>
        <w:numPr>
          <w:ilvl w:val="0"/>
          <w:numId w:val="1"/>
        </w:numPr>
        <w:tabs>
          <w:tab w:val="clear" w:pos="720"/>
        </w:tabs>
        <w:spacing w:before="0" w:after="120" w:line="240" w:lineRule="auto"/>
        <w:ind w:left="284" w:hanging="284"/>
        <w:rPr>
          <w:i/>
        </w:rPr>
      </w:pPr>
      <w:r w:rsidRPr="005378B1">
        <w:rPr>
          <w:i/>
        </w:rPr>
        <w:t>Authorised Non-operating Holding Companies Supervisory Levy Imposition Act 1998</w:t>
      </w:r>
    </w:p>
    <w:p w14:paraId="264212CB" w14:textId="30409EB2" w:rsidR="008A321E" w:rsidRPr="005378B1" w:rsidRDefault="003C6509" w:rsidP="005378B1">
      <w:pPr>
        <w:pStyle w:val="Bullet"/>
        <w:numPr>
          <w:ilvl w:val="0"/>
          <w:numId w:val="1"/>
        </w:numPr>
        <w:tabs>
          <w:tab w:val="clear" w:pos="720"/>
        </w:tabs>
        <w:spacing w:before="0" w:after="120" w:line="240" w:lineRule="auto"/>
        <w:ind w:left="284" w:hanging="284"/>
        <w:rPr>
          <w:i/>
        </w:rPr>
      </w:pPr>
      <w:r w:rsidRPr="005378B1">
        <w:rPr>
          <w:i/>
        </w:rPr>
        <w:t>General Insurance Supervisory Levy Imposition Act 1998</w:t>
      </w:r>
    </w:p>
    <w:p w14:paraId="36C9EA81" w14:textId="3A14EC21" w:rsidR="00762E42" w:rsidRPr="005378B1" w:rsidRDefault="003C6509" w:rsidP="005378B1">
      <w:pPr>
        <w:pStyle w:val="Bullet"/>
        <w:numPr>
          <w:ilvl w:val="0"/>
          <w:numId w:val="1"/>
        </w:numPr>
        <w:tabs>
          <w:tab w:val="clear" w:pos="720"/>
        </w:tabs>
        <w:spacing w:before="0" w:after="120" w:line="240" w:lineRule="auto"/>
        <w:ind w:left="284" w:hanging="284"/>
        <w:rPr>
          <w:i/>
        </w:rPr>
      </w:pPr>
      <w:r w:rsidRPr="005378B1">
        <w:rPr>
          <w:i/>
        </w:rPr>
        <w:t>Life Insurance Supervisory Levy Imposition Act 1998</w:t>
      </w:r>
    </w:p>
    <w:p w14:paraId="759E859F" w14:textId="4FB3832E" w:rsidR="008A321E" w:rsidRPr="005378B1" w:rsidRDefault="003C6509" w:rsidP="005378B1">
      <w:pPr>
        <w:pStyle w:val="Bullet"/>
        <w:numPr>
          <w:ilvl w:val="0"/>
          <w:numId w:val="1"/>
        </w:numPr>
        <w:tabs>
          <w:tab w:val="clear" w:pos="720"/>
        </w:tabs>
        <w:spacing w:before="0" w:after="120" w:line="240" w:lineRule="auto"/>
        <w:ind w:left="284" w:hanging="284"/>
        <w:rPr>
          <w:i/>
        </w:rPr>
      </w:pPr>
      <w:r w:rsidRPr="005378B1">
        <w:rPr>
          <w:i/>
        </w:rPr>
        <w:t>Private Health Insurance Supervisory Levy Imposition Act 2015</w:t>
      </w:r>
    </w:p>
    <w:p w14:paraId="530987D2" w14:textId="72ED8942" w:rsidR="008A321E" w:rsidRPr="005378B1" w:rsidRDefault="003C6509" w:rsidP="005378B1">
      <w:pPr>
        <w:pStyle w:val="Bullet"/>
        <w:numPr>
          <w:ilvl w:val="0"/>
          <w:numId w:val="1"/>
        </w:numPr>
        <w:tabs>
          <w:tab w:val="clear" w:pos="720"/>
        </w:tabs>
        <w:spacing w:before="0" w:after="120" w:line="240" w:lineRule="auto"/>
        <w:ind w:left="284" w:hanging="284"/>
        <w:rPr>
          <w:i/>
        </w:rPr>
      </w:pPr>
      <w:r w:rsidRPr="005378B1">
        <w:rPr>
          <w:i/>
        </w:rPr>
        <w:t xml:space="preserve">Superannuation Supervisory Levy Imposition Act 1998 </w:t>
      </w:r>
    </w:p>
    <w:p w14:paraId="3CD84471" w14:textId="34BC69B5" w:rsidR="00762E42" w:rsidRPr="005378B1" w:rsidRDefault="003C6509" w:rsidP="005378B1">
      <w:pPr>
        <w:pStyle w:val="Bullet"/>
        <w:numPr>
          <w:ilvl w:val="0"/>
          <w:numId w:val="1"/>
        </w:numPr>
        <w:tabs>
          <w:tab w:val="clear" w:pos="720"/>
        </w:tabs>
        <w:spacing w:before="0" w:after="120" w:line="240" w:lineRule="auto"/>
        <w:ind w:left="284" w:hanging="284"/>
        <w:rPr>
          <w:i/>
        </w:rPr>
      </w:pPr>
      <w:r w:rsidRPr="005378B1">
        <w:rPr>
          <w:i/>
        </w:rPr>
        <w:t>Retirement Savings Account Providers Supervisory Levy Imposition Act 1998</w:t>
      </w:r>
    </w:p>
    <w:p w14:paraId="0B16FAFF" w14:textId="52F26991" w:rsidR="00762E42" w:rsidRPr="005378B1" w:rsidRDefault="003C6509" w:rsidP="005378B1">
      <w:r w:rsidRPr="005378B1">
        <w:t xml:space="preserve">The </w:t>
      </w:r>
      <w:r w:rsidR="00352127" w:rsidDel="00007AF3">
        <w:t>g</w:t>
      </w:r>
      <w:r w:rsidR="00352127" w:rsidRPr="005378B1">
        <w:t xml:space="preserve">overnment </w:t>
      </w:r>
      <w:r w:rsidRPr="005378B1">
        <w:t xml:space="preserve">has also provided authority to APRA to recover other specific costs incurred by certain </w:t>
      </w:r>
      <w:r w:rsidR="00E7586E">
        <w:t>Commonwealth</w:t>
      </w:r>
      <w:r w:rsidR="00E7586E" w:rsidRPr="005378B1">
        <w:t xml:space="preserve"> </w:t>
      </w:r>
      <w:r w:rsidRPr="005378B1">
        <w:t xml:space="preserve">agencies. The Minister’s determination in this regard, under the </w:t>
      </w:r>
      <w:r w:rsidRPr="005378B1">
        <w:rPr>
          <w:i/>
        </w:rPr>
        <w:t>Australian Prudential Regulation Authority Act 1998</w:t>
      </w:r>
      <w:r w:rsidRPr="005378B1">
        <w:t>, is to recover the costs of:</w:t>
      </w:r>
    </w:p>
    <w:p w14:paraId="0BA7C987" w14:textId="59FDEE8A" w:rsidR="00762E42" w:rsidRPr="005378B1" w:rsidRDefault="003C6509" w:rsidP="005378B1">
      <w:pPr>
        <w:pStyle w:val="paragraphsub"/>
        <w:numPr>
          <w:ilvl w:val="0"/>
          <w:numId w:val="15"/>
        </w:numPr>
        <w:spacing w:before="40" w:beforeAutospacing="0" w:after="0" w:afterAutospacing="0"/>
        <w:rPr>
          <w:rFonts w:ascii="Calibri Light" w:hAnsi="Calibri Light" w:cs="Calibri Light"/>
          <w:sz w:val="22"/>
          <w:szCs w:val="20"/>
        </w:rPr>
      </w:pPr>
      <w:r w:rsidRPr="005378B1">
        <w:rPr>
          <w:rFonts w:ascii="Calibri Light" w:hAnsi="Calibri Light" w:cs="Calibri Light"/>
          <w:sz w:val="22"/>
          <w:szCs w:val="20"/>
        </w:rPr>
        <w:t xml:space="preserve">supporting the integrity and efficiency of markets in which leviable bodies </w:t>
      </w:r>
      <w:proofErr w:type="gramStart"/>
      <w:r w:rsidRPr="005378B1">
        <w:rPr>
          <w:rFonts w:ascii="Calibri Light" w:hAnsi="Calibri Light" w:cs="Calibri Light"/>
          <w:sz w:val="22"/>
          <w:szCs w:val="20"/>
        </w:rPr>
        <w:t>operate</w:t>
      </w:r>
      <w:r w:rsidR="007F43DE">
        <w:rPr>
          <w:rFonts w:ascii="Calibri Light" w:hAnsi="Calibri Light" w:cs="Calibri Light"/>
          <w:sz w:val="22"/>
          <w:szCs w:val="20"/>
        </w:rPr>
        <w:t>;</w:t>
      </w:r>
      <w:proofErr w:type="gramEnd"/>
    </w:p>
    <w:p w14:paraId="3EEAFF0F" w14:textId="6A0BFAA0" w:rsidR="00762E42" w:rsidRPr="005378B1" w:rsidRDefault="003C6509" w:rsidP="005378B1">
      <w:pPr>
        <w:pStyle w:val="paragraphsub"/>
        <w:numPr>
          <w:ilvl w:val="0"/>
          <w:numId w:val="15"/>
        </w:numPr>
        <w:spacing w:before="40" w:beforeAutospacing="0" w:after="0" w:afterAutospacing="0"/>
        <w:rPr>
          <w:rFonts w:ascii="Calibri Light" w:hAnsi="Calibri Light" w:cs="Calibri Light"/>
          <w:sz w:val="22"/>
          <w:szCs w:val="20"/>
        </w:rPr>
      </w:pPr>
      <w:r w:rsidRPr="005378B1">
        <w:rPr>
          <w:rFonts w:ascii="Calibri Light" w:hAnsi="Calibri Light" w:cs="Calibri Light"/>
          <w:sz w:val="22"/>
          <w:szCs w:val="20"/>
        </w:rPr>
        <w:t xml:space="preserve">promoting the interests of consumers in markets in which leviable bodies </w:t>
      </w:r>
      <w:proofErr w:type="gramStart"/>
      <w:r w:rsidRPr="005378B1">
        <w:rPr>
          <w:rFonts w:ascii="Calibri Light" w:hAnsi="Calibri Light" w:cs="Calibri Light"/>
          <w:sz w:val="22"/>
          <w:szCs w:val="20"/>
        </w:rPr>
        <w:t>operate</w:t>
      </w:r>
      <w:r w:rsidR="007F43DE">
        <w:rPr>
          <w:rFonts w:ascii="Calibri Light" w:hAnsi="Calibri Light" w:cs="Calibri Light"/>
          <w:sz w:val="22"/>
          <w:szCs w:val="20"/>
        </w:rPr>
        <w:t>;</w:t>
      </w:r>
      <w:proofErr w:type="gramEnd"/>
    </w:p>
    <w:p w14:paraId="5847B312" w14:textId="2E9ADC5A" w:rsidR="00762E42" w:rsidRPr="005378B1" w:rsidRDefault="003C6509" w:rsidP="005378B1">
      <w:pPr>
        <w:pStyle w:val="paragraphsub"/>
        <w:numPr>
          <w:ilvl w:val="0"/>
          <w:numId w:val="15"/>
        </w:numPr>
        <w:spacing w:before="40" w:beforeAutospacing="0" w:after="0" w:afterAutospacing="0"/>
        <w:rPr>
          <w:rFonts w:ascii="Calibri Light" w:hAnsi="Calibri Light" w:cs="Calibri Light"/>
          <w:sz w:val="22"/>
          <w:szCs w:val="20"/>
        </w:rPr>
      </w:pPr>
      <w:r w:rsidRPr="005378B1">
        <w:rPr>
          <w:rFonts w:ascii="Calibri Light" w:hAnsi="Calibri Light" w:cs="Calibri Light"/>
          <w:sz w:val="22"/>
          <w:szCs w:val="20"/>
        </w:rPr>
        <w:t xml:space="preserve">administering the function of making determinations about the release on compassionate grounds of benefits that are in a superannuation entity or retirement savings </w:t>
      </w:r>
      <w:proofErr w:type="gramStart"/>
      <w:r w:rsidRPr="005378B1">
        <w:rPr>
          <w:rFonts w:ascii="Calibri Light" w:hAnsi="Calibri Light" w:cs="Calibri Light"/>
          <w:sz w:val="22"/>
          <w:szCs w:val="20"/>
        </w:rPr>
        <w:t>account</w:t>
      </w:r>
      <w:r w:rsidR="007F43DE">
        <w:rPr>
          <w:rFonts w:ascii="Calibri Light" w:hAnsi="Calibri Light" w:cs="Calibri Light"/>
          <w:sz w:val="22"/>
          <w:szCs w:val="20"/>
        </w:rPr>
        <w:t>;</w:t>
      </w:r>
      <w:proofErr w:type="gramEnd"/>
    </w:p>
    <w:p w14:paraId="51ADA476" w14:textId="11BEA9F3" w:rsidR="00762E42" w:rsidRPr="005378B1" w:rsidRDefault="003C6509" w:rsidP="005378B1">
      <w:pPr>
        <w:pStyle w:val="paragraphsub"/>
        <w:numPr>
          <w:ilvl w:val="0"/>
          <w:numId w:val="15"/>
        </w:numPr>
        <w:spacing w:before="40" w:beforeAutospacing="0" w:after="0" w:afterAutospacing="0"/>
        <w:rPr>
          <w:rFonts w:ascii="Calibri Light" w:hAnsi="Calibri Light" w:cs="Calibri Light"/>
          <w:sz w:val="22"/>
          <w:szCs w:val="20"/>
        </w:rPr>
      </w:pPr>
      <w:r w:rsidRPr="005378B1">
        <w:rPr>
          <w:rFonts w:ascii="Calibri Light" w:hAnsi="Calibri Light" w:cs="Calibri Light"/>
          <w:sz w:val="22"/>
          <w:szCs w:val="20"/>
        </w:rPr>
        <w:t>governing and maintaining the superannuation transactions network</w:t>
      </w:r>
      <w:r w:rsidR="007F43DE">
        <w:rPr>
          <w:rFonts w:ascii="Calibri Light" w:hAnsi="Calibri Light" w:cs="Calibri Light"/>
          <w:sz w:val="22"/>
          <w:szCs w:val="20"/>
        </w:rPr>
        <w:t xml:space="preserve">; and </w:t>
      </w:r>
    </w:p>
    <w:p w14:paraId="0D8B246D" w14:textId="224214FF" w:rsidR="00762E42" w:rsidRPr="005378B1" w:rsidRDefault="003C6509" w:rsidP="005378B1">
      <w:pPr>
        <w:pStyle w:val="paragraphsub"/>
        <w:numPr>
          <w:ilvl w:val="0"/>
          <w:numId w:val="15"/>
        </w:numPr>
        <w:spacing w:before="40" w:beforeAutospacing="0" w:after="120" w:afterAutospacing="0"/>
        <w:ind w:left="714" w:hanging="357"/>
        <w:rPr>
          <w:rFonts w:ascii="Calibri Light" w:hAnsi="Calibri Light" w:cs="Calibri Light"/>
          <w:sz w:val="22"/>
          <w:szCs w:val="20"/>
        </w:rPr>
      </w:pPr>
      <w:r w:rsidRPr="005378B1">
        <w:rPr>
          <w:rFonts w:ascii="Calibri Light" w:hAnsi="Calibri Light" w:cs="Calibri Light"/>
          <w:sz w:val="22"/>
          <w:szCs w:val="20"/>
        </w:rPr>
        <w:t>the regulation of leviable bodies</w:t>
      </w:r>
      <w:r w:rsidR="007F43DE">
        <w:rPr>
          <w:rFonts w:ascii="Calibri Light" w:hAnsi="Calibri Light" w:cs="Calibri Light"/>
          <w:sz w:val="22"/>
          <w:szCs w:val="20"/>
        </w:rPr>
        <w:t>.</w:t>
      </w:r>
    </w:p>
    <w:p w14:paraId="2E01301B" w14:textId="0562D141" w:rsidR="00762E42" w:rsidRPr="005378B1" w:rsidRDefault="003C6509" w:rsidP="005378B1">
      <w:pPr>
        <w:pStyle w:val="Bullet"/>
        <w:numPr>
          <w:ilvl w:val="0"/>
          <w:numId w:val="0"/>
        </w:numPr>
        <w:spacing w:line="240" w:lineRule="auto"/>
      </w:pPr>
      <w:r w:rsidRPr="005378B1">
        <w:t xml:space="preserve">Costs recovered for the above </w:t>
      </w:r>
      <w:r w:rsidR="004A2E8A" w:rsidRPr="005378B1">
        <w:t>comprise</w:t>
      </w:r>
      <w:r w:rsidRPr="005378B1">
        <w:t xml:space="preserve"> costs incurred by the Australian Taxation Office (ATO), the Gateway Network Governance Body</w:t>
      </w:r>
      <w:r w:rsidR="00995425">
        <w:t xml:space="preserve"> (GNGB)</w:t>
      </w:r>
      <w:r w:rsidR="004A2E8A" w:rsidRPr="005378B1">
        <w:t xml:space="preserve"> and Treasury</w:t>
      </w:r>
      <w:r w:rsidRPr="005378B1">
        <w:t>.</w:t>
      </w:r>
    </w:p>
    <w:p w14:paraId="7E9F52B9" w14:textId="77777777" w:rsidR="00762E42" w:rsidRPr="005378B1" w:rsidRDefault="003C6509" w:rsidP="005378B1">
      <w:pPr>
        <w:pStyle w:val="Bullet"/>
        <w:numPr>
          <w:ilvl w:val="0"/>
          <w:numId w:val="0"/>
        </w:numPr>
        <w:spacing w:line="240" w:lineRule="auto"/>
      </w:pPr>
      <w:r w:rsidRPr="005378B1">
        <w:t>The total funding for these agencies raised under the levies is set through the annual Budget process.</w:t>
      </w:r>
    </w:p>
    <w:p w14:paraId="41357805" w14:textId="12012818" w:rsidR="00762E42" w:rsidRPr="005378B1" w:rsidRDefault="003C6509" w:rsidP="005378B1">
      <w:pPr>
        <w:pStyle w:val="Heading1"/>
        <w:rPr>
          <w:color w:val="auto"/>
        </w:rPr>
      </w:pPr>
      <w:bookmarkStart w:id="13" w:name="_Toc1575297"/>
      <w:bookmarkStart w:id="14" w:name="_Toc1577981"/>
      <w:bookmarkStart w:id="15" w:name="_Toc1578900"/>
      <w:bookmarkStart w:id="16" w:name="_Toc4662134"/>
      <w:bookmarkStart w:id="17" w:name="_Toc98841571"/>
      <w:bookmarkStart w:id="18" w:name="_Toc192616734"/>
      <w:r w:rsidRPr="005378B1">
        <w:rPr>
          <w:color w:val="auto"/>
        </w:rPr>
        <w:t>APRA’s activities</w:t>
      </w:r>
      <w:bookmarkEnd w:id="13"/>
      <w:bookmarkEnd w:id="14"/>
      <w:bookmarkEnd w:id="15"/>
      <w:bookmarkEnd w:id="16"/>
      <w:bookmarkEnd w:id="17"/>
      <w:bookmarkEnd w:id="18"/>
    </w:p>
    <w:p w14:paraId="69ABD8AA" w14:textId="0B178CA3" w:rsidR="00B44F21" w:rsidRDefault="003C6509" w:rsidP="00B44F21">
      <w:r w:rsidRPr="00B44F21">
        <w:t>APRA</w:t>
      </w:r>
      <w:r w:rsidR="00B167BC" w:rsidRPr="00B44F21">
        <w:t xml:space="preserve">’s </w:t>
      </w:r>
      <w:r w:rsidR="004B19E1">
        <w:t>core</w:t>
      </w:r>
      <w:r w:rsidRPr="00B44F21">
        <w:t xml:space="preserve"> purpose</w:t>
      </w:r>
      <w:r w:rsidR="00AC1662" w:rsidRPr="00B44F21">
        <w:t xml:space="preserve"> </w:t>
      </w:r>
      <w:r w:rsidR="00D8507F" w:rsidRPr="00B44F21">
        <w:t xml:space="preserve">is to </w:t>
      </w:r>
      <w:r w:rsidR="00FC1B6D">
        <w:t xml:space="preserve">ensure </w:t>
      </w:r>
      <w:r w:rsidR="00D8507F" w:rsidRPr="00B44F21">
        <w:t xml:space="preserve">the </w:t>
      </w:r>
      <w:r w:rsidR="00470658" w:rsidRPr="00B44F21">
        <w:t xml:space="preserve">safety and stability of the financial </w:t>
      </w:r>
      <w:r w:rsidR="004B19E1">
        <w:t xml:space="preserve">system </w:t>
      </w:r>
      <w:r w:rsidR="00FC1B6D">
        <w:t>so</w:t>
      </w:r>
      <w:r w:rsidR="00B44F21">
        <w:t xml:space="preserve"> that </w:t>
      </w:r>
      <w:r w:rsidR="004B19E1">
        <w:t>Australian</w:t>
      </w:r>
      <w:r w:rsidR="00FC1B6D">
        <w:t>s</w:t>
      </w:r>
      <w:r w:rsidR="000A0A01">
        <w:t xml:space="preserve"> can have confidence that their</w:t>
      </w:r>
      <w:r w:rsidR="004B19E1">
        <w:t xml:space="preserve"> </w:t>
      </w:r>
      <w:r w:rsidR="00B44F21">
        <w:t>financial interests are protected.</w:t>
      </w:r>
      <w:r w:rsidR="00D764EE">
        <w:t xml:space="preserve"> </w:t>
      </w:r>
    </w:p>
    <w:p w14:paraId="3B4A388D" w14:textId="079E8D56" w:rsidR="00762E42" w:rsidRPr="005378B1" w:rsidRDefault="00922404" w:rsidP="00B44F21">
      <w:r>
        <w:t>In fulfilling</w:t>
      </w:r>
      <w:r w:rsidR="00B44F21">
        <w:t xml:space="preserve"> its purpose, APRA uses</w:t>
      </w:r>
      <w:r w:rsidR="00AC1662" w:rsidRPr="00B44F21">
        <w:t xml:space="preserve"> </w:t>
      </w:r>
      <w:r w:rsidR="003C6509" w:rsidRPr="00B44F21">
        <w:t>a supervision-led approach</w:t>
      </w:r>
      <w:r w:rsidR="00762E42" w:rsidRPr="00B44F21">
        <w:t xml:space="preserve"> to</w:t>
      </w:r>
      <w:r w:rsidR="003C6509" w:rsidRPr="00B44F21">
        <w:t xml:space="preserve"> </w:t>
      </w:r>
      <w:r w:rsidR="00FC1B6D">
        <w:t>prudential regulation that is risk</w:t>
      </w:r>
      <w:r w:rsidR="002A71B0">
        <w:noBreakHyphen/>
      </w:r>
      <w:r w:rsidR="00FC1B6D">
        <w:t xml:space="preserve">based, proportionate, </w:t>
      </w:r>
      <w:r w:rsidR="00FC1B6D" w:rsidRPr="00CA32C1">
        <w:t xml:space="preserve">and adaptable </w:t>
      </w:r>
      <w:r w:rsidR="00CC7F64" w:rsidRPr="00336F58">
        <w:t>to</w:t>
      </w:r>
      <w:r w:rsidR="00FC1B6D" w:rsidRPr="00CA32C1">
        <w:t xml:space="preserve"> the financial system</w:t>
      </w:r>
      <w:r w:rsidR="00CC7F64" w:rsidRPr="00336F58">
        <w:t xml:space="preserve"> as it</w:t>
      </w:r>
      <w:r w:rsidR="00FC1B6D" w:rsidRPr="00CA32C1">
        <w:t xml:space="preserve"> </w:t>
      </w:r>
      <w:r w:rsidR="00001732" w:rsidRPr="00CA32C1">
        <w:t>e</w:t>
      </w:r>
      <w:r w:rsidR="00FC1B6D" w:rsidRPr="00CA32C1">
        <w:t>volves.</w:t>
      </w:r>
      <w:r w:rsidR="00FC1B6D">
        <w:t xml:space="preserve"> </w:t>
      </w:r>
      <w:r w:rsidR="00E77C78">
        <w:t xml:space="preserve">APRA is </w:t>
      </w:r>
      <w:r w:rsidR="003C6509" w:rsidRPr="00B44F21">
        <w:t>forward-looking</w:t>
      </w:r>
      <w:r w:rsidR="006C586D">
        <w:t xml:space="preserve"> </w:t>
      </w:r>
      <w:r w:rsidR="003C6509" w:rsidRPr="00B44F21">
        <w:t>and outcomes-focused –</w:t>
      </w:r>
      <w:r w:rsidR="000A0A01">
        <w:t xml:space="preserve"> </w:t>
      </w:r>
      <w:r w:rsidR="00001732">
        <w:t>identif</w:t>
      </w:r>
      <w:r w:rsidR="000A0A01">
        <w:t xml:space="preserve">ying </w:t>
      </w:r>
      <w:r w:rsidR="00001732">
        <w:t xml:space="preserve">prudential risks and taking proactive action </w:t>
      </w:r>
      <w:r w:rsidR="000A0A01">
        <w:t xml:space="preserve">to prevent </w:t>
      </w:r>
      <w:r w:rsidR="00001732">
        <w:t xml:space="preserve">harm </w:t>
      </w:r>
      <w:r w:rsidR="000A0A01">
        <w:t xml:space="preserve">before it can </w:t>
      </w:r>
      <w:r w:rsidR="00001732">
        <w:t xml:space="preserve">occur, </w:t>
      </w:r>
      <w:r w:rsidR="00AC1662" w:rsidRPr="00B44F21">
        <w:t>assisting</w:t>
      </w:r>
      <w:r w:rsidR="003C6509" w:rsidRPr="00B44F21">
        <w:t xml:space="preserve"> in minimising regulatory burden</w:t>
      </w:r>
      <w:r w:rsidR="0075608C" w:rsidRPr="00B44F21">
        <w:t>,</w:t>
      </w:r>
      <w:r w:rsidR="003C6509" w:rsidRPr="00B44F21">
        <w:t xml:space="preserve"> and facilitating competition and innovation</w:t>
      </w:r>
      <w:r w:rsidR="004B19E1">
        <w:t>.</w:t>
      </w:r>
      <w:r w:rsidR="00875CA9">
        <w:t xml:space="preserve"> </w:t>
      </w:r>
      <w:r w:rsidR="008D0172" w:rsidRPr="00B44F21">
        <w:t xml:space="preserve">While primarily a supervision-led regulator, APRA also uses enforcement to prevent and address serious prudential risk and to hold entities and individuals to account for breaches of their prudential or legislative obligations. </w:t>
      </w:r>
    </w:p>
    <w:p w14:paraId="6C3B26C9" w14:textId="0B6E6770" w:rsidR="00D5362E" w:rsidRPr="005378B1" w:rsidRDefault="00C857B3" w:rsidP="005378B1">
      <w:r>
        <w:t>APRA’s resolution function protect</w:t>
      </w:r>
      <w:r w:rsidR="00C2287E">
        <w:t>s</w:t>
      </w:r>
      <w:r>
        <w:t xml:space="preserve"> </w:t>
      </w:r>
      <w:r w:rsidR="000A0A01">
        <w:t>Australians</w:t>
      </w:r>
      <w:r>
        <w:t xml:space="preserve"> from financial loss and disruption by planning for and implementing prompt and effective responses t</w:t>
      </w:r>
      <w:r w:rsidR="00840347">
        <w:t xml:space="preserve">o </w:t>
      </w:r>
      <w:r w:rsidR="007A5784">
        <w:t xml:space="preserve">the failure of </w:t>
      </w:r>
      <w:r w:rsidR="00840347">
        <w:t xml:space="preserve">a </w:t>
      </w:r>
      <w:r>
        <w:t>regulated entit</w:t>
      </w:r>
      <w:r w:rsidR="00590918">
        <w:t>y</w:t>
      </w:r>
      <w:r>
        <w:t>.</w:t>
      </w:r>
      <w:r w:rsidR="00590918">
        <w:t xml:space="preserve"> </w:t>
      </w:r>
      <w:r w:rsidR="00EB4ED9">
        <w:t xml:space="preserve">The aim is to oversee an orderly entity-led exit or manage </w:t>
      </w:r>
      <w:r w:rsidR="00590918">
        <w:t>an</w:t>
      </w:r>
      <w:r w:rsidR="00EB4ED9">
        <w:t xml:space="preserve"> orderly resolution. This requires APRA to be operationally ready </w:t>
      </w:r>
      <w:r w:rsidR="006F58EF">
        <w:t xml:space="preserve">and </w:t>
      </w:r>
      <w:r w:rsidR="00590918">
        <w:t xml:space="preserve">to </w:t>
      </w:r>
      <w:r w:rsidR="006F58EF">
        <w:t>engage closely</w:t>
      </w:r>
      <w:r w:rsidR="00EB4ED9">
        <w:t xml:space="preserve"> with the other Council of Financial Regulator</w:t>
      </w:r>
      <w:r w:rsidR="00590918">
        <w:t>s</w:t>
      </w:r>
      <w:r w:rsidR="00EB4ED9">
        <w:t xml:space="preserve"> (CFR) </w:t>
      </w:r>
      <w:r w:rsidR="00EB4ED9">
        <w:lastRenderedPageBreak/>
        <w:t>agencies</w:t>
      </w:r>
      <w:r w:rsidR="00D73A92">
        <w:t xml:space="preserve"> </w:t>
      </w:r>
      <w:r w:rsidR="00590918">
        <w:t>–</w:t>
      </w:r>
      <w:r w:rsidR="00D73A92">
        <w:t xml:space="preserve"> </w:t>
      </w:r>
      <w:r w:rsidR="00706EDC" w:rsidRPr="005378B1">
        <w:t>the Australian Securities and Investments Commission (ASIC), the Reserve Bank of Australia (RBA</w:t>
      </w:r>
      <w:r w:rsidR="00706EDC">
        <w:t xml:space="preserve">) and </w:t>
      </w:r>
      <w:r w:rsidR="00706EDC" w:rsidRPr="005378B1">
        <w:t>Treasury</w:t>
      </w:r>
      <w:r w:rsidR="00D73A92">
        <w:t xml:space="preserve"> </w:t>
      </w:r>
      <w:r w:rsidR="006F58EF">
        <w:t>–</w:t>
      </w:r>
      <w:r w:rsidR="00D73A92">
        <w:t xml:space="preserve"> </w:t>
      </w:r>
      <w:r w:rsidR="00EB4ED9">
        <w:t>a</w:t>
      </w:r>
      <w:r w:rsidR="006F58EF">
        <w:t>s well as</w:t>
      </w:r>
      <w:r w:rsidR="00EB4ED9">
        <w:t xml:space="preserve"> </w:t>
      </w:r>
      <w:r w:rsidR="008A1F92">
        <w:t xml:space="preserve">with </w:t>
      </w:r>
      <w:r w:rsidR="00EB4ED9">
        <w:t xml:space="preserve">international peer regulators. </w:t>
      </w:r>
    </w:p>
    <w:p w14:paraId="46AEC4F7" w14:textId="68A0CC6B" w:rsidR="00157424" w:rsidRDefault="003C6509" w:rsidP="00EB4ED9">
      <w:r w:rsidRPr="005378B1">
        <w:t xml:space="preserve">The </w:t>
      </w:r>
      <w:r w:rsidR="00304B85">
        <w:t>size</w:t>
      </w:r>
      <w:r w:rsidR="00304B85" w:rsidRPr="005378B1">
        <w:t xml:space="preserve"> </w:t>
      </w:r>
      <w:r w:rsidRPr="005378B1">
        <w:t xml:space="preserve">and </w:t>
      </w:r>
      <w:r w:rsidR="00304B85">
        <w:t>complexity</w:t>
      </w:r>
      <w:r w:rsidR="00304B85" w:rsidRPr="005378B1">
        <w:t xml:space="preserve"> </w:t>
      </w:r>
      <w:r w:rsidRPr="005378B1">
        <w:t xml:space="preserve">of the Australian financial system is </w:t>
      </w:r>
      <w:r w:rsidR="006F58EF">
        <w:t xml:space="preserve">growing </w:t>
      </w:r>
      <w:r w:rsidRPr="005378B1">
        <w:t>rapidly</w:t>
      </w:r>
      <w:r w:rsidR="006F58EF">
        <w:t xml:space="preserve"> </w:t>
      </w:r>
      <w:r w:rsidRPr="005378B1">
        <w:t>and</w:t>
      </w:r>
      <w:r w:rsidR="00797BC9">
        <w:t xml:space="preserve"> </w:t>
      </w:r>
      <w:r w:rsidRPr="005378B1">
        <w:t xml:space="preserve">risks to APRA, financial </w:t>
      </w:r>
      <w:r w:rsidR="000864C9">
        <w:t>entities</w:t>
      </w:r>
      <w:r w:rsidRPr="005378B1">
        <w:t xml:space="preserve">, the financial system and the Australian community can emerge quickly. Each year, in setting its strategic priorities, APRA takes into consideration changes in its operating environment and the </w:t>
      </w:r>
      <w:r w:rsidR="008E16F3" w:rsidDel="00A224DA">
        <w:t>g</w:t>
      </w:r>
      <w:r w:rsidR="008E16F3" w:rsidRPr="005378B1">
        <w:t xml:space="preserve">overnment's </w:t>
      </w:r>
      <w:r w:rsidRPr="005378B1">
        <w:t xml:space="preserve">policy priorities to ensure it continues to effectively deliver on its statutory </w:t>
      </w:r>
      <w:r w:rsidR="0069207E">
        <w:t>responsibili</w:t>
      </w:r>
      <w:r w:rsidR="004D35DA">
        <w:t>ties</w:t>
      </w:r>
      <w:r w:rsidR="0069207E" w:rsidRPr="005378B1">
        <w:t xml:space="preserve"> </w:t>
      </w:r>
      <w:r w:rsidRPr="005378B1">
        <w:t xml:space="preserve">and the </w:t>
      </w:r>
      <w:r w:rsidR="002C251C">
        <w:t>G</w:t>
      </w:r>
      <w:r w:rsidR="00066105">
        <w:t xml:space="preserve">overnment’s </w:t>
      </w:r>
      <w:r w:rsidRPr="005378B1">
        <w:t>Statement of Expectations</w:t>
      </w:r>
      <w:r w:rsidR="00F774B8">
        <w:t xml:space="preserve"> </w:t>
      </w:r>
      <w:r w:rsidRPr="005378B1">
        <w:t>(</w:t>
      </w:r>
      <w:r w:rsidR="006C1F93">
        <w:t xml:space="preserve">with </w:t>
      </w:r>
      <w:r w:rsidR="00947D71">
        <w:t xml:space="preserve">the most recent released </w:t>
      </w:r>
      <w:r w:rsidRPr="005378B1">
        <w:t>in June 20</w:t>
      </w:r>
      <w:r w:rsidR="00572B58" w:rsidRPr="005378B1">
        <w:t>23</w:t>
      </w:r>
      <w:r w:rsidR="00762E42" w:rsidRPr="005378B1">
        <w:t>).</w:t>
      </w:r>
      <w:r w:rsidR="00CE645F" w:rsidRPr="005378B1">
        <w:rPr>
          <w:rStyle w:val="FootnoteReference"/>
          <w:vertAlign w:val="superscript"/>
        </w:rPr>
        <w:footnoteReference w:id="3"/>
      </w:r>
      <w:r w:rsidR="00CE645F" w:rsidRPr="005378B1">
        <w:t xml:space="preserve"> </w:t>
      </w:r>
      <w:r w:rsidRPr="005378B1">
        <w:t xml:space="preserve"> </w:t>
      </w:r>
    </w:p>
    <w:p w14:paraId="7BECB04B" w14:textId="45321020" w:rsidR="00D50137" w:rsidRDefault="003C6509" w:rsidP="002C2489">
      <w:r w:rsidRPr="005378B1">
        <w:t xml:space="preserve">APRA’s strategic priorities are outlined in its rolling four-year </w:t>
      </w:r>
      <w:r w:rsidR="00874346">
        <w:t>c</w:t>
      </w:r>
      <w:r w:rsidR="00874346" w:rsidRPr="005378B1">
        <w:t xml:space="preserve">orporate </w:t>
      </w:r>
      <w:r w:rsidR="00874346">
        <w:t>p</w:t>
      </w:r>
      <w:r w:rsidR="00874346" w:rsidRPr="005378B1">
        <w:t xml:space="preserve">lan </w:t>
      </w:r>
      <w:r w:rsidRPr="005378B1">
        <w:t xml:space="preserve">published annually. </w:t>
      </w:r>
      <w:r w:rsidR="00454063">
        <w:t>The</w:t>
      </w:r>
      <w:r w:rsidR="00454063" w:rsidRPr="005378B1">
        <w:t xml:space="preserve"> </w:t>
      </w:r>
      <w:r w:rsidR="00C03B89" w:rsidRPr="005378B1">
        <w:t>202</w:t>
      </w:r>
      <w:r w:rsidR="00C03B89">
        <w:t>4</w:t>
      </w:r>
      <w:r w:rsidR="0052638C" w:rsidRPr="005378B1">
        <w:t>–</w:t>
      </w:r>
      <w:r w:rsidR="00C03B89" w:rsidRPr="005378B1">
        <w:t>2</w:t>
      </w:r>
      <w:r w:rsidR="00C03B89">
        <w:t>5</w:t>
      </w:r>
      <w:r w:rsidR="005D15B7">
        <w:t xml:space="preserve"> </w:t>
      </w:r>
      <w:r w:rsidRPr="005378B1">
        <w:t xml:space="preserve">Corporate Plan </w:t>
      </w:r>
      <w:r w:rsidR="006E49B1">
        <w:t>retains a key focus on</w:t>
      </w:r>
      <w:r w:rsidRPr="005378B1">
        <w:t xml:space="preserve"> </w:t>
      </w:r>
      <w:r w:rsidR="005E38DA" w:rsidRPr="005378B1">
        <w:t xml:space="preserve">maintaining financial </w:t>
      </w:r>
      <w:r w:rsidR="006E49B1">
        <w:t xml:space="preserve">and operational </w:t>
      </w:r>
      <w:r w:rsidR="005E38DA" w:rsidRPr="005378B1">
        <w:t>resilience</w:t>
      </w:r>
      <w:r w:rsidR="00F46D1B">
        <w:t>,</w:t>
      </w:r>
      <w:r w:rsidR="005E38DA" w:rsidRPr="005378B1">
        <w:t xml:space="preserve"> improving outcomes for superannuation members</w:t>
      </w:r>
      <w:r w:rsidR="00F46D1B">
        <w:t>,</w:t>
      </w:r>
      <w:r w:rsidR="005E38DA" w:rsidRPr="005378B1">
        <w:t xml:space="preserve"> transforming governance, culture, remuneration and accountability across all regulated </w:t>
      </w:r>
      <w:r w:rsidR="00AF20E0">
        <w:t>entities</w:t>
      </w:r>
      <w:r w:rsidR="00F46D1B">
        <w:t>,</w:t>
      </w:r>
      <w:r w:rsidR="005E38DA" w:rsidRPr="005378B1">
        <w:t xml:space="preserve"> and improving cyber resilience across the financial system.</w:t>
      </w:r>
      <w:r w:rsidR="007B1E21" w:rsidRPr="005378B1">
        <w:rPr>
          <w:rStyle w:val="FootnoteReference"/>
          <w:vertAlign w:val="superscript"/>
        </w:rPr>
        <w:footnoteReference w:id="4"/>
      </w:r>
      <w:r w:rsidR="005E38DA" w:rsidRPr="005378B1">
        <w:t xml:space="preserve"> </w:t>
      </w:r>
      <w:r w:rsidR="00E60EEC">
        <w:t xml:space="preserve">Further, </w:t>
      </w:r>
      <w:r w:rsidR="00F765D5">
        <w:t xml:space="preserve">APRA’s strategic </w:t>
      </w:r>
      <w:r w:rsidR="00B77AC9">
        <w:t>objectives</w:t>
      </w:r>
      <w:r w:rsidR="00F765D5">
        <w:t xml:space="preserve"> remain anchored </w:t>
      </w:r>
      <w:r w:rsidR="00DF6A33">
        <w:t>in</w:t>
      </w:r>
      <w:r w:rsidRPr="005378B1">
        <w:t xml:space="preserve"> delivering </w:t>
      </w:r>
      <w:r w:rsidR="00A07CC3">
        <w:t>three</w:t>
      </w:r>
      <w:r w:rsidRPr="005378B1">
        <w:t xml:space="preserve"> key outcomes</w:t>
      </w:r>
      <w:r w:rsidR="00A07CC3">
        <w:t>:</w:t>
      </w:r>
      <w:r w:rsidR="002405FA">
        <w:t xml:space="preserve"> the safety and stability of regulated entities;</w:t>
      </w:r>
      <w:r w:rsidRPr="005378B1">
        <w:t xml:space="preserve"> </w:t>
      </w:r>
      <w:r w:rsidR="008345BF">
        <w:t xml:space="preserve">a stable </w:t>
      </w:r>
      <w:r w:rsidRPr="005378B1">
        <w:t xml:space="preserve">financial system; and </w:t>
      </w:r>
      <w:r w:rsidR="00F01604">
        <w:t xml:space="preserve">a financial </w:t>
      </w:r>
      <w:r w:rsidR="005D15B7">
        <w:t xml:space="preserve">system enabling </w:t>
      </w:r>
      <w:r w:rsidRPr="005378B1">
        <w:t xml:space="preserve">good financial outcomes. </w:t>
      </w:r>
      <w:bookmarkStart w:id="19" w:name="_Hlk132105663"/>
      <w:r w:rsidRPr="005378B1">
        <w:t>APRA works closely with other regulatory agencies</w:t>
      </w:r>
      <w:r w:rsidR="000A47C4">
        <w:t>, including as a member of the CFR,</w:t>
      </w:r>
      <w:r w:rsidRPr="005378B1">
        <w:t xml:space="preserve"> to achieve its purpose and strategic priorities</w:t>
      </w:r>
      <w:r w:rsidR="008406B3">
        <w:t>.</w:t>
      </w:r>
      <w:r w:rsidRPr="005378B1">
        <w:t xml:space="preserve"> </w:t>
      </w:r>
    </w:p>
    <w:p w14:paraId="61716B5A" w14:textId="0BF4C36E" w:rsidR="00FC24C0" w:rsidRDefault="00FC24C0" w:rsidP="00FC24C0">
      <w:r w:rsidRPr="005378B1">
        <w:t xml:space="preserve">APRA’s strategic priorities and activities will be reviewed as part of setting </w:t>
      </w:r>
      <w:r>
        <w:t>the</w:t>
      </w:r>
      <w:r w:rsidRPr="005378B1">
        <w:t xml:space="preserve"> 202</w:t>
      </w:r>
      <w:r>
        <w:t>5</w:t>
      </w:r>
      <w:bookmarkStart w:id="20" w:name="_Hlk192501660"/>
      <w:r w:rsidR="003D79D8" w:rsidRPr="005378B1">
        <w:t>–</w:t>
      </w:r>
      <w:bookmarkEnd w:id="20"/>
      <w:r w:rsidRPr="005378B1">
        <w:t>2</w:t>
      </w:r>
      <w:r>
        <w:t>6</w:t>
      </w:r>
      <w:r w:rsidRPr="005378B1">
        <w:t xml:space="preserve"> Corporate Plan. </w:t>
      </w:r>
    </w:p>
    <w:bookmarkEnd w:id="19"/>
    <w:p w14:paraId="2A735901" w14:textId="0E0FC3A0" w:rsidR="00762E42" w:rsidRPr="005378B1" w:rsidRDefault="003C6509" w:rsidP="005378B1">
      <w:r w:rsidRPr="005378B1">
        <w:t xml:space="preserve">Some of APRA’s activities are not funded by levies. Rather, the costs are recovered by direct user charges or through direct </w:t>
      </w:r>
      <w:r w:rsidR="00136C1F">
        <w:t>g</w:t>
      </w:r>
      <w:r w:rsidR="00136C1F" w:rsidRPr="005378B1">
        <w:t xml:space="preserve">overnment </w:t>
      </w:r>
      <w:r w:rsidRPr="005378B1">
        <w:t>funding. The cost of the following activities will not be recovered through the levies:</w:t>
      </w:r>
    </w:p>
    <w:p w14:paraId="262A4FBC" w14:textId="5F5315CC" w:rsidR="00762E42" w:rsidRPr="005378B1" w:rsidRDefault="003C6509" w:rsidP="005378B1">
      <w:pPr>
        <w:pStyle w:val="Bullet"/>
        <w:numPr>
          <w:ilvl w:val="0"/>
          <w:numId w:val="1"/>
        </w:numPr>
        <w:tabs>
          <w:tab w:val="clear" w:pos="720"/>
        </w:tabs>
        <w:spacing w:before="0" w:after="120" w:line="240" w:lineRule="auto"/>
      </w:pPr>
      <w:r w:rsidRPr="005378B1">
        <w:t xml:space="preserve">accreditation of authorised deposit-taking institutions (ADIs) with sophisticated risk management systems that are adopting ‘advanced’ approaches for determining capital adequacy permitted under the Basel Framework, and ongoing specialised supervision of accredited </w:t>
      </w:r>
      <w:proofErr w:type="gramStart"/>
      <w:r w:rsidRPr="005378B1">
        <w:t>ADIs</w:t>
      </w:r>
      <w:r w:rsidR="00A90740">
        <w:t>;</w:t>
      </w:r>
      <w:proofErr w:type="gramEnd"/>
    </w:p>
    <w:p w14:paraId="31B0A4AF" w14:textId="052B3045" w:rsidR="00762E42" w:rsidRPr="005378B1" w:rsidRDefault="003C6509" w:rsidP="005378B1">
      <w:pPr>
        <w:pStyle w:val="Bullet"/>
        <w:numPr>
          <w:ilvl w:val="0"/>
          <w:numId w:val="1"/>
        </w:numPr>
        <w:tabs>
          <w:tab w:val="clear" w:pos="720"/>
        </w:tabs>
        <w:spacing w:before="0" w:after="120" w:line="240" w:lineRule="auto"/>
        <w:ind w:left="284" w:hanging="284"/>
      </w:pPr>
      <w:r w:rsidRPr="005378B1">
        <w:t>licencing fees</w:t>
      </w:r>
      <w:r w:rsidR="00A90740">
        <w:t>; and</w:t>
      </w:r>
    </w:p>
    <w:p w14:paraId="60AAA6D0" w14:textId="063954D6" w:rsidR="00762E42" w:rsidRPr="005378B1" w:rsidRDefault="003C6509" w:rsidP="005378B1">
      <w:pPr>
        <w:pStyle w:val="Bullet"/>
        <w:numPr>
          <w:ilvl w:val="0"/>
          <w:numId w:val="1"/>
        </w:numPr>
        <w:tabs>
          <w:tab w:val="clear" w:pos="720"/>
        </w:tabs>
        <w:spacing w:before="0" w:after="120" w:line="240" w:lineRule="auto"/>
        <w:ind w:left="284" w:hanging="284"/>
      </w:pPr>
      <w:r w:rsidRPr="005378B1">
        <w:t>the provision of statistical reports to the RBA</w:t>
      </w:r>
      <w:r w:rsidR="00E56803" w:rsidRPr="005378B1">
        <w:t xml:space="preserve"> and</w:t>
      </w:r>
      <w:r w:rsidRPr="005378B1">
        <w:t xml:space="preserve"> the Australian Bureau of Statistics (ABS)</w:t>
      </w:r>
      <w:r w:rsidR="002B7F39">
        <w:t>.</w:t>
      </w:r>
    </w:p>
    <w:p w14:paraId="0DCE6038" w14:textId="1CB5258C" w:rsidR="00762E42" w:rsidRPr="005378B1" w:rsidRDefault="003C6509" w:rsidP="005378B1">
      <w:pPr>
        <w:pStyle w:val="Heading1"/>
        <w:keepLines/>
        <w:rPr>
          <w:color w:val="auto"/>
        </w:rPr>
      </w:pPr>
      <w:bookmarkStart w:id="21" w:name="_Toc1575298"/>
      <w:bookmarkStart w:id="22" w:name="_Toc1577982"/>
      <w:bookmarkStart w:id="23" w:name="_Toc1578901"/>
      <w:bookmarkStart w:id="24" w:name="_Toc4662135"/>
      <w:bookmarkStart w:id="25" w:name="_Toc98841572"/>
      <w:bookmarkStart w:id="26" w:name="_Toc192616735"/>
      <w:r w:rsidRPr="005378B1">
        <w:rPr>
          <w:color w:val="auto"/>
        </w:rPr>
        <w:lastRenderedPageBreak/>
        <w:t xml:space="preserve">Summary of levies funding requirements for </w:t>
      </w:r>
      <w:bookmarkEnd w:id="21"/>
      <w:bookmarkEnd w:id="22"/>
      <w:bookmarkEnd w:id="23"/>
      <w:bookmarkEnd w:id="24"/>
      <w:bookmarkEnd w:id="25"/>
      <w:r w:rsidR="00762E42" w:rsidRPr="005378B1">
        <w:rPr>
          <w:color w:val="auto"/>
        </w:rPr>
        <w:t>202</w:t>
      </w:r>
      <w:r w:rsidR="005C07F1" w:rsidRPr="005378B1">
        <w:rPr>
          <w:color w:val="auto"/>
        </w:rPr>
        <w:t>5</w:t>
      </w:r>
      <w:r w:rsidR="00590918" w:rsidRPr="004E24F8">
        <w:rPr>
          <w:color w:val="000000" w:themeColor="text1"/>
        </w:rPr>
        <w:t>–</w:t>
      </w:r>
      <w:r w:rsidR="00762E42" w:rsidRPr="005378B1">
        <w:rPr>
          <w:color w:val="auto"/>
        </w:rPr>
        <w:t>2</w:t>
      </w:r>
      <w:r w:rsidR="005C07F1" w:rsidRPr="005378B1">
        <w:rPr>
          <w:color w:val="auto"/>
        </w:rPr>
        <w:t>6</w:t>
      </w:r>
      <w:bookmarkEnd w:id="26"/>
    </w:p>
    <w:p w14:paraId="414DF1FA" w14:textId="4A85A605" w:rsidR="00762E42" w:rsidRPr="005378B1" w:rsidRDefault="003C6509" w:rsidP="005378B1">
      <w:pPr>
        <w:keepNext/>
        <w:keepLines/>
      </w:pPr>
      <w:r w:rsidRPr="005378B1">
        <w:t xml:space="preserve">The total funding required under the levies in </w:t>
      </w:r>
      <w:r w:rsidR="00E20842" w:rsidRPr="005378B1">
        <w:t>202</w:t>
      </w:r>
      <w:r w:rsidR="005C07F1" w:rsidRPr="005378B1">
        <w:t>5</w:t>
      </w:r>
      <w:bookmarkStart w:id="27" w:name="_Hlk192239768"/>
      <w:r w:rsidR="003D79D8" w:rsidRPr="005378B1">
        <w:t>–</w:t>
      </w:r>
      <w:bookmarkEnd w:id="27"/>
      <w:r w:rsidR="00A35B4A" w:rsidRPr="005378B1">
        <w:t>2</w:t>
      </w:r>
      <w:r w:rsidR="005C07F1" w:rsidRPr="005378B1">
        <w:t>6</w:t>
      </w:r>
      <w:r w:rsidR="000C6949" w:rsidRPr="005378B1">
        <w:t>,</w:t>
      </w:r>
      <w:r w:rsidR="00A35B4A" w:rsidRPr="005378B1">
        <w:t xml:space="preserve"> </w:t>
      </w:r>
      <w:r w:rsidRPr="005378B1">
        <w:t xml:space="preserve">for all relevant </w:t>
      </w:r>
      <w:r w:rsidR="00182EE4">
        <w:t>Commonwealth</w:t>
      </w:r>
      <w:r w:rsidR="00182EE4" w:rsidRPr="005378B1">
        <w:t xml:space="preserve"> </w:t>
      </w:r>
      <w:r w:rsidRPr="005378B1">
        <w:t>agencies</w:t>
      </w:r>
      <w:r w:rsidR="000C6949" w:rsidRPr="005378B1">
        <w:t>,</w:t>
      </w:r>
      <w:r w:rsidRPr="005378B1">
        <w:t xml:space="preserve"> is $</w:t>
      </w:r>
      <w:r w:rsidR="00A65102">
        <w:t>282</w:t>
      </w:r>
      <w:r w:rsidR="002F1CDF">
        <w:t>.6</w:t>
      </w:r>
      <w:r w:rsidR="003A31E5" w:rsidRPr="005378B1">
        <w:t xml:space="preserve"> </w:t>
      </w:r>
      <w:r w:rsidRPr="005378B1">
        <w:t>million. This is a $</w:t>
      </w:r>
      <w:r w:rsidR="00524F8F">
        <w:t>11.4</w:t>
      </w:r>
      <w:r w:rsidRPr="005378B1">
        <w:t xml:space="preserve"> million (</w:t>
      </w:r>
      <w:r w:rsidR="00524F8F">
        <w:t>3</w:t>
      </w:r>
      <w:r w:rsidR="003A31E5">
        <w:t>.9</w:t>
      </w:r>
      <w:r w:rsidR="007B51B9" w:rsidRPr="005378B1">
        <w:t xml:space="preserve"> </w:t>
      </w:r>
      <w:r w:rsidRPr="005378B1">
        <w:t xml:space="preserve">per cent) </w:t>
      </w:r>
      <w:r w:rsidR="003A31E5">
        <w:t>reduction</w:t>
      </w:r>
      <w:r w:rsidR="003A31E5" w:rsidRPr="005378B1">
        <w:t xml:space="preserve"> </w:t>
      </w:r>
      <w:r w:rsidRPr="005378B1">
        <w:t xml:space="preserve">from the </w:t>
      </w:r>
      <w:r w:rsidR="00E20842" w:rsidRPr="005378B1">
        <w:t>202</w:t>
      </w:r>
      <w:r w:rsidR="005C07F1" w:rsidRPr="005378B1">
        <w:t>4</w:t>
      </w:r>
      <w:r w:rsidR="003D79D8" w:rsidRPr="005378B1">
        <w:t>–</w:t>
      </w:r>
      <w:r w:rsidR="00E20842" w:rsidRPr="005378B1">
        <w:t>2</w:t>
      </w:r>
      <w:r w:rsidR="003A31E5">
        <w:t>5</w:t>
      </w:r>
      <w:r w:rsidR="00762E42" w:rsidRPr="005378B1">
        <w:t xml:space="preserve"> </w:t>
      </w:r>
      <w:r w:rsidRPr="005378B1">
        <w:t xml:space="preserve">requirement. </w:t>
      </w:r>
      <w:bookmarkStart w:id="28" w:name="_Hlk132188446"/>
      <w:r w:rsidRPr="005378B1">
        <w:t xml:space="preserve">The </w:t>
      </w:r>
      <w:r w:rsidR="00516793">
        <w:t>reduction</w:t>
      </w:r>
      <w:r w:rsidR="00516793" w:rsidRPr="005378B1">
        <w:t xml:space="preserve"> </w:t>
      </w:r>
      <w:r w:rsidRPr="005378B1">
        <w:t xml:space="preserve">is </w:t>
      </w:r>
      <w:r w:rsidR="00487951">
        <w:t>largely</w:t>
      </w:r>
      <w:r w:rsidRPr="005378B1">
        <w:t xml:space="preserve"> attributable to </w:t>
      </w:r>
      <w:r w:rsidR="00B72CA6" w:rsidRPr="005378B1">
        <w:t xml:space="preserve">a </w:t>
      </w:r>
      <w:r w:rsidR="009F0DF1">
        <w:t>$3.1 million</w:t>
      </w:r>
      <w:r w:rsidR="00B72CA6" w:rsidRPr="005378B1">
        <w:t xml:space="preserve"> </w:t>
      </w:r>
      <w:r w:rsidR="00C967C6">
        <w:t>reduction</w:t>
      </w:r>
      <w:r w:rsidR="00C967C6" w:rsidRPr="005378B1">
        <w:t xml:space="preserve"> </w:t>
      </w:r>
      <w:r w:rsidRPr="005378B1">
        <w:t>in APRA’s levies (see next section for details)</w:t>
      </w:r>
      <w:r w:rsidR="00B3563B" w:rsidRPr="005378B1">
        <w:t xml:space="preserve">, </w:t>
      </w:r>
      <w:r w:rsidR="00487951">
        <w:t xml:space="preserve">and </w:t>
      </w:r>
      <w:r w:rsidR="004F1D01">
        <w:t xml:space="preserve">a </w:t>
      </w:r>
      <w:r w:rsidR="00C03296">
        <w:t>$</w:t>
      </w:r>
      <w:r w:rsidR="0079231B">
        <w:t>8.4</w:t>
      </w:r>
      <w:r w:rsidR="008E1C12">
        <w:t> million</w:t>
      </w:r>
      <w:r w:rsidR="00B132FA">
        <w:t xml:space="preserve"> reduction</w:t>
      </w:r>
      <w:r w:rsidR="00C03296">
        <w:t xml:space="preserve"> </w:t>
      </w:r>
      <w:r w:rsidR="00216F31">
        <w:t>in the ATO component</w:t>
      </w:r>
      <w:r w:rsidR="00E50DB2">
        <w:t>.</w:t>
      </w:r>
      <w:r w:rsidR="002C6CC3" w:rsidRPr="005378B1">
        <w:rPr>
          <w:rStyle w:val="FootnoteReference"/>
          <w:sz w:val="24"/>
          <w:szCs w:val="28"/>
          <w:vertAlign w:val="superscript"/>
        </w:rPr>
        <w:footnoteReference w:id="5"/>
      </w:r>
      <w:bookmarkEnd w:id="28"/>
    </w:p>
    <w:p w14:paraId="6648CF0C" w14:textId="77777777" w:rsidR="00762E42" w:rsidRPr="005378B1" w:rsidRDefault="003C6509" w:rsidP="005378B1">
      <w:pPr>
        <w:keepNext/>
        <w:keepLines/>
      </w:pPr>
      <w:r w:rsidRPr="005378B1">
        <w:t>The components of the levies are outlined in Table 1.</w:t>
      </w:r>
    </w:p>
    <w:p w14:paraId="123BE74A" w14:textId="69D00F9C" w:rsidR="00762E42" w:rsidRPr="005378B1" w:rsidRDefault="003C6509" w:rsidP="005378B1">
      <w:pPr>
        <w:pStyle w:val="TableMainHeading"/>
        <w:rPr>
          <w:color w:val="auto"/>
        </w:rPr>
      </w:pPr>
      <w:bookmarkStart w:id="29" w:name="_Toc104212338"/>
      <w:bookmarkStart w:id="30" w:name="_Toc192616562"/>
      <w:bookmarkStart w:id="31" w:name="_Toc192616736"/>
      <w:r w:rsidRPr="005378B1">
        <w:rPr>
          <w:color w:val="auto"/>
        </w:rPr>
        <w:t>Table 1: Total levies funding required</w:t>
      </w:r>
      <w:bookmarkEnd w:id="29"/>
      <w:bookmarkEnd w:id="30"/>
      <w:bookmarkEnd w:id="3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4206"/>
        <w:gridCol w:w="1212"/>
        <w:gridCol w:w="1214"/>
        <w:gridCol w:w="1214"/>
        <w:gridCol w:w="1214"/>
      </w:tblGrid>
      <w:tr w:rsidR="005378B1" w:rsidRPr="00097B21" w14:paraId="7C84DCA1" w14:textId="77777777" w:rsidTr="00FA0D53">
        <w:trPr>
          <w:cantSplit/>
          <w:trHeight w:val="284"/>
          <w:tblHeader/>
        </w:trPr>
        <w:tc>
          <w:tcPr>
            <w:tcW w:w="2321" w:type="pct"/>
            <w:shd w:val="clear" w:color="auto" w:fill="EEEEEE" w:themeFill="background2"/>
            <w:vAlign w:val="center"/>
            <w:hideMark/>
          </w:tcPr>
          <w:p w14:paraId="34E878F3" w14:textId="079138E2" w:rsidR="00762E42" w:rsidRPr="00097B21" w:rsidRDefault="004B7993" w:rsidP="005378B1">
            <w:pPr>
              <w:keepNext/>
              <w:keepLines/>
              <w:spacing w:after="0"/>
              <w:rPr>
                <w:rFonts w:asciiTheme="minorHAnsi" w:hAnsiTheme="minorHAnsi" w:cstheme="minorHAnsi"/>
                <w:b/>
                <w:sz w:val="16"/>
                <w:szCs w:val="18"/>
              </w:rPr>
            </w:pPr>
            <w:r>
              <w:rPr>
                <w:rFonts w:asciiTheme="minorHAnsi" w:hAnsiTheme="minorHAnsi" w:cstheme="minorHAnsi"/>
                <w:b/>
                <w:sz w:val="16"/>
                <w:szCs w:val="18"/>
              </w:rPr>
              <w:t>Levies funding summary</w:t>
            </w:r>
          </w:p>
        </w:tc>
        <w:tc>
          <w:tcPr>
            <w:tcW w:w="669" w:type="pct"/>
            <w:shd w:val="clear" w:color="auto" w:fill="EEEEEE" w:themeFill="background2"/>
            <w:vAlign w:val="center"/>
            <w:hideMark/>
          </w:tcPr>
          <w:p w14:paraId="54637DEB" w14:textId="113A52A3" w:rsidR="003D04CA" w:rsidRDefault="003D04CA" w:rsidP="00097B21">
            <w:pPr>
              <w:pStyle w:val="TableTextIndented"/>
              <w:ind w:left="75"/>
              <w:jc w:val="center"/>
              <w:rPr>
                <w:rFonts w:asciiTheme="minorHAnsi" w:hAnsiTheme="minorHAnsi" w:cstheme="minorHAnsi"/>
                <w:b/>
                <w:color w:val="auto"/>
                <w:sz w:val="16"/>
                <w:szCs w:val="18"/>
              </w:rPr>
            </w:pPr>
            <w:r w:rsidRPr="00097B21">
              <w:rPr>
                <w:rFonts w:asciiTheme="minorHAnsi" w:hAnsiTheme="minorHAnsi" w:cstheme="minorHAnsi"/>
                <w:b/>
                <w:color w:val="auto"/>
                <w:sz w:val="16"/>
                <w:szCs w:val="18"/>
              </w:rPr>
              <w:t>2024-25</w:t>
            </w:r>
          </w:p>
          <w:p w14:paraId="7EA4CCF7" w14:textId="77777777" w:rsidR="00762E42" w:rsidRDefault="003C6509" w:rsidP="00097B21">
            <w:pPr>
              <w:pStyle w:val="TableTextIndented"/>
              <w:ind w:left="75"/>
              <w:jc w:val="center"/>
              <w:rPr>
                <w:rFonts w:asciiTheme="minorHAnsi" w:hAnsiTheme="minorHAnsi" w:cstheme="minorHAnsi"/>
                <w:b/>
                <w:color w:val="auto"/>
                <w:sz w:val="16"/>
                <w:szCs w:val="18"/>
              </w:rPr>
            </w:pPr>
            <w:r w:rsidRPr="00097B21">
              <w:rPr>
                <w:rFonts w:asciiTheme="minorHAnsi" w:hAnsiTheme="minorHAnsi" w:cstheme="minorHAnsi"/>
                <w:b/>
                <w:color w:val="auto"/>
                <w:sz w:val="16"/>
                <w:szCs w:val="18"/>
              </w:rPr>
              <w:t>Budget</w:t>
            </w:r>
          </w:p>
          <w:p w14:paraId="5574DB37" w14:textId="6A4E54D9" w:rsidR="00E51D95" w:rsidRPr="00097B21" w:rsidRDefault="00E51D95" w:rsidP="00097B21">
            <w:pPr>
              <w:pStyle w:val="TableTextIndented"/>
              <w:ind w:left="75"/>
              <w:jc w:val="center"/>
              <w:rPr>
                <w:rFonts w:asciiTheme="minorHAnsi" w:hAnsiTheme="minorHAnsi" w:cstheme="minorHAnsi"/>
                <w:b/>
                <w:color w:val="auto"/>
                <w:sz w:val="16"/>
                <w:szCs w:val="18"/>
              </w:rPr>
            </w:pPr>
            <w:r w:rsidRPr="00097B21">
              <w:rPr>
                <w:rFonts w:asciiTheme="minorHAnsi" w:hAnsiTheme="minorHAnsi" w:cstheme="minorHAnsi"/>
                <w:b/>
                <w:color w:val="auto"/>
                <w:sz w:val="16"/>
                <w:szCs w:val="18"/>
              </w:rPr>
              <w:t>($m)</w:t>
            </w:r>
          </w:p>
        </w:tc>
        <w:tc>
          <w:tcPr>
            <w:tcW w:w="670" w:type="pct"/>
            <w:shd w:val="clear" w:color="auto" w:fill="EEEEEE" w:themeFill="background2"/>
            <w:vAlign w:val="center"/>
            <w:hideMark/>
          </w:tcPr>
          <w:p w14:paraId="680AA303" w14:textId="4C2C8E6B" w:rsidR="003D04CA" w:rsidRDefault="003D04CA" w:rsidP="00097B21">
            <w:pPr>
              <w:pStyle w:val="TableTextIndented"/>
              <w:ind w:left="0"/>
              <w:jc w:val="center"/>
              <w:rPr>
                <w:rFonts w:asciiTheme="minorHAnsi" w:hAnsiTheme="minorHAnsi" w:cstheme="minorHAnsi"/>
                <w:b/>
                <w:color w:val="auto"/>
                <w:sz w:val="16"/>
                <w:szCs w:val="18"/>
              </w:rPr>
            </w:pPr>
            <w:r w:rsidRPr="00097B21">
              <w:rPr>
                <w:rFonts w:asciiTheme="minorHAnsi" w:hAnsiTheme="minorHAnsi" w:cstheme="minorHAnsi"/>
                <w:b/>
                <w:color w:val="auto"/>
                <w:sz w:val="16"/>
                <w:szCs w:val="18"/>
              </w:rPr>
              <w:t>2025-26</w:t>
            </w:r>
          </w:p>
          <w:p w14:paraId="6CF3DC52" w14:textId="77777777" w:rsidR="00762E42" w:rsidRDefault="003C6509" w:rsidP="00097B21">
            <w:pPr>
              <w:pStyle w:val="TableTextIndented"/>
              <w:ind w:left="0"/>
              <w:jc w:val="center"/>
              <w:rPr>
                <w:rFonts w:asciiTheme="minorHAnsi" w:hAnsiTheme="minorHAnsi" w:cstheme="minorHAnsi"/>
                <w:b/>
                <w:color w:val="auto"/>
                <w:sz w:val="16"/>
                <w:szCs w:val="18"/>
              </w:rPr>
            </w:pPr>
            <w:r w:rsidRPr="00097B21">
              <w:rPr>
                <w:rFonts w:asciiTheme="minorHAnsi" w:hAnsiTheme="minorHAnsi" w:cstheme="minorHAnsi"/>
                <w:b/>
                <w:color w:val="auto"/>
                <w:sz w:val="16"/>
                <w:szCs w:val="18"/>
              </w:rPr>
              <w:t>Budget</w:t>
            </w:r>
          </w:p>
          <w:p w14:paraId="7F0ABE1E" w14:textId="715295A1" w:rsidR="00E51D95" w:rsidRPr="00097B21" w:rsidRDefault="00E51D95" w:rsidP="00097B21">
            <w:pPr>
              <w:pStyle w:val="TableTextIndented"/>
              <w:ind w:left="0"/>
              <w:jc w:val="center"/>
              <w:rPr>
                <w:rFonts w:asciiTheme="minorHAnsi" w:hAnsiTheme="minorHAnsi" w:cstheme="minorHAnsi"/>
                <w:b/>
                <w:color w:val="auto"/>
                <w:sz w:val="16"/>
                <w:szCs w:val="18"/>
              </w:rPr>
            </w:pPr>
            <w:r w:rsidRPr="00097B21">
              <w:rPr>
                <w:rFonts w:asciiTheme="minorHAnsi" w:hAnsiTheme="minorHAnsi" w:cstheme="minorHAnsi"/>
                <w:b/>
                <w:color w:val="auto"/>
                <w:sz w:val="16"/>
                <w:szCs w:val="18"/>
              </w:rPr>
              <w:t>($m)</w:t>
            </w:r>
          </w:p>
        </w:tc>
        <w:tc>
          <w:tcPr>
            <w:tcW w:w="670" w:type="pct"/>
            <w:shd w:val="clear" w:color="auto" w:fill="EEEEEE" w:themeFill="background2"/>
            <w:vAlign w:val="center"/>
            <w:hideMark/>
          </w:tcPr>
          <w:p w14:paraId="57A91119" w14:textId="77777777" w:rsidR="00762E42" w:rsidRDefault="003C6509" w:rsidP="00097B21">
            <w:pPr>
              <w:pStyle w:val="TableTextIndented"/>
              <w:ind w:left="52"/>
              <w:jc w:val="center"/>
              <w:rPr>
                <w:rFonts w:asciiTheme="minorHAnsi" w:hAnsiTheme="minorHAnsi" w:cstheme="minorHAnsi"/>
                <w:b/>
                <w:color w:val="auto"/>
                <w:sz w:val="16"/>
                <w:szCs w:val="18"/>
              </w:rPr>
            </w:pPr>
            <w:r w:rsidRPr="00097B21">
              <w:rPr>
                <w:rFonts w:asciiTheme="minorHAnsi" w:hAnsiTheme="minorHAnsi" w:cstheme="minorHAnsi"/>
                <w:b/>
                <w:color w:val="auto"/>
                <w:sz w:val="16"/>
                <w:szCs w:val="18"/>
              </w:rPr>
              <w:t>Change</w:t>
            </w:r>
          </w:p>
          <w:p w14:paraId="5A2C8FBD" w14:textId="5FE64A5C" w:rsidR="00E51D95" w:rsidRPr="00097B21" w:rsidRDefault="00E51D95" w:rsidP="00097B21">
            <w:pPr>
              <w:pStyle w:val="TableTextIndented"/>
              <w:ind w:left="52"/>
              <w:jc w:val="center"/>
              <w:rPr>
                <w:rFonts w:asciiTheme="minorHAnsi" w:hAnsiTheme="minorHAnsi" w:cstheme="minorHAnsi"/>
                <w:b/>
                <w:color w:val="auto"/>
                <w:sz w:val="16"/>
                <w:szCs w:val="18"/>
              </w:rPr>
            </w:pPr>
            <w:r w:rsidRPr="00097B21">
              <w:rPr>
                <w:rFonts w:asciiTheme="minorHAnsi" w:hAnsiTheme="minorHAnsi" w:cstheme="minorHAnsi"/>
                <w:b/>
                <w:color w:val="auto"/>
                <w:sz w:val="16"/>
                <w:szCs w:val="18"/>
              </w:rPr>
              <w:t>($m)</w:t>
            </w:r>
          </w:p>
        </w:tc>
        <w:tc>
          <w:tcPr>
            <w:tcW w:w="670" w:type="pct"/>
            <w:shd w:val="clear" w:color="auto" w:fill="EEEEEE" w:themeFill="background2"/>
            <w:vAlign w:val="center"/>
            <w:hideMark/>
          </w:tcPr>
          <w:p w14:paraId="25A32469" w14:textId="77777777" w:rsidR="00762E42" w:rsidRDefault="003C6509" w:rsidP="00097B21">
            <w:pPr>
              <w:pStyle w:val="TableTextIndented"/>
              <w:ind w:left="119"/>
              <w:jc w:val="center"/>
              <w:rPr>
                <w:rFonts w:asciiTheme="minorHAnsi" w:hAnsiTheme="minorHAnsi" w:cstheme="minorHAnsi"/>
                <w:b/>
                <w:color w:val="auto"/>
                <w:sz w:val="16"/>
                <w:szCs w:val="18"/>
              </w:rPr>
            </w:pPr>
            <w:r w:rsidRPr="00097B21">
              <w:rPr>
                <w:rFonts w:asciiTheme="minorHAnsi" w:hAnsiTheme="minorHAnsi" w:cstheme="minorHAnsi"/>
                <w:b/>
                <w:color w:val="auto"/>
                <w:sz w:val="16"/>
                <w:szCs w:val="18"/>
              </w:rPr>
              <w:t>Change</w:t>
            </w:r>
          </w:p>
          <w:p w14:paraId="7A9335D3" w14:textId="3AA62607" w:rsidR="00E51D95" w:rsidRPr="00097B21" w:rsidRDefault="00E51D95" w:rsidP="00097B21">
            <w:pPr>
              <w:pStyle w:val="TableTextIndented"/>
              <w:ind w:left="119"/>
              <w:jc w:val="center"/>
              <w:rPr>
                <w:rFonts w:asciiTheme="minorHAnsi" w:hAnsiTheme="minorHAnsi" w:cstheme="minorHAnsi"/>
                <w:b/>
                <w:color w:val="auto"/>
                <w:sz w:val="16"/>
                <w:szCs w:val="18"/>
              </w:rPr>
            </w:pPr>
            <w:r w:rsidRPr="00097B21">
              <w:rPr>
                <w:rFonts w:asciiTheme="minorHAnsi" w:hAnsiTheme="minorHAnsi" w:cstheme="minorHAnsi"/>
                <w:b/>
                <w:color w:val="auto"/>
                <w:sz w:val="16"/>
                <w:szCs w:val="18"/>
              </w:rPr>
              <w:t>(%)</w:t>
            </w:r>
          </w:p>
        </w:tc>
      </w:tr>
      <w:tr w:rsidR="00CE23C2" w:rsidRPr="008D1D3E" w14:paraId="20D20D7D" w14:textId="77777777" w:rsidTr="00FA0D53">
        <w:trPr>
          <w:cantSplit/>
          <w:trHeight w:val="284"/>
          <w:tblHeader/>
        </w:trPr>
        <w:tc>
          <w:tcPr>
            <w:tcW w:w="2321" w:type="pct"/>
            <w:shd w:val="clear" w:color="auto" w:fill="auto"/>
            <w:vAlign w:val="center"/>
          </w:tcPr>
          <w:p w14:paraId="45C80274" w14:textId="77777777" w:rsidR="00CE23C2" w:rsidRPr="00097B21" w:rsidRDefault="00CE23C2" w:rsidP="00CE23C2">
            <w:pPr>
              <w:pStyle w:val="TableTextLeft"/>
              <w:rPr>
                <w:rFonts w:asciiTheme="minorHAnsi" w:hAnsiTheme="minorHAnsi" w:cstheme="minorHAnsi"/>
                <w:color w:val="auto"/>
                <w:sz w:val="16"/>
                <w:szCs w:val="18"/>
              </w:rPr>
            </w:pPr>
            <w:r w:rsidRPr="00097B21">
              <w:rPr>
                <w:rFonts w:asciiTheme="minorHAnsi" w:hAnsiTheme="minorHAnsi" w:cstheme="minorHAnsi"/>
                <w:color w:val="auto"/>
                <w:sz w:val="16"/>
                <w:szCs w:val="18"/>
              </w:rPr>
              <w:t xml:space="preserve">APRA </w:t>
            </w:r>
          </w:p>
        </w:tc>
        <w:tc>
          <w:tcPr>
            <w:tcW w:w="669" w:type="pct"/>
            <w:shd w:val="clear" w:color="auto" w:fill="auto"/>
            <w:vAlign w:val="center"/>
          </w:tcPr>
          <w:p w14:paraId="2512F6F5" w14:textId="5EDF1AD1" w:rsidR="00CE23C2" w:rsidRPr="00097B21" w:rsidRDefault="00CE23C2" w:rsidP="00680F0A">
            <w:pPr>
              <w:pStyle w:val="TableTextCentered"/>
              <w:rPr>
                <w:rFonts w:asciiTheme="minorHAnsi" w:hAnsiTheme="minorHAnsi" w:cstheme="minorHAnsi"/>
                <w:color w:val="auto"/>
                <w:sz w:val="16"/>
                <w:szCs w:val="18"/>
              </w:rPr>
            </w:pPr>
            <w:r w:rsidRPr="00097B21">
              <w:rPr>
                <w:rFonts w:asciiTheme="minorHAnsi" w:hAnsiTheme="minorHAnsi" w:cstheme="minorHAnsi"/>
                <w:sz w:val="16"/>
                <w:szCs w:val="18"/>
              </w:rPr>
              <w:t>246.1</w:t>
            </w:r>
          </w:p>
        </w:tc>
        <w:tc>
          <w:tcPr>
            <w:tcW w:w="670" w:type="pct"/>
            <w:shd w:val="clear" w:color="auto" w:fill="auto"/>
            <w:vAlign w:val="center"/>
          </w:tcPr>
          <w:p w14:paraId="6398CE2C" w14:textId="3014B85E" w:rsidR="00CE23C2" w:rsidRPr="00097B21" w:rsidRDefault="00CE23C2" w:rsidP="00F6307F">
            <w:pPr>
              <w:pStyle w:val="TableTextCentered"/>
              <w:rPr>
                <w:rFonts w:asciiTheme="minorHAnsi" w:hAnsiTheme="minorHAnsi" w:cstheme="minorHAnsi"/>
                <w:color w:val="auto"/>
                <w:sz w:val="16"/>
                <w:szCs w:val="18"/>
              </w:rPr>
            </w:pPr>
            <w:r w:rsidRPr="00097B21">
              <w:rPr>
                <w:rFonts w:asciiTheme="minorHAnsi" w:hAnsiTheme="minorHAnsi" w:cstheme="minorHAnsi"/>
                <w:sz w:val="16"/>
                <w:szCs w:val="18"/>
              </w:rPr>
              <w:t>243.0</w:t>
            </w:r>
          </w:p>
        </w:tc>
        <w:tc>
          <w:tcPr>
            <w:tcW w:w="670" w:type="pct"/>
            <w:shd w:val="clear" w:color="auto" w:fill="auto"/>
            <w:vAlign w:val="center"/>
          </w:tcPr>
          <w:p w14:paraId="782A5E86" w14:textId="25F1ABF7" w:rsidR="00CE23C2" w:rsidRPr="007E01C9" w:rsidRDefault="00CE23C2" w:rsidP="00097B21">
            <w:pPr>
              <w:pStyle w:val="TableTextCentered"/>
              <w:ind w:left="52"/>
              <w:rPr>
                <w:rFonts w:asciiTheme="minorHAnsi" w:hAnsiTheme="minorHAnsi" w:cstheme="minorHAnsi"/>
                <w:color w:val="C00000"/>
                <w:sz w:val="16"/>
                <w:szCs w:val="18"/>
              </w:rPr>
            </w:pPr>
            <w:r w:rsidRPr="007E01C9">
              <w:rPr>
                <w:rFonts w:asciiTheme="minorHAnsi" w:hAnsiTheme="minorHAnsi" w:cstheme="minorHAnsi"/>
                <w:color w:val="C00000"/>
                <w:sz w:val="16"/>
                <w:szCs w:val="18"/>
              </w:rPr>
              <w:t>(3.1)</w:t>
            </w:r>
          </w:p>
        </w:tc>
        <w:tc>
          <w:tcPr>
            <w:tcW w:w="670" w:type="pct"/>
            <w:shd w:val="clear" w:color="auto" w:fill="auto"/>
            <w:vAlign w:val="center"/>
          </w:tcPr>
          <w:p w14:paraId="0C793424" w14:textId="435EF6F3" w:rsidR="00CE23C2" w:rsidRPr="007E01C9" w:rsidRDefault="00CE23C2" w:rsidP="00097B21">
            <w:pPr>
              <w:pStyle w:val="TableTextCentered"/>
              <w:ind w:left="119"/>
              <w:rPr>
                <w:rFonts w:asciiTheme="minorHAnsi" w:hAnsiTheme="minorHAnsi" w:cstheme="minorHAnsi"/>
                <w:color w:val="C00000"/>
                <w:sz w:val="16"/>
                <w:szCs w:val="18"/>
              </w:rPr>
            </w:pPr>
            <w:r w:rsidRPr="007E01C9">
              <w:rPr>
                <w:rFonts w:asciiTheme="minorHAnsi" w:hAnsiTheme="minorHAnsi" w:cstheme="minorHAnsi"/>
                <w:color w:val="C00000"/>
                <w:sz w:val="16"/>
                <w:szCs w:val="18"/>
              </w:rPr>
              <w:t>(1.3)</w:t>
            </w:r>
          </w:p>
        </w:tc>
      </w:tr>
      <w:tr w:rsidR="00CE23C2" w:rsidRPr="008D1D3E" w14:paraId="1769A524" w14:textId="77777777" w:rsidTr="00FA0D53">
        <w:trPr>
          <w:cantSplit/>
          <w:trHeight w:val="284"/>
          <w:tblHeader/>
        </w:trPr>
        <w:tc>
          <w:tcPr>
            <w:tcW w:w="2321" w:type="pct"/>
            <w:shd w:val="clear" w:color="auto" w:fill="auto"/>
            <w:vAlign w:val="center"/>
          </w:tcPr>
          <w:p w14:paraId="20F05FAE" w14:textId="77777777" w:rsidR="00CE23C2" w:rsidRPr="00097B21" w:rsidRDefault="00CE23C2" w:rsidP="00CE23C2">
            <w:pPr>
              <w:pStyle w:val="TableTextLeft"/>
              <w:rPr>
                <w:rFonts w:asciiTheme="minorHAnsi" w:hAnsiTheme="minorHAnsi" w:cstheme="minorHAnsi"/>
                <w:color w:val="auto"/>
                <w:sz w:val="16"/>
                <w:szCs w:val="18"/>
              </w:rPr>
            </w:pPr>
            <w:r w:rsidRPr="00097B21">
              <w:rPr>
                <w:rFonts w:asciiTheme="minorHAnsi" w:hAnsiTheme="minorHAnsi" w:cstheme="minorHAnsi"/>
                <w:color w:val="auto"/>
                <w:sz w:val="16"/>
                <w:szCs w:val="18"/>
              </w:rPr>
              <w:t xml:space="preserve">ATO </w:t>
            </w:r>
          </w:p>
        </w:tc>
        <w:tc>
          <w:tcPr>
            <w:tcW w:w="669" w:type="pct"/>
            <w:shd w:val="clear" w:color="auto" w:fill="auto"/>
            <w:vAlign w:val="center"/>
          </w:tcPr>
          <w:p w14:paraId="4093480A" w14:textId="050D6631" w:rsidR="00CE23C2" w:rsidRPr="00097B21" w:rsidRDefault="00CE23C2" w:rsidP="00680F0A">
            <w:pPr>
              <w:pStyle w:val="TableTextCentered"/>
              <w:rPr>
                <w:rFonts w:asciiTheme="minorHAnsi" w:hAnsiTheme="minorHAnsi" w:cstheme="minorHAnsi"/>
                <w:color w:val="auto"/>
                <w:sz w:val="16"/>
                <w:szCs w:val="18"/>
              </w:rPr>
            </w:pPr>
            <w:r w:rsidRPr="00097B21">
              <w:rPr>
                <w:rFonts w:asciiTheme="minorHAnsi" w:hAnsiTheme="minorHAnsi" w:cstheme="minorHAnsi"/>
                <w:sz w:val="16"/>
                <w:szCs w:val="18"/>
              </w:rPr>
              <w:t>45.6</w:t>
            </w:r>
          </w:p>
        </w:tc>
        <w:tc>
          <w:tcPr>
            <w:tcW w:w="670" w:type="pct"/>
            <w:shd w:val="clear" w:color="auto" w:fill="auto"/>
            <w:vAlign w:val="center"/>
          </w:tcPr>
          <w:p w14:paraId="6D3F7974" w14:textId="2C224FFD" w:rsidR="00CE23C2" w:rsidRPr="00097B21" w:rsidRDefault="000240CE" w:rsidP="00F6307F">
            <w:pPr>
              <w:pStyle w:val="TableTextCentered"/>
              <w:rPr>
                <w:rFonts w:asciiTheme="minorHAnsi" w:hAnsiTheme="minorHAnsi" w:cstheme="minorHAnsi"/>
                <w:color w:val="auto"/>
                <w:sz w:val="16"/>
                <w:szCs w:val="18"/>
              </w:rPr>
            </w:pPr>
            <w:r>
              <w:rPr>
                <w:rFonts w:asciiTheme="minorHAnsi" w:hAnsiTheme="minorHAnsi" w:cstheme="minorHAnsi"/>
                <w:sz w:val="16"/>
                <w:szCs w:val="18"/>
              </w:rPr>
              <w:t>37.2</w:t>
            </w:r>
          </w:p>
        </w:tc>
        <w:tc>
          <w:tcPr>
            <w:tcW w:w="670" w:type="pct"/>
            <w:shd w:val="clear" w:color="auto" w:fill="auto"/>
            <w:vAlign w:val="center"/>
          </w:tcPr>
          <w:p w14:paraId="37233E78" w14:textId="3B635615" w:rsidR="00CE23C2" w:rsidRPr="007E01C9" w:rsidRDefault="0067405D" w:rsidP="00097B21">
            <w:pPr>
              <w:pStyle w:val="TableTextCentered"/>
              <w:ind w:left="52"/>
              <w:rPr>
                <w:rFonts w:asciiTheme="minorHAnsi" w:hAnsiTheme="minorHAnsi" w:cstheme="minorHAnsi"/>
                <w:color w:val="C00000"/>
                <w:sz w:val="16"/>
                <w:szCs w:val="18"/>
              </w:rPr>
            </w:pPr>
            <w:r w:rsidRPr="007E01C9">
              <w:rPr>
                <w:rFonts w:asciiTheme="minorHAnsi" w:hAnsiTheme="minorHAnsi" w:cstheme="minorHAnsi"/>
                <w:color w:val="C00000"/>
                <w:sz w:val="16"/>
                <w:szCs w:val="18"/>
              </w:rPr>
              <w:t>(8.4)</w:t>
            </w:r>
          </w:p>
        </w:tc>
        <w:tc>
          <w:tcPr>
            <w:tcW w:w="670" w:type="pct"/>
            <w:shd w:val="clear" w:color="auto" w:fill="auto"/>
            <w:vAlign w:val="center"/>
          </w:tcPr>
          <w:p w14:paraId="5E2047A6" w14:textId="6EEC314B" w:rsidR="00CE23C2" w:rsidRPr="007E01C9" w:rsidRDefault="0067405D" w:rsidP="00097B21">
            <w:pPr>
              <w:pStyle w:val="TableTextCentered"/>
              <w:ind w:left="119"/>
              <w:rPr>
                <w:rFonts w:asciiTheme="minorHAnsi" w:hAnsiTheme="minorHAnsi" w:cstheme="minorHAnsi"/>
                <w:color w:val="C00000"/>
                <w:sz w:val="16"/>
                <w:szCs w:val="18"/>
              </w:rPr>
            </w:pPr>
            <w:r w:rsidRPr="007E01C9">
              <w:rPr>
                <w:rFonts w:asciiTheme="minorHAnsi" w:hAnsiTheme="minorHAnsi" w:cstheme="minorHAnsi"/>
                <w:color w:val="C00000"/>
                <w:sz w:val="16"/>
                <w:szCs w:val="18"/>
              </w:rPr>
              <w:t>(18.4)</w:t>
            </w:r>
          </w:p>
        </w:tc>
      </w:tr>
      <w:tr w:rsidR="00CE23C2" w:rsidRPr="00097B21" w14:paraId="6D4DA980" w14:textId="77777777" w:rsidTr="00FA0D53">
        <w:trPr>
          <w:cantSplit/>
          <w:trHeight w:val="284"/>
          <w:tblHeader/>
        </w:trPr>
        <w:tc>
          <w:tcPr>
            <w:tcW w:w="2321" w:type="pct"/>
            <w:shd w:val="clear" w:color="auto" w:fill="auto"/>
            <w:vAlign w:val="center"/>
          </w:tcPr>
          <w:p w14:paraId="0856D27B" w14:textId="01997762" w:rsidR="00CE23C2" w:rsidRPr="00097B21" w:rsidRDefault="00CE23C2" w:rsidP="00CE23C2">
            <w:pPr>
              <w:pStyle w:val="TableTextLeft"/>
              <w:rPr>
                <w:rFonts w:asciiTheme="minorHAnsi" w:hAnsiTheme="minorHAnsi" w:cstheme="minorHAnsi"/>
                <w:color w:val="auto"/>
                <w:sz w:val="16"/>
                <w:szCs w:val="18"/>
              </w:rPr>
            </w:pPr>
            <w:r w:rsidRPr="00097B21">
              <w:rPr>
                <w:rFonts w:asciiTheme="minorHAnsi" w:hAnsiTheme="minorHAnsi" w:cstheme="minorHAnsi"/>
                <w:color w:val="auto"/>
                <w:sz w:val="16"/>
                <w:szCs w:val="18"/>
              </w:rPr>
              <w:t xml:space="preserve">Gateway Network Governance Body </w:t>
            </w:r>
          </w:p>
        </w:tc>
        <w:tc>
          <w:tcPr>
            <w:tcW w:w="669" w:type="pct"/>
            <w:shd w:val="clear" w:color="auto" w:fill="auto"/>
            <w:vAlign w:val="center"/>
          </w:tcPr>
          <w:p w14:paraId="05D56E43" w14:textId="3BE8DDCE" w:rsidR="00CE23C2" w:rsidRPr="00097B21" w:rsidRDefault="00CE23C2" w:rsidP="00680F0A">
            <w:pPr>
              <w:pStyle w:val="TableTextCentered"/>
              <w:rPr>
                <w:rFonts w:asciiTheme="minorHAnsi" w:hAnsiTheme="minorHAnsi" w:cstheme="minorHAnsi"/>
                <w:color w:val="auto"/>
                <w:sz w:val="16"/>
                <w:szCs w:val="18"/>
              </w:rPr>
            </w:pPr>
            <w:r w:rsidRPr="00097B21">
              <w:rPr>
                <w:rFonts w:asciiTheme="minorHAnsi" w:hAnsiTheme="minorHAnsi" w:cstheme="minorHAnsi"/>
                <w:sz w:val="16"/>
                <w:szCs w:val="18"/>
              </w:rPr>
              <w:t>1.3</w:t>
            </w:r>
          </w:p>
        </w:tc>
        <w:tc>
          <w:tcPr>
            <w:tcW w:w="670" w:type="pct"/>
            <w:shd w:val="clear" w:color="auto" w:fill="auto"/>
            <w:vAlign w:val="center"/>
          </w:tcPr>
          <w:p w14:paraId="67F3AEF1" w14:textId="6F920BB6" w:rsidR="00CE23C2" w:rsidRPr="00097B21" w:rsidRDefault="00CE23C2" w:rsidP="00F6307F">
            <w:pPr>
              <w:pStyle w:val="TableTextCentered"/>
              <w:rPr>
                <w:rFonts w:asciiTheme="minorHAnsi" w:hAnsiTheme="minorHAnsi" w:cstheme="minorHAnsi"/>
                <w:color w:val="auto"/>
                <w:sz w:val="16"/>
                <w:szCs w:val="18"/>
              </w:rPr>
            </w:pPr>
            <w:r w:rsidRPr="00097B21">
              <w:rPr>
                <w:rFonts w:asciiTheme="minorHAnsi" w:hAnsiTheme="minorHAnsi" w:cstheme="minorHAnsi"/>
                <w:sz w:val="16"/>
                <w:szCs w:val="18"/>
              </w:rPr>
              <w:t>1.4</w:t>
            </w:r>
          </w:p>
        </w:tc>
        <w:tc>
          <w:tcPr>
            <w:tcW w:w="670" w:type="pct"/>
            <w:shd w:val="clear" w:color="auto" w:fill="auto"/>
            <w:vAlign w:val="center"/>
          </w:tcPr>
          <w:p w14:paraId="0A8B5302" w14:textId="50D84A30" w:rsidR="00CE23C2" w:rsidRPr="00097B21" w:rsidRDefault="00CE23C2" w:rsidP="00097B21">
            <w:pPr>
              <w:pStyle w:val="TableTextCentered"/>
              <w:ind w:left="52"/>
              <w:rPr>
                <w:rFonts w:asciiTheme="minorHAnsi" w:hAnsiTheme="minorHAnsi" w:cstheme="minorHAnsi"/>
                <w:color w:val="auto"/>
                <w:sz w:val="16"/>
                <w:szCs w:val="18"/>
              </w:rPr>
            </w:pPr>
            <w:r w:rsidRPr="00097B21">
              <w:rPr>
                <w:rFonts w:asciiTheme="minorHAnsi" w:hAnsiTheme="minorHAnsi" w:cstheme="minorHAnsi"/>
                <w:sz w:val="16"/>
                <w:szCs w:val="18"/>
              </w:rPr>
              <w:t>0.</w:t>
            </w:r>
            <w:r w:rsidR="007636FB" w:rsidRPr="00097B21">
              <w:rPr>
                <w:rFonts w:asciiTheme="minorHAnsi" w:hAnsiTheme="minorHAnsi" w:cstheme="minorHAnsi"/>
                <w:sz w:val="16"/>
                <w:szCs w:val="18"/>
              </w:rPr>
              <w:t>1</w:t>
            </w:r>
          </w:p>
        </w:tc>
        <w:tc>
          <w:tcPr>
            <w:tcW w:w="670" w:type="pct"/>
            <w:shd w:val="clear" w:color="auto" w:fill="auto"/>
            <w:vAlign w:val="center"/>
          </w:tcPr>
          <w:p w14:paraId="1DFC2615" w14:textId="7A453B61" w:rsidR="00CE23C2" w:rsidRPr="00097B21" w:rsidRDefault="00025DC0" w:rsidP="00097B21">
            <w:pPr>
              <w:pStyle w:val="TableTextCentered"/>
              <w:ind w:left="119"/>
              <w:rPr>
                <w:rFonts w:asciiTheme="minorHAnsi" w:hAnsiTheme="minorHAnsi" w:cstheme="minorHAnsi"/>
                <w:color w:val="auto"/>
                <w:sz w:val="16"/>
                <w:szCs w:val="18"/>
              </w:rPr>
            </w:pPr>
            <w:r>
              <w:rPr>
                <w:rFonts w:asciiTheme="minorHAnsi" w:hAnsiTheme="minorHAnsi" w:cstheme="minorHAnsi"/>
                <w:sz w:val="16"/>
                <w:szCs w:val="18"/>
              </w:rPr>
              <w:t>7.7</w:t>
            </w:r>
          </w:p>
        </w:tc>
      </w:tr>
      <w:tr w:rsidR="00CE23C2" w:rsidRPr="00097B21" w14:paraId="1B36EDD1" w14:textId="77777777" w:rsidTr="00FA0D53">
        <w:trPr>
          <w:cantSplit/>
          <w:trHeight w:val="284"/>
          <w:tblHeader/>
        </w:trPr>
        <w:tc>
          <w:tcPr>
            <w:tcW w:w="2321" w:type="pct"/>
            <w:shd w:val="clear" w:color="auto" w:fill="auto"/>
            <w:vAlign w:val="center"/>
          </w:tcPr>
          <w:p w14:paraId="34F1F8ED" w14:textId="235AA0C8" w:rsidR="00CE23C2" w:rsidRPr="00097B21" w:rsidRDefault="00CE23C2" w:rsidP="00CE23C2">
            <w:pPr>
              <w:pStyle w:val="TableTextLeft"/>
              <w:rPr>
                <w:rFonts w:asciiTheme="minorHAnsi" w:hAnsiTheme="minorHAnsi" w:cstheme="minorHAnsi"/>
                <w:color w:val="auto"/>
                <w:sz w:val="16"/>
                <w:szCs w:val="18"/>
              </w:rPr>
            </w:pPr>
            <w:r w:rsidRPr="00097B21">
              <w:rPr>
                <w:rFonts w:asciiTheme="minorHAnsi" w:hAnsiTheme="minorHAnsi" w:cstheme="minorHAnsi"/>
                <w:color w:val="auto"/>
                <w:sz w:val="16"/>
                <w:szCs w:val="18"/>
              </w:rPr>
              <w:t>Treasury superannuation consumer advocate</w:t>
            </w:r>
          </w:p>
        </w:tc>
        <w:tc>
          <w:tcPr>
            <w:tcW w:w="669" w:type="pct"/>
            <w:shd w:val="clear" w:color="auto" w:fill="auto"/>
            <w:vAlign w:val="center"/>
          </w:tcPr>
          <w:p w14:paraId="41E7641B" w14:textId="4CDF6726" w:rsidR="00CE23C2" w:rsidRPr="00097B21" w:rsidRDefault="00CE23C2" w:rsidP="00680F0A">
            <w:pPr>
              <w:pStyle w:val="TableTextCentered"/>
              <w:rPr>
                <w:rFonts w:asciiTheme="minorHAnsi" w:hAnsiTheme="minorHAnsi" w:cstheme="minorHAnsi"/>
                <w:color w:val="auto"/>
                <w:sz w:val="16"/>
                <w:szCs w:val="18"/>
              </w:rPr>
            </w:pPr>
            <w:r w:rsidRPr="00097B21">
              <w:rPr>
                <w:rFonts w:asciiTheme="minorHAnsi" w:hAnsiTheme="minorHAnsi" w:cstheme="minorHAnsi"/>
                <w:sz w:val="16"/>
                <w:szCs w:val="18"/>
              </w:rPr>
              <w:t>1.0</w:t>
            </w:r>
          </w:p>
        </w:tc>
        <w:tc>
          <w:tcPr>
            <w:tcW w:w="670" w:type="pct"/>
            <w:shd w:val="clear" w:color="auto" w:fill="auto"/>
            <w:vAlign w:val="center"/>
          </w:tcPr>
          <w:p w14:paraId="64F828A3" w14:textId="31850362" w:rsidR="00CE23C2" w:rsidRPr="00097B21" w:rsidRDefault="00CE23C2" w:rsidP="00F6307F">
            <w:pPr>
              <w:pStyle w:val="TableTextCentered"/>
              <w:rPr>
                <w:rFonts w:asciiTheme="minorHAnsi" w:hAnsiTheme="minorHAnsi" w:cstheme="minorHAnsi"/>
                <w:color w:val="auto"/>
                <w:sz w:val="16"/>
                <w:szCs w:val="18"/>
              </w:rPr>
            </w:pPr>
            <w:r w:rsidRPr="00097B21">
              <w:rPr>
                <w:rFonts w:asciiTheme="minorHAnsi" w:hAnsiTheme="minorHAnsi" w:cstheme="minorHAnsi"/>
                <w:sz w:val="16"/>
                <w:szCs w:val="18"/>
              </w:rPr>
              <w:t>1.0</w:t>
            </w:r>
          </w:p>
        </w:tc>
        <w:tc>
          <w:tcPr>
            <w:tcW w:w="670" w:type="pct"/>
            <w:shd w:val="clear" w:color="auto" w:fill="auto"/>
            <w:vAlign w:val="center"/>
          </w:tcPr>
          <w:p w14:paraId="1F3BE456" w14:textId="01529D9A" w:rsidR="00CE23C2" w:rsidRPr="00097B21" w:rsidRDefault="00FF571A" w:rsidP="00097B21">
            <w:pPr>
              <w:pStyle w:val="TableTextCentered"/>
              <w:ind w:left="52"/>
              <w:rPr>
                <w:rFonts w:asciiTheme="minorHAnsi" w:hAnsiTheme="minorHAnsi" w:cstheme="minorHAnsi"/>
                <w:color w:val="auto"/>
                <w:sz w:val="16"/>
                <w:szCs w:val="18"/>
              </w:rPr>
            </w:pPr>
            <w:r>
              <w:rPr>
                <w:rFonts w:asciiTheme="minorHAnsi" w:hAnsiTheme="minorHAnsi" w:cstheme="minorHAnsi"/>
                <w:sz w:val="16"/>
                <w:szCs w:val="18"/>
              </w:rPr>
              <w:t>0.0</w:t>
            </w:r>
          </w:p>
        </w:tc>
        <w:tc>
          <w:tcPr>
            <w:tcW w:w="670" w:type="pct"/>
            <w:shd w:val="clear" w:color="auto" w:fill="auto"/>
            <w:vAlign w:val="center"/>
          </w:tcPr>
          <w:p w14:paraId="57B37907" w14:textId="0029767D" w:rsidR="00CE23C2" w:rsidRPr="00097B21" w:rsidRDefault="00FF571A" w:rsidP="00097B21">
            <w:pPr>
              <w:pStyle w:val="TableTextCentered"/>
              <w:ind w:left="119"/>
              <w:rPr>
                <w:rFonts w:asciiTheme="minorHAnsi" w:hAnsiTheme="minorHAnsi" w:cstheme="minorHAnsi"/>
                <w:color w:val="auto"/>
                <w:sz w:val="16"/>
                <w:szCs w:val="18"/>
              </w:rPr>
            </w:pPr>
            <w:r>
              <w:rPr>
                <w:rFonts w:asciiTheme="minorHAnsi" w:hAnsiTheme="minorHAnsi" w:cstheme="minorHAnsi"/>
                <w:sz w:val="16"/>
                <w:szCs w:val="18"/>
              </w:rPr>
              <w:t>0.0</w:t>
            </w:r>
          </w:p>
        </w:tc>
      </w:tr>
      <w:tr w:rsidR="00406ED2" w:rsidRPr="00097B21" w14:paraId="119BD159" w14:textId="77777777" w:rsidTr="00FA0D53">
        <w:trPr>
          <w:cantSplit/>
          <w:trHeight w:val="284"/>
          <w:tblHeader/>
        </w:trPr>
        <w:tc>
          <w:tcPr>
            <w:tcW w:w="2321" w:type="pct"/>
            <w:shd w:val="clear" w:color="auto" w:fill="auto"/>
            <w:vAlign w:val="center"/>
          </w:tcPr>
          <w:p w14:paraId="576C8457" w14:textId="60E305F8" w:rsidR="00406ED2" w:rsidRPr="00097B21" w:rsidRDefault="00406ED2" w:rsidP="00CE23C2">
            <w:pPr>
              <w:pStyle w:val="TableTextLeft"/>
              <w:rPr>
                <w:rFonts w:asciiTheme="minorHAnsi" w:hAnsiTheme="minorHAnsi" w:cstheme="minorHAnsi"/>
                <w:color w:val="auto"/>
                <w:sz w:val="16"/>
                <w:szCs w:val="18"/>
              </w:rPr>
            </w:pPr>
            <w:r w:rsidRPr="00097B21">
              <w:rPr>
                <w:rFonts w:asciiTheme="minorHAnsi" w:hAnsiTheme="minorHAnsi" w:cstheme="minorHAnsi"/>
                <w:b/>
                <w:color w:val="auto"/>
                <w:sz w:val="16"/>
                <w:szCs w:val="18"/>
              </w:rPr>
              <w:t>Total</w:t>
            </w:r>
          </w:p>
        </w:tc>
        <w:tc>
          <w:tcPr>
            <w:tcW w:w="669" w:type="pct"/>
            <w:shd w:val="clear" w:color="auto" w:fill="auto"/>
            <w:vAlign w:val="center"/>
          </w:tcPr>
          <w:p w14:paraId="791DECB9" w14:textId="0068E74B" w:rsidR="00406ED2" w:rsidRPr="00097B21" w:rsidRDefault="00406ED2" w:rsidP="00680F0A">
            <w:pPr>
              <w:pStyle w:val="TableTextCentered"/>
              <w:rPr>
                <w:rFonts w:asciiTheme="minorHAnsi" w:hAnsiTheme="minorHAnsi" w:cstheme="minorHAnsi"/>
                <w:color w:val="auto"/>
                <w:sz w:val="16"/>
                <w:szCs w:val="18"/>
              </w:rPr>
            </w:pPr>
            <w:r w:rsidRPr="00097B21">
              <w:rPr>
                <w:rFonts w:asciiTheme="minorHAnsi" w:hAnsiTheme="minorHAnsi" w:cstheme="minorHAnsi"/>
                <w:b/>
                <w:bCs/>
                <w:sz w:val="16"/>
                <w:szCs w:val="18"/>
              </w:rPr>
              <w:t>294.0</w:t>
            </w:r>
          </w:p>
        </w:tc>
        <w:tc>
          <w:tcPr>
            <w:tcW w:w="670" w:type="pct"/>
            <w:shd w:val="clear" w:color="auto" w:fill="auto"/>
            <w:vAlign w:val="center"/>
          </w:tcPr>
          <w:p w14:paraId="0C0F5D5C" w14:textId="4D03F79E" w:rsidR="00406ED2" w:rsidRPr="00097B21" w:rsidRDefault="000240CE" w:rsidP="00F6307F">
            <w:pPr>
              <w:pStyle w:val="TableTextCentered"/>
              <w:rPr>
                <w:rFonts w:asciiTheme="minorHAnsi" w:hAnsiTheme="minorHAnsi" w:cstheme="minorHAnsi"/>
                <w:color w:val="auto"/>
                <w:sz w:val="16"/>
                <w:szCs w:val="18"/>
              </w:rPr>
            </w:pPr>
            <w:r>
              <w:rPr>
                <w:rFonts w:asciiTheme="minorHAnsi" w:hAnsiTheme="minorHAnsi" w:cstheme="minorHAnsi"/>
                <w:b/>
                <w:bCs/>
                <w:sz w:val="16"/>
                <w:szCs w:val="18"/>
              </w:rPr>
              <w:t>282.6</w:t>
            </w:r>
          </w:p>
        </w:tc>
        <w:tc>
          <w:tcPr>
            <w:tcW w:w="670" w:type="pct"/>
            <w:shd w:val="clear" w:color="auto" w:fill="auto"/>
            <w:vAlign w:val="center"/>
          </w:tcPr>
          <w:p w14:paraId="447D587B" w14:textId="2C3F3A26" w:rsidR="00406ED2" w:rsidRPr="0083744B" w:rsidRDefault="00EE40D8" w:rsidP="00097B21">
            <w:pPr>
              <w:pStyle w:val="TableTextCentered"/>
              <w:ind w:left="52"/>
              <w:rPr>
                <w:rFonts w:asciiTheme="minorHAnsi" w:hAnsiTheme="minorHAnsi" w:cstheme="minorHAnsi"/>
                <w:color w:val="C00000"/>
                <w:sz w:val="16"/>
                <w:szCs w:val="18"/>
              </w:rPr>
            </w:pPr>
            <w:r w:rsidRPr="0083744B">
              <w:rPr>
                <w:rFonts w:asciiTheme="minorHAnsi" w:hAnsiTheme="minorHAnsi" w:cstheme="minorHAnsi"/>
                <w:b/>
                <w:bCs/>
                <w:color w:val="C00000"/>
                <w:sz w:val="16"/>
                <w:szCs w:val="18"/>
              </w:rPr>
              <w:t>(11.4)</w:t>
            </w:r>
          </w:p>
        </w:tc>
        <w:tc>
          <w:tcPr>
            <w:tcW w:w="670" w:type="pct"/>
            <w:shd w:val="clear" w:color="auto" w:fill="auto"/>
            <w:vAlign w:val="center"/>
          </w:tcPr>
          <w:p w14:paraId="17B83A28" w14:textId="5E34EB93" w:rsidR="00406ED2" w:rsidRPr="0083744B" w:rsidRDefault="00EE40D8" w:rsidP="00097B21">
            <w:pPr>
              <w:pStyle w:val="TableTextCentered"/>
              <w:ind w:left="119"/>
              <w:rPr>
                <w:rFonts w:asciiTheme="minorHAnsi" w:hAnsiTheme="minorHAnsi" w:cstheme="minorHAnsi"/>
                <w:color w:val="C00000"/>
                <w:sz w:val="16"/>
                <w:szCs w:val="18"/>
              </w:rPr>
            </w:pPr>
            <w:r w:rsidRPr="0083744B">
              <w:rPr>
                <w:rFonts w:asciiTheme="minorHAnsi" w:hAnsiTheme="minorHAnsi" w:cstheme="minorHAnsi"/>
                <w:b/>
                <w:bCs/>
                <w:color w:val="C00000"/>
                <w:sz w:val="16"/>
                <w:szCs w:val="18"/>
              </w:rPr>
              <w:t>(3.9)</w:t>
            </w:r>
          </w:p>
        </w:tc>
      </w:tr>
    </w:tbl>
    <w:p w14:paraId="611A1BE1" w14:textId="7058F072" w:rsidR="00762E42" w:rsidRPr="005378B1" w:rsidRDefault="003C6509" w:rsidP="005378B1">
      <w:pPr>
        <w:pStyle w:val="Heading2"/>
        <w:rPr>
          <w:color w:val="auto"/>
        </w:rPr>
      </w:pPr>
      <w:bookmarkStart w:id="32" w:name="_Toc1575299"/>
      <w:bookmarkStart w:id="33" w:name="_Toc1577983"/>
      <w:bookmarkStart w:id="34" w:name="_Toc1578902"/>
      <w:bookmarkStart w:id="35" w:name="_Toc4662136"/>
      <w:bookmarkStart w:id="36" w:name="_Toc98841573"/>
      <w:bookmarkStart w:id="37" w:name="_Toc192616737"/>
      <w:r w:rsidRPr="005378B1">
        <w:rPr>
          <w:color w:val="auto"/>
        </w:rPr>
        <w:t xml:space="preserve">APRA’s </w:t>
      </w:r>
      <w:r w:rsidR="00E20842" w:rsidRPr="005378B1">
        <w:rPr>
          <w:color w:val="auto"/>
        </w:rPr>
        <w:t>202</w:t>
      </w:r>
      <w:r w:rsidR="001668AE" w:rsidRPr="005378B1">
        <w:rPr>
          <w:color w:val="auto"/>
        </w:rPr>
        <w:t>5</w:t>
      </w:r>
      <w:r w:rsidR="00585254" w:rsidRPr="005378B1">
        <w:t>–</w:t>
      </w:r>
      <w:r w:rsidR="00A35B4A" w:rsidRPr="005378B1">
        <w:rPr>
          <w:color w:val="auto"/>
        </w:rPr>
        <w:t>2</w:t>
      </w:r>
      <w:r w:rsidR="001668AE" w:rsidRPr="005378B1">
        <w:rPr>
          <w:color w:val="auto"/>
        </w:rPr>
        <w:t>6</w:t>
      </w:r>
      <w:r w:rsidR="00A35B4A" w:rsidRPr="005378B1">
        <w:rPr>
          <w:color w:val="auto"/>
        </w:rPr>
        <w:t xml:space="preserve"> </w:t>
      </w:r>
      <w:r w:rsidRPr="005378B1">
        <w:rPr>
          <w:color w:val="auto"/>
        </w:rPr>
        <w:t>levy funding requirements</w:t>
      </w:r>
      <w:bookmarkEnd w:id="32"/>
      <w:bookmarkEnd w:id="33"/>
      <w:bookmarkEnd w:id="34"/>
      <w:bookmarkEnd w:id="35"/>
      <w:bookmarkEnd w:id="36"/>
      <w:bookmarkEnd w:id="37"/>
    </w:p>
    <w:p w14:paraId="41AC81D8" w14:textId="11E95E16" w:rsidR="00762E42" w:rsidRPr="005378B1" w:rsidRDefault="003C6509" w:rsidP="005378B1">
      <w:r w:rsidRPr="005378B1">
        <w:t xml:space="preserve">APRA’s net funding requirements under the levies for </w:t>
      </w:r>
      <w:r w:rsidR="00E20842" w:rsidRPr="005378B1">
        <w:t>202</w:t>
      </w:r>
      <w:r w:rsidR="001668AE" w:rsidRPr="005378B1">
        <w:t>5</w:t>
      </w:r>
      <w:r w:rsidR="00585254" w:rsidRPr="005378B1">
        <w:t>–</w:t>
      </w:r>
      <w:r w:rsidR="00A35B4A" w:rsidRPr="005378B1">
        <w:t>2</w:t>
      </w:r>
      <w:r w:rsidR="001668AE" w:rsidRPr="005378B1">
        <w:t>6</w:t>
      </w:r>
      <w:r w:rsidR="00A35B4A" w:rsidRPr="005378B1">
        <w:t xml:space="preserve"> </w:t>
      </w:r>
      <w:proofErr w:type="gramStart"/>
      <w:r w:rsidRPr="005378B1">
        <w:t>are</w:t>
      </w:r>
      <w:proofErr w:type="gramEnd"/>
      <w:r w:rsidRPr="005378B1">
        <w:t xml:space="preserve"> shown in Table 2. </w:t>
      </w:r>
    </w:p>
    <w:p w14:paraId="5E054C88" w14:textId="0C307613" w:rsidR="00762E42" w:rsidRPr="005378B1" w:rsidRDefault="003C6509" w:rsidP="005378B1">
      <w:r w:rsidRPr="005378B1">
        <w:t xml:space="preserve">The budgeted total cost for APRA for </w:t>
      </w:r>
      <w:r w:rsidR="005A2818" w:rsidRPr="005378B1">
        <w:t>202</w:t>
      </w:r>
      <w:r w:rsidR="0055275C">
        <w:t>5</w:t>
      </w:r>
      <w:r w:rsidR="00585254" w:rsidRPr="005378B1">
        <w:t>–</w:t>
      </w:r>
      <w:r w:rsidR="004A22AB" w:rsidRPr="005378B1">
        <w:t>2</w:t>
      </w:r>
      <w:r w:rsidR="001668AE" w:rsidRPr="005378B1">
        <w:t>6</w:t>
      </w:r>
      <w:r w:rsidR="004A22AB" w:rsidRPr="005378B1">
        <w:t xml:space="preserve"> </w:t>
      </w:r>
      <w:r w:rsidRPr="005378B1">
        <w:t>is $</w:t>
      </w:r>
      <w:r w:rsidR="002B6459">
        <w:t>26</w:t>
      </w:r>
      <w:r w:rsidR="00364EAF">
        <w:t>6</w:t>
      </w:r>
      <w:r w:rsidR="002B6459">
        <w:t>.8</w:t>
      </w:r>
      <w:r w:rsidR="004140BC" w:rsidRPr="005378B1">
        <w:t> </w:t>
      </w:r>
      <w:r w:rsidRPr="005378B1">
        <w:t>million, a $</w:t>
      </w:r>
      <w:r w:rsidR="0025755A">
        <w:t>2.9</w:t>
      </w:r>
      <w:r w:rsidR="00217880" w:rsidRPr="005378B1">
        <w:t> </w:t>
      </w:r>
      <w:r w:rsidRPr="005378B1">
        <w:t>million (</w:t>
      </w:r>
      <w:r w:rsidR="0025755A">
        <w:t>1.1</w:t>
      </w:r>
      <w:r w:rsidR="00836DB1" w:rsidRPr="005378B1">
        <w:t xml:space="preserve"> </w:t>
      </w:r>
      <w:r w:rsidRPr="005378B1">
        <w:t xml:space="preserve">per cent) </w:t>
      </w:r>
      <w:r w:rsidR="002B6459">
        <w:t>reduction from</w:t>
      </w:r>
      <w:r w:rsidRPr="005378B1">
        <w:t xml:space="preserve"> the </w:t>
      </w:r>
      <w:r w:rsidR="005A2818" w:rsidRPr="005378B1">
        <w:t>202</w:t>
      </w:r>
      <w:r w:rsidR="001668AE" w:rsidRPr="005378B1">
        <w:t>4</w:t>
      </w:r>
      <w:r w:rsidR="00585254" w:rsidRPr="005378B1">
        <w:t>–</w:t>
      </w:r>
      <w:r w:rsidR="005A2818" w:rsidRPr="005378B1">
        <w:t>2</w:t>
      </w:r>
      <w:r w:rsidR="001668AE" w:rsidRPr="005378B1">
        <w:t>5</w:t>
      </w:r>
      <w:r w:rsidR="005A2818" w:rsidRPr="005378B1">
        <w:t xml:space="preserve"> </w:t>
      </w:r>
      <w:r w:rsidR="00CC062D">
        <w:t>b</w:t>
      </w:r>
      <w:r w:rsidR="00CC062D" w:rsidRPr="005378B1">
        <w:t>udget</w:t>
      </w:r>
      <w:r w:rsidRPr="005378B1">
        <w:t xml:space="preserve">. </w:t>
      </w:r>
      <w:r w:rsidR="005A2818" w:rsidRPr="005378B1">
        <w:t xml:space="preserve">The </w:t>
      </w:r>
      <w:r w:rsidR="002B6459">
        <w:t>reduction</w:t>
      </w:r>
      <w:r w:rsidR="002B6459" w:rsidRPr="005378B1">
        <w:t xml:space="preserve"> </w:t>
      </w:r>
      <w:r w:rsidR="005A2818" w:rsidRPr="005378B1">
        <w:t xml:space="preserve">is largely due to </w:t>
      </w:r>
      <w:r w:rsidR="00BB4152" w:rsidRPr="005378B1">
        <w:t xml:space="preserve">the </w:t>
      </w:r>
      <w:r w:rsidR="00DD3126">
        <w:t>decrease</w:t>
      </w:r>
      <w:r w:rsidR="00844272">
        <w:t xml:space="preserve"> in </w:t>
      </w:r>
      <w:r w:rsidR="00DD3126">
        <w:t xml:space="preserve">funding from </w:t>
      </w:r>
      <w:r w:rsidR="00DE14FD">
        <w:t>earlier</w:t>
      </w:r>
      <w:r w:rsidR="00D85EC0">
        <w:t xml:space="preserve"> budget measures</w:t>
      </w:r>
      <w:r w:rsidR="006D0D23">
        <w:t>,</w:t>
      </w:r>
      <w:r w:rsidR="00D85EC0">
        <w:t xml:space="preserve"> partially offset by the </w:t>
      </w:r>
      <w:r w:rsidR="00BB4152" w:rsidRPr="005378B1">
        <w:t>effects of wage cost index movements</w:t>
      </w:r>
      <w:r w:rsidR="005A2818" w:rsidRPr="005378B1">
        <w:t xml:space="preserve">. </w:t>
      </w:r>
      <w:r w:rsidRPr="005378B1">
        <w:t xml:space="preserve">Other components of the funding requirements include: </w:t>
      </w:r>
    </w:p>
    <w:p w14:paraId="0C55D886" w14:textId="41820F29" w:rsidR="00762E42" w:rsidRPr="005378B1" w:rsidRDefault="001F4A50" w:rsidP="005378B1">
      <w:pPr>
        <w:numPr>
          <w:ilvl w:val="0"/>
          <w:numId w:val="1"/>
        </w:numPr>
        <w:spacing w:before="0"/>
      </w:pPr>
      <w:r>
        <w:t>a</w:t>
      </w:r>
      <w:r w:rsidRPr="005378B1">
        <w:t xml:space="preserve"> </w:t>
      </w:r>
      <w:r w:rsidR="003C6509" w:rsidRPr="005378B1">
        <w:t xml:space="preserve">further $1.0 million to provide for future enforcement </w:t>
      </w:r>
      <w:r w:rsidR="00FD286B" w:rsidRPr="005378B1">
        <w:t>cost</w:t>
      </w:r>
      <w:r w:rsidR="00762E42" w:rsidRPr="005378B1">
        <w:t>s</w:t>
      </w:r>
    </w:p>
    <w:p w14:paraId="54603B5C" w14:textId="0CEC2A2D" w:rsidR="00762E42" w:rsidRPr="005378B1" w:rsidRDefault="001F4A50" w:rsidP="005378B1">
      <w:pPr>
        <w:numPr>
          <w:ilvl w:val="0"/>
          <w:numId w:val="1"/>
        </w:numPr>
        <w:spacing w:before="0"/>
      </w:pPr>
      <w:r>
        <w:t>r</w:t>
      </w:r>
      <w:r w:rsidRPr="005378B1">
        <w:t xml:space="preserve">emoval </w:t>
      </w:r>
      <w:r w:rsidR="003C6509" w:rsidRPr="005378B1">
        <w:t>of $</w:t>
      </w:r>
      <w:r w:rsidR="00862A34" w:rsidRPr="005378B1">
        <w:t>21.</w:t>
      </w:r>
      <w:r w:rsidR="009D0658">
        <w:t>7</w:t>
      </w:r>
      <w:r w:rsidR="009D0658" w:rsidRPr="005378B1">
        <w:t xml:space="preserve"> </w:t>
      </w:r>
      <w:r w:rsidR="003C6509" w:rsidRPr="005378B1">
        <w:t>million of non-levy income (refer to Table 3)</w:t>
      </w:r>
    </w:p>
    <w:p w14:paraId="482AD4A3" w14:textId="6407C0D1" w:rsidR="0033548B" w:rsidRDefault="001F4A50" w:rsidP="005378B1">
      <w:pPr>
        <w:numPr>
          <w:ilvl w:val="0"/>
          <w:numId w:val="1"/>
        </w:numPr>
        <w:spacing w:before="0"/>
      </w:pPr>
      <w:r>
        <w:t>r</w:t>
      </w:r>
      <w:r w:rsidRPr="005378B1">
        <w:t xml:space="preserve">efund </w:t>
      </w:r>
      <w:r w:rsidR="00762E42" w:rsidRPr="005378B1">
        <w:t>of $</w:t>
      </w:r>
      <w:r w:rsidR="009D0658">
        <w:t xml:space="preserve">2.2 </w:t>
      </w:r>
      <w:r w:rsidR="00762E42" w:rsidRPr="005378B1">
        <w:t xml:space="preserve">million of prior year </w:t>
      </w:r>
      <w:r w:rsidR="008047DA" w:rsidRPr="005378B1">
        <w:t>over</w:t>
      </w:r>
      <w:r w:rsidR="00762E42" w:rsidRPr="005378B1">
        <w:t xml:space="preserve">-collected levies </w:t>
      </w:r>
      <w:r w:rsidR="00F2303C" w:rsidRPr="005378B1">
        <w:t xml:space="preserve">from </w:t>
      </w:r>
      <w:r w:rsidR="00762E42" w:rsidRPr="005378B1">
        <w:t>industry</w:t>
      </w:r>
    </w:p>
    <w:p w14:paraId="73A7AA46" w14:textId="040F6BDA" w:rsidR="002F735B" w:rsidRPr="005378B1" w:rsidRDefault="00E5208A" w:rsidP="005378B1">
      <w:pPr>
        <w:numPr>
          <w:ilvl w:val="0"/>
          <w:numId w:val="1"/>
        </w:numPr>
        <w:spacing w:before="0"/>
      </w:pPr>
      <w:r>
        <w:t xml:space="preserve">a new </w:t>
      </w:r>
      <w:r w:rsidR="00B6242C">
        <w:t>budget measure</w:t>
      </w:r>
      <w:r w:rsidR="005457C7">
        <w:t xml:space="preserve"> of $2.0 million on superannuation in retirement reporting framework</w:t>
      </w:r>
    </w:p>
    <w:p w14:paraId="3901FB47" w14:textId="7BFE1A60" w:rsidR="00762E42" w:rsidRPr="005378B1" w:rsidRDefault="001F4A50" w:rsidP="005378B1">
      <w:pPr>
        <w:numPr>
          <w:ilvl w:val="0"/>
          <w:numId w:val="1"/>
        </w:numPr>
        <w:spacing w:before="0"/>
      </w:pPr>
      <w:r>
        <w:t>r</w:t>
      </w:r>
      <w:r w:rsidR="003C6509" w:rsidRPr="005378B1">
        <w:t>emoval of the cost increase of $</w:t>
      </w:r>
      <w:r w:rsidR="009D0658">
        <w:t>2.9</w:t>
      </w:r>
      <w:r w:rsidR="003C6509" w:rsidRPr="005378B1">
        <w:t xml:space="preserve"> million arising from the introduction of AASB-16 Leases</w:t>
      </w:r>
    </w:p>
    <w:p w14:paraId="53340006" w14:textId="7DC56630" w:rsidR="00762E42" w:rsidRPr="005378B1" w:rsidRDefault="003C6509" w:rsidP="005378B1">
      <w:pPr>
        <w:spacing w:before="0" w:after="160" w:line="259" w:lineRule="auto"/>
        <w:rPr>
          <w:rFonts w:cs="Arial"/>
          <w:b/>
          <w:kern w:val="32"/>
          <w:sz w:val="28"/>
          <w:szCs w:val="26"/>
        </w:rPr>
      </w:pPr>
      <w:bookmarkStart w:id="38" w:name="_Hlk69807002"/>
      <w:r w:rsidRPr="005378B1">
        <w:t xml:space="preserve">APRA’s underlying net levies funding requirement for </w:t>
      </w:r>
      <w:r w:rsidR="00E20842" w:rsidRPr="005378B1">
        <w:t>202</w:t>
      </w:r>
      <w:r w:rsidR="001668AE" w:rsidRPr="005378B1">
        <w:t>5</w:t>
      </w:r>
      <w:r w:rsidR="00585254" w:rsidRPr="005378B1">
        <w:t>–</w:t>
      </w:r>
      <w:r w:rsidR="004A22AB" w:rsidRPr="005378B1">
        <w:t>2</w:t>
      </w:r>
      <w:r w:rsidR="001668AE" w:rsidRPr="005378B1">
        <w:t>6</w:t>
      </w:r>
      <w:r w:rsidR="004A22AB" w:rsidRPr="005378B1">
        <w:t xml:space="preserve"> </w:t>
      </w:r>
      <w:r w:rsidRPr="005378B1">
        <w:t>is $</w:t>
      </w:r>
      <w:r w:rsidR="009D0658" w:rsidRPr="005378B1">
        <w:t>24</w:t>
      </w:r>
      <w:r w:rsidR="009D0658">
        <w:t>3.0</w:t>
      </w:r>
      <w:r w:rsidRPr="005378B1">
        <w:t xml:space="preserve"> million, </w:t>
      </w:r>
      <w:r w:rsidR="007A593D" w:rsidRPr="005378B1">
        <w:t>a</w:t>
      </w:r>
      <w:r w:rsidRPr="005378B1">
        <w:t xml:space="preserve"> </w:t>
      </w:r>
      <w:r w:rsidR="009D0658">
        <w:t>reduction</w:t>
      </w:r>
      <w:r w:rsidR="009D0658" w:rsidRPr="005378B1">
        <w:t xml:space="preserve"> </w:t>
      </w:r>
      <w:r w:rsidRPr="005378B1">
        <w:t>of $</w:t>
      </w:r>
      <w:r w:rsidR="009D0658">
        <w:t>3.1</w:t>
      </w:r>
      <w:r w:rsidR="0072315E" w:rsidRPr="005378B1">
        <w:t> </w:t>
      </w:r>
      <w:r w:rsidRPr="005378B1">
        <w:t>million (</w:t>
      </w:r>
      <w:r w:rsidR="0033548B" w:rsidRPr="005378B1">
        <w:t xml:space="preserve">1.3 </w:t>
      </w:r>
      <w:r w:rsidRPr="005378B1">
        <w:t xml:space="preserve">per cent) to the funding requirement for </w:t>
      </w:r>
      <w:bookmarkEnd w:id="38"/>
      <w:r w:rsidR="00E20842" w:rsidRPr="005378B1">
        <w:t>202</w:t>
      </w:r>
      <w:r w:rsidR="00BA639D" w:rsidRPr="005378B1">
        <w:t>4</w:t>
      </w:r>
      <w:r w:rsidR="00585254" w:rsidRPr="005378B1">
        <w:t>–</w:t>
      </w:r>
      <w:r w:rsidR="00E20842" w:rsidRPr="005378B1">
        <w:t>2</w:t>
      </w:r>
      <w:r w:rsidR="00BA639D" w:rsidRPr="005378B1">
        <w:t>5</w:t>
      </w:r>
      <w:r w:rsidR="00762E42" w:rsidRPr="005378B1">
        <w:t>.</w:t>
      </w:r>
      <w:r w:rsidRPr="005378B1">
        <w:br w:type="page"/>
      </w:r>
    </w:p>
    <w:p w14:paraId="0CF1C26B" w14:textId="65092010" w:rsidR="00762E42" w:rsidRPr="005378B1" w:rsidRDefault="003C6509" w:rsidP="005378B1">
      <w:pPr>
        <w:pStyle w:val="TableMainHeading"/>
        <w:rPr>
          <w:color w:val="auto"/>
        </w:rPr>
      </w:pPr>
      <w:bookmarkStart w:id="39" w:name="_Toc104212340"/>
      <w:bookmarkStart w:id="40" w:name="_Toc192616564"/>
      <w:bookmarkStart w:id="41" w:name="_Toc192616738"/>
      <w:r w:rsidRPr="005378B1">
        <w:rPr>
          <w:color w:val="auto"/>
        </w:rPr>
        <w:lastRenderedPageBreak/>
        <w:t>Table 2: APRA — Levies funding required</w:t>
      </w:r>
      <w:bookmarkEnd w:id="39"/>
      <w:bookmarkEnd w:id="40"/>
      <w:bookmarkEnd w:id="4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4333"/>
        <w:gridCol w:w="1182"/>
        <w:gridCol w:w="1182"/>
        <w:gridCol w:w="1182"/>
        <w:gridCol w:w="1181"/>
      </w:tblGrid>
      <w:tr w:rsidR="005378B1" w:rsidRPr="00EF7FF8" w14:paraId="5E75D165" w14:textId="77777777" w:rsidTr="00FA0D53">
        <w:trPr>
          <w:cantSplit/>
          <w:trHeight w:val="277"/>
          <w:tblHeader/>
        </w:trPr>
        <w:tc>
          <w:tcPr>
            <w:tcW w:w="2391" w:type="pct"/>
            <w:shd w:val="clear" w:color="auto" w:fill="EEEEEE" w:themeFill="background2"/>
            <w:vAlign w:val="center"/>
            <w:hideMark/>
          </w:tcPr>
          <w:p w14:paraId="357C165B" w14:textId="0C92EAA5" w:rsidR="00762E42" w:rsidRPr="00EF7FF8" w:rsidRDefault="004B7993" w:rsidP="005378B1">
            <w:pPr>
              <w:spacing w:after="0"/>
              <w:rPr>
                <w:rFonts w:cs="Calibri Light"/>
                <w:b/>
                <w:sz w:val="16"/>
                <w:szCs w:val="16"/>
              </w:rPr>
            </w:pPr>
            <w:r w:rsidRPr="00EF7FF8">
              <w:rPr>
                <w:rFonts w:cs="Calibri Light"/>
                <w:b/>
                <w:sz w:val="16"/>
                <w:szCs w:val="16"/>
              </w:rPr>
              <w:t xml:space="preserve">APRA’s funding </w:t>
            </w:r>
            <w:r w:rsidR="00EF7FF8" w:rsidRPr="00EF7FF8">
              <w:rPr>
                <w:rFonts w:cs="Calibri Light"/>
                <w:b/>
                <w:sz w:val="16"/>
                <w:szCs w:val="16"/>
              </w:rPr>
              <w:t>requirements</w:t>
            </w:r>
          </w:p>
        </w:tc>
        <w:tc>
          <w:tcPr>
            <w:tcW w:w="652" w:type="pct"/>
            <w:shd w:val="clear" w:color="auto" w:fill="EEEEEE" w:themeFill="background2"/>
            <w:vAlign w:val="center"/>
            <w:hideMark/>
          </w:tcPr>
          <w:p w14:paraId="54401B12" w14:textId="77777777" w:rsidR="00762E42" w:rsidRPr="00EF7FF8" w:rsidRDefault="00D40328" w:rsidP="005378B1">
            <w:pPr>
              <w:pStyle w:val="TableTextCentered"/>
              <w:rPr>
                <w:rFonts w:cs="Calibri Light"/>
                <w:b/>
                <w:color w:val="auto"/>
                <w:sz w:val="16"/>
                <w:szCs w:val="16"/>
              </w:rPr>
            </w:pPr>
            <w:r w:rsidRPr="00EF7FF8">
              <w:rPr>
                <w:rFonts w:cs="Calibri Light"/>
                <w:b/>
                <w:color w:val="auto"/>
                <w:sz w:val="16"/>
                <w:szCs w:val="16"/>
              </w:rPr>
              <w:t xml:space="preserve">2024-25 </w:t>
            </w:r>
            <w:r w:rsidR="003C6509" w:rsidRPr="00EF7FF8">
              <w:rPr>
                <w:rFonts w:cs="Calibri Light"/>
                <w:b/>
                <w:color w:val="auto"/>
                <w:sz w:val="16"/>
                <w:szCs w:val="16"/>
              </w:rPr>
              <w:t xml:space="preserve">Budget </w:t>
            </w:r>
          </w:p>
          <w:p w14:paraId="74727919" w14:textId="788E58C7" w:rsidR="00D40328" w:rsidRPr="00EF7FF8" w:rsidRDefault="00D40328" w:rsidP="005378B1">
            <w:pPr>
              <w:pStyle w:val="TableTextCentered"/>
              <w:rPr>
                <w:rFonts w:cs="Calibri Light"/>
                <w:b/>
                <w:color w:val="auto"/>
                <w:sz w:val="16"/>
                <w:szCs w:val="16"/>
              </w:rPr>
            </w:pPr>
            <w:r w:rsidRPr="00EF7FF8">
              <w:rPr>
                <w:rFonts w:cs="Calibri Light"/>
                <w:b/>
                <w:color w:val="auto"/>
                <w:sz w:val="16"/>
                <w:szCs w:val="16"/>
              </w:rPr>
              <w:t>($m)</w:t>
            </w:r>
          </w:p>
        </w:tc>
        <w:tc>
          <w:tcPr>
            <w:tcW w:w="652" w:type="pct"/>
            <w:shd w:val="clear" w:color="auto" w:fill="EEEEEE" w:themeFill="background2"/>
            <w:vAlign w:val="center"/>
            <w:hideMark/>
          </w:tcPr>
          <w:p w14:paraId="4BE0D128" w14:textId="77777777" w:rsidR="00762E42" w:rsidRPr="00EF7FF8" w:rsidRDefault="00D40328" w:rsidP="005378B1">
            <w:pPr>
              <w:pStyle w:val="TableTextCentered"/>
              <w:rPr>
                <w:rFonts w:cs="Calibri Light"/>
                <w:b/>
                <w:color w:val="auto"/>
                <w:sz w:val="16"/>
                <w:szCs w:val="16"/>
              </w:rPr>
            </w:pPr>
            <w:r w:rsidRPr="00EF7FF8">
              <w:rPr>
                <w:rFonts w:cs="Calibri Light"/>
                <w:b/>
                <w:color w:val="auto"/>
                <w:sz w:val="16"/>
                <w:szCs w:val="16"/>
              </w:rPr>
              <w:t xml:space="preserve">2025-26 </w:t>
            </w:r>
            <w:r w:rsidR="003C6509" w:rsidRPr="00EF7FF8">
              <w:rPr>
                <w:rFonts w:cs="Calibri Light"/>
                <w:b/>
                <w:color w:val="auto"/>
                <w:sz w:val="16"/>
                <w:szCs w:val="16"/>
              </w:rPr>
              <w:t>Budget</w:t>
            </w:r>
          </w:p>
          <w:p w14:paraId="669C9E54" w14:textId="1CA261CD" w:rsidR="00D40328" w:rsidRPr="00EF7FF8" w:rsidRDefault="00D40328" w:rsidP="005378B1">
            <w:pPr>
              <w:pStyle w:val="TableTextCentered"/>
              <w:rPr>
                <w:rFonts w:cs="Calibri Light"/>
                <w:b/>
                <w:color w:val="auto"/>
                <w:sz w:val="16"/>
                <w:szCs w:val="16"/>
              </w:rPr>
            </w:pPr>
            <w:r w:rsidRPr="00EF7FF8">
              <w:rPr>
                <w:rFonts w:cs="Calibri Light"/>
                <w:b/>
                <w:color w:val="auto"/>
                <w:sz w:val="16"/>
                <w:szCs w:val="16"/>
              </w:rPr>
              <w:t>($m)</w:t>
            </w:r>
          </w:p>
        </w:tc>
        <w:tc>
          <w:tcPr>
            <w:tcW w:w="652" w:type="pct"/>
            <w:shd w:val="clear" w:color="auto" w:fill="EEEEEE" w:themeFill="background2"/>
            <w:vAlign w:val="center"/>
            <w:hideMark/>
          </w:tcPr>
          <w:p w14:paraId="74F7078F" w14:textId="77777777" w:rsidR="00762E42" w:rsidRPr="00EF7FF8" w:rsidRDefault="003C6509" w:rsidP="005378B1">
            <w:pPr>
              <w:pStyle w:val="TableTextCentered"/>
              <w:rPr>
                <w:rFonts w:cs="Calibri Light"/>
                <w:b/>
                <w:color w:val="auto"/>
                <w:sz w:val="16"/>
                <w:szCs w:val="16"/>
              </w:rPr>
            </w:pPr>
            <w:r w:rsidRPr="00EF7FF8">
              <w:rPr>
                <w:rFonts w:cs="Calibri Light"/>
                <w:b/>
                <w:color w:val="auto"/>
                <w:sz w:val="16"/>
                <w:szCs w:val="16"/>
              </w:rPr>
              <w:t>Change</w:t>
            </w:r>
          </w:p>
          <w:p w14:paraId="2172EC3C" w14:textId="11ABFEAA" w:rsidR="00D40328" w:rsidRPr="00EF7FF8" w:rsidRDefault="00D40328" w:rsidP="005378B1">
            <w:pPr>
              <w:pStyle w:val="TableTextCentered"/>
              <w:rPr>
                <w:rFonts w:cs="Calibri Light"/>
                <w:b/>
                <w:color w:val="auto"/>
                <w:sz w:val="16"/>
                <w:szCs w:val="16"/>
              </w:rPr>
            </w:pPr>
            <w:r w:rsidRPr="00EF7FF8">
              <w:rPr>
                <w:rFonts w:cs="Calibri Light"/>
                <w:b/>
                <w:color w:val="auto"/>
                <w:sz w:val="16"/>
                <w:szCs w:val="16"/>
              </w:rPr>
              <w:t>($m)</w:t>
            </w:r>
          </w:p>
        </w:tc>
        <w:tc>
          <w:tcPr>
            <w:tcW w:w="652" w:type="pct"/>
            <w:shd w:val="clear" w:color="auto" w:fill="EEEEEE" w:themeFill="background2"/>
            <w:vAlign w:val="center"/>
            <w:hideMark/>
          </w:tcPr>
          <w:p w14:paraId="7E7F3B70" w14:textId="77777777" w:rsidR="00762E42" w:rsidRPr="00EF7FF8" w:rsidRDefault="003C6509" w:rsidP="005378B1">
            <w:pPr>
              <w:pStyle w:val="TableTextCentered"/>
              <w:rPr>
                <w:rFonts w:cs="Calibri Light"/>
                <w:b/>
                <w:color w:val="auto"/>
                <w:sz w:val="16"/>
                <w:szCs w:val="16"/>
              </w:rPr>
            </w:pPr>
            <w:r w:rsidRPr="00EF7FF8">
              <w:rPr>
                <w:rFonts w:cs="Calibri Light"/>
                <w:b/>
                <w:color w:val="auto"/>
                <w:sz w:val="16"/>
                <w:szCs w:val="16"/>
              </w:rPr>
              <w:t>Change</w:t>
            </w:r>
          </w:p>
          <w:p w14:paraId="50DD8CF7" w14:textId="21D768F7" w:rsidR="00D40328" w:rsidRPr="00EF7FF8" w:rsidRDefault="00D40328" w:rsidP="005378B1">
            <w:pPr>
              <w:pStyle w:val="TableTextCentered"/>
              <w:rPr>
                <w:rFonts w:cs="Calibri Light"/>
                <w:b/>
                <w:color w:val="auto"/>
                <w:sz w:val="16"/>
                <w:szCs w:val="16"/>
              </w:rPr>
            </w:pPr>
            <w:r w:rsidRPr="00EF7FF8">
              <w:rPr>
                <w:rFonts w:cs="Calibri Light"/>
                <w:b/>
                <w:color w:val="auto"/>
                <w:sz w:val="16"/>
                <w:szCs w:val="16"/>
              </w:rPr>
              <w:t>(%)</w:t>
            </w:r>
          </w:p>
        </w:tc>
      </w:tr>
      <w:tr w:rsidR="00BD211F" w:rsidRPr="00EF7FF8" w14:paraId="4925EA70" w14:textId="77777777" w:rsidTr="00FA0D53">
        <w:trPr>
          <w:cantSplit/>
          <w:trHeight w:hRule="exact" w:val="340"/>
          <w:tblHeader/>
        </w:trPr>
        <w:tc>
          <w:tcPr>
            <w:tcW w:w="2391" w:type="pct"/>
            <w:shd w:val="clear" w:color="auto" w:fill="auto"/>
            <w:vAlign w:val="center"/>
            <w:hideMark/>
          </w:tcPr>
          <w:p w14:paraId="565558EE" w14:textId="3D713E97" w:rsidR="00BD211F" w:rsidRPr="00EF7FF8" w:rsidRDefault="00BD211F" w:rsidP="00BD211F">
            <w:pPr>
              <w:pStyle w:val="TableTextLeft"/>
              <w:rPr>
                <w:rFonts w:cs="Calibri Light"/>
                <w:color w:val="auto"/>
                <w:sz w:val="16"/>
                <w:szCs w:val="16"/>
              </w:rPr>
            </w:pPr>
            <w:bookmarkStart w:id="42" w:name="OLE_LINK1"/>
            <w:r w:rsidRPr="00EF7FF8">
              <w:rPr>
                <w:rFonts w:cs="Calibri Light"/>
                <w:sz w:val="16"/>
                <w:szCs w:val="16"/>
              </w:rPr>
              <w:t>APRA - operating expenses</w:t>
            </w:r>
            <w:bookmarkEnd w:id="42"/>
          </w:p>
        </w:tc>
        <w:tc>
          <w:tcPr>
            <w:tcW w:w="652" w:type="pct"/>
            <w:shd w:val="clear" w:color="auto" w:fill="auto"/>
            <w:vAlign w:val="center"/>
            <w:hideMark/>
          </w:tcPr>
          <w:p w14:paraId="23419541" w14:textId="11BA3FB0" w:rsidR="00BD211F" w:rsidRPr="00EF7FF8" w:rsidRDefault="00BD211F" w:rsidP="00BD211F">
            <w:pPr>
              <w:pStyle w:val="TableTextCentered"/>
              <w:rPr>
                <w:rFonts w:cs="Calibri Light"/>
                <w:color w:val="auto"/>
                <w:sz w:val="16"/>
                <w:szCs w:val="16"/>
              </w:rPr>
            </w:pPr>
            <w:r w:rsidRPr="00EF7FF8">
              <w:rPr>
                <w:rFonts w:cs="Calibri Light"/>
                <w:sz w:val="16"/>
                <w:szCs w:val="16"/>
              </w:rPr>
              <w:t>269.7</w:t>
            </w:r>
          </w:p>
        </w:tc>
        <w:tc>
          <w:tcPr>
            <w:tcW w:w="652" w:type="pct"/>
            <w:shd w:val="clear" w:color="auto" w:fill="auto"/>
            <w:vAlign w:val="center"/>
            <w:hideMark/>
          </w:tcPr>
          <w:p w14:paraId="26079C95" w14:textId="312A0434" w:rsidR="00BD211F" w:rsidRPr="00EF7FF8" w:rsidRDefault="00BD211F" w:rsidP="00BD211F">
            <w:pPr>
              <w:pStyle w:val="TableTextCentered"/>
              <w:rPr>
                <w:rFonts w:cs="Calibri Light"/>
                <w:color w:val="auto"/>
                <w:sz w:val="16"/>
                <w:szCs w:val="16"/>
              </w:rPr>
            </w:pPr>
            <w:r w:rsidRPr="00EF7FF8">
              <w:rPr>
                <w:rFonts w:cs="Calibri Light"/>
                <w:sz w:val="16"/>
                <w:szCs w:val="16"/>
              </w:rPr>
              <w:t>266.8</w:t>
            </w:r>
          </w:p>
        </w:tc>
        <w:tc>
          <w:tcPr>
            <w:tcW w:w="652" w:type="pct"/>
            <w:shd w:val="clear" w:color="auto" w:fill="auto"/>
            <w:vAlign w:val="center"/>
            <w:hideMark/>
          </w:tcPr>
          <w:p w14:paraId="0D0EBBED" w14:textId="33EFFA62" w:rsidR="00BD211F" w:rsidRPr="00EF7FF8" w:rsidRDefault="00BD211F" w:rsidP="00BD211F">
            <w:pPr>
              <w:pStyle w:val="TableTextCentered"/>
              <w:rPr>
                <w:rFonts w:cs="Calibri Light"/>
                <w:color w:val="C00000"/>
                <w:sz w:val="16"/>
                <w:szCs w:val="16"/>
              </w:rPr>
            </w:pPr>
            <w:r w:rsidRPr="00EF7FF8">
              <w:rPr>
                <w:rFonts w:cs="Calibri Light"/>
                <w:color w:val="C00000"/>
                <w:sz w:val="16"/>
                <w:szCs w:val="16"/>
              </w:rPr>
              <w:t>(2.9)</w:t>
            </w:r>
          </w:p>
        </w:tc>
        <w:tc>
          <w:tcPr>
            <w:tcW w:w="652" w:type="pct"/>
            <w:shd w:val="clear" w:color="auto" w:fill="auto"/>
            <w:vAlign w:val="center"/>
            <w:hideMark/>
          </w:tcPr>
          <w:p w14:paraId="094C24A1" w14:textId="186563FC" w:rsidR="00BD211F" w:rsidRPr="00EF7FF8" w:rsidRDefault="00BD211F" w:rsidP="00BD211F">
            <w:pPr>
              <w:pStyle w:val="TableTextCentered"/>
              <w:rPr>
                <w:rFonts w:cs="Calibri Light"/>
                <w:color w:val="C00000"/>
                <w:sz w:val="16"/>
                <w:szCs w:val="16"/>
              </w:rPr>
            </w:pPr>
            <w:r w:rsidRPr="00EF7FF8">
              <w:rPr>
                <w:rFonts w:cs="Calibri Light"/>
                <w:color w:val="C00000"/>
                <w:sz w:val="16"/>
                <w:szCs w:val="16"/>
              </w:rPr>
              <w:t>(1.1)</w:t>
            </w:r>
          </w:p>
        </w:tc>
      </w:tr>
      <w:tr w:rsidR="00BD211F" w:rsidRPr="00EF7FF8" w14:paraId="51FF2477" w14:textId="77777777" w:rsidTr="00FA0D53">
        <w:trPr>
          <w:cantSplit/>
          <w:trHeight w:hRule="exact" w:val="340"/>
          <w:tblHeader/>
        </w:trPr>
        <w:tc>
          <w:tcPr>
            <w:tcW w:w="2391" w:type="pct"/>
            <w:shd w:val="clear" w:color="auto" w:fill="auto"/>
            <w:vAlign w:val="center"/>
            <w:hideMark/>
          </w:tcPr>
          <w:p w14:paraId="4E9F9C22" w14:textId="04B980FC" w:rsidR="00BD211F" w:rsidRPr="00EF7FF8" w:rsidRDefault="00BD211F" w:rsidP="00BD211F">
            <w:pPr>
              <w:pStyle w:val="TableTextLeft"/>
              <w:rPr>
                <w:rFonts w:cs="Calibri Light"/>
                <w:color w:val="auto"/>
                <w:sz w:val="16"/>
                <w:szCs w:val="16"/>
              </w:rPr>
            </w:pPr>
            <w:r w:rsidRPr="00EF7FF8">
              <w:rPr>
                <w:rFonts w:cs="Calibri Light"/>
                <w:sz w:val="16"/>
                <w:szCs w:val="16"/>
              </w:rPr>
              <w:t>APRA - contingency enforcement fund</w:t>
            </w:r>
          </w:p>
        </w:tc>
        <w:tc>
          <w:tcPr>
            <w:tcW w:w="652" w:type="pct"/>
            <w:shd w:val="clear" w:color="auto" w:fill="auto"/>
            <w:vAlign w:val="center"/>
            <w:hideMark/>
          </w:tcPr>
          <w:p w14:paraId="5C35AF33" w14:textId="5B95ED21" w:rsidR="00BD211F" w:rsidRPr="00EF7FF8" w:rsidRDefault="00BD211F" w:rsidP="00BD211F">
            <w:pPr>
              <w:pStyle w:val="TableTextCentered"/>
              <w:rPr>
                <w:rFonts w:cs="Calibri Light"/>
                <w:color w:val="auto"/>
                <w:sz w:val="16"/>
                <w:szCs w:val="16"/>
              </w:rPr>
            </w:pPr>
            <w:r w:rsidRPr="00EF7FF8">
              <w:rPr>
                <w:rFonts w:cs="Calibri Light"/>
                <w:sz w:val="16"/>
                <w:szCs w:val="16"/>
              </w:rPr>
              <w:t>1.0</w:t>
            </w:r>
          </w:p>
        </w:tc>
        <w:tc>
          <w:tcPr>
            <w:tcW w:w="652" w:type="pct"/>
            <w:shd w:val="clear" w:color="auto" w:fill="auto"/>
            <w:vAlign w:val="center"/>
            <w:hideMark/>
          </w:tcPr>
          <w:p w14:paraId="128F121E" w14:textId="21B703ED" w:rsidR="00BD211F" w:rsidRPr="00EF7FF8" w:rsidRDefault="00BD211F" w:rsidP="00BD211F">
            <w:pPr>
              <w:pStyle w:val="TableTextCentered"/>
              <w:rPr>
                <w:rFonts w:cs="Calibri Light"/>
                <w:color w:val="auto"/>
                <w:sz w:val="16"/>
                <w:szCs w:val="16"/>
              </w:rPr>
            </w:pPr>
            <w:r w:rsidRPr="00EF7FF8">
              <w:rPr>
                <w:rFonts w:cs="Calibri Light"/>
                <w:sz w:val="16"/>
                <w:szCs w:val="16"/>
              </w:rPr>
              <w:t>1.0</w:t>
            </w:r>
          </w:p>
        </w:tc>
        <w:tc>
          <w:tcPr>
            <w:tcW w:w="652" w:type="pct"/>
            <w:shd w:val="clear" w:color="auto" w:fill="auto"/>
            <w:vAlign w:val="center"/>
            <w:hideMark/>
          </w:tcPr>
          <w:p w14:paraId="15B6D388" w14:textId="79F8A724" w:rsidR="00BD211F" w:rsidRPr="00EF7FF8" w:rsidRDefault="001D2103" w:rsidP="00BD211F">
            <w:pPr>
              <w:pStyle w:val="TableTextCentered"/>
              <w:rPr>
                <w:rFonts w:cs="Calibri Light"/>
                <w:color w:val="auto"/>
                <w:sz w:val="16"/>
                <w:szCs w:val="16"/>
              </w:rPr>
            </w:pPr>
            <w:r w:rsidRPr="00EF7FF8">
              <w:rPr>
                <w:rFonts w:cs="Calibri Light"/>
                <w:sz w:val="16"/>
                <w:szCs w:val="16"/>
              </w:rPr>
              <w:t>0.0</w:t>
            </w:r>
          </w:p>
        </w:tc>
        <w:tc>
          <w:tcPr>
            <w:tcW w:w="652" w:type="pct"/>
            <w:shd w:val="clear" w:color="auto" w:fill="auto"/>
            <w:vAlign w:val="center"/>
            <w:hideMark/>
          </w:tcPr>
          <w:p w14:paraId="21DDB896" w14:textId="31F7E851" w:rsidR="00BD211F" w:rsidRPr="00EF7FF8" w:rsidRDefault="001D2103" w:rsidP="00BD211F">
            <w:pPr>
              <w:pStyle w:val="TableTextCentered"/>
              <w:rPr>
                <w:rFonts w:cs="Calibri Light"/>
                <w:color w:val="auto"/>
                <w:sz w:val="16"/>
                <w:szCs w:val="16"/>
              </w:rPr>
            </w:pPr>
            <w:r w:rsidRPr="00EF7FF8">
              <w:rPr>
                <w:rFonts w:cs="Calibri Light"/>
                <w:sz w:val="16"/>
                <w:szCs w:val="16"/>
              </w:rPr>
              <w:t>0.0</w:t>
            </w:r>
          </w:p>
        </w:tc>
      </w:tr>
      <w:tr w:rsidR="00BD211F" w:rsidRPr="00EF7FF8" w14:paraId="4A6F5C12" w14:textId="77777777" w:rsidTr="00FA0D53">
        <w:trPr>
          <w:cantSplit/>
          <w:trHeight w:hRule="exact" w:val="340"/>
          <w:tblHeader/>
        </w:trPr>
        <w:tc>
          <w:tcPr>
            <w:tcW w:w="2391" w:type="pct"/>
            <w:shd w:val="clear" w:color="auto" w:fill="auto"/>
            <w:vAlign w:val="center"/>
            <w:hideMark/>
          </w:tcPr>
          <w:p w14:paraId="4426B821" w14:textId="44F757E4" w:rsidR="00BD211F" w:rsidRPr="00EF7FF8" w:rsidRDefault="00BD211F" w:rsidP="00BD211F">
            <w:pPr>
              <w:pStyle w:val="TableTextLeft"/>
              <w:rPr>
                <w:rFonts w:cs="Calibri Light"/>
                <w:color w:val="auto"/>
                <w:sz w:val="16"/>
                <w:szCs w:val="16"/>
              </w:rPr>
            </w:pPr>
            <w:bookmarkStart w:id="43" w:name="OLE_LINK3"/>
            <w:r w:rsidRPr="00EF7FF8">
              <w:rPr>
                <w:rFonts w:cs="Calibri Light"/>
                <w:sz w:val="16"/>
                <w:szCs w:val="16"/>
              </w:rPr>
              <w:t>Non-Levy income (Table 3)</w:t>
            </w:r>
            <w:bookmarkEnd w:id="43"/>
          </w:p>
        </w:tc>
        <w:tc>
          <w:tcPr>
            <w:tcW w:w="652" w:type="pct"/>
            <w:shd w:val="clear" w:color="auto" w:fill="auto"/>
            <w:vAlign w:val="center"/>
            <w:hideMark/>
          </w:tcPr>
          <w:p w14:paraId="1C72AE18" w14:textId="1E440217" w:rsidR="00BD211F" w:rsidRPr="00EF7FF8" w:rsidRDefault="00BD211F" w:rsidP="00BD211F">
            <w:pPr>
              <w:pStyle w:val="TableTextCentered"/>
              <w:rPr>
                <w:rFonts w:cs="Calibri Light"/>
                <w:color w:val="C00000"/>
                <w:sz w:val="16"/>
                <w:szCs w:val="16"/>
              </w:rPr>
            </w:pPr>
            <w:r w:rsidRPr="00EF7FF8">
              <w:rPr>
                <w:rFonts w:cs="Calibri Light"/>
                <w:color w:val="C00000"/>
                <w:sz w:val="16"/>
                <w:szCs w:val="16"/>
              </w:rPr>
              <w:t>(21.1)</w:t>
            </w:r>
          </w:p>
        </w:tc>
        <w:tc>
          <w:tcPr>
            <w:tcW w:w="652" w:type="pct"/>
            <w:shd w:val="clear" w:color="auto" w:fill="auto"/>
            <w:vAlign w:val="center"/>
            <w:hideMark/>
          </w:tcPr>
          <w:p w14:paraId="768D9BF8" w14:textId="3210EB39" w:rsidR="00BD211F" w:rsidRPr="00EF7FF8" w:rsidRDefault="00BD211F" w:rsidP="00BD211F">
            <w:pPr>
              <w:pStyle w:val="TableTextCentered"/>
              <w:rPr>
                <w:rFonts w:cs="Calibri Light"/>
                <w:color w:val="C00000"/>
                <w:sz w:val="16"/>
                <w:szCs w:val="16"/>
              </w:rPr>
            </w:pPr>
            <w:r w:rsidRPr="00EF7FF8">
              <w:rPr>
                <w:rFonts w:cs="Calibri Light"/>
                <w:color w:val="C00000"/>
                <w:sz w:val="16"/>
                <w:szCs w:val="16"/>
              </w:rPr>
              <w:t>(21.7)</w:t>
            </w:r>
          </w:p>
        </w:tc>
        <w:tc>
          <w:tcPr>
            <w:tcW w:w="652" w:type="pct"/>
            <w:shd w:val="clear" w:color="auto" w:fill="auto"/>
            <w:vAlign w:val="center"/>
            <w:hideMark/>
          </w:tcPr>
          <w:p w14:paraId="31A55D59" w14:textId="4E1CAC65" w:rsidR="00BD211F" w:rsidRPr="00EF7FF8" w:rsidRDefault="00BD211F" w:rsidP="00BD211F">
            <w:pPr>
              <w:pStyle w:val="TableTextCentered"/>
              <w:rPr>
                <w:rFonts w:cs="Calibri Light"/>
                <w:color w:val="C00000"/>
                <w:sz w:val="16"/>
                <w:szCs w:val="16"/>
              </w:rPr>
            </w:pPr>
            <w:r w:rsidRPr="00EF7FF8">
              <w:rPr>
                <w:rFonts w:cs="Calibri Light"/>
                <w:color w:val="C00000"/>
                <w:sz w:val="16"/>
                <w:szCs w:val="16"/>
              </w:rPr>
              <w:t>(0.6)</w:t>
            </w:r>
          </w:p>
        </w:tc>
        <w:tc>
          <w:tcPr>
            <w:tcW w:w="652" w:type="pct"/>
            <w:shd w:val="clear" w:color="auto" w:fill="auto"/>
            <w:vAlign w:val="center"/>
            <w:hideMark/>
          </w:tcPr>
          <w:p w14:paraId="2FFAFAAC" w14:textId="6D3EA194" w:rsidR="00BD211F" w:rsidRPr="00EF7FF8" w:rsidRDefault="00BD211F" w:rsidP="00BD211F">
            <w:pPr>
              <w:pStyle w:val="TableTextCentered"/>
              <w:rPr>
                <w:rFonts w:cs="Calibri Light"/>
                <w:color w:val="auto"/>
                <w:sz w:val="16"/>
                <w:szCs w:val="16"/>
              </w:rPr>
            </w:pPr>
            <w:r w:rsidRPr="00EF7FF8">
              <w:rPr>
                <w:rFonts w:cs="Calibri Light"/>
                <w:sz w:val="16"/>
                <w:szCs w:val="16"/>
              </w:rPr>
              <w:t>2.8</w:t>
            </w:r>
          </w:p>
        </w:tc>
      </w:tr>
      <w:tr w:rsidR="00BD211F" w:rsidRPr="00EF7FF8" w14:paraId="3BA4B47A" w14:textId="77777777" w:rsidTr="00FA0D53">
        <w:trPr>
          <w:cantSplit/>
          <w:trHeight w:hRule="exact" w:val="523"/>
          <w:tblHeader/>
        </w:trPr>
        <w:tc>
          <w:tcPr>
            <w:tcW w:w="2391" w:type="pct"/>
            <w:shd w:val="clear" w:color="auto" w:fill="auto"/>
            <w:vAlign w:val="center"/>
            <w:hideMark/>
          </w:tcPr>
          <w:p w14:paraId="2D2BF23C" w14:textId="16C99EAF" w:rsidR="00BD211F" w:rsidRPr="00EF7FF8" w:rsidRDefault="00BD211F" w:rsidP="00BD211F">
            <w:pPr>
              <w:pStyle w:val="TableTextLeft"/>
              <w:rPr>
                <w:rFonts w:cs="Calibri Light"/>
                <w:color w:val="auto"/>
                <w:sz w:val="16"/>
                <w:szCs w:val="16"/>
              </w:rPr>
            </w:pPr>
            <w:r w:rsidRPr="00EF7FF8">
              <w:rPr>
                <w:rFonts w:cs="Calibri Light"/>
                <w:sz w:val="16"/>
                <w:szCs w:val="16"/>
              </w:rPr>
              <w:t>Prior year under / over collected revenue (recouped / refunded) from industry (Table 4)</w:t>
            </w:r>
          </w:p>
        </w:tc>
        <w:tc>
          <w:tcPr>
            <w:tcW w:w="652" w:type="pct"/>
            <w:shd w:val="clear" w:color="auto" w:fill="auto"/>
            <w:vAlign w:val="center"/>
            <w:hideMark/>
          </w:tcPr>
          <w:p w14:paraId="09F8BD85" w14:textId="4FD9530D" w:rsidR="00BD211F" w:rsidRPr="00EF7FF8" w:rsidRDefault="00BD211F" w:rsidP="00BD211F">
            <w:pPr>
              <w:pStyle w:val="TableTextCentered"/>
              <w:rPr>
                <w:rFonts w:cs="Calibri Light"/>
                <w:color w:val="C00000"/>
                <w:sz w:val="16"/>
                <w:szCs w:val="16"/>
              </w:rPr>
            </w:pPr>
            <w:r w:rsidRPr="00EF7FF8">
              <w:rPr>
                <w:rFonts w:cs="Calibri Light"/>
                <w:color w:val="C00000"/>
                <w:sz w:val="16"/>
                <w:szCs w:val="16"/>
              </w:rPr>
              <w:t>(1.7)</w:t>
            </w:r>
          </w:p>
        </w:tc>
        <w:tc>
          <w:tcPr>
            <w:tcW w:w="652" w:type="pct"/>
            <w:shd w:val="clear" w:color="auto" w:fill="auto"/>
            <w:vAlign w:val="center"/>
            <w:hideMark/>
          </w:tcPr>
          <w:p w14:paraId="268B4300" w14:textId="5F53EB65" w:rsidR="00BD211F" w:rsidRPr="00EF7FF8" w:rsidRDefault="00BD211F" w:rsidP="00BD211F">
            <w:pPr>
              <w:pStyle w:val="TableTextCentered"/>
              <w:rPr>
                <w:rFonts w:cs="Calibri Light"/>
                <w:color w:val="C00000"/>
                <w:sz w:val="16"/>
                <w:szCs w:val="16"/>
              </w:rPr>
            </w:pPr>
            <w:r w:rsidRPr="00EF7FF8">
              <w:rPr>
                <w:rFonts w:cs="Calibri Light"/>
                <w:color w:val="C00000"/>
                <w:sz w:val="16"/>
                <w:szCs w:val="16"/>
              </w:rPr>
              <w:t>(2.2)</w:t>
            </w:r>
          </w:p>
        </w:tc>
        <w:tc>
          <w:tcPr>
            <w:tcW w:w="652" w:type="pct"/>
            <w:shd w:val="clear" w:color="auto" w:fill="auto"/>
            <w:vAlign w:val="center"/>
            <w:hideMark/>
          </w:tcPr>
          <w:p w14:paraId="47962CDE" w14:textId="317A5B15" w:rsidR="00BD211F" w:rsidRPr="00EF7FF8" w:rsidRDefault="00BD211F" w:rsidP="00BD211F">
            <w:pPr>
              <w:pStyle w:val="TableTextCentered"/>
              <w:rPr>
                <w:rFonts w:cs="Calibri Light"/>
                <w:color w:val="C00000"/>
                <w:sz w:val="16"/>
                <w:szCs w:val="16"/>
              </w:rPr>
            </w:pPr>
            <w:r w:rsidRPr="00EF7FF8">
              <w:rPr>
                <w:rFonts w:cs="Calibri Light"/>
                <w:color w:val="C00000"/>
                <w:sz w:val="16"/>
                <w:szCs w:val="16"/>
              </w:rPr>
              <w:t>(0.5)</w:t>
            </w:r>
          </w:p>
        </w:tc>
        <w:tc>
          <w:tcPr>
            <w:tcW w:w="652" w:type="pct"/>
            <w:shd w:val="clear" w:color="auto" w:fill="auto"/>
            <w:vAlign w:val="center"/>
            <w:hideMark/>
          </w:tcPr>
          <w:p w14:paraId="674420A1" w14:textId="614B574F" w:rsidR="00BD211F" w:rsidRPr="00EF7FF8" w:rsidRDefault="00BD211F" w:rsidP="00BD211F">
            <w:pPr>
              <w:pStyle w:val="TableTextCentered"/>
              <w:rPr>
                <w:rFonts w:cs="Calibri Light"/>
                <w:color w:val="auto"/>
                <w:sz w:val="16"/>
                <w:szCs w:val="16"/>
              </w:rPr>
            </w:pPr>
            <w:r w:rsidRPr="00EF7FF8">
              <w:rPr>
                <w:rFonts w:cs="Calibri Light"/>
                <w:sz w:val="16"/>
                <w:szCs w:val="16"/>
              </w:rPr>
              <w:t>29.4</w:t>
            </w:r>
          </w:p>
        </w:tc>
      </w:tr>
      <w:tr w:rsidR="00BD211F" w:rsidRPr="00EF7FF8" w14:paraId="466C2D53" w14:textId="77777777" w:rsidTr="00FA0D53">
        <w:trPr>
          <w:cantSplit/>
          <w:trHeight w:hRule="exact" w:val="552"/>
          <w:tblHeader/>
        </w:trPr>
        <w:tc>
          <w:tcPr>
            <w:tcW w:w="2391" w:type="pct"/>
            <w:shd w:val="clear" w:color="auto" w:fill="auto"/>
            <w:vAlign w:val="center"/>
          </w:tcPr>
          <w:p w14:paraId="15CE6A4F" w14:textId="29F15262" w:rsidR="00BD211F" w:rsidRPr="00EF7FF8" w:rsidRDefault="00BD211F" w:rsidP="00BD211F">
            <w:pPr>
              <w:pStyle w:val="TableTextLeft"/>
              <w:rPr>
                <w:rFonts w:cs="Calibri Light"/>
                <w:color w:val="auto"/>
                <w:sz w:val="16"/>
                <w:szCs w:val="16"/>
              </w:rPr>
            </w:pPr>
            <w:r w:rsidRPr="00EF7FF8">
              <w:rPr>
                <w:rFonts w:cs="Calibri Light"/>
                <w:sz w:val="16"/>
                <w:szCs w:val="16"/>
              </w:rPr>
              <w:t xml:space="preserve">Budget </w:t>
            </w:r>
            <w:r w:rsidR="00DE3B4D" w:rsidRPr="00EF7FF8">
              <w:rPr>
                <w:rFonts w:cs="Calibri Light"/>
                <w:sz w:val="16"/>
                <w:szCs w:val="16"/>
              </w:rPr>
              <w:t>M</w:t>
            </w:r>
            <w:r w:rsidRPr="00EF7FF8">
              <w:rPr>
                <w:rFonts w:cs="Calibri Light"/>
                <w:sz w:val="16"/>
                <w:szCs w:val="16"/>
              </w:rPr>
              <w:t xml:space="preserve">easure - </w:t>
            </w:r>
            <w:r w:rsidR="00DE3B4D" w:rsidRPr="00EF7FF8">
              <w:rPr>
                <w:rFonts w:cs="Calibri Light"/>
                <w:sz w:val="16"/>
                <w:szCs w:val="16"/>
              </w:rPr>
              <w:t>s</w:t>
            </w:r>
            <w:r w:rsidRPr="00EF7FF8">
              <w:rPr>
                <w:rFonts w:cs="Calibri Light"/>
                <w:sz w:val="16"/>
                <w:szCs w:val="16"/>
              </w:rPr>
              <w:t>uperannuation in retirement reporting framework</w:t>
            </w:r>
          </w:p>
        </w:tc>
        <w:tc>
          <w:tcPr>
            <w:tcW w:w="652" w:type="pct"/>
            <w:shd w:val="clear" w:color="auto" w:fill="auto"/>
            <w:vAlign w:val="center"/>
          </w:tcPr>
          <w:p w14:paraId="2AD1043C" w14:textId="74DA9A05" w:rsidR="00BD211F" w:rsidRPr="00EF7FF8" w:rsidRDefault="00BD211F" w:rsidP="00BD211F">
            <w:pPr>
              <w:pStyle w:val="TableTextCentered"/>
              <w:rPr>
                <w:rFonts w:cs="Calibri Light"/>
                <w:color w:val="auto"/>
                <w:sz w:val="16"/>
                <w:szCs w:val="16"/>
              </w:rPr>
            </w:pPr>
            <w:r w:rsidRPr="00EF7FF8">
              <w:rPr>
                <w:rFonts w:cs="Calibri Light"/>
                <w:sz w:val="16"/>
                <w:szCs w:val="16"/>
              </w:rPr>
              <w:t>1.3</w:t>
            </w:r>
          </w:p>
        </w:tc>
        <w:tc>
          <w:tcPr>
            <w:tcW w:w="652" w:type="pct"/>
            <w:shd w:val="clear" w:color="auto" w:fill="auto"/>
            <w:vAlign w:val="center"/>
          </w:tcPr>
          <w:p w14:paraId="2F9C39BB" w14:textId="0153B253" w:rsidR="00BD211F" w:rsidRPr="00EF7FF8" w:rsidRDefault="00BD211F" w:rsidP="00BD211F">
            <w:pPr>
              <w:pStyle w:val="TableTextCentered"/>
              <w:rPr>
                <w:rFonts w:cs="Calibri Light"/>
                <w:color w:val="auto"/>
                <w:sz w:val="16"/>
                <w:szCs w:val="16"/>
              </w:rPr>
            </w:pPr>
            <w:r w:rsidRPr="00EF7FF8">
              <w:rPr>
                <w:rFonts w:cs="Calibri Light"/>
                <w:sz w:val="16"/>
                <w:szCs w:val="16"/>
              </w:rPr>
              <w:t>2.0</w:t>
            </w:r>
          </w:p>
        </w:tc>
        <w:tc>
          <w:tcPr>
            <w:tcW w:w="652" w:type="pct"/>
            <w:shd w:val="clear" w:color="auto" w:fill="auto"/>
            <w:vAlign w:val="center"/>
          </w:tcPr>
          <w:p w14:paraId="175F7CCC" w14:textId="02ECBB0D" w:rsidR="00BD211F" w:rsidRPr="00EF7FF8" w:rsidRDefault="00BD211F" w:rsidP="00BD211F">
            <w:pPr>
              <w:pStyle w:val="TableTextCentered"/>
              <w:rPr>
                <w:rFonts w:cs="Calibri Light"/>
                <w:color w:val="auto"/>
                <w:sz w:val="16"/>
                <w:szCs w:val="16"/>
              </w:rPr>
            </w:pPr>
            <w:r w:rsidRPr="00EF7FF8">
              <w:rPr>
                <w:rFonts w:cs="Calibri Light"/>
                <w:sz w:val="16"/>
                <w:szCs w:val="16"/>
              </w:rPr>
              <w:t>0.7</w:t>
            </w:r>
          </w:p>
        </w:tc>
        <w:tc>
          <w:tcPr>
            <w:tcW w:w="652" w:type="pct"/>
            <w:shd w:val="clear" w:color="auto" w:fill="auto"/>
            <w:vAlign w:val="center"/>
          </w:tcPr>
          <w:p w14:paraId="45436AFC" w14:textId="4ED08B3C" w:rsidR="00BD211F" w:rsidRPr="00EF7FF8" w:rsidRDefault="00BD211F" w:rsidP="00BD211F">
            <w:pPr>
              <w:pStyle w:val="TableTextCentered"/>
              <w:rPr>
                <w:rFonts w:cs="Calibri Light"/>
                <w:color w:val="auto"/>
                <w:sz w:val="16"/>
                <w:szCs w:val="16"/>
              </w:rPr>
            </w:pPr>
            <w:r w:rsidRPr="00EF7FF8">
              <w:rPr>
                <w:rFonts w:cs="Calibri Light"/>
                <w:sz w:val="16"/>
                <w:szCs w:val="16"/>
              </w:rPr>
              <w:t>53.8</w:t>
            </w:r>
          </w:p>
        </w:tc>
      </w:tr>
      <w:tr w:rsidR="00BD211F" w:rsidRPr="00EF7FF8" w14:paraId="7E10C594" w14:textId="77777777" w:rsidTr="00FA0D53">
        <w:trPr>
          <w:cantSplit/>
          <w:trHeight w:hRule="exact" w:val="340"/>
          <w:tblHeader/>
        </w:trPr>
        <w:tc>
          <w:tcPr>
            <w:tcW w:w="2391" w:type="pct"/>
            <w:shd w:val="clear" w:color="auto" w:fill="auto"/>
            <w:vAlign w:val="center"/>
          </w:tcPr>
          <w:p w14:paraId="2363F83D" w14:textId="317A53E6" w:rsidR="00BD211F" w:rsidRPr="00EF7FF8" w:rsidRDefault="00BD211F" w:rsidP="00BD211F">
            <w:pPr>
              <w:pStyle w:val="TableTextLeft"/>
              <w:rPr>
                <w:rFonts w:cs="Calibri Light"/>
                <w:color w:val="auto"/>
                <w:sz w:val="16"/>
                <w:szCs w:val="16"/>
              </w:rPr>
            </w:pPr>
            <w:bookmarkStart w:id="44" w:name="OLE_LINK2"/>
            <w:r w:rsidRPr="00EF7FF8">
              <w:rPr>
                <w:rFonts w:cs="Calibri Light"/>
                <w:sz w:val="16"/>
                <w:szCs w:val="16"/>
              </w:rPr>
              <w:t>Removal of impact of AASB16 – Leases</w:t>
            </w:r>
            <w:bookmarkEnd w:id="44"/>
          </w:p>
        </w:tc>
        <w:tc>
          <w:tcPr>
            <w:tcW w:w="652" w:type="pct"/>
            <w:shd w:val="clear" w:color="auto" w:fill="auto"/>
            <w:vAlign w:val="center"/>
          </w:tcPr>
          <w:p w14:paraId="4D37000B" w14:textId="0723E3A9" w:rsidR="00BD211F" w:rsidRPr="00EF7FF8" w:rsidRDefault="00BD211F" w:rsidP="00BD211F">
            <w:pPr>
              <w:pStyle w:val="TableTextCentered"/>
              <w:rPr>
                <w:rFonts w:cs="Calibri Light"/>
                <w:color w:val="C00000"/>
                <w:sz w:val="16"/>
                <w:szCs w:val="16"/>
              </w:rPr>
            </w:pPr>
            <w:r w:rsidRPr="00EF7FF8">
              <w:rPr>
                <w:rFonts w:cs="Calibri Light"/>
                <w:color w:val="C00000"/>
                <w:sz w:val="16"/>
                <w:szCs w:val="16"/>
              </w:rPr>
              <w:t>(3.1)</w:t>
            </w:r>
          </w:p>
        </w:tc>
        <w:tc>
          <w:tcPr>
            <w:tcW w:w="652" w:type="pct"/>
            <w:shd w:val="clear" w:color="auto" w:fill="auto"/>
            <w:vAlign w:val="center"/>
          </w:tcPr>
          <w:p w14:paraId="52099590" w14:textId="06E1793B" w:rsidR="00BD211F" w:rsidRPr="00EF7FF8" w:rsidRDefault="00BD211F" w:rsidP="00BD211F">
            <w:pPr>
              <w:pStyle w:val="TableTextCentered"/>
              <w:rPr>
                <w:rFonts w:cs="Calibri Light"/>
                <w:color w:val="C00000"/>
                <w:sz w:val="16"/>
                <w:szCs w:val="16"/>
              </w:rPr>
            </w:pPr>
            <w:r w:rsidRPr="00EF7FF8">
              <w:rPr>
                <w:rFonts w:cs="Calibri Light"/>
                <w:color w:val="C00000"/>
                <w:sz w:val="16"/>
                <w:szCs w:val="16"/>
              </w:rPr>
              <w:t>(2.9)</w:t>
            </w:r>
          </w:p>
        </w:tc>
        <w:tc>
          <w:tcPr>
            <w:tcW w:w="652" w:type="pct"/>
            <w:shd w:val="clear" w:color="auto" w:fill="auto"/>
            <w:vAlign w:val="center"/>
          </w:tcPr>
          <w:p w14:paraId="54BBA0E9" w14:textId="12F46DB4" w:rsidR="00BD211F" w:rsidRPr="00EF7FF8" w:rsidRDefault="00BD211F" w:rsidP="00BD211F">
            <w:pPr>
              <w:pStyle w:val="TableTextCentered"/>
              <w:rPr>
                <w:rFonts w:cs="Calibri Light"/>
                <w:color w:val="auto"/>
                <w:sz w:val="16"/>
                <w:szCs w:val="16"/>
              </w:rPr>
            </w:pPr>
            <w:r w:rsidRPr="00EF7FF8">
              <w:rPr>
                <w:rFonts w:cs="Calibri Light"/>
                <w:sz w:val="16"/>
                <w:szCs w:val="16"/>
              </w:rPr>
              <w:t>0.2</w:t>
            </w:r>
          </w:p>
        </w:tc>
        <w:tc>
          <w:tcPr>
            <w:tcW w:w="652" w:type="pct"/>
            <w:shd w:val="clear" w:color="auto" w:fill="auto"/>
            <w:vAlign w:val="center"/>
          </w:tcPr>
          <w:p w14:paraId="3D18DE31" w14:textId="46215EBE" w:rsidR="00BD211F" w:rsidRPr="00EF7FF8" w:rsidRDefault="00BD211F" w:rsidP="00BD211F">
            <w:pPr>
              <w:pStyle w:val="TableTextCentered"/>
              <w:rPr>
                <w:rFonts w:cs="Calibri Light"/>
                <w:color w:val="auto"/>
                <w:sz w:val="16"/>
                <w:szCs w:val="16"/>
              </w:rPr>
            </w:pPr>
            <w:r w:rsidRPr="00EF7FF8">
              <w:rPr>
                <w:rFonts w:cs="Calibri Light"/>
                <w:color w:val="C00000"/>
                <w:sz w:val="16"/>
                <w:szCs w:val="16"/>
              </w:rPr>
              <w:t>(6.5)</w:t>
            </w:r>
          </w:p>
        </w:tc>
      </w:tr>
      <w:tr w:rsidR="00BD211F" w:rsidRPr="00EF7FF8" w14:paraId="0AF94969" w14:textId="77777777" w:rsidTr="00FA0D53">
        <w:trPr>
          <w:cantSplit/>
          <w:trHeight w:hRule="exact" w:val="340"/>
          <w:tblHeader/>
        </w:trPr>
        <w:tc>
          <w:tcPr>
            <w:tcW w:w="2391" w:type="pct"/>
            <w:shd w:val="clear" w:color="auto" w:fill="auto"/>
            <w:vAlign w:val="center"/>
            <w:hideMark/>
          </w:tcPr>
          <w:p w14:paraId="6478BF6A" w14:textId="77777777" w:rsidR="00BD211F" w:rsidRPr="00EF7FF8" w:rsidRDefault="00BD211F" w:rsidP="00BD211F">
            <w:pPr>
              <w:pStyle w:val="TableTextLeft"/>
              <w:rPr>
                <w:rFonts w:cs="Calibri Light"/>
                <w:b/>
                <w:color w:val="auto"/>
                <w:sz w:val="16"/>
                <w:szCs w:val="16"/>
              </w:rPr>
            </w:pPr>
            <w:r w:rsidRPr="00EF7FF8">
              <w:rPr>
                <w:rFonts w:cs="Calibri Light"/>
                <w:b/>
                <w:color w:val="auto"/>
                <w:sz w:val="16"/>
                <w:szCs w:val="16"/>
              </w:rPr>
              <w:t>Net funding met through industry levies</w:t>
            </w:r>
          </w:p>
        </w:tc>
        <w:tc>
          <w:tcPr>
            <w:tcW w:w="652" w:type="pct"/>
            <w:shd w:val="clear" w:color="auto" w:fill="auto"/>
            <w:vAlign w:val="center"/>
            <w:hideMark/>
          </w:tcPr>
          <w:p w14:paraId="07544111" w14:textId="093C7C63" w:rsidR="00BD211F" w:rsidRPr="00EF7FF8" w:rsidRDefault="00BD211F" w:rsidP="00BD211F">
            <w:pPr>
              <w:pStyle w:val="TableTextCentered"/>
              <w:rPr>
                <w:rFonts w:cs="Calibri Light"/>
                <w:b/>
                <w:color w:val="auto"/>
                <w:sz w:val="16"/>
                <w:szCs w:val="16"/>
              </w:rPr>
            </w:pPr>
            <w:r w:rsidRPr="00EF7FF8">
              <w:rPr>
                <w:rFonts w:cs="Calibri Light"/>
                <w:b/>
                <w:bCs/>
                <w:sz w:val="16"/>
                <w:szCs w:val="16"/>
              </w:rPr>
              <w:t>246.1</w:t>
            </w:r>
          </w:p>
        </w:tc>
        <w:tc>
          <w:tcPr>
            <w:tcW w:w="652" w:type="pct"/>
            <w:shd w:val="clear" w:color="auto" w:fill="auto"/>
            <w:vAlign w:val="center"/>
            <w:hideMark/>
          </w:tcPr>
          <w:p w14:paraId="4650F0CF" w14:textId="707CA1E0" w:rsidR="00BD211F" w:rsidRPr="00EF7FF8" w:rsidRDefault="00BD211F" w:rsidP="00BD211F">
            <w:pPr>
              <w:pStyle w:val="TableTextCentered"/>
              <w:rPr>
                <w:rFonts w:cs="Calibri Light"/>
                <w:b/>
                <w:color w:val="auto"/>
                <w:sz w:val="16"/>
                <w:szCs w:val="16"/>
              </w:rPr>
            </w:pPr>
            <w:r w:rsidRPr="00EF7FF8">
              <w:rPr>
                <w:rFonts w:cs="Calibri Light"/>
                <w:b/>
                <w:bCs/>
                <w:sz w:val="16"/>
                <w:szCs w:val="16"/>
              </w:rPr>
              <w:t>243.0</w:t>
            </w:r>
          </w:p>
        </w:tc>
        <w:tc>
          <w:tcPr>
            <w:tcW w:w="652" w:type="pct"/>
            <w:shd w:val="clear" w:color="auto" w:fill="auto"/>
            <w:vAlign w:val="center"/>
            <w:hideMark/>
          </w:tcPr>
          <w:p w14:paraId="2A33018E" w14:textId="785B0C40" w:rsidR="00BD211F" w:rsidRPr="00EF7FF8" w:rsidRDefault="00BD211F" w:rsidP="00BD211F">
            <w:pPr>
              <w:pStyle w:val="TableTextCentered"/>
              <w:rPr>
                <w:rFonts w:cs="Calibri Light"/>
                <w:b/>
                <w:color w:val="C00000"/>
                <w:sz w:val="16"/>
                <w:szCs w:val="16"/>
              </w:rPr>
            </w:pPr>
            <w:r w:rsidRPr="00EF7FF8">
              <w:rPr>
                <w:rFonts w:cs="Calibri Light"/>
                <w:b/>
                <w:bCs/>
                <w:color w:val="C00000"/>
                <w:sz w:val="16"/>
                <w:szCs w:val="16"/>
              </w:rPr>
              <w:t>(3.1)</w:t>
            </w:r>
          </w:p>
        </w:tc>
        <w:tc>
          <w:tcPr>
            <w:tcW w:w="652" w:type="pct"/>
            <w:shd w:val="clear" w:color="auto" w:fill="auto"/>
            <w:vAlign w:val="center"/>
            <w:hideMark/>
          </w:tcPr>
          <w:p w14:paraId="01CF5B96" w14:textId="57F1F972" w:rsidR="00BD211F" w:rsidRPr="00EF7FF8" w:rsidRDefault="00BD211F" w:rsidP="00BD211F">
            <w:pPr>
              <w:pStyle w:val="TableTextCentered"/>
              <w:rPr>
                <w:rFonts w:cs="Calibri Light"/>
                <w:b/>
                <w:color w:val="C00000"/>
                <w:sz w:val="16"/>
                <w:szCs w:val="16"/>
              </w:rPr>
            </w:pPr>
            <w:r w:rsidRPr="00EF7FF8">
              <w:rPr>
                <w:rFonts w:cs="Calibri Light"/>
                <w:b/>
                <w:bCs/>
                <w:color w:val="C00000"/>
                <w:sz w:val="16"/>
                <w:szCs w:val="16"/>
              </w:rPr>
              <w:t>(1.3)</w:t>
            </w:r>
          </w:p>
        </w:tc>
      </w:tr>
    </w:tbl>
    <w:p w14:paraId="1881F24D" w14:textId="77777777" w:rsidR="00762E42" w:rsidRPr="005378B1" w:rsidRDefault="00762E42" w:rsidP="005378B1">
      <w:pPr>
        <w:pStyle w:val="SingleParagraph"/>
      </w:pPr>
    </w:p>
    <w:p w14:paraId="4C394470" w14:textId="7050318A" w:rsidR="00762E42" w:rsidRPr="005378B1" w:rsidRDefault="003C6509" w:rsidP="005378B1">
      <w:pPr>
        <w:rPr>
          <w:rFonts w:ascii="Century Gothic" w:hAnsi="Century Gothic"/>
          <w:b/>
          <w:sz w:val="21"/>
        </w:rPr>
      </w:pPr>
      <w:r w:rsidRPr="005378B1">
        <w:t xml:space="preserve">Table 3 below outlines the other sources of APRA revenue (or </w:t>
      </w:r>
      <w:r w:rsidR="003E4AC3" w:rsidRPr="005378B1">
        <w:t>non-levy</w:t>
      </w:r>
      <w:r w:rsidRPr="005378B1">
        <w:t xml:space="preserve"> income) available to partially fund APRA expenditure.</w:t>
      </w:r>
    </w:p>
    <w:p w14:paraId="4C034A6D" w14:textId="49066DBB" w:rsidR="00762E42" w:rsidRPr="005378B1" w:rsidRDefault="003C6509" w:rsidP="005378B1">
      <w:pPr>
        <w:pStyle w:val="TableMainHeading"/>
        <w:rPr>
          <w:color w:val="auto"/>
        </w:rPr>
      </w:pPr>
      <w:bookmarkStart w:id="45" w:name="_Toc104212341"/>
      <w:bookmarkStart w:id="46" w:name="_Toc192616565"/>
      <w:bookmarkStart w:id="47" w:name="_Toc192616739"/>
      <w:r w:rsidRPr="005378B1">
        <w:rPr>
          <w:color w:val="auto"/>
        </w:rPr>
        <w:t>Table 3: Non-</w:t>
      </w:r>
      <w:r w:rsidR="00E03EDF">
        <w:rPr>
          <w:color w:val="auto"/>
        </w:rPr>
        <w:t>l</w:t>
      </w:r>
      <w:r w:rsidRPr="005378B1">
        <w:rPr>
          <w:color w:val="auto"/>
        </w:rPr>
        <w:t>evy income</w:t>
      </w:r>
      <w:bookmarkEnd w:id="45"/>
      <w:bookmarkEnd w:id="46"/>
      <w:bookmarkEnd w:id="4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4818"/>
        <w:gridCol w:w="1062"/>
        <w:gridCol w:w="1060"/>
        <w:gridCol w:w="1060"/>
        <w:gridCol w:w="1060"/>
      </w:tblGrid>
      <w:tr w:rsidR="005378B1" w:rsidRPr="00097B21" w14:paraId="29AF6014" w14:textId="77777777" w:rsidTr="00FA0D53">
        <w:trPr>
          <w:cantSplit/>
          <w:trHeight w:val="280"/>
          <w:tblHeader/>
        </w:trPr>
        <w:tc>
          <w:tcPr>
            <w:tcW w:w="2659" w:type="pct"/>
            <w:shd w:val="clear" w:color="auto" w:fill="EEEEEE" w:themeFill="background2"/>
            <w:vAlign w:val="center"/>
            <w:hideMark/>
          </w:tcPr>
          <w:p w14:paraId="2C8A58F7" w14:textId="09C72A42" w:rsidR="00762E42" w:rsidRPr="001D2103" w:rsidRDefault="001D2103" w:rsidP="005378B1">
            <w:pPr>
              <w:pStyle w:val="TableTextLeft"/>
              <w:rPr>
                <w:rFonts w:asciiTheme="minorHAnsi" w:hAnsiTheme="minorHAnsi" w:cstheme="minorHAnsi"/>
                <w:b/>
                <w:color w:val="auto"/>
                <w:sz w:val="16"/>
                <w:szCs w:val="16"/>
              </w:rPr>
            </w:pPr>
            <w:r w:rsidRPr="001D2103">
              <w:rPr>
                <w:rFonts w:asciiTheme="minorHAnsi" w:hAnsiTheme="minorHAnsi" w:cstheme="minorHAnsi"/>
                <w:b/>
                <w:color w:val="auto"/>
                <w:sz w:val="16"/>
                <w:szCs w:val="16"/>
              </w:rPr>
              <w:t>Non-levy Income</w:t>
            </w:r>
          </w:p>
        </w:tc>
        <w:tc>
          <w:tcPr>
            <w:tcW w:w="586" w:type="pct"/>
            <w:shd w:val="clear" w:color="auto" w:fill="EEEEEE" w:themeFill="background2"/>
            <w:vAlign w:val="center"/>
            <w:hideMark/>
          </w:tcPr>
          <w:p w14:paraId="5283C589" w14:textId="1D3B5BED" w:rsidR="00762E42" w:rsidRPr="00097B21" w:rsidRDefault="001D2103" w:rsidP="005378B1">
            <w:pPr>
              <w:pStyle w:val="TableTextCentered"/>
              <w:rPr>
                <w:rFonts w:asciiTheme="minorHAnsi" w:hAnsiTheme="minorHAnsi" w:cstheme="minorHAnsi"/>
                <w:b/>
                <w:color w:val="auto"/>
                <w:sz w:val="16"/>
                <w:szCs w:val="16"/>
              </w:rPr>
            </w:pPr>
            <w:r>
              <w:rPr>
                <w:rFonts w:asciiTheme="minorHAnsi" w:hAnsiTheme="minorHAnsi" w:cstheme="minorHAnsi"/>
                <w:b/>
                <w:color w:val="auto"/>
                <w:sz w:val="16"/>
                <w:szCs w:val="16"/>
              </w:rPr>
              <w:t xml:space="preserve">2024-25 Budget </w:t>
            </w:r>
            <w:r w:rsidR="003C6509" w:rsidRPr="00097B21">
              <w:rPr>
                <w:rFonts w:asciiTheme="minorHAnsi" w:hAnsiTheme="minorHAnsi" w:cstheme="minorHAnsi"/>
                <w:b/>
                <w:color w:val="auto"/>
                <w:sz w:val="16"/>
                <w:szCs w:val="16"/>
              </w:rPr>
              <w:t>($m)</w:t>
            </w:r>
          </w:p>
        </w:tc>
        <w:tc>
          <w:tcPr>
            <w:tcW w:w="585" w:type="pct"/>
            <w:shd w:val="clear" w:color="auto" w:fill="EEEEEE" w:themeFill="background2"/>
            <w:vAlign w:val="center"/>
            <w:hideMark/>
          </w:tcPr>
          <w:p w14:paraId="243DEF63" w14:textId="0C65DD5D" w:rsidR="00762E42" w:rsidRPr="00097B21" w:rsidRDefault="001D2103" w:rsidP="005378B1">
            <w:pPr>
              <w:pStyle w:val="TableTextCentered"/>
              <w:rPr>
                <w:rFonts w:asciiTheme="minorHAnsi" w:hAnsiTheme="minorHAnsi" w:cstheme="minorHAnsi"/>
                <w:b/>
                <w:color w:val="auto"/>
                <w:sz w:val="16"/>
                <w:szCs w:val="16"/>
              </w:rPr>
            </w:pPr>
            <w:r>
              <w:rPr>
                <w:rFonts w:asciiTheme="minorHAnsi" w:hAnsiTheme="minorHAnsi" w:cstheme="minorHAnsi"/>
                <w:b/>
                <w:color w:val="auto"/>
                <w:sz w:val="16"/>
                <w:szCs w:val="16"/>
              </w:rPr>
              <w:t xml:space="preserve">2025-26 Budget </w:t>
            </w:r>
            <w:r w:rsidR="003C6509" w:rsidRPr="00097B21">
              <w:rPr>
                <w:rFonts w:asciiTheme="minorHAnsi" w:hAnsiTheme="minorHAnsi" w:cstheme="minorHAnsi"/>
                <w:b/>
                <w:color w:val="auto"/>
                <w:sz w:val="16"/>
                <w:szCs w:val="16"/>
              </w:rPr>
              <w:t>($m)</w:t>
            </w:r>
          </w:p>
        </w:tc>
        <w:tc>
          <w:tcPr>
            <w:tcW w:w="585" w:type="pct"/>
            <w:shd w:val="clear" w:color="auto" w:fill="EEEEEE" w:themeFill="background2"/>
            <w:vAlign w:val="center"/>
            <w:hideMark/>
          </w:tcPr>
          <w:p w14:paraId="771581E7" w14:textId="24F38F40" w:rsidR="00762E42" w:rsidRPr="00097B21" w:rsidRDefault="001D2103" w:rsidP="005378B1">
            <w:pPr>
              <w:pStyle w:val="TableTextCentered"/>
              <w:rPr>
                <w:rFonts w:asciiTheme="minorHAnsi" w:hAnsiTheme="minorHAnsi" w:cstheme="minorHAnsi"/>
                <w:b/>
                <w:color w:val="auto"/>
                <w:sz w:val="16"/>
                <w:szCs w:val="16"/>
              </w:rPr>
            </w:pPr>
            <w:r>
              <w:rPr>
                <w:rFonts w:asciiTheme="minorHAnsi" w:hAnsiTheme="minorHAnsi" w:cstheme="minorHAnsi"/>
                <w:b/>
                <w:color w:val="auto"/>
                <w:sz w:val="16"/>
                <w:szCs w:val="16"/>
              </w:rPr>
              <w:t xml:space="preserve">Change </w:t>
            </w:r>
            <w:r w:rsidR="003C6509" w:rsidRPr="00097B21">
              <w:rPr>
                <w:rFonts w:asciiTheme="minorHAnsi" w:hAnsiTheme="minorHAnsi" w:cstheme="minorHAnsi"/>
                <w:b/>
                <w:color w:val="auto"/>
                <w:sz w:val="16"/>
                <w:szCs w:val="16"/>
              </w:rPr>
              <w:t>($m)</w:t>
            </w:r>
          </w:p>
        </w:tc>
        <w:tc>
          <w:tcPr>
            <w:tcW w:w="585" w:type="pct"/>
            <w:shd w:val="clear" w:color="auto" w:fill="EEEEEE" w:themeFill="background2"/>
            <w:vAlign w:val="center"/>
            <w:hideMark/>
          </w:tcPr>
          <w:p w14:paraId="0F256C10" w14:textId="60B4C99D" w:rsidR="00762E42" w:rsidRPr="00097B21" w:rsidRDefault="001D2103" w:rsidP="005378B1">
            <w:pPr>
              <w:pStyle w:val="TableTextCentered"/>
              <w:rPr>
                <w:rFonts w:asciiTheme="minorHAnsi" w:hAnsiTheme="minorHAnsi" w:cstheme="minorHAnsi"/>
                <w:b/>
                <w:color w:val="auto"/>
                <w:sz w:val="16"/>
                <w:szCs w:val="16"/>
              </w:rPr>
            </w:pPr>
            <w:r>
              <w:rPr>
                <w:rFonts w:asciiTheme="minorHAnsi" w:hAnsiTheme="minorHAnsi" w:cstheme="minorHAnsi"/>
                <w:b/>
                <w:color w:val="auto"/>
                <w:sz w:val="16"/>
                <w:szCs w:val="16"/>
              </w:rPr>
              <w:t xml:space="preserve">Change </w:t>
            </w:r>
            <w:r w:rsidR="003C6509" w:rsidRPr="00097B21">
              <w:rPr>
                <w:rFonts w:asciiTheme="minorHAnsi" w:hAnsiTheme="minorHAnsi" w:cstheme="minorHAnsi"/>
                <w:b/>
                <w:color w:val="auto"/>
                <w:sz w:val="16"/>
                <w:szCs w:val="16"/>
              </w:rPr>
              <w:t>(%)</w:t>
            </w:r>
          </w:p>
        </w:tc>
      </w:tr>
      <w:tr w:rsidR="00D01EB3" w:rsidRPr="00097B21" w14:paraId="365C92B7" w14:textId="77777777" w:rsidTr="00FA0D53">
        <w:trPr>
          <w:trHeight w:val="280"/>
        </w:trPr>
        <w:tc>
          <w:tcPr>
            <w:tcW w:w="2659" w:type="pct"/>
            <w:shd w:val="clear" w:color="auto" w:fill="auto"/>
            <w:noWrap/>
            <w:vAlign w:val="bottom"/>
            <w:hideMark/>
          </w:tcPr>
          <w:p w14:paraId="4805B6EE" w14:textId="4D971314" w:rsidR="00D01EB3" w:rsidRPr="00097B21" w:rsidRDefault="00D01EB3" w:rsidP="00D01EB3">
            <w:pPr>
              <w:pStyle w:val="TableTextLeft"/>
              <w:rPr>
                <w:rFonts w:asciiTheme="minorHAnsi" w:hAnsiTheme="minorHAnsi" w:cstheme="minorHAnsi"/>
                <w:color w:val="auto"/>
                <w:sz w:val="16"/>
                <w:szCs w:val="16"/>
              </w:rPr>
            </w:pPr>
            <w:r w:rsidRPr="00097B21">
              <w:rPr>
                <w:rFonts w:asciiTheme="minorHAnsi" w:hAnsiTheme="minorHAnsi" w:cstheme="minorHAnsi"/>
                <w:color w:val="auto"/>
                <w:sz w:val="16"/>
                <w:szCs w:val="16"/>
              </w:rPr>
              <w:t>Appropriations - Other</w:t>
            </w:r>
          </w:p>
        </w:tc>
        <w:tc>
          <w:tcPr>
            <w:tcW w:w="586" w:type="pct"/>
            <w:shd w:val="clear" w:color="auto" w:fill="auto"/>
            <w:noWrap/>
            <w:vAlign w:val="bottom"/>
            <w:hideMark/>
          </w:tcPr>
          <w:p w14:paraId="1E47B63C" w14:textId="0A78B40C" w:rsidR="00D01EB3" w:rsidRPr="00393224" w:rsidRDefault="00D01EB3" w:rsidP="00D01EB3">
            <w:pPr>
              <w:pStyle w:val="TableTextCentered"/>
              <w:rPr>
                <w:rFonts w:asciiTheme="minorHAnsi" w:hAnsiTheme="minorHAnsi" w:cstheme="minorHAnsi"/>
                <w:color w:val="C00000"/>
                <w:sz w:val="16"/>
                <w:szCs w:val="16"/>
              </w:rPr>
            </w:pPr>
            <w:r w:rsidRPr="00393224">
              <w:rPr>
                <w:rFonts w:asciiTheme="minorHAnsi" w:hAnsiTheme="minorHAnsi" w:cstheme="minorHAnsi"/>
                <w:color w:val="C00000"/>
                <w:sz w:val="16"/>
                <w:szCs w:val="16"/>
              </w:rPr>
              <w:t>(16.4)</w:t>
            </w:r>
          </w:p>
        </w:tc>
        <w:tc>
          <w:tcPr>
            <w:tcW w:w="585" w:type="pct"/>
            <w:shd w:val="clear" w:color="auto" w:fill="auto"/>
            <w:noWrap/>
            <w:vAlign w:val="bottom"/>
          </w:tcPr>
          <w:p w14:paraId="4026D33E" w14:textId="539FF7B1" w:rsidR="00D01EB3" w:rsidRPr="00393224" w:rsidRDefault="00D01EB3" w:rsidP="00D01EB3">
            <w:pPr>
              <w:pStyle w:val="TableTextCentered"/>
              <w:rPr>
                <w:rFonts w:asciiTheme="minorHAnsi" w:hAnsiTheme="minorHAnsi" w:cstheme="minorHAnsi"/>
                <w:color w:val="C00000"/>
                <w:sz w:val="16"/>
                <w:szCs w:val="16"/>
              </w:rPr>
            </w:pPr>
            <w:r w:rsidRPr="00393224">
              <w:rPr>
                <w:rFonts w:asciiTheme="minorHAnsi" w:hAnsiTheme="minorHAnsi" w:cstheme="minorHAnsi"/>
                <w:color w:val="C00000"/>
                <w:sz w:val="16"/>
                <w:szCs w:val="16"/>
              </w:rPr>
              <w:t>(15.3)</w:t>
            </w:r>
          </w:p>
        </w:tc>
        <w:tc>
          <w:tcPr>
            <w:tcW w:w="585" w:type="pct"/>
            <w:shd w:val="clear" w:color="auto" w:fill="auto"/>
            <w:vAlign w:val="bottom"/>
            <w:hideMark/>
          </w:tcPr>
          <w:p w14:paraId="2C82DB40" w14:textId="3A0BAD09" w:rsidR="00D01EB3" w:rsidRPr="00097B21" w:rsidRDefault="00D01EB3" w:rsidP="00D01EB3">
            <w:pPr>
              <w:pStyle w:val="TableTextCentered"/>
              <w:rPr>
                <w:rFonts w:asciiTheme="minorHAnsi" w:hAnsiTheme="minorHAnsi" w:cstheme="minorHAnsi"/>
                <w:color w:val="auto"/>
                <w:sz w:val="16"/>
                <w:szCs w:val="16"/>
              </w:rPr>
            </w:pPr>
            <w:r w:rsidRPr="00097B21">
              <w:rPr>
                <w:rFonts w:asciiTheme="minorHAnsi" w:hAnsiTheme="minorHAnsi" w:cstheme="minorHAnsi"/>
                <w:sz w:val="16"/>
                <w:szCs w:val="16"/>
              </w:rPr>
              <w:t>1.</w:t>
            </w:r>
            <w:r w:rsidR="008E6EDA" w:rsidRPr="00097B21">
              <w:rPr>
                <w:rFonts w:asciiTheme="minorHAnsi" w:hAnsiTheme="minorHAnsi" w:cstheme="minorHAnsi"/>
                <w:sz w:val="16"/>
                <w:szCs w:val="16"/>
              </w:rPr>
              <w:t>1</w:t>
            </w:r>
          </w:p>
        </w:tc>
        <w:tc>
          <w:tcPr>
            <w:tcW w:w="585" w:type="pct"/>
            <w:shd w:val="clear" w:color="auto" w:fill="auto"/>
            <w:vAlign w:val="bottom"/>
            <w:hideMark/>
          </w:tcPr>
          <w:p w14:paraId="3321E50B" w14:textId="5B210AEC" w:rsidR="00D01EB3" w:rsidRPr="00097B21" w:rsidRDefault="00D01EB3" w:rsidP="00D01EB3">
            <w:pPr>
              <w:pStyle w:val="TableTextCentered"/>
              <w:rPr>
                <w:rFonts w:asciiTheme="minorHAnsi" w:hAnsiTheme="minorHAnsi" w:cstheme="minorHAnsi"/>
                <w:color w:val="auto"/>
                <w:sz w:val="16"/>
                <w:szCs w:val="16"/>
              </w:rPr>
            </w:pPr>
            <w:r w:rsidRPr="00393224">
              <w:rPr>
                <w:rFonts w:asciiTheme="minorHAnsi" w:hAnsiTheme="minorHAnsi" w:cstheme="minorHAnsi"/>
                <w:color w:val="C00000"/>
                <w:sz w:val="16"/>
                <w:szCs w:val="16"/>
              </w:rPr>
              <w:t>(6.</w:t>
            </w:r>
            <w:r w:rsidR="0027537C" w:rsidRPr="00393224">
              <w:rPr>
                <w:rFonts w:asciiTheme="minorHAnsi" w:hAnsiTheme="minorHAnsi" w:cstheme="minorHAnsi"/>
                <w:color w:val="C00000"/>
                <w:sz w:val="16"/>
                <w:szCs w:val="16"/>
              </w:rPr>
              <w:t>1</w:t>
            </w:r>
            <w:r w:rsidRPr="00393224">
              <w:rPr>
                <w:rFonts w:asciiTheme="minorHAnsi" w:hAnsiTheme="minorHAnsi" w:cstheme="minorHAnsi"/>
                <w:color w:val="C00000"/>
                <w:sz w:val="16"/>
                <w:szCs w:val="16"/>
              </w:rPr>
              <w:t>)</w:t>
            </w:r>
          </w:p>
        </w:tc>
      </w:tr>
      <w:tr w:rsidR="00D01EB3" w:rsidRPr="00097B21" w14:paraId="2C345B1E" w14:textId="77777777" w:rsidTr="00FA0D53">
        <w:trPr>
          <w:trHeight w:val="280"/>
        </w:trPr>
        <w:tc>
          <w:tcPr>
            <w:tcW w:w="2659" w:type="pct"/>
            <w:shd w:val="clear" w:color="auto" w:fill="auto"/>
            <w:noWrap/>
            <w:vAlign w:val="bottom"/>
            <w:hideMark/>
          </w:tcPr>
          <w:p w14:paraId="3C7F2DE0" w14:textId="77777777" w:rsidR="00D01EB3" w:rsidRPr="00097B21" w:rsidRDefault="00D01EB3" w:rsidP="00D01EB3">
            <w:pPr>
              <w:pStyle w:val="TableTextLeft"/>
              <w:rPr>
                <w:rFonts w:asciiTheme="minorHAnsi" w:hAnsiTheme="minorHAnsi" w:cstheme="minorHAnsi"/>
                <w:color w:val="auto"/>
                <w:sz w:val="16"/>
                <w:szCs w:val="16"/>
              </w:rPr>
            </w:pPr>
            <w:r w:rsidRPr="00097B21">
              <w:rPr>
                <w:rFonts w:asciiTheme="minorHAnsi" w:hAnsiTheme="minorHAnsi" w:cstheme="minorHAnsi"/>
                <w:color w:val="auto"/>
                <w:sz w:val="16"/>
                <w:szCs w:val="16"/>
              </w:rPr>
              <w:t>Provision of goods and services</w:t>
            </w:r>
          </w:p>
        </w:tc>
        <w:tc>
          <w:tcPr>
            <w:tcW w:w="586" w:type="pct"/>
            <w:shd w:val="clear" w:color="auto" w:fill="auto"/>
            <w:noWrap/>
            <w:vAlign w:val="bottom"/>
            <w:hideMark/>
          </w:tcPr>
          <w:p w14:paraId="760FB06E" w14:textId="1DACE484" w:rsidR="00D01EB3" w:rsidRPr="00393224" w:rsidRDefault="00D01EB3" w:rsidP="00D01EB3">
            <w:pPr>
              <w:pStyle w:val="TableTextCentered"/>
              <w:rPr>
                <w:rFonts w:asciiTheme="minorHAnsi" w:hAnsiTheme="minorHAnsi" w:cstheme="minorHAnsi"/>
                <w:color w:val="C00000"/>
                <w:sz w:val="16"/>
                <w:szCs w:val="16"/>
              </w:rPr>
            </w:pPr>
            <w:r w:rsidRPr="00393224">
              <w:rPr>
                <w:rFonts w:asciiTheme="minorHAnsi" w:hAnsiTheme="minorHAnsi" w:cstheme="minorHAnsi"/>
                <w:color w:val="C00000"/>
                <w:sz w:val="16"/>
                <w:szCs w:val="16"/>
              </w:rPr>
              <w:t>(4.7)</w:t>
            </w:r>
          </w:p>
        </w:tc>
        <w:tc>
          <w:tcPr>
            <w:tcW w:w="585" w:type="pct"/>
            <w:shd w:val="clear" w:color="auto" w:fill="auto"/>
            <w:noWrap/>
            <w:vAlign w:val="bottom"/>
          </w:tcPr>
          <w:p w14:paraId="52F065CB" w14:textId="0CC75B32" w:rsidR="00D01EB3" w:rsidRPr="00393224" w:rsidRDefault="00D01EB3" w:rsidP="00D01EB3">
            <w:pPr>
              <w:pStyle w:val="TableTextCentered"/>
              <w:rPr>
                <w:rFonts w:asciiTheme="minorHAnsi" w:hAnsiTheme="minorHAnsi" w:cstheme="minorHAnsi"/>
                <w:color w:val="C00000"/>
                <w:sz w:val="16"/>
                <w:szCs w:val="16"/>
              </w:rPr>
            </w:pPr>
            <w:r w:rsidRPr="00393224">
              <w:rPr>
                <w:rFonts w:asciiTheme="minorHAnsi" w:hAnsiTheme="minorHAnsi" w:cstheme="minorHAnsi"/>
                <w:color w:val="C00000"/>
                <w:sz w:val="16"/>
                <w:szCs w:val="16"/>
              </w:rPr>
              <w:t>(6.4)</w:t>
            </w:r>
          </w:p>
        </w:tc>
        <w:tc>
          <w:tcPr>
            <w:tcW w:w="585" w:type="pct"/>
            <w:shd w:val="clear" w:color="auto" w:fill="auto"/>
            <w:vAlign w:val="bottom"/>
            <w:hideMark/>
          </w:tcPr>
          <w:p w14:paraId="6B7E0412" w14:textId="53DF2E8E" w:rsidR="00D01EB3" w:rsidRPr="00393224" w:rsidRDefault="00D01EB3" w:rsidP="00D01EB3">
            <w:pPr>
              <w:pStyle w:val="TableTextCentered"/>
              <w:rPr>
                <w:rFonts w:asciiTheme="minorHAnsi" w:hAnsiTheme="minorHAnsi" w:cstheme="minorHAnsi"/>
                <w:color w:val="C00000"/>
                <w:sz w:val="16"/>
                <w:szCs w:val="16"/>
              </w:rPr>
            </w:pPr>
            <w:r w:rsidRPr="00393224">
              <w:rPr>
                <w:rFonts w:asciiTheme="minorHAnsi" w:hAnsiTheme="minorHAnsi" w:cstheme="minorHAnsi"/>
                <w:color w:val="C00000"/>
                <w:sz w:val="16"/>
                <w:szCs w:val="16"/>
              </w:rPr>
              <w:t>(1.</w:t>
            </w:r>
            <w:r w:rsidR="001D584C" w:rsidRPr="00393224">
              <w:rPr>
                <w:rFonts w:asciiTheme="minorHAnsi" w:hAnsiTheme="minorHAnsi" w:cstheme="minorHAnsi"/>
                <w:color w:val="C00000"/>
                <w:sz w:val="16"/>
                <w:szCs w:val="16"/>
              </w:rPr>
              <w:t>7</w:t>
            </w:r>
            <w:r w:rsidRPr="00393224">
              <w:rPr>
                <w:rFonts w:asciiTheme="minorHAnsi" w:hAnsiTheme="minorHAnsi" w:cstheme="minorHAnsi"/>
                <w:color w:val="C00000"/>
                <w:sz w:val="16"/>
                <w:szCs w:val="16"/>
              </w:rPr>
              <w:t>)</w:t>
            </w:r>
          </w:p>
        </w:tc>
        <w:tc>
          <w:tcPr>
            <w:tcW w:w="585" w:type="pct"/>
            <w:shd w:val="clear" w:color="auto" w:fill="auto"/>
            <w:vAlign w:val="bottom"/>
            <w:hideMark/>
          </w:tcPr>
          <w:p w14:paraId="5C6F12E2" w14:textId="0E371114" w:rsidR="00D01EB3" w:rsidRPr="00097B21" w:rsidRDefault="00D01EB3" w:rsidP="00D01EB3">
            <w:pPr>
              <w:pStyle w:val="TableTextCentered"/>
              <w:rPr>
                <w:rFonts w:asciiTheme="minorHAnsi" w:hAnsiTheme="minorHAnsi" w:cstheme="minorHAnsi"/>
                <w:color w:val="auto"/>
                <w:sz w:val="16"/>
                <w:szCs w:val="16"/>
              </w:rPr>
            </w:pPr>
            <w:r w:rsidRPr="00097B21">
              <w:rPr>
                <w:rFonts w:asciiTheme="minorHAnsi" w:hAnsiTheme="minorHAnsi" w:cstheme="minorHAnsi"/>
                <w:sz w:val="16"/>
                <w:szCs w:val="16"/>
              </w:rPr>
              <w:t>34.</w:t>
            </w:r>
            <w:r w:rsidR="0027537C" w:rsidRPr="00097B21">
              <w:rPr>
                <w:rFonts w:asciiTheme="minorHAnsi" w:hAnsiTheme="minorHAnsi" w:cstheme="minorHAnsi"/>
                <w:sz w:val="16"/>
                <w:szCs w:val="16"/>
              </w:rPr>
              <w:t>0</w:t>
            </w:r>
          </w:p>
        </w:tc>
      </w:tr>
      <w:tr w:rsidR="00D01EB3" w:rsidRPr="00097B21" w14:paraId="4F3ED858" w14:textId="77777777" w:rsidTr="00FA0D53">
        <w:trPr>
          <w:trHeight w:val="280"/>
        </w:trPr>
        <w:tc>
          <w:tcPr>
            <w:tcW w:w="2659" w:type="pct"/>
            <w:shd w:val="clear" w:color="auto" w:fill="auto"/>
            <w:noWrap/>
            <w:vAlign w:val="bottom"/>
            <w:hideMark/>
          </w:tcPr>
          <w:p w14:paraId="6F9860C4" w14:textId="77777777" w:rsidR="00D01EB3" w:rsidRPr="00097B21" w:rsidRDefault="00D01EB3" w:rsidP="00D01EB3">
            <w:pPr>
              <w:pStyle w:val="TableTextLeft"/>
              <w:rPr>
                <w:rFonts w:asciiTheme="minorHAnsi" w:hAnsiTheme="minorHAnsi" w:cstheme="minorHAnsi"/>
                <w:b/>
                <w:color w:val="auto"/>
                <w:sz w:val="16"/>
                <w:szCs w:val="16"/>
              </w:rPr>
            </w:pPr>
            <w:r w:rsidRPr="00097B21">
              <w:rPr>
                <w:rFonts w:asciiTheme="minorHAnsi" w:hAnsiTheme="minorHAnsi" w:cstheme="minorHAnsi"/>
                <w:b/>
                <w:color w:val="auto"/>
                <w:sz w:val="16"/>
                <w:szCs w:val="16"/>
              </w:rPr>
              <w:t>Total</w:t>
            </w:r>
          </w:p>
        </w:tc>
        <w:tc>
          <w:tcPr>
            <w:tcW w:w="586" w:type="pct"/>
            <w:shd w:val="clear" w:color="auto" w:fill="auto"/>
            <w:noWrap/>
            <w:vAlign w:val="bottom"/>
            <w:hideMark/>
          </w:tcPr>
          <w:p w14:paraId="43C53B5C" w14:textId="61B04E26" w:rsidR="00D01EB3" w:rsidRPr="00393224" w:rsidRDefault="00D01EB3" w:rsidP="00D01EB3">
            <w:pPr>
              <w:pStyle w:val="TableTextCentered"/>
              <w:rPr>
                <w:rFonts w:asciiTheme="minorHAnsi" w:hAnsiTheme="minorHAnsi" w:cstheme="minorHAnsi"/>
                <w:b/>
                <w:color w:val="C00000"/>
                <w:sz w:val="16"/>
                <w:szCs w:val="16"/>
              </w:rPr>
            </w:pPr>
            <w:r w:rsidRPr="00393224">
              <w:rPr>
                <w:rFonts w:asciiTheme="minorHAnsi" w:hAnsiTheme="minorHAnsi" w:cstheme="minorHAnsi"/>
                <w:b/>
                <w:bCs/>
                <w:color w:val="C00000"/>
                <w:sz w:val="16"/>
                <w:szCs w:val="16"/>
              </w:rPr>
              <w:t>(21.1)</w:t>
            </w:r>
          </w:p>
        </w:tc>
        <w:tc>
          <w:tcPr>
            <w:tcW w:w="585" w:type="pct"/>
            <w:shd w:val="clear" w:color="auto" w:fill="auto"/>
            <w:noWrap/>
            <w:vAlign w:val="bottom"/>
          </w:tcPr>
          <w:p w14:paraId="00831184" w14:textId="029F76DE" w:rsidR="00D01EB3" w:rsidRPr="00393224" w:rsidRDefault="00D01EB3" w:rsidP="00D01EB3">
            <w:pPr>
              <w:pStyle w:val="TableTextCentered"/>
              <w:rPr>
                <w:rFonts w:asciiTheme="minorHAnsi" w:hAnsiTheme="minorHAnsi" w:cstheme="minorHAnsi"/>
                <w:b/>
                <w:color w:val="C00000"/>
                <w:sz w:val="16"/>
                <w:szCs w:val="16"/>
              </w:rPr>
            </w:pPr>
            <w:r w:rsidRPr="00393224">
              <w:rPr>
                <w:rFonts w:asciiTheme="minorHAnsi" w:hAnsiTheme="minorHAnsi" w:cstheme="minorHAnsi"/>
                <w:b/>
                <w:bCs/>
                <w:color w:val="C00000"/>
                <w:sz w:val="16"/>
                <w:szCs w:val="16"/>
              </w:rPr>
              <w:t>(21.7)</w:t>
            </w:r>
          </w:p>
        </w:tc>
        <w:tc>
          <w:tcPr>
            <w:tcW w:w="585" w:type="pct"/>
            <w:shd w:val="clear" w:color="auto" w:fill="auto"/>
            <w:vAlign w:val="bottom"/>
            <w:hideMark/>
          </w:tcPr>
          <w:p w14:paraId="3F43A74E" w14:textId="3A9FD407" w:rsidR="00D01EB3" w:rsidRPr="00393224" w:rsidRDefault="00D01EB3" w:rsidP="00D01EB3">
            <w:pPr>
              <w:pStyle w:val="TableTextCentered"/>
              <w:rPr>
                <w:rFonts w:asciiTheme="minorHAnsi" w:hAnsiTheme="minorHAnsi" w:cstheme="minorHAnsi"/>
                <w:b/>
                <w:color w:val="C00000"/>
                <w:sz w:val="16"/>
                <w:szCs w:val="16"/>
              </w:rPr>
            </w:pPr>
            <w:r w:rsidRPr="00393224">
              <w:rPr>
                <w:rFonts w:asciiTheme="minorHAnsi" w:hAnsiTheme="minorHAnsi" w:cstheme="minorHAnsi"/>
                <w:color w:val="C00000"/>
                <w:sz w:val="16"/>
                <w:szCs w:val="16"/>
              </w:rPr>
              <w:t>(0.6)</w:t>
            </w:r>
          </w:p>
        </w:tc>
        <w:tc>
          <w:tcPr>
            <w:tcW w:w="585" w:type="pct"/>
            <w:shd w:val="clear" w:color="auto" w:fill="auto"/>
            <w:vAlign w:val="bottom"/>
            <w:hideMark/>
          </w:tcPr>
          <w:p w14:paraId="21763793" w14:textId="2095DEEC" w:rsidR="00D01EB3" w:rsidRPr="00097B21" w:rsidRDefault="00D01EB3" w:rsidP="00D01EB3">
            <w:pPr>
              <w:pStyle w:val="TableTextCentered"/>
              <w:rPr>
                <w:rFonts w:asciiTheme="minorHAnsi" w:hAnsiTheme="minorHAnsi" w:cstheme="minorHAnsi"/>
                <w:b/>
                <w:color w:val="auto"/>
                <w:sz w:val="16"/>
                <w:szCs w:val="16"/>
              </w:rPr>
            </w:pPr>
            <w:r w:rsidRPr="00097B21">
              <w:rPr>
                <w:rFonts w:asciiTheme="minorHAnsi" w:hAnsiTheme="minorHAnsi" w:cstheme="minorHAnsi"/>
                <w:sz w:val="16"/>
                <w:szCs w:val="16"/>
              </w:rPr>
              <w:t>2.</w:t>
            </w:r>
            <w:r w:rsidR="0027537C" w:rsidRPr="00097B21">
              <w:rPr>
                <w:rFonts w:asciiTheme="minorHAnsi" w:hAnsiTheme="minorHAnsi" w:cstheme="minorHAnsi"/>
                <w:sz w:val="16"/>
                <w:szCs w:val="16"/>
              </w:rPr>
              <w:t>8</w:t>
            </w:r>
          </w:p>
        </w:tc>
      </w:tr>
    </w:tbl>
    <w:p w14:paraId="18BDBD3E" w14:textId="04DECC75" w:rsidR="00762E42" w:rsidRPr="005378B1" w:rsidRDefault="003C6509" w:rsidP="005378B1">
      <w:pPr>
        <w:pStyle w:val="Heading2"/>
        <w:rPr>
          <w:color w:val="auto"/>
        </w:rPr>
      </w:pPr>
      <w:bookmarkStart w:id="48" w:name="_Toc1575300"/>
      <w:bookmarkStart w:id="49" w:name="_Toc1577984"/>
      <w:bookmarkStart w:id="50" w:name="_Toc1578903"/>
      <w:bookmarkStart w:id="51" w:name="_Toc4662137"/>
      <w:bookmarkStart w:id="52" w:name="_Toc98841574"/>
      <w:bookmarkStart w:id="53" w:name="_Toc192616740"/>
      <w:r w:rsidRPr="005378B1">
        <w:rPr>
          <w:color w:val="auto"/>
        </w:rPr>
        <w:t xml:space="preserve">Adjustment for </w:t>
      </w:r>
      <w:r w:rsidR="00B67B3B" w:rsidRPr="005378B1">
        <w:rPr>
          <w:color w:val="auto"/>
        </w:rPr>
        <w:t>over</w:t>
      </w:r>
      <w:r w:rsidR="00D01EB3">
        <w:rPr>
          <w:color w:val="auto"/>
        </w:rPr>
        <w:t>-</w:t>
      </w:r>
      <w:r w:rsidRPr="005378B1">
        <w:rPr>
          <w:color w:val="auto"/>
        </w:rPr>
        <w:t>collected levies</w:t>
      </w:r>
      <w:bookmarkEnd w:id="48"/>
      <w:bookmarkEnd w:id="49"/>
      <w:bookmarkEnd w:id="50"/>
      <w:bookmarkEnd w:id="51"/>
      <w:bookmarkEnd w:id="52"/>
      <w:bookmarkEnd w:id="53"/>
    </w:p>
    <w:p w14:paraId="4211AE44" w14:textId="7C05099F" w:rsidR="00762E42" w:rsidRPr="005378B1" w:rsidRDefault="003C6509" w:rsidP="005378B1">
      <w:pPr>
        <w:rPr>
          <w:snapToGrid w:val="0"/>
        </w:rPr>
      </w:pPr>
      <w:r w:rsidRPr="005378B1">
        <w:rPr>
          <w:snapToGrid w:val="0"/>
        </w:rPr>
        <w:t>To ensure that industry does not pay any more or less than the cost of prudential regulation and to maintain the integrity of the levies funding mechanism, the industry levies funding requirement is adjusted each year by over and under</w:t>
      </w:r>
      <w:r w:rsidRPr="005378B1">
        <w:rPr>
          <w:snapToGrid w:val="0"/>
        </w:rPr>
        <w:noBreakHyphen/>
        <w:t>collected levies from prior periods.</w:t>
      </w:r>
    </w:p>
    <w:p w14:paraId="1FA9CB45" w14:textId="45B372FE" w:rsidR="00762E42" w:rsidRPr="005378B1" w:rsidRDefault="003C6509" w:rsidP="005378B1">
      <w:pPr>
        <w:rPr>
          <w:rFonts w:cs="Arial"/>
          <w:b/>
          <w:kern w:val="32"/>
          <w:sz w:val="28"/>
          <w:szCs w:val="26"/>
        </w:rPr>
      </w:pPr>
      <w:r w:rsidRPr="005378B1">
        <w:rPr>
          <w:snapToGrid w:val="0"/>
        </w:rPr>
        <w:t xml:space="preserve">There will be an </w:t>
      </w:r>
      <w:r w:rsidR="0045629A" w:rsidRPr="005378B1">
        <w:rPr>
          <w:snapToGrid w:val="0"/>
        </w:rPr>
        <w:t>over</w:t>
      </w:r>
      <w:r w:rsidRPr="005378B1">
        <w:rPr>
          <w:snapToGrid w:val="0"/>
        </w:rPr>
        <w:noBreakHyphen/>
        <w:t>collection of levies of $</w:t>
      </w:r>
      <w:r w:rsidR="00D01EB3">
        <w:rPr>
          <w:snapToGrid w:val="0"/>
        </w:rPr>
        <w:t>2.2</w:t>
      </w:r>
      <w:r w:rsidR="00EE53A3" w:rsidRPr="005378B1">
        <w:rPr>
          <w:snapToGrid w:val="0"/>
        </w:rPr>
        <w:t xml:space="preserve"> </w:t>
      </w:r>
      <w:r w:rsidRPr="005378B1">
        <w:rPr>
          <w:snapToGrid w:val="0"/>
        </w:rPr>
        <w:t xml:space="preserve">million based on expected </w:t>
      </w:r>
      <w:r w:rsidR="00E20842" w:rsidRPr="005378B1">
        <w:rPr>
          <w:snapToGrid w:val="0"/>
        </w:rPr>
        <w:t>202</w:t>
      </w:r>
      <w:r w:rsidR="00E52AA1" w:rsidRPr="005378B1">
        <w:rPr>
          <w:snapToGrid w:val="0"/>
        </w:rPr>
        <w:t>4</w:t>
      </w:r>
      <w:r w:rsidR="00585254" w:rsidRPr="005378B1">
        <w:t>–</w:t>
      </w:r>
      <w:r w:rsidR="008F7355" w:rsidRPr="005378B1">
        <w:rPr>
          <w:snapToGrid w:val="0"/>
        </w:rPr>
        <w:t>2</w:t>
      </w:r>
      <w:r w:rsidR="00E52AA1" w:rsidRPr="005378B1">
        <w:rPr>
          <w:snapToGrid w:val="0"/>
        </w:rPr>
        <w:t>5</w:t>
      </w:r>
      <w:r w:rsidR="008F7355" w:rsidRPr="005378B1">
        <w:rPr>
          <w:snapToGrid w:val="0"/>
        </w:rPr>
        <w:t xml:space="preserve"> </w:t>
      </w:r>
      <w:r w:rsidRPr="005378B1">
        <w:rPr>
          <w:snapToGrid w:val="0"/>
        </w:rPr>
        <w:t xml:space="preserve">collections. The </w:t>
      </w:r>
      <w:r w:rsidR="00D91561" w:rsidRPr="005378B1">
        <w:rPr>
          <w:snapToGrid w:val="0"/>
        </w:rPr>
        <w:t>over</w:t>
      </w:r>
      <w:r w:rsidRPr="005378B1">
        <w:rPr>
          <w:snapToGrid w:val="0"/>
        </w:rPr>
        <w:t xml:space="preserve">-collection will be </w:t>
      </w:r>
      <w:r w:rsidR="00D91561" w:rsidRPr="005378B1">
        <w:rPr>
          <w:snapToGrid w:val="0"/>
        </w:rPr>
        <w:t>refunded</w:t>
      </w:r>
      <w:r w:rsidR="0029482D" w:rsidRPr="005378B1">
        <w:rPr>
          <w:snapToGrid w:val="0"/>
        </w:rPr>
        <w:t xml:space="preserve"> </w:t>
      </w:r>
      <w:r w:rsidR="00D91561" w:rsidRPr="005378B1">
        <w:rPr>
          <w:snapToGrid w:val="0"/>
        </w:rPr>
        <w:t xml:space="preserve">to </w:t>
      </w:r>
      <w:r w:rsidRPr="005378B1">
        <w:rPr>
          <w:snapToGrid w:val="0"/>
        </w:rPr>
        <w:t xml:space="preserve">industry through the </w:t>
      </w:r>
      <w:r w:rsidR="00E20842" w:rsidRPr="005378B1">
        <w:rPr>
          <w:snapToGrid w:val="0"/>
        </w:rPr>
        <w:t>202</w:t>
      </w:r>
      <w:r w:rsidR="00E52AA1" w:rsidRPr="005378B1">
        <w:rPr>
          <w:snapToGrid w:val="0"/>
        </w:rPr>
        <w:t>5</w:t>
      </w:r>
      <w:r w:rsidR="00585254" w:rsidRPr="005378B1">
        <w:t>–</w:t>
      </w:r>
      <w:r w:rsidR="00E20842" w:rsidRPr="005378B1">
        <w:rPr>
          <w:snapToGrid w:val="0"/>
        </w:rPr>
        <w:t>2</w:t>
      </w:r>
      <w:r w:rsidR="00E52AA1" w:rsidRPr="005378B1">
        <w:rPr>
          <w:snapToGrid w:val="0"/>
        </w:rPr>
        <w:t>6</w:t>
      </w:r>
      <w:r w:rsidRPr="005378B1">
        <w:rPr>
          <w:snapToGrid w:val="0"/>
        </w:rPr>
        <w:t xml:space="preserve"> levies (Table 4). </w:t>
      </w:r>
    </w:p>
    <w:p w14:paraId="3A4D33D9" w14:textId="77777777" w:rsidR="00EA214A" w:rsidRPr="005378B1" w:rsidRDefault="003C6509" w:rsidP="005378B1">
      <w:pPr>
        <w:pStyle w:val="TableMainHeading"/>
        <w:rPr>
          <w:color w:val="auto"/>
        </w:rPr>
      </w:pPr>
      <w:bookmarkStart w:id="54" w:name="_Toc104212343"/>
      <w:bookmarkStart w:id="55" w:name="_Toc192616567"/>
      <w:bookmarkStart w:id="56" w:name="_Toc192616741"/>
      <w:r w:rsidRPr="005378B1">
        <w:rPr>
          <w:color w:val="auto"/>
        </w:rPr>
        <w:t xml:space="preserve">Table 4: </w:t>
      </w:r>
      <w:r w:rsidR="00114864" w:rsidRPr="005378B1">
        <w:rPr>
          <w:color w:val="auto"/>
        </w:rPr>
        <w:t>Over</w:t>
      </w:r>
      <w:r w:rsidR="00D01EB3">
        <w:rPr>
          <w:color w:val="auto"/>
        </w:rPr>
        <w:t>-</w:t>
      </w:r>
      <w:r w:rsidRPr="005378B1">
        <w:rPr>
          <w:color w:val="auto"/>
        </w:rPr>
        <w:t>collected levies</w:t>
      </w:r>
      <w:bookmarkEnd w:id="54"/>
      <w:bookmarkEnd w:id="55"/>
      <w:bookmarkEnd w:id="56"/>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1722"/>
        <w:gridCol w:w="918"/>
        <w:gridCol w:w="918"/>
        <w:gridCol w:w="917"/>
        <w:gridCol w:w="917"/>
        <w:gridCol w:w="917"/>
        <w:gridCol w:w="917"/>
        <w:gridCol w:w="917"/>
        <w:gridCol w:w="917"/>
      </w:tblGrid>
      <w:tr w:rsidR="005014AF" w14:paraId="76FEE753" w14:textId="77777777" w:rsidTr="00FA0D53">
        <w:trPr>
          <w:cnfStyle w:val="100000000000" w:firstRow="1" w:lastRow="0" w:firstColumn="0" w:lastColumn="0" w:oddVBand="0" w:evenVBand="0" w:oddHBand="0" w:evenHBand="0" w:firstRowFirstColumn="0" w:firstRowLastColumn="0" w:lastRowFirstColumn="0" w:lastRowLastColumn="0"/>
          <w:cantSplit/>
          <w:trHeight w:val="113"/>
          <w:tblHeader/>
        </w:trPr>
        <w:tc>
          <w:tcPr>
            <w:tcW w:w="950" w:type="pct"/>
            <w:vAlign w:val="center"/>
          </w:tcPr>
          <w:p w14:paraId="2EA5745F" w14:textId="77777777" w:rsidR="00AC0EF1" w:rsidRPr="00AC0EF1" w:rsidRDefault="00AC0EF1" w:rsidP="00CC7A0A">
            <w:pPr>
              <w:spacing w:before="96" w:after="96"/>
              <w:rPr>
                <w:rFonts w:cs="Calibri Light"/>
                <w:sz w:val="16"/>
                <w:szCs w:val="16"/>
              </w:rPr>
            </w:pPr>
            <w:bookmarkStart w:id="57" w:name="_Hlk193534598"/>
            <w:r w:rsidRPr="00AC0EF1">
              <w:rPr>
                <w:rFonts w:cs="Calibri Light"/>
                <w:color w:val="auto"/>
                <w:sz w:val="16"/>
                <w:szCs w:val="18"/>
              </w:rPr>
              <w:t>Source of revenue</w:t>
            </w:r>
          </w:p>
        </w:tc>
        <w:tc>
          <w:tcPr>
            <w:tcW w:w="506" w:type="pct"/>
            <w:vAlign w:val="center"/>
          </w:tcPr>
          <w:p w14:paraId="1C6E2EE4" w14:textId="77777777" w:rsidR="00AC0EF1" w:rsidRDefault="00AC0EF1" w:rsidP="00455419">
            <w:pPr>
              <w:spacing w:before="96" w:after="96"/>
              <w:jc w:val="center"/>
              <w:rPr>
                <w:rFonts w:cs="Calibri Light"/>
                <w:sz w:val="16"/>
                <w:szCs w:val="16"/>
              </w:rPr>
            </w:pPr>
            <w:r w:rsidRPr="00374B7F">
              <w:rPr>
                <w:rFonts w:cs="Calibri Light"/>
                <w:color w:val="auto"/>
                <w:sz w:val="16"/>
                <w:szCs w:val="18"/>
              </w:rPr>
              <w:t>2024–25</w:t>
            </w:r>
            <w:r w:rsidRPr="00374B7F">
              <w:rPr>
                <w:rFonts w:cs="Calibri Light"/>
                <w:b w:val="0"/>
                <w:color w:val="auto"/>
                <w:sz w:val="16"/>
                <w:szCs w:val="18"/>
              </w:rPr>
              <w:t xml:space="preserve"> </w:t>
            </w:r>
            <w:r w:rsidRPr="00374B7F">
              <w:rPr>
                <w:rFonts w:cs="Calibri Light"/>
                <w:color w:val="auto"/>
                <w:sz w:val="16"/>
                <w:szCs w:val="18"/>
              </w:rPr>
              <w:t>Budget</w:t>
            </w:r>
            <w:r w:rsidRPr="00374B7F">
              <w:rPr>
                <w:rFonts w:cs="Calibri Light"/>
                <w:b w:val="0"/>
                <w:color w:val="auto"/>
                <w:sz w:val="16"/>
                <w:szCs w:val="18"/>
              </w:rPr>
              <w:t xml:space="preserve"> </w:t>
            </w:r>
            <w:r w:rsidRPr="00374B7F">
              <w:rPr>
                <w:rFonts w:cs="Calibri Light"/>
                <w:color w:val="auto"/>
                <w:sz w:val="16"/>
                <w:szCs w:val="18"/>
              </w:rPr>
              <w:t>($m)</w:t>
            </w:r>
          </w:p>
        </w:tc>
        <w:tc>
          <w:tcPr>
            <w:tcW w:w="506" w:type="pct"/>
            <w:vAlign w:val="center"/>
          </w:tcPr>
          <w:p w14:paraId="4A099427" w14:textId="77777777" w:rsidR="00AC0EF1" w:rsidRDefault="00AC0EF1" w:rsidP="00455419">
            <w:pPr>
              <w:spacing w:before="96" w:after="96"/>
              <w:jc w:val="center"/>
              <w:rPr>
                <w:rFonts w:cs="Calibri Light"/>
                <w:sz w:val="16"/>
                <w:szCs w:val="16"/>
              </w:rPr>
            </w:pPr>
            <w:r w:rsidRPr="00374B7F">
              <w:rPr>
                <w:rFonts w:cs="Calibri Light"/>
                <w:color w:val="auto"/>
                <w:sz w:val="16"/>
                <w:szCs w:val="18"/>
              </w:rPr>
              <w:t>2024–25</w:t>
            </w:r>
            <w:r w:rsidRPr="00374B7F">
              <w:rPr>
                <w:rFonts w:cs="Calibri Light"/>
                <w:b w:val="0"/>
                <w:color w:val="auto"/>
                <w:sz w:val="16"/>
                <w:szCs w:val="18"/>
              </w:rPr>
              <w:t xml:space="preserve"> </w:t>
            </w:r>
            <w:r w:rsidRPr="00374B7F">
              <w:rPr>
                <w:rFonts w:cs="Calibri Light"/>
                <w:color w:val="auto"/>
                <w:sz w:val="16"/>
                <w:szCs w:val="18"/>
              </w:rPr>
              <w:t>Forecast</w:t>
            </w:r>
            <w:r w:rsidRPr="00374B7F">
              <w:rPr>
                <w:rFonts w:cs="Calibri Light"/>
                <w:b w:val="0"/>
                <w:color w:val="auto"/>
                <w:sz w:val="16"/>
                <w:szCs w:val="18"/>
              </w:rPr>
              <w:t xml:space="preserve"> </w:t>
            </w:r>
            <w:r w:rsidRPr="00374B7F">
              <w:rPr>
                <w:rFonts w:cs="Calibri Light"/>
                <w:color w:val="auto"/>
                <w:sz w:val="16"/>
                <w:szCs w:val="18"/>
              </w:rPr>
              <w:t>($m)</w:t>
            </w:r>
          </w:p>
        </w:tc>
        <w:tc>
          <w:tcPr>
            <w:tcW w:w="506" w:type="pct"/>
            <w:vAlign w:val="center"/>
          </w:tcPr>
          <w:p w14:paraId="6C858644" w14:textId="77777777" w:rsidR="00AC0EF1" w:rsidRPr="00AC0EF1" w:rsidRDefault="00AC0EF1" w:rsidP="00455419">
            <w:pPr>
              <w:spacing w:before="96" w:after="96"/>
              <w:jc w:val="center"/>
              <w:rPr>
                <w:rFonts w:cs="Calibri Light"/>
                <w:color w:val="auto"/>
                <w:sz w:val="16"/>
                <w:szCs w:val="16"/>
              </w:rPr>
            </w:pPr>
            <w:r w:rsidRPr="00AC0EF1">
              <w:rPr>
                <w:rFonts w:cs="Calibri Light"/>
                <w:color w:val="auto"/>
                <w:sz w:val="16"/>
                <w:szCs w:val="16"/>
              </w:rPr>
              <w:t>2024-25 Difference ($m)</w:t>
            </w:r>
          </w:p>
        </w:tc>
        <w:tc>
          <w:tcPr>
            <w:tcW w:w="506" w:type="pct"/>
            <w:vAlign w:val="center"/>
          </w:tcPr>
          <w:p w14:paraId="597CC055" w14:textId="58B91590" w:rsidR="00AC0EF1" w:rsidRDefault="00AC0EF1" w:rsidP="00455419">
            <w:pPr>
              <w:spacing w:before="96" w:after="96"/>
              <w:jc w:val="center"/>
              <w:rPr>
                <w:rFonts w:cs="Calibri Light"/>
                <w:sz w:val="16"/>
                <w:szCs w:val="16"/>
              </w:rPr>
            </w:pPr>
            <w:r w:rsidRPr="00374B7F">
              <w:rPr>
                <w:rFonts w:cs="Calibri Light"/>
                <w:color w:val="auto"/>
                <w:sz w:val="16"/>
                <w:szCs w:val="18"/>
              </w:rPr>
              <w:t>ADI</w:t>
            </w:r>
            <w:r w:rsidR="003B6A72">
              <w:rPr>
                <w:rFonts w:cs="Calibri Light"/>
                <w:color w:val="auto"/>
                <w:sz w:val="16"/>
                <w:szCs w:val="18"/>
              </w:rPr>
              <w:t xml:space="preserve"> </w:t>
            </w:r>
            <w:r w:rsidR="00297628">
              <w:rPr>
                <w:rFonts w:cs="Calibri Light"/>
                <w:color w:val="auto"/>
                <w:sz w:val="16"/>
                <w:szCs w:val="18"/>
              </w:rPr>
              <w:t xml:space="preserve">Difference </w:t>
            </w:r>
            <w:r w:rsidR="003B6A72">
              <w:rPr>
                <w:rFonts w:cs="Calibri Light"/>
                <w:color w:val="auto"/>
                <w:sz w:val="16"/>
                <w:szCs w:val="18"/>
              </w:rPr>
              <w:t>($m)</w:t>
            </w:r>
          </w:p>
        </w:tc>
        <w:tc>
          <w:tcPr>
            <w:tcW w:w="506" w:type="pct"/>
            <w:vAlign w:val="center"/>
          </w:tcPr>
          <w:p w14:paraId="21EB70CC" w14:textId="647384DE" w:rsidR="00AC0EF1" w:rsidRDefault="00AC0EF1" w:rsidP="00455419">
            <w:pPr>
              <w:spacing w:before="96" w:after="96"/>
              <w:jc w:val="center"/>
              <w:rPr>
                <w:rFonts w:cs="Calibri Light"/>
                <w:sz w:val="16"/>
                <w:szCs w:val="16"/>
              </w:rPr>
            </w:pPr>
            <w:r w:rsidRPr="00374B7F">
              <w:rPr>
                <w:rFonts w:cs="Calibri Light"/>
                <w:color w:val="auto"/>
                <w:sz w:val="16"/>
                <w:szCs w:val="18"/>
              </w:rPr>
              <w:t>LI</w:t>
            </w:r>
            <w:r w:rsidR="003B6A72">
              <w:rPr>
                <w:rFonts w:cs="Calibri Light"/>
                <w:color w:val="auto"/>
                <w:sz w:val="16"/>
                <w:szCs w:val="18"/>
              </w:rPr>
              <w:t xml:space="preserve"> </w:t>
            </w:r>
            <w:r w:rsidR="00297628">
              <w:rPr>
                <w:rFonts w:cs="Calibri Light"/>
                <w:color w:val="auto"/>
                <w:sz w:val="16"/>
                <w:szCs w:val="18"/>
              </w:rPr>
              <w:t xml:space="preserve">Difference </w:t>
            </w:r>
            <w:r w:rsidR="003B6A72">
              <w:rPr>
                <w:rFonts w:cs="Calibri Light"/>
                <w:color w:val="auto"/>
                <w:sz w:val="16"/>
                <w:szCs w:val="18"/>
              </w:rPr>
              <w:t>($m)</w:t>
            </w:r>
          </w:p>
        </w:tc>
        <w:tc>
          <w:tcPr>
            <w:tcW w:w="506" w:type="pct"/>
            <w:vAlign w:val="center"/>
          </w:tcPr>
          <w:p w14:paraId="6052F582" w14:textId="16898BA3" w:rsidR="00AC0EF1" w:rsidRDefault="00AC0EF1" w:rsidP="00455419">
            <w:pPr>
              <w:spacing w:before="96" w:after="96"/>
              <w:jc w:val="center"/>
              <w:rPr>
                <w:rFonts w:cs="Calibri Light"/>
                <w:sz w:val="16"/>
                <w:szCs w:val="16"/>
              </w:rPr>
            </w:pPr>
            <w:r w:rsidRPr="00374B7F">
              <w:rPr>
                <w:rFonts w:cs="Calibri Light"/>
                <w:color w:val="auto"/>
                <w:sz w:val="16"/>
                <w:szCs w:val="18"/>
              </w:rPr>
              <w:t>GI</w:t>
            </w:r>
            <w:r w:rsidR="003B6A72">
              <w:rPr>
                <w:rFonts w:cs="Calibri Light"/>
                <w:color w:val="auto"/>
                <w:sz w:val="16"/>
                <w:szCs w:val="18"/>
              </w:rPr>
              <w:t xml:space="preserve"> </w:t>
            </w:r>
            <w:r w:rsidR="00297628">
              <w:rPr>
                <w:rFonts w:cs="Calibri Light"/>
                <w:color w:val="auto"/>
                <w:sz w:val="16"/>
                <w:szCs w:val="18"/>
              </w:rPr>
              <w:t xml:space="preserve">Difference </w:t>
            </w:r>
            <w:r w:rsidR="003B6A72">
              <w:rPr>
                <w:rFonts w:cs="Calibri Light"/>
                <w:color w:val="auto"/>
                <w:sz w:val="16"/>
                <w:szCs w:val="18"/>
              </w:rPr>
              <w:t>($m)</w:t>
            </w:r>
          </w:p>
        </w:tc>
        <w:tc>
          <w:tcPr>
            <w:tcW w:w="506" w:type="pct"/>
            <w:vAlign w:val="center"/>
          </w:tcPr>
          <w:p w14:paraId="69A16D4B" w14:textId="029F6224" w:rsidR="00AC0EF1" w:rsidRDefault="00AC0EF1" w:rsidP="00455419">
            <w:pPr>
              <w:spacing w:before="96" w:after="96"/>
              <w:jc w:val="center"/>
              <w:rPr>
                <w:rFonts w:cs="Calibri Light"/>
                <w:sz w:val="16"/>
                <w:szCs w:val="16"/>
              </w:rPr>
            </w:pPr>
            <w:r w:rsidRPr="00374B7F">
              <w:rPr>
                <w:rFonts w:cs="Calibri Light"/>
                <w:color w:val="auto"/>
                <w:sz w:val="16"/>
                <w:szCs w:val="18"/>
              </w:rPr>
              <w:t>Super</w:t>
            </w:r>
            <w:r w:rsidR="003B6A72">
              <w:rPr>
                <w:rFonts w:cs="Calibri Light"/>
                <w:color w:val="auto"/>
                <w:sz w:val="16"/>
                <w:szCs w:val="18"/>
              </w:rPr>
              <w:t xml:space="preserve"> </w:t>
            </w:r>
            <w:r w:rsidR="00297628">
              <w:rPr>
                <w:rFonts w:cs="Calibri Light"/>
                <w:color w:val="auto"/>
                <w:sz w:val="16"/>
                <w:szCs w:val="18"/>
              </w:rPr>
              <w:t xml:space="preserve">Difference </w:t>
            </w:r>
            <w:r w:rsidR="003B6A72">
              <w:rPr>
                <w:rFonts w:cs="Calibri Light"/>
                <w:color w:val="auto"/>
                <w:sz w:val="16"/>
                <w:szCs w:val="18"/>
              </w:rPr>
              <w:t>($m)</w:t>
            </w:r>
          </w:p>
        </w:tc>
        <w:tc>
          <w:tcPr>
            <w:tcW w:w="506" w:type="pct"/>
            <w:vAlign w:val="center"/>
          </w:tcPr>
          <w:p w14:paraId="70EAB3C1" w14:textId="16351503" w:rsidR="00AC0EF1" w:rsidRDefault="00AC0EF1" w:rsidP="00455419">
            <w:pPr>
              <w:spacing w:before="96" w:after="96"/>
              <w:jc w:val="center"/>
              <w:rPr>
                <w:rFonts w:cs="Calibri Light"/>
                <w:sz w:val="16"/>
                <w:szCs w:val="16"/>
              </w:rPr>
            </w:pPr>
            <w:r w:rsidRPr="00374B7F">
              <w:rPr>
                <w:rFonts w:cs="Calibri Light"/>
                <w:color w:val="auto"/>
                <w:sz w:val="16"/>
                <w:szCs w:val="18"/>
              </w:rPr>
              <w:t>PHI</w:t>
            </w:r>
            <w:r w:rsidR="003B6A72">
              <w:rPr>
                <w:rFonts w:cs="Calibri Light"/>
                <w:color w:val="auto"/>
                <w:sz w:val="16"/>
                <w:szCs w:val="18"/>
              </w:rPr>
              <w:t xml:space="preserve"> </w:t>
            </w:r>
            <w:r w:rsidR="00297628">
              <w:rPr>
                <w:rFonts w:cs="Calibri Light"/>
                <w:color w:val="auto"/>
                <w:sz w:val="16"/>
                <w:szCs w:val="18"/>
              </w:rPr>
              <w:t>Difference</w:t>
            </w:r>
            <w:r w:rsidR="003B6A72">
              <w:rPr>
                <w:rFonts w:cs="Calibri Light"/>
                <w:color w:val="auto"/>
                <w:sz w:val="16"/>
                <w:szCs w:val="18"/>
              </w:rPr>
              <w:t xml:space="preserve"> ($m)</w:t>
            </w:r>
          </w:p>
        </w:tc>
      </w:tr>
      <w:tr w:rsidR="00AC0EF1" w14:paraId="4AB05B8D" w14:textId="77777777" w:rsidTr="00FA0D53">
        <w:trPr>
          <w:cantSplit/>
          <w:trHeight w:hRule="exact" w:val="397"/>
        </w:trPr>
        <w:tc>
          <w:tcPr>
            <w:tcW w:w="950" w:type="pct"/>
            <w:vAlign w:val="center"/>
          </w:tcPr>
          <w:p w14:paraId="2BFD50DE" w14:textId="77777777" w:rsidR="00AC0EF1" w:rsidRPr="00AC0EF1" w:rsidRDefault="00AC0EF1" w:rsidP="00455419">
            <w:pPr>
              <w:rPr>
                <w:rFonts w:cs="Calibri Light"/>
                <w:sz w:val="16"/>
                <w:szCs w:val="16"/>
              </w:rPr>
            </w:pPr>
            <w:r w:rsidRPr="00AC0EF1">
              <w:rPr>
                <w:rFonts w:cs="Calibri Light"/>
                <w:sz w:val="16"/>
                <w:szCs w:val="18"/>
              </w:rPr>
              <w:t>APRA Levies</w:t>
            </w:r>
          </w:p>
        </w:tc>
        <w:tc>
          <w:tcPr>
            <w:tcW w:w="506" w:type="pct"/>
            <w:vAlign w:val="center"/>
          </w:tcPr>
          <w:p w14:paraId="301415EA" w14:textId="77777777" w:rsidR="00AC0EF1" w:rsidRPr="00AC0EF1" w:rsidRDefault="00AC0EF1" w:rsidP="00455419">
            <w:pPr>
              <w:jc w:val="center"/>
              <w:rPr>
                <w:rFonts w:cs="Calibri Light"/>
                <w:sz w:val="16"/>
                <w:szCs w:val="16"/>
              </w:rPr>
            </w:pPr>
            <w:r w:rsidRPr="00AC0EF1">
              <w:rPr>
                <w:rFonts w:cs="Calibri Light"/>
                <w:sz w:val="16"/>
                <w:szCs w:val="18"/>
              </w:rPr>
              <w:t>246.1</w:t>
            </w:r>
          </w:p>
        </w:tc>
        <w:tc>
          <w:tcPr>
            <w:tcW w:w="506" w:type="pct"/>
            <w:vAlign w:val="center"/>
          </w:tcPr>
          <w:p w14:paraId="0D996D81" w14:textId="77777777" w:rsidR="00AC0EF1" w:rsidRPr="00AC0EF1" w:rsidRDefault="00AC0EF1" w:rsidP="00455419">
            <w:pPr>
              <w:jc w:val="center"/>
              <w:rPr>
                <w:rFonts w:cs="Calibri Light"/>
                <w:sz w:val="16"/>
                <w:szCs w:val="16"/>
              </w:rPr>
            </w:pPr>
            <w:r w:rsidRPr="00AC0EF1">
              <w:rPr>
                <w:rFonts w:cs="Calibri Light"/>
                <w:sz w:val="16"/>
                <w:szCs w:val="18"/>
              </w:rPr>
              <w:t>248.3</w:t>
            </w:r>
          </w:p>
        </w:tc>
        <w:tc>
          <w:tcPr>
            <w:tcW w:w="506" w:type="pct"/>
            <w:vAlign w:val="center"/>
          </w:tcPr>
          <w:p w14:paraId="520AA9E1" w14:textId="77777777" w:rsidR="00AC0EF1" w:rsidRPr="00AC0EF1" w:rsidRDefault="00AC0EF1" w:rsidP="00455419">
            <w:pPr>
              <w:jc w:val="center"/>
              <w:rPr>
                <w:rFonts w:cs="Calibri Light"/>
                <w:sz w:val="16"/>
                <w:szCs w:val="16"/>
              </w:rPr>
            </w:pPr>
            <w:r w:rsidRPr="00AC0EF1">
              <w:rPr>
                <w:rFonts w:cs="Calibri Light"/>
                <w:color w:val="C00000"/>
                <w:sz w:val="16"/>
                <w:szCs w:val="18"/>
              </w:rPr>
              <w:t>(2.2)</w:t>
            </w:r>
          </w:p>
        </w:tc>
        <w:tc>
          <w:tcPr>
            <w:tcW w:w="506" w:type="pct"/>
            <w:vAlign w:val="center"/>
          </w:tcPr>
          <w:p w14:paraId="7E240988" w14:textId="77777777" w:rsidR="00AC0EF1" w:rsidRPr="00AC0EF1" w:rsidRDefault="00AC0EF1" w:rsidP="00455419">
            <w:pPr>
              <w:jc w:val="center"/>
              <w:rPr>
                <w:rFonts w:cs="Calibri Light"/>
                <w:sz w:val="16"/>
                <w:szCs w:val="16"/>
              </w:rPr>
            </w:pPr>
            <w:r w:rsidRPr="00AC0EF1">
              <w:rPr>
                <w:rFonts w:cs="Calibri Light"/>
                <w:color w:val="C00000"/>
                <w:sz w:val="16"/>
                <w:szCs w:val="18"/>
              </w:rPr>
              <w:t>(0.9)</w:t>
            </w:r>
          </w:p>
        </w:tc>
        <w:tc>
          <w:tcPr>
            <w:tcW w:w="506" w:type="pct"/>
            <w:vAlign w:val="center"/>
          </w:tcPr>
          <w:p w14:paraId="478E9CB8" w14:textId="77777777" w:rsidR="00AC0EF1" w:rsidRPr="00AC0EF1" w:rsidRDefault="00AC0EF1" w:rsidP="00455419">
            <w:pPr>
              <w:jc w:val="center"/>
              <w:rPr>
                <w:rFonts w:cs="Calibri Light"/>
                <w:sz w:val="16"/>
                <w:szCs w:val="16"/>
              </w:rPr>
            </w:pPr>
            <w:r w:rsidRPr="00AC0EF1">
              <w:rPr>
                <w:rFonts w:cs="Calibri Light"/>
                <w:color w:val="C00000"/>
                <w:sz w:val="16"/>
                <w:szCs w:val="18"/>
              </w:rPr>
              <w:t>(0.5)</w:t>
            </w:r>
          </w:p>
        </w:tc>
        <w:tc>
          <w:tcPr>
            <w:tcW w:w="506" w:type="pct"/>
            <w:vAlign w:val="center"/>
          </w:tcPr>
          <w:p w14:paraId="451F117D" w14:textId="77777777" w:rsidR="00AC0EF1" w:rsidRPr="00AC0EF1" w:rsidRDefault="00AC0EF1" w:rsidP="00455419">
            <w:pPr>
              <w:jc w:val="center"/>
              <w:rPr>
                <w:rFonts w:cs="Calibri Light"/>
                <w:sz w:val="16"/>
                <w:szCs w:val="16"/>
              </w:rPr>
            </w:pPr>
            <w:r w:rsidRPr="00AC0EF1">
              <w:rPr>
                <w:rFonts w:cs="Calibri Light"/>
                <w:sz w:val="16"/>
                <w:szCs w:val="18"/>
              </w:rPr>
              <w:t>0.0</w:t>
            </w:r>
          </w:p>
        </w:tc>
        <w:tc>
          <w:tcPr>
            <w:tcW w:w="506" w:type="pct"/>
            <w:vAlign w:val="center"/>
          </w:tcPr>
          <w:p w14:paraId="53EECFA9" w14:textId="77777777" w:rsidR="00AC0EF1" w:rsidRPr="00AC0EF1" w:rsidRDefault="00AC0EF1" w:rsidP="00455419">
            <w:pPr>
              <w:jc w:val="center"/>
              <w:rPr>
                <w:rFonts w:cs="Calibri Light"/>
                <w:sz w:val="16"/>
                <w:szCs w:val="16"/>
              </w:rPr>
            </w:pPr>
            <w:r w:rsidRPr="00AC0EF1">
              <w:rPr>
                <w:rFonts w:cs="Calibri Light"/>
                <w:color w:val="C00000"/>
                <w:sz w:val="16"/>
                <w:szCs w:val="18"/>
              </w:rPr>
              <w:t>(0.8)</w:t>
            </w:r>
          </w:p>
        </w:tc>
        <w:tc>
          <w:tcPr>
            <w:tcW w:w="506" w:type="pct"/>
            <w:vAlign w:val="center"/>
          </w:tcPr>
          <w:p w14:paraId="0BA16BC7" w14:textId="77777777" w:rsidR="00AC0EF1" w:rsidRPr="00AC0EF1" w:rsidRDefault="00AC0EF1" w:rsidP="00455419">
            <w:pPr>
              <w:jc w:val="center"/>
              <w:rPr>
                <w:rFonts w:cs="Calibri Light"/>
                <w:sz w:val="16"/>
                <w:szCs w:val="16"/>
              </w:rPr>
            </w:pPr>
            <w:r w:rsidRPr="00AC0EF1">
              <w:rPr>
                <w:rFonts w:cs="Calibri Light"/>
                <w:sz w:val="16"/>
                <w:szCs w:val="18"/>
              </w:rPr>
              <w:t>0.0</w:t>
            </w:r>
          </w:p>
        </w:tc>
      </w:tr>
      <w:tr w:rsidR="00AC0EF1" w14:paraId="2F3644C6" w14:textId="77777777" w:rsidTr="00FA0D53">
        <w:trPr>
          <w:trHeight w:val="284"/>
        </w:trPr>
        <w:tc>
          <w:tcPr>
            <w:tcW w:w="950" w:type="pct"/>
            <w:vAlign w:val="center"/>
          </w:tcPr>
          <w:p w14:paraId="6AB51B25" w14:textId="77777777" w:rsidR="00AC0EF1" w:rsidRPr="00AC0EF1" w:rsidRDefault="00AC0EF1" w:rsidP="00455419">
            <w:pPr>
              <w:rPr>
                <w:rFonts w:cs="Calibri Light"/>
                <w:sz w:val="16"/>
                <w:szCs w:val="16"/>
              </w:rPr>
            </w:pPr>
            <w:r w:rsidRPr="00AC0EF1">
              <w:rPr>
                <w:rFonts w:cs="Calibri Light"/>
                <w:sz w:val="16"/>
                <w:szCs w:val="18"/>
              </w:rPr>
              <w:t>Non-APRA levies</w:t>
            </w:r>
          </w:p>
        </w:tc>
        <w:tc>
          <w:tcPr>
            <w:tcW w:w="506" w:type="pct"/>
            <w:vAlign w:val="center"/>
          </w:tcPr>
          <w:p w14:paraId="40DF3C00" w14:textId="77777777" w:rsidR="00AC0EF1" w:rsidRPr="00AC0EF1" w:rsidRDefault="00AC0EF1" w:rsidP="00455419">
            <w:pPr>
              <w:jc w:val="center"/>
              <w:rPr>
                <w:rFonts w:cs="Calibri Light"/>
                <w:sz w:val="16"/>
                <w:szCs w:val="16"/>
              </w:rPr>
            </w:pPr>
            <w:r w:rsidRPr="00AC0EF1">
              <w:rPr>
                <w:rFonts w:cs="Calibri Light"/>
                <w:sz w:val="16"/>
                <w:szCs w:val="18"/>
              </w:rPr>
              <w:t>47.9</w:t>
            </w:r>
          </w:p>
        </w:tc>
        <w:tc>
          <w:tcPr>
            <w:tcW w:w="506" w:type="pct"/>
            <w:vAlign w:val="center"/>
          </w:tcPr>
          <w:p w14:paraId="4F0D9282" w14:textId="77777777" w:rsidR="00AC0EF1" w:rsidRPr="00AC0EF1" w:rsidRDefault="00AC0EF1" w:rsidP="00455419">
            <w:pPr>
              <w:jc w:val="center"/>
              <w:rPr>
                <w:rFonts w:cs="Calibri Light"/>
                <w:sz w:val="16"/>
                <w:szCs w:val="16"/>
              </w:rPr>
            </w:pPr>
            <w:r w:rsidRPr="00AC0EF1">
              <w:rPr>
                <w:rFonts w:cs="Calibri Light"/>
                <w:sz w:val="16"/>
                <w:szCs w:val="18"/>
              </w:rPr>
              <w:t>47.9</w:t>
            </w:r>
          </w:p>
        </w:tc>
        <w:tc>
          <w:tcPr>
            <w:tcW w:w="506" w:type="pct"/>
            <w:vAlign w:val="center"/>
          </w:tcPr>
          <w:p w14:paraId="56BA5C24" w14:textId="77777777" w:rsidR="00AC0EF1" w:rsidRPr="00AC0EF1" w:rsidRDefault="00AC0EF1" w:rsidP="00455419">
            <w:pPr>
              <w:jc w:val="center"/>
              <w:rPr>
                <w:rFonts w:cs="Calibri Light"/>
                <w:sz w:val="16"/>
                <w:szCs w:val="16"/>
              </w:rPr>
            </w:pPr>
            <w:r w:rsidRPr="00AC0EF1">
              <w:rPr>
                <w:rFonts w:cs="Calibri Light"/>
                <w:sz w:val="16"/>
                <w:szCs w:val="18"/>
              </w:rPr>
              <w:t>0.0</w:t>
            </w:r>
          </w:p>
        </w:tc>
        <w:tc>
          <w:tcPr>
            <w:tcW w:w="506" w:type="pct"/>
            <w:vAlign w:val="center"/>
          </w:tcPr>
          <w:p w14:paraId="466DC5E4" w14:textId="77777777" w:rsidR="00AC0EF1" w:rsidRPr="00AC0EF1" w:rsidRDefault="00AC0EF1" w:rsidP="00455419">
            <w:pPr>
              <w:jc w:val="center"/>
              <w:rPr>
                <w:rFonts w:cs="Calibri Light"/>
                <w:sz w:val="16"/>
                <w:szCs w:val="16"/>
              </w:rPr>
            </w:pPr>
            <w:r w:rsidRPr="00AC0EF1">
              <w:rPr>
                <w:rFonts w:cs="Calibri Light"/>
                <w:sz w:val="16"/>
                <w:szCs w:val="18"/>
              </w:rPr>
              <w:t>0.0</w:t>
            </w:r>
          </w:p>
        </w:tc>
        <w:tc>
          <w:tcPr>
            <w:tcW w:w="506" w:type="pct"/>
            <w:vAlign w:val="center"/>
          </w:tcPr>
          <w:p w14:paraId="7C4D9C7B" w14:textId="77777777" w:rsidR="00AC0EF1" w:rsidRPr="00AC0EF1" w:rsidRDefault="00AC0EF1" w:rsidP="00455419">
            <w:pPr>
              <w:jc w:val="center"/>
              <w:rPr>
                <w:rFonts w:cs="Calibri Light"/>
                <w:sz w:val="16"/>
                <w:szCs w:val="16"/>
              </w:rPr>
            </w:pPr>
            <w:r w:rsidRPr="00AC0EF1">
              <w:rPr>
                <w:rFonts w:cs="Calibri Light"/>
                <w:sz w:val="16"/>
                <w:szCs w:val="18"/>
              </w:rPr>
              <w:t>0.0</w:t>
            </w:r>
          </w:p>
        </w:tc>
        <w:tc>
          <w:tcPr>
            <w:tcW w:w="506" w:type="pct"/>
            <w:vAlign w:val="center"/>
          </w:tcPr>
          <w:p w14:paraId="48792706" w14:textId="77777777" w:rsidR="00AC0EF1" w:rsidRPr="00AC0EF1" w:rsidRDefault="00AC0EF1" w:rsidP="00455419">
            <w:pPr>
              <w:jc w:val="center"/>
              <w:rPr>
                <w:rFonts w:cs="Calibri Light"/>
                <w:sz w:val="16"/>
                <w:szCs w:val="16"/>
              </w:rPr>
            </w:pPr>
            <w:r w:rsidRPr="00AC0EF1">
              <w:rPr>
                <w:rFonts w:cs="Calibri Light"/>
                <w:sz w:val="16"/>
                <w:szCs w:val="18"/>
              </w:rPr>
              <w:t>0.0</w:t>
            </w:r>
          </w:p>
        </w:tc>
        <w:tc>
          <w:tcPr>
            <w:tcW w:w="506" w:type="pct"/>
            <w:vAlign w:val="center"/>
          </w:tcPr>
          <w:p w14:paraId="6ADAF342" w14:textId="77777777" w:rsidR="00AC0EF1" w:rsidRPr="00AC0EF1" w:rsidRDefault="00AC0EF1" w:rsidP="00455419">
            <w:pPr>
              <w:jc w:val="center"/>
              <w:rPr>
                <w:rFonts w:cs="Calibri Light"/>
                <w:sz w:val="16"/>
                <w:szCs w:val="16"/>
              </w:rPr>
            </w:pPr>
            <w:r w:rsidRPr="00AC0EF1">
              <w:rPr>
                <w:rFonts w:cs="Calibri Light"/>
                <w:sz w:val="16"/>
                <w:szCs w:val="18"/>
              </w:rPr>
              <w:t>0.0</w:t>
            </w:r>
          </w:p>
        </w:tc>
        <w:tc>
          <w:tcPr>
            <w:tcW w:w="506" w:type="pct"/>
            <w:vAlign w:val="center"/>
          </w:tcPr>
          <w:p w14:paraId="6CB32243" w14:textId="77777777" w:rsidR="00AC0EF1" w:rsidRPr="00AC0EF1" w:rsidRDefault="00AC0EF1" w:rsidP="00455419">
            <w:pPr>
              <w:jc w:val="center"/>
              <w:rPr>
                <w:rFonts w:cs="Calibri Light"/>
                <w:sz w:val="16"/>
                <w:szCs w:val="16"/>
              </w:rPr>
            </w:pPr>
            <w:r w:rsidRPr="00AC0EF1">
              <w:rPr>
                <w:rFonts w:cs="Calibri Light"/>
                <w:sz w:val="16"/>
                <w:szCs w:val="18"/>
              </w:rPr>
              <w:t>0.0</w:t>
            </w:r>
          </w:p>
        </w:tc>
      </w:tr>
      <w:tr w:rsidR="00AC0EF1" w14:paraId="285BB217" w14:textId="77777777" w:rsidTr="00FA0D53">
        <w:trPr>
          <w:trHeight w:val="284"/>
        </w:trPr>
        <w:tc>
          <w:tcPr>
            <w:tcW w:w="950" w:type="pct"/>
            <w:vAlign w:val="center"/>
          </w:tcPr>
          <w:p w14:paraId="4FF93114" w14:textId="77777777" w:rsidR="00AC0EF1" w:rsidRPr="00AC0EF1" w:rsidRDefault="00AC0EF1" w:rsidP="00455419">
            <w:pPr>
              <w:rPr>
                <w:rFonts w:cs="Calibri Light"/>
                <w:b/>
                <w:sz w:val="16"/>
                <w:szCs w:val="16"/>
              </w:rPr>
            </w:pPr>
            <w:r w:rsidRPr="00AC0EF1">
              <w:rPr>
                <w:rFonts w:cs="Calibri Light"/>
                <w:b/>
                <w:sz w:val="16"/>
                <w:szCs w:val="18"/>
              </w:rPr>
              <w:t>Total</w:t>
            </w:r>
          </w:p>
        </w:tc>
        <w:tc>
          <w:tcPr>
            <w:tcW w:w="506" w:type="pct"/>
            <w:vAlign w:val="center"/>
          </w:tcPr>
          <w:p w14:paraId="25DC9B3E" w14:textId="77777777" w:rsidR="00AC0EF1" w:rsidRDefault="00AC0EF1" w:rsidP="00455419">
            <w:pPr>
              <w:jc w:val="center"/>
              <w:rPr>
                <w:rFonts w:cs="Calibri Light"/>
                <w:sz w:val="16"/>
                <w:szCs w:val="16"/>
              </w:rPr>
            </w:pPr>
            <w:r w:rsidRPr="00374B7F">
              <w:rPr>
                <w:rFonts w:cs="Calibri Light"/>
                <w:b/>
                <w:sz w:val="16"/>
                <w:szCs w:val="18"/>
              </w:rPr>
              <w:t>294.0</w:t>
            </w:r>
          </w:p>
        </w:tc>
        <w:tc>
          <w:tcPr>
            <w:tcW w:w="506" w:type="pct"/>
            <w:vAlign w:val="center"/>
          </w:tcPr>
          <w:p w14:paraId="1B3C5E3C" w14:textId="77777777" w:rsidR="00AC0EF1" w:rsidRDefault="00AC0EF1" w:rsidP="00455419">
            <w:pPr>
              <w:jc w:val="center"/>
              <w:rPr>
                <w:rFonts w:cs="Calibri Light"/>
                <w:sz w:val="16"/>
                <w:szCs w:val="16"/>
              </w:rPr>
            </w:pPr>
            <w:r w:rsidRPr="00374B7F">
              <w:rPr>
                <w:rFonts w:cs="Calibri Light"/>
                <w:b/>
                <w:sz w:val="16"/>
                <w:szCs w:val="18"/>
              </w:rPr>
              <w:t>296.2</w:t>
            </w:r>
          </w:p>
        </w:tc>
        <w:tc>
          <w:tcPr>
            <w:tcW w:w="506" w:type="pct"/>
            <w:vAlign w:val="center"/>
          </w:tcPr>
          <w:p w14:paraId="75F7ECED" w14:textId="77777777" w:rsidR="00AC0EF1" w:rsidRDefault="00AC0EF1" w:rsidP="00455419">
            <w:pPr>
              <w:jc w:val="center"/>
              <w:rPr>
                <w:rFonts w:cs="Calibri Light"/>
                <w:sz w:val="16"/>
                <w:szCs w:val="16"/>
              </w:rPr>
            </w:pPr>
            <w:r w:rsidRPr="00374B7F">
              <w:rPr>
                <w:rFonts w:cs="Calibri Light"/>
                <w:b/>
                <w:color w:val="C00000"/>
                <w:sz w:val="16"/>
                <w:szCs w:val="18"/>
              </w:rPr>
              <w:t>(2.2)</w:t>
            </w:r>
          </w:p>
        </w:tc>
        <w:tc>
          <w:tcPr>
            <w:tcW w:w="506" w:type="pct"/>
            <w:vAlign w:val="center"/>
          </w:tcPr>
          <w:p w14:paraId="434924BA" w14:textId="77777777" w:rsidR="00AC0EF1" w:rsidRDefault="00AC0EF1" w:rsidP="00455419">
            <w:pPr>
              <w:jc w:val="center"/>
              <w:rPr>
                <w:rFonts w:cs="Calibri Light"/>
                <w:sz w:val="16"/>
                <w:szCs w:val="16"/>
              </w:rPr>
            </w:pPr>
            <w:r w:rsidRPr="00374B7F">
              <w:rPr>
                <w:rFonts w:cs="Calibri Light"/>
                <w:b/>
                <w:color w:val="C00000"/>
                <w:sz w:val="16"/>
                <w:szCs w:val="18"/>
              </w:rPr>
              <w:t>(0.9)</w:t>
            </w:r>
          </w:p>
        </w:tc>
        <w:tc>
          <w:tcPr>
            <w:tcW w:w="506" w:type="pct"/>
            <w:vAlign w:val="center"/>
          </w:tcPr>
          <w:p w14:paraId="6812CB4F" w14:textId="77777777" w:rsidR="00AC0EF1" w:rsidRDefault="00AC0EF1" w:rsidP="00455419">
            <w:pPr>
              <w:jc w:val="center"/>
              <w:rPr>
                <w:rFonts w:cs="Calibri Light"/>
                <w:sz w:val="16"/>
                <w:szCs w:val="16"/>
              </w:rPr>
            </w:pPr>
            <w:r w:rsidRPr="00374B7F">
              <w:rPr>
                <w:rFonts w:cs="Calibri Light"/>
                <w:b/>
                <w:color w:val="C00000"/>
                <w:sz w:val="16"/>
                <w:szCs w:val="18"/>
              </w:rPr>
              <w:t>(0.5)</w:t>
            </w:r>
          </w:p>
        </w:tc>
        <w:tc>
          <w:tcPr>
            <w:tcW w:w="506" w:type="pct"/>
            <w:vAlign w:val="center"/>
          </w:tcPr>
          <w:p w14:paraId="340E8A70" w14:textId="77777777" w:rsidR="00AC0EF1" w:rsidRDefault="00AC0EF1" w:rsidP="00455419">
            <w:pPr>
              <w:jc w:val="center"/>
              <w:rPr>
                <w:rFonts w:cs="Calibri Light"/>
                <w:sz w:val="16"/>
                <w:szCs w:val="16"/>
              </w:rPr>
            </w:pPr>
            <w:r w:rsidRPr="00374B7F">
              <w:rPr>
                <w:rFonts w:cs="Calibri Light"/>
                <w:b/>
                <w:sz w:val="16"/>
                <w:szCs w:val="18"/>
              </w:rPr>
              <w:t>0.0</w:t>
            </w:r>
          </w:p>
        </w:tc>
        <w:tc>
          <w:tcPr>
            <w:tcW w:w="506" w:type="pct"/>
            <w:vAlign w:val="center"/>
          </w:tcPr>
          <w:p w14:paraId="2CE1C461" w14:textId="77777777" w:rsidR="00AC0EF1" w:rsidRDefault="00AC0EF1" w:rsidP="00455419">
            <w:pPr>
              <w:jc w:val="center"/>
              <w:rPr>
                <w:rFonts w:cs="Calibri Light"/>
                <w:sz w:val="16"/>
                <w:szCs w:val="16"/>
              </w:rPr>
            </w:pPr>
            <w:r w:rsidRPr="00374B7F">
              <w:rPr>
                <w:rFonts w:cs="Calibri Light"/>
                <w:b/>
                <w:color w:val="C00000"/>
                <w:sz w:val="16"/>
                <w:szCs w:val="18"/>
              </w:rPr>
              <w:t>(0.8)</w:t>
            </w:r>
          </w:p>
        </w:tc>
        <w:tc>
          <w:tcPr>
            <w:tcW w:w="506" w:type="pct"/>
            <w:vAlign w:val="center"/>
          </w:tcPr>
          <w:p w14:paraId="6C3780F9" w14:textId="77777777" w:rsidR="00AC0EF1" w:rsidRDefault="00AC0EF1" w:rsidP="00455419">
            <w:pPr>
              <w:jc w:val="center"/>
              <w:rPr>
                <w:rFonts w:cs="Calibri Light"/>
                <w:sz w:val="16"/>
                <w:szCs w:val="16"/>
              </w:rPr>
            </w:pPr>
            <w:r w:rsidRPr="00374B7F">
              <w:rPr>
                <w:rFonts w:cs="Calibri Light"/>
                <w:b/>
                <w:sz w:val="16"/>
                <w:szCs w:val="18"/>
              </w:rPr>
              <w:t>0.0</w:t>
            </w:r>
          </w:p>
        </w:tc>
      </w:tr>
      <w:bookmarkEnd w:id="57"/>
    </w:tbl>
    <w:p w14:paraId="4FE7E245" w14:textId="4B7A9FB1" w:rsidR="00762E42" w:rsidRPr="005378B1" w:rsidRDefault="00762E42" w:rsidP="005378B1">
      <w:pPr>
        <w:pStyle w:val="TableMainHeading"/>
        <w:rPr>
          <w:color w:val="auto"/>
        </w:rPr>
      </w:pPr>
    </w:p>
    <w:p w14:paraId="2DE87C5F" w14:textId="493E5C03" w:rsidR="00762E42" w:rsidRPr="005378B1" w:rsidRDefault="003C6509" w:rsidP="005378B1">
      <w:pPr>
        <w:pStyle w:val="Heading2"/>
        <w:rPr>
          <w:color w:val="auto"/>
        </w:rPr>
      </w:pPr>
      <w:bookmarkStart w:id="58" w:name="_Toc1575302"/>
      <w:bookmarkStart w:id="59" w:name="_Toc1577986"/>
      <w:bookmarkStart w:id="60" w:name="_Toc1578905"/>
      <w:bookmarkStart w:id="61" w:name="_Toc4662139"/>
      <w:bookmarkStart w:id="62" w:name="_Toc98841576"/>
      <w:bookmarkStart w:id="63" w:name="_Toc192616742"/>
      <w:r w:rsidRPr="005378B1">
        <w:rPr>
          <w:color w:val="auto"/>
        </w:rPr>
        <w:t>Australian Taxation Office component</w:t>
      </w:r>
      <w:bookmarkEnd w:id="58"/>
      <w:bookmarkEnd w:id="59"/>
      <w:bookmarkEnd w:id="60"/>
      <w:bookmarkEnd w:id="61"/>
      <w:bookmarkEnd w:id="62"/>
      <w:bookmarkEnd w:id="63"/>
    </w:p>
    <w:p w14:paraId="20A5A945" w14:textId="7E5B7C65" w:rsidR="006545A9" w:rsidRPr="005378B1" w:rsidRDefault="003C6509" w:rsidP="005378B1">
      <w:bookmarkStart w:id="64" w:name="_Toc1575303"/>
      <w:bookmarkStart w:id="65" w:name="_Toc1577987"/>
      <w:bookmarkStart w:id="66" w:name="_Toc1578906"/>
      <w:bookmarkStart w:id="67" w:name="_Toc4662140"/>
      <w:r w:rsidRPr="005378B1">
        <w:t xml:space="preserve">Funding from the levies collected from the superannuation industry includes a component to cover the ATO’s regulatory costs in administering the Superannuation Lost Member Register (LMR) and Unclaimed Superannuation Money (USM) frameworks. </w:t>
      </w:r>
    </w:p>
    <w:p w14:paraId="6573F1EC" w14:textId="05E5105C" w:rsidR="006545A9" w:rsidRPr="005378B1" w:rsidRDefault="003C6509" w:rsidP="005378B1">
      <w:r w:rsidRPr="005378B1">
        <w:t xml:space="preserve">In </w:t>
      </w:r>
      <w:r w:rsidR="006545A9" w:rsidRPr="005378B1">
        <w:t>202</w:t>
      </w:r>
      <w:r w:rsidR="0094004F" w:rsidRPr="005378B1">
        <w:t>5</w:t>
      </w:r>
      <w:r w:rsidR="008F41B2" w:rsidRPr="005378B1">
        <w:t>–</w:t>
      </w:r>
      <w:r w:rsidR="006545A9" w:rsidRPr="005378B1">
        <w:t>2</w:t>
      </w:r>
      <w:r w:rsidR="0094004F" w:rsidRPr="005378B1">
        <w:t>6</w:t>
      </w:r>
      <w:r w:rsidR="006545A9" w:rsidRPr="005378B1">
        <w:t>, $</w:t>
      </w:r>
      <w:r w:rsidR="00DF77A6">
        <w:t>13</w:t>
      </w:r>
      <w:r w:rsidR="00D01EB3" w:rsidRPr="005378B1">
        <w:t xml:space="preserve"> </w:t>
      </w:r>
      <w:r w:rsidRPr="005378B1">
        <w:t xml:space="preserve">million will be recovered for the ATO to support its activities in relation to the LMR and USM, which include: </w:t>
      </w:r>
    </w:p>
    <w:p w14:paraId="395D8CAC" w14:textId="624899C5" w:rsidR="006545A9" w:rsidRPr="005378B1" w:rsidRDefault="00EC792F" w:rsidP="005378B1">
      <w:pPr>
        <w:numPr>
          <w:ilvl w:val="0"/>
          <w:numId w:val="1"/>
        </w:numPr>
        <w:spacing w:before="0"/>
      </w:pPr>
      <w:r>
        <w:t>implementing</w:t>
      </w:r>
      <w:r w:rsidR="003C6509" w:rsidRPr="005378B1">
        <w:t xml:space="preserve"> strategies to reunite individuals with lost and unclaimed superannuation money including promoting ATO Online services through </w:t>
      </w:r>
      <w:proofErr w:type="spellStart"/>
      <w:r w:rsidR="003C6509" w:rsidRPr="005378B1">
        <w:t>myGov</w:t>
      </w:r>
      <w:proofErr w:type="spellEnd"/>
      <w:r w:rsidR="003C6509" w:rsidRPr="005378B1">
        <w:t xml:space="preserve"> and targeted campaigns using demographic data and account </w:t>
      </w:r>
      <w:proofErr w:type="gramStart"/>
      <w:r w:rsidR="003C6509" w:rsidRPr="005378B1">
        <w:t>balances</w:t>
      </w:r>
      <w:r w:rsidR="00AC1819">
        <w:t>;</w:t>
      </w:r>
      <w:proofErr w:type="gramEnd"/>
      <w:r w:rsidR="003C6509" w:rsidRPr="005378B1">
        <w:t xml:space="preserve"> </w:t>
      </w:r>
    </w:p>
    <w:p w14:paraId="54EA68D7" w14:textId="38EBA224" w:rsidR="006545A9" w:rsidRPr="005378B1" w:rsidRDefault="003C6509" w:rsidP="005378B1">
      <w:pPr>
        <w:numPr>
          <w:ilvl w:val="0"/>
          <w:numId w:val="1"/>
        </w:numPr>
        <w:spacing w:before="0"/>
      </w:pPr>
      <w:r w:rsidRPr="005378B1">
        <w:t xml:space="preserve">working collaboratively with funds to engage members being reunited with their super, and providing funds with updated contact information about their lost </w:t>
      </w:r>
      <w:proofErr w:type="gramStart"/>
      <w:r w:rsidRPr="005378B1">
        <w:t>members</w:t>
      </w:r>
      <w:r w:rsidR="00AC1819">
        <w:t>;</w:t>
      </w:r>
      <w:proofErr w:type="gramEnd"/>
      <w:r w:rsidRPr="005378B1">
        <w:t xml:space="preserve"> </w:t>
      </w:r>
    </w:p>
    <w:p w14:paraId="3FC4EF73" w14:textId="16E076FD" w:rsidR="006545A9" w:rsidRPr="005378B1" w:rsidRDefault="003C6509" w:rsidP="005378B1">
      <w:pPr>
        <w:numPr>
          <w:ilvl w:val="0"/>
          <w:numId w:val="1"/>
        </w:numPr>
        <w:spacing w:before="0"/>
      </w:pPr>
      <w:r w:rsidRPr="005378B1">
        <w:t xml:space="preserve">processing of lodgements, statements and other associated account </w:t>
      </w:r>
      <w:proofErr w:type="gramStart"/>
      <w:r w:rsidRPr="005378B1">
        <w:t>activities</w:t>
      </w:r>
      <w:r w:rsidR="00AC1819">
        <w:t>;</w:t>
      </w:r>
      <w:proofErr w:type="gramEnd"/>
      <w:r w:rsidRPr="005378B1">
        <w:t xml:space="preserve"> </w:t>
      </w:r>
    </w:p>
    <w:p w14:paraId="0122E579" w14:textId="7395B05C" w:rsidR="006545A9" w:rsidRPr="005378B1" w:rsidRDefault="003C6509" w:rsidP="005378B1">
      <w:pPr>
        <w:numPr>
          <w:ilvl w:val="0"/>
          <w:numId w:val="1"/>
        </w:numPr>
        <w:spacing w:before="0"/>
      </w:pPr>
      <w:r w:rsidRPr="005378B1">
        <w:t xml:space="preserve">processing of claims and payments, including the recovery of </w:t>
      </w:r>
      <w:proofErr w:type="gramStart"/>
      <w:r w:rsidRPr="005378B1">
        <w:t>overpayments</w:t>
      </w:r>
      <w:r w:rsidR="00AC1819">
        <w:t>;</w:t>
      </w:r>
      <w:proofErr w:type="gramEnd"/>
      <w:r w:rsidRPr="005378B1">
        <w:t xml:space="preserve"> </w:t>
      </w:r>
    </w:p>
    <w:p w14:paraId="32CA0C81" w14:textId="76534569" w:rsidR="006545A9" w:rsidRPr="005378B1" w:rsidRDefault="003C6509" w:rsidP="005378B1">
      <w:pPr>
        <w:numPr>
          <w:ilvl w:val="0"/>
          <w:numId w:val="1"/>
        </w:numPr>
        <w:spacing w:before="0"/>
      </w:pPr>
      <w:r w:rsidRPr="005378B1">
        <w:t xml:space="preserve">reviewing and improving the integrity of data on the LMR and in the USM </w:t>
      </w:r>
      <w:proofErr w:type="gramStart"/>
      <w:r w:rsidRPr="005378B1">
        <w:t>system</w:t>
      </w:r>
      <w:r w:rsidR="00AC1819">
        <w:t>;</w:t>
      </w:r>
      <w:proofErr w:type="gramEnd"/>
    </w:p>
    <w:p w14:paraId="0C4E7786" w14:textId="260620AF" w:rsidR="006545A9" w:rsidRPr="005378B1" w:rsidRDefault="003C6509" w:rsidP="005378B1">
      <w:pPr>
        <w:numPr>
          <w:ilvl w:val="0"/>
          <w:numId w:val="1"/>
        </w:numPr>
        <w:spacing w:before="0"/>
      </w:pPr>
      <w:r w:rsidRPr="005378B1">
        <w:t>reviewing and improving data matching techniques, which facilitates the display of lost and unclaimed accounts on the ATO On</w:t>
      </w:r>
      <w:r w:rsidR="00D0298D" w:rsidRPr="005378B1">
        <w:t>-</w:t>
      </w:r>
      <w:r w:rsidRPr="005378B1">
        <w:t>Line Individuals Portal</w:t>
      </w:r>
      <w:r w:rsidR="00AC1819">
        <w:t>; and</w:t>
      </w:r>
    </w:p>
    <w:p w14:paraId="3781B057" w14:textId="4E09C26A" w:rsidR="006545A9" w:rsidRPr="005378B1" w:rsidRDefault="00EC792F" w:rsidP="005378B1">
      <w:pPr>
        <w:numPr>
          <w:ilvl w:val="0"/>
          <w:numId w:val="1"/>
        </w:numPr>
        <w:spacing w:before="0"/>
      </w:pPr>
      <w:r w:rsidRPr="005378B1">
        <w:t>undertak</w:t>
      </w:r>
      <w:r>
        <w:t>ing</w:t>
      </w:r>
      <w:r w:rsidRPr="005378B1">
        <w:t xml:space="preserve"> </w:t>
      </w:r>
      <w:r w:rsidR="003C6509" w:rsidRPr="005378B1">
        <w:t>work to identify and mitigate risk and fraud</w:t>
      </w:r>
      <w:r w:rsidR="00AC1819">
        <w:t>.</w:t>
      </w:r>
    </w:p>
    <w:p w14:paraId="702E203F" w14:textId="7FE8A402" w:rsidR="006545A9" w:rsidRPr="005378B1" w:rsidRDefault="003C6509" w:rsidP="005378B1">
      <w:r w:rsidRPr="005378B1">
        <w:t xml:space="preserve">The funding also supports the ongoing upkeep and enhancement of the ATO’s administrative system for USM frameworks and the LMR, and for continued work to improve efficiency and automate processing where applicable. </w:t>
      </w:r>
    </w:p>
    <w:p w14:paraId="45EBF286" w14:textId="3FB143C2" w:rsidR="006545A9" w:rsidRPr="005378B1" w:rsidRDefault="003C6509" w:rsidP="005378B1">
      <w:r w:rsidRPr="005378B1">
        <w:t>In addition, from 1 July 2018, the ATO assumed the role of administering the early Compassionate Release of Super program</w:t>
      </w:r>
      <w:r w:rsidR="006545A9" w:rsidRPr="005378B1">
        <w:t>.</w:t>
      </w:r>
      <w:r w:rsidRPr="005378B1">
        <w:t xml:space="preserve"> The compassionate grounds enable the ATO to consider the early release of a person’s preserved superannuation in specified circumstances. </w:t>
      </w:r>
    </w:p>
    <w:p w14:paraId="07C3D141" w14:textId="2FEB335B" w:rsidR="006545A9" w:rsidRPr="005378B1" w:rsidRDefault="003C6509" w:rsidP="005378B1">
      <w:r w:rsidRPr="005378B1">
        <w:t xml:space="preserve">In </w:t>
      </w:r>
      <w:r w:rsidR="006545A9" w:rsidRPr="005378B1">
        <w:t>202</w:t>
      </w:r>
      <w:r w:rsidR="0094004F" w:rsidRPr="005378B1">
        <w:t>5</w:t>
      </w:r>
      <w:r w:rsidR="008F41B2" w:rsidRPr="005378B1">
        <w:t>–</w:t>
      </w:r>
      <w:r w:rsidR="006545A9" w:rsidRPr="005378B1">
        <w:t>2</w:t>
      </w:r>
      <w:r w:rsidR="0094004F" w:rsidRPr="005378B1">
        <w:t>6</w:t>
      </w:r>
      <w:r w:rsidR="006545A9" w:rsidRPr="005378B1">
        <w:t>, $</w:t>
      </w:r>
      <w:r w:rsidR="006E16CB">
        <w:t>24.2</w:t>
      </w:r>
      <w:r w:rsidR="00D01EB3" w:rsidRPr="005378B1">
        <w:t xml:space="preserve"> </w:t>
      </w:r>
      <w:r w:rsidRPr="005378B1">
        <w:t>million will be recovered for the ATO to administer this program.</w:t>
      </w:r>
    </w:p>
    <w:p w14:paraId="611A961E" w14:textId="6C56E21C" w:rsidR="00762E42" w:rsidRPr="005378B1" w:rsidRDefault="003C6509" w:rsidP="005378B1">
      <w:pPr>
        <w:pStyle w:val="Heading2"/>
        <w:rPr>
          <w:color w:val="auto"/>
        </w:rPr>
      </w:pPr>
      <w:bookmarkStart w:id="68" w:name="_Toc1575304"/>
      <w:bookmarkStart w:id="69" w:name="_Toc1577988"/>
      <w:bookmarkStart w:id="70" w:name="_Toc1578907"/>
      <w:bookmarkStart w:id="71" w:name="_Toc4662141"/>
      <w:bookmarkStart w:id="72" w:name="_Toc98841578"/>
      <w:bookmarkStart w:id="73" w:name="_Toc192616743"/>
      <w:bookmarkEnd w:id="64"/>
      <w:bookmarkEnd w:id="65"/>
      <w:bookmarkEnd w:id="66"/>
      <w:bookmarkEnd w:id="67"/>
      <w:r w:rsidRPr="005378B1">
        <w:rPr>
          <w:color w:val="auto"/>
          <w:lang w:val="en"/>
        </w:rPr>
        <w:t xml:space="preserve">Gateway Network Governance Body </w:t>
      </w:r>
      <w:r w:rsidRPr="005378B1">
        <w:rPr>
          <w:color w:val="auto"/>
        </w:rPr>
        <w:t>component</w:t>
      </w:r>
      <w:bookmarkEnd w:id="68"/>
      <w:bookmarkEnd w:id="69"/>
      <w:bookmarkEnd w:id="70"/>
      <w:bookmarkEnd w:id="71"/>
      <w:bookmarkEnd w:id="72"/>
      <w:bookmarkEnd w:id="73"/>
    </w:p>
    <w:p w14:paraId="205A235D" w14:textId="36159B1B" w:rsidR="006545A9" w:rsidRPr="005378B1" w:rsidRDefault="003C6509" w:rsidP="005378B1">
      <w:bookmarkStart w:id="74" w:name="_Toc1575305"/>
      <w:bookmarkStart w:id="75" w:name="_Toc1577989"/>
      <w:bookmarkStart w:id="76" w:name="_Toc1578908"/>
      <w:bookmarkStart w:id="77" w:name="_Toc4662143"/>
      <w:r w:rsidRPr="005378B1">
        <w:t xml:space="preserve">The GNGB governs the Superannuation Transaction Network (STN), the gateway infrastructure that facilitates transmission of </w:t>
      </w:r>
      <w:proofErr w:type="spellStart"/>
      <w:r w:rsidRPr="005378B1">
        <w:t>SuperStream</w:t>
      </w:r>
      <w:proofErr w:type="spellEnd"/>
      <w:r w:rsidRPr="005378B1">
        <w:t xml:space="preserve"> data messages between employers, superannuation funds and the ATO. It promotes the efficiency and effectiveness of the STN, monitoring compliance with the </w:t>
      </w:r>
      <w:r w:rsidR="007749C4">
        <w:t>s</w:t>
      </w:r>
      <w:r w:rsidR="007749C4" w:rsidRPr="005378B1">
        <w:t>tandards</w:t>
      </w:r>
      <w:r w:rsidRPr="005378B1">
        <w:t xml:space="preserve">, managing new entrants to the network, and engaging with key stakeholders in government and industry. </w:t>
      </w:r>
    </w:p>
    <w:p w14:paraId="7C7D955D" w14:textId="56CBC154" w:rsidR="006545A9" w:rsidRPr="005378B1" w:rsidRDefault="003C6509" w:rsidP="005378B1">
      <w:r w:rsidRPr="005378B1">
        <w:t xml:space="preserve">In </w:t>
      </w:r>
      <w:r w:rsidR="006545A9" w:rsidRPr="005378B1">
        <w:t>202</w:t>
      </w:r>
      <w:r w:rsidR="004E4C45" w:rsidRPr="005378B1">
        <w:t>5</w:t>
      </w:r>
      <w:r w:rsidR="007749C4" w:rsidRPr="005378B1">
        <w:t>–</w:t>
      </w:r>
      <w:r w:rsidR="006545A9" w:rsidRPr="005378B1">
        <w:t>2</w:t>
      </w:r>
      <w:r w:rsidR="004E4C45" w:rsidRPr="005378B1">
        <w:t>6</w:t>
      </w:r>
      <w:r w:rsidRPr="005378B1">
        <w:t>, $</w:t>
      </w:r>
      <w:r w:rsidR="005D17F7" w:rsidRPr="005378B1">
        <w:t>1.</w:t>
      </w:r>
      <w:r w:rsidR="009832BD">
        <w:t>4</w:t>
      </w:r>
      <w:r w:rsidR="009832BD" w:rsidRPr="005378B1">
        <w:t xml:space="preserve"> </w:t>
      </w:r>
      <w:r w:rsidRPr="005378B1">
        <w:t>million will be recovered with respect to the GNGB.</w:t>
      </w:r>
      <w:r w:rsidR="00F836F6" w:rsidRPr="005378B1">
        <w:t xml:space="preserve"> The $0.</w:t>
      </w:r>
      <w:r w:rsidR="009832BD">
        <w:t>1</w:t>
      </w:r>
      <w:r w:rsidR="009832BD" w:rsidRPr="005378B1">
        <w:t xml:space="preserve"> </w:t>
      </w:r>
      <w:r w:rsidR="00F836F6" w:rsidRPr="005378B1">
        <w:t xml:space="preserve">million increase from </w:t>
      </w:r>
      <w:r w:rsidR="009832BD" w:rsidRPr="005378B1">
        <w:t>202</w:t>
      </w:r>
      <w:r w:rsidR="009832BD">
        <w:t>4</w:t>
      </w:r>
      <w:r w:rsidR="007749C4" w:rsidRPr="005378B1">
        <w:t>–</w:t>
      </w:r>
      <w:r w:rsidR="009832BD" w:rsidRPr="005378B1">
        <w:t>2</w:t>
      </w:r>
      <w:r w:rsidR="009832BD">
        <w:t>5</w:t>
      </w:r>
      <w:r w:rsidR="009832BD" w:rsidRPr="005378B1">
        <w:t xml:space="preserve"> </w:t>
      </w:r>
      <w:r w:rsidR="00F836F6" w:rsidRPr="005378B1">
        <w:t xml:space="preserve">is to reflect </w:t>
      </w:r>
      <w:r w:rsidR="00680650" w:rsidRPr="005378B1">
        <w:t>the changes in consumer price index (CPI) and increased focus on cyber threats and security of data within the STN.</w:t>
      </w:r>
    </w:p>
    <w:p w14:paraId="1466A3EC" w14:textId="7E131F8C" w:rsidR="006418EF" w:rsidRPr="005378B1" w:rsidRDefault="006418EF" w:rsidP="005378B1">
      <w:pPr>
        <w:pStyle w:val="Heading2"/>
        <w:rPr>
          <w:color w:val="auto"/>
          <w:lang w:val="en-US"/>
        </w:rPr>
      </w:pPr>
      <w:bookmarkStart w:id="78" w:name="_Toc192616744"/>
      <w:r w:rsidRPr="005378B1">
        <w:rPr>
          <w:color w:val="auto"/>
          <w:lang w:val="en-US"/>
        </w:rPr>
        <w:t xml:space="preserve">Treasury </w:t>
      </w:r>
      <w:r w:rsidR="0022125D" w:rsidRPr="005378B1">
        <w:rPr>
          <w:color w:val="auto"/>
          <w:lang w:val="en-US"/>
        </w:rPr>
        <w:t>component</w:t>
      </w:r>
      <w:bookmarkEnd w:id="78"/>
      <w:r w:rsidR="0022125D" w:rsidRPr="005378B1">
        <w:rPr>
          <w:color w:val="auto"/>
          <w:lang w:val="en-US"/>
        </w:rPr>
        <w:t xml:space="preserve"> </w:t>
      </w:r>
    </w:p>
    <w:p w14:paraId="07656121" w14:textId="183943A8" w:rsidR="006418EF" w:rsidRPr="005378B1" w:rsidRDefault="006418EF" w:rsidP="005378B1">
      <w:pPr>
        <w:rPr>
          <w:lang w:val="en"/>
        </w:rPr>
      </w:pPr>
      <w:r w:rsidRPr="005378B1">
        <w:rPr>
          <w:lang w:val="en-US"/>
        </w:rPr>
        <w:t>Treasury administer</w:t>
      </w:r>
      <w:r w:rsidR="004E6464">
        <w:rPr>
          <w:lang w:val="en-US"/>
        </w:rPr>
        <w:t>s</w:t>
      </w:r>
      <w:r w:rsidRPr="005378B1">
        <w:rPr>
          <w:lang w:val="en-US"/>
        </w:rPr>
        <w:t xml:space="preserve"> a grant to fund a superannuation consumer advocate, which </w:t>
      </w:r>
      <w:r w:rsidR="00441098" w:rsidRPr="005378B1">
        <w:rPr>
          <w:lang w:val="en-US"/>
        </w:rPr>
        <w:t xml:space="preserve">has </w:t>
      </w:r>
      <w:r w:rsidRPr="005378B1">
        <w:rPr>
          <w:lang w:val="en-US"/>
        </w:rPr>
        <w:t>be</w:t>
      </w:r>
      <w:r w:rsidR="00441098" w:rsidRPr="005378B1">
        <w:rPr>
          <w:lang w:val="en-US"/>
        </w:rPr>
        <w:t>en</w:t>
      </w:r>
      <w:r w:rsidRPr="005378B1">
        <w:rPr>
          <w:lang w:val="en-US"/>
        </w:rPr>
        <w:t xml:space="preserve"> chosen through a competitive grant process. The advocate undertake</w:t>
      </w:r>
      <w:r w:rsidR="0060648B" w:rsidRPr="005378B1">
        <w:rPr>
          <w:lang w:val="en-US"/>
        </w:rPr>
        <w:t>s</w:t>
      </w:r>
      <w:r w:rsidRPr="005378B1">
        <w:rPr>
          <w:lang w:val="en-US"/>
        </w:rPr>
        <w:t xml:space="preserve"> research and analysis, engage</w:t>
      </w:r>
      <w:r w:rsidR="00C063D4" w:rsidRPr="005378B1">
        <w:rPr>
          <w:lang w:val="en-US"/>
        </w:rPr>
        <w:t>s</w:t>
      </w:r>
      <w:r w:rsidRPr="005378B1">
        <w:rPr>
          <w:lang w:val="en-US"/>
        </w:rPr>
        <w:t xml:space="preserve"> with </w:t>
      </w:r>
      <w:r w:rsidRPr="005378B1">
        <w:rPr>
          <w:lang w:val="en-US"/>
        </w:rPr>
        <w:lastRenderedPageBreak/>
        <w:t>government, regulators and industry on policy issues affecting superannuation members, and represent</w:t>
      </w:r>
      <w:r w:rsidR="00D2735B" w:rsidRPr="005378B1">
        <w:rPr>
          <w:lang w:val="en-US"/>
        </w:rPr>
        <w:t>s</w:t>
      </w:r>
      <w:r w:rsidRPr="005378B1">
        <w:rPr>
          <w:lang w:val="en-US"/>
        </w:rPr>
        <w:t xml:space="preserve"> the interests of superannuation members in public discourse.</w:t>
      </w:r>
      <w:r w:rsidR="0052625C">
        <w:rPr>
          <w:lang w:val="en"/>
        </w:rPr>
        <w:t xml:space="preserve"> </w:t>
      </w:r>
      <w:r w:rsidRPr="005378B1">
        <w:rPr>
          <w:lang w:val="en"/>
        </w:rPr>
        <w:t>In 202</w:t>
      </w:r>
      <w:r w:rsidR="004E4C45" w:rsidRPr="005378B1">
        <w:rPr>
          <w:lang w:val="en"/>
        </w:rPr>
        <w:t>5</w:t>
      </w:r>
      <w:r w:rsidR="00772196" w:rsidRPr="005378B1">
        <w:t>–</w:t>
      </w:r>
      <w:r w:rsidRPr="005378B1">
        <w:rPr>
          <w:lang w:val="en"/>
        </w:rPr>
        <w:t>2</w:t>
      </w:r>
      <w:r w:rsidR="004E4C45" w:rsidRPr="005378B1">
        <w:rPr>
          <w:lang w:val="en"/>
        </w:rPr>
        <w:t>6</w:t>
      </w:r>
      <w:r w:rsidRPr="005378B1">
        <w:rPr>
          <w:lang w:val="en"/>
        </w:rPr>
        <w:t>, $1</w:t>
      </w:r>
      <w:r w:rsidR="00EB5FDA" w:rsidRPr="005378B1">
        <w:rPr>
          <w:lang w:val="en"/>
        </w:rPr>
        <w:t>.0</w:t>
      </w:r>
      <w:r w:rsidRPr="005378B1">
        <w:rPr>
          <w:lang w:val="en"/>
        </w:rPr>
        <w:t xml:space="preserve"> million will be recovered to fund the grant.</w:t>
      </w:r>
    </w:p>
    <w:p w14:paraId="2B300D56" w14:textId="4C950C0C" w:rsidR="00762E42" w:rsidRPr="005378B1" w:rsidRDefault="003C6509" w:rsidP="005378B1">
      <w:pPr>
        <w:pStyle w:val="Heading1"/>
        <w:rPr>
          <w:color w:val="auto"/>
        </w:rPr>
      </w:pPr>
      <w:bookmarkStart w:id="79" w:name="_Toc98841579"/>
      <w:bookmarkStart w:id="80" w:name="_Toc192616745"/>
      <w:r w:rsidRPr="005378B1">
        <w:rPr>
          <w:color w:val="auto"/>
        </w:rPr>
        <w:t>Summary of sectoral levies arrangements for </w:t>
      </w:r>
      <w:bookmarkEnd w:id="74"/>
      <w:bookmarkEnd w:id="75"/>
      <w:bookmarkEnd w:id="76"/>
      <w:bookmarkEnd w:id="77"/>
      <w:bookmarkEnd w:id="79"/>
      <w:r w:rsidR="00E20842" w:rsidRPr="005378B1">
        <w:rPr>
          <w:color w:val="auto"/>
        </w:rPr>
        <w:t>202</w:t>
      </w:r>
      <w:r w:rsidR="0094004F" w:rsidRPr="005378B1">
        <w:rPr>
          <w:color w:val="auto"/>
        </w:rPr>
        <w:t>5</w:t>
      </w:r>
      <w:r w:rsidR="00772196" w:rsidRPr="00D65DC8">
        <w:rPr>
          <w:color w:val="000000" w:themeColor="text1"/>
        </w:rPr>
        <w:t>–</w:t>
      </w:r>
      <w:r w:rsidR="00E20842" w:rsidRPr="005378B1">
        <w:rPr>
          <w:color w:val="auto"/>
        </w:rPr>
        <w:t>2</w:t>
      </w:r>
      <w:r w:rsidR="0094004F" w:rsidRPr="005378B1">
        <w:rPr>
          <w:color w:val="auto"/>
        </w:rPr>
        <w:t>6</w:t>
      </w:r>
      <w:bookmarkEnd w:id="80"/>
    </w:p>
    <w:p w14:paraId="6D7C6991" w14:textId="77777777" w:rsidR="00762E42" w:rsidRPr="005378B1" w:rsidRDefault="003C6509" w:rsidP="005378B1">
      <w:pPr>
        <w:numPr>
          <w:ilvl w:val="0"/>
          <w:numId w:val="16"/>
        </w:numPr>
        <w:spacing w:before="0" w:after="240"/>
        <w:rPr>
          <w:rFonts w:cs="Calibri Light"/>
        </w:rPr>
      </w:pPr>
      <w:r w:rsidRPr="005378B1">
        <w:rPr>
          <w:rFonts w:cs="Calibri Light"/>
        </w:rPr>
        <w:t>Two methodologies are adopted by APRA to calculate supervisory levies.</w:t>
      </w:r>
    </w:p>
    <w:p w14:paraId="58EACAE6" w14:textId="377F13FE" w:rsidR="00762E42" w:rsidRPr="005378B1" w:rsidRDefault="003C6509" w:rsidP="005378B1">
      <w:pPr>
        <w:numPr>
          <w:ilvl w:val="0"/>
          <w:numId w:val="16"/>
        </w:numPr>
        <w:spacing w:before="0" w:after="240"/>
        <w:rPr>
          <w:rFonts w:cs="Calibri Light"/>
        </w:rPr>
      </w:pPr>
      <w:r w:rsidRPr="005378B1">
        <w:rPr>
          <w:rFonts w:cs="Calibri Light"/>
        </w:rPr>
        <w:t xml:space="preserve">The first levy methodology used to recoup APRA’s costs is applied to the ADI, </w:t>
      </w:r>
      <w:r w:rsidR="00C319F1">
        <w:rPr>
          <w:rFonts w:cs="Calibri Light"/>
        </w:rPr>
        <w:t>s</w:t>
      </w:r>
      <w:r w:rsidR="000B5012" w:rsidRPr="005378B1">
        <w:rPr>
          <w:rFonts w:cs="Calibri Light"/>
        </w:rPr>
        <w:t>uperannuation</w:t>
      </w:r>
      <w:r w:rsidRPr="005378B1">
        <w:rPr>
          <w:rFonts w:cs="Calibri Light"/>
        </w:rPr>
        <w:t xml:space="preserve">, </w:t>
      </w:r>
      <w:r w:rsidR="00C319F1">
        <w:rPr>
          <w:rFonts w:cs="Calibri Light"/>
        </w:rPr>
        <w:t>g</w:t>
      </w:r>
      <w:r w:rsidR="000B5012" w:rsidRPr="005378B1">
        <w:rPr>
          <w:rFonts w:cs="Calibri Light"/>
        </w:rPr>
        <w:t xml:space="preserve">eneral </w:t>
      </w:r>
      <w:r w:rsidR="00C319F1">
        <w:rPr>
          <w:rFonts w:cs="Calibri Light"/>
        </w:rPr>
        <w:t>i</w:t>
      </w:r>
      <w:r w:rsidR="000B5012" w:rsidRPr="005378B1">
        <w:rPr>
          <w:rFonts w:cs="Calibri Light"/>
        </w:rPr>
        <w:t xml:space="preserve">nsurance </w:t>
      </w:r>
      <w:r w:rsidRPr="005378B1">
        <w:rPr>
          <w:rFonts w:cs="Calibri Light"/>
        </w:rPr>
        <w:t xml:space="preserve">(GI) and </w:t>
      </w:r>
      <w:r w:rsidR="00C319F1">
        <w:rPr>
          <w:rFonts w:cs="Calibri Light"/>
        </w:rPr>
        <w:t>l</w:t>
      </w:r>
      <w:r w:rsidR="000B5012" w:rsidRPr="005378B1">
        <w:rPr>
          <w:rFonts w:cs="Calibri Light"/>
        </w:rPr>
        <w:t>ife </w:t>
      </w:r>
      <w:r w:rsidR="00C319F1">
        <w:rPr>
          <w:rFonts w:cs="Calibri Light"/>
        </w:rPr>
        <w:t>i</w:t>
      </w:r>
      <w:r w:rsidR="000B5012" w:rsidRPr="005378B1">
        <w:rPr>
          <w:rFonts w:cs="Calibri Light"/>
        </w:rPr>
        <w:t xml:space="preserve">nsurance </w:t>
      </w:r>
      <w:r w:rsidRPr="005378B1">
        <w:rPr>
          <w:rFonts w:cs="Calibri Light"/>
        </w:rPr>
        <w:t>and friendly societies (LI) industries. It has two components:</w:t>
      </w:r>
    </w:p>
    <w:p w14:paraId="4276B0B2" w14:textId="212ECF04" w:rsidR="00762E42" w:rsidRPr="005378B1" w:rsidRDefault="003C6509" w:rsidP="005378B1">
      <w:pPr>
        <w:pStyle w:val="Bullet"/>
        <w:numPr>
          <w:ilvl w:val="0"/>
          <w:numId w:val="17"/>
        </w:numPr>
        <w:tabs>
          <w:tab w:val="clear" w:pos="720"/>
        </w:tabs>
        <w:spacing w:before="0" w:after="120" w:line="240" w:lineRule="auto"/>
        <w:ind w:left="284" w:hanging="284"/>
        <w:rPr>
          <w:rFonts w:cs="Calibri Light"/>
          <w:szCs w:val="22"/>
        </w:rPr>
      </w:pPr>
      <w:r w:rsidRPr="005378B1">
        <w:rPr>
          <w:rFonts w:cs="Calibri Light"/>
          <w:szCs w:val="22"/>
        </w:rPr>
        <w:t xml:space="preserve">the restricted levy component, which has a cost-of-supervision based rationale, is structured as a percentage rate on </w:t>
      </w:r>
      <w:r w:rsidR="007F4C4B" w:rsidRPr="005378B1">
        <w:rPr>
          <w:rFonts w:cs="Calibri Light"/>
          <w:szCs w:val="22"/>
        </w:rPr>
        <w:t xml:space="preserve">reported </w:t>
      </w:r>
      <w:r w:rsidRPr="005378B1">
        <w:rPr>
          <w:rFonts w:cs="Calibri Light"/>
          <w:szCs w:val="22"/>
        </w:rPr>
        <w:t>assets and is subject to minimum and maximum amounts</w:t>
      </w:r>
      <w:r w:rsidR="00554C7F">
        <w:rPr>
          <w:rFonts w:cs="Calibri Light"/>
          <w:szCs w:val="22"/>
        </w:rPr>
        <w:t>.</w:t>
      </w:r>
    </w:p>
    <w:p w14:paraId="5E658004" w14:textId="79E890B4" w:rsidR="00762E42" w:rsidRPr="005378B1" w:rsidRDefault="003C6509" w:rsidP="005378B1">
      <w:pPr>
        <w:pStyle w:val="Bullet"/>
        <w:numPr>
          <w:ilvl w:val="0"/>
          <w:numId w:val="17"/>
        </w:numPr>
        <w:tabs>
          <w:tab w:val="clear" w:pos="720"/>
        </w:tabs>
        <w:spacing w:before="0" w:after="120" w:line="240" w:lineRule="auto"/>
        <w:ind w:left="284" w:hanging="284"/>
        <w:rPr>
          <w:rFonts w:cs="Calibri Light"/>
          <w:szCs w:val="22"/>
        </w:rPr>
      </w:pPr>
      <w:r w:rsidRPr="005378B1">
        <w:rPr>
          <w:rFonts w:cs="Calibri Light"/>
          <w:szCs w:val="22"/>
        </w:rPr>
        <w:t xml:space="preserve">the unrestricted levy component, which has a systemic impact rationale, is structured as a percentage rate on </w:t>
      </w:r>
      <w:r w:rsidR="007F4C4B" w:rsidRPr="005378B1">
        <w:rPr>
          <w:rFonts w:cs="Calibri Light"/>
          <w:szCs w:val="22"/>
        </w:rPr>
        <w:t xml:space="preserve">reported </w:t>
      </w:r>
      <w:r w:rsidRPr="005378B1">
        <w:rPr>
          <w:rFonts w:cs="Calibri Light"/>
          <w:szCs w:val="22"/>
        </w:rPr>
        <w:t xml:space="preserve">assets and does not have minimum or maximum amounts for individual regulated </w:t>
      </w:r>
      <w:r w:rsidR="00044456">
        <w:rPr>
          <w:rFonts w:cs="Calibri Light"/>
          <w:szCs w:val="22"/>
        </w:rPr>
        <w:t>entities</w:t>
      </w:r>
      <w:r w:rsidR="00554C7F">
        <w:rPr>
          <w:rFonts w:cs="Calibri Light"/>
          <w:szCs w:val="22"/>
        </w:rPr>
        <w:t>.</w:t>
      </w:r>
    </w:p>
    <w:p w14:paraId="76ED141C" w14:textId="77777777" w:rsidR="00762E42" w:rsidRPr="005378B1" w:rsidRDefault="003C6509" w:rsidP="005378B1">
      <w:pPr>
        <w:numPr>
          <w:ilvl w:val="0"/>
          <w:numId w:val="16"/>
        </w:numPr>
        <w:spacing w:before="0" w:after="240"/>
        <w:rPr>
          <w:rFonts w:cs="Calibri Light"/>
          <w:szCs w:val="22"/>
        </w:rPr>
      </w:pPr>
      <w:r w:rsidRPr="005378B1">
        <w:rPr>
          <w:rFonts w:cs="Calibri Light"/>
        </w:rPr>
        <w:t>The levy allocation methodology is designed to fully recover the costs from each industry and minimise cross-subsidies across industries.</w:t>
      </w:r>
    </w:p>
    <w:p w14:paraId="00295D47" w14:textId="60755AD5" w:rsidR="00762E42" w:rsidRPr="005378B1" w:rsidRDefault="003C6509" w:rsidP="005378B1">
      <w:pPr>
        <w:numPr>
          <w:ilvl w:val="0"/>
          <w:numId w:val="16"/>
        </w:numPr>
        <w:spacing w:before="0" w:after="240"/>
        <w:rPr>
          <w:rFonts w:cs="Calibri Light"/>
        </w:rPr>
      </w:pPr>
      <w:r w:rsidRPr="005378B1">
        <w:rPr>
          <w:rFonts w:cs="Calibri Light"/>
        </w:rPr>
        <w:t xml:space="preserve">To reduce volatility in levies charged to industry, when calculating the percentage of time spent split between the restricted component and the unrestricted component, APRA smooths the allocation of costs through use of a moving four-year average, before allocation to the four industries. </w:t>
      </w:r>
    </w:p>
    <w:p w14:paraId="4DEC1DDF" w14:textId="77777777" w:rsidR="00762E42" w:rsidRPr="005378B1" w:rsidRDefault="003C6509" w:rsidP="005378B1">
      <w:pPr>
        <w:numPr>
          <w:ilvl w:val="0"/>
          <w:numId w:val="16"/>
        </w:numPr>
        <w:spacing w:before="0" w:after="240"/>
        <w:rPr>
          <w:rFonts w:cs="Calibri Light"/>
        </w:rPr>
      </w:pPr>
      <w:r w:rsidRPr="005378B1">
        <w:rPr>
          <w:rFonts w:cs="Calibri Light"/>
        </w:rPr>
        <w:t xml:space="preserve">After the amount to be recovered from the four industries in both the restricted and unrestricted components is known, and the population estimated, the required levy rates to recover these amounts are then calculated. </w:t>
      </w:r>
    </w:p>
    <w:p w14:paraId="7642CCE0" w14:textId="0A465E54" w:rsidR="00762E42" w:rsidRPr="005378B1" w:rsidRDefault="003C6509" w:rsidP="005378B1">
      <w:pPr>
        <w:numPr>
          <w:ilvl w:val="0"/>
          <w:numId w:val="16"/>
        </w:numPr>
        <w:spacing w:before="0" w:after="240"/>
        <w:rPr>
          <w:rFonts w:cs="Calibri Light"/>
        </w:rPr>
      </w:pPr>
      <w:r w:rsidRPr="005378B1">
        <w:rPr>
          <w:rFonts w:cs="Calibri Light"/>
        </w:rPr>
        <w:t xml:space="preserve">Currently, the restricted and unrestricted components account for </w:t>
      </w:r>
      <w:r w:rsidR="008B0634" w:rsidRPr="005378B1">
        <w:rPr>
          <w:rFonts w:cs="Calibri Light"/>
        </w:rPr>
        <w:t>approximately</w:t>
      </w:r>
      <w:r w:rsidR="00300787" w:rsidRPr="005378B1">
        <w:rPr>
          <w:rFonts w:cs="Calibri Light"/>
        </w:rPr>
        <w:t xml:space="preserve"> </w:t>
      </w:r>
      <w:r w:rsidR="00540655" w:rsidRPr="005378B1">
        <w:rPr>
          <w:rFonts w:cs="Calibri Light"/>
        </w:rPr>
        <w:t>56</w:t>
      </w:r>
      <w:r w:rsidR="00CC7FCE" w:rsidRPr="005378B1">
        <w:rPr>
          <w:rFonts w:cs="Calibri Light"/>
        </w:rPr>
        <w:t> </w:t>
      </w:r>
      <w:r w:rsidRPr="005378B1">
        <w:rPr>
          <w:rFonts w:cs="Calibri Light"/>
        </w:rPr>
        <w:t xml:space="preserve">per cent and </w:t>
      </w:r>
      <w:r w:rsidR="00540655" w:rsidRPr="005378B1">
        <w:rPr>
          <w:rFonts w:cs="Calibri Light"/>
        </w:rPr>
        <w:t>44</w:t>
      </w:r>
      <w:r w:rsidR="00CC7FCE" w:rsidRPr="005378B1">
        <w:rPr>
          <w:rFonts w:cs="Calibri Light"/>
        </w:rPr>
        <w:t> </w:t>
      </w:r>
      <w:r w:rsidRPr="005378B1">
        <w:rPr>
          <w:rFonts w:cs="Calibri Light"/>
        </w:rPr>
        <w:t>per cent respectively of APRA’s overall supervisory effort.</w:t>
      </w:r>
    </w:p>
    <w:p w14:paraId="7BBAA5EE" w14:textId="4C04C357" w:rsidR="00762E42" w:rsidRPr="005378B1" w:rsidRDefault="003C6509" w:rsidP="005378B1">
      <w:pPr>
        <w:numPr>
          <w:ilvl w:val="0"/>
          <w:numId w:val="16"/>
        </w:numPr>
        <w:spacing w:before="0" w:after="240"/>
        <w:rPr>
          <w:rFonts w:cs="Calibri Light"/>
        </w:rPr>
      </w:pPr>
      <w:r w:rsidRPr="005378B1">
        <w:rPr>
          <w:rFonts w:cs="Calibri Light"/>
        </w:rPr>
        <w:t xml:space="preserve">The second levy methodology used to recoup APRA’s costs is applied to the PHI industry and is a fixed price levy, being the PHI supervisory levy. This levy adopts a cost-of-supervision based rationale and is structured as a fee per policy holder. There are no minimum or maximum amounts. </w:t>
      </w:r>
    </w:p>
    <w:p w14:paraId="427CA5B4" w14:textId="13BB0250" w:rsidR="00762E42" w:rsidRPr="005378B1" w:rsidRDefault="003C6509" w:rsidP="005378B1">
      <w:pPr>
        <w:pStyle w:val="TableMainHeading"/>
        <w:rPr>
          <w:color w:val="auto"/>
        </w:rPr>
      </w:pPr>
      <w:bookmarkStart w:id="81" w:name="_Toc104212349"/>
      <w:bookmarkStart w:id="82" w:name="_Toc192616572"/>
      <w:bookmarkStart w:id="83" w:name="_Toc192616746"/>
      <w:r w:rsidRPr="005378B1">
        <w:rPr>
          <w:color w:val="auto"/>
        </w:rPr>
        <w:t>Table 5</w:t>
      </w:r>
      <w:r w:rsidR="00B26633">
        <w:rPr>
          <w:color w:val="auto"/>
        </w:rPr>
        <w:t>.1</w:t>
      </w:r>
      <w:r w:rsidRPr="005378B1">
        <w:rPr>
          <w:color w:val="auto"/>
        </w:rPr>
        <w:t>: APRA’s supervisory effort by industry</w:t>
      </w:r>
      <w:bookmarkEnd w:id="81"/>
      <w:bookmarkEnd w:id="82"/>
      <w:bookmarkEnd w:id="83"/>
      <w:r w:rsidR="000E4464">
        <w:rPr>
          <w:color w:val="auto"/>
        </w:rPr>
        <w:t xml:space="preserve"> </w:t>
      </w:r>
      <w:r w:rsidR="002B0F55">
        <w:rPr>
          <w:color w:val="auto"/>
        </w:rPr>
        <w:t>-</w:t>
      </w:r>
      <w:r w:rsidR="00F82C8A">
        <w:rPr>
          <w:color w:val="auto"/>
        </w:rPr>
        <w:t xml:space="preserve"> </w:t>
      </w:r>
      <w:r w:rsidR="0042105A">
        <w:rPr>
          <w:color w:val="auto"/>
        </w:rPr>
        <w:t>restricted</w:t>
      </w:r>
    </w:p>
    <w:tbl>
      <w:tblPr>
        <w:tblStyle w:val="TableGridLigh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2898"/>
        <w:gridCol w:w="1233"/>
        <w:gridCol w:w="1233"/>
        <w:gridCol w:w="1232"/>
        <w:gridCol w:w="1232"/>
        <w:gridCol w:w="1232"/>
      </w:tblGrid>
      <w:tr w:rsidR="00037C2A" w:rsidRPr="00037C2A" w14:paraId="097BD7A8" w14:textId="77777777" w:rsidTr="00AE6F85">
        <w:trPr>
          <w:cantSplit/>
          <w:trHeight w:val="391"/>
          <w:tblHeader/>
        </w:trPr>
        <w:tc>
          <w:tcPr>
            <w:tcW w:w="1599" w:type="pct"/>
            <w:shd w:val="clear" w:color="auto" w:fill="EEEEEE" w:themeFill="background2"/>
            <w:vAlign w:val="center"/>
          </w:tcPr>
          <w:p w14:paraId="1AED7FD5" w14:textId="77777777" w:rsidR="00037C2A" w:rsidRPr="00037C2A" w:rsidRDefault="00037C2A" w:rsidP="00CC7A0A">
            <w:pPr>
              <w:spacing w:before="0" w:after="0"/>
              <w:rPr>
                <w:rFonts w:eastAsia="Arial" w:cs="Calibri Light"/>
                <w:b/>
                <w:bCs/>
                <w:color w:val="000000"/>
                <w:kern w:val="2"/>
                <w:sz w:val="16"/>
                <w:szCs w:val="16"/>
                <w:lang w:eastAsia="en-US"/>
                <w14:ligatures w14:val="standardContextual"/>
              </w:rPr>
            </w:pPr>
            <w:bookmarkStart w:id="84" w:name="_Hlk193535931"/>
            <w:r w:rsidRPr="00037C2A">
              <w:rPr>
                <w:rFonts w:eastAsia="Arial" w:cs="Calibri Light"/>
                <w:b/>
                <w:bCs/>
                <w:color w:val="000000"/>
                <w:kern w:val="2"/>
                <w:sz w:val="16"/>
                <w:szCs w:val="16"/>
                <w:lang w:eastAsia="en-US"/>
                <w14:ligatures w14:val="standardContextual"/>
              </w:rPr>
              <w:t>Restricted component</w:t>
            </w:r>
          </w:p>
        </w:tc>
        <w:tc>
          <w:tcPr>
            <w:tcW w:w="680" w:type="pct"/>
            <w:shd w:val="clear" w:color="auto" w:fill="EEEEEE" w:themeFill="background2"/>
            <w:vAlign w:val="center"/>
          </w:tcPr>
          <w:p w14:paraId="24D25E05" w14:textId="77777777" w:rsidR="00370497" w:rsidRDefault="00037C2A" w:rsidP="00CC7A0A">
            <w:pPr>
              <w:spacing w:before="0" w:after="0"/>
              <w:jc w:val="center"/>
              <w:rPr>
                <w:rFonts w:eastAsia="Arial" w:cs="Calibri Light"/>
                <w:b/>
                <w:i/>
                <w:iCs/>
                <w:color w:val="000000"/>
                <w:kern w:val="2"/>
                <w:sz w:val="16"/>
                <w:szCs w:val="16"/>
                <w:lang w:eastAsia="en-US"/>
                <w14:ligatures w14:val="standardContextual"/>
              </w:rPr>
            </w:pPr>
            <w:r w:rsidRPr="00037C2A">
              <w:rPr>
                <w:rFonts w:eastAsia="Arial" w:cs="Calibri Light"/>
                <w:b/>
                <w:bCs/>
                <w:i/>
                <w:iCs/>
                <w:color w:val="000000"/>
                <w:kern w:val="2"/>
                <w:sz w:val="16"/>
                <w:szCs w:val="16"/>
                <w:lang w:eastAsia="en-US"/>
                <w14:ligatures w14:val="standardContextual"/>
              </w:rPr>
              <w:t>2022-2</w:t>
            </w:r>
            <w:r w:rsidRPr="00037C2A">
              <w:rPr>
                <w:rFonts w:eastAsia="Arial" w:cs="Calibri Light"/>
                <w:b/>
                <w:i/>
                <w:iCs/>
                <w:color w:val="000000"/>
                <w:kern w:val="2"/>
                <w:sz w:val="16"/>
                <w:szCs w:val="16"/>
                <w:lang w:eastAsia="en-US"/>
                <w14:ligatures w14:val="standardContextual"/>
              </w:rPr>
              <w:t xml:space="preserve">3 </w:t>
            </w:r>
          </w:p>
          <w:p w14:paraId="244DCC59" w14:textId="3872BD3B" w:rsidR="00037C2A" w:rsidRPr="00037C2A" w:rsidRDefault="00037C2A" w:rsidP="00CC7A0A">
            <w:pPr>
              <w:spacing w:before="0" w:after="0"/>
              <w:jc w:val="center"/>
              <w:rPr>
                <w:rFonts w:eastAsia="Arial" w:cs="Calibri Light"/>
                <w:b/>
                <w:bCs/>
                <w:color w:val="000000"/>
                <w:kern w:val="2"/>
                <w:sz w:val="16"/>
                <w:szCs w:val="16"/>
                <w:lang w:eastAsia="en-US"/>
                <w14:ligatures w14:val="standardContextual"/>
              </w:rPr>
            </w:pPr>
            <w:r w:rsidRPr="00037C2A">
              <w:rPr>
                <w:rFonts w:eastAsia="Arial" w:cs="Calibri Light"/>
                <w:b/>
                <w:i/>
                <w:iCs/>
                <w:color w:val="000000"/>
                <w:kern w:val="2"/>
                <w:sz w:val="16"/>
                <w:szCs w:val="16"/>
                <w:lang w:eastAsia="en-US"/>
                <w14:ligatures w14:val="standardContextual"/>
              </w:rPr>
              <w:t>Actual %</w:t>
            </w:r>
          </w:p>
        </w:tc>
        <w:tc>
          <w:tcPr>
            <w:tcW w:w="680" w:type="pct"/>
            <w:shd w:val="clear" w:color="auto" w:fill="EEEEEE" w:themeFill="background2"/>
            <w:vAlign w:val="center"/>
          </w:tcPr>
          <w:p w14:paraId="4DADE215" w14:textId="77777777" w:rsidR="00370497" w:rsidRDefault="00037C2A" w:rsidP="00CC7A0A">
            <w:pPr>
              <w:spacing w:before="0" w:after="0"/>
              <w:jc w:val="center"/>
              <w:rPr>
                <w:rFonts w:eastAsia="Arial" w:cs="Calibri Light"/>
                <w:b/>
                <w:i/>
                <w:iCs/>
                <w:color w:val="000000"/>
                <w:kern w:val="2"/>
                <w:sz w:val="16"/>
                <w:szCs w:val="16"/>
                <w:lang w:eastAsia="en-US"/>
                <w14:ligatures w14:val="standardContextual"/>
              </w:rPr>
            </w:pPr>
            <w:r w:rsidRPr="00037C2A">
              <w:rPr>
                <w:rFonts w:eastAsia="Arial" w:cs="Calibri Light"/>
                <w:b/>
                <w:bCs/>
                <w:i/>
                <w:iCs/>
                <w:color w:val="000000"/>
                <w:kern w:val="2"/>
                <w:sz w:val="16"/>
                <w:szCs w:val="16"/>
                <w:lang w:eastAsia="en-US"/>
                <w14:ligatures w14:val="standardContextual"/>
              </w:rPr>
              <w:t>2023-24</w:t>
            </w:r>
            <w:r w:rsidRPr="00037C2A">
              <w:rPr>
                <w:rFonts w:eastAsia="Arial" w:cs="Calibri Light"/>
                <w:b/>
                <w:i/>
                <w:iCs/>
                <w:color w:val="000000"/>
                <w:kern w:val="2"/>
                <w:sz w:val="16"/>
                <w:szCs w:val="16"/>
                <w:lang w:eastAsia="en-US"/>
                <w14:ligatures w14:val="standardContextual"/>
              </w:rPr>
              <w:t xml:space="preserve"> </w:t>
            </w:r>
          </w:p>
          <w:p w14:paraId="57A52E20" w14:textId="4993FF17" w:rsidR="00037C2A" w:rsidRPr="00037C2A" w:rsidRDefault="00037C2A" w:rsidP="00CC7A0A">
            <w:pPr>
              <w:spacing w:before="0" w:after="0"/>
              <w:jc w:val="center"/>
              <w:rPr>
                <w:rFonts w:eastAsia="Arial" w:cs="Calibri Light"/>
                <w:b/>
                <w:bCs/>
                <w:color w:val="000000"/>
                <w:kern w:val="2"/>
                <w:sz w:val="16"/>
                <w:szCs w:val="16"/>
                <w:lang w:eastAsia="en-US"/>
                <w14:ligatures w14:val="standardContextual"/>
              </w:rPr>
            </w:pPr>
            <w:r w:rsidRPr="00037C2A">
              <w:rPr>
                <w:rFonts w:eastAsia="Arial" w:cs="Calibri Light"/>
                <w:b/>
                <w:i/>
                <w:iCs/>
                <w:color w:val="000000"/>
                <w:kern w:val="2"/>
                <w:sz w:val="16"/>
                <w:szCs w:val="16"/>
                <w:lang w:eastAsia="en-US"/>
                <w14:ligatures w14:val="standardContextual"/>
              </w:rPr>
              <w:t>Actual %</w:t>
            </w:r>
          </w:p>
        </w:tc>
        <w:tc>
          <w:tcPr>
            <w:tcW w:w="680" w:type="pct"/>
            <w:shd w:val="clear" w:color="auto" w:fill="EEEEEE" w:themeFill="background2"/>
            <w:vAlign w:val="center"/>
          </w:tcPr>
          <w:p w14:paraId="76E75983" w14:textId="77777777" w:rsidR="00037C2A" w:rsidRPr="00037C2A" w:rsidRDefault="00037C2A" w:rsidP="00CC7A0A">
            <w:pPr>
              <w:spacing w:before="0" w:after="0"/>
              <w:jc w:val="center"/>
              <w:rPr>
                <w:rFonts w:eastAsia="Arial" w:cs="Calibri Light"/>
                <w:b/>
                <w:bCs/>
                <w:color w:val="000000"/>
                <w:kern w:val="2"/>
                <w:sz w:val="16"/>
                <w:szCs w:val="16"/>
                <w:lang w:eastAsia="en-US"/>
                <w14:ligatures w14:val="standardContextual"/>
              </w:rPr>
            </w:pPr>
            <w:r w:rsidRPr="00037C2A">
              <w:rPr>
                <w:rFonts w:eastAsia="Arial" w:cs="Calibri Light"/>
                <w:b/>
                <w:bCs/>
                <w:i/>
                <w:iCs/>
                <w:color w:val="000000"/>
                <w:kern w:val="2"/>
                <w:sz w:val="16"/>
                <w:szCs w:val="16"/>
                <w:lang w:eastAsia="en-US"/>
                <w14:ligatures w14:val="standardContextual"/>
              </w:rPr>
              <w:t>2024-25</w:t>
            </w:r>
            <w:r w:rsidRPr="00037C2A">
              <w:rPr>
                <w:rFonts w:eastAsia="Arial" w:cs="Calibri Light"/>
                <w:b/>
                <w:i/>
                <w:iCs/>
                <w:color w:val="000000"/>
                <w:kern w:val="2"/>
                <w:sz w:val="16"/>
                <w:szCs w:val="16"/>
                <w:lang w:eastAsia="en-US"/>
                <w14:ligatures w14:val="standardContextual"/>
              </w:rPr>
              <w:t xml:space="preserve"> Forecast %</w:t>
            </w:r>
          </w:p>
        </w:tc>
        <w:tc>
          <w:tcPr>
            <w:tcW w:w="680" w:type="pct"/>
            <w:shd w:val="clear" w:color="auto" w:fill="EEEEEE" w:themeFill="background2"/>
            <w:vAlign w:val="center"/>
          </w:tcPr>
          <w:p w14:paraId="2461F944" w14:textId="77777777" w:rsidR="00037C2A" w:rsidRPr="00037C2A" w:rsidRDefault="00037C2A" w:rsidP="00CC7A0A">
            <w:pPr>
              <w:spacing w:before="0" w:after="0"/>
              <w:jc w:val="center"/>
              <w:rPr>
                <w:rFonts w:eastAsia="Arial" w:cs="Calibri Light"/>
                <w:b/>
                <w:bCs/>
                <w:color w:val="000000"/>
                <w:kern w:val="2"/>
                <w:sz w:val="16"/>
                <w:szCs w:val="16"/>
                <w:lang w:eastAsia="en-US"/>
                <w14:ligatures w14:val="standardContextual"/>
              </w:rPr>
            </w:pPr>
            <w:r w:rsidRPr="00037C2A">
              <w:rPr>
                <w:rFonts w:eastAsia="Arial" w:cs="Calibri Light"/>
                <w:b/>
                <w:bCs/>
                <w:i/>
                <w:iCs/>
                <w:color w:val="000000"/>
                <w:kern w:val="2"/>
                <w:sz w:val="16"/>
                <w:szCs w:val="16"/>
                <w:lang w:eastAsia="en-US"/>
                <w14:ligatures w14:val="standardContextual"/>
              </w:rPr>
              <w:t>2025-26</w:t>
            </w:r>
            <w:r w:rsidRPr="00037C2A">
              <w:rPr>
                <w:rFonts w:eastAsia="Arial" w:cs="Calibri Light"/>
                <w:b/>
                <w:i/>
                <w:iCs/>
                <w:color w:val="000000"/>
                <w:kern w:val="2"/>
                <w:sz w:val="16"/>
                <w:szCs w:val="16"/>
                <w:lang w:eastAsia="en-US"/>
                <w14:ligatures w14:val="standardContextual"/>
              </w:rPr>
              <w:t xml:space="preserve"> Estimate %</w:t>
            </w:r>
          </w:p>
        </w:tc>
        <w:tc>
          <w:tcPr>
            <w:tcW w:w="680" w:type="pct"/>
            <w:shd w:val="clear" w:color="auto" w:fill="EEEEEE" w:themeFill="background2"/>
            <w:vAlign w:val="center"/>
          </w:tcPr>
          <w:p w14:paraId="6EF52189" w14:textId="77777777" w:rsidR="00370497" w:rsidRDefault="00037C2A" w:rsidP="00CC7A0A">
            <w:pPr>
              <w:spacing w:before="0" w:after="0"/>
              <w:jc w:val="center"/>
              <w:rPr>
                <w:rFonts w:eastAsia="Arial" w:cs="Calibri Light"/>
                <w:b/>
                <w:i/>
                <w:iCs/>
                <w:color w:val="000000"/>
                <w:kern w:val="2"/>
                <w:sz w:val="16"/>
                <w:szCs w:val="16"/>
                <w:lang w:eastAsia="en-US"/>
                <w14:ligatures w14:val="standardContextual"/>
              </w:rPr>
            </w:pPr>
            <w:r w:rsidRPr="00037C2A">
              <w:rPr>
                <w:rFonts w:eastAsia="Arial" w:cs="Calibri Light"/>
                <w:b/>
                <w:bCs/>
                <w:i/>
                <w:iCs/>
                <w:color w:val="000000"/>
                <w:kern w:val="2"/>
                <w:sz w:val="16"/>
                <w:szCs w:val="16"/>
                <w:lang w:eastAsia="en-US"/>
                <w14:ligatures w14:val="standardContextual"/>
              </w:rPr>
              <w:t>2025-26</w:t>
            </w:r>
            <w:r w:rsidRPr="00037C2A">
              <w:rPr>
                <w:rFonts w:eastAsia="Arial" w:cs="Calibri Light"/>
                <w:b/>
                <w:i/>
                <w:iCs/>
                <w:color w:val="000000"/>
                <w:kern w:val="2"/>
                <w:sz w:val="16"/>
                <w:szCs w:val="16"/>
                <w:lang w:eastAsia="en-US"/>
                <w14:ligatures w14:val="standardContextual"/>
              </w:rPr>
              <w:t xml:space="preserve"> </w:t>
            </w:r>
          </w:p>
          <w:p w14:paraId="5DA47726" w14:textId="37C07FD7" w:rsidR="00037C2A" w:rsidRPr="00037C2A" w:rsidRDefault="00037C2A" w:rsidP="00CC7A0A">
            <w:pPr>
              <w:spacing w:before="0" w:after="0"/>
              <w:jc w:val="center"/>
              <w:rPr>
                <w:rFonts w:eastAsia="Arial" w:cs="Calibri Light"/>
                <w:b/>
                <w:bCs/>
                <w:color w:val="000000"/>
                <w:kern w:val="2"/>
                <w:sz w:val="16"/>
                <w:szCs w:val="16"/>
                <w:lang w:eastAsia="en-US"/>
                <w14:ligatures w14:val="standardContextual"/>
              </w:rPr>
            </w:pPr>
            <w:r w:rsidRPr="00037C2A">
              <w:rPr>
                <w:rFonts w:eastAsia="Arial" w:cs="Calibri Light"/>
                <w:b/>
                <w:i/>
                <w:iCs/>
                <w:color w:val="000000"/>
                <w:kern w:val="2"/>
                <w:sz w:val="16"/>
                <w:szCs w:val="16"/>
                <w:lang w:eastAsia="en-US"/>
                <w14:ligatures w14:val="standardContextual"/>
              </w:rPr>
              <w:t>4-yr average %</w:t>
            </w:r>
          </w:p>
        </w:tc>
      </w:tr>
      <w:tr w:rsidR="00037C2A" w:rsidRPr="00037C2A" w14:paraId="21CAB97D" w14:textId="77777777" w:rsidTr="00AE6F85">
        <w:trPr>
          <w:trHeight w:val="283"/>
        </w:trPr>
        <w:tc>
          <w:tcPr>
            <w:tcW w:w="1599" w:type="pct"/>
            <w:vAlign w:val="center"/>
          </w:tcPr>
          <w:p w14:paraId="6F0CFC41" w14:textId="77777777" w:rsidR="00037C2A" w:rsidRPr="00254DA1" w:rsidRDefault="00037C2A" w:rsidP="00AE6F85">
            <w:pPr>
              <w:spacing w:before="0" w:after="0"/>
              <w:rPr>
                <w:rFonts w:eastAsia="Arial" w:cs="Calibri Light"/>
                <w:bCs/>
                <w:color w:val="000000"/>
                <w:kern w:val="2"/>
                <w:sz w:val="16"/>
                <w:szCs w:val="16"/>
                <w:lang w:eastAsia="en-US"/>
                <w14:ligatures w14:val="standardContextual"/>
              </w:rPr>
            </w:pPr>
            <w:r w:rsidRPr="00254DA1">
              <w:rPr>
                <w:rFonts w:eastAsia="Arial" w:cs="Calibri Light"/>
                <w:bCs/>
                <w:color w:val="000000"/>
                <w:kern w:val="2"/>
                <w:sz w:val="16"/>
                <w:szCs w:val="16"/>
                <w:lang w:eastAsia="en-US"/>
                <w14:ligatures w14:val="standardContextual"/>
              </w:rPr>
              <w:t>ADIs</w:t>
            </w:r>
          </w:p>
        </w:tc>
        <w:tc>
          <w:tcPr>
            <w:tcW w:w="680" w:type="pct"/>
            <w:vAlign w:val="center"/>
          </w:tcPr>
          <w:p w14:paraId="60363A9A" w14:textId="77777777" w:rsidR="00037C2A" w:rsidRPr="00254DA1" w:rsidRDefault="00037C2A" w:rsidP="00AE6F85">
            <w:pPr>
              <w:spacing w:before="0" w:after="0"/>
              <w:jc w:val="center"/>
              <w:rPr>
                <w:rFonts w:eastAsia="Arial" w:cs="Calibri Light"/>
                <w:color w:val="000000"/>
                <w:kern w:val="2"/>
                <w:sz w:val="16"/>
                <w:szCs w:val="16"/>
                <w:lang w:eastAsia="en-US"/>
                <w14:ligatures w14:val="standardContextual"/>
              </w:rPr>
            </w:pPr>
            <w:r w:rsidRPr="00254DA1">
              <w:rPr>
                <w:rFonts w:eastAsia="Arial" w:cs="Calibri Light"/>
                <w:color w:val="000000"/>
                <w:kern w:val="2"/>
                <w:sz w:val="16"/>
                <w:szCs w:val="16"/>
                <w:lang w:eastAsia="en-US"/>
                <w14:ligatures w14:val="standardContextual"/>
              </w:rPr>
              <w:t>45</w:t>
            </w:r>
          </w:p>
        </w:tc>
        <w:tc>
          <w:tcPr>
            <w:tcW w:w="680" w:type="pct"/>
            <w:vAlign w:val="center"/>
          </w:tcPr>
          <w:p w14:paraId="1B7322DA" w14:textId="77777777" w:rsidR="00037C2A" w:rsidRPr="00254DA1" w:rsidRDefault="00037C2A" w:rsidP="00AE6F85">
            <w:pPr>
              <w:spacing w:before="0" w:after="0"/>
              <w:jc w:val="center"/>
              <w:rPr>
                <w:rFonts w:eastAsia="Arial" w:cs="Calibri Light"/>
                <w:color w:val="000000"/>
                <w:kern w:val="2"/>
                <w:sz w:val="16"/>
                <w:szCs w:val="16"/>
                <w:lang w:eastAsia="en-US"/>
                <w14:ligatures w14:val="standardContextual"/>
              </w:rPr>
            </w:pPr>
            <w:r w:rsidRPr="00254DA1">
              <w:rPr>
                <w:rFonts w:eastAsia="Arial" w:cs="Calibri Light"/>
                <w:color w:val="000000"/>
                <w:kern w:val="2"/>
                <w:sz w:val="16"/>
                <w:szCs w:val="16"/>
                <w:lang w:eastAsia="en-US"/>
                <w14:ligatures w14:val="standardContextual"/>
              </w:rPr>
              <w:t>46</w:t>
            </w:r>
          </w:p>
        </w:tc>
        <w:tc>
          <w:tcPr>
            <w:tcW w:w="680" w:type="pct"/>
            <w:vAlign w:val="center"/>
          </w:tcPr>
          <w:p w14:paraId="2B0CD72B" w14:textId="77777777" w:rsidR="00037C2A" w:rsidRPr="00254DA1" w:rsidRDefault="00037C2A" w:rsidP="00AE6F85">
            <w:pPr>
              <w:spacing w:before="0" w:after="0"/>
              <w:jc w:val="center"/>
              <w:rPr>
                <w:rFonts w:eastAsia="Arial" w:cs="Calibri Light"/>
                <w:color w:val="000000"/>
                <w:kern w:val="2"/>
                <w:sz w:val="16"/>
                <w:szCs w:val="16"/>
                <w:lang w:eastAsia="en-US"/>
                <w14:ligatures w14:val="standardContextual"/>
              </w:rPr>
            </w:pPr>
            <w:r w:rsidRPr="00254DA1">
              <w:rPr>
                <w:rFonts w:eastAsia="Arial" w:cs="Calibri Light"/>
                <w:color w:val="000000"/>
                <w:kern w:val="2"/>
                <w:sz w:val="16"/>
                <w:szCs w:val="16"/>
                <w:lang w:eastAsia="en-US"/>
                <w14:ligatures w14:val="standardContextual"/>
              </w:rPr>
              <w:t>47</w:t>
            </w:r>
          </w:p>
        </w:tc>
        <w:tc>
          <w:tcPr>
            <w:tcW w:w="680" w:type="pct"/>
            <w:vAlign w:val="center"/>
          </w:tcPr>
          <w:p w14:paraId="26A75B86" w14:textId="77777777" w:rsidR="00037C2A" w:rsidRPr="00254DA1" w:rsidRDefault="00037C2A" w:rsidP="00AE6F85">
            <w:pPr>
              <w:spacing w:before="0" w:after="0"/>
              <w:jc w:val="center"/>
              <w:rPr>
                <w:rFonts w:eastAsia="Arial" w:cs="Calibri Light"/>
                <w:color w:val="000000"/>
                <w:kern w:val="2"/>
                <w:sz w:val="16"/>
                <w:szCs w:val="16"/>
                <w:lang w:eastAsia="en-US"/>
                <w14:ligatures w14:val="standardContextual"/>
              </w:rPr>
            </w:pPr>
            <w:r w:rsidRPr="00254DA1">
              <w:rPr>
                <w:rFonts w:eastAsia="Arial" w:cs="Calibri Light"/>
                <w:color w:val="000000"/>
                <w:kern w:val="2"/>
                <w:sz w:val="16"/>
                <w:szCs w:val="16"/>
                <w:lang w:eastAsia="en-US"/>
                <w14:ligatures w14:val="standardContextual"/>
              </w:rPr>
              <w:t>46</w:t>
            </w:r>
          </w:p>
        </w:tc>
        <w:tc>
          <w:tcPr>
            <w:tcW w:w="680" w:type="pct"/>
            <w:vAlign w:val="center"/>
          </w:tcPr>
          <w:p w14:paraId="7D6EE16B" w14:textId="77777777" w:rsidR="00037C2A" w:rsidRPr="00254DA1" w:rsidRDefault="00037C2A" w:rsidP="00AE6F85">
            <w:pPr>
              <w:spacing w:before="0" w:after="0"/>
              <w:jc w:val="center"/>
              <w:rPr>
                <w:rFonts w:eastAsia="Arial" w:cs="Calibri Light"/>
                <w:color w:val="000000"/>
                <w:kern w:val="2"/>
                <w:sz w:val="16"/>
                <w:szCs w:val="16"/>
                <w:lang w:eastAsia="en-US"/>
                <w14:ligatures w14:val="standardContextual"/>
              </w:rPr>
            </w:pPr>
            <w:r w:rsidRPr="00254DA1">
              <w:rPr>
                <w:rFonts w:eastAsia="Arial" w:cs="Calibri Light"/>
                <w:color w:val="000000"/>
                <w:kern w:val="2"/>
                <w:sz w:val="16"/>
                <w:szCs w:val="16"/>
                <w:lang w:eastAsia="en-US"/>
                <w14:ligatures w14:val="standardContextual"/>
              </w:rPr>
              <w:t>46</w:t>
            </w:r>
          </w:p>
        </w:tc>
      </w:tr>
      <w:tr w:rsidR="00037C2A" w:rsidRPr="0032413C" w14:paraId="0D3F3DC7" w14:textId="77777777" w:rsidTr="00AE6F85">
        <w:trPr>
          <w:trHeight w:val="283"/>
        </w:trPr>
        <w:tc>
          <w:tcPr>
            <w:tcW w:w="1599" w:type="pct"/>
            <w:vAlign w:val="center"/>
          </w:tcPr>
          <w:p w14:paraId="793AAE5F" w14:textId="77777777" w:rsidR="00037C2A" w:rsidRPr="00254DA1" w:rsidRDefault="00037C2A" w:rsidP="00AE6F85">
            <w:pPr>
              <w:spacing w:before="0" w:after="0"/>
              <w:rPr>
                <w:rFonts w:eastAsia="Arial" w:cs="Calibri Light"/>
                <w:bCs/>
                <w:color w:val="000000"/>
                <w:kern w:val="2"/>
                <w:sz w:val="16"/>
                <w:szCs w:val="16"/>
                <w:lang w:eastAsia="en-US"/>
                <w14:ligatures w14:val="standardContextual"/>
              </w:rPr>
            </w:pPr>
            <w:r w:rsidRPr="00254DA1">
              <w:rPr>
                <w:rFonts w:eastAsia="Arial" w:cs="Calibri Light"/>
                <w:bCs/>
                <w:color w:val="000000"/>
                <w:kern w:val="2"/>
                <w:sz w:val="16"/>
                <w:szCs w:val="16"/>
                <w:lang w:eastAsia="en-US"/>
                <w14:ligatures w14:val="standardContextual"/>
              </w:rPr>
              <w:t>Life insurance/Friendly societies</w:t>
            </w:r>
          </w:p>
        </w:tc>
        <w:tc>
          <w:tcPr>
            <w:tcW w:w="680" w:type="pct"/>
            <w:vAlign w:val="center"/>
          </w:tcPr>
          <w:p w14:paraId="5B407B08" w14:textId="77777777" w:rsidR="00037C2A" w:rsidRPr="00254DA1" w:rsidRDefault="00037C2A" w:rsidP="00AE6F85">
            <w:pPr>
              <w:spacing w:before="0" w:after="0"/>
              <w:jc w:val="center"/>
              <w:rPr>
                <w:rFonts w:eastAsia="Arial" w:cs="Calibri Light"/>
                <w:color w:val="000000"/>
                <w:kern w:val="2"/>
                <w:sz w:val="16"/>
                <w:szCs w:val="16"/>
                <w:lang w:eastAsia="en-US"/>
                <w14:ligatures w14:val="standardContextual"/>
              </w:rPr>
            </w:pPr>
            <w:r w:rsidRPr="00254DA1">
              <w:rPr>
                <w:rFonts w:eastAsia="Arial" w:cs="Calibri Light"/>
                <w:color w:val="000000"/>
                <w:kern w:val="2"/>
                <w:sz w:val="16"/>
                <w:szCs w:val="16"/>
                <w:lang w:eastAsia="en-US"/>
                <w14:ligatures w14:val="standardContextual"/>
              </w:rPr>
              <w:t>10</w:t>
            </w:r>
          </w:p>
        </w:tc>
        <w:tc>
          <w:tcPr>
            <w:tcW w:w="680" w:type="pct"/>
            <w:vAlign w:val="center"/>
          </w:tcPr>
          <w:p w14:paraId="53BCB9F2" w14:textId="77777777" w:rsidR="00037C2A" w:rsidRPr="00254DA1" w:rsidRDefault="00037C2A" w:rsidP="00AE6F85">
            <w:pPr>
              <w:spacing w:before="0" w:after="0"/>
              <w:jc w:val="center"/>
              <w:rPr>
                <w:rFonts w:eastAsia="Arial" w:cs="Calibri Light"/>
                <w:color w:val="000000"/>
                <w:kern w:val="2"/>
                <w:sz w:val="16"/>
                <w:szCs w:val="16"/>
                <w:lang w:eastAsia="en-US"/>
                <w14:ligatures w14:val="standardContextual"/>
              </w:rPr>
            </w:pPr>
            <w:r w:rsidRPr="00254DA1">
              <w:rPr>
                <w:rFonts w:eastAsia="Arial" w:cs="Calibri Light"/>
                <w:color w:val="000000"/>
                <w:kern w:val="2"/>
                <w:sz w:val="16"/>
                <w:szCs w:val="16"/>
                <w:lang w:eastAsia="en-US"/>
                <w14:ligatures w14:val="standardContextual"/>
              </w:rPr>
              <w:t>9</w:t>
            </w:r>
          </w:p>
        </w:tc>
        <w:tc>
          <w:tcPr>
            <w:tcW w:w="680" w:type="pct"/>
            <w:vAlign w:val="center"/>
          </w:tcPr>
          <w:p w14:paraId="0A36632A" w14:textId="77777777" w:rsidR="00037C2A" w:rsidRPr="00254DA1" w:rsidRDefault="00037C2A" w:rsidP="00AE6F85">
            <w:pPr>
              <w:spacing w:before="0" w:after="0"/>
              <w:jc w:val="center"/>
              <w:rPr>
                <w:rFonts w:eastAsia="Arial" w:cs="Calibri Light"/>
                <w:color w:val="000000"/>
                <w:kern w:val="2"/>
                <w:sz w:val="16"/>
                <w:szCs w:val="16"/>
                <w:lang w:eastAsia="en-US"/>
                <w14:ligatures w14:val="standardContextual"/>
              </w:rPr>
            </w:pPr>
            <w:r w:rsidRPr="00254DA1">
              <w:rPr>
                <w:rFonts w:eastAsia="Arial" w:cs="Calibri Light"/>
                <w:color w:val="000000"/>
                <w:kern w:val="2"/>
                <w:sz w:val="16"/>
                <w:szCs w:val="16"/>
                <w:lang w:eastAsia="en-US"/>
                <w14:ligatures w14:val="standardContextual"/>
              </w:rPr>
              <w:t>8</w:t>
            </w:r>
          </w:p>
        </w:tc>
        <w:tc>
          <w:tcPr>
            <w:tcW w:w="680" w:type="pct"/>
            <w:vAlign w:val="center"/>
          </w:tcPr>
          <w:p w14:paraId="63870B76" w14:textId="77777777" w:rsidR="00037C2A" w:rsidRPr="00254DA1" w:rsidRDefault="00037C2A" w:rsidP="00AE6F85">
            <w:pPr>
              <w:spacing w:before="0" w:after="0"/>
              <w:jc w:val="center"/>
              <w:rPr>
                <w:rFonts w:eastAsia="Arial" w:cs="Calibri Light"/>
                <w:color w:val="000000"/>
                <w:kern w:val="2"/>
                <w:sz w:val="16"/>
                <w:szCs w:val="16"/>
                <w:lang w:eastAsia="en-US"/>
                <w14:ligatures w14:val="standardContextual"/>
              </w:rPr>
            </w:pPr>
            <w:r w:rsidRPr="00254DA1">
              <w:rPr>
                <w:rFonts w:eastAsia="Arial" w:cs="Calibri Light"/>
                <w:color w:val="000000"/>
                <w:kern w:val="2"/>
                <w:sz w:val="16"/>
                <w:szCs w:val="16"/>
                <w:lang w:eastAsia="en-US"/>
                <w14:ligatures w14:val="standardContextual"/>
              </w:rPr>
              <w:t>7</w:t>
            </w:r>
          </w:p>
        </w:tc>
        <w:tc>
          <w:tcPr>
            <w:tcW w:w="680" w:type="pct"/>
            <w:vAlign w:val="center"/>
          </w:tcPr>
          <w:p w14:paraId="4ECF9977" w14:textId="77777777" w:rsidR="00037C2A" w:rsidRPr="00254DA1" w:rsidRDefault="00037C2A" w:rsidP="00AE6F85">
            <w:pPr>
              <w:spacing w:before="0" w:after="0"/>
              <w:jc w:val="center"/>
              <w:rPr>
                <w:rFonts w:eastAsia="Arial" w:cs="Calibri Light"/>
                <w:color w:val="000000"/>
                <w:kern w:val="2"/>
                <w:sz w:val="16"/>
                <w:szCs w:val="16"/>
                <w:lang w:eastAsia="en-US"/>
                <w14:ligatures w14:val="standardContextual"/>
              </w:rPr>
            </w:pPr>
            <w:r w:rsidRPr="00254DA1">
              <w:rPr>
                <w:rFonts w:eastAsia="Arial" w:cs="Calibri Light"/>
                <w:color w:val="000000"/>
                <w:kern w:val="2"/>
                <w:sz w:val="16"/>
                <w:szCs w:val="16"/>
                <w:lang w:eastAsia="en-US"/>
                <w14:ligatures w14:val="standardContextual"/>
              </w:rPr>
              <w:t>8</w:t>
            </w:r>
          </w:p>
        </w:tc>
      </w:tr>
      <w:tr w:rsidR="00037C2A" w:rsidRPr="0032413C" w14:paraId="40035315" w14:textId="77777777" w:rsidTr="00AE6F85">
        <w:trPr>
          <w:trHeight w:val="283"/>
        </w:trPr>
        <w:tc>
          <w:tcPr>
            <w:tcW w:w="1599" w:type="pct"/>
            <w:vAlign w:val="center"/>
          </w:tcPr>
          <w:p w14:paraId="4E31C313" w14:textId="77777777" w:rsidR="00037C2A" w:rsidRPr="00254DA1" w:rsidRDefault="00037C2A" w:rsidP="00AE6F85">
            <w:pPr>
              <w:spacing w:before="0" w:after="0"/>
              <w:rPr>
                <w:rFonts w:eastAsia="Arial" w:cs="Calibri Light"/>
                <w:bCs/>
                <w:color w:val="000000"/>
                <w:kern w:val="2"/>
                <w:sz w:val="16"/>
                <w:szCs w:val="16"/>
                <w:lang w:eastAsia="en-US"/>
                <w14:ligatures w14:val="standardContextual"/>
              </w:rPr>
            </w:pPr>
            <w:r w:rsidRPr="00254DA1">
              <w:rPr>
                <w:rFonts w:eastAsia="Arial" w:cs="Calibri Light"/>
                <w:bCs/>
                <w:color w:val="000000"/>
                <w:kern w:val="2"/>
                <w:sz w:val="16"/>
                <w:szCs w:val="16"/>
                <w:lang w:eastAsia="en-US"/>
                <w14:ligatures w14:val="standardContextual"/>
              </w:rPr>
              <w:t>General insurance</w:t>
            </w:r>
          </w:p>
        </w:tc>
        <w:tc>
          <w:tcPr>
            <w:tcW w:w="680" w:type="pct"/>
            <w:vAlign w:val="center"/>
          </w:tcPr>
          <w:p w14:paraId="66158A30" w14:textId="77777777" w:rsidR="00037C2A" w:rsidRPr="00254DA1" w:rsidRDefault="00037C2A" w:rsidP="00AE6F85">
            <w:pPr>
              <w:spacing w:before="0" w:after="0"/>
              <w:jc w:val="center"/>
              <w:rPr>
                <w:rFonts w:eastAsia="Arial" w:cs="Calibri Light"/>
                <w:color w:val="000000"/>
                <w:kern w:val="2"/>
                <w:sz w:val="16"/>
                <w:szCs w:val="16"/>
                <w:lang w:eastAsia="en-US"/>
                <w14:ligatures w14:val="standardContextual"/>
              </w:rPr>
            </w:pPr>
            <w:r w:rsidRPr="00254DA1">
              <w:rPr>
                <w:rFonts w:eastAsia="Arial" w:cs="Calibri Light"/>
                <w:color w:val="000000"/>
                <w:kern w:val="2"/>
                <w:sz w:val="16"/>
                <w:szCs w:val="16"/>
                <w:lang w:eastAsia="en-US"/>
                <w14:ligatures w14:val="standardContextual"/>
              </w:rPr>
              <w:t>13</w:t>
            </w:r>
          </w:p>
        </w:tc>
        <w:tc>
          <w:tcPr>
            <w:tcW w:w="680" w:type="pct"/>
            <w:vAlign w:val="center"/>
          </w:tcPr>
          <w:p w14:paraId="63634EEB" w14:textId="77777777" w:rsidR="00037C2A" w:rsidRPr="00254DA1" w:rsidRDefault="00037C2A" w:rsidP="00AE6F85">
            <w:pPr>
              <w:spacing w:before="0" w:after="0"/>
              <w:jc w:val="center"/>
              <w:rPr>
                <w:rFonts w:eastAsia="Arial" w:cs="Calibri Light"/>
                <w:color w:val="000000"/>
                <w:kern w:val="2"/>
                <w:sz w:val="16"/>
                <w:szCs w:val="16"/>
                <w:lang w:eastAsia="en-US"/>
                <w14:ligatures w14:val="standardContextual"/>
              </w:rPr>
            </w:pPr>
            <w:r w:rsidRPr="00254DA1">
              <w:rPr>
                <w:rFonts w:eastAsia="Arial" w:cs="Calibri Light"/>
                <w:color w:val="000000"/>
                <w:kern w:val="2"/>
                <w:sz w:val="16"/>
                <w:szCs w:val="16"/>
                <w:lang w:eastAsia="en-US"/>
                <w14:ligatures w14:val="standardContextual"/>
              </w:rPr>
              <w:t>12</w:t>
            </w:r>
          </w:p>
        </w:tc>
        <w:tc>
          <w:tcPr>
            <w:tcW w:w="680" w:type="pct"/>
            <w:vAlign w:val="center"/>
          </w:tcPr>
          <w:p w14:paraId="73D77465" w14:textId="77777777" w:rsidR="00037C2A" w:rsidRPr="00254DA1" w:rsidRDefault="00037C2A" w:rsidP="00AE6F85">
            <w:pPr>
              <w:spacing w:before="0" w:after="0"/>
              <w:jc w:val="center"/>
              <w:rPr>
                <w:rFonts w:eastAsia="Arial" w:cs="Calibri Light"/>
                <w:color w:val="000000"/>
                <w:kern w:val="2"/>
                <w:sz w:val="16"/>
                <w:szCs w:val="16"/>
                <w:lang w:eastAsia="en-US"/>
                <w14:ligatures w14:val="standardContextual"/>
              </w:rPr>
            </w:pPr>
            <w:r w:rsidRPr="00254DA1">
              <w:rPr>
                <w:rFonts w:eastAsia="Arial" w:cs="Calibri Light"/>
                <w:color w:val="000000"/>
                <w:kern w:val="2"/>
                <w:sz w:val="16"/>
                <w:szCs w:val="16"/>
                <w:lang w:eastAsia="en-US"/>
                <w14:ligatures w14:val="standardContextual"/>
              </w:rPr>
              <w:t>11</w:t>
            </w:r>
          </w:p>
        </w:tc>
        <w:tc>
          <w:tcPr>
            <w:tcW w:w="680" w:type="pct"/>
            <w:vAlign w:val="center"/>
          </w:tcPr>
          <w:p w14:paraId="2B993D87" w14:textId="77777777" w:rsidR="00037C2A" w:rsidRPr="00254DA1" w:rsidRDefault="00037C2A" w:rsidP="00AE6F85">
            <w:pPr>
              <w:spacing w:before="0" w:after="0"/>
              <w:jc w:val="center"/>
              <w:rPr>
                <w:rFonts w:eastAsia="Arial" w:cs="Calibri Light"/>
                <w:color w:val="000000"/>
                <w:kern w:val="2"/>
                <w:sz w:val="16"/>
                <w:szCs w:val="16"/>
                <w:lang w:eastAsia="en-US"/>
                <w14:ligatures w14:val="standardContextual"/>
              </w:rPr>
            </w:pPr>
            <w:r w:rsidRPr="00254DA1">
              <w:rPr>
                <w:rFonts w:eastAsia="Arial" w:cs="Calibri Light"/>
                <w:color w:val="000000"/>
                <w:kern w:val="2"/>
                <w:sz w:val="16"/>
                <w:szCs w:val="16"/>
                <w:lang w:eastAsia="en-US"/>
                <w14:ligatures w14:val="standardContextual"/>
              </w:rPr>
              <w:t>11</w:t>
            </w:r>
          </w:p>
        </w:tc>
        <w:tc>
          <w:tcPr>
            <w:tcW w:w="680" w:type="pct"/>
            <w:vAlign w:val="center"/>
          </w:tcPr>
          <w:p w14:paraId="30DA412E" w14:textId="77777777" w:rsidR="00037C2A" w:rsidRPr="00254DA1" w:rsidRDefault="00037C2A" w:rsidP="00AE6F85">
            <w:pPr>
              <w:spacing w:before="0" w:after="0"/>
              <w:jc w:val="center"/>
              <w:rPr>
                <w:rFonts w:eastAsia="Arial" w:cs="Calibri Light"/>
                <w:color w:val="000000"/>
                <w:kern w:val="2"/>
                <w:sz w:val="16"/>
                <w:szCs w:val="16"/>
                <w:lang w:eastAsia="en-US"/>
                <w14:ligatures w14:val="standardContextual"/>
              </w:rPr>
            </w:pPr>
            <w:r w:rsidRPr="00254DA1">
              <w:rPr>
                <w:rFonts w:eastAsia="Arial" w:cs="Calibri Light"/>
                <w:color w:val="000000"/>
                <w:kern w:val="2"/>
                <w:sz w:val="16"/>
                <w:szCs w:val="16"/>
                <w:lang w:eastAsia="en-US"/>
                <w14:ligatures w14:val="standardContextual"/>
              </w:rPr>
              <w:t>12</w:t>
            </w:r>
          </w:p>
        </w:tc>
      </w:tr>
      <w:tr w:rsidR="00037C2A" w:rsidRPr="0032413C" w14:paraId="60582EDD" w14:textId="77777777" w:rsidTr="00AE6F85">
        <w:trPr>
          <w:trHeight w:val="283"/>
        </w:trPr>
        <w:tc>
          <w:tcPr>
            <w:tcW w:w="1599" w:type="pct"/>
            <w:vAlign w:val="center"/>
          </w:tcPr>
          <w:p w14:paraId="5A973082" w14:textId="77777777" w:rsidR="00037C2A" w:rsidRPr="00254DA1" w:rsidRDefault="00037C2A" w:rsidP="00AE6F85">
            <w:pPr>
              <w:spacing w:before="0" w:after="0"/>
              <w:rPr>
                <w:rFonts w:eastAsia="Arial" w:cs="Calibri Light"/>
                <w:bCs/>
                <w:color w:val="000000"/>
                <w:kern w:val="2"/>
                <w:sz w:val="16"/>
                <w:szCs w:val="16"/>
                <w:lang w:eastAsia="en-US"/>
                <w14:ligatures w14:val="standardContextual"/>
              </w:rPr>
            </w:pPr>
            <w:r w:rsidRPr="00254DA1">
              <w:rPr>
                <w:rFonts w:eastAsia="Arial" w:cs="Calibri Light"/>
                <w:bCs/>
                <w:color w:val="000000"/>
                <w:kern w:val="2"/>
                <w:sz w:val="16"/>
                <w:szCs w:val="16"/>
                <w:lang w:eastAsia="en-US"/>
                <w14:ligatures w14:val="standardContextual"/>
              </w:rPr>
              <w:t>Superannuation</w:t>
            </w:r>
          </w:p>
        </w:tc>
        <w:tc>
          <w:tcPr>
            <w:tcW w:w="680" w:type="pct"/>
            <w:vAlign w:val="center"/>
          </w:tcPr>
          <w:p w14:paraId="752CC9EF" w14:textId="77777777" w:rsidR="00037C2A" w:rsidRPr="00254DA1" w:rsidRDefault="00037C2A" w:rsidP="00AE6F85">
            <w:pPr>
              <w:spacing w:before="0" w:after="0"/>
              <w:jc w:val="center"/>
              <w:rPr>
                <w:rFonts w:eastAsia="Arial" w:cs="Calibri Light"/>
                <w:color w:val="000000"/>
                <w:kern w:val="2"/>
                <w:sz w:val="16"/>
                <w:szCs w:val="16"/>
                <w:lang w:eastAsia="en-US"/>
                <w14:ligatures w14:val="standardContextual"/>
              </w:rPr>
            </w:pPr>
            <w:r w:rsidRPr="00254DA1">
              <w:rPr>
                <w:rFonts w:eastAsia="Arial" w:cs="Calibri Light"/>
                <w:color w:val="000000"/>
                <w:kern w:val="2"/>
                <w:sz w:val="16"/>
                <w:szCs w:val="16"/>
                <w:lang w:eastAsia="en-US"/>
                <w14:ligatures w14:val="standardContextual"/>
              </w:rPr>
              <w:t>27</w:t>
            </w:r>
          </w:p>
        </w:tc>
        <w:tc>
          <w:tcPr>
            <w:tcW w:w="680" w:type="pct"/>
            <w:vAlign w:val="center"/>
          </w:tcPr>
          <w:p w14:paraId="524BC671" w14:textId="77777777" w:rsidR="00037C2A" w:rsidRPr="00254DA1" w:rsidRDefault="00037C2A" w:rsidP="00AE6F85">
            <w:pPr>
              <w:spacing w:before="0" w:after="0"/>
              <w:jc w:val="center"/>
              <w:rPr>
                <w:rFonts w:eastAsia="Arial" w:cs="Calibri Light"/>
                <w:color w:val="000000"/>
                <w:kern w:val="2"/>
                <w:sz w:val="16"/>
                <w:szCs w:val="16"/>
                <w:lang w:eastAsia="en-US"/>
                <w14:ligatures w14:val="standardContextual"/>
              </w:rPr>
            </w:pPr>
            <w:r w:rsidRPr="00254DA1">
              <w:rPr>
                <w:rFonts w:eastAsia="Arial" w:cs="Calibri Light"/>
                <w:color w:val="000000"/>
                <w:kern w:val="2"/>
                <w:sz w:val="16"/>
                <w:szCs w:val="16"/>
                <w:lang w:eastAsia="en-US"/>
                <w14:ligatures w14:val="standardContextual"/>
              </w:rPr>
              <w:t>29</w:t>
            </w:r>
          </w:p>
        </w:tc>
        <w:tc>
          <w:tcPr>
            <w:tcW w:w="680" w:type="pct"/>
            <w:vAlign w:val="center"/>
          </w:tcPr>
          <w:p w14:paraId="4008B731" w14:textId="77777777" w:rsidR="00037C2A" w:rsidRPr="00254DA1" w:rsidRDefault="00037C2A" w:rsidP="00AE6F85">
            <w:pPr>
              <w:spacing w:before="0" w:after="0"/>
              <w:jc w:val="center"/>
              <w:rPr>
                <w:rFonts w:eastAsia="Arial" w:cs="Calibri Light"/>
                <w:color w:val="000000"/>
                <w:kern w:val="2"/>
                <w:sz w:val="16"/>
                <w:szCs w:val="16"/>
                <w:lang w:eastAsia="en-US"/>
                <w14:ligatures w14:val="standardContextual"/>
              </w:rPr>
            </w:pPr>
            <w:r w:rsidRPr="00254DA1">
              <w:rPr>
                <w:rFonts w:eastAsia="Arial" w:cs="Calibri Light"/>
                <w:color w:val="000000"/>
                <w:kern w:val="2"/>
                <w:sz w:val="16"/>
                <w:szCs w:val="16"/>
                <w:lang w:eastAsia="en-US"/>
                <w14:ligatures w14:val="standardContextual"/>
              </w:rPr>
              <w:t>30</w:t>
            </w:r>
          </w:p>
        </w:tc>
        <w:tc>
          <w:tcPr>
            <w:tcW w:w="680" w:type="pct"/>
            <w:vAlign w:val="center"/>
          </w:tcPr>
          <w:p w14:paraId="296899FC" w14:textId="77777777" w:rsidR="00037C2A" w:rsidRPr="00254DA1" w:rsidRDefault="00037C2A" w:rsidP="00AE6F85">
            <w:pPr>
              <w:spacing w:before="0" w:after="0"/>
              <w:jc w:val="center"/>
              <w:rPr>
                <w:rFonts w:eastAsia="Arial" w:cs="Calibri Light"/>
                <w:color w:val="000000"/>
                <w:kern w:val="2"/>
                <w:sz w:val="16"/>
                <w:szCs w:val="16"/>
                <w:lang w:eastAsia="en-US"/>
                <w14:ligatures w14:val="standardContextual"/>
              </w:rPr>
            </w:pPr>
            <w:r w:rsidRPr="00254DA1">
              <w:rPr>
                <w:rFonts w:eastAsia="Arial" w:cs="Calibri Light"/>
                <w:color w:val="000000"/>
                <w:kern w:val="2"/>
                <w:sz w:val="16"/>
                <w:szCs w:val="16"/>
                <w:lang w:eastAsia="en-US"/>
                <w14:ligatures w14:val="standardContextual"/>
              </w:rPr>
              <w:t>32</w:t>
            </w:r>
          </w:p>
        </w:tc>
        <w:tc>
          <w:tcPr>
            <w:tcW w:w="680" w:type="pct"/>
            <w:vAlign w:val="center"/>
          </w:tcPr>
          <w:p w14:paraId="2CE82174" w14:textId="77777777" w:rsidR="00037C2A" w:rsidRPr="00254DA1" w:rsidRDefault="00037C2A" w:rsidP="00AE6F85">
            <w:pPr>
              <w:spacing w:before="0" w:after="0"/>
              <w:jc w:val="center"/>
              <w:rPr>
                <w:rFonts w:eastAsia="Arial" w:cs="Calibri Light"/>
                <w:color w:val="000000"/>
                <w:kern w:val="2"/>
                <w:sz w:val="16"/>
                <w:szCs w:val="16"/>
                <w:lang w:eastAsia="en-US"/>
                <w14:ligatures w14:val="standardContextual"/>
              </w:rPr>
            </w:pPr>
            <w:r w:rsidRPr="00254DA1">
              <w:rPr>
                <w:rFonts w:eastAsia="Arial" w:cs="Calibri Light"/>
                <w:color w:val="000000"/>
                <w:kern w:val="2"/>
                <w:sz w:val="16"/>
                <w:szCs w:val="16"/>
                <w:lang w:eastAsia="en-US"/>
                <w14:ligatures w14:val="standardContextual"/>
              </w:rPr>
              <w:t>30</w:t>
            </w:r>
          </w:p>
        </w:tc>
      </w:tr>
      <w:tr w:rsidR="00037C2A" w:rsidRPr="0032413C" w14:paraId="1600FE40" w14:textId="77777777" w:rsidTr="00AE6F85">
        <w:trPr>
          <w:trHeight w:val="283"/>
        </w:trPr>
        <w:tc>
          <w:tcPr>
            <w:tcW w:w="1599" w:type="pct"/>
            <w:vAlign w:val="center"/>
          </w:tcPr>
          <w:p w14:paraId="320AB851" w14:textId="77777777" w:rsidR="00037C2A" w:rsidRPr="00254DA1" w:rsidRDefault="00037C2A" w:rsidP="00AE6F85">
            <w:pPr>
              <w:spacing w:before="0" w:after="0"/>
              <w:rPr>
                <w:rFonts w:eastAsia="Arial" w:cs="Calibri Light"/>
                <w:bCs/>
                <w:color w:val="000000"/>
                <w:kern w:val="2"/>
                <w:sz w:val="16"/>
                <w:szCs w:val="16"/>
                <w:lang w:eastAsia="en-US"/>
                <w14:ligatures w14:val="standardContextual"/>
              </w:rPr>
            </w:pPr>
            <w:r w:rsidRPr="00254DA1">
              <w:rPr>
                <w:rFonts w:eastAsia="Arial" w:cs="Calibri Light"/>
                <w:bCs/>
                <w:color w:val="000000"/>
                <w:kern w:val="2"/>
                <w:sz w:val="16"/>
                <w:szCs w:val="16"/>
                <w:lang w:eastAsia="en-US"/>
                <w14:ligatures w14:val="standardContextual"/>
              </w:rPr>
              <w:t>Private health insurance</w:t>
            </w:r>
          </w:p>
        </w:tc>
        <w:tc>
          <w:tcPr>
            <w:tcW w:w="680" w:type="pct"/>
            <w:vAlign w:val="center"/>
          </w:tcPr>
          <w:p w14:paraId="604DC1B5" w14:textId="77777777" w:rsidR="00037C2A" w:rsidRPr="00254DA1" w:rsidRDefault="00037C2A" w:rsidP="00AE6F85">
            <w:pPr>
              <w:spacing w:before="0" w:after="0"/>
              <w:jc w:val="center"/>
              <w:rPr>
                <w:rFonts w:eastAsia="Arial" w:cs="Calibri Light"/>
                <w:color w:val="000000"/>
                <w:kern w:val="2"/>
                <w:sz w:val="16"/>
                <w:szCs w:val="16"/>
                <w:lang w:eastAsia="en-US"/>
                <w14:ligatures w14:val="standardContextual"/>
              </w:rPr>
            </w:pPr>
            <w:r w:rsidRPr="00254DA1">
              <w:rPr>
                <w:rFonts w:eastAsia="Arial" w:cs="Calibri Light"/>
                <w:color w:val="000000"/>
                <w:kern w:val="2"/>
                <w:sz w:val="16"/>
                <w:szCs w:val="16"/>
                <w:lang w:eastAsia="en-US"/>
                <w14:ligatures w14:val="standardContextual"/>
              </w:rPr>
              <w:t>5</w:t>
            </w:r>
          </w:p>
        </w:tc>
        <w:tc>
          <w:tcPr>
            <w:tcW w:w="680" w:type="pct"/>
            <w:vAlign w:val="center"/>
          </w:tcPr>
          <w:p w14:paraId="220D2522" w14:textId="77777777" w:rsidR="00037C2A" w:rsidRPr="00254DA1" w:rsidRDefault="00037C2A" w:rsidP="00AE6F85">
            <w:pPr>
              <w:spacing w:before="0" w:after="0"/>
              <w:jc w:val="center"/>
              <w:rPr>
                <w:rFonts w:eastAsia="Arial" w:cs="Calibri Light"/>
                <w:color w:val="000000"/>
                <w:kern w:val="2"/>
                <w:sz w:val="16"/>
                <w:szCs w:val="16"/>
                <w:lang w:eastAsia="en-US"/>
                <w14:ligatures w14:val="standardContextual"/>
              </w:rPr>
            </w:pPr>
            <w:r w:rsidRPr="00254DA1">
              <w:rPr>
                <w:rFonts w:eastAsia="Arial" w:cs="Calibri Light"/>
                <w:color w:val="000000"/>
                <w:kern w:val="2"/>
                <w:sz w:val="16"/>
                <w:szCs w:val="16"/>
                <w:lang w:eastAsia="en-US"/>
                <w14:ligatures w14:val="standardContextual"/>
              </w:rPr>
              <w:t>4</w:t>
            </w:r>
          </w:p>
        </w:tc>
        <w:tc>
          <w:tcPr>
            <w:tcW w:w="680" w:type="pct"/>
            <w:vAlign w:val="center"/>
          </w:tcPr>
          <w:p w14:paraId="6D563DCD" w14:textId="77777777" w:rsidR="00037C2A" w:rsidRPr="00254DA1" w:rsidRDefault="00037C2A" w:rsidP="00AE6F85">
            <w:pPr>
              <w:spacing w:before="0" w:after="0"/>
              <w:jc w:val="center"/>
              <w:rPr>
                <w:rFonts w:eastAsia="Arial" w:cs="Calibri Light"/>
                <w:color w:val="000000"/>
                <w:kern w:val="2"/>
                <w:sz w:val="16"/>
                <w:szCs w:val="16"/>
                <w:lang w:eastAsia="en-US"/>
                <w14:ligatures w14:val="standardContextual"/>
              </w:rPr>
            </w:pPr>
            <w:r w:rsidRPr="00254DA1">
              <w:rPr>
                <w:rFonts w:eastAsia="Arial" w:cs="Calibri Light"/>
                <w:color w:val="000000"/>
                <w:kern w:val="2"/>
                <w:sz w:val="16"/>
                <w:szCs w:val="16"/>
                <w:lang w:eastAsia="en-US"/>
                <w14:ligatures w14:val="standardContextual"/>
              </w:rPr>
              <w:t>4</w:t>
            </w:r>
          </w:p>
        </w:tc>
        <w:tc>
          <w:tcPr>
            <w:tcW w:w="680" w:type="pct"/>
            <w:vAlign w:val="center"/>
          </w:tcPr>
          <w:p w14:paraId="208DC102" w14:textId="77777777" w:rsidR="00037C2A" w:rsidRPr="00254DA1" w:rsidRDefault="00037C2A" w:rsidP="00AE6F85">
            <w:pPr>
              <w:spacing w:before="0" w:after="0"/>
              <w:jc w:val="center"/>
              <w:rPr>
                <w:rFonts w:eastAsia="Arial" w:cs="Calibri Light"/>
                <w:color w:val="000000"/>
                <w:kern w:val="2"/>
                <w:sz w:val="16"/>
                <w:szCs w:val="16"/>
                <w:lang w:eastAsia="en-US"/>
                <w14:ligatures w14:val="standardContextual"/>
              </w:rPr>
            </w:pPr>
            <w:r w:rsidRPr="00254DA1">
              <w:rPr>
                <w:rFonts w:eastAsia="Arial" w:cs="Calibri Light"/>
                <w:color w:val="000000"/>
                <w:kern w:val="2"/>
                <w:sz w:val="16"/>
                <w:szCs w:val="16"/>
                <w:lang w:eastAsia="en-US"/>
                <w14:ligatures w14:val="standardContextual"/>
              </w:rPr>
              <w:t>4</w:t>
            </w:r>
          </w:p>
        </w:tc>
        <w:tc>
          <w:tcPr>
            <w:tcW w:w="680" w:type="pct"/>
            <w:vAlign w:val="center"/>
          </w:tcPr>
          <w:p w14:paraId="793233FA" w14:textId="77777777" w:rsidR="00037C2A" w:rsidRPr="00254DA1" w:rsidRDefault="00037C2A" w:rsidP="00AE6F85">
            <w:pPr>
              <w:spacing w:before="0" w:after="0"/>
              <w:jc w:val="center"/>
              <w:rPr>
                <w:rFonts w:eastAsia="Arial" w:cs="Calibri Light"/>
                <w:color w:val="000000"/>
                <w:kern w:val="2"/>
                <w:sz w:val="16"/>
                <w:szCs w:val="16"/>
                <w:lang w:eastAsia="en-US"/>
                <w14:ligatures w14:val="standardContextual"/>
              </w:rPr>
            </w:pPr>
            <w:r w:rsidRPr="00254DA1">
              <w:rPr>
                <w:rFonts w:eastAsia="Arial" w:cs="Calibri Light"/>
                <w:color w:val="000000"/>
                <w:kern w:val="2"/>
                <w:sz w:val="16"/>
                <w:szCs w:val="16"/>
                <w:lang w:eastAsia="en-US"/>
                <w14:ligatures w14:val="standardContextual"/>
              </w:rPr>
              <w:t>4</w:t>
            </w:r>
          </w:p>
        </w:tc>
      </w:tr>
      <w:tr w:rsidR="00037C2A" w:rsidRPr="0032413C" w14:paraId="46C444D9" w14:textId="77777777" w:rsidTr="00AE6F85">
        <w:trPr>
          <w:trHeight w:val="283"/>
        </w:trPr>
        <w:tc>
          <w:tcPr>
            <w:tcW w:w="1599" w:type="pct"/>
            <w:vAlign w:val="center"/>
          </w:tcPr>
          <w:p w14:paraId="3F269D9D" w14:textId="77777777" w:rsidR="00037C2A" w:rsidRPr="00037C2A" w:rsidRDefault="00037C2A" w:rsidP="00AE6F85">
            <w:pPr>
              <w:spacing w:before="0" w:after="0"/>
              <w:rPr>
                <w:rFonts w:eastAsia="Arial" w:cs="Calibri Light"/>
                <w:b/>
                <w:bCs/>
                <w:color w:val="000000"/>
                <w:kern w:val="2"/>
                <w:sz w:val="16"/>
                <w:szCs w:val="16"/>
                <w:lang w:eastAsia="en-US"/>
                <w14:ligatures w14:val="standardContextual"/>
              </w:rPr>
            </w:pPr>
            <w:r w:rsidRPr="00037C2A">
              <w:rPr>
                <w:rFonts w:eastAsia="Arial" w:cs="Calibri Light"/>
                <w:b/>
                <w:bCs/>
                <w:color w:val="000000"/>
                <w:kern w:val="2"/>
                <w:sz w:val="16"/>
                <w:szCs w:val="16"/>
                <w:lang w:eastAsia="en-US"/>
                <w14:ligatures w14:val="standardContextual"/>
              </w:rPr>
              <w:t>Total</w:t>
            </w:r>
          </w:p>
        </w:tc>
        <w:tc>
          <w:tcPr>
            <w:tcW w:w="680" w:type="pct"/>
            <w:vAlign w:val="center"/>
          </w:tcPr>
          <w:p w14:paraId="47796AFF" w14:textId="77777777" w:rsidR="00037C2A" w:rsidRPr="00037C2A" w:rsidRDefault="00037C2A" w:rsidP="00AE6F85">
            <w:pPr>
              <w:spacing w:before="0" w:after="0"/>
              <w:jc w:val="center"/>
              <w:rPr>
                <w:rFonts w:eastAsia="Arial" w:cs="Calibri Light"/>
                <w:b/>
                <w:color w:val="000000"/>
                <w:kern w:val="2"/>
                <w:sz w:val="16"/>
                <w:szCs w:val="16"/>
                <w:lang w:eastAsia="en-US"/>
                <w14:ligatures w14:val="standardContextual"/>
              </w:rPr>
            </w:pPr>
            <w:r w:rsidRPr="00037C2A">
              <w:rPr>
                <w:rFonts w:eastAsia="Arial" w:cs="Calibri Light"/>
                <w:b/>
                <w:bCs/>
                <w:color w:val="000000"/>
                <w:kern w:val="2"/>
                <w:sz w:val="16"/>
                <w:szCs w:val="16"/>
                <w:lang w:eastAsia="en-US"/>
                <w14:ligatures w14:val="standardContextual"/>
              </w:rPr>
              <w:t>100</w:t>
            </w:r>
          </w:p>
        </w:tc>
        <w:tc>
          <w:tcPr>
            <w:tcW w:w="680" w:type="pct"/>
            <w:vAlign w:val="center"/>
          </w:tcPr>
          <w:p w14:paraId="180AA61C" w14:textId="77777777" w:rsidR="00037C2A" w:rsidRPr="00037C2A" w:rsidRDefault="00037C2A" w:rsidP="00AE6F85">
            <w:pPr>
              <w:spacing w:before="0" w:after="0"/>
              <w:jc w:val="center"/>
              <w:rPr>
                <w:rFonts w:eastAsia="Arial" w:cs="Calibri Light"/>
                <w:b/>
                <w:color w:val="000000"/>
                <w:kern w:val="2"/>
                <w:sz w:val="16"/>
                <w:szCs w:val="16"/>
                <w:lang w:eastAsia="en-US"/>
                <w14:ligatures w14:val="standardContextual"/>
              </w:rPr>
            </w:pPr>
            <w:r w:rsidRPr="00037C2A">
              <w:rPr>
                <w:rFonts w:eastAsia="Arial" w:cs="Calibri Light"/>
                <w:b/>
                <w:bCs/>
                <w:color w:val="000000"/>
                <w:kern w:val="2"/>
                <w:sz w:val="16"/>
                <w:szCs w:val="16"/>
                <w:lang w:eastAsia="en-US"/>
                <w14:ligatures w14:val="standardContextual"/>
              </w:rPr>
              <w:t>100</w:t>
            </w:r>
          </w:p>
        </w:tc>
        <w:tc>
          <w:tcPr>
            <w:tcW w:w="680" w:type="pct"/>
            <w:vAlign w:val="center"/>
          </w:tcPr>
          <w:p w14:paraId="6B93421B" w14:textId="77777777" w:rsidR="00037C2A" w:rsidRPr="00037C2A" w:rsidRDefault="00037C2A" w:rsidP="00AE6F85">
            <w:pPr>
              <w:spacing w:before="0" w:after="0"/>
              <w:jc w:val="center"/>
              <w:rPr>
                <w:rFonts w:eastAsia="Arial" w:cs="Calibri Light"/>
                <w:b/>
                <w:color w:val="000000"/>
                <w:kern w:val="2"/>
                <w:sz w:val="16"/>
                <w:szCs w:val="16"/>
                <w:lang w:eastAsia="en-US"/>
                <w14:ligatures w14:val="standardContextual"/>
              </w:rPr>
            </w:pPr>
            <w:r w:rsidRPr="00037C2A">
              <w:rPr>
                <w:rFonts w:eastAsia="Arial" w:cs="Calibri Light"/>
                <w:b/>
                <w:bCs/>
                <w:color w:val="000000"/>
                <w:kern w:val="2"/>
                <w:sz w:val="16"/>
                <w:szCs w:val="16"/>
                <w:lang w:eastAsia="en-US"/>
                <w14:ligatures w14:val="standardContextual"/>
              </w:rPr>
              <w:t>100</w:t>
            </w:r>
          </w:p>
        </w:tc>
        <w:tc>
          <w:tcPr>
            <w:tcW w:w="680" w:type="pct"/>
            <w:vAlign w:val="center"/>
          </w:tcPr>
          <w:p w14:paraId="0B5C0005" w14:textId="77777777" w:rsidR="00037C2A" w:rsidRPr="00037C2A" w:rsidRDefault="00037C2A" w:rsidP="00AE6F85">
            <w:pPr>
              <w:spacing w:before="0" w:after="0"/>
              <w:jc w:val="center"/>
              <w:rPr>
                <w:rFonts w:eastAsia="Arial" w:cs="Calibri Light"/>
                <w:b/>
                <w:color w:val="000000"/>
                <w:kern w:val="2"/>
                <w:sz w:val="16"/>
                <w:szCs w:val="16"/>
                <w:lang w:eastAsia="en-US"/>
                <w14:ligatures w14:val="standardContextual"/>
              </w:rPr>
            </w:pPr>
            <w:r w:rsidRPr="00037C2A">
              <w:rPr>
                <w:rFonts w:eastAsia="Arial" w:cs="Calibri Light"/>
                <w:b/>
                <w:bCs/>
                <w:color w:val="000000"/>
                <w:kern w:val="2"/>
                <w:sz w:val="16"/>
                <w:szCs w:val="16"/>
                <w:lang w:eastAsia="en-US"/>
                <w14:ligatures w14:val="standardContextual"/>
              </w:rPr>
              <w:t>100</w:t>
            </w:r>
          </w:p>
        </w:tc>
        <w:tc>
          <w:tcPr>
            <w:tcW w:w="680" w:type="pct"/>
            <w:vAlign w:val="center"/>
          </w:tcPr>
          <w:p w14:paraId="63797D2E" w14:textId="77777777" w:rsidR="00037C2A" w:rsidRPr="00037C2A" w:rsidRDefault="00037C2A" w:rsidP="00AE6F85">
            <w:pPr>
              <w:spacing w:before="0" w:after="0"/>
              <w:jc w:val="center"/>
              <w:rPr>
                <w:rFonts w:eastAsia="Arial" w:cs="Calibri Light"/>
                <w:b/>
                <w:color w:val="000000"/>
                <w:kern w:val="2"/>
                <w:sz w:val="16"/>
                <w:szCs w:val="16"/>
                <w:lang w:eastAsia="en-US"/>
                <w14:ligatures w14:val="standardContextual"/>
              </w:rPr>
            </w:pPr>
            <w:r w:rsidRPr="00037C2A">
              <w:rPr>
                <w:rFonts w:eastAsia="Arial" w:cs="Calibri Light"/>
                <w:b/>
                <w:bCs/>
                <w:color w:val="000000"/>
                <w:kern w:val="2"/>
                <w:sz w:val="16"/>
                <w:szCs w:val="16"/>
                <w:lang w:eastAsia="en-US"/>
                <w14:ligatures w14:val="standardContextual"/>
              </w:rPr>
              <w:t>100</w:t>
            </w:r>
          </w:p>
        </w:tc>
      </w:tr>
      <w:bookmarkEnd w:id="84"/>
    </w:tbl>
    <w:p w14:paraId="46E98461" w14:textId="77777777" w:rsidR="00EC5604" w:rsidRDefault="00EC5604"/>
    <w:p w14:paraId="58B8DEF6" w14:textId="1F49FFD4" w:rsidR="00F962C1" w:rsidRPr="00785A74" w:rsidRDefault="00EC5604" w:rsidP="00785A74">
      <w:pPr>
        <w:pStyle w:val="TableMainHeading"/>
        <w:rPr>
          <w:color w:val="auto"/>
        </w:rPr>
      </w:pPr>
      <w:r w:rsidRPr="005378B1">
        <w:rPr>
          <w:color w:val="auto"/>
        </w:rPr>
        <w:lastRenderedPageBreak/>
        <w:t>Table 5</w:t>
      </w:r>
      <w:r>
        <w:rPr>
          <w:color w:val="auto"/>
        </w:rPr>
        <w:t>.</w:t>
      </w:r>
      <w:r w:rsidR="00C85ADF">
        <w:rPr>
          <w:color w:val="auto"/>
        </w:rPr>
        <w:t>2</w:t>
      </w:r>
      <w:r w:rsidRPr="005378B1">
        <w:rPr>
          <w:color w:val="auto"/>
        </w:rPr>
        <w:t>: APRA’s supervisory effort by industry</w:t>
      </w:r>
      <w:r>
        <w:rPr>
          <w:color w:val="auto"/>
        </w:rPr>
        <w:t xml:space="preserve"> - </w:t>
      </w:r>
      <w:r w:rsidR="00BB4819">
        <w:rPr>
          <w:color w:val="auto"/>
        </w:rPr>
        <w:t>unr</w:t>
      </w:r>
      <w:r>
        <w:rPr>
          <w:color w:val="auto"/>
        </w:rPr>
        <w:t>estricted</w:t>
      </w:r>
    </w:p>
    <w:tbl>
      <w:tblPr>
        <w:tblStyle w:val="TableGridLigh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2898"/>
        <w:gridCol w:w="1233"/>
        <w:gridCol w:w="1233"/>
        <w:gridCol w:w="1232"/>
        <w:gridCol w:w="1232"/>
        <w:gridCol w:w="1232"/>
      </w:tblGrid>
      <w:tr w:rsidR="00037C2A" w:rsidRPr="00037C2A" w14:paraId="4F705287" w14:textId="77777777" w:rsidTr="00AE6F85">
        <w:trPr>
          <w:cantSplit/>
          <w:trHeight w:val="391"/>
          <w:tblHeader/>
        </w:trPr>
        <w:tc>
          <w:tcPr>
            <w:tcW w:w="1599" w:type="pct"/>
            <w:shd w:val="clear" w:color="auto" w:fill="EEEEEE" w:themeFill="background2"/>
            <w:vAlign w:val="center"/>
          </w:tcPr>
          <w:p w14:paraId="495A3FC3" w14:textId="77777777" w:rsidR="00037C2A" w:rsidRPr="00037C2A" w:rsidRDefault="00037C2A" w:rsidP="00CC7A0A">
            <w:pPr>
              <w:spacing w:before="0" w:after="0"/>
              <w:rPr>
                <w:rFonts w:eastAsia="Arial" w:cs="Calibri Light"/>
                <w:b/>
                <w:bCs/>
                <w:color w:val="000000"/>
                <w:kern w:val="2"/>
                <w:sz w:val="16"/>
                <w:szCs w:val="16"/>
                <w:lang w:eastAsia="en-US"/>
                <w14:ligatures w14:val="standardContextual"/>
              </w:rPr>
            </w:pPr>
            <w:bookmarkStart w:id="85" w:name="_Toc1575306"/>
            <w:bookmarkStart w:id="86" w:name="_Toc1577990"/>
            <w:bookmarkStart w:id="87" w:name="_Toc1578909"/>
            <w:bookmarkStart w:id="88" w:name="_Toc4662144"/>
            <w:bookmarkStart w:id="89" w:name="_Toc98841580"/>
            <w:bookmarkStart w:id="90" w:name="_Toc192616747"/>
            <w:r w:rsidRPr="00037C2A">
              <w:rPr>
                <w:rFonts w:eastAsia="Arial" w:cs="Calibri Light"/>
                <w:b/>
                <w:bCs/>
                <w:color w:val="000000"/>
                <w:kern w:val="2"/>
                <w:sz w:val="16"/>
                <w:szCs w:val="16"/>
                <w:lang w:eastAsia="en-US"/>
                <w14:ligatures w14:val="standardContextual"/>
              </w:rPr>
              <w:t>Unrestricted component</w:t>
            </w:r>
          </w:p>
        </w:tc>
        <w:tc>
          <w:tcPr>
            <w:tcW w:w="680" w:type="pct"/>
            <w:shd w:val="clear" w:color="auto" w:fill="EEEEEE" w:themeFill="background2"/>
            <w:vAlign w:val="center"/>
          </w:tcPr>
          <w:p w14:paraId="14676D50" w14:textId="77777777" w:rsidR="00370497" w:rsidRDefault="00037C2A" w:rsidP="00CC7A0A">
            <w:pPr>
              <w:spacing w:before="0" w:after="0"/>
              <w:jc w:val="center"/>
              <w:rPr>
                <w:rFonts w:eastAsia="Arial" w:cs="Calibri Light"/>
                <w:b/>
                <w:i/>
                <w:iCs/>
                <w:color w:val="000000"/>
                <w:kern w:val="2"/>
                <w:sz w:val="16"/>
                <w:szCs w:val="16"/>
                <w:lang w:eastAsia="en-US"/>
                <w14:ligatures w14:val="standardContextual"/>
              </w:rPr>
            </w:pPr>
            <w:r w:rsidRPr="00037C2A">
              <w:rPr>
                <w:rFonts w:eastAsia="Arial" w:cs="Calibri Light"/>
                <w:b/>
                <w:bCs/>
                <w:i/>
                <w:iCs/>
                <w:color w:val="000000"/>
                <w:kern w:val="2"/>
                <w:sz w:val="16"/>
                <w:szCs w:val="16"/>
                <w:lang w:eastAsia="en-US"/>
                <w14:ligatures w14:val="standardContextual"/>
              </w:rPr>
              <w:t>2022-2</w:t>
            </w:r>
            <w:r w:rsidRPr="00037C2A">
              <w:rPr>
                <w:rFonts w:eastAsia="Arial" w:cs="Calibri Light"/>
                <w:b/>
                <w:i/>
                <w:iCs/>
                <w:color w:val="000000"/>
                <w:kern w:val="2"/>
                <w:sz w:val="16"/>
                <w:szCs w:val="16"/>
                <w:lang w:eastAsia="en-US"/>
                <w14:ligatures w14:val="standardContextual"/>
              </w:rPr>
              <w:t xml:space="preserve">3 </w:t>
            </w:r>
          </w:p>
          <w:p w14:paraId="264D07AA" w14:textId="67326C08" w:rsidR="00037C2A" w:rsidRPr="00037C2A" w:rsidRDefault="00037C2A" w:rsidP="00CC7A0A">
            <w:pPr>
              <w:spacing w:before="0" w:after="0"/>
              <w:jc w:val="center"/>
              <w:rPr>
                <w:rFonts w:eastAsia="Arial" w:cs="Calibri Light"/>
                <w:b/>
                <w:bCs/>
                <w:color w:val="000000"/>
                <w:kern w:val="2"/>
                <w:sz w:val="16"/>
                <w:szCs w:val="16"/>
                <w:lang w:eastAsia="en-US"/>
                <w14:ligatures w14:val="standardContextual"/>
              </w:rPr>
            </w:pPr>
            <w:r w:rsidRPr="00037C2A">
              <w:rPr>
                <w:rFonts w:eastAsia="Arial" w:cs="Calibri Light"/>
                <w:b/>
                <w:i/>
                <w:iCs/>
                <w:color w:val="000000"/>
                <w:kern w:val="2"/>
                <w:sz w:val="16"/>
                <w:szCs w:val="16"/>
                <w:lang w:eastAsia="en-US"/>
                <w14:ligatures w14:val="standardContextual"/>
              </w:rPr>
              <w:t>Actual %</w:t>
            </w:r>
          </w:p>
        </w:tc>
        <w:tc>
          <w:tcPr>
            <w:tcW w:w="680" w:type="pct"/>
            <w:shd w:val="clear" w:color="auto" w:fill="EEEEEE" w:themeFill="background2"/>
            <w:vAlign w:val="center"/>
          </w:tcPr>
          <w:p w14:paraId="5072AEA1" w14:textId="77777777" w:rsidR="00370497" w:rsidRDefault="00037C2A" w:rsidP="00CC7A0A">
            <w:pPr>
              <w:spacing w:before="0" w:after="0"/>
              <w:jc w:val="center"/>
              <w:rPr>
                <w:rFonts w:eastAsia="Arial" w:cs="Calibri Light"/>
                <w:b/>
                <w:i/>
                <w:iCs/>
                <w:color w:val="000000"/>
                <w:kern w:val="2"/>
                <w:sz w:val="16"/>
                <w:szCs w:val="16"/>
                <w:lang w:eastAsia="en-US"/>
                <w14:ligatures w14:val="standardContextual"/>
              </w:rPr>
            </w:pPr>
            <w:r w:rsidRPr="00037C2A">
              <w:rPr>
                <w:rFonts w:eastAsia="Arial" w:cs="Calibri Light"/>
                <w:b/>
                <w:bCs/>
                <w:i/>
                <w:iCs/>
                <w:color w:val="000000"/>
                <w:kern w:val="2"/>
                <w:sz w:val="16"/>
                <w:szCs w:val="16"/>
                <w:lang w:eastAsia="en-US"/>
                <w14:ligatures w14:val="standardContextual"/>
              </w:rPr>
              <w:t>2023-24</w:t>
            </w:r>
            <w:r w:rsidRPr="00037C2A">
              <w:rPr>
                <w:rFonts w:eastAsia="Arial" w:cs="Calibri Light"/>
                <w:b/>
                <w:i/>
                <w:iCs/>
                <w:color w:val="000000"/>
                <w:kern w:val="2"/>
                <w:sz w:val="16"/>
                <w:szCs w:val="16"/>
                <w:lang w:eastAsia="en-US"/>
                <w14:ligatures w14:val="standardContextual"/>
              </w:rPr>
              <w:t xml:space="preserve"> </w:t>
            </w:r>
          </w:p>
          <w:p w14:paraId="742BC6D7" w14:textId="097E6198" w:rsidR="00037C2A" w:rsidRPr="00037C2A" w:rsidRDefault="00037C2A" w:rsidP="00CC7A0A">
            <w:pPr>
              <w:spacing w:before="0" w:after="0"/>
              <w:jc w:val="center"/>
              <w:rPr>
                <w:rFonts w:eastAsia="Arial" w:cs="Calibri Light"/>
                <w:b/>
                <w:bCs/>
                <w:color w:val="000000"/>
                <w:kern w:val="2"/>
                <w:sz w:val="16"/>
                <w:szCs w:val="16"/>
                <w:lang w:eastAsia="en-US"/>
                <w14:ligatures w14:val="standardContextual"/>
              </w:rPr>
            </w:pPr>
            <w:r w:rsidRPr="00037C2A">
              <w:rPr>
                <w:rFonts w:eastAsia="Arial" w:cs="Calibri Light"/>
                <w:b/>
                <w:i/>
                <w:iCs/>
                <w:color w:val="000000"/>
                <w:kern w:val="2"/>
                <w:sz w:val="16"/>
                <w:szCs w:val="16"/>
                <w:lang w:eastAsia="en-US"/>
                <w14:ligatures w14:val="standardContextual"/>
              </w:rPr>
              <w:t>Actual %</w:t>
            </w:r>
          </w:p>
        </w:tc>
        <w:tc>
          <w:tcPr>
            <w:tcW w:w="680" w:type="pct"/>
            <w:shd w:val="clear" w:color="auto" w:fill="EEEEEE" w:themeFill="background2"/>
            <w:vAlign w:val="center"/>
          </w:tcPr>
          <w:p w14:paraId="4E782E40" w14:textId="77777777" w:rsidR="00037C2A" w:rsidRPr="00037C2A" w:rsidRDefault="00037C2A" w:rsidP="00CC7A0A">
            <w:pPr>
              <w:spacing w:before="0" w:after="0"/>
              <w:jc w:val="center"/>
              <w:rPr>
                <w:rFonts w:eastAsia="Arial" w:cs="Calibri Light"/>
                <w:b/>
                <w:bCs/>
                <w:color w:val="000000"/>
                <w:kern w:val="2"/>
                <w:sz w:val="16"/>
                <w:szCs w:val="16"/>
                <w:lang w:eastAsia="en-US"/>
                <w14:ligatures w14:val="standardContextual"/>
              </w:rPr>
            </w:pPr>
            <w:r w:rsidRPr="00037C2A">
              <w:rPr>
                <w:rFonts w:eastAsia="Arial" w:cs="Calibri Light"/>
                <w:b/>
                <w:bCs/>
                <w:i/>
                <w:iCs/>
                <w:color w:val="000000"/>
                <w:kern w:val="2"/>
                <w:sz w:val="16"/>
                <w:szCs w:val="16"/>
                <w:lang w:eastAsia="en-US"/>
                <w14:ligatures w14:val="standardContextual"/>
              </w:rPr>
              <w:t>2024-25</w:t>
            </w:r>
            <w:r w:rsidRPr="00037C2A">
              <w:rPr>
                <w:rFonts w:eastAsia="Arial" w:cs="Calibri Light"/>
                <w:b/>
                <w:i/>
                <w:iCs/>
                <w:color w:val="000000"/>
                <w:kern w:val="2"/>
                <w:sz w:val="16"/>
                <w:szCs w:val="16"/>
                <w:lang w:eastAsia="en-US"/>
                <w14:ligatures w14:val="standardContextual"/>
              </w:rPr>
              <w:t xml:space="preserve"> Forecast %</w:t>
            </w:r>
          </w:p>
        </w:tc>
        <w:tc>
          <w:tcPr>
            <w:tcW w:w="680" w:type="pct"/>
            <w:shd w:val="clear" w:color="auto" w:fill="EEEEEE" w:themeFill="background2"/>
            <w:vAlign w:val="center"/>
          </w:tcPr>
          <w:p w14:paraId="739328BC" w14:textId="77777777" w:rsidR="00037C2A" w:rsidRPr="00037C2A" w:rsidRDefault="00037C2A" w:rsidP="00CC7A0A">
            <w:pPr>
              <w:spacing w:before="0" w:after="0"/>
              <w:jc w:val="center"/>
              <w:rPr>
                <w:rFonts w:eastAsia="Arial" w:cs="Calibri Light"/>
                <w:b/>
                <w:bCs/>
                <w:color w:val="000000"/>
                <w:kern w:val="2"/>
                <w:sz w:val="16"/>
                <w:szCs w:val="16"/>
                <w:lang w:eastAsia="en-US"/>
                <w14:ligatures w14:val="standardContextual"/>
              </w:rPr>
            </w:pPr>
            <w:r w:rsidRPr="00037C2A">
              <w:rPr>
                <w:rFonts w:eastAsia="Arial" w:cs="Calibri Light"/>
                <w:b/>
                <w:bCs/>
                <w:i/>
                <w:iCs/>
                <w:color w:val="000000"/>
                <w:kern w:val="2"/>
                <w:sz w:val="16"/>
                <w:szCs w:val="16"/>
                <w:lang w:eastAsia="en-US"/>
                <w14:ligatures w14:val="standardContextual"/>
              </w:rPr>
              <w:t>2025-26</w:t>
            </w:r>
            <w:r w:rsidRPr="00037C2A">
              <w:rPr>
                <w:rFonts w:eastAsia="Arial" w:cs="Calibri Light"/>
                <w:b/>
                <w:i/>
                <w:iCs/>
                <w:color w:val="000000"/>
                <w:kern w:val="2"/>
                <w:sz w:val="16"/>
                <w:szCs w:val="16"/>
                <w:lang w:eastAsia="en-US"/>
                <w14:ligatures w14:val="standardContextual"/>
              </w:rPr>
              <w:t xml:space="preserve"> Estimate %</w:t>
            </w:r>
          </w:p>
        </w:tc>
        <w:tc>
          <w:tcPr>
            <w:tcW w:w="680" w:type="pct"/>
            <w:shd w:val="clear" w:color="auto" w:fill="EEEEEE" w:themeFill="background2"/>
            <w:vAlign w:val="center"/>
          </w:tcPr>
          <w:p w14:paraId="35144365" w14:textId="77777777" w:rsidR="00370497" w:rsidRDefault="00037C2A" w:rsidP="00CC7A0A">
            <w:pPr>
              <w:spacing w:before="0" w:after="0"/>
              <w:jc w:val="center"/>
              <w:rPr>
                <w:rFonts w:eastAsia="Arial" w:cs="Calibri Light"/>
                <w:b/>
                <w:i/>
                <w:iCs/>
                <w:color w:val="000000"/>
                <w:kern w:val="2"/>
                <w:sz w:val="16"/>
                <w:szCs w:val="16"/>
                <w:lang w:eastAsia="en-US"/>
                <w14:ligatures w14:val="standardContextual"/>
              </w:rPr>
            </w:pPr>
            <w:r w:rsidRPr="00037C2A">
              <w:rPr>
                <w:rFonts w:eastAsia="Arial" w:cs="Calibri Light"/>
                <w:b/>
                <w:bCs/>
                <w:i/>
                <w:iCs/>
                <w:color w:val="000000"/>
                <w:kern w:val="2"/>
                <w:sz w:val="16"/>
                <w:szCs w:val="16"/>
                <w:lang w:eastAsia="en-US"/>
                <w14:ligatures w14:val="standardContextual"/>
              </w:rPr>
              <w:t>2025-26</w:t>
            </w:r>
            <w:r w:rsidRPr="00037C2A">
              <w:rPr>
                <w:rFonts w:eastAsia="Arial" w:cs="Calibri Light"/>
                <w:b/>
                <w:i/>
                <w:iCs/>
                <w:color w:val="000000"/>
                <w:kern w:val="2"/>
                <w:sz w:val="16"/>
                <w:szCs w:val="16"/>
                <w:lang w:eastAsia="en-US"/>
                <w14:ligatures w14:val="standardContextual"/>
              </w:rPr>
              <w:t xml:space="preserve"> </w:t>
            </w:r>
          </w:p>
          <w:p w14:paraId="6F8EAC2E" w14:textId="74E5F5D1" w:rsidR="00037C2A" w:rsidRPr="00037C2A" w:rsidRDefault="00037C2A" w:rsidP="00CC7A0A">
            <w:pPr>
              <w:spacing w:before="0" w:after="0"/>
              <w:jc w:val="center"/>
              <w:rPr>
                <w:rFonts w:eastAsia="Arial" w:cs="Calibri Light"/>
                <w:b/>
                <w:bCs/>
                <w:color w:val="000000"/>
                <w:kern w:val="2"/>
                <w:sz w:val="16"/>
                <w:szCs w:val="16"/>
                <w:lang w:eastAsia="en-US"/>
                <w14:ligatures w14:val="standardContextual"/>
              </w:rPr>
            </w:pPr>
            <w:r w:rsidRPr="00037C2A">
              <w:rPr>
                <w:rFonts w:eastAsia="Arial" w:cs="Calibri Light"/>
                <w:b/>
                <w:i/>
                <w:iCs/>
                <w:color w:val="000000"/>
                <w:kern w:val="2"/>
                <w:sz w:val="16"/>
                <w:szCs w:val="16"/>
                <w:lang w:eastAsia="en-US"/>
                <w14:ligatures w14:val="standardContextual"/>
              </w:rPr>
              <w:t>4-yr average %</w:t>
            </w:r>
          </w:p>
        </w:tc>
      </w:tr>
      <w:tr w:rsidR="00037C2A" w:rsidRPr="00037C2A" w14:paraId="2A6365AC" w14:textId="77777777" w:rsidTr="00AE6F85">
        <w:trPr>
          <w:trHeight w:val="283"/>
        </w:trPr>
        <w:tc>
          <w:tcPr>
            <w:tcW w:w="1599" w:type="pct"/>
            <w:vAlign w:val="center"/>
          </w:tcPr>
          <w:p w14:paraId="231ADB96" w14:textId="77777777" w:rsidR="00037C2A" w:rsidRPr="00254DA1" w:rsidRDefault="00037C2A" w:rsidP="00AE6F85">
            <w:pPr>
              <w:spacing w:before="0" w:after="0"/>
              <w:rPr>
                <w:rFonts w:eastAsia="Arial" w:cs="Calibri Light"/>
                <w:bCs/>
                <w:color w:val="000000"/>
                <w:kern w:val="2"/>
                <w:sz w:val="16"/>
                <w:szCs w:val="16"/>
                <w:lang w:eastAsia="en-US"/>
                <w14:ligatures w14:val="standardContextual"/>
              </w:rPr>
            </w:pPr>
            <w:r w:rsidRPr="00254DA1">
              <w:rPr>
                <w:rFonts w:eastAsia="Arial" w:cs="Calibri Light"/>
                <w:bCs/>
                <w:color w:val="000000"/>
                <w:kern w:val="2"/>
                <w:sz w:val="16"/>
                <w:szCs w:val="16"/>
                <w:lang w:eastAsia="en-US"/>
                <w14:ligatures w14:val="standardContextual"/>
              </w:rPr>
              <w:t>ADIs</w:t>
            </w:r>
          </w:p>
        </w:tc>
        <w:tc>
          <w:tcPr>
            <w:tcW w:w="680" w:type="pct"/>
            <w:vAlign w:val="center"/>
          </w:tcPr>
          <w:p w14:paraId="5866DB76" w14:textId="77777777" w:rsidR="00037C2A" w:rsidRPr="00254DA1" w:rsidRDefault="00037C2A" w:rsidP="00AE6F85">
            <w:pPr>
              <w:spacing w:before="0" w:after="0"/>
              <w:jc w:val="center"/>
              <w:rPr>
                <w:rFonts w:eastAsia="Arial" w:cs="Calibri Light"/>
                <w:color w:val="000000"/>
                <w:kern w:val="2"/>
                <w:sz w:val="16"/>
                <w:szCs w:val="16"/>
                <w:lang w:eastAsia="en-US"/>
                <w14:ligatures w14:val="standardContextual"/>
              </w:rPr>
            </w:pPr>
            <w:r w:rsidRPr="00254DA1">
              <w:rPr>
                <w:rFonts w:ascii="Calibri" w:eastAsia="Arial" w:hAnsi="Calibri" w:cs="Calibri"/>
                <w:color w:val="000000"/>
                <w:kern w:val="2"/>
                <w:sz w:val="16"/>
                <w:szCs w:val="16"/>
                <w:lang w:eastAsia="en-US"/>
                <w14:ligatures w14:val="standardContextual"/>
              </w:rPr>
              <w:t>47</w:t>
            </w:r>
          </w:p>
        </w:tc>
        <w:tc>
          <w:tcPr>
            <w:tcW w:w="680" w:type="pct"/>
            <w:vAlign w:val="center"/>
          </w:tcPr>
          <w:p w14:paraId="7CFE3320" w14:textId="77777777" w:rsidR="00037C2A" w:rsidRPr="00254DA1" w:rsidRDefault="00037C2A" w:rsidP="00AE6F85">
            <w:pPr>
              <w:spacing w:before="0" w:after="0"/>
              <w:jc w:val="center"/>
              <w:rPr>
                <w:rFonts w:eastAsia="Arial" w:cs="Calibri Light"/>
                <w:color w:val="000000"/>
                <w:kern w:val="2"/>
                <w:sz w:val="16"/>
                <w:szCs w:val="16"/>
                <w:lang w:eastAsia="en-US"/>
                <w14:ligatures w14:val="standardContextual"/>
              </w:rPr>
            </w:pPr>
            <w:r w:rsidRPr="00254DA1">
              <w:rPr>
                <w:rFonts w:ascii="Calibri" w:eastAsia="Arial" w:hAnsi="Calibri" w:cs="Calibri"/>
                <w:color w:val="000000"/>
                <w:kern w:val="2"/>
                <w:sz w:val="16"/>
                <w:szCs w:val="16"/>
                <w:lang w:eastAsia="en-US"/>
                <w14:ligatures w14:val="standardContextual"/>
              </w:rPr>
              <w:t>46</w:t>
            </w:r>
          </w:p>
        </w:tc>
        <w:tc>
          <w:tcPr>
            <w:tcW w:w="680" w:type="pct"/>
            <w:vAlign w:val="center"/>
          </w:tcPr>
          <w:p w14:paraId="3EFC5D18" w14:textId="77777777" w:rsidR="00037C2A" w:rsidRPr="00254DA1" w:rsidRDefault="00037C2A" w:rsidP="00AE6F85">
            <w:pPr>
              <w:spacing w:before="0" w:after="0"/>
              <w:jc w:val="center"/>
              <w:rPr>
                <w:rFonts w:eastAsia="Arial" w:cs="Calibri Light"/>
                <w:color w:val="000000"/>
                <w:kern w:val="2"/>
                <w:sz w:val="16"/>
                <w:szCs w:val="16"/>
                <w:lang w:eastAsia="en-US"/>
                <w14:ligatures w14:val="standardContextual"/>
              </w:rPr>
            </w:pPr>
            <w:r w:rsidRPr="00254DA1">
              <w:rPr>
                <w:rFonts w:ascii="Calibri" w:eastAsia="Arial" w:hAnsi="Calibri" w:cs="Calibri"/>
                <w:color w:val="000000"/>
                <w:kern w:val="2"/>
                <w:sz w:val="16"/>
                <w:szCs w:val="16"/>
                <w:lang w:eastAsia="en-US"/>
                <w14:ligatures w14:val="standardContextual"/>
              </w:rPr>
              <w:t>46</w:t>
            </w:r>
          </w:p>
        </w:tc>
        <w:tc>
          <w:tcPr>
            <w:tcW w:w="680" w:type="pct"/>
            <w:vAlign w:val="center"/>
          </w:tcPr>
          <w:p w14:paraId="728C2EF8" w14:textId="77777777" w:rsidR="00037C2A" w:rsidRPr="00254DA1" w:rsidRDefault="00037C2A" w:rsidP="00AE6F85">
            <w:pPr>
              <w:spacing w:before="0" w:after="0"/>
              <w:jc w:val="center"/>
              <w:rPr>
                <w:rFonts w:eastAsia="Arial" w:cs="Calibri Light"/>
                <w:color w:val="000000"/>
                <w:kern w:val="2"/>
                <w:sz w:val="16"/>
                <w:szCs w:val="16"/>
                <w:lang w:eastAsia="en-US"/>
                <w14:ligatures w14:val="standardContextual"/>
              </w:rPr>
            </w:pPr>
            <w:r w:rsidRPr="00254DA1">
              <w:rPr>
                <w:rFonts w:ascii="Calibri" w:eastAsia="Arial" w:hAnsi="Calibri" w:cs="Calibri"/>
                <w:color w:val="000000"/>
                <w:kern w:val="2"/>
                <w:sz w:val="16"/>
                <w:szCs w:val="16"/>
                <w:lang w:eastAsia="en-US"/>
                <w14:ligatures w14:val="standardContextual"/>
              </w:rPr>
              <w:t>45</w:t>
            </w:r>
          </w:p>
        </w:tc>
        <w:tc>
          <w:tcPr>
            <w:tcW w:w="680" w:type="pct"/>
            <w:vAlign w:val="center"/>
          </w:tcPr>
          <w:p w14:paraId="06F2C45A" w14:textId="77777777" w:rsidR="00037C2A" w:rsidRPr="00254DA1" w:rsidRDefault="00037C2A" w:rsidP="00AE6F85">
            <w:pPr>
              <w:spacing w:before="0" w:after="0"/>
              <w:jc w:val="center"/>
              <w:rPr>
                <w:rFonts w:eastAsia="Arial" w:cs="Calibri Light"/>
                <w:color w:val="000000"/>
                <w:kern w:val="2"/>
                <w:sz w:val="16"/>
                <w:szCs w:val="16"/>
                <w:lang w:eastAsia="en-US"/>
                <w14:ligatures w14:val="standardContextual"/>
              </w:rPr>
            </w:pPr>
            <w:r w:rsidRPr="00254DA1">
              <w:rPr>
                <w:rFonts w:ascii="Calibri" w:eastAsia="Arial" w:hAnsi="Calibri" w:cs="Calibri"/>
                <w:color w:val="000000"/>
                <w:kern w:val="2"/>
                <w:sz w:val="16"/>
                <w:szCs w:val="16"/>
                <w:lang w:eastAsia="en-US"/>
                <w14:ligatures w14:val="standardContextual"/>
              </w:rPr>
              <w:t>46</w:t>
            </w:r>
          </w:p>
        </w:tc>
      </w:tr>
      <w:tr w:rsidR="00037C2A" w:rsidRPr="00037C2A" w14:paraId="7F403B38" w14:textId="77777777" w:rsidTr="00AE6F85">
        <w:trPr>
          <w:trHeight w:val="283"/>
        </w:trPr>
        <w:tc>
          <w:tcPr>
            <w:tcW w:w="1599" w:type="pct"/>
            <w:vAlign w:val="center"/>
          </w:tcPr>
          <w:p w14:paraId="42403B12" w14:textId="77777777" w:rsidR="00037C2A" w:rsidRPr="00254DA1" w:rsidRDefault="00037C2A" w:rsidP="00AE6F85">
            <w:pPr>
              <w:spacing w:before="0" w:after="0"/>
              <w:rPr>
                <w:rFonts w:eastAsia="Arial" w:cs="Calibri Light"/>
                <w:bCs/>
                <w:color w:val="000000"/>
                <w:kern w:val="2"/>
                <w:sz w:val="16"/>
                <w:szCs w:val="16"/>
                <w:lang w:eastAsia="en-US"/>
                <w14:ligatures w14:val="standardContextual"/>
              </w:rPr>
            </w:pPr>
            <w:r w:rsidRPr="00254DA1">
              <w:rPr>
                <w:rFonts w:eastAsia="Arial" w:cs="Calibri Light"/>
                <w:bCs/>
                <w:color w:val="000000"/>
                <w:kern w:val="2"/>
                <w:sz w:val="16"/>
                <w:szCs w:val="16"/>
                <w:lang w:eastAsia="en-US"/>
                <w14:ligatures w14:val="standardContextual"/>
              </w:rPr>
              <w:t>Life insurance/Friendly societies</w:t>
            </w:r>
          </w:p>
        </w:tc>
        <w:tc>
          <w:tcPr>
            <w:tcW w:w="680" w:type="pct"/>
            <w:vAlign w:val="center"/>
          </w:tcPr>
          <w:p w14:paraId="3526F53C" w14:textId="77777777" w:rsidR="00037C2A" w:rsidRPr="00254DA1" w:rsidRDefault="00037C2A" w:rsidP="00AE6F85">
            <w:pPr>
              <w:spacing w:before="0" w:after="0"/>
              <w:jc w:val="center"/>
              <w:rPr>
                <w:rFonts w:eastAsia="Arial" w:cs="Calibri Light"/>
                <w:color w:val="000000"/>
                <w:kern w:val="2"/>
                <w:sz w:val="16"/>
                <w:szCs w:val="16"/>
                <w:lang w:eastAsia="en-US"/>
                <w14:ligatures w14:val="standardContextual"/>
              </w:rPr>
            </w:pPr>
            <w:r w:rsidRPr="00254DA1">
              <w:rPr>
                <w:rFonts w:ascii="Calibri" w:eastAsia="Arial" w:hAnsi="Calibri" w:cs="Calibri"/>
                <w:color w:val="000000"/>
                <w:kern w:val="2"/>
                <w:sz w:val="16"/>
                <w:szCs w:val="16"/>
                <w:lang w:eastAsia="en-US"/>
                <w14:ligatures w14:val="standardContextual"/>
              </w:rPr>
              <w:t>10</w:t>
            </w:r>
          </w:p>
        </w:tc>
        <w:tc>
          <w:tcPr>
            <w:tcW w:w="680" w:type="pct"/>
            <w:vAlign w:val="center"/>
          </w:tcPr>
          <w:p w14:paraId="329AD484" w14:textId="77777777" w:rsidR="00037C2A" w:rsidRPr="00254DA1" w:rsidRDefault="00037C2A" w:rsidP="00AE6F85">
            <w:pPr>
              <w:spacing w:before="0" w:after="0"/>
              <w:jc w:val="center"/>
              <w:rPr>
                <w:rFonts w:eastAsia="Arial" w:cs="Calibri Light"/>
                <w:color w:val="000000"/>
                <w:kern w:val="2"/>
                <w:sz w:val="16"/>
                <w:szCs w:val="16"/>
                <w:lang w:eastAsia="en-US"/>
                <w14:ligatures w14:val="standardContextual"/>
              </w:rPr>
            </w:pPr>
            <w:r w:rsidRPr="00254DA1">
              <w:rPr>
                <w:rFonts w:ascii="Calibri" w:eastAsia="Arial" w:hAnsi="Calibri" w:cs="Calibri"/>
                <w:color w:val="000000"/>
                <w:kern w:val="2"/>
                <w:sz w:val="16"/>
                <w:szCs w:val="16"/>
                <w:lang w:eastAsia="en-US"/>
                <w14:ligatures w14:val="standardContextual"/>
              </w:rPr>
              <w:t>9</w:t>
            </w:r>
          </w:p>
        </w:tc>
        <w:tc>
          <w:tcPr>
            <w:tcW w:w="680" w:type="pct"/>
            <w:vAlign w:val="center"/>
          </w:tcPr>
          <w:p w14:paraId="78D79DFF" w14:textId="77777777" w:rsidR="00037C2A" w:rsidRPr="00254DA1" w:rsidRDefault="00037C2A" w:rsidP="00AE6F85">
            <w:pPr>
              <w:spacing w:before="0" w:after="0"/>
              <w:jc w:val="center"/>
              <w:rPr>
                <w:rFonts w:eastAsia="Arial" w:cs="Calibri Light"/>
                <w:color w:val="000000"/>
                <w:kern w:val="2"/>
                <w:sz w:val="16"/>
                <w:szCs w:val="16"/>
                <w:lang w:eastAsia="en-US"/>
                <w14:ligatures w14:val="standardContextual"/>
              </w:rPr>
            </w:pPr>
            <w:r w:rsidRPr="00254DA1">
              <w:rPr>
                <w:rFonts w:ascii="Calibri" w:eastAsia="Arial" w:hAnsi="Calibri" w:cs="Calibri"/>
                <w:color w:val="000000"/>
                <w:kern w:val="2"/>
                <w:sz w:val="16"/>
                <w:szCs w:val="16"/>
                <w:lang w:eastAsia="en-US"/>
                <w14:ligatures w14:val="standardContextual"/>
              </w:rPr>
              <w:t>8</w:t>
            </w:r>
          </w:p>
        </w:tc>
        <w:tc>
          <w:tcPr>
            <w:tcW w:w="680" w:type="pct"/>
            <w:vAlign w:val="center"/>
          </w:tcPr>
          <w:p w14:paraId="02D53BDF" w14:textId="77777777" w:rsidR="00037C2A" w:rsidRPr="00254DA1" w:rsidRDefault="00037C2A" w:rsidP="00AE6F85">
            <w:pPr>
              <w:spacing w:before="0" w:after="0"/>
              <w:jc w:val="center"/>
              <w:rPr>
                <w:rFonts w:eastAsia="Arial" w:cs="Calibri Light"/>
                <w:color w:val="000000"/>
                <w:kern w:val="2"/>
                <w:sz w:val="16"/>
                <w:szCs w:val="16"/>
                <w:lang w:eastAsia="en-US"/>
                <w14:ligatures w14:val="standardContextual"/>
              </w:rPr>
            </w:pPr>
            <w:r w:rsidRPr="00254DA1">
              <w:rPr>
                <w:rFonts w:ascii="Calibri" w:eastAsia="Arial" w:hAnsi="Calibri" w:cs="Calibri"/>
                <w:color w:val="000000"/>
                <w:kern w:val="2"/>
                <w:sz w:val="16"/>
                <w:szCs w:val="16"/>
                <w:lang w:eastAsia="en-US"/>
                <w14:ligatures w14:val="standardContextual"/>
              </w:rPr>
              <w:t>8</w:t>
            </w:r>
          </w:p>
        </w:tc>
        <w:tc>
          <w:tcPr>
            <w:tcW w:w="680" w:type="pct"/>
            <w:vAlign w:val="center"/>
          </w:tcPr>
          <w:p w14:paraId="496693C8" w14:textId="77777777" w:rsidR="00037C2A" w:rsidRPr="00254DA1" w:rsidRDefault="00037C2A" w:rsidP="00AE6F85">
            <w:pPr>
              <w:spacing w:before="0" w:after="0"/>
              <w:jc w:val="center"/>
              <w:rPr>
                <w:rFonts w:eastAsia="Arial" w:cs="Calibri Light"/>
                <w:color w:val="000000"/>
                <w:kern w:val="2"/>
                <w:sz w:val="16"/>
                <w:szCs w:val="16"/>
                <w:lang w:eastAsia="en-US"/>
                <w14:ligatures w14:val="standardContextual"/>
              </w:rPr>
            </w:pPr>
            <w:r w:rsidRPr="00254DA1">
              <w:rPr>
                <w:rFonts w:ascii="Calibri" w:eastAsia="Arial" w:hAnsi="Calibri" w:cs="Calibri"/>
                <w:color w:val="000000"/>
                <w:kern w:val="2"/>
                <w:sz w:val="16"/>
                <w:szCs w:val="16"/>
                <w:lang w:eastAsia="en-US"/>
                <w14:ligatures w14:val="standardContextual"/>
              </w:rPr>
              <w:t>9</w:t>
            </w:r>
          </w:p>
        </w:tc>
      </w:tr>
      <w:tr w:rsidR="00037C2A" w:rsidRPr="00037C2A" w14:paraId="1156AEE2" w14:textId="77777777" w:rsidTr="00AE6F85">
        <w:trPr>
          <w:trHeight w:val="283"/>
        </w:trPr>
        <w:tc>
          <w:tcPr>
            <w:tcW w:w="1599" w:type="pct"/>
            <w:vAlign w:val="center"/>
          </w:tcPr>
          <w:p w14:paraId="5E2CC2D6" w14:textId="77777777" w:rsidR="00037C2A" w:rsidRPr="00254DA1" w:rsidRDefault="00037C2A" w:rsidP="00AE6F85">
            <w:pPr>
              <w:spacing w:before="0" w:after="0"/>
              <w:rPr>
                <w:rFonts w:eastAsia="Arial" w:cs="Calibri Light"/>
                <w:bCs/>
                <w:color w:val="000000"/>
                <w:kern w:val="2"/>
                <w:sz w:val="16"/>
                <w:szCs w:val="16"/>
                <w:lang w:eastAsia="en-US"/>
                <w14:ligatures w14:val="standardContextual"/>
              </w:rPr>
            </w:pPr>
            <w:r w:rsidRPr="00254DA1">
              <w:rPr>
                <w:rFonts w:eastAsia="Arial" w:cs="Calibri Light"/>
                <w:bCs/>
                <w:color w:val="000000"/>
                <w:kern w:val="2"/>
                <w:sz w:val="16"/>
                <w:szCs w:val="16"/>
                <w:lang w:eastAsia="en-US"/>
                <w14:ligatures w14:val="standardContextual"/>
              </w:rPr>
              <w:t>General insurance</w:t>
            </w:r>
          </w:p>
        </w:tc>
        <w:tc>
          <w:tcPr>
            <w:tcW w:w="680" w:type="pct"/>
            <w:vAlign w:val="center"/>
          </w:tcPr>
          <w:p w14:paraId="763B705E" w14:textId="77777777" w:rsidR="00037C2A" w:rsidRPr="00254DA1" w:rsidRDefault="00037C2A" w:rsidP="00AE6F85">
            <w:pPr>
              <w:spacing w:before="0" w:after="0"/>
              <w:jc w:val="center"/>
              <w:rPr>
                <w:rFonts w:eastAsia="Arial" w:cs="Calibri Light"/>
                <w:color w:val="000000"/>
                <w:kern w:val="2"/>
                <w:sz w:val="16"/>
                <w:szCs w:val="16"/>
                <w:lang w:eastAsia="en-US"/>
                <w14:ligatures w14:val="standardContextual"/>
              </w:rPr>
            </w:pPr>
            <w:r w:rsidRPr="00254DA1">
              <w:rPr>
                <w:rFonts w:ascii="Calibri" w:eastAsia="Arial" w:hAnsi="Calibri" w:cs="Calibri"/>
                <w:color w:val="000000"/>
                <w:kern w:val="2"/>
                <w:sz w:val="16"/>
                <w:szCs w:val="16"/>
                <w:lang w:eastAsia="en-US"/>
                <w14:ligatures w14:val="standardContextual"/>
              </w:rPr>
              <w:t>13</w:t>
            </w:r>
          </w:p>
        </w:tc>
        <w:tc>
          <w:tcPr>
            <w:tcW w:w="680" w:type="pct"/>
            <w:vAlign w:val="center"/>
          </w:tcPr>
          <w:p w14:paraId="6152C42D" w14:textId="77777777" w:rsidR="00037C2A" w:rsidRPr="00254DA1" w:rsidRDefault="00037C2A" w:rsidP="00AE6F85">
            <w:pPr>
              <w:spacing w:before="0" w:after="0"/>
              <w:jc w:val="center"/>
              <w:rPr>
                <w:rFonts w:eastAsia="Arial" w:cs="Calibri Light"/>
                <w:color w:val="000000"/>
                <w:kern w:val="2"/>
                <w:sz w:val="16"/>
                <w:szCs w:val="16"/>
                <w:lang w:eastAsia="en-US"/>
                <w14:ligatures w14:val="standardContextual"/>
              </w:rPr>
            </w:pPr>
            <w:r w:rsidRPr="00254DA1">
              <w:rPr>
                <w:rFonts w:ascii="Calibri" w:eastAsia="Arial" w:hAnsi="Calibri" w:cs="Calibri"/>
                <w:color w:val="000000"/>
                <w:kern w:val="2"/>
                <w:sz w:val="16"/>
                <w:szCs w:val="16"/>
                <w:lang w:eastAsia="en-US"/>
                <w14:ligatures w14:val="standardContextual"/>
              </w:rPr>
              <w:t>12</w:t>
            </w:r>
          </w:p>
        </w:tc>
        <w:tc>
          <w:tcPr>
            <w:tcW w:w="680" w:type="pct"/>
            <w:vAlign w:val="center"/>
          </w:tcPr>
          <w:p w14:paraId="3F3CE045" w14:textId="77777777" w:rsidR="00037C2A" w:rsidRPr="00254DA1" w:rsidRDefault="00037C2A" w:rsidP="00AE6F85">
            <w:pPr>
              <w:spacing w:before="0" w:after="0"/>
              <w:jc w:val="center"/>
              <w:rPr>
                <w:rFonts w:eastAsia="Arial" w:cs="Calibri Light"/>
                <w:color w:val="000000"/>
                <w:kern w:val="2"/>
                <w:sz w:val="16"/>
                <w:szCs w:val="16"/>
                <w:lang w:eastAsia="en-US"/>
                <w14:ligatures w14:val="standardContextual"/>
              </w:rPr>
            </w:pPr>
            <w:r w:rsidRPr="00254DA1">
              <w:rPr>
                <w:rFonts w:ascii="Calibri" w:eastAsia="Arial" w:hAnsi="Calibri" w:cs="Calibri"/>
                <w:color w:val="000000"/>
                <w:kern w:val="2"/>
                <w:sz w:val="16"/>
                <w:szCs w:val="16"/>
                <w:lang w:eastAsia="en-US"/>
                <w14:ligatures w14:val="standardContextual"/>
              </w:rPr>
              <w:t>11</w:t>
            </w:r>
          </w:p>
        </w:tc>
        <w:tc>
          <w:tcPr>
            <w:tcW w:w="680" w:type="pct"/>
            <w:vAlign w:val="center"/>
          </w:tcPr>
          <w:p w14:paraId="1D747C74" w14:textId="77777777" w:rsidR="00037C2A" w:rsidRPr="00254DA1" w:rsidRDefault="00037C2A" w:rsidP="00AE6F85">
            <w:pPr>
              <w:spacing w:before="0" w:after="0"/>
              <w:jc w:val="center"/>
              <w:rPr>
                <w:rFonts w:eastAsia="Arial" w:cs="Calibri Light"/>
                <w:color w:val="000000"/>
                <w:kern w:val="2"/>
                <w:sz w:val="16"/>
                <w:szCs w:val="16"/>
                <w:lang w:eastAsia="en-US"/>
                <w14:ligatures w14:val="standardContextual"/>
              </w:rPr>
            </w:pPr>
            <w:r w:rsidRPr="00254DA1">
              <w:rPr>
                <w:rFonts w:ascii="Calibri" w:eastAsia="Arial" w:hAnsi="Calibri" w:cs="Calibri"/>
                <w:color w:val="000000"/>
                <w:kern w:val="2"/>
                <w:sz w:val="16"/>
                <w:szCs w:val="16"/>
                <w:lang w:eastAsia="en-US"/>
                <w14:ligatures w14:val="standardContextual"/>
              </w:rPr>
              <w:t>10</w:t>
            </w:r>
          </w:p>
        </w:tc>
        <w:tc>
          <w:tcPr>
            <w:tcW w:w="680" w:type="pct"/>
            <w:vAlign w:val="center"/>
          </w:tcPr>
          <w:p w14:paraId="18D72943" w14:textId="77777777" w:rsidR="00037C2A" w:rsidRPr="00254DA1" w:rsidRDefault="00037C2A" w:rsidP="00AE6F85">
            <w:pPr>
              <w:spacing w:before="0" w:after="0"/>
              <w:jc w:val="center"/>
              <w:rPr>
                <w:rFonts w:eastAsia="Arial" w:cs="Calibri Light"/>
                <w:color w:val="000000"/>
                <w:kern w:val="2"/>
                <w:sz w:val="16"/>
                <w:szCs w:val="16"/>
                <w:lang w:eastAsia="en-US"/>
                <w14:ligatures w14:val="standardContextual"/>
              </w:rPr>
            </w:pPr>
            <w:r w:rsidRPr="00254DA1">
              <w:rPr>
                <w:rFonts w:ascii="Calibri" w:eastAsia="Arial" w:hAnsi="Calibri" w:cs="Calibri"/>
                <w:color w:val="000000"/>
                <w:kern w:val="2"/>
                <w:sz w:val="16"/>
                <w:szCs w:val="16"/>
                <w:lang w:eastAsia="en-US"/>
                <w14:ligatures w14:val="standardContextual"/>
              </w:rPr>
              <w:t>11</w:t>
            </w:r>
          </w:p>
        </w:tc>
      </w:tr>
      <w:tr w:rsidR="00037C2A" w:rsidRPr="00037C2A" w14:paraId="18A5C82C" w14:textId="77777777" w:rsidTr="00AE6F85">
        <w:trPr>
          <w:trHeight w:val="283"/>
        </w:trPr>
        <w:tc>
          <w:tcPr>
            <w:tcW w:w="1599" w:type="pct"/>
            <w:vAlign w:val="center"/>
          </w:tcPr>
          <w:p w14:paraId="457FC8C7" w14:textId="77777777" w:rsidR="00037C2A" w:rsidRPr="00254DA1" w:rsidRDefault="00037C2A" w:rsidP="00AE6F85">
            <w:pPr>
              <w:spacing w:before="0" w:after="0"/>
              <w:rPr>
                <w:rFonts w:eastAsia="Arial" w:cs="Calibri Light"/>
                <w:bCs/>
                <w:color w:val="000000"/>
                <w:kern w:val="2"/>
                <w:sz w:val="16"/>
                <w:szCs w:val="16"/>
                <w:lang w:eastAsia="en-US"/>
                <w14:ligatures w14:val="standardContextual"/>
              </w:rPr>
            </w:pPr>
            <w:r w:rsidRPr="00254DA1">
              <w:rPr>
                <w:rFonts w:eastAsia="Arial" w:cs="Calibri Light"/>
                <w:bCs/>
                <w:color w:val="000000"/>
                <w:kern w:val="2"/>
                <w:sz w:val="16"/>
                <w:szCs w:val="16"/>
                <w:lang w:eastAsia="en-US"/>
                <w14:ligatures w14:val="standardContextual"/>
              </w:rPr>
              <w:t>Superannuation</w:t>
            </w:r>
          </w:p>
        </w:tc>
        <w:tc>
          <w:tcPr>
            <w:tcW w:w="680" w:type="pct"/>
            <w:vAlign w:val="center"/>
          </w:tcPr>
          <w:p w14:paraId="5246485E" w14:textId="77777777" w:rsidR="00037C2A" w:rsidRPr="00254DA1" w:rsidRDefault="00037C2A" w:rsidP="00AE6F85">
            <w:pPr>
              <w:spacing w:before="0" w:after="0"/>
              <w:jc w:val="center"/>
              <w:rPr>
                <w:rFonts w:eastAsia="Arial" w:cs="Calibri Light"/>
                <w:color w:val="000000"/>
                <w:kern w:val="2"/>
                <w:sz w:val="16"/>
                <w:szCs w:val="16"/>
                <w:lang w:eastAsia="en-US"/>
                <w14:ligatures w14:val="standardContextual"/>
              </w:rPr>
            </w:pPr>
            <w:r w:rsidRPr="00254DA1">
              <w:rPr>
                <w:rFonts w:ascii="Calibri" w:eastAsia="Arial" w:hAnsi="Calibri" w:cs="Calibri"/>
                <w:color w:val="000000"/>
                <w:kern w:val="2"/>
                <w:sz w:val="16"/>
                <w:szCs w:val="16"/>
                <w:lang w:eastAsia="en-US"/>
                <w14:ligatures w14:val="standardContextual"/>
              </w:rPr>
              <w:t>25</w:t>
            </w:r>
          </w:p>
        </w:tc>
        <w:tc>
          <w:tcPr>
            <w:tcW w:w="680" w:type="pct"/>
            <w:vAlign w:val="center"/>
          </w:tcPr>
          <w:p w14:paraId="6D532253" w14:textId="77777777" w:rsidR="00037C2A" w:rsidRPr="00254DA1" w:rsidRDefault="00037C2A" w:rsidP="00AE6F85">
            <w:pPr>
              <w:spacing w:before="0" w:after="0"/>
              <w:jc w:val="center"/>
              <w:rPr>
                <w:rFonts w:eastAsia="Arial" w:cs="Calibri Light"/>
                <w:color w:val="000000"/>
                <w:kern w:val="2"/>
                <w:sz w:val="16"/>
                <w:szCs w:val="16"/>
                <w:lang w:eastAsia="en-US"/>
                <w14:ligatures w14:val="standardContextual"/>
              </w:rPr>
            </w:pPr>
            <w:r w:rsidRPr="00254DA1">
              <w:rPr>
                <w:rFonts w:ascii="Calibri" w:eastAsia="Arial" w:hAnsi="Calibri" w:cs="Calibri"/>
                <w:color w:val="000000"/>
                <w:kern w:val="2"/>
                <w:sz w:val="16"/>
                <w:szCs w:val="16"/>
                <w:lang w:eastAsia="en-US"/>
                <w14:ligatures w14:val="standardContextual"/>
              </w:rPr>
              <w:t>28</w:t>
            </w:r>
          </w:p>
        </w:tc>
        <w:tc>
          <w:tcPr>
            <w:tcW w:w="680" w:type="pct"/>
            <w:vAlign w:val="center"/>
          </w:tcPr>
          <w:p w14:paraId="2958C4BD" w14:textId="77777777" w:rsidR="00037C2A" w:rsidRPr="00254DA1" w:rsidRDefault="00037C2A" w:rsidP="00AE6F85">
            <w:pPr>
              <w:spacing w:before="0" w:after="0"/>
              <w:jc w:val="center"/>
              <w:rPr>
                <w:rFonts w:eastAsia="Arial" w:cs="Calibri Light"/>
                <w:color w:val="000000"/>
                <w:kern w:val="2"/>
                <w:sz w:val="16"/>
                <w:szCs w:val="16"/>
                <w:lang w:eastAsia="en-US"/>
                <w14:ligatures w14:val="standardContextual"/>
              </w:rPr>
            </w:pPr>
            <w:r w:rsidRPr="00254DA1">
              <w:rPr>
                <w:rFonts w:ascii="Calibri" w:eastAsia="Arial" w:hAnsi="Calibri" w:cs="Calibri"/>
                <w:color w:val="000000"/>
                <w:kern w:val="2"/>
                <w:sz w:val="16"/>
                <w:szCs w:val="16"/>
                <w:lang w:eastAsia="en-US"/>
                <w14:ligatures w14:val="standardContextual"/>
              </w:rPr>
              <w:t>30</w:t>
            </w:r>
          </w:p>
        </w:tc>
        <w:tc>
          <w:tcPr>
            <w:tcW w:w="680" w:type="pct"/>
            <w:vAlign w:val="center"/>
          </w:tcPr>
          <w:p w14:paraId="4D80406E" w14:textId="77777777" w:rsidR="00037C2A" w:rsidRPr="00254DA1" w:rsidRDefault="00037C2A" w:rsidP="00AE6F85">
            <w:pPr>
              <w:spacing w:before="0" w:after="0"/>
              <w:jc w:val="center"/>
              <w:rPr>
                <w:rFonts w:eastAsia="Arial" w:cs="Calibri Light"/>
                <w:color w:val="000000"/>
                <w:kern w:val="2"/>
                <w:sz w:val="16"/>
                <w:szCs w:val="16"/>
                <w:lang w:eastAsia="en-US"/>
                <w14:ligatures w14:val="standardContextual"/>
              </w:rPr>
            </w:pPr>
            <w:r w:rsidRPr="00254DA1">
              <w:rPr>
                <w:rFonts w:ascii="Calibri" w:eastAsia="Arial" w:hAnsi="Calibri" w:cs="Calibri"/>
                <w:color w:val="000000"/>
                <w:kern w:val="2"/>
                <w:sz w:val="16"/>
                <w:szCs w:val="16"/>
                <w:lang w:eastAsia="en-US"/>
                <w14:ligatures w14:val="standardContextual"/>
              </w:rPr>
              <w:t>33</w:t>
            </w:r>
          </w:p>
        </w:tc>
        <w:tc>
          <w:tcPr>
            <w:tcW w:w="680" w:type="pct"/>
            <w:vAlign w:val="center"/>
          </w:tcPr>
          <w:p w14:paraId="4C349786" w14:textId="77777777" w:rsidR="00037C2A" w:rsidRPr="00254DA1" w:rsidRDefault="00037C2A" w:rsidP="00AE6F85">
            <w:pPr>
              <w:spacing w:before="0" w:after="0"/>
              <w:jc w:val="center"/>
              <w:rPr>
                <w:rFonts w:eastAsia="Arial" w:cs="Calibri Light"/>
                <w:color w:val="000000"/>
                <w:kern w:val="2"/>
                <w:sz w:val="16"/>
                <w:szCs w:val="16"/>
                <w:lang w:eastAsia="en-US"/>
                <w14:ligatures w14:val="standardContextual"/>
              </w:rPr>
            </w:pPr>
            <w:r w:rsidRPr="00254DA1">
              <w:rPr>
                <w:rFonts w:ascii="Calibri" w:eastAsia="Arial" w:hAnsi="Calibri" w:cs="Calibri"/>
                <w:color w:val="000000"/>
                <w:kern w:val="2"/>
                <w:sz w:val="16"/>
                <w:szCs w:val="16"/>
                <w:lang w:eastAsia="en-US"/>
                <w14:ligatures w14:val="standardContextual"/>
              </w:rPr>
              <w:t>29</w:t>
            </w:r>
          </w:p>
        </w:tc>
      </w:tr>
      <w:tr w:rsidR="00037C2A" w:rsidRPr="00037C2A" w14:paraId="3F660197" w14:textId="77777777" w:rsidTr="00AE6F85">
        <w:trPr>
          <w:trHeight w:val="283"/>
        </w:trPr>
        <w:tc>
          <w:tcPr>
            <w:tcW w:w="1599" w:type="pct"/>
            <w:vAlign w:val="center"/>
          </w:tcPr>
          <w:p w14:paraId="2AFD0751" w14:textId="77777777" w:rsidR="00037C2A" w:rsidRPr="00254DA1" w:rsidRDefault="00037C2A" w:rsidP="00AE6F85">
            <w:pPr>
              <w:spacing w:before="0" w:after="0"/>
              <w:rPr>
                <w:rFonts w:eastAsia="Arial" w:cs="Calibri Light"/>
                <w:bCs/>
                <w:color w:val="000000"/>
                <w:kern w:val="2"/>
                <w:sz w:val="16"/>
                <w:szCs w:val="16"/>
                <w:lang w:eastAsia="en-US"/>
                <w14:ligatures w14:val="standardContextual"/>
              </w:rPr>
            </w:pPr>
            <w:r w:rsidRPr="00254DA1">
              <w:rPr>
                <w:rFonts w:eastAsia="Arial" w:cs="Calibri Light"/>
                <w:bCs/>
                <w:color w:val="000000"/>
                <w:kern w:val="2"/>
                <w:sz w:val="16"/>
                <w:szCs w:val="16"/>
                <w:lang w:eastAsia="en-US"/>
                <w14:ligatures w14:val="standardContextual"/>
              </w:rPr>
              <w:t>Private health insurance</w:t>
            </w:r>
          </w:p>
        </w:tc>
        <w:tc>
          <w:tcPr>
            <w:tcW w:w="680" w:type="pct"/>
            <w:vAlign w:val="center"/>
          </w:tcPr>
          <w:p w14:paraId="480E8544" w14:textId="77777777" w:rsidR="00037C2A" w:rsidRPr="00254DA1" w:rsidRDefault="00037C2A" w:rsidP="00AE6F85">
            <w:pPr>
              <w:spacing w:before="0" w:after="0"/>
              <w:jc w:val="center"/>
              <w:rPr>
                <w:rFonts w:eastAsia="Arial" w:cs="Calibri Light"/>
                <w:color w:val="000000"/>
                <w:kern w:val="2"/>
                <w:sz w:val="16"/>
                <w:szCs w:val="16"/>
                <w:lang w:eastAsia="en-US"/>
                <w14:ligatures w14:val="standardContextual"/>
              </w:rPr>
            </w:pPr>
            <w:r w:rsidRPr="00254DA1">
              <w:rPr>
                <w:rFonts w:ascii="Calibri" w:eastAsia="Arial" w:hAnsi="Calibri" w:cs="Calibri"/>
                <w:color w:val="000000"/>
                <w:kern w:val="2"/>
                <w:sz w:val="16"/>
                <w:szCs w:val="16"/>
                <w:lang w:eastAsia="en-US"/>
                <w14:ligatures w14:val="standardContextual"/>
              </w:rPr>
              <w:t>5</w:t>
            </w:r>
          </w:p>
        </w:tc>
        <w:tc>
          <w:tcPr>
            <w:tcW w:w="680" w:type="pct"/>
            <w:vAlign w:val="center"/>
          </w:tcPr>
          <w:p w14:paraId="701B6F8C" w14:textId="77777777" w:rsidR="00037C2A" w:rsidRPr="00254DA1" w:rsidRDefault="00037C2A" w:rsidP="00AE6F85">
            <w:pPr>
              <w:spacing w:before="0" w:after="0"/>
              <w:jc w:val="center"/>
              <w:rPr>
                <w:rFonts w:eastAsia="Arial" w:cs="Calibri Light"/>
                <w:color w:val="000000"/>
                <w:kern w:val="2"/>
                <w:sz w:val="16"/>
                <w:szCs w:val="16"/>
                <w:lang w:eastAsia="en-US"/>
                <w14:ligatures w14:val="standardContextual"/>
              </w:rPr>
            </w:pPr>
            <w:r w:rsidRPr="00254DA1">
              <w:rPr>
                <w:rFonts w:ascii="Calibri" w:eastAsia="Arial" w:hAnsi="Calibri" w:cs="Calibri"/>
                <w:color w:val="000000"/>
                <w:kern w:val="2"/>
                <w:sz w:val="16"/>
                <w:szCs w:val="16"/>
                <w:lang w:eastAsia="en-US"/>
                <w14:ligatures w14:val="standardContextual"/>
              </w:rPr>
              <w:t>5</w:t>
            </w:r>
          </w:p>
        </w:tc>
        <w:tc>
          <w:tcPr>
            <w:tcW w:w="680" w:type="pct"/>
            <w:vAlign w:val="center"/>
          </w:tcPr>
          <w:p w14:paraId="679332A3" w14:textId="77777777" w:rsidR="00037C2A" w:rsidRPr="00254DA1" w:rsidRDefault="00037C2A" w:rsidP="00AE6F85">
            <w:pPr>
              <w:spacing w:before="0" w:after="0"/>
              <w:jc w:val="center"/>
              <w:rPr>
                <w:rFonts w:eastAsia="Arial" w:cs="Calibri Light"/>
                <w:color w:val="000000"/>
                <w:kern w:val="2"/>
                <w:sz w:val="16"/>
                <w:szCs w:val="16"/>
                <w:lang w:eastAsia="en-US"/>
                <w14:ligatures w14:val="standardContextual"/>
              </w:rPr>
            </w:pPr>
            <w:r w:rsidRPr="00254DA1">
              <w:rPr>
                <w:rFonts w:ascii="Calibri" w:eastAsia="Arial" w:hAnsi="Calibri" w:cs="Calibri"/>
                <w:color w:val="000000"/>
                <w:kern w:val="2"/>
                <w:sz w:val="16"/>
                <w:szCs w:val="16"/>
                <w:lang w:eastAsia="en-US"/>
                <w14:ligatures w14:val="standardContextual"/>
              </w:rPr>
              <w:t>5</w:t>
            </w:r>
          </w:p>
        </w:tc>
        <w:tc>
          <w:tcPr>
            <w:tcW w:w="680" w:type="pct"/>
            <w:vAlign w:val="center"/>
          </w:tcPr>
          <w:p w14:paraId="150A7CE5" w14:textId="77777777" w:rsidR="00037C2A" w:rsidRPr="00254DA1" w:rsidRDefault="00037C2A" w:rsidP="00AE6F85">
            <w:pPr>
              <w:spacing w:before="0" w:after="0"/>
              <w:jc w:val="center"/>
              <w:rPr>
                <w:rFonts w:eastAsia="Arial" w:cs="Calibri Light"/>
                <w:color w:val="000000"/>
                <w:kern w:val="2"/>
                <w:sz w:val="16"/>
                <w:szCs w:val="16"/>
                <w:lang w:eastAsia="en-US"/>
                <w14:ligatures w14:val="standardContextual"/>
              </w:rPr>
            </w:pPr>
            <w:r w:rsidRPr="00254DA1">
              <w:rPr>
                <w:rFonts w:ascii="Calibri" w:eastAsia="Arial" w:hAnsi="Calibri" w:cs="Calibri"/>
                <w:color w:val="000000"/>
                <w:kern w:val="2"/>
                <w:sz w:val="16"/>
                <w:szCs w:val="16"/>
                <w:lang w:eastAsia="en-US"/>
                <w14:ligatures w14:val="standardContextual"/>
              </w:rPr>
              <w:t>4</w:t>
            </w:r>
          </w:p>
        </w:tc>
        <w:tc>
          <w:tcPr>
            <w:tcW w:w="680" w:type="pct"/>
            <w:vAlign w:val="center"/>
          </w:tcPr>
          <w:p w14:paraId="4E662353" w14:textId="77777777" w:rsidR="00037C2A" w:rsidRPr="00254DA1" w:rsidRDefault="00037C2A" w:rsidP="00AE6F85">
            <w:pPr>
              <w:spacing w:before="0" w:after="0"/>
              <w:jc w:val="center"/>
              <w:rPr>
                <w:rFonts w:eastAsia="Arial" w:cs="Calibri Light"/>
                <w:color w:val="000000"/>
                <w:kern w:val="2"/>
                <w:sz w:val="16"/>
                <w:szCs w:val="16"/>
                <w:lang w:eastAsia="en-US"/>
                <w14:ligatures w14:val="standardContextual"/>
              </w:rPr>
            </w:pPr>
            <w:r w:rsidRPr="00254DA1">
              <w:rPr>
                <w:rFonts w:ascii="Calibri" w:eastAsia="Arial" w:hAnsi="Calibri" w:cs="Calibri"/>
                <w:color w:val="000000"/>
                <w:kern w:val="2"/>
                <w:sz w:val="16"/>
                <w:szCs w:val="16"/>
                <w:lang w:eastAsia="en-US"/>
                <w14:ligatures w14:val="standardContextual"/>
              </w:rPr>
              <w:t>5</w:t>
            </w:r>
          </w:p>
        </w:tc>
      </w:tr>
      <w:tr w:rsidR="00037C2A" w:rsidRPr="00037C2A" w14:paraId="0D1A0BA1" w14:textId="77777777" w:rsidTr="00AE6F85">
        <w:trPr>
          <w:trHeight w:val="283"/>
        </w:trPr>
        <w:tc>
          <w:tcPr>
            <w:tcW w:w="1599" w:type="pct"/>
            <w:vAlign w:val="center"/>
          </w:tcPr>
          <w:p w14:paraId="4757E0E9" w14:textId="77777777" w:rsidR="00037C2A" w:rsidRPr="00037C2A" w:rsidRDefault="00037C2A" w:rsidP="00AE6F85">
            <w:pPr>
              <w:spacing w:before="0" w:after="0"/>
              <w:rPr>
                <w:rFonts w:eastAsia="Arial" w:cs="Calibri Light"/>
                <w:b/>
                <w:bCs/>
                <w:color w:val="000000"/>
                <w:kern w:val="2"/>
                <w:sz w:val="16"/>
                <w:szCs w:val="16"/>
                <w:lang w:eastAsia="en-US"/>
                <w14:ligatures w14:val="standardContextual"/>
              </w:rPr>
            </w:pPr>
            <w:r w:rsidRPr="00037C2A">
              <w:rPr>
                <w:rFonts w:eastAsia="Arial" w:cs="Calibri Light"/>
                <w:b/>
                <w:bCs/>
                <w:color w:val="000000"/>
                <w:kern w:val="2"/>
                <w:sz w:val="16"/>
                <w:szCs w:val="16"/>
                <w:lang w:eastAsia="en-US"/>
                <w14:ligatures w14:val="standardContextual"/>
              </w:rPr>
              <w:t>Total</w:t>
            </w:r>
          </w:p>
        </w:tc>
        <w:tc>
          <w:tcPr>
            <w:tcW w:w="680" w:type="pct"/>
            <w:vAlign w:val="center"/>
          </w:tcPr>
          <w:p w14:paraId="115C296F" w14:textId="77777777" w:rsidR="00037C2A" w:rsidRPr="00037C2A" w:rsidRDefault="00037C2A" w:rsidP="00AE6F85">
            <w:pPr>
              <w:spacing w:before="0" w:after="0"/>
              <w:jc w:val="center"/>
              <w:rPr>
                <w:rFonts w:eastAsia="Arial" w:cs="Calibri Light"/>
                <w:color w:val="000000"/>
                <w:kern w:val="2"/>
                <w:sz w:val="16"/>
                <w:szCs w:val="16"/>
                <w:lang w:eastAsia="en-US"/>
                <w14:ligatures w14:val="standardContextual"/>
              </w:rPr>
            </w:pPr>
            <w:r w:rsidRPr="00037C2A">
              <w:rPr>
                <w:rFonts w:ascii="Calibri" w:eastAsia="Arial" w:hAnsi="Calibri" w:cs="Calibri"/>
                <w:b/>
                <w:bCs/>
                <w:color w:val="000000"/>
                <w:kern w:val="2"/>
                <w:sz w:val="16"/>
                <w:szCs w:val="16"/>
                <w:lang w:eastAsia="en-US"/>
                <w14:ligatures w14:val="standardContextual"/>
              </w:rPr>
              <w:t>100</w:t>
            </w:r>
          </w:p>
        </w:tc>
        <w:tc>
          <w:tcPr>
            <w:tcW w:w="680" w:type="pct"/>
            <w:vAlign w:val="center"/>
          </w:tcPr>
          <w:p w14:paraId="17AE3230" w14:textId="77777777" w:rsidR="00037C2A" w:rsidRPr="00037C2A" w:rsidRDefault="00037C2A" w:rsidP="00AE6F85">
            <w:pPr>
              <w:spacing w:before="0" w:after="0"/>
              <w:jc w:val="center"/>
              <w:rPr>
                <w:rFonts w:eastAsia="Arial" w:cs="Calibri Light"/>
                <w:color w:val="000000"/>
                <w:kern w:val="2"/>
                <w:sz w:val="16"/>
                <w:szCs w:val="16"/>
                <w:lang w:eastAsia="en-US"/>
                <w14:ligatures w14:val="standardContextual"/>
              </w:rPr>
            </w:pPr>
            <w:r w:rsidRPr="00037C2A">
              <w:rPr>
                <w:rFonts w:ascii="Calibri" w:eastAsia="Arial" w:hAnsi="Calibri" w:cs="Calibri"/>
                <w:b/>
                <w:bCs/>
                <w:color w:val="000000"/>
                <w:kern w:val="2"/>
                <w:sz w:val="16"/>
                <w:szCs w:val="16"/>
                <w:lang w:eastAsia="en-US"/>
                <w14:ligatures w14:val="standardContextual"/>
              </w:rPr>
              <w:t>100</w:t>
            </w:r>
          </w:p>
        </w:tc>
        <w:tc>
          <w:tcPr>
            <w:tcW w:w="680" w:type="pct"/>
            <w:vAlign w:val="center"/>
          </w:tcPr>
          <w:p w14:paraId="10C80B05" w14:textId="77777777" w:rsidR="00037C2A" w:rsidRPr="00037C2A" w:rsidRDefault="00037C2A" w:rsidP="00AE6F85">
            <w:pPr>
              <w:spacing w:before="0" w:after="0"/>
              <w:jc w:val="center"/>
              <w:rPr>
                <w:rFonts w:eastAsia="Arial" w:cs="Calibri Light"/>
                <w:color w:val="000000"/>
                <w:kern w:val="2"/>
                <w:sz w:val="16"/>
                <w:szCs w:val="16"/>
                <w:lang w:eastAsia="en-US"/>
                <w14:ligatures w14:val="standardContextual"/>
              </w:rPr>
            </w:pPr>
            <w:r w:rsidRPr="00037C2A">
              <w:rPr>
                <w:rFonts w:ascii="Calibri" w:eastAsia="Arial" w:hAnsi="Calibri" w:cs="Calibri"/>
                <w:b/>
                <w:bCs/>
                <w:color w:val="000000"/>
                <w:kern w:val="2"/>
                <w:sz w:val="16"/>
                <w:szCs w:val="16"/>
                <w:lang w:eastAsia="en-US"/>
                <w14:ligatures w14:val="standardContextual"/>
              </w:rPr>
              <w:t>100</w:t>
            </w:r>
          </w:p>
        </w:tc>
        <w:tc>
          <w:tcPr>
            <w:tcW w:w="680" w:type="pct"/>
            <w:vAlign w:val="center"/>
          </w:tcPr>
          <w:p w14:paraId="655B7F67" w14:textId="77777777" w:rsidR="00037C2A" w:rsidRPr="00037C2A" w:rsidRDefault="00037C2A" w:rsidP="00AE6F85">
            <w:pPr>
              <w:spacing w:before="0" w:after="0"/>
              <w:jc w:val="center"/>
              <w:rPr>
                <w:rFonts w:eastAsia="Arial" w:cs="Calibri Light"/>
                <w:color w:val="000000"/>
                <w:kern w:val="2"/>
                <w:sz w:val="16"/>
                <w:szCs w:val="16"/>
                <w:lang w:eastAsia="en-US"/>
                <w14:ligatures w14:val="standardContextual"/>
              </w:rPr>
            </w:pPr>
            <w:r w:rsidRPr="00037C2A">
              <w:rPr>
                <w:rFonts w:ascii="Calibri" w:eastAsia="Arial" w:hAnsi="Calibri" w:cs="Calibri"/>
                <w:b/>
                <w:bCs/>
                <w:color w:val="000000"/>
                <w:kern w:val="2"/>
                <w:sz w:val="16"/>
                <w:szCs w:val="16"/>
                <w:lang w:eastAsia="en-US"/>
                <w14:ligatures w14:val="standardContextual"/>
              </w:rPr>
              <w:t>100</w:t>
            </w:r>
          </w:p>
        </w:tc>
        <w:tc>
          <w:tcPr>
            <w:tcW w:w="680" w:type="pct"/>
            <w:vAlign w:val="center"/>
          </w:tcPr>
          <w:p w14:paraId="0233824A" w14:textId="77777777" w:rsidR="00037C2A" w:rsidRPr="00037C2A" w:rsidRDefault="00037C2A" w:rsidP="00AE6F85">
            <w:pPr>
              <w:spacing w:before="0" w:after="0"/>
              <w:jc w:val="center"/>
              <w:rPr>
                <w:rFonts w:eastAsia="Arial" w:cs="Calibri Light"/>
                <w:color w:val="000000"/>
                <w:kern w:val="2"/>
                <w:sz w:val="16"/>
                <w:szCs w:val="16"/>
                <w:lang w:eastAsia="en-US"/>
                <w14:ligatures w14:val="standardContextual"/>
              </w:rPr>
            </w:pPr>
            <w:r w:rsidRPr="00037C2A">
              <w:rPr>
                <w:rFonts w:ascii="Calibri" w:eastAsia="Arial" w:hAnsi="Calibri" w:cs="Calibri"/>
                <w:b/>
                <w:bCs/>
                <w:color w:val="000000"/>
                <w:kern w:val="2"/>
                <w:sz w:val="16"/>
                <w:szCs w:val="16"/>
                <w:lang w:eastAsia="en-US"/>
                <w14:ligatures w14:val="standardContextual"/>
              </w:rPr>
              <w:t>100</w:t>
            </w:r>
          </w:p>
        </w:tc>
      </w:tr>
    </w:tbl>
    <w:p w14:paraId="46F02B82" w14:textId="738F5EDC" w:rsidR="00762E42" w:rsidRPr="005378B1" w:rsidRDefault="003C6509" w:rsidP="005378B1">
      <w:pPr>
        <w:pStyle w:val="Heading1"/>
        <w:keepLines/>
        <w:spacing w:before="240"/>
        <w:rPr>
          <w:color w:val="auto"/>
        </w:rPr>
      </w:pPr>
      <w:r w:rsidRPr="005378B1">
        <w:rPr>
          <w:color w:val="auto"/>
        </w:rPr>
        <w:t>APRA’s levies requirement</w:t>
      </w:r>
      <w:bookmarkEnd w:id="85"/>
      <w:bookmarkEnd w:id="86"/>
      <w:bookmarkEnd w:id="87"/>
      <w:bookmarkEnd w:id="88"/>
      <w:bookmarkEnd w:id="89"/>
      <w:bookmarkEnd w:id="90"/>
    </w:p>
    <w:p w14:paraId="06C1F678" w14:textId="013EB10C" w:rsidR="00762E42" w:rsidRPr="005378B1" w:rsidRDefault="003C6509" w:rsidP="005378B1">
      <w:pPr>
        <w:keepNext/>
        <w:keepLines/>
      </w:pPr>
      <w:r w:rsidRPr="005378B1">
        <w:t xml:space="preserve">Table 6 illustrates APRA’s </w:t>
      </w:r>
      <w:r w:rsidR="00E20842" w:rsidRPr="005378B1">
        <w:t>202</w:t>
      </w:r>
      <w:r w:rsidR="00796FB2" w:rsidRPr="005378B1">
        <w:t>5</w:t>
      </w:r>
      <w:r w:rsidR="004C03EB" w:rsidRPr="005378B1">
        <w:t>–</w:t>
      </w:r>
      <w:r w:rsidR="00BD59A0" w:rsidRPr="005378B1">
        <w:t>2</w:t>
      </w:r>
      <w:r w:rsidR="00796FB2" w:rsidRPr="005378B1">
        <w:t>6</w:t>
      </w:r>
      <w:r w:rsidR="00BD59A0" w:rsidRPr="005378B1">
        <w:t xml:space="preserve"> </w:t>
      </w:r>
      <w:r w:rsidRPr="005378B1">
        <w:t xml:space="preserve">funding for both levy components from each industry and compares this with the levies funding required from each industry for </w:t>
      </w:r>
      <w:r w:rsidR="00E20842" w:rsidRPr="005378B1">
        <w:t>202</w:t>
      </w:r>
      <w:r w:rsidR="00796FB2" w:rsidRPr="005378B1">
        <w:t>4</w:t>
      </w:r>
      <w:r w:rsidR="004C03EB" w:rsidRPr="005378B1">
        <w:t>–</w:t>
      </w:r>
      <w:r w:rsidR="00E20842" w:rsidRPr="005378B1">
        <w:t>2</w:t>
      </w:r>
      <w:r w:rsidR="00796FB2" w:rsidRPr="005378B1">
        <w:t>5</w:t>
      </w:r>
      <w:r w:rsidRPr="005378B1">
        <w:t>.</w:t>
      </w:r>
    </w:p>
    <w:p w14:paraId="5A18FDB5" w14:textId="523A2E2B" w:rsidR="00762E42" w:rsidRPr="005378B1" w:rsidRDefault="003C6509" w:rsidP="005378B1">
      <w:pPr>
        <w:pStyle w:val="TableMainHeading"/>
        <w:keepLines/>
        <w:rPr>
          <w:rFonts w:ascii="Arial" w:hAnsi="Arial"/>
          <w:color w:val="auto"/>
        </w:rPr>
      </w:pPr>
      <w:bookmarkStart w:id="91" w:name="_Toc104212351"/>
      <w:bookmarkStart w:id="92" w:name="_Toc192616574"/>
      <w:bookmarkStart w:id="93" w:name="_Toc192616748"/>
      <w:r w:rsidRPr="005378B1">
        <w:rPr>
          <w:color w:val="auto"/>
        </w:rPr>
        <w:t xml:space="preserve">Table 6: </w:t>
      </w:r>
      <w:r w:rsidR="00770F42">
        <w:rPr>
          <w:color w:val="auto"/>
        </w:rPr>
        <w:t xml:space="preserve">APRA </w:t>
      </w:r>
      <w:r w:rsidR="00B552E9">
        <w:rPr>
          <w:color w:val="auto"/>
        </w:rPr>
        <w:t xml:space="preserve">levies </w:t>
      </w:r>
      <w:r w:rsidR="003026C9">
        <w:rPr>
          <w:color w:val="auto"/>
        </w:rPr>
        <w:t>by industry</w:t>
      </w:r>
      <w:bookmarkEnd w:id="91"/>
      <w:bookmarkEnd w:id="92"/>
      <w:bookmarkEnd w:id="93"/>
    </w:p>
    <w:tbl>
      <w:tblPr>
        <w:tblStyle w:val="PlainTable2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1978"/>
        <w:gridCol w:w="977"/>
        <w:gridCol w:w="1018"/>
        <w:gridCol w:w="774"/>
        <w:gridCol w:w="774"/>
        <w:gridCol w:w="977"/>
        <w:gridCol w:w="1018"/>
        <w:gridCol w:w="774"/>
        <w:gridCol w:w="770"/>
      </w:tblGrid>
      <w:tr w:rsidR="00801524" w:rsidRPr="00801524" w14:paraId="3BDD17B7" w14:textId="77777777" w:rsidTr="00532C4B">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092" w:type="pct"/>
            <w:shd w:val="clear" w:color="auto" w:fill="EEEEEE" w:themeFill="background2"/>
            <w:vAlign w:val="center"/>
          </w:tcPr>
          <w:p w14:paraId="01846BDD" w14:textId="77777777" w:rsidR="00801524" w:rsidRPr="00801524" w:rsidRDefault="00801524" w:rsidP="00AE6F85">
            <w:pPr>
              <w:spacing w:before="0" w:after="0"/>
              <w:jc w:val="left"/>
              <w:rPr>
                <w:rFonts w:eastAsia="Arial" w:cs="Calibri Light"/>
                <w:sz w:val="16"/>
                <w:szCs w:val="16"/>
                <w:lang w:eastAsia="en-US"/>
              </w:rPr>
            </w:pPr>
            <w:bookmarkStart w:id="94" w:name="_Toc1575307"/>
            <w:bookmarkStart w:id="95" w:name="_Toc1577991"/>
            <w:bookmarkStart w:id="96" w:name="_Toc1578910"/>
            <w:bookmarkStart w:id="97" w:name="_Toc4662145"/>
            <w:bookmarkStart w:id="98" w:name="_Toc98841581"/>
            <w:bookmarkStart w:id="99" w:name="_Toc192616749"/>
            <w:r w:rsidRPr="00801524">
              <w:rPr>
                <w:rFonts w:eastAsia="Arial" w:cs="Calibri Light"/>
                <w:sz w:val="16"/>
                <w:szCs w:val="16"/>
                <w:lang w:eastAsia="en-US"/>
              </w:rPr>
              <w:t>Industry</w:t>
            </w:r>
          </w:p>
        </w:tc>
        <w:tc>
          <w:tcPr>
            <w:tcW w:w="539" w:type="pct"/>
            <w:shd w:val="clear" w:color="auto" w:fill="EEEEEE" w:themeFill="background2"/>
            <w:vAlign w:val="center"/>
          </w:tcPr>
          <w:p w14:paraId="502AA3A6" w14:textId="77777777" w:rsidR="00801524" w:rsidRPr="00801524" w:rsidRDefault="00801524" w:rsidP="00801524">
            <w:pPr>
              <w:spacing w:before="0" w:after="0"/>
              <w:jc w:val="center"/>
              <w:cnfStyle w:val="100000000000" w:firstRow="1" w:lastRow="0" w:firstColumn="0" w:lastColumn="0" w:oddVBand="0" w:evenVBand="0" w:oddHBand="0" w:evenHBand="0" w:firstRowFirstColumn="0" w:firstRowLastColumn="0" w:lastRowFirstColumn="0" w:lastRowLastColumn="0"/>
              <w:rPr>
                <w:rFonts w:eastAsia="Arial" w:cs="Calibri Light"/>
                <w:sz w:val="16"/>
                <w:szCs w:val="16"/>
                <w:lang w:eastAsia="en-US"/>
              </w:rPr>
            </w:pPr>
            <w:r w:rsidRPr="00801524">
              <w:rPr>
                <w:rFonts w:eastAsia="Arial" w:cs="Calibri Light"/>
                <w:sz w:val="16"/>
                <w:szCs w:val="16"/>
                <w:lang w:eastAsia="en-US"/>
              </w:rPr>
              <w:t>2024-25 Restricted Component ($m)</w:t>
            </w:r>
          </w:p>
        </w:tc>
        <w:tc>
          <w:tcPr>
            <w:tcW w:w="562" w:type="pct"/>
            <w:shd w:val="clear" w:color="auto" w:fill="EEEEEE" w:themeFill="background2"/>
            <w:vAlign w:val="center"/>
          </w:tcPr>
          <w:p w14:paraId="0ED4F126" w14:textId="77777777" w:rsidR="00801524" w:rsidRPr="00801524" w:rsidRDefault="00801524" w:rsidP="00801524">
            <w:pPr>
              <w:spacing w:before="0" w:after="0"/>
              <w:jc w:val="center"/>
              <w:cnfStyle w:val="100000000000" w:firstRow="1" w:lastRow="0" w:firstColumn="0" w:lastColumn="0" w:oddVBand="0" w:evenVBand="0" w:oddHBand="0" w:evenHBand="0" w:firstRowFirstColumn="0" w:firstRowLastColumn="0" w:lastRowFirstColumn="0" w:lastRowLastColumn="0"/>
              <w:rPr>
                <w:rFonts w:eastAsia="Arial" w:cs="Calibri Light"/>
                <w:sz w:val="16"/>
                <w:szCs w:val="16"/>
                <w:lang w:eastAsia="en-US"/>
              </w:rPr>
            </w:pPr>
            <w:r w:rsidRPr="00801524">
              <w:rPr>
                <w:rFonts w:eastAsia="Arial" w:cs="Calibri Light"/>
                <w:sz w:val="16"/>
                <w:szCs w:val="16"/>
                <w:lang w:eastAsia="en-US"/>
              </w:rPr>
              <w:t>2024-25 Unrestricted Component ($m)</w:t>
            </w:r>
          </w:p>
        </w:tc>
        <w:tc>
          <w:tcPr>
            <w:tcW w:w="427" w:type="pct"/>
            <w:shd w:val="clear" w:color="auto" w:fill="EEEEEE" w:themeFill="background2"/>
            <w:vAlign w:val="center"/>
          </w:tcPr>
          <w:p w14:paraId="7BAF9584" w14:textId="15FEE8EA" w:rsidR="00515807" w:rsidRDefault="00515807" w:rsidP="00801524">
            <w:pPr>
              <w:spacing w:before="0" w:after="0"/>
              <w:jc w:val="center"/>
              <w:cnfStyle w:val="100000000000" w:firstRow="1" w:lastRow="0" w:firstColumn="0" w:lastColumn="0" w:oddVBand="0" w:evenVBand="0" w:oddHBand="0" w:evenHBand="0" w:firstRowFirstColumn="0" w:firstRowLastColumn="0" w:lastRowFirstColumn="0" w:lastRowLastColumn="0"/>
              <w:rPr>
                <w:rFonts w:eastAsia="Arial" w:cs="Calibri Light"/>
                <w:sz w:val="16"/>
                <w:szCs w:val="16"/>
                <w:lang w:eastAsia="en-US"/>
              </w:rPr>
            </w:pPr>
            <w:r>
              <w:rPr>
                <w:rFonts w:eastAsia="Arial" w:cs="Calibri Light"/>
                <w:sz w:val="16"/>
                <w:szCs w:val="16"/>
                <w:lang w:eastAsia="en-US"/>
              </w:rPr>
              <w:t xml:space="preserve">2024-25 </w:t>
            </w:r>
            <w:r w:rsidR="00CF75EF">
              <w:rPr>
                <w:rFonts w:eastAsia="Arial" w:cs="Calibri Light"/>
                <w:sz w:val="16"/>
                <w:szCs w:val="16"/>
                <w:lang w:eastAsia="en-US"/>
              </w:rPr>
              <w:t>special levy</w:t>
            </w:r>
          </w:p>
        </w:tc>
        <w:tc>
          <w:tcPr>
            <w:tcW w:w="427" w:type="pct"/>
            <w:shd w:val="clear" w:color="auto" w:fill="EEEEEE" w:themeFill="background2"/>
            <w:vAlign w:val="center"/>
          </w:tcPr>
          <w:p w14:paraId="1A33F594" w14:textId="273A1E77" w:rsidR="00801524" w:rsidRPr="00801524" w:rsidRDefault="00801524" w:rsidP="00801524">
            <w:pPr>
              <w:spacing w:before="0" w:after="0"/>
              <w:jc w:val="center"/>
              <w:cnfStyle w:val="100000000000" w:firstRow="1" w:lastRow="0" w:firstColumn="0" w:lastColumn="0" w:oddVBand="0" w:evenVBand="0" w:oddHBand="0" w:evenHBand="0" w:firstRowFirstColumn="0" w:firstRowLastColumn="0" w:lastRowFirstColumn="0" w:lastRowLastColumn="0"/>
              <w:rPr>
                <w:rFonts w:eastAsia="Arial" w:cs="Calibri Light"/>
                <w:sz w:val="16"/>
                <w:szCs w:val="16"/>
                <w:lang w:eastAsia="en-US"/>
              </w:rPr>
            </w:pPr>
            <w:r w:rsidRPr="00801524">
              <w:rPr>
                <w:rFonts w:eastAsia="Arial" w:cs="Calibri Light"/>
                <w:sz w:val="16"/>
                <w:szCs w:val="16"/>
                <w:lang w:eastAsia="en-US"/>
              </w:rPr>
              <w:t>2024-25 Total ($m)</w:t>
            </w:r>
          </w:p>
        </w:tc>
        <w:tc>
          <w:tcPr>
            <w:tcW w:w="539" w:type="pct"/>
            <w:shd w:val="clear" w:color="auto" w:fill="EEEEEE" w:themeFill="background2"/>
            <w:vAlign w:val="center"/>
          </w:tcPr>
          <w:p w14:paraId="56610023" w14:textId="77777777" w:rsidR="00801524" w:rsidRPr="00801524" w:rsidRDefault="00801524" w:rsidP="00801524">
            <w:pPr>
              <w:spacing w:before="0" w:after="0"/>
              <w:jc w:val="center"/>
              <w:cnfStyle w:val="100000000000" w:firstRow="1" w:lastRow="0" w:firstColumn="0" w:lastColumn="0" w:oddVBand="0" w:evenVBand="0" w:oddHBand="0" w:evenHBand="0" w:firstRowFirstColumn="0" w:firstRowLastColumn="0" w:lastRowFirstColumn="0" w:lastRowLastColumn="0"/>
              <w:rPr>
                <w:rFonts w:eastAsia="Arial" w:cs="Calibri Light"/>
                <w:sz w:val="16"/>
                <w:szCs w:val="16"/>
                <w:lang w:eastAsia="en-US"/>
              </w:rPr>
            </w:pPr>
            <w:r w:rsidRPr="00801524">
              <w:rPr>
                <w:rFonts w:eastAsia="Arial" w:cs="Calibri Light"/>
                <w:sz w:val="16"/>
                <w:szCs w:val="16"/>
                <w:lang w:eastAsia="en-US"/>
              </w:rPr>
              <w:t>2025-26 Restricted Component ($m)</w:t>
            </w:r>
          </w:p>
        </w:tc>
        <w:tc>
          <w:tcPr>
            <w:tcW w:w="562" w:type="pct"/>
            <w:shd w:val="clear" w:color="auto" w:fill="EEEEEE" w:themeFill="background2"/>
            <w:vAlign w:val="center"/>
          </w:tcPr>
          <w:p w14:paraId="624F2298" w14:textId="77777777" w:rsidR="00801524" w:rsidRPr="00801524" w:rsidRDefault="00801524" w:rsidP="00801524">
            <w:pPr>
              <w:spacing w:before="0" w:after="0"/>
              <w:jc w:val="center"/>
              <w:cnfStyle w:val="100000000000" w:firstRow="1" w:lastRow="0" w:firstColumn="0" w:lastColumn="0" w:oddVBand="0" w:evenVBand="0" w:oddHBand="0" w:evenHBand="0" w:firstRowFirstColumn="0" w:firstRowLastColumn="0" w:lastRowFirstColumn="0" w:lastRowLastColumn="0"/>
              <w:rPr>
                <w:rFonts w:eastAsia="Arial" w:cs="Calibri Light"/>
                <w:sz w:val="16"/>
                <w:szCs w:val="16"/>
                <w:lang w:eastAsia="en-US"/>
              </w:rPr>
            </w:pPr>
            <w:r w:rsidRPr="00801524">
              <w:rPr>
                <w:rFonts w:eastAsia="Arial" w:cs="Calibri Light"/>
                <w:sz w:val="16"/>
                <w:szCs w:val="16"/>
                <w:lang w:eastAsia="en-US"/>
              </w:rPr>
              <w:t>2025-26 Unrestricted Component ($m)</w:t>
            </w:r>
          </w:p>
        </w:tc>
        <w:tc>
          <w:tcPr>
            <w:tcW w:w="427" w:type="pct"/>
            <w:shd w:val="clear" w:color="auto" w:fill="EEEEEE" w:themeFill="background2"/>
            <w:vAlign w:val="center"/>
          </w:tcPr>
          <w:p w14:paraId="1B0E9F93" w14:textId="15F4AD2C" w:rsidR="00532C4B" w:rsidRDefault="00532C4B" w:rsidP="00532C4B">
            <w:pPr>
              <w:spacing w:before="0" w:after="0"/>
              <w:jc w:val="center"/>
              <w:cnfStyle w:val="100000000000" w:firstRow="1" w:lastRow="0" w:firstColumn="0" w:lastColumn="0" w:oddVBand="0" w:evenVBand="0" w:oddHBand="0" w:evenHBand="0" w:firstRowFirstColumn="0" w:firstRowLastColumn="0" w:lastRowFirstColumn="0" w:lastRowLastColumn="0"/>
              <w:rPr>
                <w:rFonts w:eastAsia="Arial" w:cs="Calibri Light"/>
                <w:sz w:val="16"/>
                <w:szCs w:val="16"/>
                <w:lang w:eastAsia="en-US"/>
              </w:rPr>
            </w:pPr>
            <w:r>
              <w:rPr>
                <w:rFonts w:eastAsia="Arial" w:cs="Calibri Light"/>
                <w:sz w:val="16"/>
                <w:szCs w:val="16"/>
                <w:lang w:eastAsia="en-US"/>
              </w:rPr>
              <w:t>2025-26 special levy</w:t>
            </w:r>
          </w:p>
        </w:tc>
        <w:tc>
          <w:tcPr>
            <w:tcW w:w="425" w:type="pct"/>
            <w:shd w:val="clear" w:color="auto" w:fill="EEEEEE" w:themeFill="background2"/>
            <w:vAlign w:val="center"/>
          </w:tcPr>
          <w:p w14:paraId="10EEFFEE" w14:textId="3F397A1E" w:rsidR="00801524" w:rsidRPr="00801524" w:rsidRDefault="00801524" w:rsidP="00801524">
            <w:pPr>
              <w:spacing w:before="0" w:after="0"/>
              <w:jc w:val="center"/>
              <w:cnfStyle w:val="100000000000" w:firstRow="1" w:lastRow="0" w:firstColumn="0" w:lastColumn="0" w:oddVBand="0" w:evenVBand="0" w:oddHBand="0" w:evenHBand="0" w:firstRowFirstColumn="0" w:firstRowLastColumn="0" w:lastRowFirstColumn="0" w:lastRowLastColumn="0"/>
              <w:rPr>
                <w:rFonts w:eastAsia="Arial" w:cs="Calibri Light"/>
                <w:sz w:val="16"/>
                <w:szCs w:val="16"/>
                <w:lang w:eastAsia="en-US"/>
              </w:rPr>
            </w:pPr>
            <w:r w:rsidRPr="00801524">
              <w:rPr>
                <w:rFonts w:eastAsia="Arial" w:cs="Calibri Light"/>
                <w:sz w:val="16"/>
                <w:szCs w:val="16"/>
                <w:lang w:eastAsia="en-US"/>
              </w:rPr>
              <w:t>2025-26 Total ($m)</w:t>
            </w:r>
          </w:p>
        </w:tc>
      </w:tr>
      <w:tr w:rsidR="00801524" w:rsidRPr="00801524" w14:paraId="5E93BDE6" w14:textId="77777777">
        <w:trPr>
          <w:cnfStyle w:val="000000100000" w:firstRow="0" w:lastRow="0" w:firstColumn="0" w:lastColumn="0" w:oddVBand="0" w:evenVBand="0" w:oddHBand="1" w:evenHBand="0" w:firstRowFirstColumn="0" w:firstRowLastColumn="0" w:lastRowFirstColumn="0" w:lastRowLastColumn="0"/>
          <w:cantSplit/>
          <w:trHeight w:hRule="exact" w:val="284"/>
        </w:trPr>
        <w:tc>
          <w:tcPr>
            <w:cnfStyle w:val="001000000000" w:firstRow="0" w:lastRow="0" w:firstColumn="1" w:lastColumn="0" w:oddVBand="0" w:evenVBand="0" w:oddHBand="0" w:evenHBand="0" w:firstRowFirstColumn="0" w:firstRowLastColumn="0" w:lastRowFirstColumn="0" w:lastRowLastColumn="0"/>
            <w:tcW w:w="1092" w:type="pct"/>
            <w:vAlign w:val="center"/>
          </w:tcPr>
          <w:p w14:paraId="2BE3A18C" w14:textId="77777777" w:rsidR="00801524" w:rsidRPr="005372CE" w:rsidRDefault="00801524" w:rsidP="00532C4B">
            <w:pPr>
              <w:spacing w:before="0" w:after="0"/>
              <w:jc w:val="left"/>
              <w:rPr>
                <w:rFonts w:eastAsia="Arial" w:cs="Calibri Light"/>
                <w:b w:val="0"/>
                <w:sz w:val="16"/>
                <w:szCs w:val="16"/>
                <w:lang w:eastAsia="en-US"/>
              </w:rPr>
            </w:pPr>
            <w:r w:rsidRPr="005372CE">
              <w:rPr>
                <w:rFonts w:eastAsia="Arial" w:cs="Calibri Light"/>
                <w:b w:val="0"/>
                <w:sz w:val="16"/>
                <w:szCs w:val="16"/>
                <w:lang w:eastAsia="en-US"/>
              </w:rPr>
              <w:t>ADIs</w:t>
            </w:r>
          </w:p>
        </w:tc>
        <w:tc>
          <w:tcPr>
            <w:tcW w:w="539" w:type="pct"/>
            <w:vAlign w:val="center"/>
          </w:tcPr>
          <w:p w14:paraId="56B93812" w14:textId="77777777" w:rsidR="00801524" w:rsidRPr="005372CE" w:rsidRDefault="00801524" w:rsidP="0080152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Calibri Light"/>
                <w:sz w:val="16"/>
                <w:szCs w:val="16"/>
                <w:lang w:eastAsia="en-US"/>
              </w:rPr>
            </w:pPr>
            <w:r w:rsidRPr="005372CE">
              <w:rPr>
                <w:rFonts w:eastAsia="Arial" w:cs="Calibri Light"/>
                <w:bCs/>
                <w:sz w:val="16"/>
                <w:szCs w:val="16"/>
                <w:lang w:eastAsia="en-US"/>
              </w:rPr>
              <w:t>59.1</w:t>
            </w:r>
          </w:p>
        </w:tc>
        <w:tc>
          <w:tcPr>
            <w:tcW w:w="562" w:type="pct"/>
            <w:vAlign w:val="center"/>
          </w:tcPr>
          <w:p w14:paraId="1AA8FDEE" w14:textId="77777777" w:rsidR="00801524" w:rsidRPr="005372CE" w:rsidRDefault="00801524" w:rsidP="0080152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Calibri Light"/>
                <w:sz w:val="16"/>
                <w:szCs w:val="16"/>
                <w:lang w:eastAsia="en-US"/>
              </w:rPr>
            </w:pPr>
            <w:r w:rsidRPr="005372CE">
              <w:rPr>
                <w:rFonts w:eastAsia="Arial" w:cs="Calibri Light"/>
                <w:bCs/>
                <w:sz w:val="16"/>
                <w:szCs w:val="16"/>
                <w:lang w:eastAsia="en-US"/>
              </w:rPr>
              <w:t>47.4</w:t>
            </w:r>
          </w:p>
        </w:tc>
        <w:tc>
          <w:tcPr>
            <w:tcW w:w="427" w:type="pct"/>
            <w:vAlign w:val="center"/>
          </w:tcPr>
          <w:p w14:paraId="42AC4C9B" w14:textId="71B31BE8" w:rsidR="00515807" w:rsidRPr="00801524" w:rsidRDefault="005F5403" w:rsidP="0080152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Calibri Light"/>
                <w:bCs/>
                <w:sz w:val="16"/>
                <w:szCs w:val="16"/>
                <w:lang w:eastAsia="en-US"/>
              </w:rPr>
            </w:pPr>
            <w:r>
              <w:rPr>
                <w:rFonts w:eastAsia="Arial" w:cs="Calibri Light"/>
                <w:bCs/>
                <w:sz w:val="16"/>
                <w:szCs w:val="16"/>
                <w:lang w:eastAsia="en-US"/>
              </w:rPr>
              <w:t>nil</w:t>
            </w:r>
          </w:p>
        </w:tc>
        <w:tc>
          <w:tcPr>
            <w:tcW w:w="427" w:type="pct"/>
            <w:vAlign w:val="center"/>
          </w:tcPr>
          <w:p w14:paraId="602262CF" w14:textId="36B1162B" w:rsidR="00801524" w:rsidRPr="005372CE" w:rsidRDefault="00801524" w:rsidP="0080152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Calibri Light"/>
                <w:sz w:val="16"/>
                <w:szCs w:val="16"/>
                <w:lang w:eastAsia="en-US"/>
              </w:rPr>
            </w:pPr>
            <w:r w:rsidRPr="005372CE">
              <w:rPr>
                <w:rFonts w:eastAsia="Arial" w:cs="Calibri Light"/>
                <w:bCs/>
                <w:sz w:val="16"/>
                <w:szCs w:val="16"/>
                <w:lang w:eastAsia="en-US"/>
              </w:rPr>
              <w:t>106.5</w:t>
            </w:r>
          </w:p>
        </w:tc>
        <w:tc>
          <w:tcPr>
            <w:tcW w:w="539" w:type="pct"/>
            <w:vAlign w:val="center"/>
          </w:tcPr>
          <w:p w14:paraId="223586C1" w14:textId="77777777" w:rsidR="00801524" w:rsidRPr="005372CE" w:rsidRDefault="00801524" w:rsidP="0080152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Calibri Light"/>
                <w:sz w:val="16"/>
                <w:szCs w:val="16"/>
                <w:lang w:eastAsia="en-US"/>
              </w:rPr>
            </w:pPr>
            <w:r w:rsidRPr="005372CE">
              <w:rPr>
                <w:rFonts w:eastAsia="Arial" w:cs="Calibri Light"/>
                <w:bCs/>
                <w:sz w:val="16"/>
                <w:szCs w:val="16"/>
                <w:lang w:eastAsia="en-US"/>
              </w:rPr>
              <w:t>65.1</w:t>
            </w:r>
          </w:p>
        </w:tc>
        <w:tc>
          <w:tcPr>
            <w:tcW w:w="562" w:type="pct"/>
            <w:vAlign w:val="center"/>
          </w:tcPr>
          <w:p w14:paraId="7A7F4EA3" w14:textId="77777777" w:rsidR="00801524" w:rsidRPr="005372CE" w:rsidRDefault="00801524" w:rsidP="0080152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Calibri Light"/>
                <w:sz w:val="16"/>
                <w:szCs w:val="16"/>
                <w:lang w:eastAsia="en-US"/>
              </w:rPr>
            </w:pPr>
            <w:r w:rsidRPr="005372CE">
              <w:rPr>
                <w:rFonts w:eastAsia="Arial" w:cs="Calibri Light"/>
                <w:bCs/>
                <w:sz w:val="16"/>
                <w:szCs w:val="16"/>
                <w:lang w:eastAsia="en-US"/>
              </w:rPr>
              <w:t>45.7</w:t>
            </w:r>
          </w:p>
        </w:tc>
        <w:tc>
          <w:tcPr>
            <w:tcW w:w="427" w:type="pct"/>
            <w:vAlign w:val="center"/>
          </w:tcPr>
          <w:p w14:paraId="30826405" w14:textId="486B8180" w:rsidR="00532C4B" w:rsidRDefault="005F5403" w:rsidP="00532C4B">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Calibri Light"/>
                <w:bCs/>
                <w:sz w:val="16"/>
                <w:szCs w:val="16"/>
                <w:lang w:eastAsia="en-US"/>
              </w:rPr>
            </w:pPr>
            <w:r w:rsidRPr="00991915">
              <w:rPr>
                <w:rFonts w:eastAsia="Arial" w:cs="Calibri Light"/>
                <w:bCs/>
                <w:sz w:val="16"/>
                <w:szCs w:val="16"/>
                <w:lang w:eastAsia="en-US"/>
              </w:rPr>
              <w:t>nil</w:t>
            </w:r>
          </w:p>
        </w:tc>
        <w:tc>
          <w:tcPr>
            <w:tcW w:w="425" w:type="pct"/>
            <w:vAlign w:val="center"/>
          </w:tcPr>
          <w:p w14:paraId="00F8A9B9" w14:textId="7D368B13" w:rsidR="00801524" w:rsidRPr="005372CE" w:rsidRDefault="00801524" w:rsidP="0080152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Calibri Light"/>
                <w:sz w:val="16"/>
                <w:szCs w:val="16"/>
                <w:lang w:eastAsia="en-US"/>
              </w:rPr>
            </w:pPr>
            <w:r w:rsidRPr="005372CE">
              <w:rPr>
                <w:rFonts w:eastAsia="Arial" w:cs="Calibri Light"/>
                <w:bCs/>
                <w:sz w:val="16"/>
                <w:szCs w:val="16"/>
                <w:lang w:eastAsia="en-US"/>
              </w:rPr>
              <w:t>110.8</w:t>
            </w:r>
          </w:p>
        </w:tc>
      </w:tr>
      <w:tr w:rsidR="00801524" w:rsidRPr="00801524" w14:paraId="285E2891" w14:textId="77777777">
        <w:trPr>
          <w:cantSplit/>
          <w:trHeight w:hRule="exact" w:val="501"/>
        </w:trPr>
        <w:tc>
          <w:tcPr>
            <w:cnfStyle w:val="001000000000" w:firstRow="0" w:lastRow="0" w:firstColumn="1" w:lastColumn="0" w:oddVBand="0" w:evenVBand="0" w:oddHBand="0" w:evenHBand="0" w:firstRowFirstColumn="0" w:firstRowLastColumn="0" w:lastRowFirstColumn="0" w:lastRowLastColumn="0"/>
            <w:tcW w:w="1092" w:type="pct"/>
            <w:vAlign w:val="center"/>
          </w:tcPr>
          <w:p w14:paraId="64E91A63" w14:textId="77777777" w:rsidR="00801524" w:rsidRPr="005372CE" w:rsidRDefault="00801524" w:rsidP="00532C4B">
            <w:pPr>
              <w:spacing w:before="0" w:after="0"/>
              <w:jc w:val="left"/>
              <w:rPr>
                <w:rFonts w:eastAsia="Arial" w:cs="Calibri Light"/>
                <w:b w:val="0"/>
                <w:sz w:val="16"/>
                <w:szCs w:val="16"/>
                <w:lang w:eastAsia="en-US"/>
              </w:rPr>
            </w:pPr>
            <w:r w:rsidRPr="005372CE">
              <w:rPr>
                <w:rFonts w:eastAsia="Arial" w:cs="Calibri Light"/>
                <w:b w:val="0"/>
                <w:sz w:val="16"/>
                <w:szCs w:val="16"/>
                <w:lang w:eastAsia="en-US"/>
              </w:rPr>
              <w:t>Life insurance/Friendly societies</w:t>
            </w:r>
          </w:p>
        </w:tc>
        <w:tc>
          <w:tcPr>
            <w:tcW w:w="539" w:type="pct"/>
            <w:vAlign w:val="center"/>
          </w:tcPr>
          <w:p w14:paraId="5DA63A9B" w14:textId="77777777" w:rsidR="00801524" w:rsidRPr="005372CE" w:rsidRDefault="00801524" w:rsidP="0080152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Calibri Light"/>
                <w:sz w:val="16"/>
                <w:szCs w:val="16"/>
                <w:lang w:eastAsia="en-US"/>
              </w:rPr>
            </w:pPr>
            <w:r w:rsidRPr="005372CE">
              <w:rPr>
                <w:rFonts w:eastAsia="Arial" w:cs="Calibri Light"/>
                <w:bCs/>
                <w:sz w:val="16"/>
                <w:szCs w:val="16"/>
                <w:lang w:eastAsia="en-US"/>
              </w:rPr>
              <w:t>12.3</w:t>
            </w:r>
          </w:p>
        </w:tc>
        <w:tc>
          <w:tcPr>
            <w:tcW w:w="562" w:type="pct"/>
            <w:vAlign w:val="center"/>
          </w:tcPr>
          <w:p w14:paraId="4D2322B3" w14:textId="77777777" w:rsidR="00801524" w:rsidRPr="005372CE" w:rsidRDefault="00801524" w:rsidP="0080152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Calibri Light"/>
                <w:sz w:val="16"/>
                <w:szCs w:val="16"/>
                <w:lang w:eastAsia="en-US"/>
              </w:rPr>
            </w:pPr>
            <w:r w:rsidRPr="005372CE">
              <w:rPr>
                <w:rFonts w:eastAsia="Arial" w:cs="Calibri Light"/>
                <w:bCs/>
                <w:sz w:val="16"/>
                <w:szCs w:val="16"/>
                <w:lang w:eastAsia="en-US"/>
              </w:rPr>
              <w:t>9.8</w:t>
            </w:r>
          </w:p>
        </w:tc>
        <w:tc>
          <w:tcPr>
            <w:tcW w:w="427" w:type="pct"/>
            <w:vAlign w:val="center"/>
          </w:tcPr>
          <w:p w14:paraId="70AE1787" w14:textId="1C902177" w:rsidR="00515807" w:rsidRPr="00801524" w:rsidRDefault="005F5403" w:rsidP="0080152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Calibri Light"/>
                <w:bCs/>
                <w:sz w:val="16"/>
                <w:szCs w:val="16"/>
                <w:lang w:eastAsia="en-US"/>
              </w:rPr>
            </w:pPr>
            <w:r w:rsidRPr="00311A03">
              <w:rPr>
                <w:rFonts w:eastAsia="Arial" w:cs="Calibri Light"/>
                <w:bCs/>
                <w:sz w:val="16"/>
                <w:szCs w:val="16"/>
                <w:lang w:eastAsia="en-US"/>
              </w:rPr>
              <w:t>nil</w:t>
            </w:r>
          </w:p>
        </w:tc>
        <w:tc>
          <w:tcPr>
            <w:tcW w:w="427" w:type="pct"/>
            <w:vAlign w:val="center"/>
          </w:tcPr>
          <w:p w14:paraId="57F7176D" w14:textId="5BB6036B" w:rsidR="00801524" w:rsidRPr="005372CE" w:rsidRDefault="00801524" w:rsidP="0080152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Calibri Light"/>
                <w:sz w:val="16"/>
                <w:szCs w:val="16"/>
                <w:lang w:eastAsia="en-US"/>
              </w:rPr>
            </w:pPr>
            <w:r w:rsidRPr="005372CE">
              <w:rPr>
                <w:rFonts w:eastAsia="Arial" w:cs="Calibri Light"/>
                <w:bCs/>
                <w:sz w:val="16"/>
                <w:szCs w:val="16"/>
                <w:lang w:eastAsia="en-US"/>
              </w:rPr>
              <w:t>22.1</w:t>
            </w:r>
          </w:p>
        </w:tc>
        <w:tc>
          <w:tcPr>
            <w:tcW w:w="539" w:type="pct"/>
            <w:vAlign w:val="center"/>
          </w:tcPr>
          <w:p w14:paraId="3D4A87BD" w14:textId="77777777" w:rsidR="00801524" w:rsidRPr="005372CE" w:rsidRDefault="00801524" w:rsidP="0080152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Calibri Light"/>
                <w:sz w:val="16"/>
                <w:szCs w:val="16"/>
                <w:lang w:eastAsia="en-US"/>
              </w:rPr>
            </w:pPr>
            <w:r w:rsidRPr="005372CE">
              <w:rPr>
                <w:rFonts w:eastAsia="Arial" w:cs="Calibri Light"/>
                <w:bCs/>
                <w:sz w:val="16"/>
                <w:szCs w:val="16"/>
                <w:lang w:eastAsia="en-US"/>
              </w:rPr>
              <w:t>11.3</w:t>
            </w:r>
          </w:p>
        </w:tc>
        <w:tc>
          <w:tcPr>
            <w:tcW w:w="562" w:type="pct"/>
            <w:vAlign w:val="center"/>
          </w:tcPr>
          <w:p w14:paraId="6F464103" w14:textId="77777777" w:rsidR="00801524" w:rsidRPr="005372CE" w:rsidRDefault="00801524" w:rsidP="0080152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Calibri Light"/>
                <w:sz w:val="16"/>
                <w:szCs w:val="16"/>
                <w:lang w:eastAsia="en-US"/>
              </w:rPr>
            </w:pPr>
            <w:r w:rsidRPr="005372CE">
              <w:rPr>
                <w:rFonts w:eastAsia="Arial" w:cs="Calibri Light"/>
                <w:bCs/>
                <w:sz w:val="16"/>
                <w:szCs w:val="16"/>
                <w:lang w:eastAsia="en-US"/>
              </w:rPr>
              <w:t>8.2</w:t>
            </w:r>
          </w:p>
        </w:tc>
        <w:tc>
          <w:tcPr>
            <w:tcW w:w="427" w:type="pct"/>
            <w:vAlign w:val="center"/>
          </w:tcPr>
          <w:p w14:paraId="698F7DD0" w14:textId="2EC900D7" w:rsidR="00532C4B" w:rsidRDefault="005F5403" w:rsidP="00532C4B">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Calibri Light"/>
                <w:bCs/>
                <w:sz w:val="16"/>
                <w:szCs w:val="16"/>
                <w:lang w:eastAsia="en-US"/>
              </w:rPr>
            </w:pPr>
            <w:r w:rsidRPr="00991915">
              <w:rPr>
                <w:rFonts w:eastAsia="Arial" w:cs="Calibri Light"/>
                <w:bCs/>
                <w:sz w:val="16"/>
                <w:szCs w:val="16"/>
                <w:lang w:eastAsia="en-US"/>
              </w:rPr>
              <w:t>nil</w:t>
            </w:r>
          </w:p>
        </w:tc>
        <w:tc>
          <w:tcPr>
            <w:tcW w:w="425" w:type="pct"/>
            <w:vAlign w:val="center"/>
          </w:tcPr>
          <w:p w14:paraId="75390ABF" w14:textId="68C1B026" w:rsidR="00801524" w:rsidRPr="005372CE" w:rsidRDefault="00801524" w:rsidP="0080152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Calibri Light"/>
                <w:sz w:val="16"/>
                <w:szCs w:val="16"/>
                <w:lang w:eastAsia="en-US"/>
              </w:rPr>
            </w:pPr>
            <w:r w:rsidRPr="005372CE">
              <w:rPr>
                <w:rFonts w:eastAsia="Arial" w:cs="Calibri Light"/>
                <w:bCs/>
                <w:sz w:val="16"/>
                <w:szCs w:val="16"/>
                <w:lang w:eastAsia="en-US"/>
              </w:rPr>
              <w:t>19.5</w:t>
            </w:r>
          </w:p>
        </w:tc>
      </w:tr>
      <w:tr w:rsidR="00801524" w:rsidRPr="00801524" w14:paraId="710448D6" w14:textId="77777777">
        <w:trPr>
          <w:cnfStyle w:val="000000100000" w:firstRow="0" w:lastRow="0" w:firstColumn="0" w:lastColumn="0" w:oddVBand="0" w:evenVBand="0" w:oddHBand="1" w:evenHBand="0" w:firstRowFirstColumn="0" w:firstRowLastColumn="0" w:lastRowFirstColumn="0" w:lastRowLastColumn="0"/>
          <w:cantSplit/>
          <w:trHeight w:hRule="exact" w:val="284"/>
        </w:trPr>
        <w:tc>
          <w:tcPr>
            <w:cnfStyle w:val="001000000000" w:firstRow="0" w:lastRow="0" w:firstColumn="1" w:lastColumn="0" w:oddVBand="0" w:evenVBand="0" w:oddHBand="0" w:evenHBand="0" w:firstRowFirstColumn="0" w:firstRowLastColumn="0" w:lastRowFirstColumn="0" w:lastRowLastColumn="0"/>
            <w:tcW w:w="1092" w:type="pct"/>
            <w:vAlign w:val="center"/>
          </w:tcPr>
          <w:p w14:paraId="3F46FACC" w14:textId="77777777" w:rsidR="00801524" w:rsidRPr="005372CE" w:rsidRDefault="00801524" w:rsidP="00532C4B">
            <w:pPr>
              <w:spacing w:before="0" w:after="0"/>
              <w:jc w:val="left"/>
              <w:rPr>
                <w:rFonts w:eastAsia="Arial" w:cs="Calibri Light"/>
                <w:b w:val="0"/>
                <w:sz w:val="16"/>
                <w:szCs w:val="16"/>
                <w:lang w:eastAsia="en-US"/>
              </w:rPr>
            </w:pPr>
            <w:r w:rsidRPr="005372CE">
              <w:rPr>
                <w:rFonts w:eastAsia="Arial" w:cs="Calibri Light"/>
                <w:b w:val="0"/>
                <w:sz w:val="16"/>
                <w:szCs w:val="16"/>
                <w:lang w:eastAsia="en-US"/>
              </w:rPr>
              <w:t>General insurers</w:t>
            </w:r>
          </w:p>
        </w:tc>
        <w:tc>
          <w:tcPr>
            <w:tcW w:w="539" w:type="pct"/>
            <w:vAlign w:val="center"/>
          </w:tcPr>
          <w:p w14:paraId="21103FD3" w14:textId="77777777" w:rsidR="00801524" w:rsidRPr="005372CE" w:rsidRDefault="00801524" w:rsidP="0080152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Calibri Light"/>
                <w:sz w:val="16"/>
                <w:szCs w:val="16"/>
                <w:lang w:eastAsia="en-US"/>
              </w:rPr>
            </w:pPr>
            <w:r w:rsidRPr="005372CE">
              <w:rPr>
                <w:rFonts w:eastAsia="Arial" w:cs="Calibri Light"/>
                <w:bCs/>
                <w:sz w:val="16"/>
                <w:szCs w:val="16"/>
                <w:lang w:eastAsia="en-US"/>
              </w:rPr>
              <w:t>18.3</w:t>
            </w:r>
          </w:p>
        </w:tc>
        <w:tc>
          <w:tcPr>
            <w:tcW w:w="562" w:type="pct"/>
            <w:vAlign w:val="center"/>
          </w:tcPr>
          <w:p w14:paraId="076D41B8" w14:textId="77777777" w:rsidR="00801524" w:rsidRPr="005372CE" w:rsidRDefault="00801524" w:rsidP="0080152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Calibri Light"/>
                <w:sz w:val="16"/>
                <w:szCs w:val="16"/>
                <w:lang w:eastAsia="en-US"/>
              </w:rPr>
            </w:pPr>
            <w:r w:rsidRPr="005372CE">
              <w:rPr>
                <w:rFonts w:eastAsia="Arial" w:cs="Calibri Light"/>
                <w:bCs/>
                <w:sz w:val="16"/>
                <w:szCs w:val="16"/>
                <w:lang w:eastAsia="en-US"/>
              </w:rPr>
              <w:t>14.4</w:t>
            </w:r>
          </w:p>
        </w:tc>
        <w:tc>
          <w:tcPr>
            <w:tcW w:w="427" w:type="pct"/>
            <w:vAlign w:val="center"/>
          </w:tcPr>
          <w:p w14:paraId="0DA43B26" w14:textId="758B392B" w:rsidR="00515807" w:rsidRPr="00801524" w:rsidRDefault="005F5403" w:rsidP="0080152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Calibri Light"/>
                <w:bCs/>
                <w:sz w:val="16"/>
                <w:szCs w:val="16"/>
                <w:lang w:eastAsia="en-US"/>
              </w:rPr>
            </w:pPr>
            <w:r w:rsidRPr="00311A03">
              <w:rPr>
                <w:rFonts w:eastAsia="Arial" w:cs="Calibri Light"/>
                <w:bCs/>
                <w:sz w:val="16"/>
                <w:szCs w:val="16"/>
                <w:lang w:eastAsia="en-US"/>
              </w:rPr>
              <w:t>nil</w:t>
            </w:r>
          </w:p>
        </w:tc>
        <w:tc>
          <w:tcPr>
            <w:tcW w:w="427" w:type="pct"/>
            <w:vAlign w:val="center"/>
          </w:tcPr>
          <w:p w14:paraId="057EEEF0" w14:textId="6E4FFCDA" w:rsidR="00801524" w:rsidRPr="005372CE" w:rsidRDefault="00801524" w:rsidP="0080152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Calibri Light"/>
                <w:sz w:val="16"/>
                <w:szCs w:val="16"/>
                <w:lang w:eastAsia="en-US"/>
              </w:rPr>
            </w:pPr>
            <w:r w:rsidRPr="005372CE">
              <w:rPr>
                <w:rFonts w:eastAsia="Arial" w:cs="Calibri Light"/>
                <w:bCs/>
                <w:sz w:val="16"/>
                <w:szCs w:val="16"/>
                <w:lang w:eastAsia="en-US"/>
              </w:rPr>
              <w:t>32.7</w:t>
            </w:r>
          </w:p>
        </w:tc>
        <w:tc>
          <w:tcPr>
            <w:tcW w:w="539" w:type="pct"/>
            <w:vAlign w:val="center"/>
          </w:tcPr>
          <w:p w14:paraId="71A11E6A" w14:textId="77777777" w:rsidR="00801524" w:rsidRPr="005372CE" w:rsidRDefault="00801524" w:rsidP="0080152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Calibri Light"/>
                <w:sz w:val="16"/>
                <w:szCs w:val="16"/>
                <w:lang w:eastAsia="en-US"/>
              </w:rPr>
            </w:pPr>
            <w:r w:rsidRPr="005372CE">
              <w:rPr>
                <w:rFonts w:eastAsia="Arial" w:cs="Calibri Light"/>
                <w:bCs/>
                <w:sz w:val="16"/>
                <w:szCs w:val="16"/>
                <w:lang w:eastAsia="en-US"/>
              </w:rPr>
              <w:t>17.0</w:t>
            </w:r>
          </w:p>
        </w:tc>
        <w:tc>
          <w:tcPr>
            <w:tcW w:w="562" w:type="pct"/>
            <w:vAlign w:val="center"/>
          </w:tcPr>
          <w:p w14:paraId="4D18AF4F" w14:textId="77777777" w:rsidR="00801524" w:rsidRPr="005372CE" w:rsidRDefault="00801524" w:rsidP="0080152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Calibri Light"/>
                <w:sz w:val="16"/>
                <w:szCs w:val="16"/>
                <w:lang w:eastAsia="en-US"/>
              </w:rPr>
            </w:pPr>
            <w:r w:rsidRPr="005372CE">
              <w:rPr>
                <w:rFonts w:eastAsia="Arial" w:cs="Calibri Light"/>
                <w:bCs/>
                <w:sz w:val="16"/>
                <w:szCs w:val="16"/>
                <w:lang w:eastAsia="en-US"/>
              </w:rPr>
              <w:t>11.6</w:t>
            </w:r>
          </w:p>
        </w:tc>
        <w:tc>
          <w:tcPr>
            <w:tcW w:w="427" w:type="pct"/>
            <w:vAlign w:val="center"/>
          </w:tcPr>
          <w:p w14:paraId="0890091C" w14:textId="4C4BDE0F" w:rsidR="00532C4B" w:rsidRDefault="005F5403" w:rsidP="00532C4B">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Calibri Light"/>
                <w:bCs/>
                <w:sz w:val="16"/>
                <w:szCs w:val="16"/>
                <w:lang w:eastAsia="en-US"/>
              </w:rPr>
            </w:pPr>
            <w:r w:rsidRPr="00991915">
              <w:rPr>
                <w:rFonts w:eastAsia="Arial" w:cs="Calibri Light"/>
                <w:bCs/>
                <w:sz w:val="16"/>
                <w:szCs w:val="16"/>
                <w:lang w:eastAsia="en-US"/>
              </w:rPr>
              <w:t>nil</w:t>
            </w:r>
          </w:p>
        </w:tc>
        <w:tc>
          <w:tcPr>
            <w:tcW w:w="425" w:type="pct"/>
            <w:vAlign w:val="center"/>
          </w:tcPr>
          <w:p w14:paraId="470A4BA1" w14:textId="0337A3B5" w:rsidR="00801524" w:rsidRPr="005372CE" w:rsidRDefault="00801524" w:rsidP="0080152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Calibri Light"/>
                <w:sz w:val="16"/>
                <w:szCs w:val="16"/>
                <w:lang w:eastAsia="en-US"/>
              </w:rPr>
            </w:pPr>
            <w:r w:rsidRPr="005372CE">
              <w:rPr>
                <w:rFonts w:eastAsia="Arial" w:cs="Calibri Light"/>
                <w:bCs/>
                <w:sz w:val="16"/>
                <w:szCs w:val="16"/>
                <w:lang w:eastAsia="en-US"/>
              </w:rPr>
              <w:t>28.6</w:t>
            </w:r>
          </w:p>
        </w:tc>
      </w:tr>
      <w:tr w:rsidR="00801524" w:rsidRPr="00801524" w14:paraId="5A7B226D" w14:textId="77777777">
        <w:trPr>
          <w:cantSplit/>
          <w:trHeight w:hRule="exact" w:val="284"/>
        </w:trPr>
        <w:tc>
          <w:tcPr>
            <w:cnfStyle w:val="001000000000" w:firstRow="0" w:lastRow="0" w:firstColumn="1" w:lastColumn="0" w:oddVBand="0" w:evenVBand="0" w:oddHBand="0" w:evenHBand="0" w:firstRowFirstColumn="0" w:firstRowLastColumn="0" w:lastRowFirstColumn="0" w:lastRowLastColumn="0"/>
            <w:tcW w:w="1092" w:type="pct"/>
            <w:vAlign w:val="center"/>
          </w:tcPr>
          <w:p w14:paraId="4C6B226B" w14:textId="77777777" w:rsidR="00801524" w:rsidRPr="005372CE" w:rsidRDefault="00801524" w:rsidP="00532C4B">
            <w:pPr>
              <w:spacing w:before="0" w:after="0"/>
              <w:jc w:val="left"/>
              <w:rPr>
                <w:rFonts w:eastAsia="Arial" w:cs="Calibri Light"/>
                <w:b w:val="0"/>
                <w:sz w:val="16"/>
                <w:szCs w:val="16"/>
                <w:lang w:eastAsia="en-US"/>
              </w:rPr>
            </w:pPr>
            <w:r w:rsidRPr="005372CE">
              <w:rPr>
                <w:rFonts w:eastAsia="Arial" w:cs="Calibri Light"/>
                <w:b w:val="0"/>
                <w:sz w:val="16"/>
                <w:szCs w:val="16"/>
                <w:lang w:eastAsia="en-US"/>
              </w:rPr>
              <w:t>Superannuation</w:t>
            </w:r>
          </w:p>
        </w:tc>
        <w:tc>
          <w:tcPr>
            <w:tcW w:w="539" w:type="pct"/>
            <w:vAlign w:val="center"/>
          </w:tcPr>
          <w:p w14:paraId="45143345" w14:textId="30D73378" w:rsidR="00801524" w:rsidRPr="005372CE" w:rsidRDefault="00801524" w:rsidP="0080152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Calibri Light"/>
                <w:sz w:val="16"/>
                <w:szCs w:val="16"/>
                <w:lang w:eastAsia="en-US"/>
              </w:rPr>
            </w:pPr>
            <w:r w:rsidRPr="005372CE">
              <w:rPr>
                <w:rFonts w:eastAsia="Arial" w:cs="Calibri Light"/>
                <w:bCs/>
                <w:sz w:val="16"/>
                <w:szCs w:val="16"/>
                <w:lang w:eastAsia="en-US"/>
              </w:rPr>
              <w:t>41.</w:t>
            </w:r>
            <w:r w:rsidR="00CB5B29">
              <w:rPr>
                <w:rFonts w:eastAsia="Arial" w:cs="Calibri Light"/>
                <w:bCs/>
                <w:sz w:val="16"/>
                <w:szCs w:val="16"/>
                <w:lang w:eastAsia="en-US"/>
              </w:rPr>
              <w:t>9</w:t>
            </w:r>
          </w:p>
        </w:tc>
        <w:tc>
          <w:tcPr>
            <w:tcW w:w="562" w:type="pct"/>
            <w:vAlign w:val="center"/>
          </w:tcPr>
          <w:p w14:paraId="32FFB416" w14:textId="77777777" w:rsidR="00801524" w:rsidRPr="005372CE" w:rsidRDefault="00801524" w:rsidP="0080152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Calibri Light"/>
                <w:sz w:val="16"/>
                <w:szCs w:val="16"/>
                <w:lang w:eastAsia="en-US"/>
              </w:rPr>
            </w:pPr>
            <w:r w:rsidRPr="005372CE">
              <w:rPr>
                <w:rFonts w:eastAsia="Arial" w:cs="Calibri Light"/>
                <w:bCs/>
                <w:sz w:val="16"/>
                <w:szCs w:val="16"/>
                <w:lang w:eastAsia="en-US"/>
              </w:rPr>
              <w:t>31.8</w:t>
            </w:r>
          </w:p>
        </w:tc>
        <w:tc>
          <w:tcPr>
            <w:tcW w:w="427" w:type="pct"/>
            <w:vAlign w:val="center"/>
          </w:tcPr>
          <w:p w14:paraId="5425F39F" w14:textId="6CCC30D1" w:rsidR="00515807" w:rsidRPr="00801524" w:rsidRDefault="005F5403" w:rsidP="0080152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Calibri Light"/>
                <w:bCs/>
                <w:sz w:val="16"/>
                <w:szCs w:val="16"/>
                <w:lang w:eastAsia="en-US"/>
              </w:rPr>
            </w:pPr>
            <w:r w:rsidRPr="00311A03">
              <w:rPr>
                <w:rFonts w:eastAsia="Arial" w:cs="Calibri Light"/>
                <w:bCs/>
                <w:sz w:val="16"/>
                <w:szCs w:val="16"/>
                <w:lang w:eastAsia="en-US"/>
              </w:rPr>
              <w:t>nil</w:t>
            </w:r>
          </w:p>
        </w:tc>
        <w:tc>
          <w:tcPr>
            <w:tcW w:w="427" w:type="pct"/>
            <w:vAlign w:val="center"/>
          </w:tcPr>
          <w:p w14:paraId="16AC778D" w14:textId="3C2D30BE" w:rsidR="00801524" w:rsidRPr="005372CE" w:rsidRDefault="00801524" w:rsidP="0080152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Calibri Light"/>
                <w:sz w:val="16"/>
                <w:szCs w:val="16"/>
                <w:lang w:eastAsia="en-US"/>
              </w:rPr>
            </w:pPr>
            <w:r w:rsidRPr="005372CE">
              <w:rPr>
                <w:rFonts w:eastAsia="Arial" w:cs="Calibri Light"/>
                <w:bCs/>
                <w:sz w:val="16"/>
                <w:szCs w:val="16"/>
                <w:lang w:eastAsia="en-US"/>
              </w:rPr>
              <w:t>73.</w:t>
            </w:r>
            <w:r w:rsidR="00525E88">
              <w:rPr>
                <w:rFonts w:eastAsia="Arial" w:cs="Calibri Light"/>
                <w:bCs/>
                <w:sz w:val="16"/>
                <w:szCs w:val="16"/>
                <w:lang w:eastAsia="en-US"/>
              </w:rPr>
              <w:t>7</w:t>
            </w:r>
          </w:p>
        </w:tc>
        <w:tc>
          <w:tcPr>
            <w:tcW w:w="539" w:type="pct"/>
            <w:vAlign w:val="center"/>
          </w:tcPr>
          <w:p w14:paraId="7173219B" w14:textId="77777777" w:rsidR="00801524" w:rsidRPr="005372CE" w:rsidRDefault="00801524" w:rsidP="0080152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Calibri Light"/>
                <w:sz w:val="16"/>
                <w:szCs w:val="16"/>
                <w:lang w:eastAsia="en-US"/>
              </w:rPr>
            </w:pPr>
            <w:r w:rsidRPr="005372CE">
              <w:rPr>
                <w:rFonts w:eastAsia="Arial" w:cs="Calibri Light"/>
                <w:bCs/>
                <w:sz w:val="16"/>
                <w:szCs w:val="16"/>
                <w:lang w:eastAsia="en-US"/>
              </w:rPr>
              <w:t>43.4</w:t>
            </w:r>
          </w:p>
        </w:tc>
        <w:tc>
          <w:tcPr>
            <w:tcW w:w="562" w:type="pct"/>
            <w:vAlign w:val="center"/>
          </w:tcPr>
          <w:p w14:paraId="68DD18CA" w14:textId="77777777" w:rsidR="00801524" w:rsidRPr="005372CE" w:rsidRDefault="00801524" w:rsidP="0080152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Calibri Light"/>
                <w:sz w:val="16"/>
                <w:szCs w:val="16"/>
                <w:lang w:eastAsia="en-US"/>
              </w:rPr>
            </w:pPr>
            <w:r w:rsidRPr="005372CE">
              <w:rPr>
                <w:rFonts w:eastAsia="Arial" w:cs="Calibri Light"/>
                <w:bCs/>
                <w:sz w:val="16"/>
                <w:szCs w:val="16"/>
                <w:lang w:eastAsia="en-US"/>
              </w:rPr>
              <w:t>29.5</w:t>
            </w:r>
          </w:p>
        </w:tc>
        <w:tc>
          <w:tcPr>
            <w:tcW w:w="427" w:type="pct"/>
            <w:vAlign w:val="center"/>
          </w:tcPr>
          <w:p w14:paraId="4C26528D" w14:textId="3B147C4B" w:rsidR="00532C4B" w:rsidRDefault="005F5403" w:rsidP="00532C4B">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Calibri Light"/>
                <w:bCs/>
                <w:sz w:val="16"/>
                <w:szCs w:val="16"/>
                <w:lang w:eastAsia="en-US"/>
              </w:rPr>
            </w:pPr>
            <w:r w:rsidRPr="00991915">
              <w:rPr>
                <w:rFonts w:eastAsia="Arial" w:cs="Calibri Light"/>
                <w:bCs/>
                <w:sz w:val="16"/>
                <w:szCs w:val="16"/>
                <w:lang w:eastAsia="en-US"/>
              </w:rPr>
              <w:t>nil</w:t>
            </w:r>
          </w:p>
        </w:tc>
        <w:tc>
          <w:tcPr>
            <w:tcW w:w="425" w:type="pct"/>
            <w:vAlign w:val="center"/>
          </w:tcPr>
          <w:p w14:paraId="050CE35D" w14:textId="0D95F009" w:rsidR="00801524" w:rsidRPr="005372CE" w:rsidRDefault="00801524" w:rsidP="0080152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Calibri Light"/>
                <w:sz w:val="16"/>
                <w:szCs w:val="16"/>
                <w:lang w:eastAsia="en-US"/>
              </w:rPr>
            </w:pPr>
            <w:r w:rsidRPr="005372CE">
              <w:rPr>
                <w:rFonts w:eastAsia="Arial" w:cs="Calibri Light"/>
                <w:bCs/>
                <w:sz w:val="16"/>
                <w:szCs w:val="16"/>
                <w:lang w:eastAsia="en-US"/>
              </w:rPr>
              <w:t>72.9</w:t>
            </w:r>
          </w:p>
        </w:tc>
      </w:tr>
      <w:tr w:rsidR="00801524" w:rsidRPr="00801524" w14:paraId="5177A899" w14:textId="77777777" w:rsidTr="005F5403">
        <w:trPr>
          <w:cnfStyle w:val="000000100000" w:firstRow="0" w:lastRow="0" w:firstColumn="0" w:lastColumn="0" w:oddVBand="0" w:evenVBand="0" w:oddHBand="1" w:evenHBand="0" w:firstRowFirstColumn="0" w:firstRowLastColumn="0" w:lastRowFirstColumn="0" w:lastRowLastColumn="0"/>
          <w:cantSplit/>
          <w:trHeight w:hRule="exact" w:val="284"/>
        </w:trPr>
        <w:tc>
          <w:tcPr>
            <w:cnfStyle w:val="001000000000" w:firstRow="0" w:lastRow="0" w:firstColumn="1" w:lastColumn="0" w:oddVBand="0" w:evenVBand="0" w:oddHBand="0" w:evenHBand="0" w:firstRowFirstColumn="0" w:firstRowLastColumn="0" w:lastRowFirstColumn="0" w:lastRowLastColumn="0"/>
            <w:tcW w:w="1092" w:type="pct"/>
            <w:vAlign w:val="center"/>
          </w:tcPr>
          <w:p w14:paraId="40E49FEA" w14:textId="77777777" w:rsidR="00801524" w:rsidRPr="005372CE" w:rsidRDefault="00801524" w:rsidP="00532C4B">
            <w:pPr>
              <w:spacing w:before="0" w:after="0"/>
              <w:jc w:val="left"/>
              <w:rPr>
                <w:rFonts w:eastAsia="Arial" w:cs="Calibri Light"/>
                <w:b w:val="0"/>
                <w:sz w:val="16"/>
                <w:szCs w:val="16"/>
                <w:lang w:eastAsia="en-US"/>
              </w:rPr>
            </w:pPr>
            <w:r w:rsidRPr="005372CE">
              <w:rPr>
                <w:rFonts w:eastAsia="Arial" w:cs="Calibri Light"/>
                <w:b w:val="0"/>
                <w:sz w:val="16"/>
                <w:szCs w:val="16"/>
                <w:lang w:eastAsia="en-US"/>
              </w:rPr>
              <w:t>Private health insurers</w:t>
            </w:r>
          </w:p>
        </w:tc>
        <w:tc>
          <w:tcPr>
            <w:tcW w:w="539" w:type="pct"/>
          </w:tcPr>
          <w:p w14:paraId="1DD7B890" w14:textId="2272C7D7" w:rsidR="00801524" w:rsidRPr="005372CE" w:rsidRDefault="005F5403" w:rsidP="0080152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Calibri Light"/>
                <w:sz w:val="16"/>
                <w:szCs w:val="16"/>
                <w:lang w:eastAsia="en-US"/>
              </w:rPr>
            </w:pPr>
            <w:r w:rsidRPr="008A32E9">
              <w:rPr>
                <w:rFonts w:eastAsia="Arial" w:cs="Calibri Light"/>
                <w:bCs/>
                <w:sz w:val="16"/>
                <w:szCs w:val="16"/>
                <w:lang w:eastAsia="en-US"/>
              </w:rPr>
              <w:t>nil</w:t>
            </w:r>
          </w:p>
        </w:tc>
        <w:tc>
          <w:tcPr>
            <w:tcW w:w="562" w:type="pct"/>
          </w:tcPr>
          <w:p w14:paraId="77D03D02" w14:textId="07F656BA" w:rsidR="00801524" w:rsidRPr="005372CE" w:rsidRDefault="005F5403" w:rsidP="0080152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Calibri Light"/>
                <w:sz w:val="16"/>
                <w:szCs w:val="16"/>
                <w:lang w:eastAsia="en-US"/>
              </w:rPr>
            </w:pPr>
            <w:r w:rsidRPr="008A32E9">
              <w:rPr>
                <w:rFonts w:eastAsia="Arial" w:cs="Calibri Light"/>
                <w:bCs/>
                <w:sz w:val="16"/>
                <w:szCs w:val="16"/>
                <w:lang w:eastAsia="en-US"/>
              </w:rPr>
              <w:t>nil</w:t>
            </w:r>
          </w:p>
        </w:tc>
        <w:tc>
          <w:tcPr>
            <w:tcW w:w="427" w:type="pct"/>
            <w:vAlign w:val="center"/>
          </w:tcPr>
          <w:p w14:paraId="3ABA3A63" w14:textId="03120A9A" w:rsidR="00515807" w:rsidRPr="00801524" w:rsidRDefault="00CF75EF" w:rsidP="0080152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Calibri Light"/>
                <w:bCs/>
                <w:sz w:val="16"/>
                <w:szCs w:val="16"/>
                <w:lang w:eastAsia="en-US"/>
              </w:rPr>
            </w:pPr>
            <w:r>
              <w:rPr>
                <w:rFonts w:eastAsia="Arial" w:cs="Calibri Light"/>
                <w:bCs/>
                <w:sz w:val="16"/>
                <w:szCs w:val="16"/>
                <w:lang w:eastAsia="en-US"/>
              </w:rPr>
              <w:t>10.0</w:t>
            </w:r>
          </w:p>
        </w:tc>
        <w:tc>
          <w:tcPr>
            <w:tcW w:w="427" w:type="pct"/>
            <w:vAlign w:val="center"/>
          </w:tcPr>
          <w:p w14:paraId="0AC1679F" w14:textId="52A5B915" w:rsidR="00801524" w:rsidRPr="005372CE" w:rsidRDefault="00801524" w:rsidP="0080152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Calibri Light"/>
                <w:bCs/>
                <w:sz w:val="16"/>
                <w:szCs w:val="16"/>
                <w:lang w:eastAsia="en-US"/>
              </w:rPr>
            </w:pPr>
            <w:r w:rsidRPr="005372CE">
              <w:rPr>
                <w:rFonts w:eastAsia="Arial" w:cs="Calibri Light"/>
                <w:bCs/>
                <w:sz w:val="16"/>
                <w:szCs w:val="16"/>
                <w:lang w:eastAsia="en-US"/>
              </w:rPr>
              <w:t>10.0</w:t>
            </w:r>
          </w:p>
        </w:tc>
        <w:tc>
          <w:tcPr>
            <w:tcW w:w="539" w:type="pct"/>
          </w:tcPr>
          <w:p w14:paraId="38B0F5D6" w14:textId="1ED6B966" w:rsidR="00801524" w:rsidRPr="005372CE" w:rsidRDefault="005F5403" w:rsidP="0080152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Calibri Light"/>
                <w:sz w:val="16"/>
                <w:szCs w:val="16"/>
                <w:lang w:eastAsia="en-US"/>
              </w:rPr>
            </w:pPr>
            <w:r w:rsidRPr="00F409FB">
              <w:rPr>
                <w:rFonts w:eastAsia="Arial" w:cs="Calibri Light"/>
                <w:bCs/>
                <w:sz w:val="16"/>
                <w:szCs w:val="16"/>
                <w:lang w:eastAsia="en-US"/>
              </w:rPr>
              <w:t>nil</w:t>
            </w:r>
          </w:p>
        </w:tc>
        <w:tc>
          <w:tcPr>
            <w:tcW w:w="562" w:type="pct"/>
          </w:tcPr>
          <w:p w14:paraId="77D3D99F" w14:textId="6A139A2F" w:rsidR="00801524" w:rsidRPr="005372CE" w:rsidRDefault="005F5403" w:rsidP="0080152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Calibri Light"/>
                <w:sz w:val="16"/>
                <w:szCs w:val="16"/>
                <w:lang w:eastAsia="en-US"/>
              </w:rPr>
            </w:pPr>
            <w:r w:rsidRPr="00F409FB">
              <w:rPr>
                <w:rFonts w:eastAsia="Arial" w:cs="Calibri Light"/>
                <w:bCs/>
                <w:sz w:val="16"/>
                <w:szCs w:val="16"/>
                <w:lang w:eastAsia="en-US"/>
              </w:rPr>
              <w:t>nil</w:t>
            </w:r>
          </w:p>
        </w:tc>
        <w:tc>
          <w:tcPr>
            <w:tcW w:w="427" w:type="pct"/>
            <w:vAlign w:val="center"/>
          </w:tcPr>
          <w:p w14:paraId="16319003" w14:textId="792E109C" w:rsidR="00532C4B" w:rsidRPr="005372CE" w:rsidRDefault="008A10EA" w:rsidP="00532C4B">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Calibri Light"/>
                <w:sz w:val="16"/>
                <w:szCs w:val="16"/>
                <w:lang w:eastAsia="en-US"/>
              </w:rPr>
            </w:pPr>
            <w:r w:rsidRPr="00801524">
              <w:rPr>
                <w:rFonts w:eastAsia="Arial" w:cs="Calibri Light"/>
                <w:bCs/>
                <w:sz w:val="16"/>
                <w:szCs w:val="16"/>
                <w:lang w:eastAsia="en-US"/>
              </w:rPr>
              <w:t>10.0</w:t>
            </w:r>
          </w:p>
        </w:tc>
        <w:tc>
          <w:tcPr>
            <w:tcW w:w="425" w:type="pct"/>
            <w:vAlign w:val="center"/>
          </w:tcPr>
          <w:p w14:paraId="1550A286" w14:textId="778DCE55" w:rsidR="00801524" w:rsidRPr="005372CE" w:rsidRDefault="00801524" w:rsidP="00801524">
            <w:pPr>
              <w:spacing w:before="0" w:after="0"/>
              <w:jc w:val="center"/>
              <w:cnfStyle w:val="000000100000" w:firstRow="0" w:lastRow="0" w:firstColumn="0" w:lastColumn="0" w:oddVBand="0" w:evenVBand="0" w:oddHBand="1" w:evenHBand="0" w:firstRowFirstColumn="0" w:firstRowLastColumn="0" w:lastRowFirstColumn="0" w:lastRowLastColumn="0"/>
              <w:rPr>
                <w:rFonts w:eastAsia="Arial" w:cs="Calibri Light"/>
                <w:bCs/>
                <w:sz w:val="16"/>
                <w:szCs w:val="16"/>
                <w:lang w:eastAsia="en-US"/>
              </w:rPr>
            </w:pPr>
            <w:r w:rsidRPr="005372CE">
              <w:rPr>
                <w:rFonts w:eastAsia="Arial" w:cs="Calibri Light"/>
                <w:bCs/>
                <w:sz w:val="16"/>
                <w:szCs w:val="16"/>
                <w:lang w:eastAsia="en-US"/>
              </w:rPr>
              <w:t>10.0</w:t>
            </w:r>
          </w:p>
        </w:tc>
      </w:tr>
      <w:tr w:rsidR="00801524" w:rsidRPr="00801524" w14:paraId="513DCC78" w14:textId="77777777" w:rsidTr="005F5403">
        <w:trPr>
          <w:cantSplit/>
          <w:trHeight w:hRule="exact" w:val="284"/>
        </w:trPr>
        <w:tc>
          <w:tcPr>
            <w:cnfStyle w:val="001000000000" w:firstRow="0" w:lastRow="0" w:firstColumn="1" w:lastColumn="0" w:oddVBand="0" w:evenVBand="0" w:oddHBand="0" w:evenHBand="0" w:firstRowFirstColumn="0" w:firstRowLastColumn="0" w:lastRowFirstColumn="0" w:lastRowLastColumn="0"/>
            <w:tcW w:w="1092" w:type="pct"/>
            <w:vAlign w:val="center"/>
          </w:tcPr>
          <w:p w14:paraId="768BDF14" w14:textId="77777777" w:rsidR="00801524" w:rsidRPr="005372CE" w:rsidRDefault="00801524" w:rsidP="00532C4B">
            <w:pPr>
              <w:spacing w:before="0" w:after="0"/>
              <w:jc w:val="left"/>
              <w:rPr>
                <w:rFonts w:eastAsia="Arial" w:cs="Calibri Light"/>
                <w:b w:val="0"/>
                <w:sz w:val="16"/>
                <w:szCs w:val="16"/>
                <w:lang w:eastAsia="en-US"/>
              </w:rPr>
            </w:pPr>
            <w:r w:rsidRPr="005372CE">
              <w:rPr>
                <w:rFonts w:eastAsia="Arial" w:cs="Calibri Light"/>
                <w:b w:val="0"/>
                <w:sz w:val="16"/>
                <w:szCs w:val="16"/>
                <w:lang w:eastAsia="en-US"/>
              </w:rPr>
              <w:t>NCPD special levy</w:t>
            </w:r>
          </w:p>
        </w:tc>
        <w:tc>
          <w:tcPr>
            <w:tcW w:w="539" w:type="pct"/>
          </w:tcPr>
          <w:p w14:paraId="6EF9F8E0" w14:textId="6CCF0534" w:rsidR="00801524" w:rsidRPr="005372CE" w:rsidRDefault="005F5403" w:rsidP="0080152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Calibri Light"/>
                <w:sz w:val="16"/>
                <w:szCs w:val="16"/>
                <w:lang w:eastAsia="en-US"/>
              </w:rPr>
            </w:pPr>
            <w:r w:rsidRPr="008A32E9">
              <w:rPr>
                <w:rFonts w:eastAsia="Arial" w:cs="Calibri Light"/>
                <w:bCs/>
                <w:sz w:val="16"/>
                <w:szCs w:val="16"/>
                <w:lang w:eastAsia="en-US"/>
              </w:rPr>
              <w:t>nil</w:t>
            </w:r>
          </w:p>
        </w:tc>
        <w:tc>
          <w:tcPr>
            <w:tcW w:w="562" w:type="pct"/>
          </w:tcPr>
          <w:p w14:paraId="06CD97E6" w14:textId="48BBD18E" w:rsidR="00801524" w:rsidRPr="005372CE" w:rsidRDefault="005F5403" w:rsidP="0080152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Calibri Light"/>
                <w:sz w:val="16"/>
                <w:szCs w:val="16"/>
                <w:lang w:eastAsia="en-US"/>
              </w:rPr>
            </w:pPr>
            <w:r w:rsidRPr="008A32E9">
              <w:rPr>
                <w:rFonts w:eastAsia="Arial" w:cs="Calibri Light"/>
                <w:bCs/>
                <w:sz w:val="16"/>
                <w:szCs w:val="16"/>
                <w:lang w:eastAsia="en-US"/>
              </w:rPr>
              <w:t>nil</w:t>
            </w:r>
          </w:p>
        </w:tc>
        <w:tc>
          <w:tcPr>
            <w:tcW w:w="427" w:type="pct"/>
            <w:vAlign w:val="center"/>
          </w:tcPr>
          <w:p w14:paraId="1417E2E5" w14:textId="24AE01ED" w:rsidR="00515807" w:rsidRPr="00801524" w:rsidRDefault="00CF75EF" w:rsidP="0080152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Calibri Light"/>
                <w:bCs/>
                <w:sz w:val="16"/>
                <w:szCs w:val="16"/>
                <w:lang w:eastAsia="en-US"/>
              </w:rPr>
            </w:pPr>
            <w:r>
              <w:rPr>
                <w:rFonts w:eastAsia="Arial" w:cs="Calibri Light"/>
                <w:bCs/>
                <w:sz w:val="16"/>
                <w:szCs w:val="16"/>
                <w:lang w:eastAsia="en-US"/>
              </w:rPr>
              <w:t>1.1</w:t>
            </w:r>
          </w:p>
        </w:tc>
        <w:tc>
          <w:tcPr>
            <w:tcW w:w="427" w:type="pct"/>
            <w:vAlign w:val="center"/>
          </w:tcPr>
          <w:p w14:paraId="18490309" w14:textId="5842C1F6" w:rsidR="00801524" w:rsidRPr="005372CE" w:rsidRDefault="00801524" w:rsidP="0080152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Calibri Light"/>
                <w:sz w:val="16"/>
                <w:szCs w:val="16"/>
                <w:lang w:eastAsia="en-US"/>
              </w:rPr>
            </w:pPr>
            <w:r w:rsidRPr="005372CE">
              <w:rPr>
                <w:rFonts w:eastAsia="Arial" w:cs="Calibri Light"/>
                <w:bCs/>
                <w:sz w:val="16"/>
                <w:szCs w:val="16"/>
                <w:lang w:eastAsia="en-US"/>
              </w:rPr>
              <w:t>1.1</w:t>
            </w:r>
          </w:p>
        </w:tc>
        <w:tc>
          <w:tcPr>
            <w:tcW w:w="539" w:type="pct"/>
          </w:tcPr>
          <w:p w14:paraId="440637C0" w14:textId="6207E73F" w:rsidR="00801524" w:rsidRPr="005372CE" w:rsidRDefault="005F5403" w:rsidP="0080152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Calibri Light"/>
                <w:sz w:val="16"/>
                <w:szCs w:val="16"/>
                <w:lang w:eastAsia="en-US"/>
              </w:rPr>
            </w:pPr>
            <w:r w:rsidRPr="00F409FB">
              <w:rPr>
                <w:rFonts w:eastAsia="Arial" w:cs="Calibri Light"/>
                <w:bCs/>
                <w:sz w:val="16"/>
                <w:szCs w:val="16"/>
                <w:lang w:eastAsia="en-US"/>
              </w:rPr>
              <w:t>nil</w:t>
            </w:r>
          </w:p>
        </w:tc>
        <w:tc>
          <w:tcPr>
            <w:tcW w:w="562" w:type="pct"/>
          </w:tcPr>
          <w:p w14:paraId="3D95A587" w14:textId="1322DDF3" w:rsidR="00801524" w:rsidRPr="005372CE" w:rsidRDefault="005F5403" w:rsidP="0080152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Calibri Light"/>
                <w:sz w:val="16"/>
                <w:szCs w:val="16"/>
                <w:lang w:eastAsia="en-US"/>
              </w:rPr>
            </w:pPr>
            <w:r w:rsidRPr="00F409FB">
              <w:rPr>
                <w:rFonts w:eastAsia="Arial" w:cs="Calibri Light"/>
                <w:bCs/>
                <w:sz w:val="16"/>
                <w:szCs w:val="16"/>
                <w:lang w:eastAsia="en-US"/>
              </w:rPr>
              <w:t>nil</w:t>
            </w:r>
          </w:p>
        </w:tc>
        <w:tc>
          <w:tcPr>
            <w:tcW w:w="427" w:type="pct"/>
            <w:vAlign w:val="center"/>
          </w:tcPr>
          <w:p w14:paraId="0CF0F81F" w14:textId="3D7FB55E" w:rsidR="00532C4B" w:rsidRPr="005372CE" w:rsidRDefault="008A10EA" w:rsidP="00532C4B">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Calibri Light"/>
                <w:sz w:val="16"/>
                <w:szCs w:val="16"/>
                <w:lang w:eastAsia="en-US"/>
              </w:rPr>
            </w:pPr>
            <w:r w:rsidRPr="00801524">
              <w:rPr>
                <w:rFonts w:eastAsia="Arial" w:cs="Calibri Light"/>
                <w:bCs/>
                <w:sz w:val="16"/>
                <w:szCs w:val="16"/>
                <w:lang w:eastAsia="en-US"/>
              </w:rPr>
              <w:t>1.</w:t>
            </w:r>
            <w:r>
              <w:rPr>
                <w:rFonts w:eastAsia="Arial" w:cs="Calibri Light"/>
                <w:bCs/>
                <w:sz w:val="16"/>
                <w:szCs w:val="16"/>
                <w:lang w:eastAsia="en-US"/>
              </w:rPr>
              <w:t>2</w:t>
            </w:r>
          </w:p>
        </w:tc>
        <w:tc>
          <w:tcPr>
            <w:tcW w:w="425" w:type="pct"/>
            <w:vAlign w:val="center"/>
          </w:tcPr>
          <w:p w14:paraId="30FC11A6" w14:textId="0BB07E7B" w:rsidR="00801524" w:rsidRPr="005372CE" w:rsidRDefault="00801524" w:rsidP="00801524">
            <w:pPr>
              <w:spacing w:before="0" w:after="0"/>
              <w:jc w:val="center"/>
              <w:cnfStyle w:val="000000000000" w:firstRow="0" w:lastRow="0" w:firstColumn="0" w:lastColumn="0" w:oddVBand="0" w:evenVBand="0" w:oddHBand="0" w:evenHBand="0" w:firstRowFirstColumn="0" w:firstRowLastColumn="0" w:lastRowFirstColumn="0" w:lastRowLastColumn="0"/>
              <w:rPr>
                <w:rFonts w:eastAsia="Arial" w:cs="Calibri Light"/>
                <w:sz w:val="16"/>
                <w:szCs w:val="16"/>
                <w:lang w:eastAsia="en-US"/>
              </w:rPr>
            </w:pPr>
            <w:r w:rsidRPr="005372CE">
              <w:rPr>
                <w:rFonts w:eastAsia="Arial" w:cs="Calibri Light"/>
                <w:bCs/>
                <w:sz w:val="16"/>
                <w:szCs w:val="16"/>
                <w:lang w:eastAsia="en-US"/>
              </w:rPr>
              <w:t>1.2</w:t>
            </w:r>
          </w:p>
        </w:tc>
      </w:tr>
      <w:tr w:rsidR="00801524" w:rsidRPr="00801524" w14:paraId="39FA1ADF" w14:textId="77777777" w:rsidTr="00BA3AE7">
        <w:trPr>
          <w:cnfStyle w:val="010000000000" w:firstRow="0" w:lastRow="1" w:firstColumn="0" w:lastColumn="0" w:oddVBand="0" w:evenVBand="0" w:oddHBand="0" w:evenHBand="0" w:firstRowFirstColumn="0" w:firstRowLastColumn="0" w:lastRowFirstColumn="0" w:lastRowLastColumn="0"/>
          <w:cantSplit/>
          <w:trHeight w:hRule="exact" w:val="284"/>
        </w:trPr>
        <w:tc>
          <w:tcPr>
            <w:cnfStyle w:val="001000000000" w:firstRow="0" w:lastRow="0" w:firstColumn="1" w:lastColumn="0" w:oddVBand="0" w:evenVBand="0" w:oddHBand="0" w:evenHBand="0" w:firstRowFirstColumn="0" w:firstRowLastColumn="0" w:lastRowFirstColumn="0" w:lastRowLastColumn="0"/>
            <w:tcW w:w="1092" w:type="pct"/>
            <w:vAlign w:val="center"/>
          </w:tcPr>
          <w:p w14:paraId="4AD9F627" w14:textId="77777777" w:rsidR="00801524" w:rsidRPr="00801524" w:rsidRDefault="00801524" w:rsidP="00801524">
            <w:pPr>
              <w:spacing w:before="0" w:after="0"/>
              <w:rPr>
                <w:rFonts w:eastAsia="Arial" w:cs="Calibri Light"/>
                <w:sz w:val="16"/>
                <w:szCs w:val="16"/>
                <w:lang w:eastAsia="en-US"/>
              </w:rPr>
            </w:pPr>
            <w:r w:rsidRPr="00801524">
              <w:rPr>
                <w:rFonts w:eastAsia="Arial" w:cs="Calibri Light"/>
                <w:sz w:val="16"/>
                <w:szCs w:val="16"/>
                <w:lang w:eastAsia="en-US"/>
              </w:rPr>
              <w:t>Total</w:t>
            </w:r>
          </w:p>
        </w:tc>
        <w:tc>
          <w:tcPr>
            <w:tcW w:w="539" w:type="pct"/>
            <w:vAlign w:val="center"/>
          </w:tcPr>
          <w:p w14:paraId="26C518DA" w14:textId="798E3FBE" w:rsidR="00801524" w:rsidRPr="00801524" w:rsidRDefault="00C41F2A" w:rsidP="00801524">
            <w:pPr>
              <w:spacing w:before="0" w:after="0"/>
              <w:jc w:val="center"/>
              <w:cnfStyle w:val="010000000000" w:firstRow="0" w:lastRow="1" w:firstColumn="0" w:lastColumn="0" w:oddVBand="0" w:evenVBand="0" w:oddHBand="0" w:evenHBand="0" w:firstRowFirstColumn="0" w:firstRowLastColumn="0" w:lastRowFirstColumn="0" w:lastRowLastColumn="0"/>
              <w:rPr>
                <w:rFonts w:eastAsia="Arial" w:cs="Calibri Light"/>
                <w:sz w:val="16"/>
                <w:szCs w:val="16"/>
                <w:lang w:eastAsia="en-US"/>
              </w:rPr>
            </w:pPr>
            <w:r>
              <w:rPr>
                <w:rFonts w:eastAsia="Arial" w:cs="Calibri Light"/>
                <w:sz w:val="16"/>
                <w:szCs w:val="16"/>
                <w:lang w:eastAsia="en-US"/>
              </w:rPr>
              <w:t>131.</w:t>
            </w:r>
            <w:r w:rsidR="009F7CDF">
              <w:rPr>
                <w:rFonts w:eastAsia="Arial" w:cs="Calibri Light"/>
                <w:sz w:val="16"/>
                <w:szCs w:val="16"/>
                <w:lang w:eastAsia="en-US"/>
              </w:rPr>
              <w:t>6</w:t>
            </w:r>
          </w:p>
        </w:tc>
        <w:tc>
          <w:tcPr>
            <w:tcW w:w="562" w:type="pct"/>
            <w:vAlign w:val="center"/>
          </w:tcPr>
          <w:p w14:paraId="72571F23" w14:textId="353618FA" w:rsidR="00801524" w:rsidRPr="00801524" w:rsidRDefault="00A74522" w:rsidP="00801524">
            <w:pPr>
              <w:spacing w:before="0" w:after="0"/>
              <w:jc w:val="center"/>
              <w:cnfStyle w:val="010000000000" w:firstRow="0" w:lastRow="1" w:firstColumn="0" w:lastColumn="0" w:oddVBand="0" w:evenVBand="0" w:oddHBand="0" w:evenHBand="0" w:firstRowFirstColumn="0" w:firstRowLastColumn="0" w:lastRowFirstColumn="0" w:lastRowLastColumn="0"/>
              <w:rPr>
                <w:rFonts w:eastAsia="Arial" w:cs="Calibri Light"/>
                <w:sz w:val="16"/>
                <w:szCs w:val="16"/>
                <w:lang w:eastAsia="en-US"/>
              </w:rPr>
            </w:pPr>
            <w:r>
              <w:rPr>
                <w:rFonts w:eastAsia="Arial" w:cs="Calibri Light"/>
                <w:sz w:val="16"/>
                <w:szCs w:val="16"/>
                <w:lang w:eastAsia="en-US"/>
              </w:rPr>
              <w:t>103.4</w:t>
            </w:r>
          </w:p>
        </w:tc>
        <w:tc>
          <w:tcPr>
            <w:tcW w:w="427" w:type="pct"/>
            <w:vAlign w:val="center"/>
          </w:tcPr>
          <w:p w14:paraId="4A71A53C" w14:textId="25F89FBC" w:rsidR="00515807" w:rsidRPr="00801524" w:rsidRDefault="0051609D" w:rsidP="00801524">
            <w:pPr>
              <w:spacing w:before="0" w:after="0"/>
              <w:jc w:val="center"/>
              <w:cnfStyle w:val="010000000000" w:firstRow="0" w:lastRow="1" w:firstColumn="0" w:lastColumn="0" w:oddVBand="0" w:evenVBand="0" w:oddHBand="0" w:evenHBand="0" w:firstRowFirstColumn="0" w:firstRowLastColumn="0" w:lastRowFirstColumn="0" w:lastRowLastColumn="0"/>
              <w:rPr>
                <w:rFonts w:eastAsia="Arial" w:cs="Calibri Light"/>
                <w:sz w:val="16"/>
                <w:szCs w:val="16"/>
                <w:lang w:eastAsia="en-US"/>
              </w:rPr>
            </w:pPr>
            <w:r>
              <w:rPr>
                <w:rFonts w:eastAsia="Arial" w:cs="Calibri Light"/>
                <w:sz w:val="16"/>
                <w:szCs w:val="16"/>
                <w:lang w:eastAsia="en-US"/>
              </w:rPr>
              <w:t>11.1</w:t>
            </w:r>
          </w:p>
        </w:tc>
        <w:tc>
          <w:tcPr>
            <w:tcW w:w="427" w:type="pct"/>
            <w:vAlign w:val="center"/>
          </w:tcPr>
          <w:p w14:paraId="1352678C" w14:textId="428A3074" w:rsidR="00801524" w:rsidRPr="00801524" w:rsidRDefault="00801524" w:rsidP="00801524">
            <w:pPr>
              <w:spacing w:before="0" w:after="0"/>
              <w:jc w:val="center"/>
              <w:cnfStyle w:val="010000000000" w:firstRow="0" w:lastRow="1" w:firstColumn="0" w:lastColumn="0" w:oddVBand="0" w:evenVBand="0" w:oddHBand="0" w:evenHBand="0" w:firstRowFirstColumn="0" w:firstRowLastColumn="0" w:lastRowFirstColumn="0" w:lastRowLastColumn="0"/>
              <w:rPr>
                <w:rFonts w:eastAsia="Arial" w:cs="Calibri Light"/>
                <w:sz w:val="16"/>
                <w:szCs w:val="16"/>
                <w:lang w:eastAsia="en-US"/>
              </w:rPr>
            </w:pPr>
            <w:r w:rsidRPr="00801524">
              <w:rPr>
                <w:rFonts w:eastAsia="Arial" w:cs="Calibri Light"/>
                <w:sz w:val="16"/>
                <w:szCs w:val="16"/>
                <w:lang w:eastAsia="en-US"/>
              </w:rPr>
              <w:t>246.1</w:t>
            </w:r>
          </w:p>
        </w:tc>
        <w:tc>
          <w:tcPr>
            <w:tcW w:w="539" w:type="pct"/>
            <w:vAlign w:val="center"/>
          </w:tcPr>
          <w:p w14:paraId="5B5B13A4" w14:textId="269B1A88" w:rsidR="00801524" w:rsidRPr="00801524" w:rsidRDefault="00D663E2" w:rsidP="00801524">
            <w:pPr>
              <w:spacing w:before="0" w:after="0"/>
              <w:jc w:val="center"/>
              <w:cnfStyle w:val="010000000000" w:firstRow="0" w:lastRow="1" w:firstColumn="0" w:lastColumn="0" w:oddVBand="0" w:evenVBand="0" w:oddHBand="0" w:evenHBand="0" w:firstRowFirstColumn="0" w:firstRowLastColumn="0" w:lastRowFirstColumn="0" w:lastRowLastColumn="0"/>
              <w:rPr>
                <w:rFonts w:eastAsia="Arial" w:cs="Calibri Light"/>
                <w:sz w:val="16"/>
                <w:szCs w:val="16"/>
                <w:lang w:eastAsia="en-US"/>
              </w:rPr>
            </w:pPr>
            <w:r>
              <w:rPr>
                <w:rFonts w:eastAsia="Arial" w:cs="Calibri Light"/>
                <w:sz w:val="16"/>
                <w:szCs w:val="16"/>
                <w:lang w:eastAsia="en-US"/>
              </w:rPr>
              <w:t>136.8</w:t>
            </w:r>
          </w:p>
        </w:tc>
        <w:tc>
          <w:tcPr>
            <w:tcW w:w="562" w:type="pct"/>
            <w:vAlign w:val="center"/>
          </w:tcPr>
          <w:p w14:paraId="500D53BE" w14:textId="13ACBCED" w:rsidR="00801524" w:rsidRPr="00801524" w:rsidRDefault="00543EED" w:rsidP="00801524">
            <w:pPr>
              <w:spacing w:before="0" w:after="0"/>
              <w:jc w:val="center"/>
              <w:cnfStyle w:val="010000000000" w:firstRow="0" w:lastRow="1" w:firstColumn="0" w:lastColumn="0" w:oddVBand="0" w:evenVBand="0" w:oddHBand="0" w:evenHBand="0" w:firstRowFirstColumn="0" w:firstRowLastColumn="0" w:lastRowFirstColumn="0" w:lastRowLastColumn="0"/>
              <w:rPr>
                <w:rFonts w:eastAsia="Arial" w:cs="Calibri Light"/>
                <w:sz w:val="16"/>
                <w:szCs w:val="16"/>
                <w:lang w:eastAsia="en-US"/>
              </w:rPr>
            </w:pPr>
            <w:r w:rsidRPr="00543EED">
              <w:rPr>
                <w:rFonts w:eastAsia="Arial" w:cs="Calibri Light"/>
                <w:sz w:val="16"/>
                <w:szCs w:val="16"/>
                <w:lang w:eastAsia="en-US"/>
              </w:rPr>
              <w:t>95.0</w:t>
            </w:r>
          </w:p>
        </w:tc>
        <w:tc>
          <w:tcPr>
            <w:tcW w:w="427" w:type="pct"/>
            <w:vAlign w:val="center"/>
          </w:tcPr>
          <w:p w14:paraId="13DD88C5" w14:textId="64A32B32" w:rsidR="00532C4B" w:rsidRPr="00801524" w:rsidRDefault="00BA3AE7" w:rsidP="00532C4B">
            <w:pPr>
              <w:spacing w:before="0" w:after="0"/>
              <w:jc w:val="center"/>
              <w:cnfStyle w:val="010000000000" w:firstRow="0" w:lastRow="1" w:firstColumn="0" w:lastColumn="0" w:oddVBand="0" w:evenVBand="0" w:oddHBand="0" w:evenHBand="0" w:firstRowFirstColumn="0" w:firstRowLastColumn="0" w:lastRowFirstColumn="0" w:lastRowLastColumn="0"/>
              <w:rPr>
                <w:rFonts w:eastAsia="Arial" w:cs="Calibri Light"/>
                <w:sz w:val="16"/>
                <w:szCs w:val="16"/>
                <w:lang w:eastAsia="en-US"/>
              </w:rPr>
            </w:pPr>
            <w:r>
              <w:rPr>
                <w:rFonts w:eastAsia="Arial" w:cs="Calibri Light"/>
                <w:sz w:val="16"/>
                <w:szCs w:val="16"/>
                <w:lang w:eastAsia="en-US"/>
              </w:rPr>
              <w:t>11.2</w:t>
            </w:r>
          </w:p>
        </w:tc>
        <w:tc>
          <w:tcPr>
            <w:tcW w:w="425" w:type="pct"/>
            <w:vAlign w:val="center"/>
          </w:tcPr>
          <w:p w14:paraId="2A527FB5" w14:textId="508B8797" w:rsidR="00801524" w:rsidRPr="00801524" w:rsidRDefault="00801524" w:rsidP="00801524">
            <w:pPr>
              <w:spacing w:before="0" w:after="0"/>
              <w:jc w:val="center"/>
              <w:cnfStyle w:val="010000000000" w:firstRow="0" w:lastRow="1" w:firstColumn="0" w:lastColumn="0" w:oddVBand="0" w:evenVBand="0" w:oddHBand="0" w:evenHBand="0" w:firstRowFirstColumn="0" w:firstRowLastColumn="0" w:lastRowFirstColumn="0" w:lastRowLastColumn="0"/>
              <w:rPr>
                <w:rFonts w:eastAsia="Arial" w:cs="Calibri Light"/>
                <w:sz w:val="16"/>
                <w:szCs w:val="16"/>
                <w:lang w:eastAsia="en-US"/>
              </w:rPr>
            </w:pPr>
            <w:r w:rsidRPr="00801524">
              <w:rPr>
                <w:rFonts w:eastAsia="Arial" w:cs="Calibri Light"/>
                <w:sz w:val="16"/>
                <w:szCs w:val="16"/>
                <w:lang w:eastAsia="en-US"/>
              </w:rPr>
              <w:t>243.0</w:t>
            </w:r>
          </w:p>
        </w:tc>
      </w:tr>
    </w:tbl>
    <w:p w14:paraId="4CFDDED1" w14:textId="18C614A8" w:rsidR="00762E42" w:rsidRPr="005372CE" w:rsidRDefault="003C6509" w:rsidP="005378B1">
      <w:pPr>
        <w:pStyle w:val="Heading1"/>
        <w:spacing w:before="240"/>
        <w:rPr>
          <w:color w:val="auto"/>
        </w:rPr>
      </w:pPr>
      <w:r w:rsidRPr="005378B1">
        <w:rPr>
          <w:color w:val="auto"/>
        </w:rPr>
        <w:t xml:space="preserve">Total sectoral levies arrangements for </w:t>
      </w:r>
      <w:bookmarkEnd w:id="94"/>
      <w:bookmarkEnd w:id="95"/>
      <w:bookmarkEnd w:id="96"/>
      <w:bookmarkEnd w:id="97"/>
      <w:bookmarkEnd w:id="98"/>
      <w:r w:rsidR="009907C4" w:rsidRPr="005378B1">
        <w:rPr>
          <w:color w:val="auto"/>
        </w:rPr>
        <w:t>202</w:t>
      </w:r>
      <w:r w:rsidR="009907C4">
        <w:rPr>
          <w:color w:val="auto"/>
        </w:rPr>
        <w:t>5</w:t>
      </w:r>
      <w:r w:rsidR="00CE76AA" w:rsidRPr="00D65DC8">
        <w:rPr>
          <w:color w:val="000000" w:themeColor="text1"/>
        </w:rPr>
        <w:t>–</w:t>
      </w:r>
      <w:r w:rsidR="009907C4" w:rsidRPr="005378B1">
        <w:rPr>
          <w:color w:val="auto"/>
        </w:rPr>
        <w:t>2</w:t>
      </w:r>
      <w:r w:rsidR="009907C4">
        <w:rPr>
          <w:color w:val="auto"/>
        </w:rPr>
        <w:t>6</w:t>
      </w:r>
      <w:bookmarkEnd w:id="99"/>
    </w:p>
    <w:p w14:paraId="4259C720" w14:textId="5E11BAD9" w:rsidR="00762E42" w:rsidRPr="005378B1" w:rsidRDefault="003C6509" w:rsidP="005378B1">
      <w:pPr>
        <w:rPr>
          <w:b/>
          <w:snapToGrid w:val="0"/>
        </w:rPr>
      </w:pPr>
      <w:r w:rsidRPr="005378B1">
        <w:t>Table 7 itemises the total levies require</w:t>
      </w:r>
      <w:r w:rsidR="007D7675">
        <w:t>d in 2025-26 from each regulated industry.</w:t>
      </w:r>
    </w:p>
    <w:p w14:paraId="0938F03E" w14:textId="4CD62F91" w:rsidR="00762E42" w:rsidRPr="005378B1" w:rsidRDefault="003C6509" w:rsidP="005378B1">
      <w:pPr>
        <w:pStyle w:val="TableMainHeading"/>
        <w:rPr>
          <w:color w:val="auto"/>
        </w:rPr>
      </w:pPr>
      <w:bookmarkStart w:id="100" w:name="_Toc104212353"/>
      <w:bookmarkStart w:id="101" w:name="_Toc192616576"/>
      <w:bookmarkStart w:id="102" w:name="_Toc192616750"/>
      <w:r w:rsidRPr="005378B1">
        <w:rPr>
          <w:color w:val="auto"/>
        </w:rPr>
        <w:t>Table 7: Total levies by industry</w:t>
      </w:r>
      <w:bookmarkEnd w:id="100"/>
      <w:bookmarkEnd w:id="101"/>
      <w:bookmarkEnd w:id="102"/>
    </w:p>
    <w:tbl>
      <w:tblPr>
        <w:tblStyle w:val="TableGridLigh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2489"/>
        <w:gridCol w:w="938"/>
        <w:gridCol w:w="938"/>
        <w:gridCol w:w="939"/>
        <w:gridCol w:w="939"/>
        <w:gridCol w:w="939"/>
        <w:gridCol w:w="939"/>
        <w:gridCol w:w="939"/>
      </w:tblGrid>
      <w:tr w:rsidR="00305AEE" w:rsidRPr="00305AEE" w14:paraId="6B974DF8" w14:textId="77777777" w:rsidTr="005372CE">
        <w:trPr>
          <w:cantSplit/>
          <w:tblHeader/>
        </w:trPr>
        <w:tc>
          <w:tcPr>
            <w:tcW w:w="1374" w:type="pct"/>
            <w:shd w:val="clear" w:color="auto" w:fill="EEEEEE" w:themeFill="background2"/>
            <w:vAlign w:val="center"/>
          </w:tcPr>
          <w:p w14:paraId="76C72762" w14:textId="77777777" w:rsidR="00305AEE" w:rsidRPr="005372CE" w:rsidRDefault="00305AEE" w:rsidP="005372CE">
            <w:pPr>
              <w:spacing w:before="0" w:after="0"/>
              <w:rPr>
                <w:rFonts w:eastAsia="Arial" w:cs="Calibri Light"/>
                <w:b/>
                <w:bCs/>
                <w:color w:val="000000"/>
                <w:kern w:val="2"/>
                <w:sz w:val="16"/>
                <w:szCs w:val="16"/>
                <w:lang w:eastAsia="en-US"/>
                <w14:ligatures w14:val="standardContextual"/>
              </w:rPr>
            </w:pPr>
            <w:bookmarkStart w:id="103" w:name="_Toc1575308"/>
            <w:bookmarkStart w:id="104" w:name="_Toc1577992"/>
            <w:bookmarkStart w:id="105" w:name="_Toc1578911"/>
            <w:bookmarkStart w:id="106" w:name="_Toc4662146"/>
            <w:bookmarkStart w:id="107" w:name="_Toc98841582"/>
            <w:bookmarkStart w:id="108" w:name="_Toc192616751"/>
            <w:r w:rsidRPr="005372CE">
              <w:rPr>
                <w:rFonts w:eastAsia="Arial" w:cs="Calibri Light"/>
                <w:b/>
                <w:bCs/>
                <w:color w:val="000000"/>
                <w:kern w:val="2"/>
                <w:sz w:val="16"/>
                <w:szCs w:val="16"/>
                <w:lang w:eastAsia="en-US"/>
                <w14:ligatures w14:val="standardContextual"/>
              </w:rPr>
              <w:t>Industry</w:t>
            </w:r>
          </w:p>
        </w:tc>
        <w:tc>
          <w:tcPr>
            <w:tcW w:w="518" w:type="pct"/>
            <w:shd w:val="clear" w:color="auto" w:fill="EEEEEE" w:themeFill="background2"/>
            <w:vAlign w:val="center"/>
          </w:tcPr>
          <w:p w14:paraId="513ED63C" w14:textId="77777777" w:rsidR="00305AEE" w:rsidRPr="005372CE" w:rsidRDefault="00305AEE" w:rsidP="005372CE">
            <w:pPr>
              <w:spacing w:before="0" w:after="0"/>
              <w:jc w:val="center"/>
              <w:rPr>
                <w:rFonts w:eastAsia="Arial" w:cs="Calibri Light"/>
                <w:b/>
                <w:bCs/>
                <w:color w:val="000000"/>
                <w:kern w:val="2"/>
                <w:sz w:val="16"/>
                <w:szCs w:val="16"/>
                <w:lang w:eastAsia="en-US"/>
                <w14:ligatures w14:val="standardContextual"/>
              </w:rPr>
            </w:pPr>
            <w:r w:rsidRPr="005372CE">
              <w:rPr>
                <w:rFonts w:eastAsia="Arial" w:cs="Calibri Light"/>
                <w:b/>
                <w:bCs/>
                <w:color w:val="000000"/>
                <w:kern w:val="2"/>
                <w:sz w:val="16"/>
                <w:szCs w:val="16"/>
                <w:lang w:eastAsia="en-US"/>
                <w14:ligatures w14:val="standardContextual"/>
              </w:rPr>
              <w:t>APRA ($m)</w:t>
            </w:r>
          </w:p>
        </w:tc>
        <w:tc>
          <w:tcPr>
            <w:tcW w:w="518" w:type="pct"/>
            <w:shd w:val="clear" w:color="auto" w:fill="EEEEEE" w:themeFill="background2"/>
            <w:vAlign w:val="center"/>
          </w:tcPr>
          <w:p w14:paraId="72AD8A8B" w14:textId="77777777" w:rsidR="00305AEE" w:rsidRPr="005372CE" w:rsidRDefault="00305AEE" w:rsidP="005372CE">
            <w:pPr>
              <w:spacing w:before="0" w:after="0"/>
              <w:jc w:val="center"/>
              <w:rPr>
                <w:rFonts w:eastAsia="Arial" w:cs="Calibri Light"/>
                <w:b/>
                <w:bCs/>
                <w:color w:val="000000"/>
                <w:kern w:val="2"/>
                <w:sz w:val="16"/>
                <w:szCs w:val="16"/>
                <w:lang w:eastAsia="en-US"/>
                <w14:ligatures w14:val="standardContextual"/>
              </w:rPr>
            </w:pPr>
            <w:r w:rsidRPr="005372CE">
              <w:rPr>
                <w:rFonts w:eastAsia="Arial" w:cs="Calibri Light"/>
                <w:b/>
                <w:bCs/>
                <w:color w:val="000000"/>
                <w:kern w:val="2"/>
                <w:sz w:val="16"/>
                <w:szCs w:val="16"/>
                <w:lang w:eastAsia="en-US"/>
                <w14:ligatures w14:val="standardContextual"/>
              </w:rPr>
              <w:t>ATO ($m)</w:t>
            </w:r>
          </w:p>
        </w:tc>
        <w:tc>
          <w:tcPr>
            <w:tcW w:w="518" w:type="pct"/>
            <w:shd w:val="clear" w:color="auto" w:fill="EEEEEE" w:themeFill="background2"/>
            <w:vAlign w:val="center"/>
          </w:tcPr>
          <w:p w14:paraId="06A8F308" w14:textId="77777777" w:rsidR="00305AEE" w:rsidRPr="005372CE" w:rsidRDefault="00305AEE" w:rsidP="005372CE">
            <w:pPr>
              <w:spacing w:before="0" w:after="0"/>
              <w:jc w:val="center"/>
              <w:rPr>
                <w:rFonts w:eastAsia="Arial" w:cs="Calibri Light"/>
                <w:b/>
                <w:bCs/>
                <w:color w:val="000000"/>
                <w:kern w:val="2"/>
                <w:sz w:val="16"/>
                <w:szCs w:val="16"/>
                <w:lang w:eastAsia="en-US"/>
                <w14:ligatures w14:val="standardContextual"/>
              </w:rPr>
            </w:pPr>
            <w:r w:rsidRPr="005372CE">
              <w:rPr>
                <w:rFonts w:eastAsia="Arial" w:cs="Calibri Light"/>
                <w:b/>
                <w:bCs/>
                <w:color w:val="000000"/>
                <w:kern w:val="2"/>
                <w:sz w:val="16"/>
                <w:szCs w:val="16"/>
                <w:lang w:eastAsia="en-US"/>
                <w14:ligatures w14:val="standardContextual"/>
              </w:rPr>
              <w:t>GNGB ($m)</w:t>
            </w:r>
          </w:p>
        </w:tc>
        <w:tc>
          <w:tcPr>
            <w:tcW w:w="518" w:type="pct"/>
            <w:shd w:val="clear" w:color="auto" w:fill="EEEEEE" w:themeFill="background2"/>
            <w:vAlign w:val="center"/>
          </w:tcPr>
          <w:p w14:paraId="1A802930" w14:textId="77777777" w:rsidR="00305AEE" w:rsidRPr="005372CE" w:rsidRDefault="00305AEE" w:rsidP="005372CE">
            <w:pPr>
              <w:spacing w:before="0" w:after="0"/>
              <w:jc w:val="center"/>
              <w:rPr>
                <w:rFonts w:eastAsia="Arial" w:cs="Calibri Light"/>
                <w:b/>
                <w:bCs/>
                <w:color w:val="000000"/>
                <w:kern w:val="2"/>
                <w:sz w:val="16"/>
                <w:szCs w:val="16"/>
                <w:lang w:eastAsia="en-US"/>
                <w14:ligatures w14:val="standardContextual"/>
              </w:rPr>
            </w:pPr>
            <w:r w:rsidRPr="005372CE">
              <w:rPr>
                <w:rFonts w:eastAsia="Arial" w:cs="Calibri Light"/>
                <w:b/>
                <w:bCs/>
                <w:color w:val="000000"/>
                <w:kern w:val="2"/>
                <w:sz w:val="16"/>
                <w:szCs w:val="16"/>
                <w:lang w:eastAsia="en-US"/>
                <w14:ligatures w14:val="standardContextual"/>
              </w:rPr>
              <w:t>Treasury ($m)</w:t>
            </w:r>
          </w:p>
        </w:tc>
        <w:tc>
          <w:tcPr>
            <w:tcW w:w="518" w:type="pct"/>
            <w:shd w:val="clear" w:color="auto" w:fill="EEEEEE" w:themeFill="background2"/>
            <w:vAlign w:val="center"/>
          </w:tcPr>
          <w:p w14:paraId="41B8E184" w14:textId="77777777" w:rsidR="00305AEE" w:rsidRPr="005372CE" w:rsidRDefault="00305AEE" w:rsidP="005372CE">
            <w:pPr>
              <w:spacing w:before="0" w:after="0"/>
              <w:jc w:val="center"/>
              <w:rPr>
                <w:rFonts w:eastAsia="Arial" w:cs="Calibri Light"/>
                <w:b/>
                <w:bCs/>
                <w:color w:val="000000"/>
                <w:kern w:val="2"/>
                <w:sz w:val="16"/>
                <w:szCs w:val="16"/>
                <w:lang w:eastAsia="en-US"/>
                <w14:ligatures w14:val="standardContextual"/>
              </w:rPr>
            </w:pPr>
            <w:r w:rsidRPr="005372CE">
              <w:rPr>
                <w:rFonts w:eastAsia="Arial" w:cs="Calibri Light"/>
                <w:b/>
                <w:bCs/>
                <w:color w:val="000000"/>
                <w:kern w:val="2"/>
                <w:sz w:val="16"/>
                <w:szCs w:val="16"/>
                <w:lang w:eastAsia="en-US"/>
                <w14:ligatures w14:val="standardContextual"/>
              </w:rPr>
              <w:t>2025-26 Total ($m)</w:t>
            </w:r>
          </w:p>
        </w:tc>
        <w:tc>
          <w:tcPr>
            <w:tcW w:w="518" w:type="pct"/>
            <w:shd w:val="clear" w:color="auto" w:fill="EEEEEE" w:themeFill="background2"/>
            <w:vAlign w:val="center"/>
          </w:tcPr>
          <w:p w14:paraId="6CB05EF1" w14:textId="77777777" w:rsidR="00305AEE" w:rsidRPr="005372CE" w:rsidRDefault="00305AEE" w:rsidP="005372CE">
            <w:pPr>
              <w:spacing w:before="0" w:after="0"/>
              <w:jc w:val="center"/>
              <w:rPr>
                <w:rFonts w:eastAsia="Arial" w:cs="Calibri Light"/>
                <w:b/>
                <w:bCs/>
                <w:color w:val="000000"/>
                <w:kern w:val="2"/>
                <w:sz w:val="16"/>
                <w:szCs w:val="16"/>
                <w:lang w:eastAsia="en-US"/>
                <w14:ligatures w14:val="standardContextual"/>
              </w:rPr>
            </w:pPr>
            <w:r w:rsidRPr="005372CE">
              <w:rPr>
                <w:rFonts w:eastAsia="Arial" w:cs="Calibri Light"/>
                <w:b/>
                <w:bCs/>
                <w:color w:val="000000"/>
                <w:kern w:val="2"/>
                <w:sz w:val="16"/>
                <w:szCs w:val="16"/>
                <w:lang w:eastAsia="en-US"/>
                <w14:ligatures w14:val="standardContextual"/>
              </w:rPr>
              <w:t>2024-25 Total ($m)</w:t>
            </w:r>
          </w:p>
        </w:tc>
        <w:tc>
          <w:tcPr>
            <w:tcW w:w="518" w:type="pct"/>
            <w:shd w:val="clear" w:color="auto" w:fill="EEEEEE" w:themeFill="background2"/>
            <w:vAlign w:val="center"/>
          </w:tcPr>
          <w:p w14:paraId="45372329" w14:textId="77777777" w:rsidR="00305AEE" w:rsidRPr="005372CE" w:rsidRDefault="00305AEE" w:rsidP="005372CE">
            <w:pPr>
              <w:spacing w:before="0" w:after="0"/>
              <w:jc w:val="center"/>
              <w:rPr>
                <w:rFonts w:eastAsia="Arial" w:cs="Calibri Light"/>
                <w:b/>
                <w:color w:val="000000"/>
                <w:kern w:val="2"/>
                <w:sz w:val="16"/>
                <w:szCs w:val="16"/>
                <w:lang w:eastAsia="en-US"/>
                <w14:ligatures w14:val="standardContextual"/>
              </w:rPr>
            </w:pPr>
            <w:r w:rsidRPr="005372CE">
              <w:rPr>
                <w:rFonts w:eastAsia="Arial" w:cs="Calibri Light"/>
                <w:b/>
                <w:bCs/>
                <w:color w:val="000000"/>
                <w:kern w:val="2"/>
                <w:sz w:val="16"/>
                <w:szCs w:val="16"/>
                <w:lang w:eastAsia="en-US"/>
                <w14:ligatures w14:val="standardContextual"/>
              </w:rPr>
              <w:t>Increase/</w:t>
            </w:r>
          </w:p>
          <w:p w14:paraId="6F4CAD0A" w14:textId="77777777" w:rsidR="00305AEE" w:rsidRPr="005372CE" w:rsidRDefault="00305AEE" w:rsidP="005372CE">
            <w:pPr>
              <w:spacing w:before="0" w:after="0"/>
              <w:jc w:val="center"/>
              <w:rPr>
                <w:rFonts w:eastAsia="Arial" w:cs="Calibri Light"/>
                <w:b/>
                <w:bCs/>
                <w:color w:val="000000"/>
                <w:kern w:val="2"/>
                <w:sz w:val="16"/>
                <w:szCs w:val="16"/>
                <w:lang w:eastAsia="en-US"/>
                <w14:ligatures w14:val="standardContextual"/>
              </w:rPr>
            </w:pPr>
            <w:r w:rsidRPr="005372CE">
              <w:rPr>
                <w:rFonts w:eastAsia="Arial" w:cs="Calibri Light"/>
                <w:b/>
                <w:bCs/>
                <w:color w:val="000000"/>
                <w:kern w:val="2"/>
                <w:sz w:val="16"/>
                <w:szCs w:val="16"/>
                <w:lang w:eastAsia="en-US"/>
                <w14:ligatures w14:val="standardContextual"/>
              </w:rPr>
              <w:t>(decrease) ($m)</w:t>
            </w:r>
          </w:p>
        </w:tc>
      </w:tr>
      <w:tr w:rsidR="00305AEE" w:rsidRPr="00305AEE" w14:paraId="5E61441F" w14:textId="77777777" w:rsidTr="005372CE">
        <w:trPr>
          <w:trHeight w:val="283"/>
        </w:trPr>
        <w:tc>
          <w:tcPr>
            <w:tcW w:w="1374" w:type="pct"/>
          </w:tcPr>
          <w:p w14:paraId="26970E51" w14:textId="77777777" w:rsidR="00305AEE" w:rsidRPr="00305AEE" w:rsidRDefault="00305AEE" w:rsidP="00305AEE">
            <w:pPr>
              <w:spacing w:before="0" w:after="0"/>
              <w:rPr>
                <w:rFonts w:eastAsia="Arial" w:cs="Calibri Light"/>
                <w:bCs/>
                <w:color w:val="000000"/>
                <w:kern w:val="2"/>
                <w:sz w:val="16"/>
                <w:szCs w:val="16"/>
                <w:lang w:eastAsia="en-US"/>
                <w14:ligatures w14:val="standardContextual"/>
              </w:rPr>
            </w:pPr>
            <w:r w:rsidRPr="00305AEE">
              <w:rPr>
                <w:rFonts w:eastAsia="Arial" w:cs="Calibri Light"/>
                <w:bCs/>
                <w:color w:val="000000"/>
                <w:kern w:val="2"/>
                <w:sz w:val="16"/>
                <w:szCs w:val="16"/>
                <w:lang w:eastAsia="en-US"/>
                <w14:ligatures w14:val="standardContextual"/>
              </w:rPr>
              <w:t>ADIs</w:t>
            </w:r>
          </w:p>
        </w:tc>
        <w:tc>
          <w:tcPr>
            <w:tcW w:w="518" w:type="pct"/>
          </w:tcPr>
          <w:p w14:paraId="0C0D1092" w14:textId="77777777" w:rsidR="00305AEE" w:rsidRPr="00305AEE" w:rsidRDefault="00305AEE" w:rsidP="00305AEE">
            <w:pPr>
              <w:spacing w:before="0" w:after="0"/>
              <w:jc w:val="center"/>
              <w:rPr>
                <w:rFonts w:eastAsia="Arial" w:cs="Calibri Light"/>
                <w:color w:val="000000"/>
                <w:kern w:val="2"/>
                <w:sz w:val="16"/>
                <w:szCs w:val="16"/>
                <w:lang w:eastAsia="en-US"/>
                <w14:ligatures w14:val="standardContextual"/>
              </w:rPr>
            </w:pPr>
            <w:r w:rsidRPr="00305AEE">
              <w:rPr>
                <w:rFonts w:eastAsia="Arial" w:cs="Calibri Light"/>
                <w:bCs/>
                <w:color w:val="000000"/>
                <w:kern w:val="2"/>
                <w:sz w:val="16"/>
                <w:szCs w:val="16"/>
                <w:lang w:eastAsia="en-US"/>
                <w14:ligatures w14:val="standardContextual"/>
              </w:rPr>
              <w:t>110.8</w:t>
            </w:r>
          </w:p>
        </w:tc>
        <w:tc>
          <w:tcPr>
            <w:tcW w:w="518" w:type="pct"/>
          </w:tcPr>
          <w:p w14:paraId="6C416E07" w14:textId="77777777" w:rsidR="00305AEE" w:rsidRPr="00305AEE" w:rsidRDefault="00305AEE" w:rsidP="00305AEE">
            <w:pPr>
              <w:spacing w:before="0" w:after="0"/>
              <w:jc w:val="center"/>
              <w:rPr>
                <w:rFonts w:eastAsia="Arial" w:cs="Calibri Light"/>
                <w:color w:val="000000"/>
                <w:kern w:val="2"/>
                <w:sz w:val="16"/>
                <w:szCs w:val="16"/>
                <w:lang w:eastAsia="en-US"/>
                <w14:ligatures w14:val="standardContextual"/>
              </w:rPr>
            </w:pPr>
            <w:r w:rsidRPr="00305AEE">
              <w:rPr>
                <w:rFonts w:eastAsia="Arial" w:cs="Calibri Light"/>
                <w:bCs/>
                <w:color w:val="000000"/>
                <w:kern w:val="2"/>
                <w:sz w:val="16"/>
                <w:szCs w:val="16"/>
                <w:lang w:eastAsia="en-US"/>
                <w14:ligatures w14:val="standardContextual"/>
              </w:rPr>
              <w:t>nil</w:t>
            </w:r>
          </w:p>
        </w:tc>
        <w:tc>
          <w:tcPr>
            <w:tcW w:w="518" w:type="pct"/>
          </w:tcPr>
          <w:p w14:paraId="2526FD34" w14:textId="77777777" w:rsidR="00305AEE" w:rsidRPr="00305AEE" w:rsidRDefault="00305AEE" w:rsidP="00305AEE">
            <w:pPr>
              <w:spacing w:before="0" w:after="0"/>
              <w:jc w:val="center"/>
              <w:rPr>
                <w:rFonts w:eastAsia="Arial" w:cs="Calibri Light"/>
                <w:color w:val="000000"/>
                <w:kern w:val="2"/>
                <w:sz w:val="16"/>
                <w:szCs w:val="16"/>
                <w:lang w:eastAsia="en-US"/>
                <w14:ligatures w14:val="standardContextual"/>
              </w:rPr>
            </w:pPr>
            <w:r w:rsidRPr="00305AEE">
              <w:rPr>
                <w:rFonts w:eastAsia="Arial" w:cs="Calibri Light"/>
                <w:bCs/>
                <w:color w:val="000000"/>
                <w:kern w:val="2"/>
                <w:sz w:val="16"/>
                <w:szCs w:val="16"/>
                <w:lang w:eastAsia="en-US"/>
                <w14:ligatures w14:val="standardContextual"/>
              </w:rPr>
              <w:t>nil</w:t>
            </w:r>
          </w:p>
        </w:tc>
        <w:tc>
          <w:tcPr>
            <w:tcW w:w="518" w:type="pct"/>
          </w:tcPr>
          <w:p w14:paraId="63CC74B4" w14:textId="77777777" w:rsidR="00305AEE" w:rsidRPr="00305AEE" w:rsidRDefault="00305AEE" w:rsidP="00305AEE">
            <w:pPr>
              <w:spacing w:before="0" w:after="0"/>
              <w:jc w:val="center"/>
              <w:rPr>
                <w:rFonts w:eastAsia="Arial" w:cs="Calibri Light"/>
                <w:color w:val="000000"/>
                <w:kern w:val="2"/>
                <w:sz w:val="16"/>
                <w:szCs w:val="16"/>
                <w:lang w:eastAsia="en-US"/>
                <w14:ligatures w14:val="standardContextual"/>
              </w:rPr>
            </w:pPr>
            <w:r w:rsidRPr="00305AEE">
              <w:rPr>
                <w:rFonts w:eastAsia="Arial" w:cs="Calibri Light"/>
                <w:bCs/>
                <w:color w:val="000000"/>
                <w:kern w:val="2"/>
                <w:sz w:val="16"/>
                <w:szCs w:val="16"/>
                <w:lang w:eastAsia="en-US"/>
                <w14:ligatures w14:val="standardContextual"/>
              </w:rPr>
              <w:t>nil</w:t>
            </w:r>
          </w:p>
        </w:tc>
        <w:tc>
          <w:tcPr>
            <w:tcW w:w="518" w:type="pct"/>
          </w:tcPr>
          <w:p w14:paraId="35A5FBCD" w14:textId="77777777" w:rsidR="00305AEE" w:rsidRPr="00305AEE" w:rsidRDefault="00305AEE" w:rsidP="00305AEE">
            <w:pPr>
              <w:spacing w:before="0" w:after="0"/>
              <w:jc w:val="center"/>
              <w:rPr>
                <w:rFonts w:eastAsia="Arial" w:cs="Calibri Light"/>
                <w:color w:val="000000"/>
                <w:kern w:val="2"/>
                <w:sz w:val="16"/>
                <w:szCs w:val="16"/>
                <w:lang w:eastAsia="en-US"/>
                <w14:ligatures w14:val="standardContextual"/>
              </w:rPr>
            </w:pPr>
            <w:r w:rsidRPr="003648B5">
              <w:rPr>
                <w:rFonts w:eastAsia="Arial" w:cs="Calibri Light"/>
                <w:color w:val="000000"/>
                <w:kern w:val="2"/>
                <w:sz w:val="16"/>
                <w:szCs w:val="16"/>
                <w:lang w:eastAsia="en-US"/>
                <w14:ligatures w14:val="standardContextual"/>
              </w:rPr>
              <w:t>110.8</w:t>
            </w:r>
          </w:p>
        </w:tc>
        <w:tc>
          <w:tcPr>
            <w:tcW w:w="518" w:type="pct"/>
          </w:tcPr>
          <w:p w14:paraId="3BB9BC38" w14:textId="77777777" w:rsidR="00305AEE" w:rsidRPr="00305AEE" w:rsidRDefault="00305AEE" w:rsidP="00305AEE">
            <w:pPr>
              <w:spacing w:before="0" w:after="0"/>
              <w:jc w:val="center"/>
              <w:rPr>
                <w:rFonts w:eastAsia="Arial" w:cs="Calibri Light"/>
                <w:color w:val="000000"/>
                <w:kern w:val="2"/>
                <w:sz w:val="16"/>
                <w:szCs w:val="16"/>
                <w:lang w:eastAsia="en-US"/>
                <w14:ligatures w14:val="standardContextual"/>
              </w:rPr>
            </w:pPr>
            <w:r w:rsidRPr="003648B5">
              <w:rPr>
                <w:rFonts w:eastAsia="Arial" w:cs="Calibri Light"/>
                <w:color w:val="000000"/>
                <w:kern w:val="2"/>
                <w:sz w:val="16"/>
                <w:szCs w:val="16"/>
                <w:lang w:eastAsia="en-US"/>
                <w14:ligatures w14:val="standardContextual"/>
              </w:rPr>
              <w:t>106.5</w:t>
            </w:r>
          </w:p>
        </w:tc>
        <w:tc>
          <w:tcPr>
            <w:tcW w:w="518" w:type="pct"/>
          </w:tcPr>
          <w:p w14:paraId="5F767487" w14:textId="77777777" w:rsidR="00305AEE" w:rsidRPr="00305AEE" w:rsidRDefault="00305AEE" w:rsidP="00305AEE">
            <w:pPr>
              <w:spacing w:before="0" w:after="0"/>
              <w:jc w:val="center"/>
              <w:rPr>
                <w:rFonts w:eastAsia="Arial" w:cs="Calibri Light"/>
                <w:color w:val="000000"/>
                <w:kern w:val="2"/>
                <w:sz w:val="16"/>
                <w:szCs w:val="16"/>
                <w:lang w:eastAsia="en-US"/>
                <w14:ligatures w14:val="standardContextual"/>
              </w:rPr>
            </w:pPr>
            <w:r w:rsidRPr="003648B5">
              <w:rPr>
                <w:rFonts w:eastAsia="Arial" w:cs="Calibri Light"/>
                <w:color w:val="000000"/>
                <w:kern w:val="2"/>
                <w:sz w:val="16"/>
                <w:szCs w:val="16"/>
                <w:lang w:eastAsia="en-US"/>
                <w14:ligatures w14:val="standardContextual"/>
              </w:rPr>
              <w:t>4.3</w:t>
            </w:r>
          </w:p>
        </w:tc>
      </w:tr>
      <w:tr w:rsidR="00305AEE" w:rsidRPr="00305AEE" w14:paraId="6D5D1A56" w14:textId="77777777" w:rsidTr="005372CE">
        <w:trPr>
          <w:trHeight w:val="283"/>
        </w:trPr>
        <w:tc>
          <w:tcPr>
            <w:tcW w:w="1374" w:type="pct"/>
          </w:tcPr>
          <w:p w14:paraId="547F3460" w14:textId="77777777" w:rsidR="00305AEE" w:rsidRPr="00305AEE" w:rsidRDefault="00305AEE" w:rsidP="00305AEE">
            <w:pPr>
              <w:spacing w:before="0" w:after="0"/>
              <w:rPr>
                <w:rFonts w:eastAsia="Arial" w:cs="Calibri Light"/>
                <w:bCs/>
                <w:color w:val="000000"/>
                <w:kern w:val="2"/>
                <w:sz w:val="16"/>
                <w:szCs w:val="16"/>
                <w:lang w:eastAsia="en-US"/>
                <w14:ligatures w14:val="standardContextual"/>
              </w:rPr>
            </w:pPr>
            <w:r w:rsidRPr="00305AEE">
              <w:rPr>
                <w:rFonts w:eastAsia="Arial" w:cs="Calibri Light"/>
                <w:bCs/>
                <w:color w:val="000000"/>
                <w:kern w:val="2"/>
                <w:sz w:val="16"/>
                <w:szCs w:val="16"/>
                <w:lang w:eastAsia="en-US"/>
                <w14:ligatures w14:val="standardContextual"/>
              </w:rPr>
              <w:t>Life insurance/Friendly societies</w:t>
            </w:r>
          </w:p>
        </w:tc>
        <w:tc>
          <w:tcPr>
            <w:tcW w:w="518" w:type="pct"/>
          </w:tcPr>
          <w:p w14:paraId="2F091BEC" w14:textId="77777777" w:rsidR="00305AEE" w:rsidRPr="00305AEE" w:rsidRDefault="00305AEE" w:rsidP="00305AEE">
            <w:pPr>
              <w:spacing w:before="0" w:after="0"/>
              <w:jc w:val="center"/>
              <w:rPr>
                <w:rFonts w:eastAsia="Arial" w:cs="Calibri Light"/>
                <w:color w:val="000000"/>
                <w:kern w:val="2"/>
                <w:sz w:val="16"/>
                <w:szCs w:val="16"/>
                <w:lang w:eastAsia="en-US"/>
                <w14:ligatures w14:val="standardContextual"/>
              </w:rPr>
            </w:pPr>
            <w:r w:rsidRPr="00305AEE">
              <w:rPr>
                <w:rFonts w:eastAsia="Arial" w:cs="Calibri Light"/>
                <w:bCs/>
                <w:color w:val="000000"/>
                <w:kern w:val="2"/>
                <w:sz w:val="16"/>
                <w:szCs w:val="16"/>
                <w:lang w:eastAsia="en-US"/>
                <w14:ligatures w14:val="standardContextual"/>
              </w:rPr>
              <w:t>19.5</w:t>
            </w:r>
          </w:p>
        </w:tc>
        <w:tc>
          <w:tcPr>
            <w:tcW w:w="518" w:type="pct"/>
          </w:tcPr>
          <w:p w14:paraId="0B80E66F" w14:textId="77777777" w:rsidR="00305AEE" w:rsidRPr="00305AEE" w:rsidRDefault="00305AEE" w:rsidP="00305AEE">
            <w:pPr>
              <w:spacing w:before="0" w:after="0"/>
              <w:jc w:val="center"/>
              <w:rPr>
                <w:rFonts w:eastAsia="Arial" w:cs="Calibri Light"/>
                <w:color w:val="000000"/>
                <w:kern w:val="2"/>
                <w:sz w:val="16"/>
                <w:szCs w:val="16"/>
                <w:lang w:eastAsia="en-US"/>
                <w14:ligatures w14:val="standardContextual"/>
              </w:rPr>
            </w:pPr>
            <w:r w:rsidRPr="00305AEE">
              <w:rPr>
                <w:rFonts w:eastAsia="Arial" w:cs="Calibri Light"/>
                <w:bCs/>
                <w:color w:val="000000"/>
                <w:kern w:val="2"/>
                <w:sz w:val="16"/>
                <w:szCs w:val="16"/>
                <w:lang w:eastAsia="en-US"/>
                <w14:ligatures w14:val="standardContextual"/>
              </w:rPr>
              <w:t>nil</w:t>
            </w:r>
          </w:p>
        </w:tc>
        <w:tc>
          <w:tcPr>
            <w:tcW w:w="518" w:type="pct"/>
          </w:tcPr>
          <w:p w14:paraId="6B14DE8D" w14:textId="77777777" w:rsidR="00305AEE" w:rsidRPr="00305AEE" w:rsidRDefault="00305AEE" w:rsidP="00305AEE">
            <w:pPr>
              <w:spacing w:before="0" w:after="0"/>
              <w:jc w:val="center"/>
              <w:rPr>
                <w:rFonts w:eastAsia="Arial" w:cs="Calibri Light"/>
                <w:color w:val="000000"/>
                <w:kern w:val="2"/>
                <w:sz w:val="16"/>
                <w:szCs w:val="16"/>
                <w:lang w:eastAsia="en-US"/>
                <w14:ligatures w14:val="standardContextual"/>
              </w:rPr>
            </w:pPr>
            <w:r w:rsidRPr="00305AEE">
              <w:rPr>
                <w:rFonts w:eastAsia="Arial" w:cs="Calibri Light"/>
                <w:bCs/>
                <w:color w:val="000000"/>
                <w:kern w:val="2"/>
                <w:sz w:val="16"/>
                <w:szCs w:val="16"/>
                <w:lang w:eastAsia="en-US"/>
                <w14:ligatures w14:val="standardContextual"/>
              </w:rPr>
              <w:t>nil</w:t>
            </w:r>
          </w:p>
        </w:tc>
        <w:tc>
          <w:tcPr>
            <w:tcW w:w="518" w:type="pct"/>
          </w:tcPr>
          <w:p w14:paraId="1AAACA33" w14:textId="77777777" w:rsidR="00305AEE" w:rsidRPr="00305AEE" w:rsidRDefault="00305AEE" w:rsidP="00305AEE">
            <w:pPr>
              <w:spacing w:before="0" w:after="0"/>
              <w:jc w:val="center"/>
              <w:rPr>
                <w:rFonts w:eastAsia="Arial" w:cs="Calibri Light"/>
                <w:color w:val="000000"/>
                <w:kern w:val="2"/>
                <w:sz w:val="16"/>
                <w:szCs w:val="16"/>
                <w:lang w:eastAsia="en-US"/>
                <w14:ligatures w14:val="standardContextual"/>
              </w:rPr>
            </w:pPr>
            <w:r w:rsidRPr="00305AEE">
              <w:rPr>
                <w:rFonts w:eastAsia="Arial" w:cs="Calibri Light"/>
                <w:bCs/>
                <w:color w:val="000000"/>
                <w:kern w:val="2"/>
                <w:sz w:val="16"/>
                <w:szCs w:val="16"/>
                <w:lang w:eastAsia="en-US"/>
                <w14:ligatures w14:val="standardContextual"/>
              </w:rPr>
              <w:t>nil</w:t>
            </w:r>
          </w:p>
        </w:tc>
        <w:tc>
          <w:tcPr>
            <w:tcW w:w="518" w:type="pct"/>
          </w:tcPr>
          <w:p w14:paraId="251BCD7D" w14:textId="77777777" w:rsidR="00305AEE" w:rsidRPr="00305AEE" w:rsidRDefault="00305AEE" w:rsidP="00305AEE">
            <w:pPr>
              <w:spacing w:before="0" w:after="0"/>
              <w:jc w:val="center"/>
              <w:rPr>
                <w:rFonts w:eastAsia="Arial" w:cs="Calibri Light"/>
                <w:color w:val="000000"/>
                <w:kern w:val="2"/>
                <w:sz w:val="16"/>
                <w:szCs w:val="16"/>
                <w:lang w:eastAsia="en-US"/>
                <w14:ligatures w14:val="standardContextual"/>
              </w:rPr>
            </w:pPr>
            <w:r w:rsidRPr="003648B5">
              <w:rPr>
                <w:rFonts w:eastAsia="Arial" w:cs="Calibri Light"/>
                <w:color w:val="000000"/>
                <w:kern w:val="2"/>
                <w:sz w:val="16"/>
                <w:szCs w:val="16"/>
                <w:lang w:eastAsia="en-US"/>
                <w14:ligatures w14:val="standardContextual"/>
              </w:rPr>
              <w:t>19.5</w:t>
            </w:r>
          </w:p>
        </w:tc>
        <w:tc>
          <w:tcPr>
            <w:tcW w:w="518" w:type="pct"/>
          </w:tcPr>
          <w:p w14:paraId="36A6E869" w14:textId="77777777" w:rsidR="00305AEE" w:rsidRPr="00305AEE" w:rsidRDefault="00305AEE" w:rsidP="00305AEE">
            <w:pPr>
              <w:spacing w:before="0" w:after="0"/>
              <w:jc w:val="center"/>
              <w:rPr>
                <w:rFonts w:eastAsia="Arial" w:cs="Calibri Light"/>
                <w:color w:val="000000"/>
                <w:kern w:val="2"/>
                <w:sz w:val="16"/>
                <w:szCs w:val="16"/>
                <w:lang w:eastAsia="en-US"/>
                <w14:ligatures w14:val="standardContextual"/>
              </w:rPr>
            </w:pPr>
            <w:r w:rsidRPr="003648B5">
              <w:rPr>
                <w:rFonts w:eastAsia="Arial" w:cs="Calibri Light"/>
                <w:color w:val="000000"/>
                <w:kern w:val="2"/>
                <w:sz w:val="16"/>
                <w:szCs w:val="16"/>
                <w:lang w:eastAsia="en-US"/>
                <w14:ligatures w14:val="standardContextual"/>
              </w:rPr>
              <w:t>22.1</w:t>
            </w:r>
          </w:p>
        </w:tc>
        <w:tc>
          <w:tcPr>
            <w:tcW w:w="518" w:type="pct"/>
          </w:tcPr>
          <w:p w14:paraId="3C2EE03B" w14:textId="77777777" w:rsidR="00305AEE" w:rsidRPr="00305AEE" w:rsidRDefault="00305AEE" w:rsidP="00305AEE">
            <w:pPr>
              <w:spacing w:before="0" w:after="0"/>
              <w:jc w:val="center"/>
              <w:rPr>
                <w:rFonts w:eastAsia="Arial" w:cs="Calibri Light"/>
                <w:color w:val="000000"/>
                <w:kern w:val="2"/>
                <w:sz w:val="16"/>
                <w:szCs w:val="16"/>
                <w:lang w:eastAsia="en-US"/>
                <w14:ligatures w14:val="standardContextual"/>
              </w:rPr>
            </w:pPr>
            <w:r w:rsidRPr="003648B5">
              <w:rPr>
                <w:rFonts w:eastAsia="Arial" w:cs="Calibri Light"/>
                <w:color w:val="C00000"/>
                <w:kern w:val="2"/>
                <w:sz w:val="16"/>
                <w:szCs w:val="16"/>
                <w:lang w:eastAsia="en-US"/>
                <w14:ligatures w14:val="standardContextual"/>
              </w:rPr>
              <w:t>(2.6)</w:t>
            </w:r>
          </w:p>
        </w:tc>
      </w:tr>
      <w:tr w:rsidR="00305AEE" w:rsidRPr="00305AEE" w14:paraId="5D4C660B" w14:textId="77777777" w:rsidTr="005372CE">
        <w:trPr>
          <w:trHeight w:val="283"/>
        </w:trPr>
        <w:tc>
          <w:tcPr>
            <w:tcW w:w="1374" w:type="pct"/>
          </w:tcPr>
          <w:p w14:paraId="27C84C74" w14:textId="77777777" w:rsidR="00305AEE" w:rsidRPr="00305AEE" w:rsidRDefault="00305AEE" w:rsidP="00305AEE">
            <w:pPr>
              <w:spacing w:before="0" w:after="0"/>
              <w:rPr>
                <w:rFonts w:eastAsia="Arial" w:cs="Calibri Light"/>
                <w:bCs/>
                <w:color w:val="000000"/>
                <w:kern w:val="2"/>
                <w:sz w:val="16"/>
                <w:szCs w:val="16"/>
                <w:lang w:eastAsia="en-US"/>
                <w14:ligatures w14:val="standardContextual"/>
              </w:rPr>
            </w:pPr>
            <w:r w:rsidRPr="00305AEE">
              <w:rPr>
                <w:rFonts w:eastAsia="Arial" w:cs="Calibri Light"/>
                <w:bCs/>
                <w:color w:val="000000"/>
                <w:kern w:val="2"/>
                <w:sz w:val="16"/>
                <w:szCs w:val="16"/>
                <w:lang w:eastAsia="en-US"/>
                <w14:ligatures w14:val="standardContextual"/>
              </w:rPr>
              <w:t>General insurers</w:t>
            </w:r>
          </w:p>
        </w:tc>
        <w:tc>
          <w:tcPr>
            <w:tcW w:w="518" w:type="pct"/>
          </w:tcPr>
          <w:p w14:paraId="4A29D7AE" w14:textId="77777777" w:rsidR="00305AEE" w:rsidRPr="00305AEE" w:rsidRDefault="00305AEE" w:rsidP="00305AEE">
            <w:pPr>
              <w:spacing w:before="0" w:after="0"/>
              <w:jc w:val="center"/>
              <w:rPr>
                <w:rFonts w:eastAsia="Arial" w:cs="Calibri Light"/>
                <w:color w:val="000000"/>
                <w:kern w:val="2"/>
                <w:sz w:val="16"/>
                <w:szCs w:val="16"/>
                <w:lang w:eastAsia="en-US"/>
                <w14:ligatures w14:val="standardContextual"/>
              </w:rPr>
            </w:pPr>
            <w:r w:rsidRPr="00305AEE">
              <w:rPr>
                <w:rFonts w:eastAsia="Arial" w:cs="Calibri Light"/>
                <w:bCs/>
                <w:color w:val="000000"/>
                <w:kern w:val="2"/>
                <w:sz w:val="16"/>
                <w:szCs w:val="16"/>
                <w:lang w:eastAsia="en-US"/>
                <w14:ligatures w14:val="standardContextual"/>
              </w:rPr>
              <w:t>28.6</w:t>
            </w:r>
          </w:p>
        </w:tc>
        <w:tc>
          <w:tcPr>
            <w:tcW w:w="518" w:type="pct"/>
          </w:tcPr>
          <w:p w14:paraId="42440A5F" w14:textId="77777777" w:rsidR="00305AEE" w:rsidRPr="00305AEE" w:rsidRDefault="00305AEE" w:rsidP="00305AEE">
            <w:pPr>
              <w:spacing w:before="0" w:after="0"/>
              <w:jc w:val="center"/>
              <w:rPr>
                <w:rFonts w:eastAsia="Arial" w:cs="Calibri Light"/>
                <w:color w:val="000000"/>
                <w:kern w:val="2"/>
                <w:sz w:val="16"/>
                <w:szCs w:val="16"/>
                <w:lang w:eastAsia="en-US"/>
                <w14:ligatures w14:val="standardContextual"/>
              </w:rPr>
            </w:pPr>
            <w:r w:rsidRPr="00305AEE">
              <w:rPr>
                <w:rFonts w:eastAsia="Arial" w:cs="Calibri Light"/>
                <w:bCs/>
                <w:color w:val="000000"/>
                <w:kern w:val="2"/>
                <w:sz w:val="16"/>
                <w:szCs w:val="16"/>
                <w:lang w:eastAsia="en-US"/>
                <w14:ligatures w14:val="standardContextual"/>
              </w:rPr>
              <w:t>nil</w:t>
            </w:r>
          </w:p>
        </w:tc>
        <w:tc>
          <w:tcPr>
            <w:tcW w:w="518" w:type="pct"/>
          </w:tcPr>
          <w:p w14:paraId="474EC863" w14:textId="77777777" w:rsidR="00305AEE" w:rsidRPr="00305AEE" w:rsidRDefault="00305AEE" w:rsidP="00305AEE">
            <w:pPr>
              <w:spacing w:before="0" w:after="0"/>
              <w:jc w:val="center"/>
              <w:rPr>
                <w:rFonts w:eastAsia="Arial" w:cs="Calibri Light"/>
                <w:color w:val="000000"/>
                <w:kern w:val="2"/>
                <w:sz w:val="16"/>
                <w:szCs w:val="16"/>
                <w:lang w:eastAsia="en-US"/>
                <w14:ligatures w14:val="standardContextual"/>
              </w:rPr>
            </w:pPr>
            <w:r w:rsidRPr="00305AEE">
              <w:rPr>
                <w:rFonts w:eastAsia="Arial" w:cs="Calibri Light"/>
                <w:bCs/>
                <w:color w:val="000000"/>
                <w:kern w:val="2"/>
                <w:sz w:val="16"/>
                <w:szCs w:val="16"/>
                <w:lang w:eastAsia="en-US"/>
                <w14:ligatures w14:val="standardContextual"/>
              </w:rPr>
              <w:t>nil</w:t>
            </w:r>
          </w:p>
        </w:tc>
        <w:tc>
          <w:tcPr>
            <w:tcW w:w="518" w:type="pct"/>
          </w:tcPr>
          <w:p w14:paraId="346A4AB1" w14:textId="77777777" w:rsidR="00305AEE" w:rsidRPr="00305AEE" w:rsidRDefault="00305AEE" w:rsidP="00305AEE">
            <w:pPr>
              <w:spacing w:before="0" w:after="0"/>
              <w:jc w:val="center"/>
              <w:rPr>
                <w:rFonts w:eastAsia="Arial" w:cs="Calibri Light"/>
                <w:color w:val="000000"/>
                <w:kern w:val="2"/>
                <w:sz w:val="16"/>
                <w:szCs w:val="16"/>
                <w:lang w:eastAsia="en-US"/>
                <w14:ligatures w14:val="standardContextual"/>
              </w:rPr>
            </w:pPr>
            <w:r w:rsidRPr="00305AEE">
              <w:rPr>
                <w:rFonts w:eastAsia="Arial" w:cs="Calibri Light"/>
                <w:bCs/>
                <w:color w:val="000000"/>
                <w:kern w:val="2"/>
                <w:sz w:val="16"/>
                <w:szCs w:val="16"/>
                <w:lang w:eastAsia="en-US"/>
                <w14:ligatures w14:val="standardContextual"/>
              </w:rPr>
              <w:t>nil</w:t>
            </w:r>
          </w:p>
        </w:tc>
        <w:tc>
          <w:tcPr>
            <w:tcW w:w="518" w:type="pct"/>
          </w:tcPr>
          <w:p w14:paraId="6CC04223" w14:textId="77777777" w:rsidR="00305AEE" w:rsidRPr="00305AEE" w:rsidRDefault="00305AEE" w:rsidP="00305AEE">
            <w:pPr>
              <w:spacing w:before="0" w:after="0"/>
              <w:jc w:val="center"/>
              <w:rPr>
                <w:rFonts w:eastAsia="Arial" w:cs="Calibri Light"/>
                <w:color w:val="000000"/>
                <w:kern w:val="2"/>
                <w:sz w:val="16"/>
                <w:szCs w:val="16"/>
                <w:lang w:eastAsia="en-US"/>
                <w14:ligatures w14:val="standardContextual"/>
              </w:rPr>
            </w:pPr>
            <w:r w:rsidRPr="003648B5">
              <w:rPr>
                <w:rFonts w:eastAsia="Arial" w:cs="Calibri Light"/>
                <w:color w:val="000000"/>
                <w:kern w:val="2"/>
                <w:sz w:val="16"/>
                <w:szCs w:val="16"/>
                <w:lang w:eastAsia="en-US"/>
                <w14:ligatures w14:val="standardContextual"/>
              </w:rPr>
              <w:t>28.6</w:t>
            </w:r>
          </w:p>
        </w:tc>
        <w:tc>
          <w:tcPr>
            <w:tcW w:w="518" w:type="pct"/>
          </w:tcPr>
          <w:p w14:paraId="26B630C0" w14:textId="77777777" w:rsidR="00305AEE" w:rsidRPr="00305AEE" w:rsidRDefault="00305AEE" w:rsidP="00305AEE">
            <w:pPr>
              <w:spacing w:before="0" w:after="0"/>
              <w:jc w:val="center"/>
              <w:rPr>
                <w:rFonts w:eastAsia="Arial" w:cs="Calibri Light"/>
                <w:color w:val="000000"/>
                <w:kern w:val="2"/>
                <w:sz w:val="16"/>
                <w:szCs w:val="16"/>
                <w:lang w:eastAsia="en-US"/>
                <w14:ligatures w14:val="standardContextual"/>
              </w:rPr>
            </w:pPr>
            <w:r w:rsidRPr="003648B5">
              <w:rPr>
                <w:rFonts w:eastAsia="Arial" w:cs="Calibri Light"/>
                <w:color w:val="000000"/>
                <w:kern w:val="2"/>
                <w:sz w:val="16"/>
                <w:szCs w:val="16"/>
                <w:lang w:eastAsia="en-US"/>
                <w14:ligatures w14:val="standardContextual"/>
              </w:rPr>
              <w:t>32.7</w:t>
            </w:r>
          </w:p>
        </w:tc>
        <w:tc>
          <w:tcPr>
            <w:tcW w:w="518" w:type="pct"/>
          </w:tcPr>
          <w:p w14:paraId="36790F4A" w14:textId="77777777" w:rsidR="00305AEE" w:rsidRPr="00305AEE" w:rsidRDefault="00305AEE" w:rsidP="00305AEE">
            <w:pPr>
              <w:spacing w:before="0" w:after="0"/>
              <w:jc w:val="center"/>
              <w:rPr>
                <w:rFonts w:eastAsia="Arial" w:cs="Calibri Light"/>
                <w:color w:val="000000"/>
                <w:kern w:val="2"/>
                <w:sz w:val="16"/>
                <w:szCs w:val="16"/>
                <w:lang w:eastAsia="en-US"/>
                <w14:ligatures w14:val="standardContextual"/>
              </w:rPr>
            </w:pPr>
            <w:r w:rsidRPr="003648B5">
              <w:rPr>
                <w:rFonts w:eastAsia="Arial" w:cs="Calibri Light"/>
                <w:color w:val="C00000"/>
                <w:kern w:val="2"/>
                <w:sz w:val="16"/>
                <w:szCs w:val="16"/>
                <w:lang w:eastAsia="en-US"/>
                <w14:ligatures w14:val="standardContextual"/>
              </w:rPr>
              <w:t>(4.1)</w:t>
            </w:r>
          </w:p>
        </w:tc>
      </w:tr>
      <w:tr w:rsidR="00305AEE" w:rsidRPr="00305AEE" w14:paraId="1C06EA05" w14:textId="77777777" w:rsidTr="005372CE">
        <w:trPr>
          <w:trHeight w:val="283"/>
        </w:trPr>
        <w:tc>
          <w:tcPr>
            <w:tcW w:w="1374" w:type="pct"/>
          </w:tcPr>
          <w:p w14:paraId="56F39DDE" w14:textId="77777777" w:rsidR="00305AEE" w:rsidRPr="00305AEE" w:rsidRDefault="00305AEE" w:rsidP="00305AEE">
            <w:pPr>
              <w:spacing w:before="0" w:after="0"/>
              <w:rPr>
                <w:rFonts w:eastAsia="Arial" w:cs="Calibri Light"/>
                <w:bCs/>
                <w:color w:val="000000"/>
                <w:kern w:val="2"/>
                <w:sz w:val="16"/>
                <w:szCs w:val="16"/>
                <w:lang w:eastAsia="en-US"/>
                <w14:ligatures w14:val="standardContextual"/>
              </w:rPr>
            </w:pPr>
            <w:r w:rsidRPr="00305AEE">
              <w:rPr>
                <w:rFonts w:eastAsia="Arial" w:cs="Calibri Light"/>
                <w:bCs/>
                <w:color w:val="000000"/>
                <w:kern w:val="2"/>
                <w:sz w:val="16"/>
                <w:szCs w:val="16"/>
                <w:lang w:eastAsia="en-US"/>
                <w14:ligatures w14:val="standardContextual"/>
              </w:rPr>
              <w:t>Superannuation</w:t>
            </w:r>
          </w:p>
        </w:tc>
        <w:tc>
          <w:tcPr>
            <w:tcW w:w="518" w:type="pct"/>
          </w:tcPr>
          <w:p w14:paraId="5AFC40BD" w14:textId="77777777" w:rsidR="00305AEE" w:rsidRPr="00305AEE" w:rsidRDefault="00305AEE" w:rsidP="00305AEE">
            <w:pPr>
              <w:spacing w:before="0" w:after="0"/>
              <w:jc w:val="center"/>
              <w:rPr>
                <w:rFonts w:eastAsia="Arial" w:cs="Calibri Light"/>
                <w:color w:val="000000"/>
                <w:kern w:val="2"/>
                <w:sz w:val="16"/>
                <w:szCs w:val="16"/>
                <w:lang w:eastAsia="en-US"/>
                <w14:ligatures w14:val="standardContextual"/>
              </w:rPr>
            </w:pPr>
            <w:r w:rsidRPr="00305AEE">
              <w:rPr>
                <w:rFonts w:eastAsia="Arial" w:cs="Calibri Light"/>
                <w:bCs/>
                <w:color w:val="000000"/>
                <w:kern w:val="2"/>
                <w:sz w:val="16"/>
                <w:szCs w:val="16"/>
                <w:lang w:eastAsia="en-US"/>
                <w14:ligatures w14:val="standardContextual"/>
              </w:rPr>
              <w:t>72.9</w:t>
            </w:r>
          </w:p>
        </w:tc>
        <w:tc>
          <w:tcPr>
            <w:tcW w:w="518" w:type="pct"/>
          </w:tcPr>
          <w:p w14:paraId="1A4C6C80" w14:textId="77777777" w:rsidR="00305AEE" w:rsidRPr="00305AEE" w:rsidRDefault="00305AEE" w:rsidP="00305AEE">
            <w:pPr>
              <w:spacing w:before="0" w:after="0"/>
              <w:jc w:val="center"/>
              <w:rPr>
                <w:rFonts w:eastAsia="Arial" w:cs="Calibri Light"/>
                <w:color w:val="000000"/>
                <w:kern w:val="2"/>
                <w:sz w:val="16"/>
                <w:szCs w:val="16"/>
                <w:lang w:eastAsia="en-US"/>
                <w14:ligatures w14:val="standardContextual"/>
              </w:rPr>
            </w:pPr>
            <w:r w:rsidRPr="00305AEE">
              <w:rPr>
                <w:rFonts w:eastAsia="Arial" w:cs="Calibri Light"/>
                <w:bCs/>
                <w:color w:val="000000"/>
                <w:kern w:val="2"/>
                <w:sz w:val="16"/>
                <w:szCs w:val="16"/>
                <w:lang w:eastAsia="en-US"/>
                <w14:ligatures w14:val="standardContextual"/>
              </w:rPr>
              <w:t>37.2</w:t>
            </w:r>
          </w:p>
        </w:tc>
        <w:tc>
          <w:tcPr>
            <w:tcW w:w="518" w:type="pct"/>
          </w:tcPr>
          <w:p w14:paraId="00EB3C2D" w14:textId="77777777" w:rsidR="00305AEE" w:rsidRPr="00305AEE" w:rsidRDefault="00305AEE" w:rsidP="00305AEE">
            <w:pPr>
              <w:spacing w:before="0" w:after="0"/>
              <w:jc w:val="center"/>
              <w:rPr>
                <w:rFonts w:eastAsia="Arial" w:cs="Calibri Light"/>
                <w:color w:val="000000"/>
                <w:kern w:val="2"/>
                <w:sz w:val="16"/>
                <w:szCs w:val="16"/>
                <w:lang w:eastAsia="en-US"/>
                <w14:ligatures w14:val="standardContextual"/>
              </w:rPr>
            </w:pPr>
            <w:r w:rsidRPr="00305AEE">
              <w:rPr>
                <w:rFonts w:eastAsia="Arial" w:cs="Calibri Light"/>
                <w:bCs/>
                <w:color w:val="000000"/>
                <w:kern w:val="2"/>
                <w:sz w:val="16"/>
                <w:szCs w:val="16"/>
                <w:lang w:eastAsia="en-US"/>
                <w14:ligatures w14:val="standardContextual"/>
              </w:rPr>
              <w:t>1.4</w:t>
            </w:r>
          </w:p>
        </w:tc>
        <w:tc>
          <w:tcPr>
            <w:tcW w:w="518" w:type="pct"/>
          </w:tcPr>
          <w:p w14:paraId="5B703D5F" w14:textId="77777777" w:rsidR="00305AEE" w:rsidRPr="00305AEE" w:rsidRDefault="00305AEE" w:rsidP="00305AEE">
            <w:pPr>
              <w:spacing w:before="0" w:after="0"/>
              <w:jc w:val="center"/>
              <w:rPr>
                <w:rFonts w:eastAsia="Arial" w:cs="Calibri Light"/>
                <w:color w:val="000000"/>
                <w:kern w:val="2"/>
                <w:sz w:val="16"/>
                <w:szCs w:val="16"/>
                <w:lang w:eastAsia="en-US"/>
                <w14:ligatures w14:val="standardContextual"/>
              </w:rPr>
            </w:pPr>
            <w:r w:rsidRPr="00305AEE">
              <w:rPr>
                <w:rFonts w:eastAsia="Arial" w:cs="Calibri Light"/>
                <w:bCs/>
                <w:color w:val="000000"/>
                <w:kern w:val="2"/>
                <w:sz w:val="16"/>
                <w:szCs w:val="16"/>
                <w:lang w:eastAsia="en-US"/>
                <w14:ligatures w14:val="standardContextual"/>
              </w:rPr>
              <w:t>1.0</w:t>
            </w:r>
          </w:p>
        </w:tc>
        <w:tc>
          <w:tcPr>
            <w:tcW w:w="518" w:type="pct"/>
          </w:tcPr>
          <w:p w14:paraId="7BEF5A19" w14:textId="77777777" w:rsidR="00305AEE" w:rsidRPr="00305AEE" w:rsidRDefault="00305AEE" w:rsidP="00305AEE">
            <w:pPr>
              <w:spacing w:before="0" w:after="0"/>
              <w:jc w:val="center"/>
              <w:rPr>
                <w:rFonts w:eastAsia="Arial" w:cs="Calibri Light"/>
                <w:color w:val="000000"/>
                <w:kern w:val="2"/>
                <w:sz w:val="16"/>
                <w:szCs w:val="16"/>
                <w:lang w:eastAsia="en-US"/>
                <w14:ligatures w14:val="standardContextual"/>
              </w:rPr>
            </w:pPr>
            <w:r w:rsidRPr="003648B5">
              <w:rPr>
                <w:rFonts w:eastAsia="Arial" w:cs="Calibri Light"/>
                <w:color w:val="000000"/>
                <w:kern w:val="2"/>
                <w:sz w:val="16"/>
                <w:szCs w:val="16"/>
                <w:lang w:eastAsia="en-US"/>
                <w14:ligatures w14:val="standardContextual"/>
              </w:rPr>
              <w:t>112.5</w:t>
            </w:r>
          </w:p>
        </w:tc>
        <w:tc>
          <w:tcPr>
            <w:tcW w:w="518" w:type="pct"/>
          </w:tcPr>
          <w:p w14:paraId="28606EAA" w14:textId="77777777" w:rsidR="00305AEE" w:rsidRPr="00305AEE" w:rsidRDefault="00305AEE" w:rsidP="00305AEE">
            <w:pPr>
              <w:spacing w:before="0" w:after="0"/>
              <w:jc w:val="center"/>
              <w:rPr>
                <w:rFonts w:eastAsia="Arial" w:cs="Calibri Light"/>
                <w:color w:val="000000"/>
                <w:kern w:val="2"/>
                <w:sz w:val="16"/>
                <w:szCs w:val="16"/>
                <w:lang w:eastAsia="en-US"/>
                <w14:ligatures w14:val="standardContextual"/>
              </w:rPr>
            </w:pPr>
            <w:r w:rsidRPr="003648B5">
              <w:rPr>
                <w:rFonts w:eastAsia="Arial" w:cs="Calibri Light"/>
                <w:color w:val="000000"/>
                <w:kern w:val="2"/>
                <w:sz w:val="16"/>
                <w:szCs w:val="16"/>
                <w:lang w:eastAsia="en-US"/>
                <w14:ligatures w14:val="standardContextual"/>
              </w:rPr>
              <w:t>121.6</w:t>
            </w:r>
          </w:p>
        </w:tc>
        <w:tc>
          <w:tcPr>
            <w:tcW w:w="518" w:type="pct"/>
          </w:tcPr>
          <w:p w14:paraId="168233B8" w14:textId="77777777" w:rsidR="00305AEE" w:rsidRPr="00305AEE" w:rsidRDefault="00305AEE" w:rsidP="00305AEE">
            <w:pPr>
              <w:spacing w:before="0" w:after="0"/>
              <w:jc w:val="center"/>
              <w:rPr>
                <w:rFonts w:eastAsia="Arial" w:cs="Calibri Light"/>
                <w:color w:val="000000"/>
                <w:kern w:val="2"/>
                <w:sz w:val="16"/>
                <w:szCs w:val="16"/>
                <w:lang w:eastAsia="en-US"/>
                <w14:ligatures w14:val="standardContextual"/>
              </w:rPr>
            </w:pPr>
            <w:r w:rsidRPr="003648B5">
              <w:rPr>
                <w:rFonts w:eastAsia="Arial" w:cs="Calibri Light"/>
                <w:color w:val="C00000"/>
                <w:kern w:val="2"/>
                <w:sz w:val="16"/>
                <w:szCs w:val="16"/>
                <w:lang w:eastAsia="en-US"/>
                <w14:ligatures w14:val="standardContextual"/>
              </w:rPr>
              <w:t>(9.1)</w:t>
            </w:r>
          </w:p>
        </w:tc>
      </w:tr>
      <w:tr w:rsidR="00305AEE" w:rsidRPr="00305AEE" w14:paraId="1F362FCD" w14:textId="77777777" w:rsidTr="005372CE">
        <w:trPr>
          <w:trHeight w:val="283"/>
        </w:trPr>
        <w:tc>
          <w:tcPr>
            <w:tcW w:w="1374" w:type="pct"/>
          </w:tcPr>
          <w:p w14:paraId="504C82EE" w14:textId="77777777" w:rsidR="00305AEE" w:rsidRPr="00305AEE" w:rsidRDefault="00305AEE" w:rsidP="00305AEE">
            <w:pPr>
              <w:spacing w:before="0" w:after="0"/>
              <w:rPr>
                <w:rFonts w:eastAsia="Arial" w:cs="Calibri Light"/>
                <w:bCs/>
                <w:color w:val="000000"/>
                <w:kern w:val="2"/>
                <w:sz w:val="16"/>
                <w:szCs w:val="16"/>
                <w:lang w:eastAsia="en-US"/>
                <w14:ligatures w14:val="standardContextual"/>
              </w:rPr>
            </w:pPr>
            <w:r w:rsidRPr="00305AEE">
              <w:rPr>
                <w:rFonts w:eastAsia="Arial" w:cs="Calibri Light"/>
                <w:bCs/>
                <w:color w:val="000000"/>
                <w:kern w:val="2"/>
                <w:sz w:val="16"/>
                <w:szCs w:val="16"/>
                <w:lang w:eastAsia="en-US"/>
                <w14:ligatures w14:val="standardContextual"/>
              </w:rPr>
              <w:t>Private health insurers</w:t>
            </w:r>
          </w:p>
        </w:tc>
        <w:tc>
          <w:tcPr>
            <w:tcW w:w="518" w:type="pct"/>
          </w:tcPr>
          <w:p w14:paraId="2247B862" w14:textId="77777777" w:rsidR="00305AEE" w:rsidRPr="00305AEE" w:rsidRDefault="00305AEE" w:rsidP="00305AEE">
            <w:pPr>
              <w:spacing w:before="0" w:after="0"/>
              <w:jc w:val="center"/>
              <w:rPr>
                <w:rFonts w:eastAsia="Arial" w:cs="Calibri Light"/>
                <w:color w:val="000000"/>
                <w:kern w:val="2"/>
                <w:sz w:val="16"/>
                <w:szCs w:val="16"/>
                <w:lang w:eastAsia="en-US"/>
                <w14:ligatures w14:val="standardContextual"/>
              </w:rPr>
            </w:pPr>
            <w:r w:rsidRPr="00305AEE">
              <w:rPr>
                <w:rFonts w:eastAsia="Arial" w:cs="Calibri Light"/>
                <w:bCs/>
                <w:color w:val="000000"/>
                <w:kern w:val="2"/>
                <w:sz w:val="16"/>
                <w:szCs w:val="16"/>
                <w:lang w:eastAsia="en-US"/>
                <w14:ligatures w14:val="standardContextual"/>
              </w:rPr>
              <w:t>10.0</w:t>
            </w:r>
          </w:p>
        </w:tc>
        <w:tc>
          <w:tcPr>
            <w:tcW w:w="518" w:type="pct"/>
          </w:tcPr>
          <w:p w14:paraId="34794BDD" w14:textId="77777777" w:rsidR="00305AEE" w:rsidRPr="00305AEE" w:rsidRDefault="00305AEE" w:rsidP="00305AEE">
            <w:pPr>
              <w:spacing w:before="0" w:after="0"/>
              <w:jc w:val="center"/>
              <w:rPr>
                <w:rFonts w:eastAsia="Arial" w:cs="Calibri Light"/>
                <w:color w:val="000000"/>
                <w:kern w:val="2"/>
                <w:sz w:val="16"/>
                <w:szCs w:val="16"/>
                <w:lang w:eastAsia="en-US"/>
                <w14:ligatures w14:val="standardContextual"/>
              </w:rPr>
            </w:pPr>
            <w:r w:rsidRPr="00305AEE">
              <w:rPr>
                <w:rFonts w:eastAsia="Arial" w:cs="Calibri Light"/>
                <w:color w:val="000000"/>
                <w:kern w:val="2"/>
                <w:sz w:val="16"/>
                <w:szCs w:val="16"/>
                <w:lang w:eastAsia="en-US"/>
                <w14:ligatures w14:val="standardContextual"/>
              </w:rPr>
              <w:t>nil</w:t>
            </w:r>
          </w:p>
        </w:tc>
        <w:tc>
          <w:tcPr>
            <w:tcW w:w="518" w:type="pct"/>
          </w:tcPr>
          <w:p w14:paraId="2C6022F8" w14:textId="77777777" w:rsidR="00305AEE" w:rsidRPr="00305AEE" w:rsidRDefault="00305AEE" w:rsidP="00305AEE">
            <w:pPr>
              <w:spacing w:before="0" w:after="0"/>
              <w:jc w:val="center"/>
              <w:rPr>
                <w:rFonts w:eastAsia="Arial" w:cs="Calibri Light"/>
                <w:color w:val="000000"/>
                <w:kern w:val="2"/>
                <w:sz w:val="16"/>
                <w:szCs w:val="16"/>
                <w:lang w:eastAsia="en-US"/>
                <w14:ligatures w14:val="standardContextual"/>
              </w:rPr>
            </w:pPr>
            <w:r w:rsidRPr="00305AEE">
              <w:rPr>
                <w:rFonts w:eastAsia="Arial" w:cs="Calibri Light"/>
                <w:color w:val="000000"/>
                <w:kern w:val="2"/>
                <w:sz w:val="16"/>
                <w:szCs w:val="16"/>
                <w:lang w:eastAsia="en-US"/>
                <w14:ligatures w14:val="standardContextual"/>
              </w:rPr>
              <w:t>nil</w:t>
            </w:r>
          </w:p>
        </w:tc>
        <w:tc>
          <w:tcPr>
            <w:tcW w:w="518" w:type="pct"/>
          </w:tcPr>
          <w:p w14:paraId="7F2A5B15" w14:textId="77777777" w:rsidR="00305AEE" w:rsidRPr="00305AEE" w:rsidRDefault="00305AEE" w:rsidP="00305AEE">
            <w:pPr>
              <w:spacing w:before="0" w:after="0"/>
              <w:jc w:val="center"/>
              <w:rPr>
                <w:rFonts w:eastAsia="Arial" w:cs="Calibri Light"/>
                <w:color w:val="000000"/>
                <w:kern w:val="2"/>
                <w:sz w:val="16"/>
                <w:szCs w:val="16"/>
                <w:lang w:eastAsia="en-US"/>
                <w14:ligatures w14:val="standardContextual"/>
              </w:rPr>
            </w:pPr>
            <w:r w:rsidRPr="00305AEE">
              <w:rPr>
                <w:rFonts w:eastAsia="Arial" w:cs="Calibri Light"/>
                <w:bCs/>
                <w:color w:val="000000"/>
                <w:kern w:val="2"/>
                <w:sz w:val="16"/>
                <w:szCs w:val="16"/>
                <w:lang w:eastAsia="en-US"/>
                <w14:ligatures w14:val="standardContextual"/>
              </w:rPr>
              <w:t>nil</w:t>
            </w:r>
          </w:p>
        </w:tc>
        <w:tc>
          <w:tcPr>
            <w:tcW w:w="518" w:type="pct"/>
          </w:tcPr>
          <w:p w14:paraId="16F5306A" w14:textId="77777777" w:rsidR="00305AEE" w:rsidRPr="00305AEE" w:rsidRDefault="00305AEE" w:rsidP="00305AEE">
            <w:pPr>
              <w:spacing w:before="0" w:after="0"/>
              <w:jc w:val="center"/>
              <w:rPr>
                <w:rFonts w:eastAsia="Arial" w:cs="Calibri Light"/>
                <w:color w:val="000000"/>
                <w:kern w:val="2"/>
                <w:sz w:val="16"/>
                <w:szCs w:val="16"/>
                <w:lang w:eastAsia="en-US"/>
                <w14:ligatures w14:val="standardContextual"/>
              </w:rPr>
            </w:pPr>
            <w:r w:rsidRPr="003648B5">
              <w:rPr>
                <w:rFonts w:eastAsia="Arial" w:cs="Calibri Light"/>
                <w:color w:val="000000"/>
                <w:kern w:val="2"/>
                <w:sz w:val="16"/>
                <w:szCs w:val="16"/>
                <w:lang w:eastAsia="en-US"/>
                <w14:ligatures w14:val="standardContextual"/>
              </w:rPr>
              <w:t>10.0</w:t>
            </w:r>
          </w:p>
        </w:tc>
        <w:tc>
          <w:tcPr>
            <w:tcW w:w="518" w:type="pct"/>
          </w:tcPr>
          <w:p w14:paraId="574F08AE" w14:textId="77777777" w:rsidR="00305AEE" w:rsidRPr="00305AEE" w:rsidRDefault="00305AEE" w:rsidP="00305AEE">
            <w:pPr>
              <w:spacing w:before="0" w:after="0"/>
              <w:jc w:val="center"/>
              <w:rPr>
                <w:rFonts w:eastAsia="Arial" w:cs="Calibri Light"/>
                <w:color w:val="000000"/>
                <w:kern w:val="2"/>
                <w:sz w:val="16"/>
                <w:szCs w:val="16"/>
                <w:lang w:eastAsia="en-US"/>
                <w14:ligatures w14:val="standardContextual"/>
              </w:rPr>
            </w:pPr>
            <w:r w:rsidRPr="003648B5">
              <w:rPr>
                <w:rFonts w:eastAsia="Arial" w:cs="Calibri Light"/>
                <w:color w:val="000000"/>
                <w:kern w:val="2"/>
                <w:sz w:val="16"/>
                <w:szCs w:val="16"/>
                <w:lang w:eastAsia="en-US"/>
                <w14:ligatures w14:val="standardContextual"/>
              </w:rPr>
              <w:t>10.0</w:t>
            </w:r>
          </w:p>
        </w:tc>
        <w:tc>
          <w:tcPr>
            <w:tcW w:w="518" w:type="pct"/>
          </w:tcPr>
          <w:p w14:paraId="0E0CE191" w14:textId="77777777" w:rsidR="00305AEE" w:rsidRPr="00305AEE" w:rsidRDefault="00305AEE" w:rsidP="00305AEE">
            <w:pPr>
              <w:spacing w:before="0" w:after="0"/>
              <w:jc w:val="center"/>
              <w:rPr>
                <w:rFonts w:eastAsia="Arial" w:cs="Calibri Light"/>
                <w:color w:val="000000"/>
                <w:kern w:val="2"/>
                <w:sz w:val="16"/>
                <w:szCs w:val="16"/>
                <w:lang w:eastAsia="en-US"/>
                <w14:ligatures w14:val="standardContextual"/>
              </w:rPr>
            </w:pPr>
            <w:r w:rsidRPr="003648B5">
              <w:rPr>
                <w:rFonts w:eastAsia="Arial" w:cs="Calibri Light"/>
                <w:color w:val="000000"/>
                <w:kern w:val="2"/>
                <w:sz w:val="16"/>
                <w:szCs w:val="16"/>
                <w:lang w:eastAsia="en-US"/>
                <w14:ligatures w14:val="standardContextual"/>
              </w:rPr>
              <w:t>0.0</w:t>
            </w:r>
          </w:p>
        </w:tc>
      </w:tr>
      <w:tr w:rsidR="00305AEE" w:rsidRPr="00305AEE" w14:paraId="7577CE7E" w14:textId="77777777" w:rsidTr="005372CE">
        <w:trPr>
          <w:trHeight w:val="283"/>
        </w:trPr>
        <w:tc>
          <w:tcPr>
            <w:tcW w:w="1374" w:type="pct"/>
          </w:tcPr>
          <w:p w14:paraId="7CD480D1" w14:textId="77777777" w:rsidR="00305AEE" w:rsidRPr="00305AEE" w:rsidRDefault="00305AEE" w:rsidP="00305AEE">
            <w:pPr>
              <w:spacing w:before="0" w:after="0"/>
              <w:rPr>
                <w:rFonts w:eastAsia="Arial" w:cs="Calibri Light"/>
                <w:bCs/>
                <w:color w:val="000000"/>
                <w:kern w:val="2"/>
                <w:sz w:val="16"/>
                <w:szCs w:val="16"/>
                <w:lang w:eastAsia="en-US"/>
                <w14:ligatures w14:val="standardContextual"/>
              </w:rPr>
            </w:pPr>
            <w:r w:rsidRPr="00305AEE">
              <w:rPr>
                <w:rFonts w:eastAsia="Arial" w:cs="Calibri Light"/>
                <w:bCs/>
                <w:color w:val="000000"/>
                <w:kern w:val="2"/>
                <w:sz w:val="16"/>
                <w:szCs w:val="16"/>
                <w:lang w:eastAsia="en-US"/>
                <w14:ligatures w14:val="standardContextual"/>
              </w:rPr>
              <w:t>NCPD special levy</w:t>
            </w:r>
          </w:p>
        </w:tc>
        <w:tc>
          <w:tcPr>
            <w:tcW w:w="518" w:type="pct"/>
          </w:tcPr>
          <w:p w14:paraId="7F5EDEB6" w14:textId="77777777" w:rsidR="00305AEE" w:rsidRPr="00305AEE" w:rsidRDefault="00305AEE" w:rsidP="00305AEE">
            <w:pPr>
              <w:spacing w:before="0" w:after="0"/>
              <w:jc w:val="center"/>
              <w:rPr>
                <w:rFonts w:eastAsia="Arial" w:cs="Calibri Light"/>
                <w:color w:val="000000"/>
                <w:kern w:val="2"/>
                <w:sz w:val="16"/>
                <w:szCs w:val="16"/>
                <w:lang w:eastAsia="en-US"/>
                <w14:ligatures w14:val="standardContextual"/>
              </w:rPr>
            </w:pPr>
            <w:r w:rsidRPr="00305AEE">
              <w:rPr>
                <w:rFonts w:eastAsia="Arial" w:cs="Calibri Light"/>
                <w:bCs/>
                <w:color w:val="000000"/>
                <w:kern w:val="2"/>
                <w:sz w:val="16"/>
                <w:szCs w:val="16"/>
                <w:lang w:eastAsia="en-US"/>
                <w14:ligatures w14:val="standardContextual"/>
              </w:rPr>
              <w:t>1.2</w:t>
            </w:r>
          </w:p>
        </w:tc>
        <w:tc>
          <w:tcPr>
            <w:tcW w:w="518" w:type="pct"/>
          </w:tcPr>
          <w:p w14:paraId="7592F801" w14:textId="77777777" w:rsidR="00305AEE" w:rsidRPr="00305AEE" w:rsidRDefault="00305AEE" w:rsidP="00305AEE">
            <w:pPr>
              <w:spacing w:before="0" w:after="0"/>
              <w:jc w:val="center"/>
              <w:rPr>
                <w:rFonts w:eastAsia="Arial" w:cs="Calibri Light"/>
                <w:color w:val="000000"/>
                <w:kern w:val="2"/>
                <w:sz w:val="16"/>
                <w:szCs w:val="16"/>
                <w:lang w:eastAsia="en-US"/>
                <w14:ligatures w14:val="standardContextual"/>
              </w:rPr>
            </w:pPr>
            <w:r w:rsidRPr="00305AEE">
              <w:rPr>
                <w:rFonts w:eastAsia="Arial" w:cs="Calibri Light"/>
                <w:bCs/>
                <w:color w:val="000000"/>
                <w:kern w:val="2"/>
                <w:sz w:val="16"/>
                <w:szCs w:val="16"/>
                <w:lang w:eastAsia="en-US"/>
                <w14:ligatures w14:val="standardContextual"/>
              </w:rPr>
              <w:t>nil</w:t>
            </w:r>
          </w:p>
        </w:tc>
        <w:tc>
          <w:tcPr>
            <w:tcW w:w="518" w:type="pct"/>
          </w:tcPr>
          <w:p w14:paraId="2241435D" w14:textId="77777777" w:rsidR="00305AEE" w:rsidRPr="00305AEE" w:rsidRDefault="00305AEE" w:rsidP="00305AEE">
            <w:pPr>
              <w:spacing w:before="0" w:after="0"/>
              <w:jc w:val="center"/>
              <w:rPr>
                <w:rFonts w:eastAsia="Arial" w:cs="Calibri Light"/>
                <w:color w:val="000000"/>
                <w:kern w:val="2"/>
                <w:sz w:val="16"/>
                <w:szCs w:val="16"/>
                <w:lang w:eastAsia="en-US"/>
                <w14:ligatures w14:val="standardContextual"/>
              </w:rPr>
            </w:pPr>
            <w:r w:rsidRPr="00305AEE">
              <w:rPr>
                <w:rFonts w:eastAsia="Arial" w:cs="Calibri Light"/>
                <w:bCs/>
                <w:color w:val="000000"/>
                <w:kern w:val="2"/>
                <w:sz w:val="16"/>
                <w:szCs w:val="16"/>
                <w:lang w:eastAsia="en-US"/>
                <w14:ligatures w14:val="standardContextual"/>
              </w:rPr>
              <w:t>nil</w:t>
            </w:r>
          </w:p>
        </w:tc>
        <w:tc>
          <w:tcPr>
            <w:tcW w:w="518" w:type="pct"/>
          </w:tcPr>
          <w:p w14:paraId="3CC20A25" w14:textId="77777777" w:rsidR="00305AEE" w:rsidRPr="00305AEE" w:rsidRDefault="00305AEE" w:rsidP="00305AEE">
            <w:pPr>
              <w:spacing w:before="0" w:after="0"/>
              <w:jc w:val="center"/>
              <w:rPr>
                <w:rFonts w:eastAsia="Arial" w:cs="Calibri Light"/>
                <w:color w:val="000000"/>
                <w:kern w:val="2"/>
                <w:sz w:val="16"/>
                <w:szCs w:val="16"/>
                <w:lang w:eastAsia="en-US"/>
                <w14:ligatures w14:val="standardContextual"/>
              </w:rPr>
            </w:pPr>
            <w:r w:rsidRPr="00305AEE">
              <w:rPr>
                <w:rFonts w:eastAsia="Arial" w:cs="Calibri Light"/>
                <w:bCs/>
                <w:color w:val="000000"/>
                <w:kern w:val="2"/>
                <w:sz w:val="16"/>
                <w:szCs w:val="16"/>
                <w:lang w:eastAsia="en-US"/>
                <w14:ligatures w14:val="standardContextual"/>
              </w:rPr>
              <w:t>nil</w:t>
            </w:r>
          </w:p>
        </w:tc>
        <w:tc>
          <w:tcPr>
            <w:tcW w:w="518" w:type="pct"/>
          </w:tcPr>
          <w:p w14:paraId="7B0C1297" w14:textId="77777777" w:rsidR="00305AEE" w:rsidRPr="00305AEE" w:rsidRDefault="00305AEE" w:rsidP="00305AEE">
            <w:pPr>
              <w:spacing w:before="0" w:after="0"/>
              <w:jc w:val="center"/>
              <w:rPr>
                <w:rFonts w:eastAsia="Arial" w:cs="Calibri Light"/>
                <w:color w:val="000000"/>
                <w:kern w:val="2"/>
                <w:sz w:val="16"/>
                <w:szCs w:val="16"/>
                <w:lang w:eastAsia="en-US"/>
                <w14:ligatures w14:val="standardContextual"/>
              </w:rPr>
            </w:pPr>
            <w:r w:rsidRPr="003648B5">
              <w:rPr>
                <w:rFonts w:eastAsia="Arial" w:cs="Calibri Light"/>
                <w:color w:val="000000"/>
                <w:kern w:val="2"/>
                <w:sz w:val="16"/>
                <w:szCs w:val="16"/>
                <w:lang w:eastAsia="en-US"/>
                <w14:ligatures w14:val="standardContextual"/>
              </w:rPr>
              <w:t>1.2</w:t>
            </w:r>
          </w:p>
        </w:tc>
        <w:tc>
          <w:tcPr>
            <w:tcW w:w="518" w:type="pct"/>
          </w:tcPr>
          <w:p w14:paraId="1932334D" w14:textId="77777777" w:rsidR="00305AEE" w:rsidRPr="00305AEE" w:rsidRDefault="00305AEE" w:rsidP="00305AEE">
            <w:pPr>
              <w:spacing w:before="0" w:after="0"/>
              <w:jc w:val="center"/>
              <w:rPr>
                <w:rFonts w:eastAsia="Arial" w:cs="Calibri Light"/>
                <w:color w:val="000000"/>
                <w:kern w:val="2"/>
                <w:sz w:val="16"/>
                <w:szCs w:val="16"/>
                <w:lang w:eastAsia="en-US"/>
                <w14:ligatures w14:val="standardContextual"/>
              </w:rPr>
            </w:pPr>
            <w:r w:rsidRPr="003648B5">
              <w:rPr>
                <w:rFonts w:eastAsia="Arial" w:cs="Calibri Light"/>
                <w:color w:val="000000"/>
                <w:kern w:val="2"/>
                <w:sz w:val="16"/>
                <w:szCs w:val="16"/>
                <w:lang w:eastAsia="en-US"/>
                <w14:ligatures w14:val="standardContextual"/>
              </w:rPr>
              <w:t>1.1</w:t>
            </w:r>
          </w:p>
        </w:tc>
        <w:tc>
          <w:tcPr>
            <w:tcW w:w="518" w:type="pct"/>
          </w:tcPr>
          <w:p w14:paraId="35E6E1F9" w14:textId="77777777" w:rsidR="00305AEE" w:rsidRPr="00305AEE" w:rsidRDefault="00305AEE" w:rsidP="00305AEE">
            <w:pPr>
              <w:spacing w:before="0" w:after="0"/>
              <w:jc w:val="center"/>
              <w:rPr>
                <w:rFonts w:eastAsia="Arial" w:cs="Calibri Light"/>
                <w:color w:val="000000"/>
                <w:kern w:val="2"/>
                <w:sz w:val="16"/>
                <w:szCs w:val="16"/>
                <w:lang w:eastAsia="en-US"/>
                <w14:ligatures w14:val="standardContextual"/>
              </w:rPr>
            </w:pPr>
            <w:r w:rsidRPr="003648B5">
              <w:rPr>
                <w:rFonts w:eastAsia="Arial" w:cs="Calibri Light"/>
                <w:color w:val="000000"/>
                <w:kern w:val="2"/>
                <w:sz w:val="16"/>
                <w:szCs w:val="16"/>
                <w:lang w:eastAsia="en-US"/>
                <w14:ligatures w14:val="standardContextual"/>
              </w:rPr>
              <w:t>0.1</w:t>
            </w:r>
          </w:p>
        </w:tc>
      </w:tr>
      <w:tr w:rsidR="00305AEE" w:rsidRPr="00305AEE" w14:paraId="7E21B058" w14:textId="77777777" w:rsidTr="000E5A82">
        <w:trPr>
          <w:trHeight w:val="283"/>
        </w:trPr>
        <w:tc>
          <w:tcPr>
            <w:tcW w:w="1374" w:type="pct"/>
            <w:vAlign w:val="center"/>
          </w:tcPr>
          <w:p w14:paraId="1039AB17" w14:textId="77777777" w:rsidR="00305AEE" w:rsidRPr="00305AEE" w:rsidRDefault="00305AEE" w:rsidP="000E5A82">
            <w:pPr>
              <w:spacing w:before="0" w:after="0"/>
              <w:rPr>
                <w:rFonts w:eastAsia="Arial" w:cs="Calibri Light"/>
                <w:b/>
                <w:bCs/>
                <w:color w:val="000000"/>
                <w:kern w:val="2"/>
                <w:sz w:val="16"/>
                <w:szCs w:val="16"/>
                <w:lang w:eastAsia="en-US"/>
                <w14:ligatures w14:val="standardContextual"/>
              </w:rPr>
            </w:pPr>
            <w:r w:rsidRPr="00305AEE">
              <w:rPr>
                <w:rFonts w:eastAsia="Arial" w:cs="Calibri Light"/>
                <w:b/>
                <w:bCs/>
                <w:color w:val="000000"/>
                <w:kern w:val="2"/>
                <w:sz w:val="16"/>
                <w:szCs w:val="16"/>
                <w:lang w:eastAsia="en-US"/>
                <w14:ligatures w14:val="standardContextual"/>
              </w:rPr>
              <w:t>Total</w:t>
            </w:r>
          </w:p>
        </w:tc>
        <w:tc>
          <w:tcPr>
            <w:tcW w:w="518" w:type="pct"/>
            <w:vAlign w:val="center"/>
          </w:tcPr>
          <w:p w14:paraId="0F6559D0" w14:textId="77777777" w:rsidR="00305AEE" w:rsidRPr="00305AEE" w:rsidRDefault="00305AEE" w:rsidP="000E5A82">
            <w:pPr>
              <w:spacing w:before="0" w:after="0"/>
              <w:jc w:val="center"/>
              <w:rPr>
                <w:rFonts w:eastAsia="Arial" w:cs="Calibri Light"/>
                <w:color w:val="000000"/>
                <w:kern w:val="2"/>
                <w:sz w:val="16"/>
                <w:szCs w:val="16"/>
                <w:lang w:eastAsia="en-US"/>
                <w14:ligatures w14:val="standardContextual"/>
              </w:rPr>
            </w:pPr>
            <w:r w:rsidRPr="00305AEE">
              <w:rPr>
                <w:rFonts w:eastAsia="Arial" w:cs="Calibri Light"/>
                <w:b/>
                <w:bCs/>
                <w:color w:val="000000"/>
                <w:kern w:val="2"/>
                <w:sz w:val="16"/>
                <w:szCs w:val="16"/>
                <w:lang w:eastAsia="en-US"/>
                <w14:ligatures w14:val="standardContextual"/>
              </w:rPr>
              <w:t>243.0</w:t>
            </w:r>
          </w:p>
        </w:tc>
        <w:tc>
          <w:tcPr>
            <w:tcW w:w="518" w:type="pct"/>
            <w:vAlign w:val="center"/>
          </w:tcPr>
          <w:p w14:paraId="3E334CD7" w14:textId="77777777" w:rsidR="00305AEE" w:rsidRPr="00305AEE" w:rsidRDefault="00305AEE" w:rsidP="000E5A82">
            <w:pPr>
              <w:spacing w:before="0" w:after="0"/>
              <w:jc w:val="center"/>
              <w:rPr>
                <w:rFonts w:eastAsia="Arial" w:cs="Calibri Light"/>
                <w:color w:val="000000"/>
                <w:kern w:val="2"/>
                <w:sz w:val="16"/>
                <w:szCs w:val="16"/>
                <w:lang w:eastAsia="en-US"/>
                <w14:ligatures w14:val="standardContextual"/>
              </w:rPr>
            </w:pPr>
            <w:r w:rsidRPr="00305AEE">
              <w:rPr>
                <w:rFonts w:eastAsia="Arial" w:cs="Calibri Light"/>
                <w:b/>
                <w:bCs/>
                <w:color w:val="000000"/>
                <w:kern w:val="2"/>
                <w:sz w:val="16"/>
                <w:szCs w:val="16"/>
                <w:lang w:eastAsia="en-US"/>
                <w14:ligatures w14:val="standardContextual"/>
              </w:rPr>
              <w:t>37.2</w:t>
            </w:r>
          </w:p>
        </w:tc>
        <w:tc>
          <w:tcPr>
            <w:tcW w:w="518" w:type="pct"/>
            <w:vAlign w:val="center"/>
          </w:tcPr>
          <w:p w14:paraId="5117AA7F" w14:textId="77777777" w:rsidR="00305AEE" w:rsidRPr="00305AEE" w:rsidRDefault="00305AEE" w:rsidP="000E5A82">
            <w:pPr>
              <w:spacing w:before="0" w:after="0"/>
              <w:jc w:val="center"/>
              <w:rPr>
                <w:rFonts w:eastAsia="Arial" w:cs="Calibri Light"/>
                <w:color w:val="000000"/>
                <w:kern w:val="2"/>
                <w:sz w:val="16"/>
                <w:szCs w:val="16"/>
                <w:lang w:eastAsia="en-US"/>
                <w14:ligatures w14:val="standardContextual"/>
              </w:rPr>
            </w:pPr>
            <w:r w:rsidRPr="00305AEE">
              <w:rPr>
                <w:rFonts w:eastAsia="Arial" w:cs="Calibri Light"/>
                <w:b/>
                <w:bCs/>
                <w:color w:val="000000"/>
                <w:kern w:val="2"/>
                <w:sz w:val="16"/>
                <w:szCs w:val="16"/>
                <w:lang w:eastAsia="en-US"/>
                <w14:ligatures w14:val="standardContextual"/>
              </w:rPr>
              <w:t>1.4</w:t>
            </w:r>
          </w:p>
        </w:tc>
        <w:tc>
          <w:tcPr>
            <w:tcW w:w="518" w:type="pct"/>
            <w:vAlign w:val="center"/>
          </w:tcPr>
          <w:p w14:paraId="13F4B48A" w14:textId="77777777" w:rsidR="00305AEE" w:rsidRPr="00305AEE" w:rsidRDefault="00305AEE" w:rsidP="000E5A82">
            <w:pPr>
              <w:spacing w:before="0" w:after="0"/>
              <w:jc w:val="center"/>
              <w:rPr>
                <w:rFonts w:eastAsia="Arial" w:cs="Calibri Light"/>
                <w:color w:val="000000"/>
                <w:kern w:val="2"/>
                <w:sz w:val="16"/>
                <w:szCs w:val="16"/>
                <w:lang w:eastAsia="en-US"/>
                <w14:ligatures w14:val="standardContextual"/>
              </w:rPr>
            </w:pPr>
            <w:r w:rsidRPr="00305AEE">
              <w:rPr>
                <w:rFonts w:eastAsia="Arial" w:cs="Calibri Light"/>
                <w:b/>
                <w:bCs/>
                <w:color w:val="000000"/>
                <w:kern w:val="2"/>
                <w:sz w:val="16"/>
                <w:szCs w:val="16"/>
                <w:lang w:eastAsia="en-US"/>
                <w14:ligatures w14:val="standardContextual"/>
              </w:rPr>
              <w:t>1.0</w:t>
            </w:r>
          </w:p>
        </w:tc>
        <w:tc>
          <w:tcPr>
            <w:tcW w:w="518" w:type="pct"/>
            <w:vAlign w:val="center"/>
          </w:tcPr>
          <w:p w14:paraId="2DBEC2EA" w14:textId="77777777" w:rsidR="00305AEE" w:rsidRPr="00305AEE" w:rsidRDefault="00305AEE" w:rsidP="000E5A82">
            <w:pPr>
              <w:spacing w:before="0" w:after="0"/>
              <w:jc w:val="center"/>
              <w:rPr>
                <w:rFonts w:eastAsia="Arial" w:cs="Calibri Light"/>
                <w:color w:val="000000"/>
                <w:kern w:val="2"/>
                <w:sz w:val="16"/>
                <w:szCs w:val="16"/>
                <w:lang w:eastAsia="en-US"/>
                <w14:ligatures w14:val="standardContextual"/>
              </w:rPr>
            </w:pPr>
            <w:r w:rsidRPr="00305AEE">
              <w:rPr>
                <w:rFonts w:eastAsia="Arial" w:cs="Calibri Light"/>
                <w:b/>
                <w:bCs/>
                <w:color w:val="000000"/>
                <w:kern w:val="2"/>
                <w:sz w:val="16"/>
                <w:szCs w:val="16"/>
                <w:lang w:eastAsia="en-US"/>
                <w14:ligatures w14:val="standardContextual"/>
              </w:rPr>
              <w:t>282.6</w:t>
            </w:r>
          </w:p>
        </w:tc>
        <w:tc>
          <w:tcPr>
            <w:tcW w:w="518" w:type="pct"/>
            <w:vAlign w:val="center"/>
          </w:tcPr>
          <w:p w14:paraId="0A484801" w14:textId="77777777" w:rsidR="00305AEE" w:rsidRPr="00305AEE" w:rsidRDefault="00305AEE" w:rsidP="000E5A82">
            <w:pPr>
              <w:spacing w:before="0" w:after="0"/>
              <w:jc w:val="center"/>
              <w:rPr>
                <w:rFonts w:eastAsia="Arial" w:cs="Calibri Light"/>
                <w:color w:val="000000"/>
                <w:kern w:val="2"/>
                <w:sz w:val="16"/>
                <w:szCs w:val="16"/>
                <w:lang w:eastAsia="en-US"/>
                <w14:ligatures w14:val="standardContextual"/>
              </w:rPr>
            </w:pPr>
            <w:r w:rsidRPr="00305AEE">
              <w:rPr>
                <w:rFonts w:eastAsia="Arial" w:cs="Calibri Light"/>
                <w:b/>
                <w:bCs/>
                <w:color w:val="000000"/>
                <w:kern w:val="2"/>
                <w:sz w:val="16"/>
                <w:szCs w:val="16"/>
                <w:lang w:eastAsia="en-US"/>
                <w14:ligatures w14:val="standardContextual"/>
              </w:rPr>
              <w:t>294.0</w:t>
            </w:r>
          </w:p>
        </w:tc>
        <w:tc>
          <w:tcPr>
            <w:tcW w:w="518" w:type="pct"/>
            <w:vAlign w:val="center"/>
          </w:tcPr>
          <w:p w14:paraId="11FEFC4C" w14:textId="77777777" w:rsidR="00305AEE" w:rsidRPr="00305AEE" w:rsidRDefault="00305AEE" w:rsidP="000E5A82">
            <w:pPr>
              <w:spacing w:before="0" w:after="0"/>
              <w:jc w:val="center"/>
              <w:rPr>
                <w:rFonts w:eastAsia="Arial" w:cs="Calibri Light"/>
                <w:color w:val="000000"/>
                <w:kern w:val="2"/>
                <w:sz w:val="16"/>
                <w:szCs w:val="16"/>
                <w:lang w:eastAsia="en-US"/>
                <w14:ligatures w14:val="standardContextual"/>
              </w:rPr>
            </w:pPr>
            <w:r w:rsidRPr="00305AEE">
              <w:rPr>
                <w:rFonts w:eastAsia="Arial" w:cs="Calibri Light"/>
                <w:b/>
                <w:color w:val="C00000"/>
                <w:kern w:val="2"/>
                <w:sz w:val="16"/>
                <w:szCs w:val="16"/>
                <w:lang w:eastAsia="en-US"/>
                <w14:ligatures w14:val="standardContextual"/>
              </w:rPr>
              <w:t>(11.4)</w:t>
            </w:r>
          </w:p>
        </w:tc>
      </w:tr>
    </w:tbl>
    <w:p w14:paraId="030DA86E" w14:textId="227F114C" w:rsidR="00762E42" w:rsidRPr="0032413C" w:rsidRDefault="003C6509" w:rsidP="005378B1">
      <w:pPr>
        <w:pStyle w:val="Heading1"/>
        <w:rPr>
          <w:color w:val="auto"/>
        </w:rPr>
      </w:pPr>
      <w:r w:rsidRPr="005378B1">
        <w:rPr>
          <w:color w:val="auto"/>
        </w:rPr>
        <w:t xml:space="preserve">Industry </w:t>
      </w:r>
      <w:r w:rsidRPr="00A95EF4">
        <w:rPr>
          <w:color w:val="auto"/>
        </w:rPr>
        <w:t>structure</w:t>
      </w:r>
      <w:bookmarkEnd w:id="103"/>
      <w:bookmarkEnd w:id="104"/>
      <w:bookmarkEnd w:id="105"/>
      <w:bookmarkEnd w:id="106"/>
      <w:bookmarkEnd w:id="107"/>
      <w:bookmarkEnd w:id="108"/>
    </w:p>
    <w:p w14:paraId="3E032F7F" w14:textId="358759F0" w:rsidR="00762E42" w:rsidRPr="005378B1" w:rsidRDefault="003C6509" w:rsidP="005378B1">
      <w:r w:rsidRPr="005378B1">
        <w:t xml:space="preserve">Table 8 compares the number of institutions and their asset values </w:t>
      </w:r>
      <w:r w:rsidR="007A777C">
        <w:t xml:space="preserve">as </w:t>
      </w:r>
      <w:proofErr w:type="gramStart"/>
      <w:r w:rsidR="007A777C">
        <w:t>at</w:t>
      </w:r>
      <w:proofErr w:type="gramEnd"/>
      <w:r w:rsidRPr="005378B1">
        <w:t xml:space="preserve"> December </w:t>
      </w:r>
      <w:r w:rsidR="007905E2" w:rsidRPr="005378B1" w:rsidDel="00BD59A0">
        <w:t>202</w:t>
      </w:r>
      <w:r w:rsidR="007905E2">
        <w:t>3</w:t>
      </w:r>
      <w:r w:rsidR="007905E2" w:rsidRPr="005378B1" w:rsidDel="00BD59A0">
        <w:t xml:space="preserve"> </w:t>
      </w:r>
      <w:r w:rsidRPr="005378B1">
        <w:t xml:space="preserve">and December </w:t>
      </w:r>
      <w:r w:rsidR="007905E2" w:rsidRPr="005378B1" w:rsidDel="00BD59A0">
        <w:t>202</w:t>
      </w:r>
      <w:r w:rsidR="007905E2">
        <w:t>4</w:t>
      </w:r>
      <w:r w:rsidR="00762E42" w:rsidRPr="005378B1">
        <w:t>.</w:t>
      </w:r>
      <w:r w:rsidRPr="005378B1">
        <w:t xml:space="preserve"> The relevant asset values at the levy dates will be the basis for calculation of the </w:t>
      </w:r>
      <w:r w:rsidRPr="005378B1">
        <w:lastRenderedPageBreak/>
        <w:t xml:space="preserve">levies for </w:t>
      </w:r>
      <w:r w:rsidR="00E20842" w:rsidRPr="005378B1" w:rsidDel="00BD59A0">
        <w:t>202</w:t>
      </w:r>
      <w:r w:rsidR="00F34053" w:rsidRPr="005378B1">
        <w:t>5</w:t>
      </w:r>
      <w:r w:rsidR="00CE76AA" w:rsidRPr="005378B1">
        <w:t>–</w:t>
      </w:r>
      <w:r w:rsidR="00E20842" w:rsidRPr="005378B1">
        <w:t>2</w:t>
      </w:r>
      <w:r w:rsidR="00F34053" w:rsidRPr="005378B1">
        <w:t>6</w:t>
      </w:r>
      <w:r w:rsidR="00762E42" w:rsidRPr="005378B1">
        <w:t>.</w:t>
      </w:r>
      <w:r w:rsidRPr="005378B1">
        <w:t xml:space="preserve"> Consequently, the asset values used to estimate the levies payable in this paper will differ from those used to invoice the levies. </w:t>
      </w:r>
    </w:p>
    <w:p w14:paraId="1B41E313" w14:textId="16CC6094" w:rsidR="00762E42" w:rsidRPr="005378B1" w:rsidRDefault="003C6509" w:rsidP="005378B1">
      <w:r w:rsidRPr="005378B1">
        <w:t xml:space="preserve">The levy base for the calculation of levies for superannuation excludes employer-sponsored receivable assets for </w:t>
      </w:r>
      <w:r w:rsidR="008A51BB">
        <w:t>p</w:t>
      </w:r>
      <w:r w:rsidR="008A51BB" w:rsidRPr="005378B1">
        <w:t xml:space="preserve">ublic </w:t>
      </w:r>
      <w:r w:rsidR="008A51BB">
        <w:t>s</w:t>
      </w:r>
      <w:r w:rsidR="008A51BB" w:rsidRPr="005378B1">
        <w:t xml:space="preserve">ector </w:t>
      </w:r>
      <w:r w:rsidRPr="005378B1">
        <w:t>entities. These assets are included in the table below.</w:t>
      </w:r>
    </w:p>
    <w:p w14:paraId="26B61398" w14:textId="1962440E" w:rsidR="00762E42" w:rsidRPr="005378B1" w:rsidRDefault="003C6509" w:rsidP="005378B1">
      <w:pPr>
        <w:pStyle w:val="TableMainHeading"/>
        <w:rPr>
          <w:color w:val="auto"/>
        </w:rPr>
      </w:pPr>
      <w:bookmarkStart w:id="109" w:name="_Toc104212075"/>
      <w:bookmarkStart w:id="110" w:name="_Toc104212355"/>
      <w:bookmarkStart w:id="111" w:name="_Toc192616578"/>
      <w:bookmarkStart w:id="112" w:name="_Toc192616752"/>
      <w:bookmarkStart w:id="113" w:name="_Hlk193558409"/>
      <w:r w:rsidRPr="005378B1">
        <w:rPr>
          <w:color w:val="auto"/>
        </w:rPr>
        <w:t>Table 8: Institutional asset base used for modelling levies</w:t>
      </w:r>
      <w:bookmarkEnd w:id="109"/>
      <w:bookmarkEnd w:id="110"/>
      <w:bookmarkEnd w:id="111"/>
      <w:bookmarkEnd w:id="112"/>
    </w:p>
    <w:tbl>
      <w:tblPr>
        <w:tblStyle w:val="Hidden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4042"/>
        <w:gridCol w:w="1258"/>
        <w:gridCol w:w="1252"/>
        <w:gridCol w:w="1258"/>
        <w:gridCol w:w="1250"/>
      </w:tblGrid>
      <w:tr w:rsidR="00082FE3" w:rsidRPr="00082FE3" w14:paraId="6BE89BFE" w14:textId="77777777" w:rsidTr="001809DE">
        <w:trPr>
          <w:trHeight w:val="485"/>
        </w:trPr>
        <w:tc>
          <w:tcPr>
            <w:tcW w:w="2231" w:type="pct"/>
            <w:shd w:val="clear" w:color="auto" w:fill="EEEEEE" w:themeFill="background2"/>
            <w:vAlign w:val="center"/>
          </w:tcPr>
          <w:p w14:paraId="04F8B83E" w14:textId="77777777" w:rsidR="00082FE3" w:rsidRPr="001809DE" w:rsidRDefault="00082FE3" w:rsidP="00370497">
            <w:pPr>
              <w:keepNext/>
              <w:spacing w:before="60" w:after="60"/>
              <w:ind w:left="57"/>
              <w:jc w:val="left"/>
              <w:outlineLvl w:val="2"/>
              <w:rPr>
                <w:rFonts w:cs="Calibri Light"/>
                <w:b/>
                <w:kern w:val="32"/>
                <w:sz w:val="16"/>
                <w:szCs w:val="16"/>
              </w:rPr>
            </w:pPr>
            <w:bookmarkStart w:id="114" w:name="_Hlk193564837"/>
            <w:bookmarkEnd w:id="113"/>
            <w:r w:rsidRPr="001809DE">
              <w:rPr>
                <w:rFonts w:cs="Calibri Light"/>
                <w:b/>
                <w:kern w:val="32"/>
                <w:sz w:val="16"/>
                <w:szCs w:val="16"/>
              </w:rPr>
              <w:t>Industry sector</w:t>
            </w:r>
          </w:p>
        </w:tc>
        <w:tc>
          <w:tcPr>
            <w:tcW w:w="694" w:type="pct"/>
            <w:shd w:val="clear" w:color="auto" w:fill="EEEEEE" w:themeFill="background2"/>
          </w:tcPr>
          <w:p w14:paraId="02D2B8AA" w14:textId="77777777" w:rsidR="00370497" w:rsidRDefault="00082FE3" w:rsidP="00370497">
            <w:pPr>
              <w:keepNext/>
              <w:spacing w:before="60" w:after="60"/>
              <w:jc w:val="center"/>
              <w:outlineLvl w:val="2"/>
              <w:rPr>
                <w:rFonts w:cs="Calibri Light"/>
                <w:b/>
                <w:kern w:val="32"/>
                <w:sz w:val="16"/>
                <w:szCs w:val="16"/>
              </w:rPr>
            </w:pPr>
            <w:r w:rsidRPr="001809DE">
              <w:rPr>
                <w:rFonts w:cs="Calibri Light"/>
                <w:b/>
                <w:kern w:val="32"/>
                <w:sz w:val="16"/>
                <w:szCs w:val="16"/>
              </w:rPr>
              <w:t xml:space="preserve">Dec-23 </w:t>
            </w:r>
          </w:p>
          <w:p w14:paraId="54C0E822" w14:textId="5A68D57B" w:rsidR="00082FE3" w:rsidRPr="001809DE" w:rsidRDefault="00082FE3" w:rsidP="00370497">
            <w:pPr>
              <w:keepNext/>
              <w:spacing w:before="60" w:after="60"/>
              <w:jc w:val="center"/>
              <w:outlineLvl w:val="2"/>
              <w:rPr>
                <w:rFonts w:cs="Calibri Light"/>
                <w:b/>
                <w:kern w:val="32"/>
                <w:sz w:val="16"/>
                <w:szCs w:val="16"/>
              </w:rPr>
            </w:pPr>
            <w:r w:rsidRPr="001809DE">
              <w:rPr>
                <w:rFonts w:cs="Calibri Light"/>
                <w:b/>
                <w:kern w:val="32"/>
                <w:sz w:val="16"/>
                <w:szCs w:val="16"/>
              </w:rPr>
              <w:t>entity count</w:t>
            </w:r>
            <w:r w:rsidRPr="001809DE">
              <w:rPr>
                <w:rFonts w:cs="Calibri Light"/>
                <w:b/>
                <w:kern w:val="32"/>
                <w:sz w:val="16"/>
                <w:szCs w:val="16"/>
                <w:vertAlign w:val="superscript"/>
              </w:rPr>
              <w:t>7,8</w:t>
            </w:r>
          </w:p>
        </w:tc>
        <w:tc>
          <w:tcPr>
            <w:tcW w:w="691" w:type="pct"/>
            <w:shd w:val="clear" w:color="auto" w:fill="EEEEEE" w:themeFill="background2"/>
          </w:tcPr>
          <w:p w14:paraId="41B0CF3D" w14:textId="77777777" w:rsidR="00370497" w:rsidRDefault="00082FE3" w:rsidP="00370497">
            <w:pPr>
              <w:keepNext/>
              <w:spacing w:before="60" w:after="60"/>
              <w:jc w:val="center"/>
              <w:outlineLvl w:val="2"/>
              <w:rPr>
                <w:rFonts w:cs="Calibri Light"/>
                <w:b/>
                <w:kern w:val="32"/>
                <w:sz w:val="16"/>
                <w:szCs w:val="16"/>
              </w:rPr>
            </w:pPr>
            <w:r w:rsidRPr="001809DE">
              <w:rPr>
                <w:rFonts w:cs="Calibri Light"/>
                <w:b/>
                <w:kern w:val="32"/>
                <w:sz w:val="16"/>
                <w:szCs w:val="16"/>
              </w:rPr>
              <w:t xml:space="preserve">Dec-23 </w:t>
            </w:r>
          </w:p>
          <w:p w14:paraId="07963061" w14:textId="3C8E7F27" w:rsidR="00082FE3" w:rsidRPr="001809DE" w:rsidRDefault="00082FE3" w:rsidP="00370497">
            <w:pPr>
              <w:keepNext/>
              <w:spacing w:before="60" w:after="60"/>
              <w:jc w:val="center"/>
              <w:outlineLvl w:val="2"/>
              <w:rPr>
                <w:rFonts w:cs="Calibri Light"/>
                <w:b/>
                <w:kern w:val="32"/>
                <w:sz w:val="16"/>
                <w:szCs w:val="16"/>
              </w:rPr>
            </w:pPr>
            <w:r w:rsidRPr="001809DE">
              <w:rPr>
                <w:rFonts w:cs="Calibri Light"/>
                <w:b/>
                <w:kern w:val="32"/>
                <w:sz w:val="16"/>
                <w:szCs w:val="16"/>
              </w:rPr>
              <w:t>total assets ($b)</w:t>
            </w:r>
            <w:r w:rsidRPr="001809DE">
              <w:rPr>
                <w:rFonts w:cs="Calibri Light"/>
                <w:b/>
                <w:kern w:val="32"/>
                <w:sz w:val="16"/>
                <w:szCs w:val="16"/>
                <w:vertAlign w:val="superscript"/>
              </w:rPr>
              <w:t>9,10</w:t>
            </w:r>
          </w:p>
        </w:tc>
        <w:tc>
          <w:tcPr>
            <w:tcW w:w="694" w:type="pct"/>
            <w:shd w:val="clear" w:color="auto" w:fill="EEEEEE" w:themeFill="background2"/>
          </w:tcPr>
          <w:p w14:paraId="29D230D1" w14:textId="77777777" w:rsidR="00370497" w:rsidRDefault="00082FE3" w:rsidP="00370497">
            <w:pPr>
              <w:keepNext/>
              <w:spacing w:before="60" w:after="60"/>
              <w:jc w:val="center"/>
              <w:outlineLvl w:val="2"/>
              <w:rPr>
                <w:rFonts w:cs="Calibri Light"/>
                <w:b/>
                <w:kern w:val="32"/>
                <w:sz w:val="16"/>
                <w:szCs w:val="16"/>
              </w:rPr>
            </w:pPr>
            <w:r w:rsidRPr="001809DE">
              <w:rPr>
                <w:rFonts w:cs="Calibri Light"/>
                <w:b/>
                <w:kern w:val="32"/>
                <w:sz w:val="16"/>
                <w:szCs w:val="16"/>
              </w:rPr>
              <w:t xml:space="preserve">Dec-24 </w:t>
            </w:r>
          </w:p>
          <w:p w14:paraId="27CAAC6B" w14:textId="00647B13" w:rsidR="00082FE3" w:rsidRPr="001809DE" w:rsidRDefault="00082FE3" w:rsidP="00370497">
            <w:pPr>
              <w:keepNext/>
              <w:spacing w:before="60" w:after="60"/>
              <w:jc w:val="center"/>
              <w:outlineLvl w:val="2"/>
              <w:rPr>
                <w:rFonts w:cs="Calibri Light"/>
                <w:b/>
                <w:kern w:val="32"/>
                <w:sz w:val="16"/>
                <w:szCs w:val="16"/>
              </w:rPr>
            </w:pPr>
            <w:r w:rsidRPr="001809DE">
              <w:rPr>
                <w:rFonts w:cs="Calibri Light"/>
                <w:b/>
                <w:kern w:val="32"/>
                <w:sz w:val="16"/>
                <w:szCs w:val="16"/>
              </w:rPr>
              <w:t>entity count</w:t>
            </w:r>
            <w:r w:rsidRPr="001809DE">
              <w:rPr>
                <w:rFonts w:cs="Calibri Light"/>
                <w:b/>
                <w:kern w:val="32"/>
                <w:sz w:val="16"/>
                <w:szCs w:val="16"/>
                <w:vertAlign w:val="superscript"/>
              </w:rPr>
              <w:t>7,8</w:t>
            </w:r>
          </w:p>
        </w:tc>
        <w:tc>
          <w:tcPr>
            <w:tcW w:w="690" w:type="pct"/>
            <w:shd w:val="clear" w:color="auto" w:fill="EEEEEE" w:themeFill="background2"/>
          </w:tcPr>
          <w:p w14:paraId="3C3871DF" w14:textId="77777777" w:rsidR="00370497" w:rsidRDefault="00082FE3" w:rsidP="00370497">
            <w:pPr>
              <w:keepNext/>
              <w:spacing w:before="60" w:after="60"/>
              <w:jc w:val="center"/>
              <w:outlineLvl w:val="2"/>
              <w:rPr>
                <w:rFonts w:cs="Calibri Light"/>
                <w:b/>
                <w:kern w:val="32"/>
                <w:sz w:val="16"/>
                <w:szCs w:val="16"/>
              </w:rPr>
            </w:pPr>
            <w:r w:rsidRPr="001809DE">
              <w:rPr>
                <w:rFonts w:cs="Calibri Light"/>
                <w:b/>
                <w:kern w:val="32"/>
                <w:sz w:val="16"/>
                <w:szCs w:val="16"/>
              </w:rPr>
              <w:t xml:space="preserve">Dec-24 </w:t>
            </w:r>
          </w:p>
          <w:p w14:paraId="25453AAC" w14:textId="45327828" w:rsidR="00082FE3" w:rsidRPr="001809DE" w:rsidRDefault="00082FE3" w:rsidP="00370497">
            <w:pPr>
              <w:keepNext/>
              <w:spacing w:before="60" w:after="60"/>
              <w:jc w:val="center"/>
              <w:outlineLvl w:val="2"/>
              <w:rPr>
                <w:rFonts w:cs="Calibri Light"/>
                <w:b/>
                <w:kern w:val="32"/>
                <w:sz w:val="16"/>
                <w:szCs w:val="16"/>
              </w:rPr>
            </w:pPr>
            <w:r w:rsidRPr="001809DE">
              <w:rPr>
                <w:rFonts w:cs="Calibri Light"/>
                <w:b/>
                <w:kern w:val="32"/>
                <w:sz w:val="16"/>
                <w:szCs w:val="16"/>
              </w:rPr>
              <w:t>total assets ($b)</w:t>
            </w:r>
            <w:r w:rsidRPr="001809DE">
              <w:rPr>
                <w:rFonts w:cs="Calibri Light"/>
                <w:b/>
                <w:kern w:val="32"/>
                <w:sz w:val="16"/>
                <w:szCs w:val="16"/>
                <w:vertAlign w:val="superscript"/>
              </w:rPr>
              <w:t xml:space="preserve"> 9,10</w:t>
            </w:r>
          </w:p>
        </w:tc>
      </w:tr>
      <w:tr w:rsidR="00082FE3" w:rsidRPr="00082FE3" w14:paraId="49673453" w14:textId="77777777" w:rsidTr="001809DE">
        <w:trPr>
          <w:trHeight w:val="485"/>
        </w:trPr>
        <w:tc>
          <w:tcPr>
            <w:tcW w:w="2231" w:type="pct"/>
          </w:tcPr>
          <w:p w14:paraId="55B5525D" w14:textId="77777777" w:rsidR="00082FE3" w:rsidRPr="00082FE3" w:rsidRDefault="00082FE3" w:rsidP="000E62EE">
            <w:pPr>
              <w:keepNext/>
              <w:spacing w:after="0"/>
              <w:ind w:left="113"/>
              <w:outlineLvl w:val="2"/>
              <w:rPr>
                <w:rFonts w:cs="Calibri Light"/>
                <w:kern w:val="32"/>
                <w:sz w:val="16"/>
                <w:szCs w:val="16"/>
              </w:rPr>
            </w:pPr>
            <w:r w:rsidRPr="00082FE3">
              <w:rPr>
                <w:rFonts w:cs="Calibri Light"/>
                <w:kern w:val="32"/>
                <w:sz w:val="16"/>
                <w:szCs w:val="16"/>
              </w:rPr>
              <w:t>ADIs</w:t>
            </w:r>
            <w:r w:rsidRPr="00082FE3">
              <w:rPr>
                <w:rFonts w:cs="Calibri Light"/>
                <w:kern w:val="32"/>
                <w:sz w:val="16"/>
                <w:szCs w:val="16"/>
                <w:vertAlign w:val="superscript"/>
              </w:rPr>
              <w:t>1,2</w:t>
            </w:r>
            <w:r w:rsidRPr="00082FE3">
              <w:rPr>
                <w:rFonts w:cs="Calibri Light"/>
                <w:kern w:val="32"/>
                <w:sz w:val="16"/>
                <w:szCs w:val="16"/>
              </w:rPr>
              <w:t xml:space="preserve"> - Banks (excluding mutuals)</w:t>
            </w:r>
          </w:p>
        </w:tc>
        <w:tc>
          <w:tcPr>
            <w:tcW w:w="694" w:type="pct"/>
          </w:tcPr>
          <w:p w14:paraId="282593A0" w14:textId="77777777" w:rsidR="00082FE3" w:rsidRPr="00082FE3" w:rsidRDefault="00082FE3" w:rsidP="00082FE3">
            <w:pPr>
              <w:keepNext/>
              <w:spacing w:after="0" w:line="276" w:lineRule="auto"/>
              <w:jc w:val="center"/>
              <w:outlineLvl w:val="2"/>
              <w:rPr>
                <w:rFonts w:cs="Calibri Light"/>
                <w:kern w:val="32"/>
                <w:sz w:val="16"/>
                <w:szCs w:val="16"/>
              </w:rPr>
            </w:pPr>
            <w:r w:rsidRPr="00082FE3">
              <w:rPr>
                <w:rFonts w:cs="Calibri Light"/>
                <w:kern w:val="32"/>
                <w:sz w:val="16"/>
                <w:szCs w:val="16"/>
              </w:rPr>
              <w:t>73</w:t>
            </w:r>
          </w:p>
        </w:tc>
        <w:tc>
          <w:tcPr>
            <w:tcW w:w="691" w:type="pct"/>
          </w:tcPr>
          <w:p w14:paraId="449D32CC" w14:textId="77777777" w:rsidR="00082FE3" w:rsidRPr="00082FE3" w:rsidRDefault="00082FE3" w:rsidP="00082FE3">
            <w:pPr>
              <w:keepNext/>
              <w:spacing w:after="0" w:line="276" w:lineRule="auto"/>
              <w:jc w:val="center"/>
              <w:outlineLvl w:val="2"/>
              <w:rPr>
                <w:rFonts w:cs="Calibri Light"/>
                <w:kern w:val="32"/>
                <w:sz w:val="16"/>
                <w:szCs w:val="16"/>
              </w:rPr>
            </w:pPr>
            <w:r w:rsidRPr="00082FE3">
              <w:rPr>
                <w:rFonts w:cs="Calibri Light"/>
                <w:kern w:val="32"/>
                <w:sz w:val="16"/>
                <w:szCs w:val="16"/>
              </w:rPr>
              <w:t>6,031</w:t>
            </w:r>
          </w:p>
        </w:tc>
        <w:tc>
          <w:tcPr>
            <w:tcW w:w="694" w:type="pct"/>
          </w:tcPr>
          <w:p w14:paraId="5DB2957F" w14:textId="77777777" w:rsidR="00082FE3" w:rsidRPr="00082FE3" w:rsidRDefault="00082FE3" w:rsidP="00082FE3">
            <w:pPr>
              <w:keepNext/>
              <w:spacing w:after="0" w:line="276" w:lineRule="auto"/>
              <w:jc w:val="center"/>
              <w:outlineLvl w:val="2"/>
              <w:rPr>
                <w:rFonts w:cs="Calibri Light"/>
                <w:kern w:val="32"/>
                <w:sz w:val="16"/>
                <w:szCs w:val="16"/>
              </w:rPr>
            </w:pPr>
            <w:r w:rsidRPr="00082FE3">
              <w:rPr>
                <w:rFonts w:cs="Calibri Light"/>
                <w:kern w:val="32"/>
                <w:sz w:val="16"/>
                <w:szCs w:val="16"/>
              </w:rPr>
              <w:t>74</w:t>
            </w:r>
          </w:p>
        </w:tc>
        <w:tc>
          <w:tcPr>
            <w:tcW w:w="690" w:type="pct"/>
          </w:tcPr>
          <w:p w14:paraId="271E1DBA" w14:textId="77777777" w:rsidR="00082FE3" w:rsidRPr="00082FE3" w:rsidRDefault="00082FE3" w:rsidP="00082FE3">
            <w:pPr>
              <w:keepNext/>
              <w:spacing w:after="0" w:line="276" w:lineRule="auto"/>
              <w:jc w:val="center"/>
              <w:outlineLvl w:val="2"/>
              <w:rPr>
                <w:rFonts w:cs="Calibri Light"/>
                <w:kern w:val="32"/>
                <w:sz w:val="16"/>
                <w:szCs w:val="16"/>
              </w:rPr>
            </w:pPr>
            <w:r w:rsidRPr="00082FE3">
              <w:rPr>
                <w:rFonts w:cs="Calibri Light"/>
                <w:kern w:val="32"/>
                <w:sz w:val="16"/>
                <w:szCs w:val="16"/>
              </w:rPr>
              <w:t>6,222</w:t>
            </w:r>
          </w:p>
        </w:tc>
      </w:tr>
      <w:tr w:rsidR="00082FE3" w:rsidRPr="00082FE3" w14:paraId="062DB777" w14:textId="77777777" w:rsidTr="001809DE">
        <w:trPr>
          <w:trHeight w:val="485"/>
        </w:trPr>
        <w:tc>
          <w:tcPr>
            <w:tcW w:w="2231" w:type="pct"/>
          </w:tcPr>
          <w:p w14:paraId="174F2022" w14:textId="77777777" w:rsidR="00082FE3" w:rsidRPr="00082FE3" w:rsidRDefault="00082FE3" w:rsidP="000E62EE">
            <w:pPr>
              <w:keepNext/>
              <w:spacing w:after="0" w:line="276" w:lineRule="auto"/>
              <w:ind w:left="113"/>
              <w:outlineLvl w:val="2"/>
              <w:rPr>
                <w:rFonts w:cs="Calibri Light"/>
                <w:kern w:val="32"/>
                <w:sz w:val="16"/>
                <w:szCs w:val="16"/>
              </w:rPr>
            </w:pPr>
            <w:r w:rsidRPr="00082FE3">
              <w:rPr>
                <w:rFonts w:cs="Calibri Light"/>
                <w:kern w:val="32"/>
                <w:sz w:val="16"/>
                <w:szCs w:val="16"/>
              </w:rPr>
              <w:t>ADIs</w:t>
            </w:r>
            <w:r w:rsidRPr="00082FE3">
              <w:rPr>
                <w:rFonts w:cs="Calibri Light"/>
                <w:kern w:val="32"/>
                <w:sz w:val="16"/>
                <w:szCs w:val="16"/>
                <w:vertAlign w:val="superscript"/>
              </w:rPr>
              <w:t>1,2</w:t>
            </w:r>
            <w:r w:rsidRPr="00082FE3">
              <w:rPr>
                <w:rFonts w:cs="Calibri Light"/>
                <w:kern w:val="32"/>
                <w:sz w:val="16"/>
                <w:szCs w:val="16"/>
              </w:rPr>
              <w:t xml:space="preserve"> – Mutuals</w:t>
            </w:r>
            <w:r w:rsidRPr="00082FE3">
              <w:rPr>
                <w:rFonts w:cs="Calibri Light"/>
                <w:kern w:val="32"/>
                <w:sz w:val="16"/>
                <w:szCs w:val="16"/>
                <w:vertAlign w:val="superscript"/>
              </w:rPr>
              <w:t>3</w:t>
            </w:r>
          </w:p>
        </w:tc>
        <w:tc>
          <w:tcPr>
            <w:tcW w:w="694" w:type="pct"/>
          </w:tcPr>
          <w:p w14:paraId="519072DF" w14:textId="77777777" w:rsidR="00082FE3" w:rsidRPr="00082FE3" w:rsidRDefault="00082FE3" w:rsidP="00082FE3">
            <w:pPr>
              <w:keepNext/>
              <w:spacing w:after="0" w:line="276" w:lineRule="auto"/>
              <w:jc w:val="center"/>
              <w:outlineLvl w:val="2"/>
              <w:rPr>
                <w:rFonts w:cs="Calibri Light"/>
                <w:kern w:val="32"/>
                <w:sz w:val="16"/>
                <w:szCs w:val="16"/>
              </w:rPr>
            </w:pPr>
            <w:r w:rsidRPr="00082FE3">
              <w:rPr>
                <w:rFonts w:cs="Calibri Light"/>
                <w:kern w:val="32"/>
                <w:sz w:val="16"/>
                <w:szCs w:val="16"/>
              </w:rPr>
              <w:t>57</w:t>
            </w:r>
          </w:p>
        </w:tc>
        <w:tc>
          <w:tcPr>
            <w:tcW w:w="691" w:type="pct"/>
          </w:tcPr>
          <w:p w14:paraId="2D93A988" w14:textId="77777777" w:rsidR="00082FE3" w:rsidRPr="00082FE3" w:rsidRDefault="00082FE3" w:rsidP="00082FE3">
            <w:pPr>
              <w:keepNext/>
              <w:spacing w:after="0" w:line="276" w:lineRule="auto"/>
              <w:jc w:val="center"/>
              <w:outlineLvl w:val="2"/>
              <w:rPr>
                <w:rFonts w:cs="Calibri Light"/>
                <w:kern w:val="32"/>
                <w:sz w:val="16"/>
                <w:szCs w:val="16"/>
              </w:rPr>
            </w:pPr>
            <w:r w:rsidRPr="00082FE3">
              <w:rPr>
                <w:rFonts w:cs="Calibri Light"/>
                <w:kern w:val="32"/>
                <w:sz w:val="16"/>
                <w:szCs w:val="16"/>
              </w:rPr>
              <w:t>197</w:t>
            </w:r>
          </w:p>
        </w:tc>
        <w:tc>
          <w:tcPr>
            <w:tcW w:w="694" w:type="pct"/>
          </w:tcPr>
          <w:p w14:paraId="14DB9C0D" w14:textId="77777777" w:rsidR="00082FE3" w:rsidRPr="00082FE3" w:rsidRDefault="00082FE3" w:rsidP="00082FE3">
            <w:pPr>
              <w:keepNext/>
              <w:spacing w:after="0" w:line="276" w:lineRule="auto"/>
              <w:jc w:val="center"/>
              <w:outlineLvl w:val="2"/>
              <w:rPr>
                <w:rFonts w:cs="Calibri Light"/>
                <w:kern w:val="32"/>
                <w:sz w:val="16"/>
                <w:szCs w:val="16"/>
              </w:rPr>
            </w:pPr>
            <w:r w:rsidRPr="00082FE3">
              <w:rPr>
                <w:rFonts w:cs="Calibri Light"/>
                <w:kern w:val="32"/>
                <w:sz w:val="16"/>
                <w:szCs w:val="16"/>
              </w:rPr>
              <w:t>54</w:t>
            </w:r>
          </w:p>
        </w:tc>
        <w:tc>
          <w:tcPr>
            <w:tcW w:w="690" w:type="pct"/>
          </w:tcPr>
          <w:p w14:paraId="47FE69CD" w14:textId="77777777" w:rsidR="00082FE3" w:rsidRPr="00082FE3" w:rsidRDefault="00082FE3" w:rsidP="00082FE3">
            <w:pPr>
              <w:keepNext/>
              <w:spacing w:after="0" w:line="276" w:lineRule="auto"/>
              <w:jc w:val="center"/>
              <w:outlineLvl w:val="2"/>
              <w:rPr>
                <w:rFonts w:cs="Calibri Light"/>
                <w:kern w:val="32"/>
                <w:sz w:val="16"/>
                <w:szCs w:val="16"/>
              </w:rPr>
            </w:pPr>
            <w:r w:rsidRPr="00082FE3">
              <w:rPr>
                <w:rFonts w:cs="Calibri Light"/>
                <w:kern w:val="32"/>
                <w:sz w:val="16"/>
                <w:szCs w:val="16"/>
              </w:rPr>
              <w:t>206</w:t>
            </w:r>
          </w:p>
        </w:tc>
      </w:tr>
      <w:tr w:rsidR="00082FE3" w:rsidRPr="00082FE3" w14:paraId="5DF46F5E" w14:textId="77777777" w:rsidTr="001809DE">
        <w:trPr>
          <w:trHeight w:val="485"/>
        </w:trPr>
        <w:tc>
          <w:tcPr>
            <w:tcW w:w="2231" w:type="pct"/>
          </w:tcPr>
          <w:p w14:paraId="22E4097A" w14:textId="4CDDACDF" w:rsidR="00082FE3" w:rsidRPr="00082FE3" w:rsidRDefault="00082FE3" w:rsidP="000E62EE">
            <w:pPr>
              <w:keepNext/>
              <w:spacing w:after="0" w:line="276" w:lineRule="auto"/>
              <w:ind w:left="113"/>
              <w:outlineLvl w:val="2"/>
              <w:rPr>
                <w:rFonts w:cs="Calibri Light"/>
                <w:kern w:val="32"/>
                <w:sz w:val="16"/>
                <w:szCs w:val="16"/>
              </w:rPr>
            </w:pPr>
            <w:r w:rsidRPr="00082FE3">
              <w:rPr>
                <w:rFonts w:cs="Calibri Light"/>
                <w:kern w:val="32"/>
                <w:sz w:val="16"/>
                <w:szCs w:val="16"/>
              </w:rPr>
              <w:t>ADIs</w:t>
            </w:r>
            <w:r w:rsidRPr="00082FE3">
              <w:rPr>
                <w:rFonts w:cs="Calibri Light"/>
                <w:kern w:val="32"/>
                <w:sz w:val="16"/>
                <w:szCs w:val="16"/>
                <w:vertAlign w:val="superscript"/>
              </w:rPr>
              <w:t>1,2</w:t>
            </w:r>
            <w:r w:rsidRPr="00082FE3">
              <w:rPr>
                <w:rFonts w:cs="Calibri Light"/>
                <w:kern w:val="32"/>
                <w:sz w:val="16"/>
                <w:szCs w:val="16"/>
              </w:rPr>
              <w:t xml:space="preserve"> - Other ADIs (not defined as banks or mutuals</w:t>
            </w:r>
            <w:r w:rsidR="00370497">
              <w:rPr>
                <w:rFonts w:cs="Calibri Light"/>
                <w:kern w:val="32"/>
                <w:sz w:val="16"/>
                <w:szCs w:val="16"/>
              </w:rPr>
              <w:t>)</w:t>
            </w:r>
          </w:p>
        </w:tc>
        <w:tc>
          <w:tcPr>
            <w:tcW w:w="694" w:type="pct"/>
          </w:tcPr>
          <w:p w14:paraId="214C5E78" w14:textId="77777777" w:rsidR="00082FE3" w:rsidRPr="00082FE3" w:rsidRDefault="00082FE3" w:rsidP="00082FE3">
            <w:pPr>
              <w:keepNext/>
              <w:spacing w:after="0" w:line="276" w:lineRule="auto"/>
              <w:jc w:val="center"/>
              <w:outlineLvl w:val="2"/>
              <w:rPr>
                <w:rFonts w:cs="Calibri Light"/>
                <w:kern w:val="32"/>
                <w:sz w:val="16"/>
                <w:szCs w:val="16"/>
              </w:rPr>
            </w:pPr>
            <w:r w:rsidRPr="00082FE3">
              <w:rPr>
                <w:rFonts w:cs="Calibri Light"/>
                <w:kern w:val="32"/>
                <w:sz w:val="16"/>
                <w:szCs w:val="16"/>
              </w:rPr>
              <w:t>7</w:t>
            </w:r>
          </w:p>
        </w:tc>
        <w:tc>
          <w:tcPr>
            <w:tcW w:w="691" w:type="pct"/>
          </w:tcPr>
          <w:p w14:paraId="09D0F092" w14:textId="77777777" w:rsidR="00082FE3" w:rsidRPr="00082FE3" w:rsidRDefault="00082FE3" w:rsidP="00082FE3">
            <w:pPr>
              <w:keepNext/>
              <w:spacing w:after="0" w:line="276" w:lineRule="auto"/>
              <w:jc w:val="center"/>
              <w:outlineLvl w:val="2"/>
              <w:rPr>
                <w:rFonts w:cs="Calibri Light"/>
                <w:kern w:val="32"/>
                <w:sz w:val="16"/>
                <w:szCs w:val="16"/>
              </w:rPr>
            </w:pPr>
            <w:r w:rsidRPr="00082FE3">
              <w:rPr>
                <w:rFonts w:cs="Calibri Light"/>
                <w:kern w:val="32"/>
                <w:sz w:val="16"/>
                <w:szCs w:val="16"/>
              </w:rPr>
              <w:t>10</w:t>
            </w:r>
          </w:p>
        </w:tc>
        <w:tc>
          <w:tcPr>
            <w:tcW w:w="694" w:type="pct"/>
          </w:tcPr>
          <w:p w14:paraId="2FA9D5C0" w14:textId="77777777" w:rsidR="00082FE3" w:rsidRPr="00082FE3" w:rsidRDefault="00082FE3" w:rsidP="00082FE3">
            <w:pPr>
              <w:keepNext/>
              <w:spacing w:after="0" w:line="276" w:lineRule="auto"/>
              <w:jc w:val="center"/>
              <w:outlineLvl w:val="2"/>
              <w:rPr>
                <w:rFonts w:cs="Calibri Light"/>
                <w:kern w:val="32"/>
                <w:sz w:val="16"/>
                <w:szCs w:val="16"/>
              </w:rPr>
            </w:pPr>
            <w:r w:rsidRPr="00082FE3">
              <w:rPr>
                <w:rFonts w:cs="Calibri Light"/>
                <w:kern w:val="32"/>
                <w:sz w:val="16"/>
                <w:szCs w:val="16"/>
              </w:rPr>
              <w:t>6</w:t>
            </w:r>
          </w:p>
        </w:tc>
        <w:tc>
          <w:tcPr>
            <w:tcW w:w="690" w:type="pct"/>
          </w:tcPr>
          <w:p w14:paraId="2179EFE2" w14:textId="77777777" w:rsidR="00082FE3" w:rsidRPr="00082FE3" w:rsidRDefault="00082FE3" w:rsidP="00082FE3">
            <w:pPr>
              <w:keepNext/>
              <w:spacing w:after="0" w:line="276" w:lineRule="auto"/>
              <w:jc w:val="center"/>
              <w:outlineLvl w:val="2"/>
              <w:rPr>
                <w:rFonts w:cs="Calibri Light"/>
                <w:kern w:val="32"/>
                <w:sz w:val="16"/>
                <w:szCs w:val="16"/>
              </w:rPr>
            </w:pPr>
            <w:r w:rsidRPr="00082FE3">
              <w:rPr>
                <w:rFonts w:cs="Calibri Light"/>
                <w:kern w:val="32"/>
                <w:sz w:val="16"/>
                <w:szCs w:val="16"/>
              </w:rPr>
              <w:t>10</w:t>
            </w:r>
          </w:p>
        </w:tc>
      </w:tr>
      <w:tr w:rsidR="00082FE3" w:rsidRPr="00082FE3" w14:paraId="56F930F0" w14:textId="77777777" w:rsidTr="001809DE">
        <w:trPr>
          <w:trHeight w:val="485"/>
        </w:trPr>
        <w:tc>
          <w:tcPr>
            <w:tcW w:w="2231" w:type="pct"/>
          </w:tcPr>
          <w:p w14:paraId="056140D2" w14:textId="77777777" w:rsidR="00082FE3" w:rsidRPr="00082FE3" w:rsidRDefault="00082FE3" w:rsidP="000E62EE">
            <w:pPr>
              <w:keepNext/>
              <w:spacing w:after="0" w:line="276" w:lineRule="auto"/>
              <w:ind w:left="113"/>
              <w:outlineLvl w:val="2"/>
              <w:rPr>
                <w:rFonts w:cs="Calibri Light"/>
                <w:kern w:val="32"/>
                <w:sz w:val="16"/>
                <w:szCs w:val="16"/>
              </w:rPr>
            </w:pPr>
            <w:r w:rsidRPr="00082FE3">
              <w:rPr>
                <w:rFonts w:cs="Calibri Light"/>
                <w:kern w:val="32"/>
                <w:sz w:val="16"/>
                <w:szCs w:val="16"/>
              </w:rPr>
              <w:t>ADIs</w:t>
            </w:r>
            <w:r w:rsidRPr="00082FE3">
              <w:rPr>
                <w:rFonts w:cs="Calibri Light"/>
                <w:kern w:val="32"/>
                <w:sz w:val="16"/>
                <w:szCs w:val="16"/>
                <w:vertAlign w:val="superscript"/>
              </w:rPr>
              <w:t>1,2</w:t>
            </w:r>
            <w:r w:rsidRPr="00082FE3">
              <w:rPr>
                <w:rFonts w:cs="Calibri Light"/>
                <w:kern w:val="32"/>
                <w:sz w:val="16"/>
                <w:szCs w:val="16"/>
              </w:rPr>
              <w:t xml:space="preserve"> - Restricted ADIs</w:t>
            </w:r>
          </w:p>
        </w:tc>
        <w:tc>
          <w:tcPr>
            <w:tcW w:w="694" w:type="pct"/>
          </w:tcPr>
          <w:p w14:paraId="7F005954" w14:textId="77777777" w:rsidR="00082FE3" w:rsidRPr="00082FE3" w:rsidRDefault="00082FE3" w:rsidP="00082FE3">
            <w:pPr>
              <w:keepNext/>
              <w:spacing w:after="0" w:line="276" w:lineRule="auto"/>
              <w:jc w:val="center"/>
              <w:outlineLvl w:val="2"/>
              <w:rPr>
                <w:rFonts w:cs="Calibri Light"/>
                <w:kern w:val="32"/>
                <w:sz w:val="16"/>
                <w:szCs w:val="16"/>
              </w:rPr>
            </w:pPr>
            <w:r w:rsidRPr="00082FE3">
              <w:rPr>
                <w:rFonts w:cs="Calibri Light"/>
                <w:kern w:val="32"/>
                <w:sz w:val="16"/>
                <w:szCs w:val="16"/>
              </w:rPr>
              <w:t>3</w:t>
            </w:r>
          </w:p>
        </w:tc>
        <w:tc>
          <w:tcPr>
            <w:tcW w:w="691" w:type="pct"/>
          </w:tcPr>
          <w:p w14:paraId="4B6FEFB0" w14:textId="77777777" w:rsidR="00082FE3" w:rsidRPr="00082FE3" w:rsidRDefault="00082FE3" w:rsidP="00082FE3">
            <w:pPr>
              <w:keepNext/>
              <w:spacing w:after="0" w:line="276" w:lineRule="auto"/>
              <w:jc w:val="center"/>
              <w:outlineLvl w:val="2"/>
              <w:rPr>
                <w:rFonts w:cs="Calibri Light"/>
                <w:kern w:val="32"/>
                <w:sz w:val="16"/>
                <w:szCs w:val="16"/>
              </w:rPr>
            </w:pPr>
            <w:r w:rsidRPr="00082FE3">
              <w:rPr>
                <w:rFonts w:cs="Calibri Light"/>
                <w:kern w:val="32"/>
                <w:sz w:val="16"/>
                <w:szCs w:val="16"/>
              </w:rPr>
              <w:t>nil</w:t>
            </w:r>
          </w:p>
        </w:tc>
        <w:tc>
          <w:tcPr>
            <w:tcW w:w="694" w:type="pct"/>
          </w:tcPr>
          <w:p w14:paraId="204B1CAA" w14:textId="77777777" w:rsidR="00082FE3" w:rsidRPr="00082FE3" w:rsidRDefault="00082FE3" w:rsidP="00082FE3">
            <w:pPr>
              <w:keepNext/>
              <w:spacing w:after="0" w:line="276" w:lineRule="auto"/>
              <w:jc w:val="center"/>
              <w:outlineLvl w:val="2"/>
              <w:rPr>
                <w:rFonts w:cs="Calibri Light"/>
                <w:kern w:val="32"/>
                <w:sz w:val="16"/>
                <w:szCs w:val="16"/>
              </w:rPr>
            </w:pPr>
            <w:r w:rsidRPr="00082FE3">
              <w:rPr>
                <w:rFonts w:cs="Calibri Light"/>
                <w:kern w:val="32"/>
                <w:sz w:val="16"/>
                <w:szCs w:val="16"/>
              </w:rPr>
              <w:t>nil</w:t>
            </w:r>
          </w:p>
        </w:tc>
        <w:tc>
          <w:tcPr>
            <w:tcW w:w="690" w:type="pct"/>
          </w:tcPr>
          <w:p w14:paraId="7C97648B" w14:textId="77777777" w:rsidR="00082FE3" w:rsidRPr="00082FE3" w:rsidRDefault="00082FE3" w:rsidP="00082FE3">
            <w:pPr>
              <w:keepNext/>
              <w:spacing w:after="0" w:line="276" w:lineRule="auto"/>
              <w:jc w:val="center"/>
              <w:outlineLvl w:val="2"/>
              <w:rPr>
                <w:rFonts w:cs="Calibri Light"/>
                <w:kern w:val="32"/>
                <w:sz w:val="16"/>
                <w:szCs w:val="16"/>
              </w:rPr>
            </w:pPr>
            <w:r w:rsidRPr="00082FE3">
              <w:rPr>
                <w:rFonts w:cs="Calibri Light"/>
                <w:kern w:val="32"/>
                <w:sz w:val="16"/>
                <w:szCs w:val="16"/>
              </w:rPr>
              <w:t>nil</w:t>
            </w:r>
          </w:p>
        </w:tc>
      </w:tr>
      <w:tr w:rsidR="00082FE3" w:rsidRPr="00082FE3" w14:paraId="16BA5F93" w14:textId="77777777" w:rsidTr="001809DE">
        <w:trPr>
          <w:trHeight w:val="485"/>
        </w:trPr>
        <w:tc>
          <w:tcPr>
            <w:tcW w:w="2231" w:type="pct"/>
          </w:tcPr>
          <w:p w14:paraId="7CD0826F" w14:textId="77777777" w:rsidR="00082FE3" w:rsidRPr="00082FE3" w:rsidRDefault="00082FE3" w:rsidP="000E62EE">
            <w:pPr>
              <w:keepNext/>
              <w:spacing w:after="0" w:line="276" w:lineRule="auto"/>
              <w:ind w:left="113"/>
              <w:outlineLvl w:val="2"/>
              <w:rPr>
                <w:rFonts w:cs="Calibri Light"/>
                <w:kern w:val="32"/>
                <w:sz w:val="16"/>
                <w:szCs w:val="16"/>
              </w:rPr>
            </w:pPr>
            <w:r w:rsidRPr="00082FE3">
              <w:rPr>
                <w:rFonts w:cs="Calibri Light"/>
                <w:kern w:val="32"/>
                <w:sz w:val="16"/>
                <w:szCs w:val="16"/>
              </w:rPr>
              <w:t>Life insurers</w:t>
            </w:r>
          </w:p>
        </w:tc>
        <w:tc>
          <w:tcPr>
            <w:tcW w:w="694" w:type="pct"/>
          </w:tcPr>
          <w:p w14:paraId="6628D9FA" w14:textId="77777777" w:rsidR="00082FE3" w:rsidRPr="00082FE3" w:rsidRDefault="00082FE3" w:rsidP="00082FE3">
            <w:pPr>
              <w:keepNext/>
              <w:spacing w:after="0" w:line="276" w:lineRule="auto"/>
              <w:jc w:val="center"/>
              <w:outlineLvl w:val="2"/>
              <w:rPr>
                <w:rFonts w:cs="Calibri Light"/>
                <w:kern w:val="32"/>
                <w:sz w:val="16"/>
                <w:szCs w:val="16"/>
              </w:rPr>
            </w:pPr>
            <w:r w:rsidRPr="00082FE3">
              <w:rPr>
                <w:rFonts w:cs="Calibri Light"/>
                <w:kern w:val="32"/>
                <w:sz w:val="16"/>
                <w:szCs w:val="16"/>
              </w:rPr>
              <w:t>24</w:t>
            </w:r>
          </w:p>
        </w:tc>
        <w:tc>
          <w:tcPr>
            <w:tcW w:w="691" w:type="pct"/>
          </w:tcPr>
          <w:p w14:paraId="483F3D30" w14:textId="77777777" w:rsidR="00082FE3" w:rsidRPr="00082FE3" w:rsidRDefault="00082FE3" w:rsidP="00082FE3">
            <w:pPr>
              <w:keepNext/>
              <w:spacing w:after="0" w:line="276" w:lineRule="auto"/>
              <w:jc w:val="center"/>
              <w:outlineLvl w:val="2"/>
              <w:rPr>
                <w:rFonts w:cs="Calibri Light"/>
                <w:kern w:val="32"/>
                <w:sz w:val="16"/>
                <w:szCs w:val="16"/>
              </w:rPr>
            </w:pPr>
            <w:r w:rsidRPr="00082FE3">
              <w:rPr>
                <w:rFonts w:cs="Calibri Light"/>
                <w:kern w:val="32"/>
                <w:sz w:val="16"/>
                <w:szCs w:val="16"/>
              </w:rPr>
              <w:t>134</w:t>
            </w:r>
          </w:p>
        </w:tc>
        <w:tc>
          <w:tcPr>
            <w:tcW w:w="694" w:type="pct"/>
          </w:tcPr>
          <w:p w14:paraId="3D1B2D75" w14:textId="77777777" w:rsidR="00082FE3" w:rsidRPr="00082FE3" w:rsidRDefault="00082FE3" w:rsidP="00082FE3">
            <w:pPr>
              <w:keepNext/>
              <w:spacing w:after="0" w:line="276" w:lineRule="auto"/>
              <w:jc w:val="center"/>
              <w:outlineLvl w:val="2"/>
              <w:rPr>
                <w:rFonts w:cs="Calibri Light"/>
                <w:kern w:val="32"/>
                <w:sz w:val="16"/>
                <w:szCs w:val="16"/>
              </w:rPr>
            </w:pPr>
            <w:r w:rsidRPr="00082FE3">
              <w:rPr>
                <w:rFonts w:cs="Calibri Light"/>
                <w:kern w:val="32"/>
                <w:sz w:val="16"/>
                <w:szCs w:val="16"/>
              </w:rPr>
              <w:t xml:space="preserve">23 </w:t>
            </w:r>
          </w:p>
        </w:tc>
        <w:tc>
          <w:tcPr>
            <w:tcW w:w="690" w:type="pct"/>
          </w:tcPr>
          <w:p w14:paraId="56ABC53B" w14:textId="77777777" w:rsidR="00082FE3" w:rsidRPr="00082FE3" w:rsidRDefault="00082FE3" w:rsidP="00082FE3">
            <w:pPr>
              <w:keepNext/>
              <w:spacing w:after="0" w:line="276" w:lineRule="auto"/>
              <w:jc w:val="center"/>
              <w:outlineLvl w:val="2"/>
              <w:rPr>
                <w:rFonts w:cs="Calibri Light"/>
                <w:kern w:val="32"/>
                <w:sz w:val="16"/>
                <w:szCs w:val="16"/>
              </w:rPr>
            </w:pPr>
            <w:r w:rsidRPr="00082FE3">
              <w:rPr>
                <w:rFonts w:cs="Calibri Light"/>
                <w:kern w:val="32"/>
                <w:sz w:val="16"/>
                <w:szCs w:val="16"/>
              </w:rPr>
              <w:t>133</w:t>
            </w:r>
          </w:p>
        </w:tc>
      </w:tr>
      <w:tr w:rsidR="00082FE3" w:rsidRPr="00082FE3" w14:paraId="5B32475D" w14:textId="77777777" w:rsidTr="001809DE">
        <w:trPr>
          <w:trHeight w:val="485"/>
        </w:trPr>
        <w:tc>
          <w:tcPr>
            <w:tcW w:w="2231" w:type="pct"/>
          </w:tcPr>
          <w:p w14:paraId="06F1368A" w14:textId="77777777" w:rsidR="00082FE3" w:rsidRPr="00082FE3" w:rsidRDefault="00082FE3" w:rsidP="000E62EE">
            <w:pPr>
              <w:keepNext/>
              <w:spacing w:after="0" w:line="276" w:lineRule="auto"/>
              <w:ind w:left="113"/>
              <w:outlineLvl w:val="2"/>
              <w:rPr>
                <w:rFonts w:cs="Calibri Light"/>
                <w:kern w:val="32"/>
                <w:sz w:val="16"/>
                <w:szCs w:val="16"/>
              </w:rPr>
            </w:pPr>
            <w:r w:rsidRPr="00082FE3">
              <w:rPr>
                <w:rFonts w:cs="Calibri Light"/>
                <w:kern w:val="32"/>
                <w:sz w:val="16"/>
                <w:szCs w:val="16"/>
              </w:rPr>
              <w:t>Friendly societies</w:t>
            </w:r>
          </w:p>
        </w:tc>
        <w:tc>
          <w:tcPr>
            <w:tcW w:w="694" w:type="pct"/>
          </w:tcPr>
          <w:p w14:paraId="6EC5FF15" w14:textId="77777777" w:rsidR="00082FE3" w:rsidRPr="00082FE3" w:rsidRDefault="00082FE3" w:rsidP="00082FE3">
            <w:pPr>
              <w:keepNext/>
              <w:spacing w:after="0" w:line="276" w:lineRule="auto"/>
              <w:jc w:val="center"/>
              <w:outlineLvl w:val="2"/>
              <w:rPr>
                <w:rFonts w:cs="Calibri Light"/>
                <w:kern w:val="32"/>
                <w:sz w:val="16"/>
                <w:szCs w:val="16"/>
              </w:rPr>
            </w:pPr>
            <w:r w:rsidRPr="00082FE3">
              <w:rPr>
                <w:rFonts w:cs="Calibri Light"/>
                <w:kern w:val="32"/>
                <w:sz w:val="16"/>
                <w:szCs w:val="16"/>
              </w:rPr>
              <w:t>10</w:t>
            </w:r>
          </w:p>
        </w:tc>
        <w:tc>
          <w:tcPr>
            <w:tcW w:w="691" w:type="pct"/>
          </w:tcPr>
          <w:p w14:paraId="3CD7B640" w14:textId="77777777" w:rsidR="00082FE3" w:rsidRPr="00082FE3" w:rsidRDefault="00082FE3" w:rsidP="00082FE3">
            <w:pPr>
              <w:keepNext/>
              <w:spacing w:after="0" w:line="276" w:lineRule="auto"/>
              <w:jc w:val="center"/>
              <w:outlineLvl w:val="2"/>
              <w:rPr>
                <w:rFonts w:cs="Calibri Light"/>
                <w:kern w:val="32"/>
                <w:sz w:val="16"/>
                <w:szCs w:val="16"/>
              </w:rPr>
            </w:pPr>
            <w:r w:rsidRPr="00082FE3">
              <w:rPr>
                <w:rFonts w:cs="Calibri Light"/>
                <w:kern w:val="32"/>
                <w:sz w:val="16"/>
                <w:szCs w:val="16"/>
              </w:rPr>
              <w:t>10</w:t>
            </w:r>
          </w:p>
        </w:tc>
        <w:tc>
          <w:tcPr>
            <w:tcW w:w="694" w:type="pct"/>
          </w:tcPr>
          <w:p w14:paraId="3A778533" w14:textId="77777777" w:rsidR="00082FE3" w:rsidRPr="00082FE3" w:rsidRDefault="00082FE3" w:rsidP="00082FE3">
            <w:pPr>
              <w:keepNext/>
              <w:spacing w:after="0" w:line="276" w:lineRule="auto"/>
              <w:jc w:val="center"/>
              <w:outlineLvl w:val="2"/>
              <w:rPr>
                <w:rFonts w:cs="Calibri Light"/>
                <w:kern w:val="32"/>
                <w:sz w:val="16"/>
                <w:szCs w:val="16"/>
              </w:rPr>
            </w:pPr>
            <w:r w:rsidRPr="00082FE3">
              <w:rPr>
                <w:rFonts w:cs="Calibri Light"/>
                <w:kern w:val="32"/>
                <w:sz w:val="16"/>
                <w:szCs w:val="16"/>
              </w:rPr>
              <w:t>10</w:t>
            </w:r>
          </w:p>
        </w:tc>
        <w:tc>
          <w:tcPr>
            <w:tcW w:w="690" w:type="pct"/>
          </w:tcPr>
          <w:p w14:paraId="163DC81A" w14:textId="77777777" w:rsidR="00082FE3" w:rsidRPr="00082FE3" w:rsidRDefault="00082FE3" w:rsidP="00082FE3">
            <w:pPr>
              <w:keepNext/>
              <w:spacing w:after="0" w:line="276" w:lineRule="auto"/>
              <w:jc w:val="center"/>
              <w:outlineLvl w:val="2"/>
              <w:rPr>
                <w:rFonts w:cs="Calibri Light"/>
                <w:kern w:val="32"/>
                <w:sz w:val="16"/>
                <w:szCs w:val="16"/>
              </w:rPr>
            </w:pPr>
            <w:r w:rsidRPr="00082FE3">
              <w:rPr>
                <w:rFonts w:cs="Calibri Light"/>
                <w:kern w:val="32"/>
                <w:sz w:val="16"/>
                <w:szCs w:val="16"/>
              </w:rPr>
              <w:t>12</w:t>
            </w:r>
          </w:p>
        </w:tc>
      </w:tr>
      <w:tr w:rsidR="00082FE3" w:rsidRPr="00082FE3" w14:paraId="7CF9D1C8" w14:textId="77777777" w:rsidTr="001809DE">
        <w:trPr>
          <w:trHeight w:val="485"/>
        </w:trPr>
        <w:tc>
          <w:tcPr>
            <w:tcW w:w="2231" w:type="pct"/>
          </w:tcPr>
          <w:p w14:paraId="505C6C27" w14:textId="77777777" w:rsidR="00082FE3" w:rsidRPr="004848D7" w:rsidRDefault="00082FE3" w:rsidP="00082FE3">
            <w:pPr>
              <w:keepNext/>
              <w:spacing w:after="0" w:line="276" w:lineRule="auto"/>
              <w:ind w:left="57"/>
              <w:outlineLvl w:val="2"/>
              <w:rPr>
                <w:rFonts w:cs="Calibri Light"/>
                <w:kern w:val="32"/>
                <w:sz w:val="16"/>
                <w:szCs w:val="16"/>
              </w:rPr>
            </w:pPr>
            <w:r w:rsidRPr="004848D7">
              <w:rPr>
                <w:rFonts w:cs="Calibri Light"/>
                <w:kern w:val="32"/>
                <w:sz w:val="16"/>
                <w:szCs w:val="16"/>
              </w:rPr>
              <w:t>General insurers</w:t>
            </w:r>
          </w:p>
        </w:tc>
        <w:tc>
          <w:tcPr>
            <w:tcW w:w="694" w:type="pct"/>
          </w:tcPr>
          <w:p w14:paraId="04ADEB77" w14:textId="77777777" w:rsidR="00082FE3" w:rsidRPr="000E62EE" w:rsidRDefault="00082FE3" w:rsidP="00082FE3">
            <w:pPr>
              <w:keepNext/>
              <w:spacing w:after="0" w:line="276" w:lineRule="auto"/>
              <w:jc w:val="center"/>
              <w:outlineLvl w:val="2"/>
              <w:rPr>
                <w:rFonts w:cs="Calibri Light"/>
                <w:kern w:val="32"/>
                <w:sz w:val="16"/>
                <w:szCs w:val="16"/>
              </w:rPr>
            </w:pPr>
            <w:r w:rsidRPr="000E62EE">
              <w:rPr>
                <w:rFonts w:cs="Calibri Light"/>
                <w:kern w:val="32"/>
                <w:sz w:val="16"/>
                <w:szCs w:val="16"/>
              </w:rPr>
              <w:t>90</w:t>
            </w:r>
          </w:p>
        </w:tc>
        <w:tc>
          <w:tcPr>
            <w:tcW w:w="691" w:type="pct"/>
          </w:tcPr>
          <w:p w14:paraId="1F2ED8CC" w14:textId="77777777" w:rsidR="00082FE3" w:rsidRPr="000E62EE" w:rsidRDefault="00082FE3" w:rsidP="00082FE3">
            <w:pPr>
              <w:keepNext/>
              <w:spacing w:after="0" w:line="276" w:lineRule="auto"/>
              <w:jc w:val="center"/>
              <w:outlineLvl w:val="2"/>
              <w:rPr>
                <w:rFonts w:cs="Calibri Light"/>
                <w:kern w:val="32"/>
                <w:sz w:val="16"/>
                <w:szCs w:val="16"/>
              </w:rPr>
            </w:pPr>
            <w:r w:rsidRPr="000E62EE">
              <w:rPr>
                <w:rFonts w:cs="Calibri Light"/>
                <w:kern w:val="32"/>
                <w:sz w:val="16"/>
                <w:szCs w:val="16"/>
              </w:rPr>
              <w:t>131</w:t>
            </w:r>
          </w:p>
        </w:tc>
        <w:tc>
          <w:tcPr>
            <w:tcW w:w="694" w:type="pct"/>
          </w:tcPr>
          <w:p w14:paraId="633FD629" w14:textId="77777777" w:rsidR="00082FE3" w:rsidRPr="000E62EE" w:rsidRDefault="00082FE3" w:rsidP="00082FE3">
            <w:pPr>
              <w:keepNext/>
              <w:spacing w:after="0" w:line="276" w:lineRule="auto"/>
              <w:jc w:val="center"/>
              <w:outlineLvl w:val="2"/>
              <w:rPr>
                <w:rFonts w:cs="Calibri Light"/>
                <w:kern w:val="32"/>
                <w:sz w:val="16"/>
                <w:szCs w:val="16"/>
              </w:rPr>
            </w:pPr>
            <w:r w:rsidRPr="000E62EE">
              <w:rPr>
                <w:rFonts w:cs="Calibri Light"/>
                <w:kern w:val="32"/>
                <w:sz w:val="16"/>
                <w:szCs w:val="16"/>
              </w:rPr>
              <w:t>88</w:t>
            </w:r>
          </w:p>
        </w:tc>
        <w:tc>
          <w:tcPr>
            <w:tcW w:w="690" w:type="pct"/>
          </w:tcPr>
          <w:p w14:paraId="2307CABF" w14:textId="77777777" w:rsidR="00082FE3" w:rsidRPr="000E62EE" w:rsidRDefault="00082FE3" w:rsidP="00082FE3">
            <w:pPr>
              <w:keepNext/>
              <w:spacing w:after="0" w:line="276" w:lineRule="auto"/>
              <w:jc w:val="center"/>
              <w:outlineLvl w:val="2"/>
              <w:rPr>
                <w:rFonts w:cs="Calibri Light"/>
                <w:kern w:val="32"/>
                <w:sz w:val="16"/>
                <w:szCs w:val="16"/>
              </w:rPr>
            </w:pPr>
            <w:r w:rsidRPr="000E62EE">
              <w:rPr>
                <w:rFonts w:cs="Calibri Light"/>
                <w:kern w:val="32"/>
                <w:sz w:val="16"/>
                <w:szCs w:val="16"/>
              </w:rPr>
              <w:t>135</w:t>
            </w:r>
          </w:p>
        </w:tc>
      </w:tr>
      <w:tr w:rsidR="00082FE3" w:rsidRPr="00082FE3" w14:paraId="6B43FD72" w14:textId="77777777" w:rsidTr="001809DE">
        <w:trPr>
          <w:trHeight w:val="485"/>
        </w:trPr>
        <w:tc>
          <w:tcPr>
            <w:tcW w:w="2231" w:type="pct"/>
          </w:tcPr>
          <w:p w14:paraId="16F1E20A" w14:textId="77777777" w:rsidR="00082FE3" w:rsidRPr="008B6B47" w:rsidRDefault="00082FE3" w:rsidP="00082FE3">
            <w:pPr>
              <w:keepNext/>
              <w:spacing w:after="0" w:line="276" w:lineRule="auto"/>
              <w:ind w:left="57"/>
              <w:outlineLvl w:val="2"/>
              <w:rPr>
                <w:rFonts w:cs="Calibri Light"/>
                <w:kern w:val="32"/>
                <w:sz w:val="16"/>
                <w:szCs w:val="16"/>
              </w:rPr>
            </w:pPr>
            <w:r w:rsidRPr="008B6B47">
              <w:rPr>
                <w:rFonts w:cs="Calibri Light"/>
                <w:kern w:val="32"/>
                <w:sz w:val="16"/>
                <w:szCs w:val="16"/>
              </w:rPr>
              <w:t>Private health insurers</w:t>
            </w:r>
          </w:p>
        </w:tc>
        <w:tc>
          <w:tcPr>
            <w:tcW w:w="694" w:type="pct"/>
          </w:tcPr>
          <w:p w14:paraId="58796130" w14:textId="77777777" w:rsidR="00082FE3" w:rsidRPr="000E62EE" w:rsidRDefault="00082FE3" w:rsidP="00082FE3">
            <w:pPr>
              <w:keepNext/>
              <w:spacing w:after="0" w:line="276" w:lineRule="auto"/>
              <w:jc w:val="center"/>
              <w:outlineLvl w:val="2"/>
              <w:rPr>
                <w:rFonts w:cs="Calibri Light"/>
                <w:kern w:val="32"/>
                <w:sz w:val="16"/>
                <w:szCs w:val="16"/>
              </w:rPr>
            </w:pPr>
            <w:r w:rsidRPr="000E62EE">
              <w:rPr>
                <w:rFonts w:cs="Calibri Light"/>
                <w:kern w:val="32"/>
                <w:sz w:val="16"/>
                <w:szCs w:val="16"/>
              </w:rPr>
              <w:t>31</w:t>
            </w:r>
          </w:p>
        </w:tc>
        <w:tc>
          <w:tcPr>
            <w:tcW w:w="691" w:type="pct"/>
          </w:tcPr>
          <w:p w14:paraId="43925A2F" w14:textId="77777777" w:rsidR="00082FE3" w:rsidRPr="000E62EE" w:rsidRDefault="00082FE3" w:rsidP="00082FE3">
            <w:pPr>
              <w:keepNext/>
              <w:spacing w:after="0" w:line="276" w:lineRule="auto"/>
              <w:jc w:val="center"/>
              <w:outlineLvl w:val="2"/>
              <w:rPr>
                <w:rFonts w:cs="Calibri Light"/>
                <w:kern w:val="32"/>
                <w:sz w:val="16"/>
                <w:szCs w:val="16"/>
              </w:rPr>
            </w:pPr>
            <w:r w:rsidRPr="000E62EE">
              <w:rPr>
                <w:rFonts w:cs="Calibri Light"/>
                <w:kern w:val="32"/>
                <w:sz w:val="16"/>
                <w:szCs w:val="16"/>
              </w:rPr>
              <w:t>19</w:t>
            </w:r>
          </w:p>
        </w:tc>
        <w:tc>
          <w:tcPr>
            <w:tcW w:w="694" w:type="pct"/>
          </w:tcPr>
          <w:p w14:paraId="609A9E8E" w14:textId="77777777" w:rsidR="00082FE3" w:rsidRPr="000E62EE" w:rsidRDefault="00082FE3" w:rsidP="00082FE3">
            <w:pPr>
              <w:keepNext/>
              <w:spacing w:after="0" w:line="276" w:lineRule="auto"/>
              <w:jc w:val="center"/>
              <w:outlineLvl w:val="2"/>
              <w:rPr>
                <w:rFonts w:cs="Calibri Light"/>
                <w:kern w:val="32"/>
                <w:sz w:val="16"/>
                <w:szCs w:val="16"/>
              </w:rPr>
            </w:pPr>
            <w:r w:rsidRPr="000E62EE">
              <w:rPr>
                <w:rFonts w:cs="Calibri Light"/>
                <w:kern w:val="32"/>
                <w:sz w:val="16"/>
                <w:szCs w:val="16"/>
              </w:rPr>
              <w:t>30</w:t>
            </w:r>
          </w:p>
        </w:tc>
        <w:tc>
          <w:tcPr>
            <w:tcW w:w="690" w:type="pct"/>
          </w:tcPr>
          <w:p w14:paraId="26C1937E" w14:textId="77777777" w:rsidR="00082FE3" w:rsidRPr="000E62EE" w:rsidRDefault="00082FE3" w:rsidP="00082FE3">
            <w:pPr>
              <w:keepNext/>
              <w:spacing w:after="0" w:line="276" w:lineRule="auto"/>
              <w:jc w:val="center"/>
              <w:outlineLvl w:val="2"/>
              <w:rPr>
                <w:rFonts w:cs="Calibri Light"/>
                <w:kern w:val="32"/>
                <w:sz w:val="16"/>
                <w:szCs w:val="16"/>
              </w:rPr>
            </w:pPr>
            <w:r w:rsidRPr="000E62EE">
              <w:rPr>
                <w:rFonts w:cs="Calibri Light"/>
                <w:kern w:val="32"/>
                <w:sz w:val="16"/>
                <w:szCs w:val="16"/>
              </w:rPr>
              <w:t>20</w:t>
            </w:r>
          </w:p>
        </w:tc>
      </w:tr>
      <w:tr w:rsidR="00082FE3" w:rsidRPr="00082FE3" w14:paraId="2E385BB5" w14:textId="77777777" w:rsidTr="001809DE">
        <w:trPr>
          <w:trHeight w:val="485"/>
        </w:trPr>
        <w:tc>
          <w:tcPr>
            <w:tcW w:w="2231" w:type="pct"/>
          </w:tcPr>
          <w:p w14:paraId="2A5EF2DB" w14:textId="77777777" w:rsidR="00082FE3" w:rsidRPr="00082FE3" w:rsidRDefault="00082FE3" w:rsidP="000E62EE">
            <w:pPr>
              <w:keepNext/>
              <w:spacing w:after="0" w:line="276" w:lineRule="auto"/>
              <w:ind w:left="113"/>
              <w:outlineLvl w:val="2"/>
              <w:rPr>
                <w:rFonts w:cs="Calibri Light"/>
                <w:kern w:val="32"/>
                <w:sz w:val="16"/>
                <w:szCs w:val="16"/>
              </w:rPr>
            </w:pPr>
            <w:r w:rsidRPr="00082FE3">
              <w:rPr>
                <w:rFonts w:cs="Calibri Light"/>
                <w:kern w:val="32"/>
                <w:sz w:val="16"/>
                <w:szCs w:val="16"/>
              </w:rPr>
              <w:t>Superannuation funds</w:t>
            </w:r>
            <w:r w:rsidRPr="00082FE3">
              <w:rPr>
                <w:rFonts w:cs="Calibri Light"/>
                <w:kern w:val="32"/>
                <w:sz w:val="16"/>
                <w:szCs w:val="16"/>
                <w:vertAlign w:val="superscript"/>
              </w:rPr>
              <w:t>4</w:t>
            </w:r>
            <w:r w:rsidRPr="00082FE3">
              <w:rPr>
                <w:rFonts w:cs="Calibri Light"/>
                <w:kern w:val="32"/>
                <w:sz w:val="16"/>
                <w:szCs w:val="16"/>
              </w:rPr>
              <w:t xml:space="preserve"> – excluding small funds</w:t>
            </w:r>
            <w:r w:rsidRPr="00082FE3">
              <w:rPr>
                <w:rFonts w:cs="Calibri Light"/>
                <w:kern w:val="32"/>
                <w:sz w:val="16"/>
                <w:szCs w:val="16"/>
                <w:vertAlign w:val="superscript"/>
              </w:rPr>
              <w:t>5</w:t>
            </w:r>
          </w:p>
        </w:tc>
        <w:tc>
          <w:tcPr>
            <w:tcW w:w="694" w:type="pct"/>
          </w:tcPr>
          <w:p w14:paraId="17977987" w14:textId="77777777" w:rsidR="00082FE3" w:rsidRPr="00082FE3" w:rsidRDefault="00082FE3" w:rsidP="00082FE3">
            <w:pPr>
              <w:keepNext/>
              <w:spacing w:after="0" w:line="276" w:lineRule="auto"/>
              <w:jc w:val="center"/>
              <w:outlineLvl w:val="2"/>
              <w:rPr>
                <w:rFonts w:cs="Calibri Light"/>
                <w:kern w:val="32"/>
                <w:sz w:val="16"/>
                <w:szCs w:val="16"/>
              </w:rPr>
            </w:pPr>
            <w:r w:rsidRPr="00082FE3">
              <w:rPr>
                <w:rFonts w:cs="Calibri Light"/>
                <w:kern w:val="32"/>
                <w:sz w:val="16"/>
                <w:szCs w:val="16"/>
              </w:rPr>
              <w:t>118</w:t>
            </w:r>
          </w:p>
        </w:tc>
        <w:tc>
          <w:tcPr>
            <w:tcW w:w="691" w:type="pct"/>
          </w:tcPr>
          <w:p w14:paraId="291DEBD6" w14:textId="77777777" w:rsidR="00082FE3" w:rsidRPr="00082FE3" w:rsidRDefault="00082FE3" w:rsidP="00082FE3">
            <w:pPr>
              <w:keepNext/>
              <w:spacing w:after="0" w:line="276" w:lineRule="auto"/>
              <w:jc w:val="center"/>
              <w:outlineLvl w:val="2"/>
              <w:rPr>
                <w:rFonts w:cs="Calibri Light"/>
                <w:kern w:val="32"/>
                <w:sz w:val="16"/>
                <w:szCs w:val="16"/>
              </w:rPr>
            </w:pPr>
            <w:r w:rsidRPr="00082FE3">
              <w:rPr>
                <w:rFonts w:cs="Calibri Light"/>
                <w:kern w:val="32"/>
                <w:sz w:val="16"/>
                <w:szCs w:val="16"/>
              </w:rPr>
              <w:t>2,557</w:t>
            </w:r>
          </w:p>
        </w:tc>
        <w:tc>
          <w:tcPr>
            <w:tcW w:w="694" w:type="pct"/>
          </w:tcPr>
          <w:p w14:paraId="7BED48A1" w14:textId="77777777" w:rsidR="00082FE3" w:rsidRPr="00082FE3" w:rsidRDefault="00082FE3" w:rsidP="00082FE3">
            <w:pPr>
              <w:keepNext/>
              <w:spacing w:after="0" w:line="276" w:lineRule="auto"/>
              <w:jc w:val="center"/>
              <w:outlineLvl w:val="2"/>
              <w:rPr>
                <w:rFonts w:cs="Calibri Light"/>
                <w:kern w:val="32"/>
                <w:sz w:val="16"/>
                <w:szCs w:val="16"/>
              </w:rPr>
            </w:pPr>
            <w:r w:rsidRPr="00082FE3">
              <w:rPr>
                <w:rFonts w:cs="Calibri Light"/>
                <w:kern w:val="32"/>
                <w:sz w:val="16"/>
                <w:szCs w:val="16"/>
              </w:rPr>
              <w:t>105</w:t>
            </w:r>
          </w:p>
        </w:tc>
        <w:tc>
          <w:tcPr>
            <w:tcW w:w="690" w:type="pct"/>
          </w:tcPr>
          <w:p w14:paraId="59084B29" w14:textId="77777777" w:rsidR="00082FE3" w:rsidRPr="00082FE3" w:rsidRDefault="00082FE3" w:rsidP="00082FE3">
            <w:pPr>
              <w:keepNext/>
              <w:spacing w:after="0" w:line="276" w:lineRule="auto"/>
              <w:jc w:val="center"/>
              <w:outlineLvl w:val="2"/>
              <w:rPr>
                <w:rFonts w:cs="Calibri Light"/>
                <w:kern w:val="32"/>
                <w:sz w:val="16"/>
                <w:szCs w:val="16"/>
              </w:rPr>
            </w:pPr>
            <w:r w:rsidRPr="00082FE3">
              <w:rPr>
                <w:rFonts w:cs="Calibri Light"/>
                <w:kern w:val="32"/>
                <w:sz w:val="16"/>
                <w:szCs w:val="16"/>
              </w:rPr>
              <w:t>2,915</w:t>
            </w:r>
          </w:p>
        </w:tc>
      </w:tr>
      <w:tr w:rsidR="00082FE3" w:rsidRPr="00082FE3" w14:paraId="14920D64" w14:textId="77777777" w:rsidTr="001809DE">
        <w:trPr>
          <w:trHeight w:val="485"/>
        </w:trPr>
        <w:tc>
          <w:tcPr>
            <w:tcW w:w="2231" w:type="pct"/>
          </w:tcPr>
          <w:p w14:paraId="4322F33D" w14:textId="77777777" w:rsidR="00082FE3" w:rsidRPr="00082FE3" w:rsidRDefault="00082FE3" w:rsidP="000E62EE">
            <w:pPr>
              <w:keepNext/>
              <w:spacing w:after="0" w:line="276" w:lineRule="auto"/>
              <w:ind w:left="113"/>
              <w:outlineLvl w:val="2"/>
              <w:rPr>
                <w:rFonts w:cs="Calibri Light"/>
                <w:kern w:val="32"/>
                <w:sz w:val="16"/>
                <w:szCs w:val="16"/>
              </w:rPr>
            </w:pPr>
            <w:r w:rsidRPr="00082FE3">
              <w:rPr>
                <w:rFonts w:cs="Calibri Light"/>
                <w:kern w:val="32"/>
                <w:sz w:val="16"/>
                <w:szCs w:val="16"/>
              </w:rPr>
              <w:t>Superannuation funds</w:t>
            </w:r>
            <w:r w:rsidRPr="00082FE3">
              <w:rPr>
                <w:rFonts w:cs="Calibri Light"/>
                <w:kern w:val="32"/>
                <w:sz w:val="16"/>
                <w:szCs w:val="16"/>
                <w:vertAlign w:val="superscript"/>
              </w:rPr>
              <w:t>4</w:t>
            </w:r>
            <w:r w:rsidRPr="00082FE3">
              <w:rPr>
                <w:rFonts w:cs="Calibri Light"/>
                <w:kern w:val="32"/>
                <w:sz w:val="16"/>
                <w:szCs w:val="16"/>
              </w:rPr>
              <w:t xml:space="preserve"> – Small funds</w:t>
            </w:r>
            <w:r w:rsidRPr="00082FE3">
              <w:rPr>
                <w:rFonts w:cs="Calibri Light"/>
                <w:kern w:val="32"/>
                <w:sz w:val="16"/>
                <w:szCs w:val="16"/>
                <w:vertAlign w:val="superscript"/>
              </w:rPr>
              <w:t>6</w:t>
            </w:r>
          </w:p>
        </w:tc>
        <w:tc>
          <w:tcPr>
            <w:tcW w:w="694" w:type="pct"/>
          </w:tcPr>
          <w:p w14:paraId="2EDA45C0" w14:textId="77777777" w:rsidR="00082FE3" w:rsidRPr="00082FE3" w:rsidRDefault="00082FE3" w:rsidP="00082FE3">
            <w:pPr>
              <w:keepNext/>
              <w:spacing w:after="0" w:line="276" w:lineRule="auto"/>
              <w:jc w:val="center"/>
              <w:outlineLvl w:val="2"/>
              <w:rPr>
                <w:rFonts w:cs="Calibri Light"/>
                <w:kern w:val="32"/>
                <w:sz w:val="16"/>
                <w:szCs w:val="16"/>
              </w:rPr>
            </w:pPr>
            <w:r w:rsidRPr="00082FE3">
              <w:rPr>
                <w:rFonts w:cs="Calibri Light"/>
                <w:kern w:val="32"/>
                <w:sz w:val="16"/>
                <w:szCs w:val="16"/>
              </w:rPr>
              <w:t>1,009</w:t>
            </w:r>
          </w:p>
        </w:tc>
        <w:tc>
          <w:tcPr>
            <w:tcW w:w="691" w:type="pct"/>
          </w:tcPr>
          <w:p w14:paraId="06B2A162" w14:textId="77777777" w:rsidR="00082FE3" w:rsidRPr="00082FE3" w:rsidRDefault="00082FE3" w:rsidP="00082FE3">
            <w:pPr>
              <w:keepNext/>
              <w:spacing w:after="0" w:line="276" w:lineRule="auto"/>
              <w:jc w:val="center"/>
              <w:outlineLvl w:val="2"/>
              <w:rPr>
                <w:rFonts w:cs="Calibri Light"/>
                <w:kern w:val="32"/>
                <w:sz w:val="16"/>
                <w:szCs w:val="16"/>
              </w:rPr>
            </w:pPr>
            <w:r w:rsidRPr="00082FE3">
              <w:rPr>
                <w:rFonts w:cs="Calibri Light"/>
                <w:kern w:val="32"/>
                <w:sz w:val="16"/>
                <w:szCs w:val="16"/>
              </w:rPr>
              <w:t>2</w:t>
            </w:r>
          </w:p>
        </w:tc>
        <w:tc>
          <w:tcPr>
            <w:tcW w:w="694" w:type="pct"/>
          </w:tcPr>
          <w:p w14:paraId="0DE5DCC9" w14:textId="77777777" w:rsidR="00082FE3" w:rsidRPr="00082FE3" w:rsidRDefault="00082FE3" w:rsidP="00082FE3">
            <w:pPr>
              <w:keepNext/>
              <w:spacing w:after="0" w:line="276" w:lineRule="auto"/>
              <w:jc w:val="center"/>
              <w:outlineLvl w:val="2"/>
              <w:rPr>
                <w:rFonts w:cs="Calibri Light"/>
                <w:kern w:val="32"/>
                <w:sz w:val="16"/>
                <w:szCs w:val="16"/>
              </w:rPr>
            </w:pPr>
            <w:r w:rsidRPr="00082FE3">
              <w:rPr>
                <w:rFonts w:cs="Calibri Light"/>
                <w:kern w:val="32"/>
                <w:sz w:val="16"/>
                <w:szCs w:val="16"/>
              </w:rPr>
              <w:t>999</w:t>
            </w:r>
          </w:p>
        </w:tc>
        <w:tc>
          <w:tcPr>
            <w:tcW w:w="690" w:type="pct"/>
          </w:tcPr>
          <w:p w14:paraId="4653B6A1" w14:textId="77777777" w:rsidR="00082FE3" w:rsidRPr="00082FE3" w:rsidRDefault="00082FE3" w:rsidP="00082FE3">
            <w:pPr>
              <w:keepNext/>
              <w:spacing w:after="0" w:line="276" w:lineRule="auto"/>
              <w:jc w:val="center"/>
              <w:outlineLvl w:val="2"/>
              <w:rPr>
                <w:rFonts w:cs="Calibri Light"/>
                <w:kern w:val="32"/>
                <w:sz w:val="16"/>
                <w:szCs w:val="16"/>
              </w:rPr>
            </w:pPr>
            <w:r w:rsidRPr="00082FE3">
              <w:rPr>
                <w:rFonts w:cs="Calibri Light"/>
                <w:kern w:val="32"/>
                <w:sz w:val="16"/>
                <w:szCs w:val="16"/>
              </w:rPr>
              <w:t>2</w:t>
            </w:r>
          </w:p>
        </w:tc>
      </w:tr>
      <w:tr w:rsidR="00082FE3" w:rsidRPr="00082FE3" w14:paraId="13CD028D" w14:textId="77777777" w:rsidTr="001809DE">
        <w:trPr>
          <w:trHeight w:val="485"/>
        </w:trPr>
        <w:tc>
          <w:tcPr>
            <w:tcW w:w="2231" w:type="pct"/>
          </w:tcPr>
          <w:p w14:paraId="5CC3F1CD" w14:textId="77777777" w:rsidR="00082FE3" w:rsidRPr="00082FE3" w:rsidRDefault="00082FE3" w:rsidP="00082FE3">
            <w:pPr>
              <w:keepNext/>
              <w:spacing w:after="0" w:line="276" w:lineRule="auto"/>
              <w:ind w:left="57"/>
              <w:outlineLvl w:val="2"/>
              <w:rPr>
                <w:rFonts w:cs="Calibri Light"/>
                <w:b/>
                <w:kern w:val="32"/>
                <w:sz w:val="16"/>
                <w:szCs w:val="16"/>
              </w:rPr>
            </w:pPr>
            <w:r w:rsidRPr="00082FE3">
              <w:rPr>
                <w:rFonts w:cs="Calibri Light"/>
                <w:b/>
                <w:kern w:val="32"/>
                <w:sz w:val="16"/>
                <w:szCs w:val="16"/>
              </w:rPr>
              <w:t>Industry total</w:t>
            </w:r>
          </w:p>
        </w:tc>
        <w:tc>
          <w:tcPr>
            <w:tcW w:w="694" w:type="pct"/>
          </w:tcPr>
          <w:p w14:paraId="64201A24" w14:textId="77777777" w:rsidR="00082FE3" w:rsidRPr="00082FE3" w:rsidRDefault="00082FE3" w:rsidP="00082FE3">
            <w:pPr>
              <w:keepNext/>
              <w:spacing w:after="0" w:line="276" w:lineRule="auto"/>
              <w:jc w:val="center"/>
              <w:outlineLvl w:val="2"/>
              <w:rPr>
                <w:rFonts w:cs="Calibri Light"/>
                <w:b/>
                <w:kern w:val="32"/>
                <w:sz w:val="16"/>
                <w:szCs w:val="16"/>
              </w:rPr>
            </w:pPr>
            <w:r w:rsidRPr="00082FE3">
              <w:rPr>
                <w:rFonts w:cs="Calibri Light"/>
                <w:b/>
                <w:kern w:val="32"/>
                <w:sz w:val="16"/>
                <w:szCs w:val="16"/>
              </w:rPr>
              <w:t>1,422</w:t>
            </w:r>
          </w:p>
        </w:tc>
        <w:tc>
          <w:tcPr>
            <w:tcW w:w="691" w:type="pct"/>
          </w:tcPr>
          <w:p w14:paraId="3E97BAA9" w14:textId="77777777" w:rsidR="00082FE3" w:rsidRPr="00082FE3" w:rsidRDefault="00082FE3" w:rsidP="00082FE3">
            <w:pPr>
              <w:keepNext/>
              <w:spacing w:after="0" w:line="276" w:lineRule="auto"/>
              <w:jc w:val="center"/>
              <w:outlineLvl w:val="2"/>
              <w:rPr>
                <w:rFonts w:cs="Calibri Light"/>
                <w:b/>
                <w:kern w:val="32"/>
                <w:sz w:val="16"/>
                <w:szCs w:val="16"/>
              </w:rPr>
            </w:pPr>
            <w:r w:rsidRPr="00082FE3">
              <w:rPr>
                <w:rFonts w:cs="Calibri Light"/>
                <w:b/>
                <w:kern w:val="32"/>
                <w:sz w:val="16"/>
                <w:szCs w:val="16"/>
              </w:rPr>
              <w:t>9,091</w:t>
            </w:r>
          </w:p>
        </w:tc>
        <w:tc>
          <w:tcPr>
            <w:tcW w:w="694" w:type="pct"/>
          </w:tcPr>
          <w:p w14:paraId="5DE0A83B" w14:textId="77777777" w:rsidR="00082FE3" w:rsidRPr="00082FE3" w:rsidRDefault="00082FE3" w:rsidP="00082FE3">
            <w:pPr>
              <w:keepNext/>
              <w:spacing w:after="0" w:line="276" w:lineRule="auto"/>
              <w:jc w:val="center"/>
              <w:outlineLvl w:val="2"/>
              <w:rPr>
                <w:rFonts w:cs="Calibri Light"/>
                <w:b/>
                <w:kern w:val="32"/>
                <w:sz w:val="16"/>
                <w:szCs w:val="16"/>
              </w:rPr>
            </w:pPr>
            <w:r w:rsidRPr="00082FE3">
              <w:rPr>
                <w:rFonts w:cs="Calibri Light"/>
                <w:b/>
                <w:kern w:val="32"/>
                <w:sz w:val="16"/>
                <w:szCs w:val="16"/>
              </w:rPr>
              <w:t>1,389</w:t>
            </w:r>
          </w:p>
        </w:tc>
        <w:tc>
          <w:tcPr>
            <w:tcW w:w="690" w:type="pct"/>
          </w:tcPr>
          <w:p w14:paraId="0EA2BA2D" w14:textId="77777777" w:rsidR="00082FE3" w:rsidRPr="00082FE3" w:rsidRDefault="00082FE3" w:rsidP="00082FE3">
            <w:pPr>
              <w:keepNext/>
              <w:spacing w:after="0" w:line="276" w:lineRule="auto"/>
              <w:jc w:val="center"/>
              <w:outlineLvl w:val="2"/>
              <w:rPr>
                <w:rFonts w:cs="Calibri Light"/>
                <w:b/>
                <w:kern w:val="32"/>
                <w:sz w:val="16"/>
                <w:szCs w:val="16"/>
              </w:rPr>
            </w:pPr>
            <w:r w:rsidRPr="00082FE3">
              <w:rPr>
                <w:rFonts w:cs="Calibri Light"/>
                <w:b/>
                <w:kern w:val="32"/>
                <w:sz w:val="16"/>
                <w:szCs w:val="16"/>
              </w:rPr>
              <w:t>9,655</w:t>
            </w:r>
          </w:p>
        </w:tc>
      </w:tr>
    </w:tbl>
    <w:p w14:paraId="2222E046" w14:textId="307CF54E" w:rsidR="001C662B" w:rsidRPr="005378B1" w:rsidRDefault="001C662B" w:rsidP="005378B1">
      <w:pPr>
        <w:pStyle w:val="Charttablenotenumbers"/>
        <w:numPr>
          <w:ilvl w:val="0"/>
          <w:numId w:val="14"/>
        </w:numPr>
        <w:jc w:val="left"/>
        <w:rPr>
          <w:rFonts w:ascii="Calibri Light" w:hAnsi="Calibri Light" w:cs="Calibri Light"/>
          <w:color w:val="auto"/>
        </w:rPr>
      </w:pPr>
      <w:r w:rsidRPr="001C662B">
        <w:rPr>
          <w:rFonts w:ascii="Calibri Light" w:hAnsi="Calibri Light" w:cs="Calibri Light"/>
          <w:color w:val="auto"/>
        </w:rPr>
        <w:t>Number of representative offices of foreign banks have not been included in the ADI classification or total number of regulated entities, as they are not regulated by APRA.</w:t>
      </w:r>
    </w:p>
    <w:p w14:paraId="06998171" w14:textId="7F12DE71" w:rsidR="00040BA6" w:rsidRPr="005378B1" w:rsidRDefault="003C6509" w:rsidP="005378B1">
      <w:pPr>
        <w:pStyle w:val="Charttablenotenumbers"/>
        <w:numPr>
          <w:ilvl w:val="0"/>
          <w:numId w:val="14"/>
        </w:numPr>
        <w:jc w:val="left"/>
        <w:rPr>
          <w:rFonts w:ascii="Calibri Light" w:hAnsi="Calibri Light" w:cs="Calibri Light"/>
          <w:color w:val="auto"/>
        </w:rPr>
      </w:pPr>
      <w:r w:rsidRPr="005378B1">
        <w:rPr>
          <w:rFonts w:ascii="Calibri Light" w:hAnsi="Calibri Light" w:cs="Calibri Light"/>
          <w:color w:val="auto"/>
        </w:rPr>
        <w:t>The asset</w:t>
      </w:r>
      <w:r w:rsidR="009A2911" w:rsidRPr="005378B1">
        <w:rPr>
          <w:rFonts w:ascii="Calibri Light" w:hAnsi="Calibri Light" w:cs="Calibri Light"/>
          <w:color w:val="auto"/>
        </w:rPr>
        <w:t>s</w:t>
      </w:r>
      <w:r w:rsidRPr="005378B1">
        <w:rPr>
          <w:rFonts w:ascii="Calibri Light" w:hAnsi="Calibri Light" w:cs="Calibri Light"/>
          <w:color w:val="auto"/>
        </w:rPr>
        <w:t xml:space="preserve"> figure</w:t>
      </w:r>
      <w:r w:rsidR="009A2911" w:rsidRPr="005378B1">
        <w:rPr>
          <w:rFonts w:ascii="Calibri Light" w:hAnsi="Calibri Light" w:cs="Calibri Light"/>
          <w:color w:val="auto"/>
        </w:rPr>
        <w:t>s</w:t>
      </w:r>
      <w:r w:rsidRPr="005378B1">
        <w:rPr>
          <w:rFonts w:ascii="Calibri Light" w:hAnsi="Calibri Light" w:cs="Calibri Light"/>
          <w:color w:val="auto"/>
        </w:rPr>
        <w:t xml:space="preserve"> for ADIs have been sourced from the Economic and Financial Statistics (EFS) data collection which reports on a domestic </w:t>
      </w:r>
      <w:r w:rsidR="005247F1" w:rsidRPr="005378B1">
        <w:rPr>
          <w:rFonts w:ascii="Calibri Light" w:hAnsi="Calibri Light" w:cs="Calibri Light"/>
          <w:color w:val="auto"/>
        </w:rPr>
        <w:t>book</w:t>
      </w:r>
      <w:r w:rsidR="00253B5A" w:rsidRPr="005378B1">
        <w:rPr>
          <w:rFonts w:ascii="Calibri Light" w:hAnsi="Calibri Light" w:cs="Calibri Light"/>
          <w:color w:val="auto"/>
        </w:rPr>
        <w:t>’</w:t>
      </w:r>
      <w:r w:rsidR="005247F1" w:rsidRPr="005378B1">
        <w:rPr>
          <w:rFonts w:ascii="Calibri Light" w:hAnsi="Calibri Light" w:cs="Calibri Light"/>
          <w:color w:val="auto"/>
        </w:rPr>
        <w:t>s</w:t>
      </w:r>
      <w:r w:rsidRPr="005378B1">
        <w:rPr>
          <w:rFonts w:ascii="Calibri Light" w:hAnsi="Calibri Light" w:cs="Calibri Light"/>
          <w:color w:val="auto"/>
        </w:rPr>
        <w:t xml:space="preserve"> basis.</w:t>
      </w:r>
    </w:p>
    <w:p w14:paraId="196280F0" w14:textId="43B71829" w:rsidR="001549E5" w:rsidRPr="005378B1" w:rsidRDefault="001549E5" w:rsidP="005378B1">
      <w:pPr>
        <w:pStyle w:val="Charttablenotenumbers"/>
        <w:numPr>
          <w:ilvl w:val="0"/>
          <w:numId w:val="14"/>
        </w:numPr>
        <w:jc w:val="left"/>
        <w:rPr>
          <w:rFonts w:ascii="Calibri Light" w:hAnsi="Calibri Light" w:cs="Calibri Light"/>
          <w:color w:val="auto"/>
        </w:rPr>
      </w:pPr>
      <w:r w:rsidRPr="005378B1">
        <w:rPr>
          <w:rFonts w:ascii="Calibri Light" w:hAnsi="Calibri Light" w:cs="Calibri Light"/>
          <w:color w:val="auto"/>
        </w:rPr>
        <w:t>Mutual ADIs are defined as ADIs operating under a mutual corporate structure</w:t>
      </w:r>
      <w:r w:rsidR="00DA2E55">
        <w:rPr>
          <w:rFonts w:ascii="Calibri Light" w:hAnsi="Calibri Light" w:cs="Calibri Light"/>
          <w:color w:val="auto"/>
        </w:rPr>
        <w:t>.</w:t>
      </w:r>
    </w:p>
    <w:p w14:paraId="7F8F61C4" w14:textId="44DB8362" w:rsidR="00040BA6" w:rsidRPr="005378B1" w:rsidRDefault="003C6509" w:rsidP="005378B1">
      <w:pPr>
        <w:pStyle w:val="Charttablenotenumbers"/>
        <w:numPr>
          <w:ilvl w:val="0"/>
          <w:numId w:val="14"/>
        </w:numPr>
        <w:jc w:val="left"/>
        <w:rPr>
          <w:rFonts w:ascii="Calibri Light" w:hAnsi="Calibri Light" w:cs="Calibri Light"/>
          <w:color w:val="auto"/>
        </w:rPr>
      </w:pPr>
      <w:r w:rsidRPr="005378B1">
        <w:rPr>
          <w:rFonts w:ascii="Calibri Light" w:hAnsi="Calibri Light" w:cs="Calibri Light"/>
          <w:color w:val="auto"/>
        </w:rPr>
        <w:t xml:space="preserve">This data excludes superannuation </w:t>
      </w:r>
      <w:r w:rsidR="00A12589">
        <w:rPr>
          <w:rFonts w:ascii="Calibri Light" w:hAnsi="Calibri Light" w:cs="Calibri Light"/>
          <w:color w:val="auto"/>
        </w:rPr>
        <w:t>funds</w:t>
      </w:r>
      <w:r w:rsidR="00A12589" w:rsidRPr="005378B1">
        <w:rPr>
          <w:rFonts w:ascii="Calibri Light" w:hAnsi="Calibri Light" w:cs="Calibri Light"/>
          <w:color w:val="auto"/>
        </w:rPr>
        <w:t xml:space="preserve"> </w:t>
      </w:r>
      <w:r w:rsidRPr="005378B1">
        <w:rPr>
          <w:rFonts w:ascii="Calibri Light" w:hAnsi="Calibri Light" w:cs="Calibri Light"/>
          <w:color w:val="auto"/>
        </w:rPr>
        <w:t>that APRA does not regulate, that is, exempt public sector superannuation schemes and ATO regulated self-managed superannuation funds.</w:t>
      </w:r>
    </w:p>
    <w:p w14:paraId="0171BA84" w14:textId="0D073B2C" w:rsidR="00040BA6" w:rsidRPr="005378B1" w:rsidRDefault="001C662B" w:rsidP="005378B1">
      <w:pPr>
        <w:pStyle w:val="Charttablenotenumbers"/>
        <w:numPr>
          <w:ilvl w:val="0"/>
          <w:numId w:val="14"/>
        </w:numPr>
        <w:jc w:val="left"/>
        <w:rPr>
          <w:rFonts w:ascii="Calibri Light" w:hAnsi="Calibri Light" w:cs="Calibri Light"/>
          <w:color w:val="auto"/>
        </w:rPr>
      </w:pPr>
      <w:r w:rsidRPr="001C662B">
        <w:rPr>
          <w:rFonts w:ascii="Calibri Light" w:hAnsi="Calibri Light" w:cs="Calibri Light"/>
          <w:color w:val="auto"/>
        </w:rPr>
        <w:t>The 'superannuation institutions excluding small funds' category consists of public offer funds, non-public offer funds, multi-member approved deposit funds, eligible rollover funds and pooled superannuation trusts. These assets include employer-sponsor receivable assets.</w:t>
      </w:r>
    </w:p>
    <w:p w14:paraId="1755615F" w14:textId="6975C8B2" w:rsidR="00040BA6" w:rsidRPr="005378B1" w:rsidRDefault="001C662B" w:rsidP="005378B1">
      <w:pPr>
        <w:pStyle w:val="Charttablenotenumbers"/>
        <w:numPr>
          <w:ilvl w:val="0"/>
          <w:numId w:val="14"/>
        </w:numPr>
        <w:jc w:val="left"/>
        <w:rPr>
          <w:rFonts w:ascii="Calibri Light" w:hAnsi="Calibri Light" w:cs="Calibri Light"/>
          <w:color w:val="auto"/>
        </w:rPr>
      </w:pPr>
      <w:r w:rsidRPr="001C662B">
        <w:rPr>
          <w:rFonts w:ascii="Calibri Light" w:hAnsi="Calibri Light" w:cs="Calibri Light"/>
          <w:color w:val="auto"/>
        </w:rPr>
        <w:t>'Small funds' consist of small APRA funds (SAFs) and single member approved deposit funds (SMADFs)</w:t>
      </w:r>
      <w:r w:rsidR="003C6509" w:rsidRPr="005378B1">
        <w:rPr>
          <w:rFonts w:ascii="Calibri Light" w:hAnsi="Calibri Light" w:cs="Calibri Light"/>
          <w:color w:val="auto"/>
        </w:rPr>
        <w:t>.</w:t>
      </w:r>
    </w:p>
    <w:p w14:paraId="2066BF53" w14:textId="4C65704C" w:rsidR="00040BA6" w:rsidRPr="005378B1" w:rsidRDefault="001C662B" w:rsidP="005378B1">
      <w:pPr>
        <w:pStyle w:val="Charttablenotenumbers"/>
        <w:numPr>
          <w:ilvl w:val="0"/>
          <w:numId w:val="14"/>
        </w:numPr>
        <w:jc w:val="left"/>
        <w:rPr>
          <w:rFonts w:ascii="Calibri Light" w:hAnsi="Calibri Light" w:cs="Calibri Light"/>
          <w:color w:val="auto"/>
        </w:rPr>
      </w:pPr>
      <w:r w:rsidRPr="001C662B">
        <w:rPr>
          <w:rFonts w:ascii="Calibri Light" w:hAnsi="Calibri Light" w:cs="Calibri Light"/>
          <w:color w:val="auto"/>
        </w:rPr>
        <w:t>'Number' represents the number of licensed entities. It also includes entities that are currently in the process of winding up or deregistration but remain authorised entities as at the date of this data being compiled.</w:t>
      </w:r>
    </w:p>
    <w:p w14:paraId="32636583" w14:textId="6086BB1D" w:rsidR="00747101" w:rsidRPr="005378B1" w:rsidRDefault="001C662B" w:rsidP="005378B1">
      <w:pPr>
        <w:pStyle w:val="Charttablenotenumbers"/>
        <w:numPr>
          <w:ilvl w:val="0"/>
          <w:numId w:val="14"/>
        </w:numPr>
        <w:jc w:val="left"/>
        <w:rPr>
          <w:rFonts w:ascii="Calibri Light" w:hAnsi="Calibri Light" w:cs="Calibri Light"/>
          <w:color w:val="auto"/>
        </w:rPr>
      </w:pPr>
      <w:r w:rsidRPr="001C662B">
        <w:rPr>
          <w:rFonts w:ascii="Calibri Light" w:hAnsi="Calibri Light" w:cs="Calibri Light"/>
          <w:color w:val="auto"/>
        </w:rPr>
        <w:t>Number of entities for end-December 2023 have been revised to reflect wind-up and deregistration of entities finalised during the 2024 calendar year</w:t>
      </w:r>
      <w:r w:rsidR="00747101" w:rsidRPr="005378B1">
        <w:rPr>
          <w:rFonts w:ascii="Calibri Light" w:hAnsi="Calibri Light" w:cs="Calibri Light"/>
          <w:color w:val="auto"/>
        </w:rPr>
        <w:t>.</w:t>
      </w:r>
    </w:p>
    <w:p w14:paraId="2BEE9E49" w14:textId="0616D668" w:rsidR="00040BA6" w:rsidRPr="005378B1" w:rsidRDefault="00747101" w:rsidP="005378B1">
      <w:pPr>
        <w:pStyle w:val="Charttablenotenumbers"/>
        <w:numPr>
          <w:ilvl w:val="0"/>
          <w:numId w:val="14"/>
        </w:numPr>
        <w:jc w:val="left"/>
        <w:rPr>
          <w:rFonts w:ascii="Calibri Light" w:hAnsi="Calibri Light" w:cs="Calibri Light"/>
          <w:color w:val="auto"/>
        </w:rPr>
      </w:pPr>
      <w:r w:rsidRPr="005378B1">
        <w:rPr>
          <w:rFonts w:ascii="Calibri Light" w:hAnsi="Calibri Light" w:cs="Calibri Light"/>
          <w:color w:val="auto"/>
        </w:rPr>
        <w:t xml:space="preserve">Asset figures for end-December </w:t>
      </w:r>
      <w:r w:rsidR="001C662B" w:rsidRPr="001C662B">
        <w:rPr>
          <w:rFonts w:ascii="Calibri Light" w:hAnsi="Calibri Light" w:cs="Calibri Light"/>
          <w:color w:val="auto"/>
        </w:rPr>
        <w:t>2024</w:t>
      </w:r>
      <w:r w:rsidRPr="005378B1">
        <w:rPr>
          <w:rFonts w:ascii="Calibri Light" w:hAnsi="Calibri Light" w:cs="Calibri Light"/>
          <w:color w:val="auto"/>
        </w:rPr>
        <w:t xml:space="preserve"> are based on the most recently submitted returns. </w:t>
      </w:r>
      <w:r w:rsidR="001C662B" w:rsidRPr="001C662B">
        <w:rPr>
          <w:rFonts w:ascii="Calibri Light" w:hAnsi="Calibri Light" w:cs="Calibri Light"/>
          <w:color w:val="auto"/>
        </w:rPr>
        <w:t>Asset figures for end-December 2023 have been revised slightly from prior year's report in line with audited returns and resubmissions received during the year</w:t>
      </w:r>
      <w:r w:rsidRPr="005378B1">
        <w:rPr>
          <w:rFonts w:ascii="Calibri Light" w:hAnsi="Calibri Light" w:cs="Calibri Light"/>
          <w:color w:val="auto"/>
        </w:rPr>
        <w:t>.</w:t>
      </w:r>
    </w:p>
    <w:p w14:paraId="59205165" w14:textId="352C02B0" w:rsidR="00747101" w:rsidRPr="005378B1" w:rsidRDefault="001C662B" w:rsidP="005378B1">
      <w:pPr>
        <w:pStyle w:val="Charttablenotenumbers"/>
        <w:numPr>
          <w:ilvl w:val="0"/>
          <w:numId w:val="14"/>
        </w:numPr>
        <w:jc w:val="left"/>
        <w:rPr>
          <w:rFonts w:ascii="Calibri Light" w:hAnsi="Calibri Light" w:cs="Calibri Light"/>
          <w:color w:val="auto"/>
        </w:rPr>
      </w:pPr>
      <w:r w:rsidRPr="001C662B">
        <w:rPr>
          <w:rFonts w:ascii="Calibri Light" w:hAnsi="Calibri Light" w:cs="Calibri Light"/>
          <w:color w:val="auto"/>
        </w:rPr>
        <w:t>Asset figures for general, private health and life insurance and friendly societies are based on the revised reporting framework for insurance to reflect the implementation of Australian Accounting Standards Board 17 Insurance Contracts (AASB17</w:t>
      </w:r>
      <w:r w:rsidR="003B7167">
        <w:rPr>
          <w:rFonts w:ascii="Calibri Light" w:hAnsi="Calibri Light" w:cs="Calibri Light"/>
          <w:color w:val="auto"/>
        </w:rPr>
        <w:t>)</w:t>
      </w:r>
      <w:r w:rsidR="00747101" w:rsidRPr="005378B1">
        <w:rPr>
          <w:rFonts w:ascii="Calibri Light" w:hAnsi="Calibri Light" w:cs="Calibri Light"/>
          <w:color w:val="auto"/>
        </w:rPr>
        <w:t>).</w:t>
      </w:r>
    </w:p>
    <w:p w14:paraId="160C0B82" w14:textId="3043CDCF" w:rsidR="00762E42" w:rsidRPr="005378B1" w:rsidRDefault="003C6509" w:rsidP="005378B1">
      <w:pPr>
        <w:pStyle w:val="Heading1"/>
        <w:rPr>
          <w:color w:val="auto"/>
        </w:rPr>
      </w:pPr>
      <w:bookmarkStart w:id="115" w:name="_Toc1575309"/>
      <w:bookmarkStart w:id="116" w:name="_Toc1577993"/>
      <w:bookmarkStart w:id="117" w:name="_Toc1578912"/>
      <w:bookmarkStart w:id="118" w:name="_Toc4662147"/>
      <w:bookmarkStart w:id="119" w:name="_Toc98841583"/>
      <w:bookmarkStart w:id="120" w:name="_Toc192616753"/>
      <w:bookmarkEnd w:id="114"/>
      <w:r w:rsidRPr="005378B1">
        <w:rPr>
          <w:color w:val="auto"/>
        </w:rPr>
        <w:lastRenderedPageBreak/>
        <w:t>Summary of the impact on each individual industry</w:t>
      </w:r>
      <w:bookmarkEnd w:id="115"/>
      <w:bookmarkEnd w:id="116"/>
      <w:bookmarkEnd w:id="117"/>
      <w:bookmarkEnd w:id="118"/>
      <w:bookmarkEnd w:id="119"/>
      <w:bookmarkEnd w:id="120"/>
    </w:p>
    <w:p w14:paraId="6A6A3534" w14:textId="746FE889" w:rsidR="004063A7" w:rsidRPr="00B9423A" w:rsidRDefault="004063A7" w:rsidP="004063A7">
      <w:pPr>
        <w:rPr>
          <w:rFonts w:cs="Calibri Light"/>
          <w:szCs w:val="22"/>
        </w:rPr>
      </w:pPr>
      <w:bookmarkStart w:id="121" w:name="_Toc1575310"/>
      <w:bookmarkStart w:id="122" w:name="_Toc1577994"/>
      <w:bookmarkStart w:id="123" w:name="_Toc1578913"/>
      <w:bookmarkStart w:id="124" w:name="_Toc4662148"/>
      <w:bookmarkStart w:id="125" w:name="_Toc98841584"/>
      <w:bookmarkStart w:id="126" w:name="_Hlk97130352"/>
      <w:r w:rsidRPr="00B9423A">
        <w:rPr>
          <w:rFonts w:cs="Calibri Light"/>
          <w:szCs w:val="22"/>
        </w:rPr>
        <w:t>In this section we outline the levy impact on each industry and APRA’s area of focus in 2025</w:t>
      </w:r>
      <w:r w:rsidR="00CE76AA" w:rsidRPr="005378B1">
        <w:t>–</w:t>
      </w:r>
      <w:r w:rsidRPr="00B9423A">
        <w:rPr>
          <w:rFonts w:cs="Calibri Light"/>
          <w:szCs w:val="22"/>
        </w:rPr>
        <w:t xml:space="preserve">26.  </w:t>
      </w:r>
    </w:p>
    <w:p w14:paraId="0787F5D8" w14:textId="0438BE5E" w:rsidR="004063A7" w:rsidRPr="00B9423A" w:rsidRDefault="004063A7" w:rsidP="004063A7">
      <w:pPr>
        <w:rPr>
          <w:rFonts w:cs="Calibri Light"/>
          <w:szCs w:val="22"/>
        </w:rPr>
      </w:pPr>
      <w:r w:rsidRPr="00B9423A">
        <w:rPr>
          <w:rFonts w:cs="Calibri Light"/>
          <w:szCs w:val="22"/>
        </w:rPr>
        <w:t>APRA’s supervisory activities will continue the focus on protecting the safety and resilience of regulated entities, promoting confidence and stability in the financial system, and supporting the community to achieve good financial outcomes. Our supervisory teams will continue to engage closely with regulated entities, applying a proportional approach to managing idiosyncratic entity risks as well as to addressing heightened industry and system risks such as geopolitical volatility.</w:t>
      </w:r>
    </w:p>
    <w:p w14:paraId="05EF1845" w14:textId="0DD6F8F3" w:rsidR="004063A7" w:rsidRPr="00B9423A" w:rsidRDefault="004063A7" w:rsidP="004063A7">
      <w:pPr>
        <w:rPr>
          <w:rFonts w:cs="Calibri Light"/>
          <w:szCs w:val="22"/>
        </w:rPr>
      </w:pPr>
      <w:r w:rsidRPr="00B9423A">
        <w:rPr>
          <w:rFonts w:cs="Calibri Light"/>
          <w:szCs w:val="22"/>
        </w:rPr>
        <w:t xml:space="preserve">APRA will also continue to </w:t>
      </w:r>
      <w:r w:rsidR="009A17FA">
        <w:rPr>
          <w:rFonts w:cs="Calibri Light"/>
          <w:szCs w:val="22"/>
        </w:rPr>
        <w:t xml:space="preserve">work in close coordination with </w:t>
      </w:r>
      <w:r w:rsidR="00CD7D9E">
        <w:rPr>
          <w:rFonts w:cs="Calibri Light"/>
          <w:szCs w:val="22"/>
        </w:rPr>
        <w:t>regu</w:t>
      </w:r>
      <w:r w:rsidR="006B5ECC">
        <w:rPr>
          <w:rFonts w:cs="Calibri Light"/>
          <w:szCs w:val="22"/>
        </w:rPr>
        <w:t>l</w:t>
      </w:r>
      <w:r w:rsidR="00CD7D9E">
        <w:rPr>
          <w:rFonts w:cs="Calibri Light"/>
          <w:szCs w:val="22"/>
        </w:rPr>
        <w:t xml:space="preserve">atory </w:t>
      </w:r>
      <w:r w:rsidR="006B5ECC">
        <w:rPr>
          <w:rFonts w:cs="Calibri Light"/>
          <w:szCs w:val="22"/>
        </w:rPr>
        <w:t xml:space="preserve">agencies to support collective goals, </w:t>
      </w:r>
      <w:r w:rsidR="00FA0360">
        <w:rPr>
          <w:rFonts w:cs="Calibri Light"/>
          <w:szCs w:val="22"/>
        </w:rPr>
        <w:t xml:space="preserve">minimise </w:t>
      </w:r>
      <w:r w:rsidR="00A7582E">
        <w:rPr>
          <w:rFonts w:cs="Calibri Light"/>
          <w:szCs w:val="22"/>
        </w:rPr>
        <w:t>duplication of activities</w:t>
      </w:r>
      <w:r w:rsidR="00BC4DB5">
        <w:rPr>
          <w:rFonts w:cs="Calibri Light"/>
          <w:szCs w:val="22"/>
        </w:rPr>
        <w:t xml:space="preserve"> and</w:t>
      </w:r>
      <w:r w:rsidRPr="00B9423A">
        <w:rPr>
          <w:rFonts w:cs="Calibri Light"/>
          <w:szCs w:val="22"/>
        </w:rPr>
        <w:t xml:space="preserve"> reduce regulatory burden. This includes contributing to the </w:t>
      </w:r>
      <w:r w:rsidR="004776D9">
        <w:rPr>
          <w:rFonts w:cs="Calibri Light"/>
          <w:szCs w:val="22"/>
        </w:rPr>
        <w:t>G</w:t>
      </w:r>
      <w:r w:rsidR="00761C12">
        <w:rPr>
          <w:rFonts w:cs="Calibri Light"/>
          <w:szCs w:val="22"/>
        </w:rPr>
        <w:t xml:space="preserve">overnment’s </w:t>
      </w:r>
      <w:r w:rsidRPr="00B9423A">
        <w:rPr>
          <w:rFonts w:cs="Calibri Light"/>
          <w:szCs w:val="22"/>
        </w:rPr>
        <w:t>Regulatory Initiatives Grid.</w:t>
      </w:r>
    </w:p>
    <w:p w14:paraId="4082B667" w14:textId="0A4039FA" w:rsidR="004063A7" w:rsidRPr="00B9423A" w:rsidRDefault="004063A7" w:rsidP="004063A7">
      <w:pPr>
        <w:rPr>
          <w:rFonts w:cs="Calibri Light"/>
          <w:szCs w:val="22"/>
        </w:rPr>
      </w:pPr>
      <w:r w:rsidRPr="00B9423A">
        <w:rPr>
          <w:rFonts w:cs="Calibri Light"/>
          <w:szCs w:val="22"/>
        </w:rPr>
        <w:t xml:space="preserve">Further detail on APRA’s activities will be released in APRA’s </w:t>
      </w:r>
      <w:r w:rsidR="008D73AE">
        <w:rPr>
          <w:rFonts w:cs="Calibri Light"/>
          <w:szCs w:val="22"/>
        </w:rPr>
        <w:t>2025</w:t>
      </w:r>
      <w:r w:rsidR="00C85DA3" w:rsidRPr="005378B1">
        <w:t>–</w:t>
      </w:r>
      <w:r w:rsidR="008D73AE">
        <w:rPr>
          <w:rFonts w:cs="Calibri Light"/>
          <w:szCs w:val="22"/>
        </w:rPr>
        <w:t xml:space="preserve">26 </w:t>
      </w:r>
      <w:r w:rsidRPr="00B9423A">
        <w:rPr>
          <w:rFonts w:cs="Calibri Light"/>
          <w:szCs w:val="22"/>
        </w:rPr>
        <w:t xml:space="preserve">corporate plan </w:t>
      </w:r>
      <w:r w:rsidR="00FE34BD">
        <w:rPr>
          <w:rFonts w:cs="Calibri Light"/>
          <w:szCs w:val="22"/>
        </w:rPr>
        <w:t>published</w:t>
      </w:r>
      <w:r w:rsidRPr="00B9423A">
        <w:rPr>
          <w:rFonts w:cs="Calibri Light"/>
          <w:szCs w:val="22"/>
        </w:rPr>
        <w:t xml:space="preserve"> in </w:t>
      </w:r>
      <w:r w:rsidR="00FE34BD">
        <w:rPr>
          <w:rFonts w:cs="Calibri Light"/>
          <w:szCs w:val="22"/>
        </w:rPr>
        <w:t xml:space="preserve">August </w:t>
      </w:r>
      <w:r w:rsidRPr="00B9423A">
        <w:rPr>
          <w:rFonts w:cs="Calibri Light"/>
          <w:szCs w:val="22"/>
        </w:rPr>
        <w:t>2025.</w:t>
      </w:r>
    </w:p>
    <w:p w14:paraId="5A64DC40" w14:textId="77777777" w:rsidR="00354E33" w:rsidRPr="007A362A" w:rsidRDefault="00354E33" w:rsidP="007A362A">
      <w:pPr>
        <w:pStyle w:val="Heading2"/>
      </w:pPr>
      <w:bookmarkStart w:id="127" w:name="_Hlk191900674"/>
      <w:r w:rsidRPr="007A362A">
        <w:t>All APRA regulated industries</w:t>
      </w:r>
    </w:p>
    <w:p w14:paraId="6A62687A" w14:textId="77777777" w:rsidR="00354E33" w:rsidRPr="00B9423A" w:rsidRDefault="00354E33" w:rsidP="00354E33">
      <w:pPr>
        <w:rPr>
          <w:rFonts w:cs="Calibri Light"/>
          <w:szCs w:val="22"/>
        </w:rPr>
      </w:pPr>
      <w:r w:rsidRPr="00B9423A">
        <w:rPr>
          <w:rFonts w:cs="Calibri Light"/>
          <w:szCs w:val="22"/>
        </w:rPr>
        <w:t>There are several focus areas for APRA’s supervision activities which are common across all regulated industries. These include:</w:t>
      </w:r>
    </w:p>
    <w:p w14:paraId="5C4EF95E" w14:textId="0B19341C" w:rsidR="00354E33" w:rsidRPr="00B9423A" w:rsidRDefault="00354E33" w:rsidP="00354E33">
      <w:pPr>
        <w:pStyle w:val="ListParagraph"/>
        <w:numPr>
          <w:ilvl w:val="0"/>
          <w:numId w:val="44"/>
        </w:numPr>
        <w:spacing w:before="60" w:after="60" w:line="276" w:lineRule="auto"/>
        <w:jc w:val="left"/>
        <w:rPr>
          <w:rFonts w:ascii="Calibri Light" w:hAnsi="Calibri Light" w:cs="Calibri Light"/>
          <w:szCs w:val="22"/>
        </w:rPr>
      </w:pPr>
      <w:r w:rsidRPr="00B9423A">
        <w:rPr>
          <w:rFonts w:ascii="Calibri Light" w:hAnsi="Calibri Light" w:cs="Calibri Light"/>
          <w:szCs w:val="22"/>
        </w:rPr>
        <w:t>System-wide risks – APRA will continue to engage with regulated entities in conducting its first system risk stress test, which will improve APRA’s understanding of risk transmission mechanisms across industries and readiness to respon</w:t>
      </w:r>
      <w:r w:rsidR="006466B4">
        <w:rPr>
          <w:rFonts w:ascii="Calibri Light" w:hAnsi="Calibri Light" w:cs="Calibri Light"/>
          <w:szCs w:val="22"/>
        </w:rPr>
        <w:t>d</w:t>
      </w:r>
      <w:r w:rsidRPr="00B9423A">
        <w:rPr>
          <w:rFonts w:ascii="Calibri Light" w:hAnsi="Calibri Light" w:cs="Calibri Light"/>
          <w:szCs w:val="22"/>
        </w:rPr>
        <w:t xml:space="preserve">. </w:t>
      </w:r>
      <w:r w:rsidR="00283EDF">
        <w:rPr>
          <w:rFonts w:ascii="Calibri Light" w:hAnsi="Calibri Light" w:cs="Calibri Light"/>
          <w:szCs w:val="22"/>
        </w:rPr>
        <w:t>APRA</w:t>
      </w:r>
      <w:r w:rsidRPr="00B9423A">
        <w:rPr>
          <w:rFonts w:ascii="Calibri Light" w:hAnsi="Calibri Light" w:cs="Calibri Light"/>
          <w:szCs w:val="22"/>
        </w:rPr>
        <w:t xml:space="preserve"> will also continue to work with regulated entities to understand and uplift resilience to heightened geopolitical risks in the external environment.</w:t>
      </w:r>
    </w:p>
    <w:p w14:paraId="5CC17E50" w14:textId="378935A3" w:rsidR="00354E33" w:rsidRPr="00B9423A" w:rsidRDefault="00354E33" w:rsidP="00354E33">
      <w:pPr>
        <w:pStyle w:val="ListParagraph"/>
        <w:numPr>
          <w:ilvl w:val="0"/>
          <w:numId w:val="44"/>
        </w:numPr>
        <w:spacing w:before="60" w:after="60" w:line="276" w:lineRule="auto"/>
        <w:jc w:val="left"/>
        <w:rPr>
          <w:rFonts w:ascii="Calibri Light" w:hAnsi="Calibri Light" w:cs="Calibri Light"/>
          <w:szCs w:val="22"/>
        </w:rPr>
      </w:pPr>
      <w:r w:rsidRPr="00B9423A">
        <w:rPr>
          <w:rFonts w:ascii="Calibri Light" w:hAnsi="Calibri Light" w:cs="Calibri Light"/>
          <w:szCs w:val="22"/>
        </w:rPr>
        <w:t>Non-financial resilience – APRA will maintain a high focus on entities’ operational resilience and will monitor compliance with the new CPS 230 requirements coming into effect from 1</w:t>
      </w:r>
      <w:r w:rsidR="000F62FF">
        <w:rPr>
          <w:rFonts w:ascii="Calibri Light" w:hAnsi="Calibri Light" w:cs="Calibri Light"/>
          <w:szCs w:val="22"/>
        </w:rPr>
        <w:t> </w:t>
      </w:r>
      <w:r w:rsidRPr="00B9423A">
        <w:rPr>
          <w:rFonts w:ascii="Calibri Light" w:hAnsi="Calibri Light" w:cs="Calibri Light"/>
          <w:szCs w:val="22"/>
        </w:rPr>
        <w:t xml:space="preserve">July 2025. </w:t>
      </w:r>
      <w:r w:rsidR="00D252FC">
        <w:rPr>
          <w:rFonts w:ascii="Calibri Light" w:hAnsi="Calibri Light" w:cs="Calibri Light"/>
          <w:szCs w:val="22"/>
        </w:rPr>
        <w:t>APRA</w:t>
      </w:r>
      <w:r w:rsidRPr="00B9423A">
        <w:rPr>
          <w:rFonts w:ascii="Calibri Light" w:hAnsi="Calibri Light" w:cs="Calibri Light"/>
          <w:szCs w:val="22"/>
        </w:rPr>
        <w:t xml:space="preserve"> will also </w:t>
      </w:r>
      <w:r w:rsidR="008C57C5">
        <w:rPr>
          <w:rFonts w:ascii="Calibri Light" w:hAnsi="Calibri Light" w:cs="Calibri Light"/>
          <w:szCs w:val="22"/>
        </w:rPr>
        <w:t xml:space="preserve">continue to engage with </w:t>
      </w:r>
      <w:r w:rsidRPr="00B9423A">
        <w:rPr>
          <w:rFonts w:ascii="Calibri Light" w:hAnsi="Calibri Light" w:cs="Calibri Light"/>
          <w:szCs w:val="22"/>
        </w:rPr>
        <w:t xml:space="preserve">entities in </w:t>
      </w:r>
      <w:r w:rsidRPr="00A242EA">
        <w:rPr>
          <w:rFonts w:ascii="Calibri Light" w:hAnsi="Calibri Light" w:cs="Calibri Light"/>
          <w:szCs w:val="22"/>
        </w:rPr>
        <w:t xml:space="preserve">response to </w:t>
      </w:r>
      <w:r w:rsidR="00D252FC" w:rsidRPr="00A242EA">
        <w:rPr>
          <w:rFonts w:ascii="Calibri Light" w:hAnsi="Calibri Light" w:cs="Calibri Light"/>
          <w:szCs w:val="22"/>
        </w:rPr>
        <w:t>its</w:t>
      </w:r>
      <w:r w:rsidRPr="00A242EA">
        <w:rPr>
          <w:rFonts w:ascii="Calibri Light" w:hAnsi="Calibri Light" w:cs="Calibri Light"/>
          <w:szCs w:val="22"/>
        </w:rPr>
        <w:t xml:space="preserve"> </w:t>
      </w:r>
      <w:r w:rsidR="00260916">
        <w:rPr>
          <w:rFonts w:ascii="Calibri Light" w:hAnsi="Calibri Light" w:cs="Calibri Light"/>
          <w:szCs w:val="22"/>
        </w:rPr>
        <w:t xml:space="preserve">discussion paper on </w:t>
      </w:r>
      <w:r w:rsidR="00D252FC">
        <w:rPr>
          <w:rFonts w:ascii="Calibri Light" w:hAnsi="Calibri Light" w:cs="Calibri Light"/>
          <w:szCs w:val="22"/>
        </w:rPr>
        <w:t>govern</w:t>
      </w:r>
      <w:r w:rsidR="00AF03D0">
        <w:rPr>
          <w:rFonts w:ascii="Calibri Light" w:hAnsi="Calibri Light" w:cs="Calibri Light"/>
          <w:szCs w:val="22"/>
        </w:rPr>
        <w:t>ance</w:t>
      </w:r>
      <w:r w:rsidR="008E5827">
        <w:rPr>
          <w:rFonts w:ascii="Calibri Light" w:hAnsi="Calibri Light" w:cs="Calibri Light"/>
          <w:szCs w:val="22"/>
        </w:rPr>
        <w:t xml:space="preserve"> </w:t>
      </w:r>
      <w:r w:rsidRPr="00B9423A">
        <w:rPr>
          <w:rFonts w:ascii="Calibri Light" w:hAnsi="Calibri Light" w:cs="Calibri Light"/>
          <w:szCs w:val="22"/>
        </w:rPr>
        <w:t>requirements.</w:t>
      </w:r>
    </w:p>
    <w:p w14:paraId="0617A3E0" w14:textId="05243922" w:rsidR="00354E33" w:rsidRPr="00B9423A" w:rsidRDefault="00354E33" w:rsidP="00354E33">
      <w:pPr>
        <w:pStyle w:val="ListParagraph"/>
        <w:numPr>
          <w:ilvl w:val="0"/>
          <w:numId w:val="44"/>
        </w:numPr>
        <w:spacing w:before="60" w:after="60" w:line="276" w:lineRule="auto"/>
        <w:jc w:val="left"/>
        <w:rPr>
          <w:rFonts w:ascii="Calibri Light" w:hAnsi="Calibri Light" w:cs="Calibri Light"/>
          <w:szCs w:val="22"/>
        </w:rPr>
      </w:pPr>
      <w:r w:rsidRPr="00B9423A">
        <w:rPr>
          <w:rFonts w:ascii="Calibri Light" w:hAnsi="Calibri Light" w:cs="Calibri Light"/>
          <w:szCs w:val="22"/>
        </w:rPr>
        <w:t>Cyber resilience – APRA will continue to increase its focus on cyber resilience</w:t>
      </w:r>
      <w:r w:rsidR="00072843">
        <w:rPr>
          <w:rFonts w:ascii="Calibri Light" w:hAnsi="Calibri Light" w:cs="Calibri Light"/>
          <w:szCs w:val="22"/>
        </w:rPr>
        <w:t>,</w:t>
      </w:r>
      <w:r w:rsidRPr="00B9423A">
        <w:rPr>
          <w:rFonts w:ascii="Calibri Light" w:hAnsi="Calibri Light" w:cs="Calibri Light"/>
          <w:szCs w:val="22"/>
        </w:rPr>
        <w:t xml:space="preserve"> including working with peer </w:t>
      </w:r>
      <w:r w:rsidR="000330C7">
        <w:rPr>
          <w:rFonts w:ascii="Calibri Light" w:hAnsi="Calibri Light" w:cs="Calibri Light"/>
          <w:szCs w:val="22"/>
        </w:rPr>
        <w:t>g</w:t>
      </w:r>
      <w:r w:rsidRPr="00B9423A">
        <w:rPr>
          <w:rFonts w:ascii="Calibri Light" w:hAnsi="Calibri Light" w:cs="Calibri Light"/>
          <w:szCs w:val="22"/>
        </w:rPr>
        <w:t>overnment agencies to improve regulated entities cyber resilience and preparedness, using data collected by entities as part of CPS 230 to further assess risks in the service provider ecosystem for regulated entities, and monitoring the use and risk management of generative AI in regulated entities.</w:t>
      </w:r>
    </w:p>
    <w:p w14:paraId="53F66F90" w14:textId="64030E69" w:rsidR="00354E33" w:rsidRPr="00B9423A" w:rsidRDefault="00354E33" w:rsidP="00354E33">
      <w:pPr>
        <w:pStyle w:val="ListParagraph"/>
        <w:numPr>
          <w:ilvl w:val="0"/>
          <w:numId w:val="44"/>
        </w:numPr>
        <w:spacing w:before="60" w:after="60" w:line="276" w:lineRule="auto"/>
        <w:jc w:val="left"/>
        <w:rPr>
          <w:rFonts w:ascii="Calibri Light" w:hAnsi="Calibri Light" w:cs="Calibri Light"/>
          <w:szCs w:val="22"/>
        </w:rPr>
      </w:pPr>
      <w:r w:rsidRPr="00B9423A">
        <w:rPr>
          <w:rFonts w:ascii="Calibri Light" w:hAnsi="Calibri Light" w:cs="Calibri Light"/>
          <w:szCs w:val="22"/>
        </w:rPr>
        <w:t>Crisis preparedness – APRA will continue to review and assess recovery and exit plans required under CPS 190 and progress engagement with significant financial institutions on resolution planning under CPS 900 to make them more resolvable.</w:t>
      </w:r>
    </w:p>
    <w:p w14:paraId="672230D9" w14:textId="58A56B3D" w:rsidR="00762E42" w:rsidRPr="005378B1" w:rsidRDefault="003C6509" w:rsidP="005378B1">
      <w:pPr>
        <w:pStyle w:val="Heading2"/>
        <w:rPr>
          <w:color w:val="auto"/>
        </w:rPr>
      </w:pPr>
      <w:bookmarkStart w:id="128" w:name="_Toc192616754"/>
      <w:bookmarkEnd w:id="127"/>
      <w:r w:rsidRPr="005378B1">
        <w:rPr>
          <w:color w:val="auto"/>
        </w:rPr>
        <w:t>Authorised deposit-taking institutions</w:t>
      </w:r>
      <w:bookmarkEnd w:id="121"/>
      <w:bookmarkEnd w:id="122"/>
      <w:bookmarkEnd w:id="123"/>
      <w:bookmarkEnd w:id="124"/>
      <w:bookmarkEnd w:id="125"/>
      <w:bookmarkEnd w:id="128"/>
    </w:p>
    <w:bookmarkEnd w:id="126"/>
    <w:p w14:paraId="25B8DEA2" w14:textId="3B9A191D" w:rsidR="00762E42" w:rsidRPr="005378B1" w:rsidRDefault="003C6509" w:rsidP="005378B1">
      <w:r w:rsidRPr="005378B1">
        <w:t>The ADI industry comprises large and small banks as well as building societies, credit unions, restricted ADIs and Purchased Payment Facilities (PPF). Total levies funding by ADIs of $</w:t>
      </w:r>
      <w:r w:rsidR="0039556F">
        <w:t>110.</w:t>
      </w:r>
      <w:r w:rsidR="000A7EC6">
        <w:t>8</w:t>
      </w:r>
      <w:r w:rsidR="00BE004F" w:rsidRPr="005378B1">
        <w:t xml:space="preserve"> </w:t>
      </w:r>
      <w:r w:rsidRPr="005378B1">
        <w:t xml:space="preserve">million </w:t>
      </w:r>
      <w:r w:rsidR="00754E49" w:rsidRPr="005378B1">
        <w:t>is to recover the costs</w:t>
      </w:r>
      <w:r w:rsidRPr="005378B1">
        <w:t xml:space="preserve"> of APRA’s supervision of the ADI industry </w:t>
      </w:r>
      <w:r w:rsidR="003A48B4" w:rsidRPr="005378B1">
        <w:t>(Table 7)</w:t>
      </w:r>
      <w:r w:rsidR="0001238C" w:rsidRPr="005378B1">
        <w:t>.</w:t>
      </w:r>
      <w:r w:rsidR="00E16386" w:rsidRPr="00E16386">
        <w:t xml:space="preserve"> </w:t>
      </w:r>
      <w:r w:rsidR="00E16386" w:rsidRPr="005378B1">
        <w:t>The total compares to $</w:t>
      </w:r>
      <w:r w:rsidR="00E16386">
        <w:t>106.5</w:t>
      </w:r>
      <w:r w:rsidR="00E16386" w:rsidRPr="005378B1">
        <w:t xml:space="preserve"> million in 2024–25.</w:t>
      </w:r>
    </w:p>
    <w:p w14:paraId="4041B29C" w14:textId="393C0811" w:rsidR="00762E42" w:rsidRPr="005378B1" w:rsidRDefault="00762E42" w:rsidP="005378B1">
      <w:r w:rsidRPr="005378B1">
        <w:lastRenderedPageBreak/>
        <w:t xml:space="preserve">Levies funding from ADIs in </w:t>
      </w:r>
      <w:r w:rsidR="00E20842" w:rsidRPr="005378B1">
        <w:t>202</w:t>
      </w:r>
      <w:r w:rsidR="00F05440" w:rsidRPr="005378B1">
        <w:t>5</w:t>
      </w:r>
      <w:r w:rsidR="005C04E4" w:rsidRPr="005378B1">
        <w:t>–</w:t>
      </w:r>
      <w:r w:rsidR="00BD59A0" w:rsidRPr="005378B1">
        <w:t>2</w:t>
      </w:r>
      <w:r w:rsidR="00F05440" w:rsidRPr="005378B1">
        <w:t>6</w:t>
      </w:r>
      <w:r w:rsidR="00BD59A0" w:rsidRPr="005378B1">
        <w:t xml:space="preserve"> </w:t>
      </w:r>
      <w:r w:rsidR="003C6509" w:rsidRPr="005378B1">
        <w:t xml:space="preserve">represents </w:t>
      </w:r>
      <w:r w:rsidR="00795C92">
        <w:t>39.2</w:t>
      </w:r>
      <w:r w:rsidR="00683AE2" w:rsidRPr="005378B1">
        <w:t> </w:t>
      </w:r>
      <w:r w:rsidR="003C6509" w:rsidRPr="005378B1">
        <w:t>per cent of the total levies, a</w:t>
      </w:r>
      <w:r w:rsidR="009660A4">
        <w:t>n</w:t>
      </w:r>
      <w:r w:rsidR="003C6509" w:rsidRPr="005378B1">
        <w:t xml:space="preserve"> </w:t>
      </w:r>
      <w:r w:rsidR="00754E49" w:rsidRPr="005378B1">
        <w:t>increase</w:t>
      </w:r>
      <w:r w:rsidR="003C6509" w:rsidRPr="005378B1">
        <w:t xml:space="preserve"> from </w:t>
      </w:r>
      <w:r w:rsidR="0039556F">
        <w:t>36.2</w:t>
      </w:r>
      <w:r w:rsidR="003C6509" w:rsidRPr="005378B1">
        <w:t xml:space="preserve"> per cent in </w:t>
      </w:r>
      <w:r w:rsidR="00E20842" w:rsidRPr="005378B1">
        <w:t>202</w:t>
      </w:r>
      <w:r w:rsidR="00F05440" w:rsidRPr="005378B1">
        <w:t>4</w:t>
      </w:r>
      <w:r w:rsidR="005C04E4" w:rsidRPr="005378B1">
        <w:t>–</w:t>
      </w:r>
      <w:r w:rsidR="00E20842" w:rsidRPr="005378B1">
        <w:t>2</w:t>
      </w:r>
      <w:r w:rsidR="00F05440" w:rsidRPr="005378B1">
        <w:t>5</w:t>
      </w:r>
      <w:r w:rsidRPr="005378B1">
        <w:t>.</w:t>
      </w:r>
      <w:r w:rsidR="003C6509" w:rsidRPr="005378B1">
        <w:t xml:space="preserve"> </w:t>
      </w:r>
      <w:r w:rsidR="005A2E5D">
        <w:t>The levies funding increase in 2025</w:t>
      </w:r>
      <w:r w:rsidR="005C04E4" w:rsidRPr="005378B1">
        <w:t>–</w:t>
      </w:r>
      <w:r w:rsidR="005A2E5D">
        <w:t xml:space="preserve">26 is primarily driven by the increase in supervisory activities in the sector. </w:t>
      </w:r>
      <w:r w:rsidR="003B6385">
        <w:t xml:space="preserve">The levy minimum has been </w:t>
      </w:r>
      <w:r w:rsidR="00B23EC2" w:rsidRPr="005378B1">
        <w:t>unchanged</w:t>
      </w:r>
      <w:r w:rsidR="00802E9A" w:rsidRPr="005378B1">
        <w:t>,</w:t>
      </w:r>
      <w:r w:rsidRPr="005378B1">
        <w:t xml:space="preserve"> </w:t>
      </w:r>
      <w:r w:rsidR="00B23EC2" w:rsidRPr="005378B1">
        <w:t>at</w:t>
      </w:r>
      <w:r w:rsidRPr="005378B1">
        <w:t xml:space="preserve"> $</w:t>
      </w:r>
      <w:r w:rsidR="00B873FC" w:rsidRPr="005378B1">
        <w:t>2</w:t>
      </w:r>
      <w:r w:rsidR="00754E49" w:rsidRPr="005378B1">
        <w:t>2</w:t>
      </w:r>
      <w:r w:rsidR="00FD461D" w:rsidRPr="005378B1">
        <w:t>,500</w:t>
      </w:r>
      <w:r w:rsidR="003B6385">
        <w:t>.</w:t>
      </w:r>
      <w:r w:rsidR="00064844">
        <w:t xml:space="preserve"> </w:t>
      </w:r>
      <w:r w:rsidR="00064844" w:rsidRPr="005378B1">
        <w:t xml:space="preserve">The levy </w:t>
      </w:r>
      <w:r w:rsidR="00064844">
        <w:t>maximum has increased to $8</w:t>
      </w:r>
      <w:r w:rsidR="0039556F">
        <w:t>,5</w:t>
      </w:r>
      <w:r w:rsidR="00FD461D" w:rsidRPr="005378B1">
        <w:t xml:space="preserve">00,000 </w:t>
      </w:r>
      <w:r w:rsidR="00064844">
        <w:t xml:space="preserve">for </w:t>
      </w:r>
      <w:r w:rsidR="00064844" w:rsidRPr="005378B1">
        <w:t>2025</w:t>
      </w:r>
      <w:r w:rsidR="001E3883">
        <w:noBreakHyphen/>
      </w:r>
      <w:r w:rsidR="00064844" w:rsidRPr="005378B1">
        <w:t>26</w:t>
      </w:r>
      <w:r w:rsidR="00064844">
        <w:t>.</w:t>
      </w:r>
      <w:r w:rsidR="00064844" w:rsidRPr="005378B1">
        <w:t xml:space="preserve"> </w:t>
      </w:r>
    </w:p>
    <w:p w14:paraId="67BC2A9A" w14:textId="77777777" w:rsidR="00354E33" w:rsidRPr="00B9423A" w:rsidRDefault="00354E33" w:rsidP="00354E33">
      <w:pPr>
        <w:rPr>
          <w:rFonts w:cs="Calibri Light"/>
          <w:szCs w:val="22"/>
        </w:rPr>
      </w:pPr>
      <w:r w:rsidRPr="00B9423A">
        <w:rPr>
          <w:rFonts w:cs="Calibri Light"/>
          <w:szCs w:val="22"/>
        </w:rPr>
        <w:t>APRA’s key banking activities will include:</w:t>
      </w:r>
    </w:p>
    <w:p w14:paraId="1029D305" w14:textId="6805066C" w:rsidR="00212474" w:rsidRPr="00D65DC8" w:rsidRDefault="00212474" w:rsidP="00212474">
      <w:pPr>
        <w:pStyle w:val="ListParagraph"/>
        <w:numPr>
          <w:ilvl w:val="0"/>
          <w:numId w:val="44"/>
        </w:numPr>
        <w:spacing w:before="60" w:after="120" w:line="276" w:lineRule="auto"/>
        <w:jc w:val="left"/>
        <w:rPr>
          <w:rFonts w:ascii="Calibri Light" w:hAnsi="Calibri Light" w:cs="Calibri Light"/>
        </w:rPr>
      </w:pPr>
      <w:r w:rsidRPr="00D65DC8">
        <w:rPr>
          <w:rFonts w:ascii="Calibri Light" w:hAnsi="Calibri Light" w:cs="Calibri Light"/>
        </w:rPr>
        <w:t xml:space="preserve">Additional Tier 1 (AT1) capital </w:t>
      </w:r>
      <w:r w:rsidR="008E5827" w:rsidRPr="00B9423A">
        <w:rPr>
          <w:rFonts w:ascii="Calibri Light" w:hAnsi="Calibri Light" w:cs="Calibri Light"/>
          <w:szCs w:val="22"/>
        </w:rPr>
        <w:t>–</w:t>
      </w:r>
      <w:r w:rsidRPr="00D65DC8">
        <w:rPr>
          <w:rFonts w:ascii="Calibri Light" w:hAnsi="Calibri Light" w:cs="Calibri Light"/>
        </w:rPr>
        <w:t xml:space="preserve"> </w:t>
      </w:r>
      <w:r w:rsidRPr="00072045">
        <w:rPr>
          <w:rFonts w:ascii="Calibri Light" w:hAnsi="Calibri Light" w:cs="Calibri Light"/>
        </w:rPr>
        <w:t xml:space="preserve">APRA will </w:t>
      </w:r>
      <w:r w:rsidR="0045202B" w:rsidRPr="00336F58">
        <w:rPr>
          <w:rFonts w:ascii="Calibri Light" w:hAnsi="Calibri Light" w:cs="Calibri Light"/>
        </w:rPr>
        <w:t xml:space="preserve">progress </w:t>
      </w:r>
      <w:r w:rsidR="00C451BF" w:rsidRPr="00336F58">
        <w:rPr>
          <w:rFonts w:ascii="Calibri Light" w:hAnsi="Calibri Light" w:cs="Calibri Light"/>
        </w:rPr>
        <w:t>with phasing out</w:t>
      </w:r>
      <w:r w:rsidR="0045202B" w:rsidRPr="00336F58">
        <w:rPr>
          <w:rFonts w:ascii="Calibri Light" w:hAnsi="Calibri Light" w:cs="Calibri Light"/>
        </w:rPr>
        <w:t xml:space="preserve"> </w:t>
      </w:r>
      <w:r w:rsidRPr="00072045">
        <w:rPr>
          <w:rFonts w:ascii="Calibri Light" w:hAnsi="Calibri Light" w:cs="Calibri Light"/>
        </w:rPr>
        <w:t xml:space="preserve">AT1 </w:t>
      </w:r>
      <w:r w:rsidR="00C451BF" w:rsidRPr="00336F58">
        <w:rPr>
          <w:rFonts w:ascii="Calibri Light" w:hAnsi="Calibri Light" w:cs="Calibri Light"/>
        </w:rPr>
        <w:t xml:space="preserve">as eligible </w:t>
      </w:r>
      <w:r w:rsidRPr="00072045">
        <w:rPr>
          <w:rFonts w:ascii="Calibri Light" w:hAnsi="Calibri Light" w:cs="Calibri Light"/>
        </w:rPr>
        <w:t>capital</w:t>
      </w:r>
      <w:r w:rsidRPr="00D65DC8">
        <w:rPr>
          <w:rFonts w:ascii="Calibri Light" w:hAnsi="Calibri Light" w:cs="Calibri Light"/>
        </w:rPr>
        <w:t xml:space="preserve"> instruments in the capital framework.</w:t>
      </w:r>
    </w:p>
    <w:p w14:paraId="779EA7BE" w14:textId="031D86D3" w:rsidR="00AB1DBD" w:rsidRPr="00336F58" w:rsidRDefault="00B02106" w:rsidP="00336F58">
      <w:pPr>
        <w:pStyle w:val="ListParagraph"/>
        <w:numPr>
          <w:ilvl w:val="0"/>
          <w:numId w:val="44"/>
        </w:numPr>
        <w:spacing w:before="60" w:after="120" w:line="276" w:lineRule="auto"/>
        <w:jc w:val="left"/>
        <w:rPr>
          <w:rFonts w:ascii="Calibri Light" w:hAnsi="Calibri Light" w:cs="Calibri Light"/>
        </w:rPr>
      </w:pPr>
      <w:r w:rsidRPr="00336F58">
        <w:rPr>
          <w:rFonts w:ascii="Calibri Light" w:hAnsi="Calibri Light" w:cs="Calibri Light"/>
        </w:rPr>
        <w:t xml:space="preserve">Regulatory balance </w:t>
      </w:r>
      <w:r w:rsidR="00FD163F" w:rsidRPr="00336F58">
        <w:rPr>
          <w:rFonts w:ascii="Calibri Light" w:hAnsi="Calibri Light" w:cs="Calibri Light"/>
        </w:rPr>
        <w:t xml:space="preserve">and transparency </w:t>
      </w:r>
      <w:r w:rsidR="000B6672" w:rsidRPr="00336F58">
        <w:rPr>
          <w:rFonts w:ascii="Calibri Light" w:hAnsi="Calibri Light" w:cs="Calibri Light"/>
        </w:rPr>
        <w:t>–</w:t>
      </w:r>
      <w:r w:rsidRPr="00336F58">
        <w:rPr>
          <w:rFonts w:ascii="Calibri Light" w:hAnsi="Calibri Light" w:cs="Calibri Light"/>
        </w:rPr>
        <w:t xml:space="preserve"> </w:t>
      </w:r>
      <w:r w:rsidR="00AB1DBD" w:rsidRPr="00336F58">
        <w:rPr>
          <w:rFonts w:ascii="Calibri Light" w:hAnsi="Calibri Light" w:cs="Calibri Light"/>
        </w:rPr>
        <w:t>APRA will continue</w:t>
      </w:r>
      <w:r w:rsidR="00871A06" w:rsidRPr="00336F58">
        <w:rPr>
          <w:rFonts w:ascii="Calibri Light" w:hAnsi="Calibri Light" w:cs="Calibri Light"/>
        </w:rPr>
        <w:t xml:space="preserve"> </w:t>
      </w:r>
      <w:r w:rsidR="00871A06" w:rsidRPr="00FD163F">
        <w:rPr>
          <w:rFonts w:ascii="Calibri Light" w:hAnsi="Calibri Light" w:cs="Calibri Light"/>
        </w:rPr>
        <w:t>looking to balance regulation benefits and costs, as well as transparency</w:t>
      </w:r>
      <w:r w:rsidR="00FD163F" w:rsidRPr="00336F58">
        <w:rPr>
          <w:rFonts w:ascii="Calibri Light" w:hAnsi="Calibri Light" w:cs="Calibri Light"/>
        </w:rPr>
        <w:t xml:space="preserve">.  This includes considering submissions to </w:t>
      </w:r>
      <w:r w:rsidR="00AB1DBD" w:rsidRPr="00336F58">
        <w:rPr>
          <w:rFonts w:ascii="Calibri Light" w:hAnsi="Calibri Light" w:cs="Calibri Light"/>
        </w:rPr>
        <w:t xml:space="preserve">the </w:t>
      </w:r>
      <w:r w:rsidR="007D4337" w:rsidRPr="00336F58">
        <w:rPr>
          <w:rFonts w:ascii="Calibri Light" w:hAnsi="Calibri Light" w:cs="Calibri Light"/>
        </w:rPr>
        <w:t>CFR’s small and medium banks review</w:t>
      </w:r>
      <w:r w:rsidR="00FD163F" w:rsidRPr="00336F58">
        <w:rPr>
          <w:rFonts w:ascii="Calibri Light" w:hAnsi="Calibri Light" w:cs="Calibri Light"/>
        </w:rPr>
        <w:t xml:space="preserve"> with the final report due to Government by 1 July 2025, continuing to conduct regular reviews of ad hoc data collections,</w:t>
      </w:r>
      <w:r w:rsidR="00D50265" w:rsidRPr="00336F58">
        <w:rPr>
          <w:rFonts w:ascii="Calibri Light" w:hAnsi="Calibri Light" w:cs="Calibri Light"/>
        </w:rPr>
        <w:t xml:space="preserve"> </w:t>
      </w:r>
      <w:r w:rsidR="41AB42E5" w:rsidRPr="490044A9">
        <w:rPr>
          <w:rFonts w:ascii="Calibri Light" w:hAnsi="Calibri Light" w:cs="Calibri Light"/>
        </w:rPr>
        <w:t xml:space="preserve">and </w:t>
      </w:r>
      <w:r w:rsidR="00D50265" w:rsidRPr="00336F58">
        <w:rPr>
          <w:rFonts w:ascii="Calibri Light" w:hAnsi="Calibri Light" w:cs="Calibri Light"/>
        </w:rPr>
        <w:t>reviewing the thresholds we use to distinguish between significant financial institutions and non-significant financial institutions</w:t>
      </w:r>
      <w:r w:rsidR="00FD163F">
        <w:rPr>
          <w:rFonts w:ascii="Calibri Light" w:hAnsi="Calibri Light" w:cs="Calibri Light"/>
        </w:rPr>
        <w:t>.</w:t>
      </w:r>
    </w:p>
    <w:p w14:paraId="495F69CA" w14:textId="3716415F" w:rsidR="005479EA" w:rsidRPr="005378B1" w:rsidRDefault="005479EA" w:rsidP="005378B1">
      <w:pPr>
        <w:pStyle w:val="Heading2"/>
        <w:keepLines/>
        <w:spacing w:after="0" w:line="240" w:lineRule="auto"/>
        <w:rPr>
          <w:rFonts w:asciiTheme="minorHAnsi" w:hAnsiTheme="minorHAnsi" w:cstheme="minorBidi"/>
          <w:color w:val="auto"/>
        </w:rPr>
      </w:pPr>
      <w:bookmarkStart w:id="129" w:name="_Toc192616755"/>
      <w:bookmarkStart w:id="130" w:name="_Toc1577995"/>
      <w:bookmarkStart w:id="131" w:name="_Toc1578914"/>
      <w:bookmarkStart w:id="132" w:name="_Toc4662149"/>
      <w:bookmarkStart w:id="133" w:name="_Toc98841585"/>
      <w:r w:rsidRPr="005378B1">
        <w:rPr>
          <w:rFonts w:asciiTheme="minorHAnsi" w:hAnsiTheme="minorHAnsi" w:cstheme="minorBidi"/>
          <w:color w:val="auto"/>
        </w:rPr>
        <w:t>General insurance</w:t>
      </w:r>
      <w:bookmarkEnd w:id="129"/>
    </w:p>
    <w:p w14:paraId="6C6A554E" w14:textId="4DB1CC53" w:rsidR="005479EA" w:rsidRPr="005378B1" w:rsidRDefault="005479EA" w:rsidP="005378B1">
      <w:pPr>
        <w:keepNext/>
        <w:keepLines/>
      </w:pPr>
      <w:r w:rsidRPr="005378B1">
        <w:t>Total levies funding of $</w:t>
      </w:r>
      <w:r w:rsidR="009E4F33">
        <w:t>28.</w:t>
      </w:r>
      <w:r w:rsidR="000F2EA6">
        <w:t>6</w:t>
      </w:r>
      <w:r w:rsidRPr="005378B1">
        <w:t xml:space="preserve"> million is to be recovered for APRA’s supervision of the general insurance industry (Table 7).</w:t>
      </w:r>
      <w:r w:rsidR="00B978C8" w:rsidRPr="00B978C8">
        <w:t xml:space="preserve"> </w:t>
      </w:r>
      <w:r w:rsidR="00B978C8" w:rsidRPr="005378B1">
        <w:t>The total compares to $</w:t>
      </w:r>
      <w:r w:rsidR="00B978C8">
        <w:t>32.7</w:t>
      </w:r>
      <w:r w:rsidR="00B978C8" w:rsidRPr="005378B1">
        <w:t> million in 2024–25.</w:t>
      </w:r>
    </w:p>
    <w:p w14:paraId="465772E4" w14:textId="66E60736" w:rsidR="005479EA" w:rsidRPr="005378B1" w:rsidRDefault="005479EA" w:rsidP="005378B1">
      <w:pPr>
        <w:keepNext/>
        <w:keepLines/>
      </w:pPr>
      <w:r w:rsidRPr="005378B1">
        <w:t>Levies funding from general insurers in 202</w:t>
      </w:r>
      <w:r w:rsidR="00AD5963" w:rsidRPr="005378B1">
        <w:t>5</w:t>
      </w:r>
      <w:r w:rsidR="005C04E4" w:rsidRPr="005378B1">
        <w:t>–</w:t>
      </w:r>
      <w:r w:rsidRPr="005378B1">
        <w:t>2</w:t>
      </w:r>
      <w:r w:rsidR="00AD5963" w:rsidRPr="005378B1">
        <w:t>6</w:t>
      </w:r>
      <w:r w:rsidRPr="005378B1">
        <w:t xml:space="preserve"> represents </w:t>
      </w:r>
      <w:r w:rsidR="00FE4780">
        <w:t>10.1</w:t>
      </w:r>
      <w:r w:rsidR="00EF16E2" w:rsidRPr="005378B1">
        <w:t> </w:t>
      </w:r>
      <w:r w:rsidRPr="005378B1">
        <w:t>per cent of the total levies, compared to 11.</w:t>
      </w:r>
      <w:r w:rsidR="00E2577F" w:rsidRPr="005378B1">
        <w:t>1</w:t>
      </w:r>
      <w:r w:rsidRPr="005378B1">
        <w:t xml:space="preserve"> per cent in 202</w:t>
      </w:r>
      <w:r w:rsidR="00AD5963" w:rsidRPr="005378B1">
        <w:t>4</w:t>
      </w:r>
      <w:r w:rsidR="005C04E4" w:rsidRPr="005378B1">
        <w:t>–</w:t>
      </w:r>
      <w:r w:rsidRPr="005378B1">
        <w:t>2</w:t>
      </w:r>
      <w:r w:rsidR="00AD5963" w:rsidRPr="005378B1">
        <w:t>5</w:t>
      </w:r>
      <w:r w:rsidRPr="005378B1">
        <w:t>. The levy minimum and maximum for 202</w:t>
      </w:r>
      <w:r w:rsidR="00AD5963" w:rsidRPr="005378B1">
        <w:t>5</w:t>
      </w:r>
      <w:r w:rsidR="005C04E4" w:rsidRPr="005378B1">
        <w:t>–</w:t>
      </w:r>
      <w:r w:rsidRPr="005378B1">
        <w:t>2</w:t>
      </w:r>
      <w:r w:rsidR="00AD5963" w:rsidRPr="005378B1">
        <w:t>6</w:t>
      </w:r>
      <w:r w:rsidRPr="005378B1">
        <w:t xml:space="preserve"> remain unchanged, at $22,500 and $1,</w:t>
      </w:r>
      <w:r w:rsidR="009E4F33">
        <w:t>60</w:t>
      </w:r>
      <w:r w:rsidR="009E4F33" w:rsidRPr="005378B1">
        <w:t>0</w:t>
      </w:r>
      <w:r w:rsidRPr="005378B1">
        <w:t>,000 respectively.</w:t>
      </w:r>
    </w:p>
    <w:p w14:paraId="4829D3D0" w14:textId="77777777" w:rsidR="00354E33" w:rsidRPr="00B9423A" w:rsidRDefault="00354E33" w:rsidP="00354E33">
      <w:pPr>
        <w:keepNext/>
        <w:keepLines/>
        <w:rPr>
          <w:rFonts w:cs="Calibri Light"/>
          <w:szCs w:val="22"/>
        </w:rPr>
      </w:pPr>
      <w:r w:rsidRPr="00B9423A">
        <w:rPr>
          <w:rFonts w:cs="Calibri Light"/>
          <w:szCs w:val="22"/>
        </w:rPr>
        <w:t>APRA’s key general insurance activities will include:</w:t>
      </w:r>
    </w:p>
    <w:p w14:paraId="2F912D2D" w14:textId="21AF7FFB" w:rsidR="00354E33" w:rsidRPr="00B2590B" w:rsidRDefault="00354E33" w:rsidP="00354E33">
      <w:pPr>
        <w:pStyle w:val="ListParagraph"/>
        <w:numPr>
          <w:ilvl w:val="0"/>
          <w:numId w:val="44"/>
        </w:numPr>
        <w:spacing w:before="60" w:after="120" w:line="276" w:lineRule="auto"/>
        <w:jc w:val="left"/>
        <w:rPr>
          <w:rFonts w:ascii="Calibri Light" w:hAnsi="Calibri Light" w:cs="Calibri Light"/>
        </w:rPr>
      </w:pPr>
      <w:r w:rsidRPr="00B2590B">
        <w:rPr>
          <w:rFonts w:ascii="Calibri Light" w:hAnsi="Calibri Light" w:cs="Calibri Light"/>
        </w:rPr>
        <w:t>Household insu</w:t>
      </w:r>
      <w:r w:rsidRPr="0021265B">
        <w:rPr>
          <w:rFonts w:ascii="Calibri Light" w:hAnsi="Calibri Light" w:cs="Calibri Light"/>
        </w:rPr>
        <w:t>rance protection gap</w:t>
      </w:r>
      <w:r w:rsidRPr="00D65DC8">
        <w:rPr>
          <w:rFonts w:ascii="Calibri Light" w:hAnsi="Calibri Light" w:cs="Calibri Light"/>
          <w:i/>
        </w:rPr>
        <w:t xml:space="preserve"> – </w:t>
      </w:r>
      <w:r w:rsidRPr="00B2590B">
        <w:rPr>
          <w:rFonts w:ascii="Calibri Light" w:hAnsi="Calibri Light" w:cs="Calibri Light"/>
        </w:rPr>
        <w:t xml:space="preserve">APRA will continue </w:t>
      </w:r>
      <w:r w:rsidR="00D44A6F" w:rsidRPr="00D65DC8">
        <w:rPr>
          <w:rFonts w:ascii="Calibri Light" w:hAnsi="Calibri Light" w:cs="Calibri Light"/>
        </w:rPr>
        <w:t>to partner with</w:t>
      </w:r>
      <w:r w:rsidRPr="00B2590B">
        <w:rPr>
          <w:rFonts w:ascii="Calibri Light" w:hAnsi="Calibri Light" w:cs="Calibri Light"/>
        </w:rPr>
        <w:t xml:space="preserve"> insurers, </w:t>
      </w:r>
      <w:r w:rsidR="00D44A6F" w:rsidRPr="00D65DC8">
        <w:rPr>
          <w:rFonts w:ascii="Calibri Light" w:hAnsi="Calibri Light" w:cs="Calibri Light"/>
        </w:rPr>
        <w:t>government</w:t>
      </w:r>
      <w:r w:rsidRPr="00B2590B">
        <w:rPr>
          <w:rFonts w:ascii="Calibri Light" w:hAnsi="Calibri Light" w:cs="Calibri Light"/>
        </w:rPr>
        <w:t>, communities, peer regulators</w:t>
      </w:r>
      <w:r w:rsidR="00D44A6F" w:rsidRPr="00D65DC8">
        <w:rPr>
          <w:rFonts w:ascii="Calibri Light" w:hAnsi="Calibri Light" w:cs="Calibri Light"/>
        </w:rPr>
        <w:t xml:space="preserve"> and other stakeholders to identify actions to address the household insurance protection gap.</w:t>
      </w:r>
      <w:r w:rsidRPr="00B2590B">
        <w:rPr>
          <w:rFonts w:ascii="Calibri Light" w:hAnsi="Calibri Light" w:cs="Calibri Light"/>
        </w:rPr>
        <w:t> APRA will encourage insurers to seek an appropriate balance between maintaining financial health and offering affordable and well</w:t>
      </w:r>
      <w:r w:rsidR="00584423">
        <w:rPr>
          <w:rFonts w:ascii="Calibri Light" w:hAnsi="Calibri Light" w:cs="Calibri Light"/>
        </w:rPr>
        <w:noBreakHyphen/>
      </w:r>
      <w:r w:rsidRPr="00B2590B">
        <w:rPr>
          <w:rFonts w:ascii="Calibri Light" w:hAnsi="Calibri Light" w:cs="Calibri Light"/>
        </w:rPr>
        <w:t xml:space="preserve">designed insurance products that sustainably meet community needs. </w:t>
      </w:r>
    </w:p>
    <w:p w14:paraId="6F7EE053" w14:textId="77777777" w:rsidR="00354E33" w:rsidRPr="00B2590B" w:rsidRDefault="00354E33" w:rsidP="00354E33">
      <w:pPr>
        <w:pStyle w:val="ListParagraph"/>
        <w:numPr>
          <w:ilvl w:val="0"/>
          <w:numId w:val="44"/>
        </w:numPr>
        <w:spacing w:before="60" w:after="120" w:line="276" w:lineRule="auto"/>
        <w:jc w:val="left"/>
        <w:rPr>
          <w:rFonts w:ascii="Calibri Light" w:hAnsi="Calibri Light" w:cs="Calibri Light"/>
        </w:rPr>
      </w:pPr>
      <w:r w:rsidRPr="00B2590B">
        <w:rPr>
          <w:rFonts w:ascii="Calibri Light" w:hAnsi="Calibri Light" w:cs="Calibri Light"/>
        </w:rPr>
        <w:t>CVA – APRA will continue its Climate Vulnerability Assessment work, which will support a better understanding of the impact of climate change on household insurance affordability out to 2050.</w:t>
      </w:r>
    </w:p>
    <w:p w14:paraId="06077026" w14:textId="658A89D0" w:rsidR="00354E33" w:rsidRPr="00B2590B" w:rsidRDefault="00354E33" w:rsidP="00354E33">
      <w:pPr>
        <w:pStyle w:val="ListParagraph"/>
        <w:numPr>
          <w:ilvl w:val="0"/>
          <w:numId w:val="44"/>
        </w:numPr>
        <w:spacing w:before="60" w:after="120" w:line="276" w:lineRule="auto"/>
        <w:jc w:val="left"/>
        <w:rPr>
          <w:rFonts w:ascii="Calibri Light" w:hAnsi="Calibri Light" w:cs="Calibri Light"/>
        </w:rPr>
      </w:pPr>
      <w:r w:rsidRPr="00B2590B">
        <w:rPr>
          <w:rFonts w:ascii="Calibri Light" w:hAnsi="Calibri Light" w:cs="Calibri Light"/>
        </w:rPr>
        <w:t xml:space="preserve">Risk management </w:t>
      </w:r>
      <w:r w:rsidR="005C04E4" w:rsidRPr="005378B1">
        <w:t>–</w:t>
      </w:r>
      <w:r w:rsidRPr="00B2590B">
        <w:rPr>
          <w:rFonts w:ascii="Calibri Light" w:hAnsi="Calibri Light" w:cs="Calibri Light"/>
        </w:rPr>
        <w:t xml:space="preserve"> APRA will continue its focus on strengthening insurance risk management capabilities across the industry especially for insurers with outsourced underwriting functions. </w:t>
      </w:r>
    </w:p>
    <w:p w14:paraId="6666064B" w14:textId="1A1DE559" w:rsidR="00354E33" w:rsidRPr="00B2590B" w:rsidRDefault="00354E33" w:rsidP="00354E33">
      <w:pPr>
        <w:pStyle w:val="ListParagraph"/>
        <w:numPr>
          <w:ilvl w:val="0"/>
          <w:numId w:val="44"/>
        </w:numPr>
        <w:spacing w:before="60" w:after="120" w:line="276" w:lineRule="auto"/>
        <w:jc w:val="left"/>
        <w:rPr>
          <w:rFonts w:ascii="Calibri Light" w:hAnsi="Calibri Light" w:cs="Calibri Light"/>
        </w:rPr>
      </w:pPr>
      <w:r w:rsidRPr="00B2590B">
        <w:rPr>
          <w:rFonts w:ascii="Calibri Light" w:hAnsi="Calibri Light" w:cs="Calibri Light"/>
        </w:rPr>
        <w:t>Reinsurance – APRA will consult on proposed changes to the general insurance reinsurance framework to promote access to all forms of reinsurance solutions, reduce regulatory burden and improve transparency for industry.</w:t>
      </w:r>
    </w:p>
    <w:p w14:paraId="1A826027" w14:textId="3EACF17F" w:rsidR="00762E42" w:rsidRPr="005378B1" w:rsidRDefault="003C6509" w:rsidP="005378B1">
      <w:pPr>
        <w:pStyle w:val="Heading2"/>
        <w:spacing w:line="240" w:lineRule="auto"/>
        <w:rPr>
          <w:color w:val="auto"/>
        </w:rPr>
      </w:pPr>
      <w:bookmarkStart w:id="134" w:name="_Toc192616756"/>
      <w:r w:rsidRPr="005378B1">
        <w:rPr>
          <w:color w:val="auto"/>
        </w:rPr>
        <w:t>Life insurance/Friendly societies</w:t>
      </w:r>
      <w:bookmarkEnd w:id="130"/>
      <w:bookmarkEnd w:id="131"/>
      <w:bookmarkEnd w:id="132"/>
      <w:bookmarkEnd w:id="133"/>
      <w:bookmarkEnd w:id="134"/>
    </w:p>
    <w:p w14:paraId="16AF6EB8" w14:textId="58393560" w:rsidR="00762E42" w:rsidRPr="005378B1" w:rsidRDefault="003C6509" w:rsidP="005378B1">
      <w:r w:rsidRPr="005378B1">
        <w:t xml:space="preserve">Total levies funding of </w:t>
      </w:r>
      <w:r w:rsidR="00DB5E9E" w:rsidRPr="005378B1">
        <w:t>$</w:t>
      </w:r>
      <w:r w:rsidR="000F2EA6">
        <w:t>19</w:t>
      </w:r>
      <w:r w:rsidR="00646F5F">
        <w:t>.5</w:t>
      </w:r>
      <w:r w:rsidR="00DB5E9E" w:rsidRPr="005378B1">
        <w:t xml:space="preserve"> </w:t>
      </w:r>
      <w:r w:rsidRPr="005378B1">
        <w:t>million is to recover the costs of APRA’s supervision of the life insurance industry (Table 7).</w:t>
      </w:r>
      <w:r w:rsidR="006A64FB" w:rsidRPr="006A64FB">
        <w:t xml:space="preserve"> </w:t>
      </w:r>
      <w:r w:rsidR="006A64FB" w:rsidRPr="005378B1">
        <w:t>The total compares to $2</w:t>
      </w:r>
      <w:r w:rsidR="006A64FB">
        <w:t>2</w:t>
      </w:r>
      <w:r w:rsidR="006A64FB" w:rsidRPr="005378B1">
        <w:t>.</w:t>
      </w:r>
      <w:r w:rsidR="006A64FB">
        <w:t>1</w:t>
      </w:r>
      <w:r w:rsidR="006A64FB" w:rsidRPr="005378B1">
        <w:t> million in 2024–25.</w:t>
      </w:r>
    </w:p>
    <w:p w14:paraId="6337454F" w14:textId="0F3247D7" w:rsidR="00762E42" w:rsidRPr="005378B1" w:rsidRDefault="003C6509" w:rsidP="005378B1">
      <w:r w:rsidRPr="005378B1">
        <w:lastRenderedPageBreak/>
        <w:t xml:space="preserve">Levies funding from life insurers/friendly societies in </w:t>
      </w:r>
      <w:r w:rsidR="00E20842" w:rsidRPr="005378B1">
        <w:t>202</w:t>
      </w:r>
      <w:r w:rsidR="00CB7EC3" w:rsidRPr="005378B1">
        <w:t>5</w:t>
      </w:r>
      <w:r w:rsidR="005C04E4" w:rsidRPr="005378B1">
        <w:t>–</w:t>
      </w:r>
      <w:r w:rsidR="00D14D34" w:rsidRPr="005378B1">
        <w:t>2</w:t>
      </w:r>
      <w:r w:rsidR="00CB7EC3" w:rsidRPr="005378B1">
        <w:t>6</w:t>
      </w:r>
      <w:r w:rsidR="00D14D34" w:rsidRPr="005378B1">
        <w:t xml:space="preserve"> </w:t>
      </w:r>
      <w:r w:rsidRPr="005378B1">
        <w:t xml:space="preserve">represents </w:t>
      </w:r>
      <w:r w:rsidR="000945AB">
        <w:t>6.9</w:t>
      </w:r>
      <w:r w:rsidR="00646F5F" w:rsidRPr="005378B1">
        <w:t xml:space="preserve"> </w:t>
      </w:r>
      <w:r w:rsidRPr="005378B1">
        <w:t xml:space="preserve">per cent of the total levies, </w:t>
      </w:r>
      <w:r w:rsidR="00820F57" w:rsidRPr="005378B1">
        <w:t xml:space="preserve">a slight </w:t>
      </w:r>
      <w:r w:rsidR="00646F5F">
        <w:t>reduction</w:t>
      </w:r>
      <w:r w:rsidR="00646F5F" w:rsidRPr="005378B1">
        <w:t xml:space="preserve"> </w:t>
      </w:r>
      <w:r w:rsidR="00820F57" w:rsidRPr="005378B1">
        <w:t>from 7.</w:t>
      </w:r>
      <w:r w:rsidR="00646F5F">
        <w:t>5</w:t>
      </w:r>
      <w:r w:rsidR="00646F5F" w:rsidRPr="005378B1">
        <w:t xml:space="preserve"> </w:t>
      </w:r>
      <w:r w:rsidR="00820F57" w:rsidRPr="005378B1">
        <w:t>per cent in 202</w:t>
      </w:r>
      <w:r w:rsidR="00CB7EC3" w:rsidRPr="005378B1">
        <w:t>4</w:t>
      </w:r>
      <w:r w:rsidR="00820F57" w:rsidRPr="005378B1">
        <w:t>-2</w:t>
      </w:r>
      <w:r w:rsidR="00CB7EC3" w:rsidRPr="005378B1">
        <w:t>5</w:t>
      </w:r>
      <w:r w:rsidR="00762E42" w:rsidRPr="005378B1">
        <w:t>.</w:t>
      </w:r>
      <w:r w:rsidRPr="005378B1">
        <w:t xml:space="preserve"> The levy minimum </w:t>
      </w:r>
      <w:r w:rsidR="00F56386" w:rsidRPr="005378B1">
        <w:t xml:space="preserve">and maximum </w:t>
      </w:r>
      <w:r w:rsidR="00411183" w:rsidRPr="005378B1">
        <w:t>for 202</w:t>
      </w:r>
      <w:r w:rsidR="00CB7EC3" w:rsidRPr="005378B1">
        <w:t>5</w:t>
      </w:r>
      <w:r w:rsidR="005C04E4" w:rsidRPr="005378B1">
        <w:t>–</w:t>
      </w:r>
      <w:r w:rsidR="00411183" w:rsidRPr="005378B1">
        <w:t>2</w:t>
      </w:r>
      <w:r w:rsidR="00CB7EC3" w:rsidRPr="005378B1">
        <w:t>6</w:t>
      </w:r>
      <w:r w:rsidR="00411183" w:rsidRPr="005378B1">
        <w:t xml:space="preserve"> </w:t>
      </w:r>
      <w:r w:rsidR="00EB4ACE" w:rsidRPr="005378B1">
        <w:t>remain unchanged</w:t>
      </w:r>
      <w:r w:rsidR="00802E9A" w:rsidRPr="005378B1">
        <w:t>,</w:t>
      </w:r>
      <w:r w:rsidR="00EB4ACE" w:rsidRPr="005378B1">
        <w:t xml:space="preserve"> </w:t>
      </w:r>
      <w:r w:rsidR="00B873FC" w:rsidRPr="005378B1">
        <w:t>at</w:t>
      </w:r>
      <w:r w:rsidR="00762E42" w:rsidRPr="005378B1">
        <w:t xml:space="preserve"> </w:t>
      </w:r>
      <w:r w:rsidR="00B873FC" w:rsidRPr="005378B1">
        <w:t>$2</w:t>
      </w:r>
      <w:r w:rsidR="00AE09CD" w:rsidRPr="005378B1">
        <w:t>2</w:t>
      </w:r>
      <w:r w:rsidR="00FD461D" w:rsidRPr="005378B1">
        <w:t>,500</w:t>
      </w:r>
      <w:r w:rsidRPr="005378B1">
        <w:t xml:space="preserve"> </w:t>
      </w:r>
      <w:r w:rsidR="00411183" w:rsidRPr="005378B1">
        <w:t>and $1,</w:t>
      </w:r>
      <w:r w:rsidR="00646F5F">
        <w:t>200</w:t>
      </w:r>
      <w:r w:rsidR="00411183" w:rsidRPr="005378B1">
        <w:t>,000 respectively</w:t>
      </w:r>
      <w:r w:rsidR="00762E42" w:rsidRPr="005378B1">
        <w:t>.</w:t>
      </w:r>
    </w:p>
    <w:p w14:paraId="6E2D7250" w14:textId="77777777" w:rsidR="00501E13" w:rsidRPr="00B9423A" w:rsidRDefault="00501E13" w:rsidP="00501E13">
      <w:pPr>
        <w:rPr>
          <w:rFonts w:cs="Calibri Light"/>
          <w:szCs w:val="22"/>
        </w:rPr>
      </w:pPr>
      <w:r w:rsidRPr="00B9423A">
        <w:rPr>
          <w:rFonts w:cs="Calibri Light"/>
          <w:szCs w:val="22"/>
        </w:rPr>
        <w:t>APRA’s key life insurance and friendly society specific activities include:</w:t>
      </w:r>
    </w:p>
    <w:p w14:paraId="608761CB" w14:textId="66CFCCF9" w:rsidR="00501E13" w:rsidRPr="008E5827" w:rsidRDefault="00501E13" w:rsidP="00501E13">
      <w:pPr>
        <w:pStyle w:val="ListParagraph"/>
        <w:numPr>
          <w:ilvl w:val="0"/>
          <w:numId w:val="45"/>
        </w:numPr>
        <w:spacing w:before="60" w:after="120" w:line="276" w:lineRule="auto"/>
        <w:jc w:val="left"/>
        <w:rPr>
          <w:rFonts w:ascii="Calibri Light" w:hAnsi="Calibri Light" w:cs="Calibri Light"/>
        </w:rPr>
      </w:pPr>
      <w:r w:rsidRPr="008E5827">
        <w:rPr>
          <w:rFonts w:ascii="Calibri Light" w:hAnsi="Calibri Light" w:cs="Calibri Light"/>
        </w:rPr>
        <w:t xml:space="preserve">Annuity capital </w:t>
      </w:r>
      <w:r w:rsidR="005C04E4" w:rsidRPr="005378B1">
        <w:t>–</w:t>
      </w:r>
      <w:r w:rsidRPr="008E5827">
        <w:rPr>
          <w:rFonts w:ascii="Calibri Light" w:hAnsi="Calibri Light" w:cs="Calibri Light"/>
        </w:rPr>
        <w:t xml:space="preserve"> APRA will </w:t>
      </w:r>
      <w:r w:rsidRPr="008E5827">
        <w:rPr>
          <w:rFonts w:ascii="Calibri Light" w:hAnsi="Calibri Light" w:cs="Calibri Light"/>
          <w:color w:val="121517"/>
        </w:rPr>
        <w:t>proceed with a public consultation on capital settings for annuity products to support life insurers</w:t>
      </w:r>
      <w:r w:rsidR="00C30649">
        <w:rPr>
          <w:rFonts w:ascii="Calibri Light" w:hAnsi="Calibri Light" w:cs="Calibri Light"/>
          <w:color w:val="121517"/>
        </w:rPr>
        <w:t xml:space="preserve"> and</w:t>
      </w:r>
      <w:r w:rsidRPr="008E5827">
        <w:rPr>
          <w:rFonts w:ascii="Calibri Light" w:hAnsi="Calibri Light" w:cs="Calibri Light"/>
          <w:color w:val="121517"/>
        </w:rPr>
        <w:t xml:space="preserve"> to increase the availability of retirement products for retirees.</w:t>
      </w:r>
    </w:p>
    <w:p w14:paraId="338BD4B5" w14:textId="3819AD02" w:rsidR="00786E8A" w:rsidRPr="00D65DC8" w:rsidRDefault="00786E8A" w:rsidP="00786E8A">
      <w:pPr>
        <w:pStyle w:val="ListParagraph"/>
        <w:numPr>
          <w:ilvl w:val="0"/>
          <w:numId w:val="45"/>
        </w:numPr>
        <w:spacing w:before="60" w:after="120" w:line="276" w:lineRule="auto"/>
        <w:jc w:val="left"/>
        <w:rPr>
          <w:rFonts w:ascii="Calibri Light" w:hAnsi="Calibri Light" w:cs="Calibri Light"/>
        </w:rPr>
      </w:pPr>
      <w:r w:rsidRPr="00D65DC8">
        <w:rPr>
          <w:rFonts w:ascii="Calibri Light" w:hAnsi="Calibri Light" w:cs="Calibri Light"/>
        </w:rPr>
        <w:t xml:space="preserve">Product and industry sustainability </w:t>
      </w:r>
      <w:r w:rsidR="005C04E4" w:rsidRPr="005378B1">
        <w:t>–</w:t>
      </w:r>
      <w:r w:rsidRPr="00D65DC8">
        <w:rPr>
          <w:rFonts w:ascii="Calibri Light" w:hAnsi="Calibri Light" w:cs="Calibri Light"/>
        </w:rPr>
        <w:t xml:space="preserve"> APRA will continue to assess life insurers’ progress in meeting APRA’s product sustainability expectations across both individual and group insurance business. </w:t>
      </w:r>
    </w:p>
    <w:p w14:paraId="1D8E9ECA" w14:textId="61066BBF" w:rsidR="00762E42" w:rsidRPr="005378B1" w:rsidRDefault="003C6509" w:rsidP="005378B1">
      <w:pPr>
        <w:pStyle w:val="Heading2"/>
        <w:rPr>
          <w:color w:val="auto"/>
        </w:rPr>
      </w:pPr>
      <w:bookmarkStart w:id="135" w:name="_Toc1575313"/>
      <w:bookmarkStart w:id="136" w:name="_Toc1577997"/>
      <w:bookmarkStart w:id="137" w:name="_Toc1578916"/>
      <w:bookmarkStart w:id="138" w:name="_Toc4662151"/>
      <w:bookmarkStart w:id="139" w:name="_Toc98841587"/>
      <w:bookmarkStart w:id="140" w:name="_Toc192616757"/>
      <w:r w:rsidRPr="005378B1">
        <w:rPr>
          <w:color w:val="auto"/>
        </w:rPr>
        <w:t>National Claims and Policies Database special levy</w:t>
      </w:r>
      <w:bookmarkEnd w:id="135"/>
      <w:bookmarkEnd w:id="136"/>
      <w:bookmarkEnd w:id="137"/>
      <w:bookmarkEnd w:id="138"/>
      <w:bookmarkEnd w:id="139"/>
      <w:bookmarkEnd w:id="140"/>
    </w:p>
    <w:p w14:paraId="12EF96E7" w14:textId="644102C8" w:rsidR="00317635" w:rsidRPr="005378B1" w:rsidRDefault="003C6509" w:rsidP="005378B1">
      <w:r w:rsidRPr="005378B1">
        <w:t xml:space="preserve">In addition to the </w:t>
      </w:r>
      <w:r w:rsidR="00762E42" w:rsidRPr="005378B1">
        <w:t>lev</w:t>
      </w:r>
      <w:r w:rsidR="00156E4A" w:rsidRPr="005378B1">
        <w:t>y</w:t>
      </w:r>
      <w:r w:rsidRPr="005378B1">
        <w:t xml:space="preserve"> for general insurers, a separate levy to cover the costs of operating the National Claims and Policies Database (NCPD) will continue in </w:t>
      </w:r>
      <w:r w:rsidR="00E20842" w:rsidRPr="005378B1">
        <w:t>202</w:t>
      </w:r>
      <w:r w:rsidR="00310D33" w:rsidRPr="005378B1">
        <w:t>5</w:t>
      </w:r>
      <w:r w:rsidR="005C04E4" w:rsidRPr="005378B1">
        <w:t>–</w:t>
      </w:r>
      <w:r w:rsidR="00E20842" w:rsidRPr="005378B1">
        <w:t>2</w:t>
      </w:r>
      <w:r w:rsidR="00310D33" w:rsidRPr="005378B1">
        <w:t>6</w:t>
      </w:r>
      <w:r w:rsidR="00762E42" w:rsidRPr="005378B1">
        <w:t>.</w:t>
      </w:r>
      <w:r w:rsidRPr="005378B1">
        <w:t xml:space="preserve"> The NCPD contains policy and claims information relating to public/product liability (PL) and professional indemnity (PI) insurance from </w:t>
      </w:r>
      <w:r w:rsidR="00143F41">
        <w:t>entities</w:t>
      </w:r>
      <w:r w:rsidR="00143F41" w:rsidRPr="005378B1">
        <w:t xml:space="preserve"> </w:t>
      </w:r>
      <w:r w:rsidRPr="005378B1">
        <w:t xml:space="preserve">within the general insurance industry. The total amount of the NCPD levy for </w:t>
      </w:r>
      <w:r w:rsidR="00E20842" w:rsidRPr="005378B1">
        <w:t>202</w:t>
      </w:r>
      <w:r w:rsidR="00310D33" w:rsidRPr="005378B1">
        <w:t>5</w:t>
      </w:r>
      <w:r w:rsidR="005C04E4" w:rsidRPr="005378B1">
        <w:t>–</w:t>
      </w:r>
      <w:r w:rsidR="00D14D34" w:rsidRPr="005378B1">
        <w:t>2</w:t>
      </w:r>
      <w:r w:rsidR="00310D33" w:rsidRPr="005378B1">
        <w:t>6</w:t>
      </w:r>
      <w:r w:rsidR="00D14D34" w:rsidRPr="005378B1">
        <w:t xml:space="preserve"> </w:t>
      </w:r>
      <w:r w:rsidRPr="005378B1">
        <w:t>is $</w:t>
      </w:r>
      <w:r w:rsidR="00B72B97" w:rsidRPr="005378B1">
        <w:t>1</w:t>
      </w:r>
      <w:r w:rsidR="00762E42" w:rsidRPr="005378B1">
        <w:t>.</w:t>
      </w:r>
      <w:r w:rsidR="00A34B7E">
        <w:t>2</w:t>
      </w:r>
      <w:r w:rsidR="00A34B7E" w:rsidRPr="005378B1">
        <w:t> </w:t>
      </w:r>
      <w:r w:rsidRPr="005378B1">
        <w:t xml:space="preserve">million, </w:t>
      </w:r>
      <w:r w:rsidR="009E4F33">
        <w:t>a slight increase from</w:t>
      </w:r>
      <w:r w:rsidR="00E845B6" w:rsidRPr="005378B1">
        <w:t xml:space="preserve"> </w:t>
      </w:r>
      <w:r w:rsidRPr="005378B1">
        <w:t>$1.</w:t>
      </w:r>
      <w:r w:rsidR="006D4392" w:rsidRPr="005378B1">
        <w:t xml:space="preserve">1 </w:t>
      </w:r>
      <w:r w:rsidRPr="005378B1">
        <w:t xml:space="preserve">million collected in </w:t>
      </w:r>
      <w:r w:rsidR="00E20842" w:rsidRPr="005378B1">
        <w:t>202</w:t>
      </w:r>
      <w:r w:rsidR="00310D33" w:rsidRPr="005378B1">
        <w:t>4</w:t>
      </w:r>
      <w:r w:rsidR="005C04E4" w:rsidRPr="005378B1">
        <w:t>–</w:t>
      </w:r>
      <w:r w:rsidR="00E20842" w:rsidRPr="005378B1">
        <w:t>2</w:t>
      </w:r>
      <w:r w:rsidR="00310D33" w:rsidRPr="005378B1">
        <w:t>5</w:t>
      </w:r>
      <w:r w:rsidRPr="005378B1">
        <w:t>.</w:t>
      </w:r>
      <w:r w:rsidR="00317635" w:rsidRPr="005378B1">
        <w:t xml:space="preserve"> The special levies funding from NCPD in 202</w:t>
      </w:r>
      <w:r w:rsidR="00310D33" w:rsidRPr="005378B1">
        <w:t>5</w:t>
      </w:r>
      <w:r w:rsidR="005C04E4" w:rsidRPr="005378B1">
        <w:t>–</w:t>
      </w:r>
      <w:r w:rsidR="00317635" w:rsidRPr="005378B1">
        <w:t>2</w:t>
      </w:r>
      <w:r w:rsidR="00310D33" w:rsidRPr="005378B1">
        <w:t>6</w:t>
      </w:r>
      <w:r w:rsidR="00317635" w:rsidRPr="005378B1">
        <w:t xml:space="preserve"> represents 0.4 per cent of the total levies, </w:t>
      </w:r>
      <w:r w:rsidR="00332438" w:rsidRPr="005378B1">
        <w:t>in line with</w:t>
      </w:r>
      <w:r w:rsidR="00317635" w:rsidRPr="005378B1">
        <w:t xml:space="preserve"> 202</w:t>
      </w:r>
      <w:r w:rsidR="00310D33" w:rsidRPr="005378B1">
        <w:t>4</w:t>
      </w:r>
      <w:r w:rsidR="005C04E4" w:rsidRPr="005378B1">
        <w:t>–</w:t>
      </w:r>
      <w:r w:rsidR="00317635" w:rsidRPr="005378B1">
        <w:t>2</w:t>
      </w:r>
      <w:r w:rsidR="00310D33" w:rsidRPr="005378B1">
        <w:t>5</w:t>
      </w:r>
      <w:r w:rsidR="00317635" w:rsidRPr="005378B1">
        <w:t>.</w:t>
      </w:r>
    </w:p>
    <w:p w14:paraId="402230E5" w14:textId="362757C7" w:rsidR="00C00830" w:rsidRDefault="003C6509" w:rsidP="00097B21">
      <w:pPr>
        <w:rPr>
          <w:rFonts w:ascii="Calibri" w:hAnsi="Calibri" w:cs="Arial"/>
          <w:kern w:val="32"/>
          <w:sz w:val="26"/>
          <w:szCs w:val="26"/>
        </w:rPr>
      </w:pPr>
      <w:r w:rsidRPr="005378B1">
        <w:t xml:space="preserve">The NCPD levy is based on gross earned PL and PI premium. General insurers that no longer write policies in those two categories but still receive claims relating to previously written policies are classified as ‘runoffs’ and are subject to a flat rate for each category of insurance. Table 9 summarises the minimum and maximum levies and the rates to be used for </w:t>
      </w:r>
      <w:r w:rsidR="00E20842" w:rsidRPr="005378B1">
        <w:t>202</w:t>
      </w:r>
      <w:r w:rsidR="00310D33" w:rsidRPr="005378B1">
        <w:t>5</w:t>
      </w:r>
      <w:r w:rsidR="005C04E4" w:rsidRPr="005378B1">
        <w:t>–</w:t>
      </w:r>
      <w:r w:rsidR="00E20842" w:rsidRPr="005378B1">
        <w:t>2</w:t>
      </w:r>
      <w:r w:rsidR="00310D33" w:rsidRPr="005378B1">
        <w:t>6</w:t>
      </w:r>
      <w:r w:rsidR="00762E42" w:rsidRPr="005378B1">
        <w:t>.</w:t>
      </w:r>
      <w:bookmarkStart w:id="141" w:name="_Toc104212361"/>
    </w:p>
    <w:p w14:paraId="51F551C3" w14:textId="349E835C" w:rsidR="00762E42" w:rsidRPr="005378B1" w:rsidRDefault="003C6509" w:rsidP="005378B1">
      <w:pPr>
        <w:pStyle w:val="TableMainHeading"/>
        <w:rPr>
          <w:color w:val="auto"/>
        </w:rPr>
      </w:pPr>
      <w:bookmarkStart w:id="142" w:name="_Toc192616584"/>
      <w:bookmarkStart w:id="143" w:name="_Toc192616758"/>
      <w:r w:rsidRPr="005378B1">
        <w:rPr>
          <w:color w:val="auto"/>
        </w:rPr>
        <w:t>Table 9: Parameters for NCPD levy</w:t>
      </w:r>
      <w:bookmarkEnd w:id="141"/>
      <w:bookmarkEnd w:id="142"/>
      <w:bookmarkEnd w:id="14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2407"/>
        <w:gridCol w:w="1663"/>
        <w:gridCol w:w="1667"/>
        <w:gridCol w:w="1663"/>
        <w:gridCol w:w="1660"/>
      </w:tblGrid>
      <w:tr w:rsidR="005378B1" w:rsidRPr="00097B21" w14:paraId="761B33CE" w14:textId="77777777" w:rsidTr="001809DE">
        <w:trPr>
          <w:cantSplit/>
          <w:trHeight w:val="128"/>
          <w:tblHeader/>
        </w:trPr>
        <w:tc>
          <w:tcPr>
            <w:tcW w:w="1328" w:type="pct"/>
            <w:shd w:val="clear" w:color="auto" w:fill="EEEEEE" w:themeFill="background2"/>
            <w:hideMark/>
          </w:tcPr>
          <w:p w14:paraId="6ED1B79D" w14:textId="326D5E79" w:rsidR="00762E42" w:rsidRPr="001809DE" w:rsidRDefault="003C6509" w:rsidP="005378B1">
            <w:pPr>
              <w:spacing w:after="0"/>
              <w:rPr>
                <w:b/>
                <w:sz w:val="16"/>
                <w:szCs w:val="16"/>
              </w:rPr>
            </w:pPr>
            <w:r w:rsidRPr="001809DE">
              <w:rPr>
                <w:b/>
                <w:sz w:val="16"/>
                <w:szCs w:val="16"/>
              </w:rPr>
              <w:t> </w:t>
            </w:r>
            <w:r w:rsidR="00041BC9" w:rsidRPr="001809DE">
              <w:rPr>
                <w:b/>
                <w:sz w:val="16"/>
                <w:szCs w:val="16"/>
              </w:rPr>
              <w:t>NCPD levy parameters</w:t>
            </w:r>
          </w:p>
        </w:tc>
        <w:tc>
          <w:tcPr>
            <w:tcW w:w="918" w:type="pct"/>
            <w:shd w:val="clear" w:color="auto" w:fill="EEEEEE" w:themeFill="background2"/>
            <w:hideMark/>
          </w:tcPr>
          <w:p w14:paraId="7E7E01B6" w14:textId="61B04F7C" w:rsidR="00762E42" w:rsidRPr="001809DE" w:rsidRDefault="00041BC9" w:rsidP="005378B1">
            <w:pPr>
              <w:pStyle w:val="TableColumnHeadingRight"/>
              <w:jc w:val="center"/>
              <w:rPr>
                <w:color w:val="auto"/>
                <w:sz w:val="16"/>
                <w:szCs w:val="16"/>
              </w:rPr>
            </w:pPr>
            <w:r w:rsidRPr="001809DE">
              <w:rPr>
                <w:color w:val="auto"/>
                <w:sz w:val="16"/>
                <w:szCs w:val="16"/>
              </w:rPr>
              <w:t xml:space="preserve">2024-25 </w:t>
            </w:r>
            <w:r w:rsidR="003C6509" w:rsidRPr="001809DE">
              <w:rPr>
                <w:color w:val="auto"/>
                <w:sz w:val="16"/>
                <w:szCs w:val="16"/>
              </w:rPr>
              <w:t>Professional indemnity</w:t>
            </w:r>
          </w:p>
        </w:tc>
        <w:tc>
          <w:tcPr>
            <w:tcW w:w="920" w:type="pct"/>
            <w:shd w:val="clear" w:color="auto" w:fill="EEEEEE" w:themeFill="background2"/>
            <w:hideMark/>
          </w:tcPr>
          <w:p w14:paraId="431490BD" w14:textId="67541FE0" w:rsidR="00762E42" w:rsidRPr="001809DE" w:rsidRDefault="00041BC9" w:rsidP="005378B1">
            <w:pPr>
              <w:pStyle w:val="TableColumnHeadingRight"/>
              <w:jc w:val="center"/>
              <w:rPr>
                <w:color w:val="auto"/>
                <w:sz w:val="16"/>
                <w:szCs w:val="16"/>
              </w:rPr>
            </w:pPr>
            <w:r w:rsidRPr="001809DE">
              <w:rPr>
                <w:color w:val="auto"/>
                <w:sz w:val="16"/>
                <w:szCs w:val="16"/>
              </w:rPr>
              <w:t xml:space="preserve">2024-25 </w:t>
            </w:r>
            <w:r w:rsidR="003C6509" w:rsidRPr="001809DE">
              <w:rPr>
                <w:color w:val="auto"/>
                <w:sz w:val="16"/>
                <w:szCs w:val="16"/>
              </w:rPr>
              <w:t>Public and product liability</w:t>
            </w:r>
          </w:p>
        </w:tc>
        <w:tc>
          <w:tcPr>
            <w:tcW w:w="918" w:type="pct"/>
            <w:shd w:val="clear" w:color="auto" w:fill="EEEEEE" w:themeFill="background2"/>
            <w:hideMark/>
          </w:tcPr>
          <w:p w14:paraId="0701729D" w14:textId="4D37C7C3" w:rsidR="00762E42" w:rsidRPr="001809DE" w:rsidRDefault="00041BC9" w:rsidP="005378B1">
            <w:pPr>
              <w:pStyle w:val="TableColumnHeadingRight"/>
              <w:jc w:val="center"/>
              <w:rPr>
                <w:color w:val="auto"/>
                <w:sz w:val="16"/>
                <w:szCs w:val="16"/>
              </w:rPr>
            </w:pPr>
            <w:r w:rsidRPr="001809DE">
              <w:rPr>
                <w:color w:val="auto"/>
                <w:sz w:val="16"/>
                <w:szCs w:val="16"/>
              </w:rPr>
              <w:t xml:space="preserve">2025-26 </w:t>
            </w:r>
            <w:r w:rsidR="003C6509" w:rsidRPr="001809DE">
              <w:rPr>
                <w:color w:val="auto"/>
                <w:sz w:val="16"/>
                <w:szCs w:val="16"/>
              </w:rPr>
              <w:t>Professional indemnity</w:t>
            </w:r>
          </w:p>
        </w:tc>
        <w:tc>
          <w:tcPr>
            <w:tcW w:w="916" w:type="pct"/>
            <w:shd w:val="clear" w:color="auto" w:fill="EEEEEE" w:themeFill="background2"/>
            <w:hideMark/>
          </w:tcPr>
          <w:p w14:paraId="5D969D3E" w14:textId="2783039E" w:rsidR="00762E42" w:rsidRPr="001809DE" w:rsidRDefault="00041BC9" w:rsidP="005378B1">
            <w:pPr>
              <w:pStyle w:val="TableColumnHeadingRight"/>
              <w:jc w:val="center"/>
              <w:rPr>
                <w:color w:val="auto"/>
                <w:sz w:val="16"/>
                <w:szCs w:val="16"/>
              </w:rPr>
            </w:pPr>
            <w:r w:rsidRPr="001809DE">
              <w:rPr>
                <w:color w:val="auto"/>
                <w:sz w:val="16"/>
                <w:szCs w:val="16"/>
              </w:rPr>
              <w:t xml:space="preserve">2025-26 </w:t>
            </w:r>
            <w:r w:rsidR="003C6509" w:rsidRPr="001809DE">
              <w:rPr>
                <w:color w:val="auto"/>
                <w:sz w:val="16"/>
                <w:szCs w:val="16"/>
              </w:rPr>
              <w:t>Public and product liability</w:t>
            </w:r>
          </w:p>
        </w:tc>
      </w:tr>
      <w:tr w:rsidR="00D601F7" w:rsidRPr="00097B21" w14:paraId="4F9F939C" w14:textId="77777777" w:rsidTr="001809DE">
        <w:trPr>
          <w:trHeight w:val="192"/>
        </w:trPr>
        <w:tc>
          <w:tcPr>
            <w:tcW w:w="1328" w:type="pct"/>
            <w:shd w:val="clear" w:color="auto" w:fill="auto"/>
            <w:vAlign w:val="center"/>
            <w:hideMark/>
          </w:tcPr>
          <w:p w14:paraId="0C9F4F57" w14:textId="77777777" w:rsidR="00D601F7" w:rsidRPr="00097B21" w:rsidRDefault="00D601F7" w:rsidP="00D601F7">
            <w:pPr>
              <w:pStyle w:val="TableTextLeft"/>
              <w:rPr>
                <w:color w:val="auto"/>
                <w:sz w:val="16"/>
                <w:szCs w:val="16"/>
              </w:rPr>
            </w:pPr>
            <w:r w:rsidRPr="00097B21">
              <w:rPr>
                <w:color w:val="auto"/>
                <w:sz w:val="16"/>
                <w:szCs w:val="16"/>
              </w:rPr>
              <w:t>Minimum ($)</w:t>
            </w:r>
          </w:p>
        </w:tc>
        <w:tc>
          <w:tcPr>
            <w:tcW w:w="918" w:type="pct"/>
            <w:shd w:val="clear" w:color="auto" w:fill="auto"/>
            <w:vAlign w:val="center"/>
            <w:hideMark/>
          </w:tcPr>
          <w:p w14:paraId="56B3667D" w14:textId="70072B86" w:rsidR="00D601F7" w:rsidRPr="00097B21" w:rsidRDefault="00D601F7" w:rsidP="00D601F7">
            <w:pPr>
              <w:pStyle w:val="TableTextRight"/>
              <w:jc w:val="center"/>
              <w:rPr>
                <w:rFonts w:cs="Calibri Light"/>
                <w:color w:val="auto"/>
                <w:sz w:val="16"/>
                <w:szCs w:val="16"/>
              </w:rPr>
            </w:pPr>
            <w:r w:rsidRPr="00097B21">
              <w:rPr>
                <w:rFonts w:cs="Calibri Light"/>
                <w:sz w:val="16"/>
                <w:szCs w:val="16"/>
              </w:rPr>
              <w:t>5,000</w:t>
            </w:r>
          </w:p>
        </w:tc>
        <w:tc>
          <w:tcPr>
            <w:tcW w:w="920" w:type="pct"/>
            <w:shd w:val="clear" w:color="auto" w:fill="auto"/>
            <w:vAlign w:val="center"/>
            <w:hideMark/>
          </w:tcPr>
          <w:p w14:paraId="3B6FB7DB" w14:textId="317CDA07" w:rsidR="00D601F7" w:rsidRPr="00097B21" w:rsidRDefault="00D601F7" w:rsidP="00D601F7">
            <w:pPr>
              <w:pStyle w:val="TableTextRight"/>
              <w:jc w:val="center"/>
              <w:rPr>
                <w:rFonts w:cs="Calibri Light"/>
                <w:color w:val="auto"/>
                <w:sz w:val="16"/>
                <w:szCs w:val="16"/>
              </w:rPr>
            </w:pPr>
            <w:r w:rsidRPr="00097B21">
              <w:rPr>
                <w:rFonts w:cs="Calibri Light"/>
                <w:sz w:val="16"/>
                <w:szCs w:val="16"/>
              </w:rPr>
              <w:t>5,000</w:t>
            </w:r>
          </w:p>
        </w:tc>
        <w:tc>
          <w:tcPr>
            <w:tcW w:w="918" w:type="pct"/>
            <w:shd w:val="clear" w:color="auto" w:fill="auto"/>
            <w:vAlign w:val="center"/>
          </w:tcPr>
          <w:p w14:paraId="47ED1C5B" w14:textId="29C181C1" w:rsidR="00D601F7" w:rsidRPr="00097B21" w:rsidRDefault="00D601F7" w:rsidP="00D601F7">
            <w:pPr>
              <w:pStyle w:val="TableTextRight"/>
              <w:jc w:val="center"/>
              <w:rPr>
                <w:rFonts w:cs="Calibri Light"/>
                <w:color w:val="auto"/>
                <w:sz w:val="16"/>
                <w:szCs w:val="16"/>
              </w:rPr>
            </w:pPr>
            <w:r w:rsidRPr="00097B21">
              <w:rPr>
                <w:rFonts w:cs="Calibri Light"/>
                <w:b/>
                <w:bCs/>
                <w:sz w:val="16"/>
                <w:szCs w:val="16"/>
              </w:rPr>
              <w:t>5,000</w:t>
            </w:r>
          </w:p>
        </w:tc>
        <w:tc>
          <w:tcPr>
            <w:tcW w:w="916" w:type="pct"/>
            <w:shd w:val="clear" w:color="auto" w:fill="auto"/>
            <w:vAlign w:val="center"/>
          </w:tcPr>
          <w:p w14:paraId="6E65BA0E" w14:textId="0E8B360D" w:rsidR="00D601F7" w:rsidRPr="00097B21" w:rsidRDefault="00D601F7" w:rsidP="00D601F7">
            <w:pPr>
              <w:pStyle w:val="TableTextRight"/>
              <w:jc w:val="center"/>
              <w:rPr>
                <w:rFonts w:cs="Calibri Light"/>
                <w:color w:val="auto"/>
                <w:sz w:val="16"/>
                <w:szCs w:val="16"/>
              </w:rPr>
            </w:pPr>
            <w:r w:rsidRPr="00097B21">
              <w:rPr>
                <w:rFonts w:cs="Calibri Light"/>
                <w:b/>
                <w:bCs/>
                <w:sz w:val="16"/>
                <w:szCs w:val="16"/>
              </w:rPr>
              <w:t>5,000</w:t>
            </w:r>
          </w:p>
        </w:tc>
      </w:tr>
      <w:tr w:rsidR="00D601F7" w:rsidRPr="00097B21" w14:paraId="7DD1F491" w14:textId="77777777" w:rsidTr="001809DE">
        <w:trPr>
          <w:trHeight w:val="160"/>
        </w:trPr>
        <w:tc>
          <w:tcPr>
            <w:tcW w:w="1328" w:type="pct"/>
            <w:shd w:val="clear" w:color="auto" w:fill="auto"/>
            <w:vAlign w:val="center"/>
            <w:hideMark/>
          </w:tcPr>
          <w:p w14:paraId="37EEB07F" w14:textId="77777777" w:rsidR="00D601F7" w:rsidRPr="00097B21" w:rsidRDefault="00D601F7" w:rsidP="00D601F7">
            <w:pPr>
              <w:pStyle w:val="TableTextLeft"/>
              <w:rPr>
                <w:color w:val="auto"/>
                <w:sz w:val="16"/>
                <w:szCs w:val="16"/>
              </w:rPr>
            </w:pPr>
            <w:r w:rsidRPr="00097B21">
              <w:rPr>
                <w:color w:val="auto"/>
                <w:sz w:val="16"/>
                <w:szCs w:val="16"/>
              </w:rPr>
              <w:t>Maximum ($)</w:t>
            </w:r>
          </w:p>
        </w:tc>
        <w:tc>
          <w:tcPr>
            <w:tcW w:w="918" w:type="pct"/>
            <w:shd w:val="clear" w:color="auto" w:fill="auto"/>
            <w:vAlign w:val="center"/>
            <w:hideMark/>
          </w:tcPr>
          <w:p w14:paraId="5AF5D665" w14:textId="1A5291E3" w:rsidR="00D601F7" w:rsidRPr="00097B21" w:rsidRDefault="00D601F7" w:rsidP="00D601F7">
            <w:pPr>
              <w:pStyle w:val="TableTextRight"/>
              <w:jc w:val="center"/>
              <w:rPr>
                <w:rFonts w:cs="Calibri Light"/>
                <w:color w:val="auto"/>
                <w:sz w:val="16"/>
                <w:szCs w:val="16"/>
              </w:rPr>
            </w:pPr>
            <w:r w:rsidRPr="00097B21">
              <w:rPr>
                <w:rFonts w:cs="Calibri Light"/>
                <w:sz w:val="16"/>
                <w:szCs w:val="16"/>
              </w:rPr>
              <w:t>32,000</w:t>
            </w:r>
          </w:p>
        </w:tc>
        <w:tc>
          <w:tcPr>
            <w:tcW w:w="920" w:type="pct"/>
            <w:shd w:val="clear" w:color="auto" w:fill="auto"/>
            <w:vAlign w:val="center"/>
            <w:hideMark/>
          </w:tcPr>
          <w:p w14:paraId="242ECDDD" w14:textId="3DC34EB7" w:rsidR="00D601F7" w:rsidRPr="00097B21" w:rsidRDefault="00D601F7" w:rsidP="00D601F7">
            <w:pPr>
              <w:pStyle w:val="TableTextRight"/>
              <w:jc w:val="center"/>
              <w:rPr>
                <w:rFonts w:cs="Calibri Light"/>
                <w:color w:val="auto"/>
                <w:sz w:val="16"/>
                <w:szCs w:val="16"/>
              </w:rPr>
            </w:pPr>
            <w:r w:rsidRPr="00097B21">
              <w:rPr>
                <w:rFonts w:cs="Calibri Light"/>
                <w:sz w:val="16"/>
                <w:szCs w:val="16"/>
              </w:rPr>
              <w:t>50,000</w:t>
            </w:r>
          </w:p>
        </w:tc>
        <w:tc>
          <w:tcPr>
            <w:tcW w:w="918" w:type="pct"/>
            <w:shd w:val="clear" w:color="auto" w:fill="auto"/>
            <w:vAlign w:val="center"/>
          </w:tcPr>
          <w:p w14:paraId="329C63B7" w14:textId="5634AEA1" w:rsidR="00D601F7" w:rsidRPr="00097B21" w:rsidRDefault="00D601F7" w:rsidP="00D601F7">
            <w:pPr>
              <w:pStyle w:val="TableTextRight"/>
              <w:jc w:val="center"/>
              <w:rPr>
                <w:rFonts w:cs="Calibri Light"/>
                <w:color w:val="auto"/>
                <w:sz w:val="16"/>
                <w:szCs w:val="16"/>
              </w:rPr>
            </w:pPr>
            <w:r w:rsidRPr="00097B21">
              <w:rPr>
                <w:rFonts w:cs="Calibri Light"/>
                <w:b/>
                <w:bCs/>
                <w:sz w:val="16"/>
                <w:szCs w:val="16"/>
              </w:rPr>
              <w:t>32,000</w:t>
            </w:r>
          </w:p>
        </w:tc>
        <w:tc>
          <w:tcPr>
            <w:tcW w:w="916" w:type="pct"/>
            <w:shd w:val="clear" w:color="auto" w:fill="auto"/>
            <w:vAlign w:val="center"/>
          </w:tcPr>
          <w:p w14:paraId="34AA2172" w14:textId="5C8D8022" w:rsidR="00D601F7" w:rsidRPr="00097B21" w:rsidRDefault="00D601F7" w:rsidP="00D601F7">
            <w:pPr>
              <w:pStyle w:val="TableTextRight"/>
              <w:jc w:val="center"/>
              <w:rPr>
                <w:rFonts w:cs="Calibri Light"/>
                <w:color w:val="auto"/>
                <w:sz w:val="16"/>
                <w:szCs w:val="16"/>
              </w:rPr>
            </w:pPr>
            <w:r w:rsidRPr="00097B21">
              <w:rPr>
                <w:rFonts w:cs="Calibri Light"/>
                <w:b/>
                <w:bCs/>
                <w:sz w:val="16"/>
                <w:szCs w:val="16"/>
              </w:rPr>
              <w:t>50,000</w:t>
            </w:r>
          </w:p>
        </w:tc>
      </w:tr>
      <w:tr w:rsidR="00D601F7" w:rsidRPr="00097B21" w14:paraId="6542AD12" w14:textId="77777777" w:rsidTr="001809DE">
        <w:trPr>
          <w:trHeight w:val="150"/>
        </w:trPr>
        <w:tc>
          <w:tcPr>
            <w:tcW w:w="1328" w:type="pct"/>
            <w:shd w:val="clear" w:color="auto" w:fill="auto"/>
            <w:vAlign w:val="center"/>
            <w:hideMark/>
          </w:tcPr>
          <w:p w14:paraId="7AA05CED" w14:textId="77777777" w:rsidR="00D601F7" w:rsidRPr="00097B21" w:rsidRDefault="00D601F7" w:rsidP="00D601F7">
            <w:pPr>
              <w:pStyle w:val="TableTextLeft"/>
              <w:rPr>
                <w:color w:val="auto"/>
                <w:sz w:val="16"/>
                <w:szCs w:val="16"/>
              </w:rPr>
            </w:pPr>
            <w:r w:rsidRPr="00097B21">
              <w:rPr>
                <w:color w:val="auto"/>
                <w:sz w:val="16"/>
                <w:szCs w:val="16"/>
              </w:rPr>
              <w:t>Rate (%)</w:t>
            </w:r>
          </w:p>
        </w:tc>
        <w:tc>
          <w:tcPr>
            <w:tcW w:w="918" w:type="pct"/>
            <w:shd w:val="clear" w:color="auto" w:fill="auto"/>
            <w:vAlign w:val="center"/>
            <w:hideMark/>
          </w:tcPr>
          <w:p w14:paraId="7519F2D8" w14:textId="3D2A12F5" w:rsidR="00D601F7" w:rsidRPr="00097B21" w:rsidRDefault="00D601F7" w:rsidP="00D601F7">
            <w:pPr>
              <w:pStyle w:val="TableTextRight"/>
              <w:jc w:val="center"/>
              <w:rPr>
                <w:rFonts w:cs="Calibri Light"/>
                <w:color w:val="auto"/>
                <w:sz w:val="16"/>
                <w:szCs w:val="16"/>
              </w:rPr>
            </w:pPr>
            <w:r w:rsidRPr="00097B21">
              <w:rPr>
                <w:rFonts w:cs="Calibri Light"/>
                <w:sz w:val="16"/>
                <w:szCs w:val="16"/>
              </w:rPr>
              <w:t>0.0398</w:t>
            </w:r>
          </w:p>
        </w:tc>
        <w:tc>
          <w:tcPr>
            <w:tcW w:w="920" w:type="pct"/>
            <w:shd w:val="clear" w:color="auto" w:fill="auto"/>
            <w:vAlign w:val="center"/>
            <w:hideMark/>
          </w:tcPr>
          <w:p w14:paraId="7F864752" w14:textId="5856FF5E" w:rsidR="00D601F7" w:rsidRPr="00097B21" w:rsidRDefault="00D601F7" w:rsidP="00D601F7">
            <w:pPr>
              <w:pStyle w:val="TableTextRight"/>
              <w:jc w:val="center"/>
              <w:rPr>
                <w:rFonts w:cs="Calibri Light"/>
                <w:color w:val="auto"/>
                <w:sz w:val="16"/>
                <w:szCs w:val="16"/>
              </w:rPr>
            </w:pPr>
            <w:r w:rsidRPr="00097B21">
              <w:rPr>
                <w:rFonts w:cs="Calibri Light"/>
                <w:sz w:val="16"/>
                <w:szCs w:val="16"/>
              </w:rPr>
              <w:t>0.0273</w:t>
            </w:r>
          </w:p>
        </w:tc>
        <w:tc>
          <w:tcPr>
            <w:tcW w:w="918" w:type="pct"/>
            <w:shd w:val="clear" w:color="auto" w:fill="auto"/>
            <w:vAlign w:val="center"/>
          </w:tcPr>
          <w:p w14:paraId="5D6B028F" w14:textId="4C8DB3FE" w:rsidR="00D601F7" w:rsidRPr="00097B21" w:rsidRDefault="00D601F7" w:rsidP="00D601F7">
            <w:pPr>
              <w:pStyle w:val="TableTextRight"/>
              <w:jc w:val="center"/>
              <w:rPr>
                <w:rFonts w:cs="Calibri Light"/>
                <w:color w:val="auto"/>
                <w:sz w:val="16"/>
                <w:szCs w:val="16"/>
              </w:rPr>
            </w:pPr>
            <w:r w:rsidRPr="00097B21">
              <w:rPr>
                <w:rFonts w:cs="Calibri Light"/>
                <w:b/>
                <w:bCs/>
                <w:sz w:val="16"/>
                <w:szCs w:val="16"/>
              </w:rPr>
              <w:t>0.0297</w:t>
            </w:r>
          </w:p>
        </w:tc>
        <w:tc>
          <w:tcPr>
            <w:tcW w:w="916" w:type="pct"/>
            <w:shd w:val="clear" w:color="auto" w:fill="auto"/>
            <w:vAlign w:val="center"/>
          </w:tcPr>
          <w:p w14:paraId="6D4E05D5" w14:textId="52E25E1E" w:rsidR="00D601F7" w:rsidRPr="00097B21" w:rsidRDefault="00D601F7" w:rsidP="00D601F7">
            <w:pPr>
              <w:pStyle w:val="TableTextRight"/>
              <w:jc w:val="center"/>
              <w:rPr>
                <w:rFonts w:cs="Calibri Light"/>
                <w:color w:val="auto"/>
                <w:sz w:val="16"/>
                <w:szCs w:val="16"/>
              </w:rPr>
            </w:pPr>
            <w:r w:rsidRPr="00097B21">
              <w:rPr>
                <w:rFonts w:cs="Calibri Light"/>
                <w:b/>
                <w:bCs/>
                <w:sz w:val="16"/>
                <w:szCs w:val="16"/>
              </w:rPr>
              <w:t>0.0238</w:t>
            </w:r>
          </w:p>
        </w:tc>
      </w:tr>
      <w:tr w:rsidR="00D601F7" w:rsidRPr="00097B21" w14:paraId="783222D2" w14:textId="77777777" w:rsidTr="001809DE">
        <w:trPr>
          <w:trHeight w:val="126"/>
        </w:trPr>
        <w:tc>
          <w:tcPr>
            <w:tcW w:w="1328" w:type="pct"/>
            <w:shd w:val="clear" w:color="auto" w:fill="auto"/>
            <w:vAlign w:val="center"/>
            <w:hideMark/>
          </w:tcPr>
          <w:p w14:paraId="49F66C92" w14:textId="77777777" w:rsidR="00D601F7" w:rsidRPr="00097B21" w:rsidRDefault="00D601F7" w:rsidP="00D601F7">
            <w:pPr>
              <w:pStyle w:val="TableTextLeft"/>
              <w:rPr>
                <w:color w:val="auto"/>
                <w:sz w:val="16"/>
                <w:szCs w:val="16"/>
              </w:rPr>
            </w:pPr>
            <w:r w:rsidRPr="00097B21">
              <w:rPr>
                <w:color w:val="auto"/>
                <w:sz w:val="16"/>
                <w:szCs w:val="16"/>
              </w:rPr>
              <w:t>Runoff amount ($)</w:t>
            </w:r>
          </w:p>
        </w:tc>
        <w:tc>
          <w:tcPr>
            <w:tcW w:w="918" w:type="pct"/>
            <w:shd w:val="clear" w:color="auto" w:fill="auto"/>
            <w:vAlign w:val="center"/>
            <w:hideMark/>
          </w:tcPr>
          <w:p w14:paraId="0DAFFF80" w14:textId="59826081" w:rsidR="00D601F7" w:rsidRPr="00097B21" w:rsidRDefault="00D601F7" w:rsidP="00D601F7">
            <w:pPr>
              <w:pStyle w:val="TableTextRight"/>
              <w:jc w:val="center"/>
              <w:rPr>
                <w:rFonts w:cs="Calibri Light"/>
                <w:color w:val="auto"/>
                <w:sz w:val="16"/>
                <w:szCs w:val="16"/>
              </w:rPr>
            </w:pPr>
            <w:r w:rsidRPr="00097B21">
              <w:rPr>
                <w:rFonts w:cs="Calibri Light"/>
                <w:sz w:val="16"/>
                <w:szCs w:val="16"/>
              </w:rPr>
              <w:t>2,500</w:t>
            </w:r>
          </w:p>
        </w:tc>
        <w:tc>
          <w:tcPr>
            <w:tcW w:w="920" w:type="pct"/>
            <w:shd w:val="clear" w:color="auto" w:fill="auto"/>
            <w:vAlign w:val="center"/>
            <w:hideMark/>
          </w:tcPr>
          <w:p w14:paraId="33E9788A" w14:textId="63E72CB3" w:rsidR="00D601F7" w:rsidRPr="00097B21" w:rsidRDefault="00D601F7" w:rsidP="00D601F7">
            <w:pPr>
              <w:pStyle w:val="TableTextRight"/>
              <w:jc w:val="center"/>
              <w:rPr>
                <w:rFonts w:cs="Calibri Light"/>
                <w:color w:val="auto"/>
                <w:sz w:val="16"/>
                <w:szCs w:val="16"/>
              </w:rPr>
            </w:pPr>
            <w:r w:rsidRPr="00097B21">
              <w:rPr>
                <w:rFonts w:cs="Calibri Light"/>
                <w:sz w:val="16"/>
                <w:szCs w:val="16"/>
              </w:rPr>
              <w:t>2,500</w:t>
            </w:r>
          </w:p>
        </w:tc>
        <w:tc>
          <w:tcPr>
            <w:tcW w:w="918" w:type="pct"/>
            <w:shd w:val="clear" w:color="auto" w:fill="auto"/>
            <w:vAlign w:val="center"/>
          </w:tcPr>
          <w:p w14:paraId="1EC211F6" w14:textId="4FE2F2DE" w:rsidR="00D601F7" w:rsidRPr="00097B21" w:rsidRDefault="00D601F7" w:rsidP="00D601F7">
            <w:pPr>
              <w:pStyle w:val="TableTextRight"/>
              <w:jc w:val="center"/>
              <w:rPr>
                <w:rFonts w:cs="Calibri Light"/>
                <w:color w:val="auto"/>
                <w:sz w:val="16"/>
                <w:szCs w:val="16"/>
              </w:rPr>
            </w:pPr>
            <w:r w:rsidRPr="00097B21">
              <w:rPr>
                <w:rFonts w:cs="Calibri Light"/>
                <w:b/>
                <w:bCs/>
                <w:sz w:val="16"/>
                <w:szCs w:val="16"/>
              </w:rPr>
              <w:t>2,500</w:t>
            </w:r>
          </w:p>
        </w:tc>
        <w:tc>
          <w:tcPr>
            <w:tcW w:w="916" w:type="pct"/>
            <w:shd w:val="clear" w:color="auto" w:fill="auto"/>
            <w:vAlign w:val="center"/>
          </w:tcPr>
          <w:p w14:paraId="1637DD51" w14:textId="26933C11" w:rsidR="00D601F7" w:rsidRPr="00097B21" w:rsidRDefault="00D601F7" w:rsidP="00D601F7">
            <w:pPr>
              <w:pStyle w:val="TableTextRight"/>
              <w:jc w:val="center"/>
              <w:rPr>
                <w:rFonts w:cs="Calibri Light"/>
                <w:color w:val="auto"/>
                <w:sz w:val="16"/>
                <w:szCs w:val="16"/>
              </w:rPr>
            </w:pPr>
            <w:r w:rsidRPr="00097B21">
              <w:rPr>
                <w:rFonts w:cs="Calibri Light"/>
                <w:b/>
                <w:bCs/>
                <w:sz w:val="16"/>
                <w:szCs w:val="16"/>
              </w:rPr>
              <w:t>2,500</w:t>
            </w:r>
          </w:p>
        </w:tc>
      </w:tr>
      <w:tr w:rsidR="00D601F7" w:rsidRPr="00097B21" w14:paraId="1073D325" w14:textId="77777777" w:rsidTr="001809DE">
        <w:trPr>
          <w:trHeight w:val="102"/>
        </w:trPr>
        <w:tc>
          <w:tcPr>
            <w:tcW w:w="1328" w:type="pct"/>
            <w:shd w:val="clear" w:color="auto" w:fill="auto"/>
            <w:vAlign w:val="center"/>
            <w:hideMark/>
          </w:tcPr>
          <w:p w14:paraId="366ECD8C" w14:textId="77777777" w:rsidR="00D601F7" w:rsidRPr="00097B21" w:rsidRDefault="00D601F7" w:rsidP="00D601F7">
            <w:pPr>
              <w:pStyle w:val="TableTextLeft"/>
              <w:rPr>
                <w:color w:val="auto"/>
                <w:sz w:val="16"/>
                <w:szCs w:val="16"/>
              </w:rPr>
            </w:pPr>
            <w:r w:rsidRPr="00097B21">
              <w:rPr>
                <w:color w:val="auto"/>
                <w:sz w:val="16"/>
                <w:szCs w:val="16"/>
              </w:rPr>
              <w:t>Total levy ($m)</w:t>
            </w:r>
          </w:p>
        </w:tc>
        <w:tc>
          <w:tcPr>
            <w:tcW w:w="918" w:type="pct"/>
            <w:shd w:val="clear" w:color="auto" w:fill="auto"/>
            <w:vAlign w:val="center"/>
            <w:hideMark/>
          </w:tcPr>
          <w:p w14:paraId="53D0460E" w14:textId="78792317" w:rsidR="00D601F7" w:rsidRPr="00097B21" w:rsidRDefault="00D601F7" w:rsidP="00D601F7">
            <w:pPr>
              <w:pStyle w:val="TableTextRight"/>
              <w:jc w:val="center"/>
              <w:rPr>
                <w:rFonts w:cs="Calibri Light"/>
                <w:color w:val="auto"/>
                <w:sz w:val="16"/>
                <w:szCs w:val="16"/>
              </w:rPr>
            </w:pPr>
            <w:r w:rsidRPr="00097B21">
              <w:rPr>
                <w:rFonts w:cs="Calibri Light"/>
                <w:sz w:val="16"/>
                <w:szCs w:val="16"/>
              </w:rPr>
              <w:t>0.59</w:t>
            </w:r>
          </w:p>
        </w:tc>
        <w:tc>
          <w:tcPr>
            <w:tcW w:w="920" w:type="pct"/>
            <w:shd w:val="clear" w:color="auto" w:fill="auto"/>
            <w:vAlign w:val="center"/>
            <w:hideMark/>
          </w:tcPr>
          <w:p w14:paraId="781C6AE3" w14:textId="01A53F9A" w:rsidR="00D601F7" w:rsidRPr="00097B21" w:rsidRDefault="00D601F7" w:rsidP="00D601F7">
            <w:pPr>
              <w:pStyle w:val="TableTextRight"/>
              <w:jc w:val="center"/>
              <w:rPr>
                <w:rFonts w:cs="Calibri Light"/>
                <w:color w:val="auto"/>
                <w:sz w:val="16"/>
                <w:szCs w:val="16"/>
              </w:rPr>
            </w:pPr>
            <w:r w:rsidRPr="00097B21">
              <w:rPr>
                <w:rFonts w:cs="Calibri Light"/>
                <w:sz w:val="16"/>
                <w:szCs w:val="16"/>
              </w:rPr>
              <w:t>0.55</w:t>
            </w:r>
          </w:p>
        </w:tc>
        <w:tc>
          <w:tcPr>
            <w:tcW w:w="918" w:type="pct"/>
            <w:shd w:val="clear" w:color="auto" w:fill="auto"/>
            <w:vAlign w:val="center"/>
          </w:tcPr>
          <w:p w14:paraId="753D8491" w14:textId="0F1C031D" w:rsidR="00D601F7" w:rsidRPr="00097B21" w:rsidRDefault="00D601F7" w:rsidP="00D601F7">
            <w:pPr>
              <w:pStyle w:val="TableTextRight"/>
              <w:jc w:val="center"/>
              <w:rPr>
                <w:rFonts w:cs="Calibri Light"/>
                <w:color w:val="auto"/>
                <w:sz w:val="16"/>
                <w:szCs w:val="16"/>
              </w:rPr>
            </w:pPr>
            <w:r w:rsidRPr="00097B21">
              <w:rPr>
                <w:rFonts w:cs="Calibri Light"/>
                <w:b/>
                <w:bCs/>
                <w:sz w:val="16"/>
                <w:szCs w:val="16"/>
              </w:rPr>
              <w:t>0.58</w:t>
            </w:r>
          </w:p>
        </w:tc>
        <w:tc>
          <w:tcPr>
            <w:tcW w:w="916" w:type="pct"/>
            <w:shd w:val="clear" w:color="auto" w:fill="auto"/>
            <w:vAlign w:val="center"/>
          </w:tcPr>
          <w:p w14:paraId="5413A37D" w14:textId="406FB96F" w:rsidR="00D601F7" w:rsidRPr="00097B21" w:rsidRDefault="00D601F7" w:rsidP="00D601F7">
            <w:pPr>
              <w:pStyle w:val="TableTextRight"/>
              <w:jc w:val="center"/>
              <w:rPr>
                <w:rFonts w:cs="Calibri Light"/>
                <w:color w:val="auto"/>
                <w:sz w:val="16"/>
                <w:szCs w:val="16"/>
              </w:rPr>
            </w:pPr>
            <w:r w:rsidRPr="00097B21">
              <w:rPr>
                <w:rFonts w:cs="Calibri Light"/>
                <w:b/>
                <w:bCs/>
                <w:sz w:val="16"/>
                <w:szCs w:val="16"/>
              </w:rPr>
              <w:t>0.57</w:t>
            </w:r>
          </w:p>
        </w:tc>
      </w:tr>
    </w:tbl>
    <w:p w14:paraId="18F96907" w14:textId="093C0BDB" w:rsidR="00762E42" w:rsidRPr="005378B1" w:rsidRDefault="003C6509" w:rsidP="005378B1">
      <w:pPr>
        <w:spacing w:before="240"/>
      </w:pPr>
      <w:r w:rsidRPr="005378B1">
        <w:t>Following consultation in 2012</w:t>
      </w:r>
      <w:r w:rsidR="005C04E4" w:rsidRPr="005378B1">
        <w:t>–</w:t>
      </w:r>
      <w:r w:rsidRPr="005378B1">
        <w:t>13, the prescribed NCPD levy for a general insurer that issues both PL and PI products is calculated as the sum of the PL and PI levy components.</w:t>
      </w:r>
    </w:p>
    <w:p w14:paraId="61ED4D8C" w14:textId="1DB0AD7A" w:rsidR="00BB33DF" w:rsidRPr="005378B1" w:rsidRDefault="00BB33DF" w:rsidP="005378B1">
      <w:pPr>
        <w:pStyle w:val="Heading2"/>
        <w:rPr>
          <w:color w:val="auto"/>
        </w:rPr>
      </w:pPr>
      <w:bookmarkStart w:id="144" w:name="_Toc192616759"/>
      <w:bookmarkStart w:id="145" w:name="_Toc1577998"/>
      <w:bookmarkStart w:id="146" w:name="_Toc1578917"/>
      <w:bookmarkStart w:id="147" w:name="_Toc4662152"/>
      <w:bookmarkStart w:id="148" w:name="_Toc98841588"/>
      <w:bookmarkStart w:id="149" w:name="_Hlk130581892"/>
      <w:r w:rsidRPr="005378B1">
        <w:rPr>
          <w:color w:val="auto"/>
        </w:rPr>
        <w:t>Private health insurance</w:t>
      </w:r>
      <w:bookmarkEnd w:id="144"/>
    </w:p>
    <w:p w14:paraId="67C4E73F" w14:textId="52D43808" w:rsidR="00BB33DF" w:rsidRPr="005378B1" w:rsidRDefault="00BB33DF" w:rsidP="005378B1">
      <w:r w:rsidRPr="005378B1">
        <w:t>Total levies funding of $10.</w:t>
      </w:r>
      <w:r w:rsidR="00A41663" w:rsidRPr="005378B1">
        <w:t>0</w:t>
      </w:r>
      <w:r w:rsidRPr="005378B1">
        <w:t xml:space="preserve"> million is to recover APRA’s costs for the supervision of the PHI industry. The total compares to $10.</w:t>
      </w:r>
      <w:r w:rsidR="001C5E66">
        <w:t>0</w:t>
      </w:r>
      <w:r w:rsidR="001C5E66" w:rsidRPr="005378B1">
        <w:t> </w:t>
      </w:r>
      <w:r w:rsidRPr="005378B1">
        <w:t>million in 202</w:t>
      </w:r>
      <w:r w:rsidR="00A60EF9" w:rsidRPr="005378B1">
        <w:t>4</w:t>
      </w:r>
      <w:r w:rsidR="005C04E4" w:rsidRPr="005378B1">
        <w:t>–</w:t>
      </w:r>
      <w:r w:rsidRPr="005378B1">
        <w:t>2</w:t>
      </w:r>
      <w:r w:rsidR="00A60EF9" w:rsidRPr="005378B1">
        <w:t>5</w:t>
      </w:r>
      <w:r w:rsidRPr="005378B1">
        <w:t xml:space="preserve"> (Table 7). Levies funding from private health insurers in 202</w:t>
      </w:r>
      <w:r w:rsidR="00A60EF9" w:rsidRPr="005378B1">
        <w:t>5</w:t>
      </w:r>
      <w:r w:rsidR="005C04E4" w:rsidRPr="005378B1">
        <w:t>–</w:t>
      </w:r>
      <w:r w:rsidRPr="005378B1">
        <w:t>2</w:t>
      </w:r>
      <w:r w:rsidR="00A60EF9" w:rsidRPr="005378B1">
        <w:t>6</w:t>
      </w:r>
      <w:r w:rsidRPr="005378B1">
        <w:t xml:space="preserve"> represents </w:t>
      </w:r>
      <w:r w:rsidR="00420B4A">
        <w:t>3.5</w:t>
      </w:r>
      <w:r w:rsidR="001C5E66" w:rsidRPr="005378B1">
        <w:t> </w:t>
      </w:r>
      <w:r w:rsidRPr="005378B1">
        <w:t xml:space="preserve">per cent of the total levies, </w:t>
      </w:r>
      <w:r w:rsidR="006A588B">
        <w:t>a marginal increase</w:t>
      </w:r>
      <w:r w:rsidR="001C5E66">
        <w:t xml:space="preserve"> </w:t>
      </w:r>
      <w:r w:rsidR="006A588B">
        <w:t xml:space="preserve">from 3.4 per cent in </w:t>
      </w:r>
      <w:r w:rsidR="001C5E66">
        <w:t>2024</w:t>
      </w:r>
      <w:r w:rsidR="008D5790">
        <w:noBreakHyphen/>
      </w:r>
      <w:r w:rsidR="001C5E66">
        <w:t>25.</w:t>
      </w:r>
    </w:p>
    <w:p w14:paraId="5A9D32DE" w14:textId="77777777" w:rsidR="00985F06" w:rsidRPr="00B9423A" w:rsidRDefault="00985F06" w:rsidP="00985F06">
      <w:pPr>
        <w:rPr>
          <w:rFonts w:cs="Calibri Light"/>
          <w:szCs w:val="22"/>
        </w:rPr>
      </w:pPr>
      <w:r w:rsidRPr="00B9423A">
        <w:rPr>
          <w:rFonts w:cs="Calibri Light"/>
          <w:szCs w:val="22"/>
        </w:rPr>
        <w:t>APRA’s key private health insurance specific activities include:</w:t>
      </w:r>
    </w:p>
    <w:p w14:paraId="5BB5608A" w14:textId="77777777" w:rsidR="00985F06" w:rsidRPr="008E5827" w:rsidRDefault="00985F06" w:rsidP="00985F06">
      <w:pPr>
        <w:pStyle w:val="ListParagraph"/>
        <w:numPr>
          <w:ilvl w:val="0"/>
          <w:numId w:val="45"/>
        </w:numPr>
        <w:spacing w:before="60" w:after="120" w:line="276" w:lineRule="auto"/>
        <w:jc w:val="left"/>
        <w:rPr>
          <w:rFonts w:ascii="Calibri Light" w:hAnsi="Calibri Light" w:cs="Calibri Light"/>
        </w:rPr>
      </w:pPr>
      <w:r w:rsidRPr="008E5827">
        <w:rPr>
          <w:rFonts w:ascii="Calibri Light" w:hAnsi="Calibri Light" w:cs="Calibri Light"/>
        </w:rPr>
        <w:t xml:space="preserve">Thematic review to better understand PHI governance structures. </w:t>
      </w:r>
    </w:p>
    <w:p w14:paraId="3CD7851C" w14:textId="411F3FC2" w:rsidR="009C7A2E" w:rsidRPr="00D65DC8" w:rsidRDefault="009C7A2E" w:rsidP="009C7A2E">
      <w:pPr>
        <w:pStyle w:val="ListParagraph"/>
        <w:numPr>
          <w:ilvl w:val="0"/>
          <w:numId w:val="45"/>
        </w:numPr>
        <w:spacing w:before="60" w:after="120" w:line="276" w:lineRule="auto"/>
        <w:jc w:val="left"/>
        <w:rPr>
          <w:rFonts w:ascii="Calibri Light" w:hAnsi="Calibri Light" w:cs="Calibri Light"/>
        </w:rPr>
      </w:pPr>
      <w:r w:rsidRPr="00D65DC8">
        <w:rPr>
          <w:rFonts w:ascii="Calibri Light" w:hAnsi="Calibri Light" w:cs="Calibri Light"/>
        </w:rPr>
        <w:lastRenderedPageBreak/>
        <w:t xml:space="preserve">Close engagement with </w:t>
      </w:r>
      <w:r w:rsidR="00E36CF5">
        <w:rPr>
          <w:rFonts w:ascii="Calibri Light" w:hAnsi="Calibri Light" w:cs="Calibri Light"/>
        </w:rPr>
        <w:t xml:space="preserve">the </w:t>
      </w:r>
      <w:r w:rsidRPr="00D65DC8">
        <w:rPr>
          <w:rFonts w:ascii="Calibri Light" w:hAnsi="Calibri Light" w:cs="Calibri Light"/>
        </w:rPr>
        <w:t xml:space="preserve">Department of Health </w:t>
      </w:r>
      <w:r w:rsidR="00E36CF5">
        <w:rPr>
          <w:rFonts w:ascii="Calibri Light" w:hAnsi="Calibri Light" w:cs="Calibri Light"/>
        </w:rPr>
        <w:t xml:space="preserve">and Aged Care </w:t>
      </w:r>
      <w:r w:rsidRPr="00D65DC8">
        <w:rPr>
          <w:rFonts w:ascii="Calibri Light" w:hAnsi="Calibri Light" w:cs="Calibri Light"/>
        </w:rPr>
        <w:t>on potential reforms to make the sector (</w:t>
      </w:r>
      <w:proofErr w:type="gramStart"/>
      <w:r w:rsidRPr="00D65DC8">
        <w:rPr>
          <w:rFonts w:ascii="Calibri Light" w:hAnsi="Calibri Light" w:cs="Calibri Light"/>
        </w:rPr>
        <w:t>in particular private</w:t>
      </w:r>
      <w:proofErr w:type="gramEnd"/>
      <w:r w:rsidRPr="00D65DC8">
        <w:rPr>
          <w:rFonts w:ascii="Calibri Light" w:hAnsi="Calibri Light" w:cs="Calibri Light"/>
        </w:rPr>
        <w:t xml:space="preserve"> hospitals) more sustainable.  </w:t>
      </w:r>
    </w:p>
    <w:p w14:paraId="768F4221" w14:textId="5DE20CC1" w:rsidR="00BB33DF" w:rsidRPr="005378B1" w:rsidRDefault="00BB33DF" w:rsidP="005378B1">
      <w:r w:rsidRPr="005378B1">
        <w:t>The rate for a single policy for 202</w:t>
      </w:r>
      <w:r w:rsidR="00A60EF9" w:rsidRPr="005378B1">
        <w:t>5</w:t>
      </w:r>
      <w:r w:rsidR="005C04E4" w:rsidRPr="005378B1">
        <w:t>–</w:t>
      </w:r>
      <w:r w:rsidRPr="005378B1">
        <w:t>2</w:t>
      </w:r>
      <w:r w:rsidR="00A60EF9" w:rsidRPr="005378B1">
        <w:t>6</w:t>
      </w:r>
      <w:r w:rsidRPr="005378B1">
        <w:t xml:space="preserve"> is the amount in cents calculated using the formula below. The rates for single and other policies reflect APRA’s expected expenditure on the </w:t>
      </w:r>
      <w:r w:rsidR="00252CD9">
        <w:t>PHI</w:t>
      </w:r>
      <w:r w:rsidRPr="005378B1">
        <w:t xml:space="preserve"> industry.</w:t>
      </w:r>
    </w:p>
    <w:p w14:paraId="70E8ED3D" w14:textId="79D3BA6C" w:rsidR="00BB33DF" w:rsidRPr="005378B1" w:rsidRDefault="00E50C7F" w:rsidP="00E50C7F">
      <w:pPr>
        <w:jc w:val="center"/>
      </w:pPr>
      <w:r>
        <w:rPr>
          <w:noProof/>
        </w:rPr>
        <w:drawing>
          <wp:inline distT="0" distB="0" distL="0" distR="0" wp14:anchorId="4AA3BFA3" wp14:editId="406BF28B">
            <wp:extent cx="4171950" cy="1068516"/>
            <wp:effectExtent l="0" t="0" r="0" b="0"/>
            <wp:docPr id="2109638728" name="Picture 1" descr="Formula to calculate the rate for a single policy for 2025–26 is 1,000,000,000 divided by single coverage policies + (2 times other coverage polic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638728" name="Picture 1" descr="Formula to calculate the rate for a single policy for 2025–26 is 1,000,000,000 divided by single coverage policies + (2 times other coverage policies)."/>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229775" cy="1083326"/>
                    </a:xfrm>
                    <a:prstGeom prst="rect">
                      <a:avLst/>
                    </a:prstGeom>
                  </pic:spPr>
                </pic:pic>
              </a:graphicData>
            </a:graphic>
          </wp:inline>
        </w:drawing>
      </w:r>
    </w:p>
    <w:p w14:paraId="4DC5247C" w14:textId="6B0AF397" w:rsidR="00BB33DF" w:rsidRDefault="00BB33DF" w:rsidP="005378B1">
      <w:pPr>
        <w:keepNext/>
        <w:keepLines/>
        <w:spacing w:before="240"/>
      </w:pPr>
      <w:r w:rsidRPr="005378B1">
        <w:t>The rate for other policies, including joint policies, for 202</w:t>
      </w:r>
      <w:r w:rsidR="00A60EF9" w:rsidRPr="005378B1">
        <w:t>5</w:t>
      </w:r>
      <w:r w:rsidRPr="005378B1">
        <w:t>–2</w:t>
      </w:r>
      <w:r w:rsidR="00A60EF9" w:rsidRPr="005378B1">
        <w:t>6</w:t>
      </w:r>
      <w:r w:rsidRPr="005378B1">
        <w:t xml:space="preserve"> is the amount in cents worked out using the formula below:</w:t>
      </w:r>
    </w:p>
    <w:p w14:paraId="0331E06A" w14:textId="52F14595" w:rsidR="00E50C7F" w:rsidRPr="005378B1" w:rsidRDefault="00E50C7F" w:rsidP="00E50C7F">
      <w:pPr>
        <w:keepNext/>
        <w:keepLines/>
        <w:spacing w:before="240"/>
        <w:jc w:val="center"/>
      </w:pPr>
      <w:r>
        <w:rPr>
          <w:noProof/>
        </w:rPr>
        <w:drawing>
          <wp:inline distT="0" distB="0" distL="0" distR="0" wp14:anchorId="0D073DB3" wp14:editId="04DD7F5E">
            <wp:extent cx="4052729" cy="1083326"/>
            <wp:effectExtent l="0" t="0" r="5080" b="2540"/>
            <wp:docPr id="915218040" name="Picture 1" descr="Formula to calculate the rate for other policies, including joint policies for 2025–26 is 1,000,000,000 divided by single coverage policies + (2 times other coverage policies) multiplied by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218040" name="Picture 1" descr="Formula to calculate the rate for other policies, including joint policies for 2025–26 is 1,000,000,000 divided by single coverage policies + (2 times other coverage policies) multiplied by 2."/>
                    <pic:cNvPicPr/>
                  </pic:nvPicPr>
                  <pic:blipFill>
                    <a:blip r:embed="rId30" cstate="print">
                      <a:extLst>
                        <a:ext uri="{28A0092B-C50C-407E-A947-70E740481C1C}">
                          <a14:useLocalDpi xmlns:a14="http://schemas.microsoft.com/office/drawing/2010/main" val="0"/>
                        </a:ext>
                      </a:extLst>
                    </a:blip>
                    <a:stretch>
                      <a:fillRect/>
                    </a:stretch>
                  </pic:blipFill>
                  <pic:spPr>
                    <a:xfrm>
                      <a:off x="0" y="0"/>
                      <a:ext cx="4052729" cy="1083326"/>
                    </a:xfrm>
                    <a:prstGeom prst="rect">
                      <a:avLst/>
                    </a:prstGeom>
                  </pic:spPr>
                </pic:pic>
              </a:graphicData>
            </a:graphic>
          </wp:inline>
        </w:drawing>
      </w:r>
    </w:p>
    <w:p w14:paraId="498713E2" w14:textId="77777777" w:rsidR="00BB33DF" w:rsidRPr="005378B1" w:rsidRDefault="00BB33DF" w:rsidP="005378B1">
      <w:pPr>
        <w:spacing w:before="240"/>
        <w:rPr>
          <w:lang w:eastAsia="en-US"/>
        </w:rPr>
      </w:pPr>
      <w:r w:rsidRPr="005378B1">
        <w:rPr>
          <w:lang w:eastAsia="en-US"/>
        </w:rPr>
        <w:t>In this rule:</w:t>
      </w:r>
    </w:p>
    <w:p w14:paraId="5E12A41C" w14:textId="44103163" w:rsidR="00BB33DF" w:rsidRPr="005378B1" w:rsidRDefault="00BB33DF" w:rsidP="005378B1">
      <w:pPr>
        <w:pStyle w:val="Bullet"/>
        <w:numPr>
          <w:ilvl w:val="0"/>
          <w:numId w:val="1"/>
        </w:numPr>
        <w:tabs>
          <w:tab w:val="clear" w:pos="720"/>
        </w:tabs>
        <w:spacing w:before="0" w:after="120" w:line="240" w:lineRule="auto"/>
        <w:ind w:left="284" w:hanging="284"/>
      </w:pPr>
      <w:r w:rsidRPr="005378B1">
        <w:t>single coverage policies mean the aggregate number of single policies on issue from all private health insurers on the census day</w:t>
      </w:r>
      <w:r w:rsidR="00AF3937">
        <w:t>.</w:t>
      </w:r>
    </w:p>
    <w:p w14:paraId="0C2EAC4D" w14:textId="77777777" w:rsidR="00BB33DF" w:rsidRPr="005378B1" w:rsidRDefault="00BB33DF" w:rsidP="005378B1">
      <w:pPr>
        <w:pStyle w:val="Bullet"/>
        <w:numPr>
          <w:ilvl w:val="0"/>
          <w:numId w:val="1"/>
        </w:numPr>
        <w:tabs>
          <w:tab w:val="clear" w:pos="720"/>
        </w:tabs>
        <w:spacing w:before="0" w:after="120" w:line="240" w:lineRule="auto"/>
        <w:ind w:left="284" w:hanging="284"/>
      </w:pPr>
      <w:r w:rsidRPr="005378B1">
        <w:t>other coverage policies mean the aggregate number of all other policies, including joint policies, on issue from all private health insurers on the census day.</w:t>
      </w:r>
    </w:p>
    <w:p w14:paraId="2FD934E6" w14:textId="2C03A97A" w:rsidR="00762E42" w:rsidRPr="005378B1" w:rsidRDefault="003C6509" w:rsidP="00097B21">
      <w:pPr>
        <w:spacing w:before="360"/>
        <w:rPr>
          <w:rFonts w:asciiTheme="minorHAnsi" w:hAnsiTheme="minorHAnsi" w:cstheme="minorHAnsi"/>
          <w:szCs w:val="36"/>
        </w:rPr>
      </w:pPr>
      <w:r w:rsidRPr="005378B1">
        <w:rPr>
          <w:rFonts w:asciiTheme="minorHAnsi" w:hAnsiTheme="minorHAnsi" w:cstheme="minorHAnsi"/>
          <w:sz w:val="36"/>
          <w:szCs w:val="36"/>
        </w:rPr>
        <w:t>Superannuation</w:t>
      </w:r>
      <w:bookmarkEnd w:id="145"/>
      <w:bookmarkEnd w:id="146"/>
      <w:bookmarkEnd w:id="147"/>
      <w:bookmarkEnd w:id="148"/>
    </w:p>
    <w:p w14:paraId="07D3E160" w14:textId="7041CAEF" w:rsidR="00DB7EAA" w:rsidRPr="005378B1" w:rsidRDefault="00D91B10" w:rsidP="005378B1">
      <w:pPr>
        <w:keepNext/>
        <w:keepLines/>
      </w:pPr>
      <w:r w:rsidRPr="005378B1">
        <w:t>Total l</w:t>
      </w:r>
      <w:r w:rsidR="003C6509" w:rsidRPr="005378B1">
        <w:t xml:space="preserve">evies funding </w:t>
      </w:r>
      <w:r w:rsidR="0051092B" w:rsidRPr="005378B1">
        <w:t xml:space="preserve">by the superannuation industry </w:t>
      </w:r>
      <w:r w:rsidR="003C6509" w:rsidRPr="005378B1">
        <w:t xml:space="preserve">of </w:t>
      </w:r>
      <w:r w:rsidR="00F460C1">
        <w:t>$112.5</w:t>
      </w:r>
      <w:r w:rsidR="00817842" w:rsidRPr="005378B1">
        <w:t xml:space="preserve"> </w:t>
      </w:r>
      <w:r w:rsidR="003C6509" w:rsidRPr="005378B1">
        <w:t>million consists of $</w:t>
      </w:r>
      <w:r w:rsidR="003312BE">
        <w:t>72.</w:t>
      </w:r>
      <w:r w:rsidR="0032521A">
        <w:t>9</w:t>
      </w:r>
      <w:r w:rsidR="00817842" w:rsidRPr="005378B1">
        <w:t> </w:t>
      </w:r>
      <w:r w:rsidR="003C6509" w:rsidRPr="005378B1">
        <w:t xml:space="preserve">million for APRA’s supervision </w:t>
      </w:r>
      <w:r w:rsidR="0088479A" w:rsidRPr="005378B1">
        <w:t>and</w:t>
      </w:r>
      <w:r w:rsidR="00762E42" w:rsidRPr="005378B1">
        <w:t xml:space="preserve"> $</w:t>
      </w:r>
      <w:r w:rsidR="00617307">
        <w:t>39.6</w:t>
      </w:r>
      <w:r w:rsidR="00EF16E2" w:rsidRPr="005378B1">
        <w:t xml:space="preserve"> </w:t>
      </w:r>
      <w:r w:rsidR="003C6509" w:rsidRPr="005378B1">
        <w:t xml:space="preserve">million for costs relating to </w:t>
      </w:r>
      <w:r w:rsidR="00BF4CCB">
        <w:t xml:space="preserve">the </w:t>
      </w:r>
      <w:r w:rsidR="003C6509" w:rsidRPr="005378B1">
        <w:t>ATO</w:t>
      </w:r>
      <w:r w:rsidR="002B45B9" w:rsidRPr="005378B1">
        <w:t xml:space="preserve">, </w:t>
      </w:r>
      <w:r w:rsidR="003C6509" w:rsidRPr="005378B1">
        <w:t>GNGB</w:t>
      </w:r>
      <w:r w:rsidR="00156E4A" w:rsidRPr="005378B1">
        <w:t xml:space="preserve"> and</w:t>
      </w:r>
      <w:r w:rsidR="002B45B9" w:rsidRPr="005378B1">
        <w:t xml:space="preserve"> the Treasury</w:t>
      </w:r>
      <w:r w:rsidR="00762E42" w:rsidRPr="005378B1">
        <w:t>.</w:t>
      </w:r>
      <w:r w:rsidR="00BF4CCB">
        <w:t xml:space="preserve"> </w:t>
      </w:r>
      <w:r w:rsidR="00D77BFE" w:rsidRPr="005378B1">
        <w:t>This total compares to $</w:t>
      </w:r>
      <w:r w:rsidR="00D77BFE">
        <w:t>121.6</w:t>
      </w:r>
      <w:r w:rsidR="00D77BFE" w:rsidRPr="005378B1">
        <w:t> million in 2024–25 (Table 7).</w:t>
      </w:r>
    </w:p>
    <w:p w14:paraId="3ACF17A6" w14:textId="39C88071" w:rsidR="00762E42" w:rsidRPr="005378B1" w:rsidRDefault="00DB7EAA" w:rsidP="005378B1">
      <w:pPr>
        <w:keepNext/>
        <w:keepLines/>
      </w:pPr>
      <w:r w:rsidRPr="005378B1">
        <w:t>Levies funding from the superannuation industry in 202</w:t>
      </w:r>
      <w:r w:rsidR="00A60EF9" w:rsidRPr="005378B1">
        <w:t>5</w:t>
      </w:r>
      <w:r w:rsidR="005C04E4" w:rsidRPr="005378B1">
        <w:t>–</w:t>
      </w:r>
      <w:r w:rsidRPr="005378B1">
        <w:t>2</w:t>
      </w:r>
      <w:r w:rsidR="00A60EF9" w:rsidRPr="005378B1">
        <w:t>6</w:t>
      </w:r>
      <w:r w:rsidRPr="005378B1">
        <w:t xml:space="preserve"> represents </w:t>
      </w:r>
      <w:r w:rsidR="003660D8">
        <w:t>39.8</w:t>
      </w:r>
      <w:r w:rsidR="003312BE" w:rsidRPr="005378B1">
        <w:t xml:space="preserve"> </w:t>
      </w:r>
      <w:r w:rsidRPr="005378B1">
        <w:t xml:space="preserve">per cent of total levies, </w:t>
      </w:r>
      <w:r w:rsidR="00EF16E2" w:rsidRPr="005378B1">
        <w:t xml:space="preserve">a </w:t>
      </w:r>
      <w:r w:rsidR="003660D8">
        <w:t>de</w:t>
      </w:r>
      <w:r w:rsidR="003312BE">
        <w:t>crease</w:t>
      </w:r>
      <w:r w:rsidR="003312BE" w:rsidRPr="005378B1">
        <w:t xml:space="preserve"> </w:t>
      </w:r>
      <w:r w:rsidR="00EF16E2" w:rsidRPr="005378B1">
        <w:t xml:space="preserve">from </w:t>
      </w:r>
      <w:r w:rsidR="003312BE">
        <w:t>41.4</w:t>
      </w:r>
      <w:r w:rsidR="001C240F" w:rsidRPr="005378B1">
        <w:t> </w:t>
      </w:r>
      <w:r w:rsidRPr="005378B1">
        <w:t>per cent in 202</w:t>
      </w:r>
      <w:r w:rsidR="00A60EF9" w:rsidRPr="005378B1">
        <w:t>4</w:t>
      </w:r>
      <w:r w:rsidR="005C04E4" w:rsidRPr="005378B1">
        <w:t>–</w:t>
      </w:r>
      <w:r w:rsidRPr="005378B1">
        <w:t>2</w:t>
      </w:r>
      <w:r w:rsidR="00A60EF9" w:rsidRPr="005378B1">
        <w:t>5</w:t>
      </w:r>
      <w:r w:rsidRPr="005378B1">
        <w:t xml:space="preserve">. </w:t>
      </w:r>
      <w:r w:rsidR="003C6509" w:rsidRPr="005378B1">
        <w:t>The levy minimum</w:t>
      </w:r>
      <w:r w:rsidR="00215EBA" w:rsidRPr="005378B1">
        <w:t xml:space="preserve"> remain</w:t>
      </w:r>
      <w:r w:rsidR="00E8253A">
        <w:t>s</w:t>
      </w:r>
      <w:r w:rsidR="00215EBA" w:rsidRPr="005378B1">
        <w:t xml:space="preserve"> unchanged </w:t>
      </w:r>
      <w:r w:rsidR="00A00EEE" w:rsidRPr="005378B1">
        <w:t>for 2025</w:t>
      </w:r>
      <w:r w:rsidR="005C04E4" w:rsidRPr="005378B1">
        <w:t>–</w:t>
      </w:r>
      <w:r w:rsidR="00A00EEE" w:rsidRPr="005378B1">
        <w:t xml:space="preserve">26 </w:t>
      </w:r>
      <w:r w:rsidR="00B873FC" w:rsidRPr="005378B1">
        <w:t>at</w:t>
      </w:r>
      <w:r w:rsidR="00762E42" w:rsidRPr="005378B1">
        <w:t xml:space="preserve"> </w:t>
      </w:r>
      <w:r w:rsidR="00282B33" w:rsidRPr="005378B1">
        <w:t>$12,500</w:t>
      </w:r>
      <w:r w:rsidR="00E8253A">
        <w:t>.</w:t>
      </w:r>
      <w:r w:rsidR="003C6509" w:rsidRPr="005378B1">
        <w:t xml:space="preserve"> </w:t>
      </w:r>
      <w:r w:rsidR="009101D6">
        <w:t xml:space="preserve">The levy maximum has increased to </w:t>
      </w:r>
      <w:r w:rsidR="00093AF3" w:rsidRPr="005378B1">
        <w:t>$</w:t>
      </w:r>
      <w:r w:rsidR="003312BE">
        <w:t>9</w:t>
      </w:r>
      <w:r w:rsidR="009101D6">
        <w:t>50</w:t>
      </w:r>
      <w:r w:rsidR="00093AF3" w:rsidRPr="005378B1">
        <w:t xml:space="preserve">,000 </w:t>
      </w:r>
      <w:r w:rsidR="00A00EEE">
        <w:t>for 2025</w:t>
      </w:r>
      <w:r w:rsidR="005C04E4" w:rsidRPr="005378B1">
        <w:t>–</w:t>
      </w:r>
      <w:r w:rsidR="00A00EEE">
        <w:t>26</w:t>
      </w:r>
      <w:r w:rsidR="00762E42" w:rsidRPr="005378B1">
        <w:t>.</w:t>
      </w:r>
    </w:p>
    <w:p w14:paraId="3B304335" w14:textId="77777777" w:rsidR="00985F06" w:rsidRPr="008E5827" w:rsidRDefault="00985F06" w:rsidP="00985F06">
      <w:pPr>
        <w:rPr>
          <w:rFonts w:cs="Calibri Light"/>
        </w:rPr>
      </w:pPr>
      <w:r w:rsidRPr="008E5827">
        <w:rPr>
          <w:rFonts w:cs="Calibri Light"/>
        </w:rPr>
        <w:t>APRA’s key activities in the superannuation industry will continue to focus on assessing trustees’ policies, processes and practices in delivering good member outcomes, including:</w:t>
      </w:r>
    </w:p>
    <w:p w14:paraId="458F0BEA" w14:textId="5BF454E0" w:rsidR="00985F06" w:rsidRPr="008E5827" w:rsidRDefault="00985F06" w:rsidP="00985F06">
      <w:pPr>
        <w:pStyle w:val="ListParagraph"/>
        <w:numPr>
          <w:ilvl w:val="0"/>
          <w:numId w:val="44"/>
        </w:numPr>
        <w:spacing w:before="60" w:after="120" w:line="276" w:lineRule="auto"/>
        <w:jc w:val="left"/>
        <w:rPr>
          <w:rFonts w:ascii="Calibri Light" w:hAnsi="Calibri Light" w:cs="Calibri Light"/>
        </w:rPr>
      </w:pPr>
      <w:r w:rsidRPr="008E5827">
        <w:rPr>
          <w:rFonts w:ascii="Calibri Light" w:hAnsi="Calibri Light" w:cs="Calibri Light"/>
        </w:rPr>
        <w:t xml:space="preserve">Asset valuation and liquidity risk management </w:t>
      </w:r>
      <w:r w:rsidR="00323E47" w:rsidRPr="00B9423A">
        <w:rPr>
          <w:rFonts w:ascii="Calibri Light" w:hAnsi="Calibri Light" w:cs="Calibri Light"/>
          <w:szCs w:val="22"/>
        </w:rPr>
        <w:t>–</w:t>
      </w:r>
      <w:r w:rsidRPr="008E5827">
        <w:rPr>
          <w:rFonts w:ascii="Calibri Light" w:hAnsi="Calibri Light" w:cs="Calibri Light"/>
        </w:rPr>
        <w:t xml:space="preserve"> APRA will continue </w:t>
      </w:r>
      <w:r w:rsidR="00CB0540">
        <w:rPr>
          <w:rFonts w:ascii="Calibri Light" w:hAnsi="Calibri Light" w:cs="Calibri Light"/>
        </w:rPr>
        <w:t xml:space="preserve">to </w:t>
      </w:r>
      <w:r w:rsidRPr="008E5827">
        <w:rPr>
          <w:rFonts w:ascii="Calibri Light" w:hAnsi="Calibri Light" w:cs="Calibri Light"/>
        </w:rPr>
        <w:t xml:space="preserve">focus on RSE </w:t>
      </w:r>
      <w:r w:rsidR="00E60170">
        <w:rPr>
          <w:rFonts w:ascii="Calibri Light" w:hAnsi="Calibri Light" w:cs="Calibri Light"/>
        </w:rPr>
        <w:t>licens</w:t>
      </w:r>
      <w:r w:rsidRPr="008E5827">
        <w:rPr>
          <w:rFonts w:ascii="Calibri Light" w:hAnsi="Calibri Light" w:cs="Calibri Light"/>
        </w:rPr>
        <w:t>ees’ governance of asset valuation and liquidity risk management practices and address findings from recent thematic work on these topics. APRA is finalising its initial review into trustees’ approaches to investment management internalisation as bringing investment functions in</w:t>
      </w:r>
      <w:r w:rsidR="00CB0B46">
        <w:rPr>
          <w:rFonts w:ascii="Calibri Light" w:hAnsi="Calibri Light" w:cs="Calibri Light"/>
        </w:rPr>
        <w:noBreakHyphen/>
      </w:r>
      <w:r w:rsidRPr="008E5827">
        <w:rPr>
          <w:rFonts w:ascii="Calibri Light" w:hAnsi="Calibri Light" w:cs="Calibri Light"/>
        </w:rPr>
        <w:t>house can lead to meaningful changes in an RSE licensee’s risk profile. APRA will continue its review of trustees’ investment governance practices for platform products and address findings, as needed.</w:t>
      </w:r>
    </w:p>
    <w:p w14:paraId="1BC8EAAC" w14:textId="47690FCF" w:rsidR="00985F06" w:rsidRPr="008E5827" w:rsidRDefault="00985F06" w:rsidP="00985F06">
      <w:pPr>
        <w:pStyle w:val="ListParagraph"/>
        <w:numPr>
          <w:ilvl w:val="0"/>
          <w:numId w:val="44"/>
        </w:numPr>
        <w:spacing w:before="60" w:after="120" w:line="276" w:lineRule="auto"/>
        <w:jc w:val="left"/>
        <w:rPr>
          <w:rFonts w:ascii="Calibri Light" w:hAnsi="Calibri Light" w:cs="Calibri Light"/>
        </w:rPr>
      </w:pPr>
      <w:r w:rsidRPr="008E5827">
        <w:rPr>
          <w:rFonts w:ascii="Calibri Light" w:hAnsi="Calibri Light" w:cs="Calibri Light"/>
        </w:rPr>
        <w:lastRenderedPageBreak/>
        <w:t xml:space="preserve">Retirement outcomes </w:t>
      </w:r>
      <w:r w:rsidR="001557C6" w:rsidRPr="00B9423A">
        <w:rPr>
          <w:rFonts w:ascii="Calibri Light" w:hAnsi="Calibri Light" w:cs="Calibri Light"/>
          <w:szCs w:val="22"/>
        </w:rPr>
        <w:t>–</w:t>
      </w:r>
      <w:r w:rsidRPr="008E5827">
        <w:rPr>
          <w:rFonts w:ascii="Calibri Light" w:hAnsi="Calibri Light" w:cs="Calibri Light"/>
        </w:rPr>
        <w:t xml:space="preserve"> APRA will continue engagement with RSE licensees to drive progress in improving the retirement outcomes of members. APRA is working closely with </w:t>
      </w:r>
      <w:r w:rsidR="00F34FA9">
        <w:rPr>
          <w:rFonts w:ascii="Calibri Light" w:hAnsi="Calibri Light" w:cs="Calibri Light"/>
        </w:rPr>
        <w:t>g</w:t>
      </w:r>
      <w:r w:rsidRPr="008E5827">
        <w:rPr>
          <w:rFonts w:ascii="Calibri Light" w:hAnsi="Calibri Light" w:cs="Calibri Light"/>
        </w:rPr>
        <w:t xml:space="preserve">overnment to implement </w:t>
      </w:r>
      <w:r w:rsidR="00F34FA9">
        <w:rPr>
          <w:rFonts w:ascii="Calibri Light" w:hAnsi="Calibri Light" w:cs="Calibri Light"/>
        </w:rPr>
        <w:t>the</w:t>
      </w:r>
      <w:r w:rsidRPr="008E5827">
        <w:rPr>
          <w:rFonts w:ascii="Calibri Light" w:hAnsi="Calibri Light" w:cs="Calibri Light"/>
        </w:rPr>
        <w:t xml:space="preserve"> new Retirement Reporting Framework to improve transparency of </w:t>
      </w:r>
      <w:r w:rsidR="007F42E9">
        <w:rPr>
          <w:rFonts w:ascii="Calibri Light" w:hAnsi="Calibri Light" w:cs="Calibri Light"/>
        </w:rPr>
        <w:t>the</w:t>
      </w:r>
      <w:r w:rsidRPr="008E5827">
        <w:rPr>
          <w:rFonts w:ascii="Calibri Light" w:hAnsi="Calibri Light" w:cs="Calibri Light"/>
        </w:rPr>
        <w:t xml:space="preserve"> outcomes delivered</w:t>
      </w:r>
      <w:r w:rsidR="007F42E9">
        <w:rPr>
          <w:rFonts w:ascii="Calibri Light" w:hAnsi="Calibri Light" w:cs="Calibri Light"/>
        </w:rPr>
        <w:t xml:space="preserve"> </w:t>
      </w:r>
      <w:r w:rsidR="00311006">
        <w:rPr>
          <w:rFonts w:ascii="Calibri Light" w:hAnsi="Calibri Light" w:cs="Calibri Light"/>
        </w:rPr>
        <w:t xml:space="preserve">to members </w:t>
      </w:r>
      <w:r w:rsidR="007F42E9">
        <w:rPr>
          <w:rFonts w:ascii="Calibri Light" w:hAnsi="Calibri Light" w:cs="Calibri Light"/>
        </w:rPr>
        <w:t>in retirement</w:t>
      </w:r>
      <w:r w:rsidRPr="008E5827">
        <w:rPr>
          <w:rFonts w:ascii="Calibri Light" w:hAnsi="Calibri Light" w:cs="Calibri Light"/>
        </w:rPr>
        <w:t>, as announced by the Treasurer in November</w:t>
      </w:r>
      <w:r w:rsidR="00872ABC">
        <w:rPr>
          <w:rFonts w:ascii="Calibri Light" w:hAnsi="Calibri Light" w:cs="Calibri Light"/>
        </w:rPr>
        <w:t> </w:t>
      </w:r>
      <w:r w:rsidRPr="008E5827">
        <w:rPr>
          <w:rFonts w:ascii="Calibri Light" w:hAnsi="Calibri Light" w:cs="Calibri Light"/>
        </w:rPr>
        <w:t>2024. APRA is also working with ASIC to deliver findings from its 2025 Pulse Check to continue monitor</w:t>
      </w:r>
      <w:r w:rsidR="00CF34B7">
        <w:rPr>
          <w:rFonts w:ascii="Calibri Light" w:hAnsi="Calibri Light" w:cs="Calibri Light"/>
        </w:rPr>
        <w:t>ing</w:t>
      </w:r>
      <w:r w:rsidRPr="008E5827">
        <w:rPr>
          <w:rFonts w:ascii="Calibri Light" w:hAnsi="Calibri Light" w:cs="Calibri Light"/>
        </w:rPr>
        <w:t xml:space="preserve"> RSE licensee</w:t>
      </w:r>
      <w:r w:rsidR="00CF34B7">
        <w:rPr>
          <w:rFonts w:ascii="Calibri Light" w:hAnsi="Calibri Light" w:cs="Calibri Light"/>
        </w:rPr>
        <w:t>s’ progress</w:t>
      </w:r>
      <w:r w:rsidRPr="008E5827">
        <w:rPr>
          <w:rFonts w:ascii="Calibri Light" w:hAnsi="Calibri Light" w:cs="Calibri Light"/>
        </w:rPr>
        <w:t xml:space="preserve"> in implementing the retirement income covenant. </w:t>
      </w:r>
    </w:p>
    <w:p w14:paraId="05DF9A16" w14:textId="1EE4AB11" w:rsidR="00985F06" w:rsidRPr="008E5827" w:rsidRDefault="00985F06" w:rsidP="00985F06">
      <w:pPr>
        <w:pStyle w:val="ListParagraph"/>
        <w:numPr>
          <w:ilvl w:val="0"/>
          <w:numId w:val="46"/>
        </w:numPr>
        <w:spacing w:before="60" w:after="120" w:line="276" w:lineRule="auto"/>
        <w:jc w:val="left"/>
        <w:rPr>
          <w:rFonts w:ascii="Calibri Light" w:hAnsi="Calibri Light" w:cs="Calibri Light"/>
        </w:rPr>
      </w:pPr>
      <w:r w:rsidRPr="008E5827">
        <w:rPr>
          <w:rFonts w:ascii="Calibri Light" w:hAnsi="Calibri Light" w:cs="Calibri Light"/>
        </w:rPr>
        <w:t xml:space="preserve">Member outcomes – APRA will continue </w:t>
      </w:r>
      <w:r w:rsidR="009235AF">
        <w:rPr>
          <w:rFonts w:ascii="Calibri Light" w:hAnsi="Calibri Light" w:cs="Calibri Light"/>
        </w:rPr>
        <w:t xml:space="preserve">to </w:t>
      </w:r>
      <w:r w:rsidRPr="008E5827">
        <w:rPr>
          <w:rFonts w:ascii="Calibri Light" w:hAnsi="Calibri Light" w:cs="Calibri Light"/>
        </w:rPr>
        <w:t>focus on holding trustees accountable for addressing underperformance with urgency, particularly where it is widespread across a product set, to improve outcomes for members.</w:t>
      </w:r>
    </w:p>
    <w:p w14:paraId="6E26EA0C" w14:textId="73B1421D" w:rsidR="00985F06" w:rsidRPr="008E5827" w:rsidRDefault="00985F06" w:rsidP="00985F06">
      <w:pPr>
        <w:pStyle w:val="ListParagraph"/>
        <w:numPr>
          <w:ilvl w:val="0"/>
          <w:numId w:val="46"/>
        </w:numPr>
        <w:spacing w:before="60" w:after="120" w:line="276" w:lineRule="auto"/>
        <w:jc w:val="left"/>
        <w:rPr>
          <w:rFonts w:ascii="Calibri Light" w:hAnsi="Calibri Light" w:cs="Calibri Light"/>
        </w:rPr>
      </w:pPr>
      <w:r w:rsidRPr="008E5827">
        <w:rPr>
          <w:rFonts w:ascii="Calibri Light" w:hAnsi="Calibri Light" w:cs="Calibri Light"/>
        </w:rPr>
        <w:t>Expenditure – APRA will maintain intens</w:t>
      </w:r>
      <w:r w:rsidR="00BF4282">
        <w:rPr>
          <w:rFonts w:ascii="Calibri Light" w:hAnsi="Calibri Light" w:cs="Calibri Light"/>
        </w:rPr>
        <w:t>e</w:t>
      </w:r>
      <w:r w:rsidRPr="008E5827">
        <w:rPr>
          <w:rFonts w:ascii="Calibri Light" w:hAnsi="Calibri Light" w:cs="Calibri Light"/>
        </w:rPr>
        <w:t xml:space="preserve"> scrutiny of fund-level expenditure to hold RSE licensees accountable </w:t>
      </w:r>
      <w:r w:rsidR="000B76D5">
        <w:rPr>
          <w:rFonts w:ascii="Calibri Light" w:hAnsi="Calibri Light" w:cs="Calibri Light"/>
        </w:rPr>
        <w:t>for</w:t>
      </w:r>
      <w:r w:rsidRPr="008E5827">
        <w:rPr>
          <w:rFonts w:ascii="Calibri Light" w:hAnsi="Calibri Light" w:cs="Calibri Light"/>
        </w:rPr>
        <w:t xml:space="preserve"> improv</w:t>
      </w:r>
      <w:r w:rsidR="000B76D5">
        <w:rPr>
          <w:rFonts w:ascii="Calibri Light" w:hAnsi="Calibri Light" w:cs="Calibri Light"/>
        </w:rPr>
        <w:t>ing</w:t>
      </w:r>
      <w:r w:rsidRPr="008E5827">
        <w:rPr>
          <w:rFonts w:ascii="Calibri Light" w:hAnsi="Calibri Light" w:cs="Calibri Light"/>
        </w:rPr>
        <w:t xml:space="preserve"> practices, reduc</w:t>
      </w:r>
      <w:r w:rsidR="000B76D5">
        <w:rPr>
          <w:rFonts w:ascii="Calibri Light" w:hAnsi="Calibri Light" w:cs="Calibri Light"/>
        </w:rPr>
        <w:t>ing</w:t>
      </w:r>
      <w:r w:rsidRPr="008E5827">
        <w:rPr>
          <w:rFonts w:ascii="Calibri Light" w:hAnsi="Calibri Light" w:cs="Calibri Light"/>
        </w:rPr>
        <w:t xml:space="preserve"> spending that is deemed not in members’ be</w:t>
      </w:r>
      <w:r w:rsidR="00127A0C">
        <w:rPr>
          <w:rFonts w:ascii="Calibri Light" w:hAnsi="Calibri Light" w:cs="Calibri Light"/>
        </w:rPr>
        <w:t>s</w:t>
      </w:r>
      <w:r w:rsidRPr="008E5827">
        <w:rPr>
          <w:rFonts w:ascii="Calibri Light" w:hAnsi="Calibri Light" w:cs="Calibri Light"/>
        </w:rPr>
        <w:t>t financial interest</w:t>
      </w:r>
      <w:r w:rsidR="00127A0C">
        <w:rPr>
          <w:rFonts w:ascii="Calibri Light" w:hAnsi="Calibri Light" w:cs="Calibri Light"/>
        </w:rPr>
        <w:t>s</w:t>
      </w:r>
      <w:r w:rsidRPr="008E5827">
        <w:rPr>
          <w:rFonts w:ascii="Calibri Light" w:hAnsi="Calibri Light" w:cs="Calibri Light"/>
        </w:rPr>
        <w:t xml:space="preserve"> and promot</w:t>
      </w:r>
      <w:r w:rsidR="00127A0C">
        <w:rPr>
          <w:rFonts w:ascii="Calibri Light" w:hAnsi="Calibri Light" w:cs="Calibri Light"/>
        </w:rPr>
        <w:t>ing</w:t>
      </w:r>
      <w:r w:rsidRPr="008E5827">
        <w:rPr>
          <w:rFonts w:ascii="Calibri Light" w:hAnsi="Calibri Light" w:cs="Calibri Light"/>
        </w:rPr>
        <w:t xml:space="preserve"> the financial interests of their members. APRA will take a targeted approach to this expenditure supervision and continue to publish an increasing amount of data to improve transparency across the superannuation industry.  </w:t>
      </w:r>
    </w:p>
    <w:p w14:paraId="5A9E93B3" w14:textId="60819B9C" w:rsidR="006A1468" w:rsidRPr="005378B1" w:rsidRDefault="006A1468" w:rsidP="005378B1">
      <w:r w:rsidRPr="005378B1">
        <w:t>Trustees continue to operate in a heightened risk environment with increasing cyber risks and investment markets that are changing in response to inflation, higher interest rates and geopolitical factors. APRA will assess and address any observed deficiencies in how trustees are preparing for the changing environment, including their operational resilience in responding to cyber security events and the adequacy of their practices to respond to market stresses, including possible liquidity stress.</w:t>
      </w:r>
    </w:p>
    <w:p w14:paraId="430A6133" w14:textId="79B6BE8C" w:rsidR="006104A9" w:rsidRPr="005378B1" w:rsidRDefault="006104A9" w:rsidP="005378B1">
      <w:r w:rsidRPr="005378B1">
        <w:t xml:space="preserve">The levy amount for </w:t>
      </w:r>
      <w:r w:rsidRPr="005378B1" w:rsidDel="00574A62">
        <w:t xml:space="preserve">Small </w:t>
      </w:r>
      <w:r w:rsidRPr="005378B1">
        <w:t xml:space="preserve">APRA </w:t>
      </w:r>
      <w:r w:rsidRPr="005378B1" w:rsidDel="00574A62">
        <w:t xml:space="preserve">Funds </w:t>
      </w:r>
      <w:r w:rsidRPr="005378B1">
        <w:t xml:space="preserve">(SAFs) and </w:t>
      </w:r>
      <w:r w:rsidRPr="005378B1" w:rsidDel="00574A62">
        <w:t xml:space="preserve">Single Member </w:t>
      </w:r>
      <w:r w:rsidRPr="005378B1" w:rsidDel="004D1D2A">
        <w:t xml:space="preserve">Approved Deposit </w:t>
      </w:r>
      <w:r w:rsidRPr="005378B1">
        <w:t>Funds</w:t>
      </w:r>
      <w:r w:rsidR="004D1D2A" w:rsidRPr="005378B1">
        <w:t xml:space="preserve"> </w:t>
      </w:r>
      <w:r w:rsidRPr="005378B1">
        <w:t xml:space="preserve">(SMADFs) will </w:t>
      </w:r>
      <w:r w:rsidR="005725BE">
        <w:t xml:space="preserve">remain unchanged, </w:t>
      </w:r>
      <w:r w:rsidRPr="005378B1">
        <w:t>at a flat rate of $590 per fund.</w:t>
      </w:r>
    </w:p>
    <w:p w14:paraId="1E143296" w14:textId="317694A7" w:rsidR="00762E42" w:rsidRPr="005378B1" w:rsidRDefault="003C6509" w:rsidP="00097B21">
      <w:pPr>
        <w:pStyle w:val="Heading2"/>
        <w:spacing w:line="240" w:lineRule="auto"/>
        <w:rPr>
          <w:color w:val="auto"/>
        </w:rPr>
      </w:pPr>
      <w:bookmarkStart w:id="150" w:name="_Toc1575316"/>
      <w:bookmarkStart w:id="151" w:name="_Toc1578000"/>
      <w:bookmarkStart w:id="152" w:name="_Toc1578919"/>
      <w:bookmarkStart w:id="153" w:name="_Toc4662154"/>
      <w:bookmarkStart w:id="154" w:name="_Toc98841590"/>
      <w:bookmarkStart w:id="155" w:name="_Toc192616760"/>
      <w:bookmarkEnd w:id="149"/>
      <w:r w:rsidRPr="005378B1">
        <w:rPr>
          <w:color w:val="auto"/>
        </w:rPr>
        <w:t>Non-operating holding companies</w:t>
      </w:r>
      <w:bookmarkEnd w:id="150"/>
      <w:bookmarkEnd w:id="151"/>
      <w:bookmarkEnd w:id="152"/>
      <w:bookmarkEnd w:id="153"/>
      <w:bookmarkEnd w:id="154"/>
      <w:bookmarkEnd w:id="155"/>
    </w:p>
    <w:p w14:paraId="07E57378" w14:textId="5AEC999A" w:rsidR="00762E42" w:rsidRPr="005378B1" w:rsidRDefault="008E248B" w:rsidP="005378B1">
      <w:r w:rsidRPr="005378B1">
        <w:t xml:space="preserve">The </w:t>
      </w:r>
      <w:r w:rsidR="00100FC4" w:rsidRPr="005378B1">
        <w:t>202</w:t>
      </w:r>
      <w:r w:rsidR="00A60EF9" w:rsidRPr="005378B1">
        <w:t>5</w:t>
      </w:r>
      <w:r w:rsidR="005C04E4" w:rsidRPr="005378B1">
        <w:t>–</w:t>
      </w:r>
      <w:r w:rsidR="00100FC4" w:rsidRPr="005378B1">
        <w:t>2</w:t>
      </w:r>
      <w:r w:rsidR="00A60EF9" w:rsidRPr="005378B1">
        <w:t>6</w:t>
      </w:r>
      <w:r w:rsidR="00100FC4" w:rsidRPr="005378B1">
        <w:t xml:space="preserve"> levy for a</w:t>
      </w:r>
      <w:r w:rsidR="003C6509" w:rsidRPr="005378B1">
        <w:t>uthorised non</w:t>
      </w:r>
      <w:r w:rsidR="003C6509" w:rsidRPr="005378B1">
        <w:noBreakHyphen/>
        <w:t xml:space="preserve">operating holding companies (NOHCs) will </w:t>
      </w:r>
      <w:r w:rsidR="00100FC4" w:rsidRPr="005378B1">
        <w:t>remain unchanged</w:t>
      </w:r>
      <w:r w:rsidR="00A56476" w:rsidRPr="005378B1">
        <w:t>,</w:t>
      </w:r>
      <w:r w:rsidR="00100FC4" w:rsidRPr="005378B1">
        <w:t xml:space="preserve"> at a </w:t>
      </w:r>
      <w:r w:rsidR="003C6509" w:rsidRPr="005378B1">
        <w:t xml:space="preserve">flat fee </w:t>
      </w:r>
      <w:r w:rsidR="00100FC4" w:rsidRPr="005378B1">
        <w:t>of</w:t>
      </w:r>
      <w:r w:rsidR="003C6509" w:rsidRPr="005378B1">
        <w:t xml:space="preserve"> $45,000 per </w:t>
      </w:r>
      <w:r w:rsidR="00143F41">
        <w:t>entity</w:t>
      </w:r>
      <w:r w:rsidR="003C6509" w:rsidRPr="005378B1">
        <w:t>.</w:t>
      </w:r>
    </w:p>
    <w:p w14:paraId="2CA7050E" w14:textId="121A1C74" w:rsidR="0051070D" w:rsidRPr="005378B1" w:rsidRDefault="0051070D" w:rsidP="005378B1">
      <w:pPr>
        <w:pStyle w:val="Heading1"/>
        <w:rPr>
          <w:color w:val="auto"/>
        </w:rPr>
      </w:pPr>
      <w:bookmarkStart w:id="156" w:name="_Toc192616761"/>
      <w:bookmarkStart w:id="157" w:name="_Toc1578001"/>
      <w:bookmarkStart w:id="158" w:name="_Toc1578920"/>
      <w:bookmarkStart w:id="159" w:name="_Toc4662155"/>
      <w:bookmarkStart w:id="160" w:name="_Toc98841591"/>
      <w:r w:rsidRPr="005378B1">
        <w:rPr>
          <w:color w:val="auto"/>
        </w:rPr>
        <w:t>Levies comparison between previous year and 202</w:t>
      </w:r>
      <w:r w:rsidR="00CE7991" w:rsidRPr="005378B1">
        <w:rPr>
          <w:color w:val="auto"/>
        </w:rPr>
        <w:t>5</w:t>
      </w:r>
      <w:r w:rsidRPr="005378B1">
        <w:rPr>
          <w:color w:val="auto"/>
        </w:rPr>
        <w:t>-2</w:t>
      </w:r>
      <w:r w:rsidR="00CE7991" w:rsidRPr="005378B1">
        <w:rPr>
          <w:color w:val="auto"/>
        </w:rPr>
        <w:t>6</w:t>
      </w:r>
      <w:bookmarkEnd w:id="156"/>
    </w:p>
    <w:p w14:paraId="1E79C055" w14:textId="74A7D6AB" w:rsidR="0051070D" w:rsidRPr="005378B1" w:rsidRDefault="0051070D" w:rsidP="005378B1">
      <w:pPr>
        <w:keepNext/>
        <w:keepLines/>
        <w:spacing w:after="220"/>
      </w:pPr>
      <w:r w:rsidRPr="005378B1">
        <w:t xml:space="preserve">This section presents how the levy payable by a non-PHI </w:t>
      </w:r>
      <w:r w:rsidR="003C28D3">
        <w:t>entity</w:t>
      </w:r>
      <w:r w:rsidR="003C28D3" w:rsidRPr="005378B1">
        <w:t xml:space="preserve"> </w:t>
      </w:r>
      <w:r w:rsidRPr="005378B1">
        <w:t>will be determined in 202</w:t>
      </w:r>
      <w:r w:rsidR="00CE7991" w:rsidRPr="005378B1">
        <w:t>5</w:t>
      </w:r>
      <w:r w:rsidR="005C04E4" w:rsidRPr="005378B1">
        <w:t>–</w:t>
      </w:r>
      <w:r w:rsidRPr="005378B1">
        <w:t>2</w:t>
      </w:r>
      <w:r w:rsidR="00CE7991" w:rsidRPr="005378B1">
        <w:t>6</w:t>
      </w:r>
      <w:r w:rsidRPr="005378B1">
        <w:rPr>
          <w:szCs w:val="24"/>
        </w:rPr>
        <w:t>.</w:t>
      </w:r>
      <w:r w:rsidRPr="005378B1">
        <w:t xml:space="preserve"> The prospective restricted rates, minimum, maximum, and unrestricted rates for each option are listed in Table 10</w:t>
      </w:r>
      <w:r w:rsidR="00163E1B">
        <w:t>.1 to</w:t>
      </w:r>
      <w:r w:rsidRPr="005378B1">
        <w:t xml:space="preserve"> </w:t>
      </w:r>
      <w:r w:rsidR="007B74BB">
        <w:t xml:space="preserve">Table </w:t>
      </w:r>
      <w:proofErr w:type="gramStart"/>
      <w:r w:rsidR="007B74BB">
        <w:t>10.7</w:t>
      </w:r>
      <w:r w:rsidR="003E7176">
        <w:t>,</w:t>
      </w:r>
      <w:r w:rsidR="007B74BB">
        <w:t xml:space="preserve"> </w:t>
      </w:r>
      <w:r w:rsidRPr="005378B1">
        <w:t>and</w:t>
      </w:r>
      <w:proofErr w:type="gramEnd"/>
      <w:r w:rsidRPr="005378B1">
        <w:t xml:space="preserve"> compared to the actual parameters from 202</w:t>
      </w:r>
      <w:r w:rsidR="00CE7991" w:rsidRPr="005378B1">
        <w:t>4</w:t>
      </w:r>
      <w:r w:rsidR="005C04E4" w:rsidRPr="005378B1">
        <w:t>–</w:t>
      </w:r>
      <w:r w:rsidRPr="005378B1">
        <w:t>2</w:t>
      </w:r>
      <w:r w:rsidR="00CE7991" w:rsidRPr="005378B1">
        <w:t>5</w:t>
      </w:r>
      <w:r w:rsidRPr="005378B1">
        <w:t>.</w:t>
      </w:r>
    </w:p>
    <w:p w14:paraId="4C52F2A8" w14:textId="77777777" w:rsidR="007C3180" w:rsidRDefault="007C3180">
      <w:pPr>
        <w:spacing w:before="0" w:after="160" w:line="259" w:lineRule="auto"/>
      </w:pPr>
      <w:bookmarkStart w:id="161" w:name="_Toc104212366"/>
      <w:bookmarkStart w:id="162" w:name="_Toc192616588"/>
      <w:bookmarkStart w:id="163" w:name="_Toc192616762"/>
      <w:bookmarkEnd w:id="157"/>
      <w:bookmarkEnd w:id="158"/>
      <w:bookmarkEnd w:id="159"/>
      <w:bookmarkEnd w:id="160"/>
      <w:r>
        <w:br w:type="page"/>
      </w:r>
    </w:p>
    <w:p w14:paraId="09A6438E" w14:textId="714F8B96" w:rsidR="00762E42" w:rsidRPr="001809DE" w:rsidRDefault="003C6509" w:rsidP="001809DE">
      <w:pPr>
        <w:pStyle w:val="TableMainHeading"/>
        <w:rPr>
          <w:rFonts w:ascii="Arial" w:hAnsi="Arial"/>
          <w:color w:val="auto"/>
        </w:rPr>
      </w:pPr>
      <w:bookmarkStart w:id="164" w:name="_Hlk193704726"/>
      <w:r w:rsidRPr="001809DE">
        <w:rPr>
          <w:color w:val="auto"/>
        </w:rPr>
        <w:lastRenderedPageBreak/>
        <w:t>Table 10</w:t>
      </w:r>
      <w:r w:rsidR="001809DE">
        <w:rPr>
          <w:color w:val="auto"/>
        </w:rPr>
        <w:t>.1</w:t>
      </w:r>
      <w:r w:rsidRPr="001809DE">
        <w:rPr>
          <w:color w:val="auto"/>
        </w:rPr>
        <w:t>: Levy parameters</w:t>
      </w:r>
      <w:r w:rsidR="00986B23">
        <w:rPr>
          <w:color w:val="auto"/>
        </w:rPr>
        <w:t xml:space="preserve"> – ADIs (locally incorporated)</w:t>
      </w:r>
      <w:bookmarkEnd w:id="161"/>
      <w:bookmarkEnd w:id="162"/>
      <w:bookmarkEnd w:id="16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9"/>
        <w:gridCol w:w="2049"/>
        <w:gridCol w:w="2131"/>
        <w:gridCol w:w="2171"/>
      </w:tblGrid>
      <w:tr w:rsidR="009800BE" w:rsidRPr="009800BE" w14:paraId="13B44A2C" w14:textId="77777777" w:rsidTr="005926ED">
        <w:trPr>
          <w:cantSplit/>
          <w:trHeight w:val="284"/>
          <w:tblHeader/>
        </w:trPr>
        <w:tc>
          <w:tcPr>
            <w:tcW w:w="1495" w:type="pct"/>
            <w:shd w:val="clear" w:color="auto" w:fill="EEEEEE" w:themeFill="background2"/>
            <w:vAlign w:val="center"/>
            <w:hideMark/>
          </w:tcPr>
          <w:bookmarkEnd w:id="164"/>
          <w:p w14:paraId="5690D3BA" w14:textId="77777777" w:rsidR="009800BE" w:rsidRPr="009800BE" w:rsidRDefault="009800BE" w:rsidP="009800BE">
            <w:pPr>
              <w:keepNext/>
              <w:keepLines/>
              <w:spacing w:before="0" w:after="0"/>
              <w:rPr>
                <w:rFonts w:eastAsia="Arial" w:cs="Calibri Light"/>
                <w:b/>
                <w:color w:val="000000"/>
                <w:kern w:val="2"/>
                <w:sz w:val="18"/>
                <w:szCs w:val="18"/>
                <w:lang w:eastAsia="en-US"/>
                <w14:ligatures w14:val="standardContextual"/>
              </w:rPr>
            </w:pPr>
            <w:r w:rsidRPr="009800BE">
              <w:rPr>
                <w:rFonts w:eastAsia="Arial" w:cs="Calibri Light"/>
                <w:b/>
                <w:kern w:val="2"/>
                <w:sz w:val="18"/>
                <w:szCs w:val="18"/>
                <w:lang w:eastAsia="en-US"/>
                <w14:ligatures w14:val="standardContextual"/>
              </w:rPr>
              <w:t>ADIs (locally incorporated)</w:t>
            </w:r>
          </w:p>
        </w:tc>
        <w:tc>
          <w:tcPr>
            <w:tcW w:w="1131" w:type="pct"/>
            <w:shd w:val="clear" w:color="auto" w:fill="EEEEEE" w:themeFill="background2"/>
            <w:vAlign w:val="center"/>
            <w:hideMark/>
          </w:tcPr>
          <w:p w14:paraId="0D1773D2" w14:textId="77777777" w:rsidR="009800BE" w:rsidRPr="009800BE" w:rsidRDefault="009800BE" w:rsidP="009800BE">
            <w:pPr>
              <w:spacing w:before="40" w:after="40"/>
              <w:jc w:val="center"/>
              <w:rPr>
                <w:rFonts w:cs="Calibri Light"/>
                <w:b/>
                <w:sz w:val="18"/>
                <w:szCs w:val="18"/>
              </w:rPr>
            </w:pPr>
            <w:r w:rsidRPr="009800BE">
              <w:rPr>
                <w:rFonts w:cs="Calibri Light"/>
                <w:b/>
                <w:sz w:val="18"/>
                <w:szCs w:val="18"/>
              </w:rPr>
              <w:t>2024-25 Actual</w:t>
            </w:r>
          </w:p>
        </w:tc>
        <w:tc>
          <w:tcPr>
            <w:tcW w:w="1176" w:type="pct"/>
            <w:shd w:val="clear" w:color="auto" w:fill="EEEEEE" w:themeFill="background2"/>
            <w:vAlign w:val="center"/>
            <w:hideMark/>
          </w:tcPr>
          <w:p w14:paraId="57C2EC52" w14:textId="77777777" w:rsidR="009800BE" w:rsidRPr="009800BE" w:rsidRDefault="009800BE" w:rsidP="009800BE">
            <w:pPr>
              <w:spacing w:before="40" w:after="40"/>
              <w:jc w:val="center"/>
              <w:rPr>
                <w:rFonts w:cs="Calibri Light"/>
                <w:b/>
                <w:sz w:val="18"/>
                <w:szCs w:val="18"/>
              </w:rPr>
            </w:pPr>
            <w:r w:rsidRPr="009800BE">
              <w:rPr>
                <w:rFonts w:cs="Calibri Light"/>
                <w:b/>
                <w:sz w:val="18"/>
                <w:szCs w:val="18"/>
              </w:rPr>
              <w:t>2025-26 Forecast</w:t>
            </w:r>
          </w:p>
        </w:tc>
        <w:tc>
          <w:tcPr>
            <w:tcW w:w="1198" w:type="pct"/>
            <w:shd w:val="clear" w:color="auto" w:fill="EEEEEE" w:themeFill="background2"/>
            <w:vAlign w:val="center"/>
            <w:hideMark/>
          </w:tcPr>
          <w:p w14:paraId="6BF0E5FF" w14:textId="77777777" w:rsidR="009800BE" w:rsidRPr="009800BE" w:rsidRDefault="009800BE" w:rsidP="009800BE">
            <w:pPr>
              <w:spacing w:before="40" w:after="40"/>
              <w:jc w:val="center"/>
              <w:rPr>
                <w:rFonts w:cs="Calibri Light"/>
                <w:b/>
                <w:sz w:val="18"/>
                <w:szCs w:val="18"/>
              </w:rPr>
            </w:pPr>
            <w:r w:rsidRPr="009800BE">
              <w:rPr>
                <w:rFonts w:cs="Calibri Light"/>
                <w:b/>
                <w:sz w:val="18"/>
                <w:szCs w:val="18"/>
              </w:rPr>
              <w:t>Change (%)</w:t>
            </w:r>
          </w:p>
        </w:tc>
      </w:tr>
      <w:tr w:rsidR="009800BE" w:rsidRPr="009800BE" w14:paraId="4B355377" w14:textId="77777777" w:rsidTr="005926ED">
        <w:trPr>
          <w:trHeight w:val="284"/>
        </w:trPr>
        <w:tc>
          <w:tcPr>
            <w:tcW w:w="1495" w:type="pct"/>
            <w:shd w:val="clear" w:color="auto" w:fill="auto"/>
            <w:noWrap/>
            <w:vAlign w:val="center"/>
            <w:hideMark/>
          </w:tcPr>
          <w:p w14:paraId="068E2812" w14:textId="77777777" w:rsidR="009800BE" w:rsidRPr="009800BE" w:rsidRDefault="009800BE" w:rsidP="009800BE">
            <w:pPr>
              <w:spacing w:before="40" w:after="40"/>
              <w:rPr>
                <w:rFonts w:cs="Calibri Light"/>
                <w:sz w:val="18"/>
              </w:rPr>
            </w:pPr>
            <w:r w:rsidRPr="009800BE">
              <w:rPr>
                <w:rFonts w:cs="Calibri Light"/>
                <w:b/>
                <w:sz w:val="18"/>
              </w:rPr>
              <w:t>Restricted</w:t>
            </w:r>
            <w:r w:rsidRPr="009800BE">
              <w:rPr>
                <w:rFonts w:cs="Calibri Light"/>
                <w:sz w:val="18"/>
              </w:rPr>
              <w:t xml:space="preserve"> rate (%)</w:t>
            </w:r>
          </w:p>
        </w:tc>
        <w:tc>
          <w:tcPr>
            <w:tcW w:w="1131" w:type="pct"/>
            <w:shd w:val="clear" w:color="auto" w:fill="auto"/>
            <w:noWrap/>
            <w:vAlign w:val="center"/>
            <w:hideMark/>
          </w:tcPr>
          <w:p w14:paraId="16A3E2DA" w14:textId="77777777" w:rsidR="009800BE" w:rsidRPr="009800BE" w:rsidRDefault="009800BE" w:rsidP="009800BE">
            <w:pPr>
              <w:spacing w:before="40" w:after="40"/>
              <w:jc w:val="center"/>
              <w:rPr>
                <w:rFonts w:cs="Calibri Light"/>
                <w:sz w:val="16"/>
                <w:szCs w:val="16"/>
              </w:rPr>
            </w:pPr>
            <w:r w:rsidRPr="009800BE">
              <w:rPr>
                <w:rFonts w:cs="Calibri Light"/>
                <w:color w:val="000000"/>
                <w:sz w:val="16"/>
                <w:szCs w:val="16"/>
              </w:rPr>
              <w:t>0.00221</w:t>
            </w:r>
          </w:p>
        </w:tc>
        <w:tc>
          <w:tcPr>
            <w:tcW w:w="1176" w:type="pct"/>
            <w:shd w:val="clear" w:color="auto" w:fill="auto"/>
            <w:noWrap/>
            <w:vAlign w:val="center"/>
            <w:hideMark/>
          </w:tcPr>
          <w:p w14:paraId="28429465" w14:textId="77777777" w:rsidR="009800BE" w:rsidRPr="009800BE" w:rsidRDefault="009800BE" w:rsidP="009800BE">
            <w:pPr>
              <w:spacing w:before="40" w:after="40"/>
              <w:jc w:val="center"/>
              <w:rPr>
                <w:rFonts w:cs="Calibri Light"/>
                <w:sz w:val="16"/>
                <w:szCs w:val="16"/>
              </w:rPr>
            </w:pPr>
            <w:r w:rsidRPr="009800BE">
              <w:rPr>
                <w:rFonts w:cs="Calibri Light"/>
                <w:color w:val="000000"/>
                <w:sz w:val="16"/>
                <w:szCs w:val="16"/>
              </w:rPr>
              <w:t>0.00220</w:t>
            </w:r>
          </w:p>
        </w:tc>
        <w:tc>
          <w:tcPr>
            <w:tcW w:w="1198" w:type="pct"/>
            <w:shd w:val="clear" w:color="auto" w:fill="auto"/>
            <w:noWrap/>
            <w:vAlign w:val="center"/>
            <w:hideMark/>
          </w:tcPr>
          <w:p w14:paraId="1D43C04F" w14:textId="77777777" w:rsidR="009800BE" w:rsidRPr="009800BE" w:rsidRDefault="009800BE" w:rsidP="009800BE">
            <w:pPr>
              <w:spacing w:before="40" w:after="40"/>
              <w:jc w:val="center"/>
              <w:rPr>
                <w:rFonts w:cs="Calibri Light"/>
                <w:sz w:val="16"/>
                <w:szCs w:val="16"/>
              </w:rPr>
            </w:pPr>
            <w:r w:rsidRPr="009800BE">
              <w:rPr>
                <w:rFonts w:cs="Calibri Light"/>
                <w:color w:val="C00000"/>
                <w:sz w:val="16"/>
                <w:szCs w:val="16"/>
              </w:rPr>
              <w:t>(0.5%)</w:t>
            </w:r>
          </w:p>
        </w:tc>
      </w:tr>
      <w:tr w:rsidR="009800BE" w:rsidRPr="009800BE" w14:paraId="09491511" w14:textId="77777777" w:rsidTr="005926ED">
        <w:trPr>
          <w:trHeight w:val="284"/>
        </w:trPr>
        <w:tc>
          <w:tcPr>
            <w:tcW w:w="1495" w:type="pct"/>
            <w:shd w:val="clear" w:color="auto" w:fill="auto"/>
            <w:noWrap/>
            <w:vAlign w:val="center"/>
            <w:hideMark/>
          </w:tcPr>
          <w:p w14:paraId="57CFE1FB" w14:textId="77777777" w:rsidR="009800BE" w:rsidRPr="009800BE" w:rsidRDefault="009800BE" w:rsidP="009800BE">
            <w:pPr>
              <w:spacing w:before="40" w:after="40"/>
              <w:rPr>
                <w:rFonts w:cs="Calibri Light"/>
                <w:sz w:val="18"/>
              </w:rPr>
            </w:pPr>
            <w:r w:rsidRPr="009800BE">
              <w:rPr>
                <w:rFonts w:cs="Calibri Light"/>
                <w:b/>
                <w:sz w:val="18"/>
              </w:rPr>
              <w:t>Restricted</w:t>
            </w:r>
            <w:r w:rsidRPr="009800BE">
              <w:rPr>
                <w:rFonts w:cs="Calibri Light"/>
                <w:sz w:val="18"/>
              </w:rPr>
              <w:t xml:space="preserve"> minimum</w:t>
            </w:r>
          </w:p>
        </w:tc>
        <w:tc>
          <w:tcPr>
            <w:tcW w:w="1131" w:type="pct"/>
            <w:shd w:val="clear" w:color="auto" w:fill="auto"/>
            <w:noWrap/>
            <w:vAlign w:val="center"/>
            <w:hideMark/>
          </w:tcPr>
          <w:p w14:paraId="5D1D4DA6" w14:textId="77777777" w:rsidR="009800BE" w:rsidRPr="009800BE" w:rsidRDefault="009800BE" w:rsidP="009800BE">
            <w:pPr>
              <w:spacing w:before="40" w:after="40"/>
              <w:jc w:val="center"/>
              <w:rPr>
                <w:rFonts w:cs="Calibri Light"/>
                <w:sz w:val="16"/>
                <w:szCs w:val="16"/>
              </w:rPr>
            </w:pPr>
            <w:r w:rsidRPr="009800BE">
              <w:rPr>
                <w:rFonts w:cs="Calibri Light"/>
                <w:color w:val="000000"/>
                <w:sz w:val="16"/>
                <w:szCs w:val="16"/>
              </w:rPr>
              <w:t>22,500</w:t>
            </w:r>
          </w:p>
        </w:tc>
        <w:tc>
          <w:tcPr>
            <w:tcW w:w="1176" w:type="pct"/>
            <w:shd w:val="clear" w:color="auto" w:fill="auto"/>
            <w:noWrap/>
            <w:vAlign w:val="center"/>
            <w:hideMark/>
          </w:tcPr>
          <w:p w14:paraId="4838AF9F" w14:textId="77777777" w:rsidR="009800BE" w:rsidRPr="009800BE" w:rsidRDefault="009800BE" w:rsidP="009800BE">
            <w:pPr>
              <w:spacing w:before="40" w:after="40"/>
              <w:jc w:val="center"/>
              <w:rPr>
                <w:rFonts w:cs="Calibri Light"/>
                <w:sz w:val="16"/>
                <w:szCs w:val="16"/>
              </w:rPr>
            </w:pPr>
            <w:r w:rsidRPr="009800BE">
              <w:rPr>
                <w:rFonts w:cs="Calibri Light"/>
                <w:color w:val="000000"/>
                <w:sz w:val="16"/>
                <w:szCs w:val="16"/>
              </w:rPr>
              <w:t>22,500</w:t>
            </w:r>
          </w:p>
        </w:tc>
        <w:tc>
          <w:tcPr>
            <w:tcW w:w="1198" w:type="pct"/>
            <w:shd w:val="clear" w:color="auto" w:fill="auto"/>
            <w:noWrap/>
            <w:vAlign w:val="center"/>
            <w:hideMark/>
          </w:tcPr>
          <w:p w14:paraId="41B64A31" w14:textId="77777777" w:rsidR="009800BE" w:rsidRPr="009800BE" w:rsidRDefault="009800BE" w:rsidP="009800BE">
            <w:pPr>
              <w:spacing w:before="40" w:after="40"/>
              <w:jc w:val="center"/>
              <w:rPr>
                <w:rFonts w:cs="Calibri Light"/>
                <w:sz w:val="16"/>
                <w:szCs w:val="16"/>
              </w:rPr>
            </w:pPr>
            <w:r w:rsidRPr="009800BE">
              <w:rPr>
                <w:rFonts w:cs="Calibri Light"/>
                <w:sz w:val="16"/>
                <w:szCs w:val="16"/>
              </w:rPr>
              <w:t>0.0%</w:t>
            </w:r>
          </w:p>
        </w:tc>
      </w:tr>
      <w:tr w:rsidR="009800BE" w:rsidRPr="009800BE" w14:paraId="7D7E8B0D" w14:textId="77777777" w:rsidTr="005926ED">
        <w:trPr>
          <w:trHeight w:val="284"/>
        </w:trPr>
        <w:tc>
          <w:tcPr>
            <w:tcW w:w="1495" w:type="pct"/>
            <w:shd w:val="clear" w:color="auto" w:fill="auto"/>
            <w:noWrap/>
            <w:vAlign w:val="center"/>
            <w:hideMark/>
          </w:tcPr>
          <w:p w14:paraId="53B9E9CB" w14:textId="77777777" w:rsidR="009800BE" w:rsidRPr="009800BE" w:rsidRDefault="009800BE" w:rsidP="009800BE">
            <w:pPr>
              <w:spacing w:before="40" w:after="40"/>
              <w:rPr>
                <w:rFonts w:cs="Calibri Light"/>
                <w:sz w:val="18"/>
              </w:rPr>
            </w:pPr>
            <w:r w:rsidRPr="009800BE">
              <w:rPr>
                <w:rFonts w:cs="Calibri Light"/>
                <w:b/>
                <w:sz w:val="18"/>
              </w:rPr>
              <w:t>Restricted</w:t>
            </w:r>
            <w:r w:rsidRPr="009800BE">
              <w:rPr>
                <w:rFonts w:cs="Calibri Light"/>
                <w:sz w:val="18"/>
              </w:rPr>
              <w:t xml:space="preserve"> maximum</w:t>
            </w:r>
          </w:p>
        </w:tc>
        <w:tc>
          <w:tcPr>
            <w:tcW w:w="1131" w:type="pct"/>
            <w:shd w:val="clear" w:color="auto" w:fill="auto"/>
            <w:noWrap/>
            <w:vAlign w:val="center"/>
            <w:hideMark/>
          </w:tcPr>
          <w:p w14:paraId="1E4AE890" w14:textId="77777777" w:rsidR="009800BE" w:rsidRPr="009800BE" w:rsidRDefault="009800BE" w:rsidP="009800BE">
            <w:pPr>
              <w:spacing w:before="40" w:after="40"/>
              <w:jc w:val="center"/>
              <w:rPr>
                <w:rFonts w:cs="Calibri Light"/>
                <w:sz w:val="16"/>
                <w:szCs w:val="16"/>
              </w:rPr>
            </w:pPr>
            <w:r w:rsidRPr="009800BE">
              <w:rPr>
                <w:rFonts w:cs="Calibri Light"/>
                <w:color w:val="000000"/>
                <w:sz w:val="16"/>
                <w:szCs w:val="16"/>
              </w:rPr>
              <w:t>7,500,000</w:t>
            </w:r>
          </w:p>
        </w:tc>
        <w:tc>
          <w:tcPr>
            <w:tcW w:w="1176" w:type="pct"/>
            <w:shd w:val="clear" w:color="auto" w:fill="auto"/>
            <w:noWrap/>
            <w:vAlign w:val="center"/>
            <w:hideMark/>
          </w:tcPr>
          <w:p w14:paraId="3AC8B1A8" w14:textId="77777777" w:rsidR="009800BE" w:rsidRPr="009800BE" w:rsidRDefault="009800BE" w:rsidP="009800BE">
            <w:pPr>
              <w:spacing w:before="40" w:after="40"/>
              <w:jc w:val="center"/>
              <w:rPr>
                <w:rFonts w:cs="Calibri Light"/>
                <w:sz w:val="16"/>
                <w:szCs w:val="16"/>
              </w:rPr>
            </w:pPr>
            <w:r w:rsidRPr="009800BE">
              <w:rPr>
                <w:rFonts w:cs="Calibri Light"/>
                <w:color w:val="000000"/>
                <w:sz w:val="16"/>
                <w:szCs w:val="16"/>
              </w:rPr>
              <w:t>8,500,000</w:t>
            </w:r>
          </w:p>
        </w:tc>
        <w:tc>
          <w:tcPr>
            <w:tcW w:w="1198" w:type="pct"/>
            <w:shd w:val="clear" w:color="auto" w:fill="auto"/>
            <w:noWrap/>
            <w:vAlign w:val="center"/>
            <w:hideMark/>
          </w:tcPr>
          <w:p w14:paraId="40544F9A" w14:textId="77777777" w:rsidR="009800BE" w:rsidRPr="009800BE" w:rsidRDefault="009800BE" w:rsidP="009800BE">
            <w:pPr>
              <w:spacing w:before="40" w:after="40"/>
              <w:jc w:val="center"/>
              <w:rPr>
                <w:rFonts w:cs="Calibri Light"/>
                <w:sz w:val="16"/>
                <w:szCs w:val="16"/>
              </w:rPr>
            </w:pPr>
            <w:r w:rsidRPr="009800BE">
              <w:rPr>
                <w:rFonts w:cs="Calibri Light"/>
                <w:color w:val="000000"/>
                <w:sz w:val="16"/>
                <w:szCs w:val="16"/>
              </w:rPr>
              <w:t>13.3%</w:t>
            </w:r>
          </w:p>
        </w:tc>
      </w:tr>
      <w:tr w:rsidR="009800BE" w:rsidRPr="009800BE" w14:paraId="45B70A42" w14:textId="77777777" w:rsidTr="005926ED">
        <w:trPr>
          <w:trHeight w:val="284"/>
        </w:trPr>
        <w:tc>
          <w:tcPr>
            <w:tcW w:w="1495" w:type="pct"/>
            <w:shd w:val="clear" w:color="auto" w:fill="auto"/>
            <w:noWrap/>
            <w:vAlign w:val="center"/>
            <w:hideMark/>
          </w:tcPr>
          <w:p w14:paraId="7AA97631" w14:textId="77777777" w:rsidR="009800BE" w:rsidRPr="009800BE" w:rsidRDefault="009800BE" w:rsidP="009800BE">
            <w:pPr>
              <w:spacing w:before="40" w:after="40"/>
              <w:rPr>
                <w:rFonts w:cs="Calibri Light"/>
                <w:b/>
                <w:sz w:val="18"/>
              </w:rPr>
            </w:pPr>
            <w:r w:rsidRPr="009800BE">
              <w:rPr>
                <w:rFonts w:cs="Calibri Light"/>
                <w:b/>
                <w:sz w:val="18"/>
              </w:rPr>
              <w:t>Unrestricted rate (%)</w:t>
            </w:r>
          </w:p>
        </w:tc>
        <w:tc>
          <w:tcPr>
            <w:tcW w:w="1131" w:type="pct"/>
            <w:shd w:val="clear" w:color="auto" w:fill="auto"/>
            <w:noWrap/>
            <w:vAlign w:val="center"/>
            <w:hideMark/>
          </w:tcPr>
          <w:p w14:paraId="52283B66" w14:textId="77777777" w:rsidR="009800BE" w:rsidRPr="009800BE" w:rsidRDefault="009800BE" w:rsidP="009800BE">
            <w:pPr>
              <w:spacing w:before="40" w:after="40"/>
              <w:jc w:val="center"/>
              <w:rPr>
                <w:rFonts w:cs="Calibri Light"/>
                <w:sz w:val="16"/>
                <w:szCs w:val="16"/>
              </w:rPr>
            </w:pPr>
            <w:r w:rsidRPr="009800BE">
              <w:rPr>
                <w:rFonts w:cs="Calibri Light"/>
                <w:color w:val="000000"/>
                <w:sz w:val="16"/>
                <w:szCs w:val="16"/>
              </w:rPr>
              <w:t>0.000777</w:t>
            </w:r>
          </w:p>
        </w:tc>
        <w:tc>
          <w:tcPr>
            <w:tcW w:w="1176" w:type="pct"/>
            <w:shd w:val="clear" w:color="auto" w:fill="auto"/>
            <w:noWrap/>
            <w:vAlign w:val="center"/>
            <w:hideMark/>
          </w:tcPr>
          <w:p w14:paraId="6C7B8CCC" w14:textId="77777777" w:rsidR="009800BE" w:rsidRPr="009800BE" w:rsidRDefault="009800BE" w:rsidP="009800BE">
            <w:pPr>
              <w:spacing w:before="40" w:after="40"/>
              <w:jc w:val="center"/>
              <w:rPr>
                <w:rFonts w:cs="Calibri Light"/>
                <w:sz w:val="16"/>
                <w:szCs w:val="16"/>
              </w:rPr>
            </w:pPr>
            <w:r w:rsidRPr="009800BE">
              <w:rPr>
                <w:rFonts w:cs="Calibri Light"/>
                <w:color w:val="000000"/>
                <w:sz w:val="16"/>
                <w:szCs w:val="16"/>
              </w:rPr>
              <w:t>0.000710</w:t>
            </w:r>
          </w:p>
        </w:tc>
        <w:tc>
          <w:tcPr>
            <w:tcW w:w="1198" w:type="pct"/>
            <w:shd w:val="clear" w:color="auto" w:fill="auto"/>
            <w:noWrap/>
            <w:vAlign w:val="center"/>
            <w:hideMark/>
          </w:tcPr>
          <w:p w14:paraId="5AD558A8" w14:textId="77777777" w:rsidR="009800BE" w:rsidRPr="009800BE" w:rsidRDefault="009800BE" w:rsidP="009800BE">
            <w:pPr>
              <w:spacing w:before="40" w:after="40"/>
              <w:jc w:val="center"/>
              <w:rPr>
                <w:rFonts w:cs="Calibri Light"/>
                <w:sz w:val="16"/>
                <w:szCs w:val="16"/>
              </w:rPr>
            </w:pPr>
            <w:r w:rsidRPr="009800BE">
              <w:rPr>
                <w:rFonts w:cs="Calibri Light"/>
                <w:color w:val="C00000"/>
                <w:sz w:val="16"/>
                <w:szCs w:val="16"/>
              </w:rPr>
              <w:t>(8.5%)</w:t>
            </w:r>
          </w:p>
        </w:tc>
      </w:tr>
    </w:tbl>
    <w:p w14:paraId="7109634E" w14:textId="5843AE04" w:rsidR="001809DE" w:rsidRPr="001809DE" w:rsidRDefault="001809DE" w:rsidP="001809DE">
      <w:pPr>
        <w:pStyle w:val="TableMainHeading"/>
        <w:rPr>
          <w:rFonts w:ascii="Arial" w:hAnsi="Arial"/>
          <w:color w:val="auto"/>
        </w:rPr>
      </w:pPr>
      <w:bookmarkStart w:id="165" w:name="_Hlk193704752"/>
      <w:r w:rsidRPr="001809DE">
        <w:rPr>
          <w:color w:val="auto"/>
        </w:rPr>
        <w:t>Table 10</w:t>
      </w:r>
      <w:r>
        <w:rPr>
          <w:color w:val="auto"/>
        </w:rPr>
        <w:t>.2</w:t>
      </w:r>
      <w:r w:rsidRPr="001809DE">
        <w:rPr>
          <w:color w:val="auto"/>
        </w:rPr>
        <w:t xml:space="preserve">: </w:t>
      </w:r>
      <w:r w:rsidR="00986B23" w:rsidRPr="001809DE">
        <w:rPr>
          <w:color w:val="auto"/>
        </w:rPr>
        <w:t>Levy parameters</w:t>
      </w:r>
      <w:r w:rsidR="00986B23">
        <w:rPr>
          <w:color w:val="auto"/>
        </w:rPr>
        <w:t xml:space="preserve"> – ADIs (</w:t>
      </w:r>
      <w:r w:rsidR="00A52C97">
        <w:rPr>
          <w:color w:val="auto"/>
        </w:rPr>
        <w:t>Purchased Payment</w:t>
      </w:r>
      <w:r w:rsidR="00F1030D">
        <w:rPr>
          <w:color w:val="auto"/>
        </w:rPr>
        <w:t xml:space="preserve"> Facility</w:t>
      </w:r>
      <w:r w:rsidR="002A0F94">
        <w:rPr>
          <w:color w:val="auto"/>
        </w:rPr>
        <w:t xml:space="preserve"> (PPF) provider</w:t>
      </w:r>
      <w:r w:rsidR="00986B23">
        <w:rPr>
          <w:color w:val="auto"/>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9"/>
        <w:gridCol w:w="2049"/>
        <w:gridCol w:w="2131"/>
        <w:gridCol w:w="2171"/>
      </w:tblGrid>
      <w:tr w:rsidR="009800BE" w:rsidRPr="009800BE" w14:paraId="5BF43380" w14:textId="77777777" w:rsidTr="005926ED">
        <w:trPr>
          <w:cantSplit/>
          <w:trHeight w:val="284"/>
          <w:tblHeader/>
        </w:trPr>
        <w:tc>
          <w:tcPr>
            <w:tcW w:w="1495" w:type="pct"/>
            <w:shd w:val="clear" w:color="auto" w:fill="EEEEEE" w:themeFill="background2"/>
            <w:vAlign w:val="center"/>
            <w:hideMark/>
          </w:tcPr>
          <w:bookmarkEnd w:id="165"/>
          <w:p w14:paraId="29DD2C59" w14:textId="77777777" w:rsidR="009800BE" w:rsidRPr="009800BE" w:rsidRDefault="009800BE" w:rsidP="009800BE">
            <w:pPr>
              <w:keepNext/>
              <w:keepLines/>
              <w:spacing w:before="0" w:after="0"/>
              <w:rPr>
                <w:rFonts w:eastAsia="Arial" w:cs="Calibri Light"/>
                <w:b/>
                <w:color w:val="000000"/>
                <w:kern w:val="2"/>
                <w:sz w:val="18"/>
                <w:szCs w:val="18"/>
                <w:lang w:eastAsia="en-US"/>
                <w14:ligatures w14:val="standardContextual"/>
              </w:rPr>
            </w:pPr>
            <w:r w:rsidRPr="009800BE">
              <w:rPr>
                <w:rFonts w:eastAsia="Arial" w:cs="Calibri Light"/>
                <w:b/>
                <w:kern w:val="2"/>
                <w:sz w:val="18"/>
                <w:szCs w:val="18"/>
                <w:lang w:eastAsia="en-US"/>
                <w14:ligatures w14:val="standardContextual"/>
              </w:rPr>
              <w:t>ADIs (PPF)</w:t>
            </w:r>
          </w:p>
        </w:tc>
        <w:tc>
          <w:tcPr>
            <w:tcW w:w="1131" w:type="pct"/>
            <w:shd w:val="clear" w:color="auto" w:fill="EEEEEE" w:themeFill="background2"/>
            <w:vAlign w:val="center"/>
            <w:hideMark/>
          </w:tcPr>
          <w:p w14:paraId="24FB0CC7" w14:textId="77777777" w:rsidR="009800BE" w:rsidRPr="009800BE" w:rsidRDefault="009800BE" w:rsidP="009800BE">
            <w:pPr>
              <w:spacing w:before="40" w:after="40"/>
              <w:jc w:val="center"/>
              <w:rPr>
                <w:rFonts w:cs="Calibri Light"/>
                <w:b/>
                <w:sz w:val="18"/>
                <w:szCs w:val="18"/>
              </w:rPr>
            </w:pPr>
            <w:r w:rsidRPr="009800BE">
              <w:rPr>
                <w:rFonts w:cs="Calibri Light"/>
                <w:b/>
                <w:sz w:val="18"/>
                <w:szCs w:val="18"/>
              </w:rPr>
              <w:t>2024-25 Actual</w:t>
            </w:r>
          </w:p>
        </w:tc>
        <w:tc>
          <w:tcPr>
            <w:tcW w:w="1176" w:type="pct"/>
            <w:shd w:val="clear" w:color="auto" w:fill="EEEEEE" w:themeFill="background2"/>
            <w:vAlign w:val="center"/>
            <w:hideMark/>
          </w:tcPr>
          <w:p w14:paraId="4E25FBD8" w14:textId="77777777" w:rsidR="009800BE" w:rsidRPr="009800BE" w:rsidRDefault="009800BE" w:rsidP="009800BE">
            <w:pPr>
              <w:spacing w:before="40" w:after="40"/>
              <w:jc w:val="center"/>
              <w:rPr>
                <w:rFonts w:cs="Calibri Light"/>
                <w:b/>
                <w:sz w:val="18"/>
                <w:szCs w:val="18"/>
              </w:rPr>
            </w:pPr>
            <w:r w:rsidRPr="009800BE">
              <w:rPr>
                <w:rFonts w:cs="Calibri Light"/>
                <w:b/>
                <w:sz w:val="18"/>
                <w:szCs w:val="18"/>
              </w:rPr>
              <w:t>2025-26 Forecast</w:t>
            </w:r>
          </w:p>
        </w:tc>
        <w:tc>
          <w:tcPr>
            <w:tcW w:w="1198" w:type="pct"/>
            <w:shd w:val="clear" w:color="auto" w:fill="EEEEEE" w:themeFill="background2"/>
            <w:vAlign w:val="center"/>
            <w:hideMark/>
          </w:tcPr>
          <w:p w14:paraId="223B673C" w14:textId="77777777" w:rsidR="009800BE" w:rsidRPr="009800BE" w:rsidRDefault="009800BE" w:rsidP="009800BE">
            <w:pPr>
              <w:spacing w:before="40" w:after="40"/>
              <w:jc w:val="center"/>
              <w:rPr>
                <w:rFonts w:cs="Calibri Light"/>
                <w:b/>
                <w:sz w:val="18"/>
                <w:szCs w:val="18"/>
              </w:rPr>
            </w:pPr>
            <w:r w:rsidRPr="009800BE">
              <w:rPr>
                <w:rFonts w:cs="Calibri Light"/>
                <w:b/>
                <w:sz w:val="18"/>
                <w:szCs w:val="18"/>
              </w:rPr>
              <w:t>Change (%)</w:t>
            </w:r>
          </w:p>
        </w:tc>
      </w:tr>
      <w:tr w:rsidR="009800BE" w:rsidRPr="009800BE" w14:paraId="6C868EE1" w14:textId="77777777" w:rsidTr="005926ED">
        <w:trPr>
          <w:trHeight w:val="284"/>
        </w:trPr>
        <w:tc>
          <w:tcPr>
            <w:tcW w:w="1495" w:type="pct"/>
            <w:shd w:val="clear" w:color="auto" w:fill="auto"/>
            <w:noWrap/>
            <w:vAlign w:val="center"/>
            <w:hideMark/>
          </w:tcPr>
          <w:p w14:paraId="42689303" w14:textId="77777777" w:rsidR="009800BE" w:rsidRPr="009800BE" w:rsidRDefault="009800BE" w:rsidP="009800BE">
            <w:pPr>
              <w:spacing w:before="40" w:after="40"/>
              <w:rPr>
                <w:rFonts w:cs="Calibri Light"/>
                <w:sz w:val="18"/>
              </w:rPr>
            </w:pPr>
            <w:r w:rsidRPr="009800BE">
              <w:rPr>
                <w:rFonts w:cs="Calibri Light"/>
                <w:b/>
                <w:sz w:val="18"/>
              </w:rPr>
              <w:t>Restricted</w:t>
            </w:r>
            <w:r w:rsidRPr="009800BE">
              <w:rPr>
                <w:rFonts w:cs="Calibri Light"/>
                <w:sz w:val="18"/>
              </w:rPr>
              <w:t xml:space="preserve"> rate (%)</w:t>
            </w:r>
          </w:p>
        </w:tc>
        <w:tc>
          <w:tcPr>
            <w:tcW w:w="1131" w:type="pct"/>
            <w:shd w:val="clear" w:color="auto" w:fill="auto"/>
            <w:noWrap/>
            <w:vAlign w:val="center"/>
            <w:hideMark/>
          </w:tcPr>
          <w:p w14:paraId="40DCA7F1" w14:textId="77777777" w:rsidR="009800BE" w:rsidRPr="009800BE" w:rsidRDefault="009800BE" w:rsidP="009800BE">
            <w:pPr>
              <w:spacing w:before="40" w:after="40"/>
              <w:jc w:val="center"/>
              <w:rPr>
                <w:rFonts w:cs="Calibri Light"/>
                <w:sz w:val="16"/>
                <w:szCs w:val="16"/>
              </w:rPr>
            </w:pPr>
            <w:r w:rsidRPr="009800BE">
              <w:rPr>
                <w:rFonts w:cs="Calibri Light"/>
                <w:color w:val="000000"/>
                <w:sz w:val="16"/>
                <w:szCs w:val="16"/>
              </w:rPr>
              <w:t>0.00221</w:t>
            </w:r>
          </w:p>
        </w:tc>
        <w:tc>
          <w:tcPr>
            <w:tcW w:w="1176" w:type="pct"/>
            <w:shd w:val="clear" w:color="auto" w:fill="auto"/>
            <w:noWrap/>
            <w:vAlign w:val="center"/>
            <w:hideMark/>
          </w:tcPr>
          <w:p w14:paraId="6C2397D3" w14:textId="77777777" w:rsidR="009800BE" w:rsidRPr="009800BE" w:rsidRDefault="009800BE" w:rsidP="009800BE">
            <w:pPr>
              <w:spacing w:before="40" w:after="40"/>
              <w:jc w:val="center"/>
              <w:rPr>
                <w:rFonts w:cs="Calibri Light"/>
                <w:sz w:val="16"/>
                <w:szCs w:val="16"/>
              </w:rPr>
            </w:pPr>
            <w:r w:rsidRPr="009800BE">
              <w:rPr>
                <w:rFonts w:cs="Calibri Light"/>
                <w:color w:val="000000"/>
                <w:sz w:val="16"/>
                <w:szCs w:val="16"/>
              </w:rPr>
              <w:t>0.00220</w:t>
            </w:r>
          </w:p>
        </w:tc>
        <w:tc>
          <w:tcPr>
            <w:tcW w:w="1198" w:type="pct"/>
            <w:shd w:val="clear" w:color="auto" w:fill="auto"/>
            <w:noWrap/>
            <w:vAlign w:val="center"/>
            <w:hideMark/>
          </w:tcPr>
          <w:p w14:paraId="2C845A3D" w14:textId="77777777" w:rsidR="009800BE" w:rsidRPr="009800BE" w:rsidRDefault="009800BE" w:rsidP="009800BE">
            <w:pPr>
              <w:spacing w:before="40" w:after="40"/>
              <w:jc w:val="center"/>
              <w:rPr>
                <w:rFonts w:cs="Calibri Light"/>
                <w:sz w:val="16"/>
                <w:szCs w:val="16"/>
              </w:rPr>
            </w:pPr>
            <w:r w:rsidRPr="009800BE">
              <w:rPr>
                <w:rFonts w:cs="Calibri Light"/>
                <w:color w:val="C00000"/>
                <w:sz w:val="16"/>
                <w:szCs w:val="16"/>
              </w:rPr>
              <w:t>(0.5%)</w:t>
            </w:r>
          </w:p>
        </w:tc>
      </w:tr>
      <w:tr w:rsidR="009800BE" w:rsidRPr="009800BE" w14:paraId="60752C92" w14:textId="77777777" w:rsidTr="005926ED">
        <w:trPr>
          <w:trHeight w:val="284"/>
        </w:trPr>
        <w:tc>
          <w:tcPr>
            <w:tcW w:w="1495" w:type="pct"/>
            <w:shd w:val="clear" w:color="auto" w:fill="auto"/>
            <w:noWrap/>
            <w:vAlign w:val="center"/>
            <w:hideMark/>
          </w:tcPr>
          <w:p w14:paraId="01243AD7" w14:textId="77777777" w:rsidR="009800BE" w:rsidRPr="009800BE" w:rsidRDefault="009800BE" w:rsidP="009800BE">
            <w:pPr>
              <w:spacing w:before="40" w:after="40"/>
              <w:rPr>
                <w:rFonts w:cs="Calibri Light"/>
                <w:sz w:val="18"/>
              </w:rPr>
            </w:pPr>
            <w:r w:rsidRPr="009800BE">
              <w:rPr>
                <w:rFonts w:cs="Calibri Light"/>
                <w:b/>
                <w:sz w:val="18"/>
              </w:rPr>
              <w:t>Restricted</w:t>
            </w:r>
            <w:r w:rsidRPr="009800BE">
              <w:rPr>
                <w:rFonts w:cs="Calibri Light"/>
                <w:sz w:val="18"/>
              </w:rPr>
              <w:t xml:space="preserve"> minimum</w:t>
            </w:r>
          </w:p>
        </w:tc>
        <w:tc>
          <w:tcPr>
            <w:tcW w:w="1131" w:type="pct"/>
            <w:shd w:val="clear" w:color="auto" w:fill="auto"/>
            <w:noWrap/>
            <w:vAlign w:val="center"/>
            <w:hideMark/>
          </w:tcPr>
          <w:p w14:paraId="65F1E933" w14:textId="77777777" w:rsidR="009800BE" w:rsidRPr="009800BE" w:rsidRDefault="009800BE" w:rsidP="009800BE">
            <w:pPr>
              <w:spacing w:before="40" w:after="40"/>
              <w:jc w:val="center"/>
              <w:rPr>
                <w:rFonts w:cs="Calibri Light"/>
                <w:sz w:val="16"/>
                <w:szCs w:val="16"/>
              </w:rPr>
            </w:pPr>
            <w:r w:rsidRPr="009800BE">
              <w:rPr>
                <w:rFonts w:cs="Calibri Light"/>
                <w:color w:val="000000"/>
                <w:sz w:val="16"/>
                <w:szCs w:val="16"/>
              </w:rPr>
              <w:t>22,500</w:t>
            </w:r>
          </w:p>
        </w:tc>
        <w:tc>
          <w:tcPr>
            <w:tcW w:w="1176" w:type="pct"/>
            <w:shd w:val="clear" w:color="auto" w:fill="auto"/>
            <w:noWrap/>
            <w:vAlign w:val="center"/>
            <w:hideMark/>
          </w:tcPr>
          <w:p w14:paraId="0C8C31FB" w14:textId="77777777" w:rsidR="009800BE" w:rsidRPr="009800BE" w:rsidRDefault="009800BE" w:rsidP="009800BE">
            <w:pPr>
              <w:spacing w:before="40" w:after="40"/>
              <w:jc w:val="center"/>
              <w:rPr>
                <w:rFonts w:cs="Calibri Light"/>
                <w:sz w:val="16"/>
                <w:szCs w:val="16"/>
              </w:rPr>
            </w:pPr>
            <w:r w:rsidRPr="009800BE">
              <w:rPr>
                <w:rFonts w:cs="Calibri Light"/>
                <w:color w:val="000000"/>
                <w:sz w:val="16"/>
                <w:szCs w:val="16"/>
              </w:rPr>
              <w:t>22,500</w:t>
            </w:r>
          </w:p>
        </w:tc>
        <w:tc>
          <w:tcPr>
            <w:tcW w:w="1198" w:type="pct"/>
            <w:shd w:val="clear" w:color="auto" w:fill="auto"/>
            <w:noWrap/>
            <w:vAlign w:val="center"/>
            <w:hideMark/>
          </w:tcPr>
          <w:p w14:paraId="79663110" w14:textId="77777777" w:rsidR="009800BE" w:rsidRPr="009800BE" w:rsidRDefault="009800BE" w:rsidP="009800BE">
            <w:pPr>
              <w:spacing w:before="40" w:after="40"/>
              <w:jc w:val="center"/>
              <w:rPr>
                <w:rFonts w:cs="Calibri Light"/>
                <w:sz w:val="16"/>
                <w:szCs w:val="16"/>
              </w:rPr>
            </w:pPr>
            <w:r w:rsidRPr="009800BE">
              <w:rPr>
                <w:rFonts w:cs="Calibri Light"/>
                <w:sz w:val="16"/>
                <w:szCs w:val="16"/>
              </w:rPr>
              <w:t>0.0%</w:t>
            </w:r>
          </w:p>
        </w:tc>
      </w:tr>
      <w:tr w:rsidR="009800BE" w:rsidRPr="009800BE" w14:paraId="20517D20" w14:textId="77777777" w:rsidTr="005926ED">
        <w:trPr>
          <w:trHeight w:val="284"/>
        </w:trPr>
        <w:tc>
          <w:tcPr>
            <w:tcW w:w="1495" w:type="pct"/>
            <w:shd w:val="clear" w:color="auto" w:fill="auto"/>
            <w:noWrap/>
            <w:vAlign w:val="center"/>
            <w:hideMark/>
          </w:tcPr>
          <w:p w14:paraId="0A3BBD53" w14:textId="77777777" w:rsidR="009800BE" w:rsidRPr="009800BE" w:rsidRDefault="009800BE" w:rsidP="009800BE">
            <w:pPr>
              <w:spacing w:before="40" w:after="40"/>
              <w:rPr>
                <w:rFonts w:cs="Calibri Light"/>
                <w:sz w:val="18"/>
              </w:rPr>
            </w:pPr>
            <w:r w:rsidRPr="009800BE">
              <w:rPr>
                <w:rFonts w:cs="Calibri Light"/>
                <w:b/>
                <w:sz w:val="18"/>
              </w:rPr>
              <w:t>Restricted</w:t>
            </w:r>
            <w:r w:rsidRPr="009800BE">
              <w:rPr>
                <w:rFonts w:cs="Calibri Light"/>
                <w:sz w:val="18"/>
              </w:rPr>
              <w:t xml:space="preserve"> maximum</w:t>
            </w:r>
          </w:p>
        </w:tc>
        <w:tc>
          <w:tcPr>
            <w:tcW w:w="1131" w:type="pct"/>
            <w:shd w:val="clear" w:color="auto" w:fill="auto"/>
            <w:noWrap/>
            <w:vAlign w:val="center"/>
            <w:hideMark/>
          </w:tcPr>
          <w:p w14:paraId="30DADC4A" w14:textId="77777777" w:rsidR="009800BE" w:rsidRPr="009800BE" w:rsidRDefault="009800BE" w:rsidP="009800BE">
            <w:pPr>
              <w:spacing w:before="40" w:after="40"/>
              <w:jc w:val="center"/>
              <w:rPr>
                <w:rFonts w:cs="Calibri Light"/>
                <w:sz w:val="16"/>
                <w:szCs w:val="16"/>
              </w:rPr>
            </w:pPr>
            <w:r w:rsidRPr="009800BE">
              <w:rPr>
                <w:rFonts w:cs="Calibri Light"/>
                <w:color w:val="000000"/>
                <w:sz w:val="16"/>
                <w:szCs w:val="16"/>
              </w:rPr>
              <w:t>1,500,000</w:t>
            </w:r>
          </w:p>
        </w:tc>
        <w:tc>
          <w:tcPr>
            <w:tcW w:w="1176" w:type="pct"/>
            <w:shd w:val="clear" w:color="auto" w:fill="auto"/>
            <w:noWrap/>
            <w:vAlign w:val="center"/>
            <w:hideMark/>
          </w:tcPr>
          <w:p w14:paraId="5741D321" w14:textId="77777777" w:rsidR="009800BE" w:rsidRPr="009800BE" w:rsidRDefault="009800BE" w:rsidP="009800BE">
            <w:pPr>
              <w:spacing w:before="40" w:after="40"/>
              <w:jc w:val="center"/>
              <w:rPr>
                <w:rFonts w:cs="Calibri Light"/>
                <w:sz w:val="16"/>
                <w:szCs w:val="16"/>
              </w:rPr>
            </w:pPr>
            <w:r w:rsidRPr="009800BE">
              <w:rPr>
                <w:rFonts w:cs="Calibri Light"/>
                <w:color w:val="000000"/>
                <w:sz w:val="16"/>
                <w:szCs w:val="16"/>
              </w:rPr>
              <w:t>1,700,000</w:t>
            </w:r>
          </w:p>
        </w:tc>
        <w:tc>
          <w:tcPr>
            <w:tcW w:w="1198" w:type="pct"/>
            <w:shd w:val="clear" w:color="auto" w:fill="auto"/>
            <w:noWrap/>
            <w:vAlign w:val="center"/>
            <w:hideMark/>
          </w:tcPr>
          <w:p w14:paraId="134D8770" w14:textId="77777777" w:rsidR="009800BE" w:rsidRPr="009800BE" w:rsidRDefault="009800BE" w:rsidP="009800BE">
            <w:pPr>
              <w:spacing w:before="40" w:after="40"/>
              <w:jc w:val="center"/>
              <w:rPr>
                <w:rFonts w:cs="Calibri Light"/>
                <w:sz w:val="16"/>
                <w:szCs w:val="16"/>
              </w:rPr>
            </w:pPr>
            <w:r w:rsidRPr="009800BE">
              <w:rPr>
                <w:rFonts w:cs="Calibri Light"/>
                <w:color w:val="000000"/>
                <w:sz w:val="16"/>
                <w:szCs w:val="16"/>
              </w:rPr>
              <w:t>13.3%</w:t>
            </w:r>
          </w:p>
        </w:tc>
      </w:tr>
      <w:tr w:rsidR="009800BE" w:rsidRPr="009800BE" w14:paraId="39645351" w14:textId="77777777" w:rsidTr="005926ED">
        <w:trPr>
          <w:trHeight w:val="284"/>
        </w:trPr>
        <w:tc>
          <w:tcPr>
            <w:tcW w:w="1495" w:type="pct"/>
            <w:shd w:val="clear" w:color="auto" w:fill="auto"/>
            <w:noWrap/>
            <w:vAlign w:val="center"/>
            <w:hideMark/>
          </w:tcPr>
          <w:p w14:paraId="7139F942" w14:textId="77777777" w:rsidR="009800BE" w:rsidRPr="009800BE" w:rsidRDefault="009800BE" w:rsidP="009800BE">
            <w:pPr>
              <w:spacing w:before="40" w:after="40"/>
              <w:rPr>
                <w:rFonts w:cs="Calibri Light"/>
                <w:b/>
                <w:sz w:val="18"/>
              </w:rPr>
            </w:pPr>
            <w:r w:rsidRPr="009800BE">
              <w:rPr>
                <w:rFonts w:cs="Calibri Light"/>
                <w:b/>
                <w:sz w:val="18"/>
              </w:rPr>
              <w:t>Unrestricted rate (%)</w:t>
            </w:r>
          </w:p>
        </w:tc>
        <w:tc>
          <w:tcPr>
            <w:tcW w:w="1131" w:type="pct"/>
            <w:shd w:val="clear" w:color="auto" w:fill="auto"/>
            <w:noWrap/>
            <w:vAlign w:val="center"/>
            <w:hideMark/>
          </w:tcPr>
          <w:p w14:paraId="581C4180" w14:textId="77777777" w:rsidR="009800BE" w:rsidRPr="009800BE" w:rsidRDefault="009800BE" w:rsidP="009800BE">
            <w:pPr>
              <w:spacing w:before="40" w:after="40"/>
              <w:jc w:val="center"/>
              <w:rPr>
                <w:rFonts w:cs="Calibri Light"/>
                <w:sz w:val="16"/>
                <w:szCs w:val="16"/>
              </w:rPr>
            </w:pPr>
            <w:r w:rsidRPr="009800BE">
              <w:rPr>
                <w:rFonts w:cs="Calibri Light"/>
                <w:color w:val="000000"/>
                <w:sz w:val="16"/>
                <w:szCs w:val="16"/>
              </w:rPr>
              <w:t>0.000777</w:t>
            </w:r>
          </w:p>
        </w:tc>
        <w:tc>
          <w:tcPr>
            <w:tcW w:w="1176" w:type="pct"/>
            <w:shd w:val="clear" w:color="auto" w:fill="auto"/>
            <w:noWrap/>
            <w:vAlign w:val="center"/>
            <w:hideMark/>
          </w:tcPr>
          <w:p w14:paraId="4F09B453" w14:textId="77777777" w:rsidR="009800BE" w:rsidRPr="009800BE" w:rsidRDefault="009800BE" w:rsidP="009800BE">
            <w:pPr>
              <w:spacing w:before="40" w:after="40"/>
              <w:jc w:val="center"/>
              <w:rPr>
                <w:rFonts w:cs="Calibri Light"/>
                <w:sz w:val="16"/>
                <w:szCs w:val="16"/>
              </w:rPr>
            </w:pPr>
            <w:r w:rsidRPr="009800BE">
              <w:rPr>
                <w:rFonts w:cs="Calibri Light"/>
                <w:color w:val="000000"/>
                <w:sz w:val="16"/>
                <w:szCs w:val="16"/>
              </w:rPr>
              <w:t>0.000710</w:t>
            </w:r>
          </w:p>
        </w:tc>
        <w:tc>
          <w:tcPr>
            <w:tcW w:w="1198" w:type="pct"/>
            <w:shd w:val="clear" w:color="auto" w:fill="auto"/>
            <w:noWrap/>
            <w:vAlign w:val="center"/>
            <w:hideMark/>
          </w:tcPr>
          <w:p w14:paraId="4257B26A" w14:textId="77777777" w:rsidR="009800BE" w:rsidRPr="009800BE" w:rsidRDefault="009800BE" w:rsidP="009800BE">
            <w:pPr>
              <w:spacing w:before="40" w:after="40"/>
              <w:jc w:val="center"/>
              <w:rPr>
                <w:rFonts w:cs="Calibri Light"/>
                <w:sz w:val="16"/>
                <w:szCs w:val="16"/>
              </w:rPr>
            </w:pPr>
            <w:r w:rsidRPr="009800BE">
              <w:rPr>
                <w:rFonts w:cs="Calibri Light"/>
                <w:color w:val="C00000"/>
                <w:sz w:val="16"/>
                <w:szCs w:val="16"/>
              </w:rPr>
              <w:t>(8.5%)</w:t>
            </w:r>
          </w:p>
        </w:tc>
      </w:tr>
    </w:tbl>
    <w:p w14:paraId="74ABEE70" w14:textId="691A2831" w:rsidR="001809DE" w:rsidRPr="001809DE" w:rsidRDefault="001809DE" w:rsidP="001809DE">
      <w:pPr>
        <w:pStyle w:val="TableMainHeading"/>
        <w:rPr>
          <w:rFonts w:ascii="Arial" w:hAnsi="Arial"/>
          <w:color w:val="auto"/>
        </w:rPr>
      </w:pPr>
      <w:r w:rsidRPr="001809DE">
        <w:rPr>
          <w:color w:val="auto"/>
        </w:rPr>
        <w:t>Table 10</w:t>
      </w:r>
      <w:r>
        <w:rPr>
          <w:color w:val="auto"/>
        </w:rPr>
        <w:t>.3</w:t>
      </w:r>
      <w:r w:rsidRPr="001809DE">
        <w:rPr>
          <w:color w:val="auto"/>
        </w:rPr>
        <w:t xml:space="preserve">: </w:t>
      </w:r>
      <w:r w:rsidR="00986B23" w:rsidRPr="001809DE">
        <w:rPr>
          <w:color w:val="auto"/>
        </w:rPr>
        <w:t>Levy parameters</w:t>
      </w:r>
      <w:r w:rsidR="00986B23">
        <w:rPr>
          <w:color w:val="auto"/>
        </w:rPr>
        <w:t xml:space="preserve"> – ADIs (</w:t>
      </w:r>
      <w:r w:rsidR="00580877">
        <w:rPr>
          <w:color w:val="auto"/>
        </w:rPr>
        <w:t>foreign branches</w:t>
      </w:r>
      <w:r w:rsidR="00986B23">
        <w:rPr>
          <w:color w:val="auto"/>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9"/>
        <w:gridCol w:w="2049"/>
        <w:gridCol w:w="2131"/>
        <w:gridCol w:w="2171"/>
      </w:tblGrid>
      <w:tr w:rsidR="009800BE" w:rsidRPr="009800BE" w14:paraId="536FAFB4" w14:textId="77777777" w:rsidTr="005926ED">
        <w:trPr>
          <w:cantSplit/>
          <w:trHeight w:val="284"/>
          <w:tblHeader/>
        </w:trPr>
        <w:tc>
          <w:tcPr>
            <w:tcW w:w="1495" w:type="pct"/>
            <w:shd w:val="clear" w:color="auto" w:fill="EEEEEE" w:themeFill="background2"/>
            <w:vAlign w:val="center"/>
            <w:hideMark/>
          </w:tcPr>
          <w:p w14:paraId="34C28D86" w14:textId="77777777" w:rsidR="009800BE" w:rsidRPr="009800BE" w:rsidRDefault="009800BE" w:rsidP="009800BE">
            <w:pPr>
              <w:keepNext/>
              <w:keepLines/>
              <w:spacing w:before="0" w:after="0"/>
              <w:rPr>
                <w:rFonts w:eastAsia="Arial" w:cs="Calibri Light"/>
                <w:b/>
                <w:color w:val="000000"/>
                <w:kern w:val="2"/>
                <w:sz w:val="18"/>
                <w:szCs w:val="18"/>
                <w:lang w:eastAsia="en-US"/>
                <w14:ligatures w14:val="standardContextual"/>
              </w:rPr>
            </w:pPr>
            <w:r w:rsidRPr="009800BE">
              <w:rPr>
                <w:rFonts w:eastAsia="Arial" w:cs="Calibri Light"/>
                <w:b/>
                <w:kern w:val="2"/>
                <w:sz w:val="18"/>
                <w:szCs w:val="18"/>
                <w:lang w:eastAsia="en-US"/>
                <w14:ligatures w14:val="standardContextual"/>
              </w:rPr>
              <w:t>ADIs (foreign branches)</w:t>
            </w:r>
          </w:p>
        </w:tc>
        <w:tc>
          <w:tcPr>
            <w:tcW w:w="1131" w:type="pct"/>
            <w:shd w:val="clear" w:color="auto" w:fill="EEEEEE" w:themeFill="background2"/>
            <w:vAlign w:val="center"/>
            <w:hideMark/>
          </w:tcPr>
          <w:p w14:paraId="26BC2FD6" w14:textId="77777777" w:rsidR="009800BE" w:rsidRPr="009800BE" w:rsidRDefault="009800BE" w:rsidP="009800BE">
            <w:pPr>
              <w:spacing w:before="40" w:after="40"/>
              <w:jc w:val="center"/>
              <w:rPr>
                <w:rFonts w:cs="Calibri Light"/>
                <w:b/>
                <w:sz w:val="18"/>
                <w:szCs w:val="18"/>
              </w:rPr>
            </w:pPr>
            <w:r w:rsidRPr="009800BE">
              <w:rPr>
                <w:rFonts w:cs="Calibri Light"/>
                <w:b/>
                <w:sz w:val="18"/>
                <w:szCs w:val="18"/>
              </w:rPr>
              <w:t>2024-25 Actual</w:t>
            </w:r>
          </w:p>
        </w:tc>
        <w:tc>
          <w:tcPr>
            <w:tcW w:w="1176" w:type="pct"/>
            <w:shd w:val="clear" w:color="auto" w:fill="EEEEEE" w:themeFill="background2"/>
            <w:vAlign w:val="center"/>
            <w:hideMark/>
          </w:tcPr>
          <w:p w14:paraId="1C83FCA3" w14:textId="77777777" w:rsidR="009800BE" w:rsidRPr="009800BE" w:rsidRDefault="009800BE" w:rsidP="009800BE">
            <w:pPr>
              <w:spacing w:before="40" w:after="40"/>
              <w:jc w:val="center"/>
              <w:rPr>
                <w:rFonts w:cs="Calibri Light"/>
                <w:b/>
                <w:sz w:val="18"/>
                <w:szCs w:val="18"/>
              </w:rPr>
            </w:pPr>
            <w:r w:rsidRPr="009800BE">
              <w:rPr>
                <w:rFonts w:cs="Calibri Light"/>
                <w:b/>
                <w:sz w:val="18"/>
                <w:szCs w:val="18"/>
              </w:rPr>
              <w:t>2025-26 Forecast</w:t>
            </w:r>
          </w:p>
        </w:tc>
        <w:tc>
          <w:tcPr>
            <w:tcW w:w="1198" w:type="pct"/>
            <w:shd w:val="clear" w:color="auto" w:fill="EEEEEE" w:themeFill="background2"/>
            <w:vAlign w:val="center"/>
            <w:hideMark/>
          </w:tcPr>
          <w:p w14:paraId="0E7FAF2B" w14:textId="77777777" w:rsidR="009800BE" w:rsidRPr="009800BE" w:rsidRDefault="009800BE" w:rsidP="009800BE">
            <w:pPr>
              <w:spacing w:before="40" w:after="40"/>
              <w:jc w:val="center"/>
              <w:rPr>
                <w:rFonts w:cs="Calibri Light"/>
                <w:b/>
                <w:sz w:val="18"/>
                <w:szCs w:val="18"/>
              </w:rPr>
            </w:pPr>
            <w:r w:rsidRPr="009800BE">
              <w:rPr>
                <w:rFonts w:cs="Calibri Light"/>
                <w:b/>
                <w:sz w:val="18"/>
                <w:szCs w:val="18"/>
              </w:rPr>
              <w:t>Change (%)</w:t>
            </w:r>
          </w:p>
        </w:tc>
      </w:tr>
      <w:tr w:rsidR="009800BE" w:rsidRPr="009800BE" w14:paraId="6285C463" w14:textId="77777777" w:rsidTr="005926ED">
        <w:trPr>
          <w:trHeight w:val="284"/>
        </w:trPr>
        <w:tc>
          <w:tcPr>
            <w:tcW w:w="1495" w:type="pct"/>
            <w:shd w:val="clear" w:color="auto" w:fill="auto"/>
            <w:noWrap/>
            <w:vAlign w:val="center"/>
            <w:hideMark/>
          </w:tcPr>
          <w:p w14:paraId="7EB4773C" w14:textId="77777777" w:rsidR="009800BE" w:rsidRPr="009800BE" w:rsidRDefault="009800BE" w:rsidP="009800BE">
            <w:pPr>
              <w:spacing w:before="40" w:after="40"/>
              <w:rPr>
                <w:rFonts w:cs="Calibri Light"/>
                <w:sz w:val="18"/>
              </w:rPr>
            </w:pPr>
            <w:r w:rsidRPr="009800BE">
              <w:rPr>
                <w:rFonts w:cs="Calibri Light"/>
                <w:b/>
                <w:sz w:val="18"/>
              </w:rPr>
              <w:t>Restricted</w:t>
            </w:r>
            <w:r w:rsidRPr="009800BE">
              <w:rPr>
                <w:rFonts w:cs="Calibri Light"/>
                <w:sz w:val="18"/>
              </w:rPr>
              <w:t xml:space="preserve"> rate (%)</w:t>
            </w:r>
          </w:p>
        </w:tc>
        <w:tc>
          <w:tcPr>
            <w:tcW w:w="1131" w:type="pct"/>
            <w:shd w:val="clear" w:color="auto" w:fill="auto"/>
            <w:noWrap/>
            <w:vAlign w:val="center"/>
            <w:hideMark/>
          </w:tcPr>
          <w:p w14:paraId="6C4F39BF" w14:textId="77777777" w:rsidR="009800BE" w:rsidRPr="009800BE" w:rsidRDefault="009800BE" w:rsidP="009800BE">
            <w:pPr>
              <w:spacing w:before="40" w:after="40"/>
              <w:jc w:val="center"/>
              <w:rPr>
                <w:rFonts w:cs="Calibri Light"/>
                <w:sz w:val="16"/>
                <w:szCs w:val="16"/>
              </w:rPr>
            </w:pPr>
            <w:r w:rsidRPr="009800BE">
              <w:rPr>
                <w:rFonts w:cs="Calibri Light"/>
                <w:color w:val="000000"/>
                <w:sz w:val="16"/>
                <w:szCs w:val="16"/>
              </w:rPr>
              <w:t>0.00044</w:t>
            </w:r>
          </w:p>
        </w:tc>
        <w:tc>
          <w:tcPr>
            <w:tcW w:w="1176" w:type="pct"/>
            <w:shd w:val="clear" w:color="auto" w:fill="auto"/>
            <w:noWrap/>
            <w:vAlign w:val="center"/>
            <w:hideMark/>
          </w:tcPr>
          <w:p w14:paraId="36674574" w14:textId="77777777" w:rsidR="009800BE" w:rsidRPr="009800BE" w:rsidRDefault="009800BE" w:rsidP="009800BE">
            <w:pPr>
              <w:spacing w:before="40" w:after="40"/>
              <w:jc w:val="center"/>
              <w:rPr>
                <w:rFonts w:cs="Calibri Light"/>
                <w:sz w:val="16"/>
                <w:szCs w:val="16"/>
              </w:rPr>
            </w:pPr>
            <w:r w:rsidRPr="009800BE">
              <w:rPr>
                <w:rFonts w:cs="Calibri Light"/>
                <w:color w:val="000000"/>
                <w:sz w:val="16"/>
                <w:szCs w:val="16"/>
              </w:rPr>
              <w:t>0.00044</w:t>
            </w:r>
          </w:p>
        </w:tc>
        <w:tc>
          <w:tcPr>
            <w:tcW w:w="1198" w:type="pct"/>
            <w:shd w:val="clear" w:color="auto" w:fill="auto"/>
            <w:noWrap/>
            <w:vAlign w:val="center"/>
            <w:hideMark/>
          </w:tcPr>
          <w:p w14:paraId="32E050BA" w14:textId="77777777" w:rsidR="009800BE" w:rsidRPr="009800BE" w:rsidRDefault="009800BE" w:rsidP="009800BE">
            <w:pPr>
              <w:spacing w:before="40" w:after="40"/>
              <w:jc w:val="center"/>
              <w:rPr>
                <w:rFonts w:cs="Calibri Light"/>
                <w:sz w:val="16"/>
                <w:szCs w:val="16"/>
              </w:rPr>
            </w:pPr>
            <w:r w:rsidRPr="009800BE">
              <w:rPr>
                <w:rFonts w:cs="Calibri Light"/>
                <w:color w:val="C00000"/>
                <w:sz w:val="16"/>
                <w:szCs w:val="16"/>
              </w:rPr>
              <w:t>(0.5%)</w:t>
            </w:r>
          </w:p>
        </w:tc>
      </w:tr>
      <w:tr w:rsidR="009800BE" w:rsidRPr="009800BE" w14:paraId="6EBDE459" w14:textId="77777777" w:rsidTr="005926ED">
        <w:trPr>
          <w:trHeight w:val="284"/>
        </w:trPr>
        <w:tc>
          <w:tcPr>
            <w:tcW w:w="1495" w:type="pct"/>
            <w:shd w:val="clear" w:color="auto" w:fill="auto"/>
            <w:noWrap/>
            <w:vAlign w:val="center"/>
            <w:hideMark/>
          </w:tcPr>
          <w:p w14:paraId="40CBFB7B" w14:textId="77777777" w:rsidR="009800BE" w:rsidRPr="009800BE" w:rsidRDefault="009800BE" w:rsidP="009800BE">
            <w:pPr>
              <w:spacing w:before="40" w:after="40"/>
              <w:rPr>
                <w:rFonts w:cs="Calibri Light"/>
                <w:sz w:val="18"/>
              </w:rPr>
            </w:pPr>
            <w:r w:rsidRPr="009800BE">
              <w:rPr>
                <w:rFonts w:cs="Calibri Light"/>
                <w:b/>
                <w:sz w:val="18"/>
              </w:rPr>
              <w:t>Restricted</w:t>
            </w:r>
            <w:r w:rsidRPr="009800BE">
              <w:rPr>
                <w:rFonts w:cs="Calibri Light"/>
                <w:sz w:val="18"/>
              </w:rPr>
              <w:t xml:space="preserve"> minimum</w:t>
            </w:r>
          </w:p>
        </w:tc>
        <w:tc>
          <w:tcPr>
            <w:tcW w:w="1131" w:type="pct"/>
            <w:shd w:val="clear" w:color="auto" w:fill="auto"/>
            <w:noWrap/>
            <w:vAlign w:val="center"/>
            <w:hideMark/>
          </w:tcPr>
          <w:p w14:paraId="6C7B7EA3" w14:textId="77777777" w:rsidR="009800BE" w:rsidRPr="009800BE" w:rsidRDefault="009800BE" w:rsidP="009800BE">
            <w:pPr>
              <w:spacing w:before="40" w:after="40"/>
              <w:jc w:val="center"/>
              <w:rPr>
                <w:rFonts w:cs="Calibri Light"/>
                <w:sz w:val="16"/>
                <w:szCs w:val="16"/>
              </w:rPr>
            </w:pPr>
            <w:r w:rsidRPr="009800BE">
              <w:rPr>
                <w:rFonts w:cs="Calibri Light"/>
                <w:color w:val="000000"/>
                <w:sz w:val="16"/>
                <w:szCs w:val="16"/>
              </w:rPr>
              <w:t>22,500</w:t>
            </w:r>
          </w:p>
        </w:tc>
        <w:tc>
          <w:tcPr>
            <w:tcW w:w="1176" w:type="pct"/>
            <w:shd w:val="clear" w:color="auto" w:fill="auto"/>
            <w:noWrap/>
            <w:vAlign w:val="center"/>
            <w:hideMark/>
          </w:tcPr>
          <w:p w14:paraId="58B63510" w14:textId="77777777" w:rsidR="009800BE" w:rsidRPr="009800BE" w:rsidRDefault="009800BE" w:rsidP="009800BE">
            <w:pPr>
              <w:spacing w:before="40" w:after="40"/>
              <w:jc w:val="center"/>
              <w:rPr>
                <w:rFonts w:cs="Calibri Light"/>
                <w:sz w:val="16"/>
                <w:szCs w:val="16"/>
              </w:rPr>
            </w:pPr>
            <w:r w:rsidRPr="009800BE">
              <w:rPr>
                <w:rFonts w:cs="Calibri Light"/>
                <w:color w:val="000000"/>
                <w:sz w:val="16"/>
                <w:szCs w:val="16"/>
              </w:rPr>
              <w:t>22,500</w:t>
            </w:r>
          </w:p>
        </w:tc>
        <w:tc>
          <w:tcPr>
            <w:tcW w:w="1198" w:type="pct"/>
            <w:shd w:val="clear" w:color="auto" w:fill="auto"/>
            <w:noWrap/>
            <w:vAlign w:val="center"/>
            <w:hideMark/>
          </w:tcPr>
          <w:p w14:paraId="611E9EC5" w14:textId="77777777" w:rsidR="009800BE" w:rsidRPr="009800BE" w:rsidRDefault="009800BE" w:rsidP="009800BE">
            <w:pPr>
              <w:spacing w:before="40" w:after="40"/>
              <w:jc w:val="center"/>
              <w:rPr>
                <w:rFonts w:cs="Calibri Light"/>
                <w:sz w:val="16"/>
                <w:szCs w:val="16"/>
              </w:rPr>
            </w:pPr>
            <w:r w:rsidRPr="009800BE">
              <w:rPr>
                <w:rFonts w:cs="Calibri Light"/>
                <w:sz w:val="16"/>
                <w:szCs w:val="16"/>
              </w:rPr>
              <w:t>0.0%</w:t>
            </w:r>
          </w:p>
        </w:tc>
      </w:tr>
      <w:tr w:rsidR="009800BE" w:rsidRPr="009800BE" w14:paraId="24FA56DA" w14:textId="77777777" w:rsidTr="005926ED">
        <w:trPr>
          <w:trHeight w:val="284"/>
        </w:trPr>
        <w:tc>
          <w:tcPr>
            <w:tcW w:w="1495" w:type="pct"/>
            <w:shd w:val="clear" w:color="auto" w:fill="auto"/>
            <w:noWrap/>
            <w:vAlign w:val="center"/>
            <w:hideMark/>
          </w:tcPr>
          <w:p w14:paraId="05EE230C" w14:textId="77777777" w:rsidR="009800BE" w:rsidRPr="009800BE" w:rsidRDefault="009800BE" w:rsidP="009800BE">
            <w:pPr>
              <w:spacing w:before="40" w:after="40"/>
              <w:rPr>
                <w:rFonts w:cs="Calibri Light"/>
                <w:sz w:val="18"/>
              </w:rPr>
            </w:pPr>
            <w:r w:rsidRPr="009800BE">
              <w:rPr>
                <w:rFonts w:cs="Calibri Light"/>
                <w:b/>
                <w:sz w:val="18"/>
              </w:rPr>
              <w:t>Restricted</w:t>
            </w:r>
            <w:r w:rsidRPr="009800BE">
              <w:rPr>
                <w:rFonts w:cs="Calibri Light"/>
                <w:sz w:val="18"/>
              </w:rPr>
              <w:t xml:space="preserve"> maximum</w:t>
            </w:r>
          </w:p>
        </w:tc>
        <w:tc>
          <w:tcPr>
            <w:tcW w:w="1131" w:type="pct"/>
            <w:shd w:val="clear" w:color="auto" w:fill="auto"/>
            <w:noWrap/>
            <w:vAlign w:val="center"/>
            <w:hideMark/>
          </w:tcPr>
          <w:p w14:paraId="1BC32874" w14:textId="77777777" w:rsidR="009800BE" w:rsidRPr="009800BE" w:rsidRDefault="009800BE" w:rsidP="009800BE">
            <w:pPr>
              <w:spacing w:before="40" w:after="40"/>
              <w:jc w:val="center"/>
              <w:rPr>
                <w:rFonts w:cs="Calibri Light"/>
                <w:sz w:val="16"/>
                <w:szCs w:val="16"/>
              </w:rPr>
            </w:pPr>
            <w:r w:rsidRPr="009800BE">
              <w:rPr>
                <w:rFonts w:cs="Calibri Light"/>
                <w:color w:val="000000"/>
                <w:sz w:val="16"/>
                <w:szCs w:val="16"/>
              </w:rPr>
              <w:t>1,500,000</w:t>
            </w:r>
          </w:p>
        </w:tc>
        <w:tc>
          <w:tcPr>
            <w:tcW w:w="1176" w:type="pct"/>
            <w:shd w:val="clear" w:color="auto" w:fill="auto"/>
            <w:noWrap/>
            <w:vAlign w:val="center"/>
            <w:hideMark/>
          </w:tcPr>
          <w:p w14:paraId="28F39A3F" w14:textId="77777777" w:rsidR="009800BE" w:rsidRPr="009800BE" w:rsidRDefault="009800BE" w:rsidP="009800BE">
            <w:pPr>
              <w:spacing w:before="40" w:after="40"/>
              <w:jc w:val="center"/>
              <w:rPr>
                <w:rFonts w:cs="Calibri Light"/>
                <w:sz w:val="16"/>
                <w:szCs w:val="16"/>
              </w:rPr>
            </w:pPr>
            <w:r w:rsidRPr="009800BE">
              <w:rPr>
                <w:rFonts w:cs="Calibri Light"/>
                <w:color w:val="000000"/>
                <w:sz w:val="16"/>
                <w:szCs w:val="16"/>
              </w:rPr>
              <w:t>1,700,000</w:t>
            </w:r>
          </w:p>
        </w:tc>
        <w:tc>
          <w:tcPr>
            <w:tcW w:w="1198" w:type="pct"/>
            <w:shd w:val="clear" w:color="auto" w:fill="auto"/>
            <w:noWrap/>
            <w:vAlign w:val="center"/>
            <w:hideMark/>
          </w:tcPr>
          <w:p w14:paraId="24712DE4" w14:textId="77777777" w:rsidR="009800BE" w:rsidRPr="009800BE" w:rsidRDefault="009800BE" w:rsidP="009800BE">
            <w:pPr>
              <w:spacing w:before="40" w:after="40"/>
              <w:jc w:val="center"/>
              <w:rPr>
                <w:rFonts w:cs="Calibri Light"/>
                <w:sz w:val="16"/>
                <w:szCs w:val="16"/>
              </w:rPr>
            </w:pPr>
            <w:r w:rsidRPr="009800BE">
              <w:rPr>
                <w:rFonts w:cs="Calibri Light"/>
                <w:color w:val="000000"/>
                <w:sz w:val="16"/>
                <w:szCs w:val="16"/>
              </w:rPr>
              <w:t>13.3%</w:t>
            </w:r>
          </w:p>
        </w:tc>
      </w:tr>
      <w:tr w:rsidR="009800BE" w:rsidRPr="009800BE" w14:paraId="4ECE77D4" w14:textId="77777777" w:rsidTr="005926ED">
        <w:trPr>
          <w:trHeight w:val="284"/>
        </w:trPr>
        <w:tc>
          <w:tcPr>
            <w:tcW w:w="1495" w:type="pct"/>
            <w:shd w:val="clear" w:color="auto" w:fill="auto"/>
            <w:noWrap/>
            <w:vAlign w:val="center"/>
            <w:hideMark/>
          </w:tcPr>
          <w:p w14:paraId="32E2A690" w14:textId="77777777" w:rsidR="009800BE" w:rsidRPr="009800BE" w:rsidRDefault="009800BE" w:rsidP="009800BE">
            <w:pPr>
              <w:spacing w:before="40" w:after="40"/>
              <w:rPr>
                <w:rFonts w:cs="Calibri Light"/>
                <w:b/>
                <w:sz w:val="18"/>
              </w:rPr>
            </w:pPr>
            <w:r w:rsidRPr="009800BE">
              <w:rPr>
                <w:rFonts w:cs="Calibri Light"/>
                <w:b/>
                <w:sz w:val="18"/>
              </w:rPr>
              <w:t>Unrestricted rate (%)</w:t>
            </w:r>
          </w:p>
        </w:tc>
        <w:tc>
          <w:tcPr>
            <w:tcW w:w="1131" w:type="pct"/>
            <w:shd w:val="clear" w:color="auto" w:fill="auto"/>
            <w:noWrap/>
            <w:vAlign w:val="center"/>
            <w:hideMark/>
          </w:tcPr>
          <w:p w14:paraId="3C1CB316" w14:textId="77777777" w:rsidR="009800BE" w:rsidRPr="009800BE" w:rsidRDefault="009800BE" w:rsidP="009800BE">
            <w:pPr>
              <w:spacing w:before="40" w:after="40"/>
              <w:jc w:val="center"/>
              <w:rPr>
                <w:rFonts w:cs="Calibri Light"/>
                <w:sz w:val="16"/>
                <w:szCs w:val="16"/>
              </w:rPr>
            </w:pPr>
            <w:r w:rsidRPr="009800BE">
              <w:rPr>
                <w:rFonts w:cs="Calibri Light"/>
                <w:color w:val="000000"/>
                <w:sz w:val="16"/>
                <w:szCs w:val="16"/>
              </w:rPr>
              <w:t>0.000777</w:t>
            </w:r>
          </w:p>
        </w:tc>
        <w:tc>
          <w:tcPr>
            <w:tcW w:w="1176" w:type="pct"/>
            <w:shd w:val="clear" w:color="auto" w:fill="auto"/>
            <w:noWrap/>
            <w:vAlign w:val="center"/>
            <w:hideMark/>
          </w:tcPr>
          <w:p w14:paraId="340F257D" w14:textId="77777777" w:rsidR="009800BE" w:rsidRPr="009800BE" w:rsidRDefault="009800BE" w:rsidP="009800BE">
            <w:pPr>
              <w:spacing w:before="40" w:after="40"/>
              <w:jc w:val="center"/>
              <w:rPr>
                <w:rFonts w:cs="Calibri Light"/>
                <w:sz w:val="16"/>
                <w:szCs w:val="16"/>
              </w:rPr>
            </w:pPr>
            <w:r w:rsidRPr="009800BE">
              <w:rPr>
                <w:rFonts w:cs="Calibri Light"/>
                <w:color w:val="000000"/>
                <w:sz w:val="16"/>
                <w:szCs w:val="16"/>
              </w:rPr>
              <w:t>0.000710</w:t>
            </w:r>
          </w:p>
        </w:tc>
        <w:tc>
          <w:tcPr>
            <w:tcW w:w="1198" w:type="pct"/>
            <w:shd w:val="clear" w:color="auto" w:fill="auto"/>
            <w:noWrap/>
            <w:vAlign w:val="center"/>
            <w:hideMark/>
          </w:tcPr>
          <w:p w14:paraId="441E05BA" w14:textId="77777777" w:rsidR="009800BE" w:rsidRPr="009800BE" w:rsidRDefault="009800BE" w:rsidP="009800BE">
            <w:pPr>
              <w:spacing w:before="40" w:after="40"/>
              <w:jc w:val="center"/>
              <w:rPr>
                <w:rFonts w:cs="Calibri Light"/>
                <w:sz w:val="16"/>
                <w:szCs w:val="16"/>
              </w:rPr>
            </w:pPr>
            <w:r w:rsidRPr="009800BE">
              <w:rPr>
                <w:rFonts w:cs="Calibri Light"/>
                <w:color w:val="C00000"/>
                <w:sz w:val="16"/>
                <w:szCs w:val="16"/>
              </w:rPr>
              <w:t>(8.5%)</w:t>
            </w:r>
          </w:p>
        </w:tc>
      </w:tr>
    </w:tbl>
    <w:p w14:paraId="22559B09" w14:textId="1CAA67B3" w:rsidR="001809DE" w:rsidRPr="001809DE" w:rsidRDefault="001809DE" w:rsidP="001809DE">
      <w:pPr>
        <w:pStyle w:val="TableMainHeading"/>
        <w:rPr>
          <w:rFonts w:ascii="Arial" w:hAnsi="Arial"/>
          <w:color w:val="auto"/>
        </w:rPr>
      </w:pPr>
      <w:r w:rsidRPr="001809DE">
        <w:rPr>
          <w:color w:val="auto"/>
        </w:rPr>
        <w:t>Table 10</w:t>
      </w:r>
      <w:r>
        <w:rPr>
          <w:color w:val="auto"/>
        </w:rPr>
        <w:t>.</w:t>
      </w:r>
      <w:r w:rsidR="005926ED">
        <w:rPr>
          <w:color w:val="auto"/>
        </w:rPr>
        <w:t>4</w:t>
      </w:r>
      <w:r w:rsidRPr="001809DE">
        <w:rPr>
          <w:color w:val="auto"/>
        </w:rPr>
        <w:t xml:space="preserve">: </w:t>
      </w:r>
      <w:r w:rsidR="00986B23" w:rsidRPr="001809DE">
        <w:rPr>
          <w:color w:val="auto"/>
        </w:rPr>
        <w:t>Levy parameters</w:t>
      </w:r>
      <w:r w:rsidR="00986B23">
        <w:rPr>
          <w:color w:val="auto"/>
        </w:rPr>
        <w:t xml:space="preserve"> – </w:t>
      </w:r>
      <w:r w:rsidR="00580877">
        <w:rPr>
          <w:color w:val="auto"/>
        </w:rPr>
        <w:t>Life insurers/Friendly societies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9"/>
        <w:gridCol w:w="2049"/>
        <w:gridCol w:w="2131"/>
        <w:gridCol w:w="2171"/>
      </w:tblGrid>
      <w:tr w:rsidR="009800BE" w:rsidRPr="009800BE" w14:paraId="06E6B659" w14:textId="77777777" w:rsidTr="005926ED">
        <w:trPr>
          <w:cantSplit/>
          <w:trHeight w:val="284"/>
          <w:tblHeader/>
        </w:trPr>
        <w:tc>
          <w:tcPr>
            <w:tcW w:w="1495" w:type="pct"/>
            <w:shd w:val="clear" w:color="auto" w:fill="EEEEEE" w:themeFill="background2"/>
            <w:vAlign w:val="center"/>
            <w:hideMark/>
          </w:tcPr>
          <w:p w14:paraId="2F4F296F" w14:textId="77777777" w:rsidR="009800BE" w:rsidRPr="009800BE" w:rsidRDefault="009800BE" w:rsidP="009800BE">
            <w:pPr>
              <w:keepNext/>
              <w:keepLines/>
              <w:spacing w:before="0" w:after="0"/>
              <w:rPr>
                <w:rFonts w:eastAsia="Arial" w:cs="Calibri Light"/>
                <w:b/>
                <w:color w:val="000000"/>
                <w:kern w:val="2"/>
                <w:sz w:val="18"/>
                <w:szCs w:val="18"/>
                <w:lang w:eastAsia="en-US"/>
                <w14:ligatures w14:val="standardContextual"/>
              </w:rPr>
            </w:pPr>
            <w:r w:rsidRPr="009800BE">
              <w:rPr>
                <w:rFonts w:eastAsia="Arial" w:cs="Calibri Light"/>
                <w:b/>
                <w:kern w:val="2"/>
                <w:sz w:val="18"/>
                <w:szCs w:val="18"/>
                <w:lang w:eastAsia="en-US"/>
                <w14:ligatures w14:val="standardContextual"/>
              </w:rPr>
              <w:t>Life insurers/Friendly societies</w:t>
            </w:r>
          </w:p>
        </w:tc>
        <w:tc>
          <w:tcPr>
            <w:tcW w:w="1131" w:type="pct"/>
            <w:shd w:val="clear" w:color="auto" w:fill="EEEEEE" w:themeFill="background2"/>
            <w:vAlign w:val="center"/>
            <w:hideMark/>
          </w:tcPr>
          <w:p w14:paraId="0AF5455E" w14:textId="77777777" w:rsidR="009800BE" w:rsidRPr="009800BE" w:rsidRDefault="009800BE" w:rsidP="009800BE">
            <w:pPr>
              <w:spacing w:before="40" w:after="40"/>
              <w:jc w:val="center"/>
              <w:rPr>
                <w:rFonts w:cs="Calibri Light"/>
                <w:b/>
                <w:sz w:val="18"/>
                <w:szCs w:val="18"/>
              </w:rPr>
            </w:pPr>
            <w:r w:rsidRPr="009800BE">
              <w:rPr>
                <w:rFonts w:cs="Calibri Light"/>
                <w:b/>
                <w:sz w:val="18"/>
                <w:szCs w:val="18"/>
              </w:rPr>
              <w:t>2024-25 Actual</w:t>
            </w:r>
          </w:p>
        </w:tc>
        <w:tc>
          <w:tcPr>
            <w:tcW w:w="1176" w:type="pct"/>
            <w:shd w:val="clear" w:color="auto" w:fill="EEEEEE" w:themeFill="background2"/>
            <w:vAlign w:val="center"/>
            <w:hideMark/>
          </w:tcPr>
          <w:p w14:paraId="7E72E9E8" w14:textId="77777777" w:rsidR="009800BE" w:rsidRPr="009800BE" w:rsidRDefault="009800BE" w:rsidP="009800BE">
            <w:pPr>
              <w:spacing w:before="40" w:after="40"/>
              <w:jc w:val="center"/>
              <w:rPr>
                <w:rFonts w:cs="Calibri Light"/>
                <w:b/>
                <w:sz w:val="18"/>
                <w:szCs w:val="18"/>
              </w:rPr>
            </w:pPr>
            <w:r w:rsidRPr="009800BE">
              <w:rPr>
                <w:rFonts w:cs="Calibri Light"/>
                <w:b/>
                <w:sz w:val="18"/>
                <w:szCs w:val="18"/>
              </w:rPr>
              <w:t>2025-26 Forecast</w:t>
            </w:r>
          </w:p>
        </w:tc>
        <w:tc>
          <w:tcPr>
            <w:tcW w:w="1198" w:type="pct"/>
            <w:shd w:val="clear" w:color="auto" w:fill="EEEEEE" w:themeFill="background2"/>
            <w:vAlign w:val="center"/>
            <w:hideMark/>
          </w:tcPr>
          <w:p w14:paraId="1984636B" w14:textId="77777777" w:rsidR="009800BE" w:rsidRPr="009800BE" w:rsidRDefault="009800BE" w:rsidP="009800BE">
            <w:pPr>
              <w:spacing w:before="40" w:after="40"/>
              <w:jc w:val="center"/>
              <w:rPr>
                <w:rFonts w:cs="Calibri Light"/>
                <w:b/>
                <w:sz w:val="18"/>
                <w:szCs w:val="18"/>
              </w:rPr>
            </w:pPr>
            <w:r w:rsidRPr="009800BE">
              <w:rPr>
                <w:rFonts w:cs="Calibri Light"/>
                <w:b/>
                <w:sz w:val="18"/>
                <w:szCs w:val="18"/>
              </w:rPr>
              <w:t>Change (%)</w:t>
            </w:r>
          </w:p>
        </w:tc>
      </w:tr>
      <w:tr w:rsidR="009800BE" w:rsidRPr="009800BE" w14:paraId="7C1DCEA7" w14:textId="77777777" w:rsidTr="005926ED">
        <w:trPr>
          <w:trHeight w:val="284"/>
        </w:trPr>
        <w:tc>
          <w:tcPr>
            <w:tcW w:w="1495" w:type="pct"/>
            <w:shd w:val="clear" w:color="auto" w:fill="auto"/>
            <w:noWrap/>
            <w:vAlign w:val="center"/>
            <w:hideMark/>
          </w:tcPr>
          <w:p w14:paraId="5BEE29D4" w14:textId="77777777" w:rsidR="009800BE" w:rsidRPr="009800BE" w:rsidRDefault="009800BE" w:rsidP="009800BE">
            <w:pPr>
              <w:spacing w:before="40" w:after="40"/>
              <w:rPr>
                <w:rFonts w:cs="Calibri Light"/>
                <w:sz w:val="18"/>
              </w:rPr>
            </w:pPr>
            <w:r w:rsidRPr="009800BE">
              <w:rPr>
                <w:rFonts w:cs="Calibri Light"/>
                <w:b/>
                <w:sz w:val="18"/>
              </w:rPr>
              <w:t>Restricted</w:t>
            </w:r>
            <w:r w:rsidRPr="009800BE">
              <w:rPr>
                <w:rFonts w:cs="Calibri Light"/>
                <w:sz w:val="18"/>
              </w:rPr>
              <w:t xml:space="preserve"> rate (%)</w:t>
            </w:r>
          </w:p>
        </w:tc>
        <w:tc>
          <w:tcPr>
            <w:tcW w:w="1131" w:type="pct"/>
            <w:shd w:val="clear" w:color="auto" w:fill="auto"/>
            <w:noWrap/>
            <w:vAlign w:val="center"/>
            <w:hideMark/>
          </w:tcPr>
          <w:p w14:paraId="5AC79E61" w14:textId="77777777" w:rsidR="009800BE" w:rsidRPr="009800BE" w:rsidRDefault="009800BE" w:rsidP="009800BE">
            <w:pPr>
              <w:spacing w:before="40" w:after="40"/>
              <w:jc w:val="center"/>
              <w:rPr>
                <w:rFonts w:cs="Calibri Light"/>
                <w:sz w:val="16"/>
                <w:szCs w:val="16"/>
              </w:rPr>
            </w:pPr>
            <w:r w:rsidRPr="009800BE">
              <w:rPr>
                <w:rFonts w:cs="Calibri Light"/>
                <w:color w:val="000000"/>
                <w:sz w:val="16"/>
                <w:szCs w:val="16"/>
              </w:rPr>
              <w:t>0.01235</w:t>
            </w:r>
          </w:p>
        </w:tc>
        <w:tc>
          <w:tcPr>
            <w:tcW w:w="1176" w:type="pct"/>
            <w:shd w:val="clear" w:color="auto" w:fill="auto"/>
            <w:noWrap/>
            <w:vAlign w:val="center"/>
            <w:hideMark/>
          </w:tcPr>
          <w:p w14:paraId="3713CC73" w14:textId="77777777" w:rsidR="009800BE" w:rsidRPr="009800BE" w:rsidRDefault="009800BE" w:rsidP="009800BE">
            <w:pPr>
              <w:spacing w:before="40" w:after="40"/>
              <w:jc w:val="center"/>
              <w:rPr>
                <w:rFonts w:cs="Calibri Light"/>
                <w:sz w:val="16"/>
                <w:szCs w:val="16"/>
              </w:rPr>
            </w:pPr>
            <w:r w:rsidRPr="009800BE">
              <w:rPr>
                <w:rFonts w:cs="Calibri Light"/>
                <w:color w:val="000000"/>
                <w:sz w:val="16"/>
                <w:szCs w:val="16"/>
              </w:rPr>
              <w:t>0.01054</w:t>
            </w:r>
          </w:p>
        </w:tc>
        <w:tc>
          <w:tcPr>
            <w:tcW w:w="1198" w:type="pct"/>
            <w:shd w:val="clear" w:color="auto" w:fill="auto"/>
            <w:noWrap/>
            <w:vAlign w:val="center"/>
            <w:hideMark/>
          </w:tcPr>
          <w:p w14:paraId="0D97301F" w14:textId="77777777" w:rsidR="009800BE" w:rsidRPr="009800BE" w:rsidRDefault="009800BE" w:rsidP="009800BE">
            <w:pPr>
              <w:spacing w:before="40" w:after="40"/>
              <w:jc w:val="center"/>
              <w:rPr>
                <w:rFonts w:cs="Calibri Light"/>
                <w:sz w:val="16"/>
                <w:szCs w:val="16"/>
              </w:rPr>
            </w:pPr>
            <w:r w:rsidRPr="009800BE">
              <w:rPr>
                <w:rFonts w:cs="Calibri Light"/>
                <w:color w:val="C00000"/>
                <w:sz w:val="16"/>
                <w:szCs w:val="16"/>
              </w:rPr>
              <w:t>(14.7%)</w:t>
            </w:r>
          </w:p>
        </w:tc>
      </w:tr>
      <w:tr w:rsidR="009800BE" w:rsidRPr="009800BE" w14:paraId="6CAA8DC9" w14:textId="77777777" w:rsidTr="005926ED">
        <w:trPr>
          <w:trHeight w:val="284"/>
        </w:trPr>
        <w:tc>
          <w:tcPr>
            <w:tcW w:w="1495" w:type="pct"/>
            <w:shd w:val="clear" w:color="auto" w:fill="auto"/>
            <w:noWrap/>
            <w:vAlign w:val="center"/>
            <w:hideMark/>
          </w:tcPr>
          <w:p w14:paraId="1E8DE21E" w14:textId="77777777" w:rsidR="009800BE" w:rsidRPr="009800BE" w:rsidRDefault="009800BE" w:rsidP="009800BE">
            <w:pPr>
              <w:spacing w:before="40" w:after="40"/>
              <w:rPr>
                <w:rFonts w:cs="Calibri Light"/>
                <w:sz w:val="18"/>
              </w:rPr>
            </w:pPr>
            <w:r w:rsidRPr="009800BE">
              <w:rPr>
                <w:rFonts w:cs="Calibri Light"/>
                <w:b/>
                <w:sz w:val="18"/>
              </w:rPr>
              <w:t>Restricted</w:t>
            </w:r>
            <w:r w:rsidRPr="009800BE">
              <w:rPr>
                <w:rFonts w:cs="Calibri Light"/>
                <w:sz w:val="18"/>
              </w:rPr>
              <w:t xml:space="preserve"> minimum</w:t>
            </w:r>
          </w:p>
        </w:tc>
        <w:tc>
          <w:tcPr>
            <w:tcW w:w="1131" w:type="pct"/>
            <w:shd w:val="clear" w:color="auto" w:fill="auto"/>
            <w:noWrap/>
            <w:vAlign w:val="center"/>
            <w:hideMark/>
          </w:tcPr>
          <w:p w14:paraId="44285FB5" w14:textId="77777777" w:rsidR="009800BE" w:rsidRPr="009800BE" w:rsidRDefault="009800BE" w:rsidP="009800BE">
            <w:pPr>
              <w:spacing w:before="40" w:after="40"/>
              <w:jc w:val="center"/>
              <w:rPr>
                <w:rFonts w:cs="Calibri Light"/>
                <w:sz w:val="16"/>
                <w:szCs w:val="16"/>
              </w:rPr>
            </w:pPr>
            <w:r w:rsidRPr="009800BE">
              <w:rPr>
                <w:rFonts w:cs="Calibri Light"/>
                <w:color w:val="000000"/>
                <w:sz w:val="16"/>
                <w:szCs w:val="16"/>
              </w:rPr>
              <w:t>22,500</w:t>
            </w:r>
          </w:p>
        </w:tc>
        <w:tc>
          <w:tcPr>
            <w:tcW w:w="1176" w:type="pct"/>
            <w:shd w:val="clear" w:color="auto" w:fill="auto"/>
            <w:noWrap/>
            <w:vAlign w:val="center"/>
            <w:hideMark/>
          </w:tcPr>
          <w:p w14:paraId="5BEC6F2E" w14:textId="77777777" w:rsidR="009800BE" w:rsidRPr="009800BE" w:rsidRDefault="009800BE" w:rsidP="009800BE">
            <w:pPr>
              <w:spacing w:before="40" w:after="40"/>
              <w:jc w:val="center"/>
              <w:rPr>
                <w:rFonts w:cs="Calibri Light"/>
                <w:sz w:val="16"/>
                <w:szCs w:val="16"/>
              </w:rPr>
            </w:pPr>
            <w:r w:rsidRPr="009800BE">
              <w:rPr>
                <w:rFonts w:cs="Calibri Light"/>
                <w:color w:val="000000"/>
                <w:sz w:val="16"/>
                <w:szCs w:val="16"/>
              </w:rPr>
              <w:t>22,500</w:t>
            </w:r>
          </w:p>
        </w:tc>
        <w:tc>
          <w:tcPr>
            <w:tcW w:w="1198" w:type="pct"/>
            <w:shd w:val="clear" w:color="auto" w:fill="auto"/>
            <w:noWrap/>
            <w:vAlign w:val="center"/>
            <w:hideMark/>
          </w:tcPr>
          <w:p w14:paraId="18721C0B" w14:textId="77777777" w:rsidR="009800BE" w:rsidRPr="009800BE" w:rsidRDefault="009800BE" w:rsidP="009800BE">
            <w:pPr>
              <w:spacing w:before="40" w:after="40"/>
              <w:jc w:val="center"/>
              <w:rPr>
                <w:rFonts w:cs="Calibri Light"/>
                <w:sz w:val="16"/>
                <w:szCs w:val="16"/>
              </w:rPr>
            </w:pPr>
            <w:r w:rsidRPr="009800BE">
              <w:rPr>
                <w:rFonts w:cs="Calibri Light"/>
                <w:sz w:val="16"/>
                <w:szCs w:val="16"/>
              </w:rPr>
              <w:t>0.0%</w:t>
            </w:r>
          </w:p>
        </w:tc>
      </w:tr>
      <w:tr w:rsidR="009800BE" w:rsidRPr="009800BE" w14:paraId="0A1FB4D8" w14:textId="77777777" w:rsidTr="005926ED">
        <w:trPr>
          <w:trHeight w:val="284"/>
        </w:trPr>
        <w:tc>
          <w:tcPr>
            <w:tcW w:w="1495" w:type="pct"/>
            <w:shd w:val="clear" w:color="auto" w:fill="auto"/>
            <w:noWrap/>
            <w:vAlign w:val="center"/>
            <w:hideMark/>
          </w:tcPr>
          <w:p w14:paraId="660E5646" w14:textId="77777777" w:rsidR="009800BE" w:rsidRPr="009800BE" w:rsidRDefault="009800BE" w:rsidP="009800BE">
            <w:pPr>
              <w:spacing w:before="40" w:after="40"/>
              <w:rPr>
                <w:rFonts w:cs="Calibri Light"/>
                <w:sz w:val="18"/>
              </w:rPr>
            </w:pPr>
            <w:r w:rsidRPr="009800BE">
              <w:rPr>
                <w:rFonts w:cs="Calibri Light"/>
                <w:b/>
                <w:sz w:val="18"/>
              </w:rPr>
              <w:t>Restricted</w:t>
            </w:r>
            <w:r w:rsidRPr="009800BE">
              <w:rPr>
                <w:rFonts w:cs="Calibri Light"/>
                <w:sz w:val="18"/>
              </w:rPr>
              <w:t xml:space="preserve"> maximum</w:t>
            </w:r>
          </w:p>
        </w:tc>
        <w:tc>
          <w:tcPr>
            <w:tcW w:w="1131" w:type="pct"/>
            <w:shd w:val="clear" w:color="auto" w:fill="auto"/>
            <w:noWrap/>
            <w:vAlign w:val="center"/>
            <w:hideMark/>
          </w:tcPr>
          <w:p w14:paraId="4F1097D1" w14:textId="77777777" w:rsidR="009800BE" w:rsidRPr="009800BE" w:rsidRDefault="009800BE" w:rsidP="009800BE">
            <w:pPr>
              <w:spacing w:before="40" w:after="40"/>
              <w:jc w:val="center"/>
              <w:rPr>
                <w:rFonts w:cs="Calibri Light"/>
                <w:sz w:val="16"/>
                <w:szCs w:val="16"/>
              </w:rPr>
            </w:pPr>
            <w:r w:rsidRPr="009800BE">
              <w:rPr>
                <w:rFonts w:cs="Calibri Light"/>
                <w:color w:val="000000"/>
                <w:sz w:val="16"/>
                <w:szCs w:val="16"/>
              </w:rPr>
              <w:t>1,200,000</w:t>
            </w:r>
          </w:p>
        </w:tc>
        <w:tc>
          <w:tcPr>
            <w:tcW w:w="1176" w:type="pct"/>
            <w:shd w:val="clear" w:color="auto" w:fill="auto"/>
            <w:noWrap/>
            <w:vAlign w:val="center"/>
            <w:hideMark/>
          </w:tcPr>
          <w:p w14:paraId="4A9D0557" w14:textId="77777777" w:rsidR="009800BE" w:rsidRPr="009800BE" w:rsidRDefault="009800BE" w:rsidP="009800BE">
            <w:pPr>
              <w:spacing w:before="40" w:after="40"/>
              <w:jc w:val="center"/>
              <w:rPr>
                <w:rFonts w:cs="Calibri Light"/>
                <w:sz w:val="16"/>
                <w:szCs w:val="16"/>
              </w:rPr>
            </w:pPr>
            <w:r w:rsidRPr="009800BE">
              <w:rPr>
                <w:rFonts w:cs="Calibri Light"/>
                <w:color w:val="000000"/>
                <w:sz w:val="16"/>
                <w:szCs w:val="16"/>
              </w:rPr>
              <w:t>1,200,000</w:t>
            </w:r>
          </w:p>
        </w:tc>
        <w:tc>
          <w:tcPr>
            <w:tcW w:w="1198" w:type="pct"/>
            <w:shd w:val="clear" w:color="auto" w:fill="auto"/>
            <w:noWrap/>
            <w:vAlign w:val="center"/>
            <w:hideMark/>
          </w:tcPr>
          <w:p w14:paraId="04E2C156" w14:textId="77777777" w:rsidR="009800BE" w:rsidRPr="009800BE" w:rsidRDefault="009800BE" w:rsidP="009800BE">
            <w:pPr>
              <w:spacing w:before="40" w:after="40"/>
              <w:jc w:val="center"/>
              <w:rPr>
                <w:rFonts w:cs="Calibri Light"/>
                <w:sz w:val="16"/>
                <w:szCs w:val="16"/>
              </w:rPr>
            </w:pPr>
            <w:r w:rsidRPr="009800BE">
              <w:rPr>
                <w:rFonts w:cs="Calibri Light"/>
                <w:sz w:val="16"/>
                <w:szCs w:val="16"/>
              </w:rPr>
              <w:t>0.0%</w:t>
            </w:r>
          </w:p>
        </w:tc>
      </w:tr>
      <w:tr w:rsidR="009800BE" w:rsidRPr="009800BE" w14:paraId="21BE61F2" w14:textId="77777777" w:rsidTr="005926ED">
        <w:trPr>
          <w:trHeight w:val="284"/>
        </w:trPr>
        <w:tc>
          <w:tcPr>
            <w:tcW w:w="1495" w:type="pct"/>
            <w:shd w:val="clear" w:color="auto" w:fill="auto"/>
            <w:noWrap/>
            <w:vAlign w:val="center"/>
            <w:hideMark/>
          </w:tcPr>
          <w:p w14:paraId="7D698993" w14:textId="77777777" w:rsidR="009800BE" w:rsidRPr="009800BE" w:rsidRDefault="009800BE" w:rsidP="009800BE">
            <w:pPr>
              <w:spacing w:before="40" w:after="40"/>
              <w:rPr>
                <w:rFonts w:cs="Calibri Light"/>
                <w:b/>
                <w:sz w:val="18"/>
              </w:rPr>
            </w:pPr>
            <w:r w:rsidRPr="009800BE">
              <w:rPr>
                <w:rFonts w:cs="Calibri Light"/>
                <w:b/>
                <w:sz w:val="18"/>
              </w:rPr>
              <w:t>Unrestricted rate (%)</w:t>
            </w:r>
          </w:p>
        </w:tc>
        <w:tc>
          <w:tcPr>
            <w:tcW w:w="1131" w:type="pct"/>
            <w:shd w:val="clear" w:color="auto" w:fill="auto"/>
            <w:noWrap/>
            <w:vAlign w:val="center"/>
            <w:hideMark/>
          </w:tcPr>
          <w:p w14:paraId="54CFB4B4" w14:textId="77777777" w:rsidR="009800BE" w:rsidRPr="009800BE" w:rsidRDefault="009800BE" w:rsidP="009800BE">
            <w:pPr>
              <w:spacing w:before="40" w:after="40"/>
              <w:jc w:val="center"/>
              <w:rPr>
                <w:rFonts w:cs="Calibri Light"/>
                <w:sz w:val="16"/>
                <w:szCs w:val="16"/>
              </w:rPr>
            </w:pPr>
            <w:r w:rsidRPr="009800BE">
              <w:rPr>
                <w:rFonts w:cs="Calibri Light"/>
                <w:color w:val="000000"/>
                <w:sz w:val="16"/>
                <w:szCs w:val="16"/>
              </w:rPr>
              <w:t>0.006971</w:t>
            </w:r>
          </w:p>
        </w:tc>
        <w:tc>
          <w:tcPr>
            <w:tcW w:w="1176" w:type="pct"/>
            <w:shd w:val="clear" w:color="auto" w:fill="auto"/>
            <w:noWrap/>
            <w:vAlign w:val="center"/>
            <w:hideMark/>
          </w:tcPr>
          <w:p w14:paraId="3F54313C" w14:textId="77777777" w:rsidR="009800BE" w:rsidRPr="009800BE" w:rsidRDefault="009800BE" w:rsidP="009800BE">
            <w:pPr>
              <w:spacing w:before="40" w:after="40"/>
              <w:jc w:val="center"/>
              <w:rPr>
                <w:rFonts w:cs="Calibri Light"/>
                <w:sz w:val="16"/>
                <w:szCs w:val="16"/>
              </w:rPr>
            </w:pPr>
            <w:r w:rsidRPr="009800BE">
              <w:rPr>
                <w:rFonts w:cs="Calibri Light"/>
                <w:color w:val="000000"/>
                <w:sz w:val="16"/>
                <w:szCs w:val="16"/>
              </w:rPr>
              <w:t>0.005679</w:t>
            </w:r>
          </w:p>
        </w:tc>
        <w:tc>
          <w:tcPr>
            <w:tcW w:w="1198" w:type="pct"/>
            <w:shd w:val="clear" w:color="auto" w:fill="auto"/>
            <w:noWrap/>
            <w:vAlign w:val="center"/>
            <w:hideMark/>
          </w:tcPr>
          <w:p w14:paraId="1BF1AE74" w14:textId="77777777" w:rsidR="009800BE" w:rsidRPr="009800BE" w:rsidRDefault="009800BE" w:rsidP="009800BE">
            <w:pPr>
              <w:spacing w:before="40" w:after="40"/>
              <w:jc w:val="center"/>
              <w:rPr>
                <w:rFonts w:cs="Calibri Light"/>
                <w:sz w:val="16"/>
                <w:szCs w:val="16"/>
              </w:rPr>
            </w:pPr>
            <w:r w:rsidRPr="009800BE">
              <w:rPr>
                <w:rFonts w:cs="Calibri Light"/>
                <w:color w:val="C00000"/>
                <w:sz w:val="16"/>
                <w:szCs w:val="16"/>
              </w:rPr>
              <w:t>(18.5%)</w:t>
            </w:r>
          </w:p>
        </w:tc>
      </w:tr>
    </w:tbl>
    <w:p w14:paraId="5F6516F3" w14:textId="2988E45F" w:rsidR="005926ED" w:rsidRPr="005926ED" w:rsidRDefault="005926ED" w:rsidP="005926ED">
      <w:pPr>
        <w:pStyle w:val="TableMainHeading"/>
        <w:rPr>
          <w:rFonts w:ascii="Arial" w:hAnsi="Arial"/>
          <w:color w:val="auto"/>
        </w:rPr>
      </w:pPr>
      <w:r w:rsidRPr="001809DE">
        <w:rPr>
          <w:color w:val="auto"/>
        </w:rPr>
        <w:t>Table 10</w:t>
      </w:r>
      <w:r>
        <w:rPr>
          <w:color w:val="auto"/>
        </w:rPr>
        <w:t>.5</w:t>
      </w:r>
      <w:r w:rsidRPr="001809DE">
        <w:rPr>
          <w:color w:val="auto"/>
        </w:rPr>
        <w:t xml:space="preserve">: </w:t>
      </w:r>
      <w:r w:rsidR="00986B23" w:rsidRPr="001809DE">
        <w:rPr>
          <w:color w:val="auto"/>
        </w:rPr>
        <w:t>Levy parameters</w:t>
      </w:r>
      <w:r w:rsidR="00986B23">
        <w:rPr>
          <w:color w:val="auto"/>
        </w:rPr>
        <w:t xml:space="preserve"> – </w:t>
      </w:r>
      <w:r w:rsidR="00580877">
        <w:rPr>
          <w:color w:val="auto"/>
        </w:rPr>
        <w:t>General Insurers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9"/>
        <w:gridCol w:w="2049"/>
        <w:gridCol w:w="2131"/>
        <w:gridCol w:w="2171"/>
      </w:tblGrid>
      <w:tr w:rsidR="009800BE" w:rsidRPr="009800BE" w14:paraId="0C1678B5" w14:textId="77777777" w:rsidTr="005926ED">
        <w:trPr>
          <w:cantSplit/>
          <w:trHeight w:val="284"/>
          <w:tblHeader/>
        </w:trPr>
        <w:tc>
          <w:tcPr>
            <w:tcW w:w="1495" w:type="pct"/>
            <w:shd w:val="clear" w:color="auto" w:fill="EEEEEE" w:themeFill="background2"/>
            <w:vAlign w:val="center"/>
            <w:hideMark/>
          </w:tcPr>
          <w:p w14:paraId="30EAD559" w14:textId="77777777" w:rsidR="009800BE" w:rsidRPr="009800BE" w:rsidRDefault="009800BE" w:rsidP="009800BE">
            <w:pPr>
              <w:keepNext/>
              <w:keepLines/>
              <w:spacing w:before="0" w:after="0"/>
              <w:rPr>
                <w:rFonts w:eastAsia="Arial" w:cs="Calibri Light"/>
                <w:b/>
                <w:color w:val="000000"/>
                <w:kern w:val="2"/>
                <w:sz w:val="18"/>
                <w:szCs w:val="18"/>
                <w:lang w:eastAsia="en-US"/>
                <w14:ligatures w14:val="standardContextual"/>
              </w:rPr>
            </w:pPr>
            <w:r w:rsidRPr="009800BE">
              <w:rPr>
                <w:rFonts w:eastAsia="Arial" w:cs="Calibri Light"/>
                <w:b/>
                <w:kern w:val="2"/>
                <w:sz w:val="18"/>
                <w:szCs w:val="18"/>
                <w:lang w:eastAsia="en-US"/>
                <w14:ligatures w14:val="standardContextual"/>
              </w:rPr>
              <w:t>General Insurers</w:t>
            </w:r>
          </w:p>
        </w:tc>
        <w:tc>
          <w:tcPr>
            <w:tcW w:w="1131" w:type="pct"/>
            <w:shd w:val="clear" w:color="auto" w:fill="EEEEEE" w:themeFill="background2"/>
            <w:vAlign w:val="center"/>
            <w:hideMark/>
          </w:tcPr>
          <w:p w14:paraId="3C07821C" w14:textId="77777777" w:rsidR="009800BE" w:rsidRPr="009800BE" w:rsidRDefault="009800BE" w:rsidP="009800BE">
            <w:pPr>
              <w:spacing w:before="40" w:after="40"/>
              <w:jc w:val="center"/>
              <w:rPr>
                <w:rFonts w:cs="Calibri Light"/>
                <w:b/>
                <w:sz w:val="18"/>
                <w:szCs w:val="18"/>
              </w:rPr>
            </w:pPr>
            <w:r w:rsidRPr="009800BE">
              <w:rPr>
                <w:rFonts w:cs="Calibri Light"/>
                <w:b/>
                <w:sz w:val="18"/>
                <w:szCs w:val="18"/>
              </w:rPr>
              <w:t>2024-25 Actual</w:t>
            </w:r>
          </w:p>
        </w:tc>
        <w:tc>
          <w:tcPr>
            <w:tcW w:w="1176" w:type="pct"/>
            <w:shd w:val="clear" w:color="auto" w:fill="EEEEEE" w:themeFill="background2"/>
            <w:vAlign w:val="center"/>
            <w:hideMark/>
          </w:tcPr>
          <w:p w14:paraId="071750A8" w14:textId="77777777" w:rsidR="009800BE" w:rsidRPr="009800BE" w:rsidRDefault="009800BE" w:rsidP="009800BE">
            <w:pPr>
              <w:spacing w:before="40" w:after="40"/>
              <w:jc w:val="center"/>
              <w:rPr>
                <w:rFonts w:cs="Calibri Light"/>
                <w:b/>
                <w:sz w:val="18"/>
                <w:szCs w:val="18"/>
              </w:rPr>
            </w:pPr>
            <w:r w:rsidRPr="009800BE">
              <w:rPr>
                <w:rFonts w:cs="Calibri Light"/>
                <w:b/>
                <w:sz w:val="18"/>
                <w:szCs w:val="18"/>
              </w:rPr>
              <w:t>2025-26 Forecast</w:t>
            </w:r>
          </w:p>
        </w:tc>
        <w:tc>
          <w:tcPr>
            <w:tcW w:w="1198" w:type="pct"/>
            <w:shd w:val="clear" w:color="auto" w:fill="EEEEEE" w:themeFill="background2"/>
            <w:vAlign w:val="center"/>
            <w:hideMark/>
          </w:tcPr>
          <w:p w14:paraId="247DE066" w14:textId="77777777" w:rsidR="009800BE" w:rsidRPr="009800BE" w:rsidRDefault="009800BE" w:rsidP="009800BE">
            <w:pPr>
              <w:spacing w:before="40" w:after="40"/>
              <w:jc w:val="center"/>
              <w:rPr>
                <w:rFonts w:cs="Calibri Light"/>
                <w:b/>
                <w:sz w:val="18"/>
                <w:szCs w:val="18"/>
              </w:rPr>
            </w:pPr>
            <w:r w:rsidRPr="009800BE">
              <w:rPr>
                <w:rFonts w:cs="Calibri Light"/>
                <w:b/>
                <w:sz w:val="18"/>
                <w:szCs w:val="18"/>
              </w:rPr>
              <w:t>Change (%)</w:t>
            </w:r>
          </w:p>
        </w:tc>
      </w:tr>
      <w:tr w:rsidR="009800BE" w:rsidRPr="009800BE" w14:paraId="3CA5C3BC" w14:textId="77777777" w:rsidTr="005926ED">
        <w:trPr>
          <w:trHeight w:val="284"/>
        </w:trPr>
        <w:tc>
          <w:tcPr>
            <w:tcW w:w="1495" w:type="pct"/>
            <w:shd w:val="clear" w:color="auto" w:fill="auto"/>
            <w:noWrap/>
            <w:vAlign w:val="center"/>
            <w:hideMark/>
          </w:tcPr>
          <w:p w14:paraId="55216E73" w14:textId="77777777" w:rsidR="009800BE" w:rsidRPr="009800BE" w:rsidRDefault="009800BE" w:rsidP="009800BE">
            <w:pPr>
              <w:spacing w:before="40" w:after="40"/>
              <w:rPr>
                <w:rFonts w:cs="Calibri Light"/>
                <w:sz w:val="18"/>
              </w:rPr>
            </w:pPr>
            <w:r w:rsidRPr="009800BE">
              <w:rPr>
                <w:rFonts w:cs="Calibri Light"/>
                <w:b/>
                <w:sz w:val="18"/>
              </w:rPr>
              <w:t>Restricted</w:t>
            </w:r>
            <w:r w:rsidRPr="009800BE">
              <w:rPr>
                <w:rFonts w:cs="Calibri Light"/>
                <w:sz w:val="18"/>
              </w:rPr>
              <w:t xml:space="preserve"> rate (%)</w:t>
            </w:r>
          </w:p>
        </w:tc>
        <w:tc>
          <w:tcPr>
            <w:tcW w:w="1131" w:type="pct"/>
            <w:shd w:val="clear" w:color="auto" w:fill="auto"/>
            <w:noWrap/>
            <w:vAlign w:val="center"/>
            <w:hideMark/>
          </w:tcPr>
          <w:p w14:paraId="7E97228A" w14:textId="77777777" w:rsidR="009800BE" w:rsidRPr="009800BE" w:rsidRDefault="009800BE" w:rsidP="009800BE">
            <w:pPr>
              <w:spacing w:before="40" w:after="40"/>
              <w:jc w:val="center"/>
              <w:rPr>
                <w:rFonts w:cs="Calibri Light"/>
                <w:sz w:val="16"/>
                <w:szCs w:val="16"/>
              </w:rPr>
            </w:pPr>
            <w:r w:rsidRPr="009800BE">
              <w:rPr>
                <w:rFonts w:cs="Calibri Light"/>
                <w:color w:val="000000"/>
                <w:sz w:val="16"/>
                <w:szCs w:val="16"/>
              </w:rPr>
              <w:t>0.01394</w:t>
            </w:r>
          </w:p>
        </w:tc>
        <w:tc>
          <w:tcPr>
            <w:tcW w:w="1176" w:type="pct"/>
            <w:shd w:val="clear" w:color="auto" w:fill="auto"/>
            <w:noWrap/>
            <w:vAlign w:val="center"/>
            <w:hideMark/>
          </w:tcPr>
          <w:p w14:paraId="07151680" w14:textId="77777777" w:rsidR="009800BE" w:rsidRPr="009800BE" w:rsidRDefault="009800BE" w:rsidP="009800BE">
            <w:pPr>
              <w:spacing w:before="40" w:after="40"/>
              <w:jc w:val="center"/>
              <w:rPr>
                <w:rFonts w:cs="Calibri Light"/>
                <w:sz w:val="16"/>
                <w:szCs w:val="16"/>
              </w:rPr>
            </w:pPr>
            <w:r w:rsidRPr="009800BE">
              <w:rPr>
                <w:rFonts w:cs="Calibri Light"/>
                <w:color w:val="000000"/>
                <w:sz w:val="16"/>
                <w:szCs w:val="16"/>
              </w:rPr>
              <w:t>0.01234</w:t>
            </w:r>
          </w:p>
        </w:tc>
        <w:tc>
          <w:tcPr>
            <w:tcW w:w="1198" w:type="pct"/>
            <w:shd w:val="clear" w:color="auto" w:fill="auto"/>
            <w:noWrap/>
            <w:vAlign w:val="center"/>
            <w:hideMark/>
          </w:tcPr>
          <w:p w14:paraId="4F0CE479" w14:textId="77777777" w:rsidR="009800BE" w:rsidRPr="009800BE" w:rsidRDefault="009800BE" w:rsidP="009800BE">
            <w:pPr>
              <w:spacing w:before="40" w:after="40"/>
              <w:jc w:val="center"/>
              <w:rPr>
                <w:rFonts w:cs="Calibri Light"/>
                <w:sz w:val="16"/>
                <w:szCs w:val="16"/>
              </w:rPr>
            </w:pPr>
            <w:r w:rsidRPr="009800BE">
              <w:rPr>
                <w:rFonts w:cs="Calibri Light"/>
                <w:color w:val="C00000"/>
                <w:sz w:val="16"/>
                <w:szCs w:val="16"/>
              </w:rPr>
              <w:t>(11.5%)</w:t>
            </w:r>
          </w:p>
        </w:tc>
      </w:tr>
      <w:tr w:rsidR="009800BE" w:rsidRPr="009800BE" w14:paraId="47CF10ED" w14:textId="77777777" w:rsidTr="005926ED">
        <w:trPr>
          <w:trHeight w:val="284"/>
        </w:trPr>
        <w:tc>
          <w:tcPr>
            <w:tcW w:w="1495" w:type="pct"/>
            <w:shd w:val="clear" w:color="auto" w:fill="auto"/>
            <w:noWrap/>
            <w:vAlign w:val="center"/>
            <w:hideMark/>
          </w:tcPr>
          <w:p w14:paraId="3E52CB9A" w14:textId="77777777" w:rsidR="009800BE" w:rsidRPr="009800BE" w:rsidRDefault="009800BE" w:rsidP="009800BE">
            <w:pPr>
              <w:spacing w:before="40" w:after="40"/>
              <w:rPr>
                <w:rFonts w:cs="Calibri Light"/>
                <w:sz w:val="18"/>
              </w:rPr>
            </w:pPr>
            <w:r w:rsidRPr="009800BE">
              <w:rPr>
                <w:rFonts w:cs="Calibri Light"/>
                <w:b/>
                <w:sz w:val="18"/>
              </w:rPr>
              <w:t>Restricted</w:t>
            </w:r>
            <w:r w:rsidRPr="009800BE">
              <w:rPr>
                <w:rFonts w:cs="Calibri Light"/>
                <w:sz w:val="18"/>
              </w:rPr>
              <w:t xml:space="preserve"> minimum</w:t>
            </w:r>
          </w:p>
        </w:tc>
        <w:tc>
          <w:tcPr>
            <w:tcW w:w="1131" w:type="pct"/>
            <w:shd w:val="clear" w:color="auto" w:fill="auto"/>
            <w:noWrap/>
            <w:vAlign w:val="center"/>
            <w:hideMark/>
          </w:tcPr>
          <w:p w14:paraId="0959B7A7" w14:textId="77777777" w:rsidR="009800BE" w:rsidRPr="009800BE" w:rsidRDefault="009800BE" w:rsidP="009800BE">
            <w:pPr>
              <w:spacing w:before="40" w:after="40"/>
              <w:jc w:val="center"/>
              <w:rPr>
                <w:rFonts w:cs="Calibri Light"/>
                <w:sz w:val="16"/>
                <w:szCs w:val="16"/>
              </w:rPr>
            </w:pPr>
            <w:r w:rsidRPr="009800BE">
              <w:rPr>
                <w:rFonts w:cs="Calibri Light"/>
                <w:color w:val="000000"/>
                <w:sz w:val="16"/>
                <w:szCs w:val="16"/>
              </w:rPr>
              <w:t>22,500</w:t>
            </w:r>
          </w:p>
        </w:tc>
        <w:tc>
          <w:tcPr>
            <w:tcW w:w="1176" w:type="pct"/>
            <w:shd w:val="clear" w:color="auto" w:fill="auto"/>
            <w:noWrap/>
            <w:vAlign w:val="center"/>
            <w:hideMark/>
          </w:tcPr>
          <w:p w14:paraId="51E739F0" w14:textId="77777777" w:rsidR="009800BE" w:rsidRPr="009800BE" w:rsidRDefault="009800BE" w:rsidP="009800BE">
            <w:pPr>
              <w:spacing w:before="40" w:after="40"/>
              <w:jc w:val="center"/>
              <w:rPr>
                <w:rFonts w:cs="Calibri Light"/>
                <w:sz w:val="16"/>
                <w:szCs w:val="16"/>
              </w:rPr>
            </w:pPr>
            <w:r w:rsidRPr="009800BE">
              <w:rPr>
                <w:rFonts w:cs="Calibri Light"/>
                <w:color w:val="000000"/>
                <w:sz w:val="16"/>
                <w:szCs w:val="16"/>
              </w:rPr>
              <w:t>22,500</w:t>
            </w:r>
          </w:p>
        </w:tc>
        <w:tc>
          <w:tcPr>
            <w:tcW w:w="1198" w:type="pct"/>
            <w:shd w:val="clear" w:color="auto" w:fill="auto"/>
            <w:noWrap/>
            <w:vAlign w:val="center"/>
            <w:hideMark/>
          </w:tcPr>
          <w:p w14:paraId="2EA695D6" w14:textId="77777777" w:rsidR="009800BE" w:rsidRPr="009800BE" w:rsidRDefault="009800BE" w:rsidP="009800BE">
            <w:pPr>
              <w:spacing w:before="40" w:after="40"/>
              <w:jc w:val="center"/>
              <w:rPr>
                <w:rFonts w:cs="Calibri Light"/>
                <w:sz w:val="16"/>
                <w:szCs w:val="16"/>
              </w:rPr>
            </w:pPr>
            <w:r w:rsidRPr="009800BE">
              <w:rPr>
                <w:rFonts w:cs="Calibri Light"/>
                <w:sz w:val="16"/>
                <w:szCs w:val="16"/>
              </w:rPr>
              <w:t>0.0%</w:t>
            </w:r>
          </w:p>
        </w:tc>
      </w:tr>
      <w:tr w:rsidR="009800BE" w:rsidRPr="009800BE" w14:paraId="1CFF996A" w14:textId="77777777" w:rsidTr="005926ED">
        <w:trPr>
          <w:trHeight w:val="284"/>
        </w:trPr>
        <w:tc>
          <w:tcPr>
            <w:tcW w:w="1495" w:type="pct"/>
            <w:shd w:val="clear" w:color="auto" w:fill="auto"/>
            <w:noWrap/>
            <w:vAlign w:val="center"/>
            <w:hideMark/>
          </w:tcPr>
          <w:p w14:paraId="6DC93A4C" w14:textId="77777777" w:rsidR="009800BE" w:rsidRPr="009800BE" w:rsidRDefault="009800BE" w:rsidP="009800BE">
            <w:pPr>
              <w:spacing w:before="40" w:after="40"/>
              <w:rPr>
                <w:rFonts w:cs="Calibri Light"/>
                <w:sz w:val="18"/>
              </w:rPr>
            </w:pPr>
            <w:r w:rsidRPr="009800BE">
              <w:rPr>
                <w:rFonts w:cs="Calibri Light"/>
                <w:b/>
                <w:sz w:val="18"/>
              </w:rPr>
              <w:t>Restricted</w:t>
            </w:r>
            <w:r w:rsidRPr="009800BE">
              <w:rPr>
                <w:rFonts w:cs="Calibri Light"/>
                <w:sz w:val="18"/>
              </w:rPr>
              <w:t xml:space="preserve"> maximum</w:t>
            </w:r>
          </w:p>
        </w:tc>
        <w:tc>
          <w:tcPr>
            <w:tcW w:w="1131" w:type="pct"/>
            <w:shd w:val="clear" w:color="auto" w:fill="auto"/>
            <w:noWrap/>
            <w:vAlign w:val="center"/>
            <w:hideMark/>
          </w:tcPr>
          <w:p w14:paraId="5BCE6C85" w14:textId="77777777" w:rsidR="009800BE" w:rsidRPr="009800BE" w:rsidRDefault="009800BE" w:rsidP="009800BE">
            <w:pPr>
              <w:spacing w:before="40" w:after="40"/>
              <w:jc w:val="center"/>
              <w:rPr>
                <w:rFonts w:cs="Calibri Light"/>
                <w:sz w:val="16"/>
                <w:szCs w:val="16"/>
              </w:rPr>
            </w:pPr>
            <w:r w:rsidRPr="009800BE">
              <w:rPr>
                <w:rFonts w:cs="Calibri Light"/>
                <w:color w:val="000000"/>
                <w:sz w:val="16"/>
                <w:szCs w:val="16"/>
              </w:rPr>
              <w:t>1,600,000</w:t>
            </w:r>
          </w:p>
        </w:tc>
        <w:tc>
          <w:tcPr>
            <w:tcW w:w="1176" w:type="pct"/>
            <w:shd w:val="clear" w:color="auto" w:fill="auto"/>
            <w:noWrap/>
            <w:vAlign w:val="center"/>
            <w:hideMark/>
          </w:tcPr>
          <w:p w14:paraId="19260E59" w14:textId="77777777" w:rsidR="009800BE" w:rsidRPr="009800BE" w:rsidRDefault="009800BE" w:rsidP="009800BE">
            <w:pPr>
              <w:spacing w:before="40" w:after="40"/>
              <w:jc w:val="center"/>
              <w:rPr>
                <w:rFonts w:cs="Calibri Light"/>
                <w:sz w:val="16"/>
                <w:szCs w:val="16"/>
              </w:rPr>
            </w:pPr>
            <w:r w:rsidRPr="009800BE">
              <w:rPr>
                <w:rFonts w:cs="Calibri Light"/>
                <w:color w:val="000000"/>
                <w:sz w:val="16"/>
                <w:szCs w:val="16"/>
              </w:rPr>
              <w:t>1,600,000</w:t>
            </w:r>
          </w:p>
        </w:tc>
        <w:tc>
          <w:tcPr>
            <w:tcW w:w="1198" w:type="pct"/>
            <w:shd w:val="clear" w:color="auto" w:fill="auto"/>
            <w:noWrap/>
            <w:vAlign w:val="center"/>
            <w:hideMark/>
          </w:tcPr>
          <w:p w14:paraId="6401329D" w14:textId="77777777" w:rsidR="009800BE" w:rsidRPr="009800BE" w:rsidRDefault="009800BE" w:rsidP="009800BE">
            <w:pPr>
              <w:spacing w:before="40" w:after="40"/>
              <w:jc w:val="center"/>
              <w:rPr>
                <w:rFonts w:cs="Calibri Light"/>
                <w:sz w:val="16"/>
                <w:szCs w:val="16"/>
              </w:rPr>
            </w:pPr>
            <w:r w:rsidRPr="009800BE">
              <w:rPr>
                <w:rFonts w:cs="Calibri Light"/>
                <w:sz w:val="16"/>
                <w:szCs w:val="16"/>
              </w:rPr>
              <w:t>0.0%</w:t>
            </w:r>
          </w:p>
        </w:tc>
      </w:tr>
      <w:tr w:rsidR="009800BE" w:rsidRPr="009800BE" w14:paraId="01AABA3C" w14:textId="77777777" w:rsidTr="005926ED">
        <w:trPr>
          <w:trHeight w:val="284"/>
        </w:trPr>
        <w:tc>
          <w:tcPr>
            <w:tcW w:w="1495" w:type="pct"/>
            <w:shd w:val="clear" w:color="auto" w:fill="auto"/>
            <w:noWrap/>
            <w:vAlign w:val="center"/>
            <w:hideMark/>
          </w:tcPr>
          <w:p w14:paraId="14AD2BF6" w14:textId="77777777" w:rsidR="009800BE" w:rsidRPr="009800BE" w:rsidRDefault="009800BE" w:rsidP="009800BE">
            <w:pPr>
              <w:spacing w:before="40" w:after="40"/>
              <w:rPr>
                <w:rFonts w:cs="Calibri Light"/>
                <w:b/>
                <w:sz w:val="18"/>
              </w:rPr>
            </w:pPr>
            <w:r w:rsidRPr="009800BE">
              <w:rPr>
                <w:rFonts w:cs="Calibri Light"/>
                <w:b/>
                <w:sz w:val="18"/>
              </w:rPr>
              <w:t>Unrestricted rate (%)</w:t>
            </w:r>
          </w:p>
        </w:tc>
        <w:tc>
          <w:tcPr>
            <w:tcW w:w="1131" w:type="pct"/>
            <w:shd w:val="clear" w:color="auto" w:fill="auto"/>
            <w:noWrap/>
            <w:vAlign w:val="center"/>
            <w:hideMark/>
          </w:tcPr>
          <w:p w14:paraId="527C3589" w14:textId="77777777" w:rsidR="009800BE" w:rsidRPr="009800BE" w:rsidRDefault="009800BE" w:rsidP="009800BE">
            <w:pPr>
              <w:spacing w:before="40" w:after="40"/>
              <w:jc w:val="center"/>
              <w:rPr>
                <w:rFonts w:cs="Calibri Light"/>
                <w:sz w:val="16"/>
                <w:szCs w:val="16"/>
              </w:rPr>
            </w:pPr>
            <w:r w:rsidRPr="009800BE">
              <w:rPr>
                <w:rFonts w:cs="Calibri Light"/>
                <w:color w:val="000000"/>
                <w:sz w:val="16"/>
                <w:szCs w:val="16"/>
              </w:rPr>
              <w:t>0.010477</w:t>
            </w:r>
          </w:p>
        </w:tc>
        <w:tc>
          <w:tcPr>
            <w:tcW w:w="1176" w:type="pct"/>
            <w:shd w:val="clear" w:color="auto" w:fill="auto"/>
            <w:noWrap/>
            <w:vAlign w:val="center"/>
            <w:hideMark/>
          </w:tcPr>
          <w:p w14:paraId="021EB951" w14:textId="77777777" w:rsidR="009800BE" w:rsidRPr="009800BE" w:rsidRDefault="009800BE" w:rsidP="009800BE">
            <w:pPr>
              <w:spacing w:before="40" w:after="40"/>
              <w:jc w:val="center"/>
              <w:rPr>
                <w:rFonts w:cs="Calibri Light"/>
                <w:sz w:val="16"/>
                <w:szCs w:val="16"/>
              </w:rPr>
            </w:pPr>
            <w:r w:rsidRPr="009800BE">
              <w:rPr>
                <w:rFonts w:cs="Calibri Light"/>
                <w:color w:val="000000"/>
                <w:sz w:val="16"/>
                <w:szCs w:val="16"/>
              </w:rPr>
              <w:t>0.008350</w:t>
            </w:r>
          </w:p>
        </w:tc>
        <w:tc>
          <w:tcPr>
            <w:tcW w:w="1198" w:type="pct"/>
            <w:shd w:val="clear" w:color="auto" w:fill="auto"/>
            <w:noWrap/>
            <w:vAlign w:val="center"/>
            <w:hideMark/>
          </w:tcPr>
          <w:p w14:paraId="6FB80528" w14:textId="77777777" w:rsidR="009800BE" w:rsidRPr="009800BE" w:rsidRDefault="009800BE" w:rsidP="009800BE">
            <w:pPr>
              <w:spacing w:before="40" w:after="40"/>
              <w:jc w:val="center"/>
              <w:rPr>
                <w:rFonts w:cs="Calibri Light"/>
                <w:sz w:val="16"/>
                <w:szCs w:val="16"/>
              </w:rPr>
            </w:pPr>
            <w:r w:rsidRPr="009800BE">
              <w:rPr>
                <w:rFonts w:cs="Calibri Light"/>
                <w:color w:val="C00000"/>
                <w:sz w:val="16"/>
                <w:szCs w:val="16"/>
              </w:rPr>
              <w:t>(20.3%)</w:t>
            </w:r>
          </w:p>
        </w:tc>
      </w:tr>
    </w:tbl>
    <w:p w14:paraId="0DB74D2B" w14:textId="75B9B413" w:rsidR="009800BE" w:rsidRPr="005926ED" w:rsidRDefault="005926ED" w:rsidP="005926ED">
      <w:pPr>
        <w:pStyle w:val="TableMainHeading"/>
        <w:rPr>
          <w:rFonts w:ascii="Arial" w:eastAsia="Arial" w:hAnsi="Arial"/>
          <w:color w:val="auto"/>
        </w:rPr>
      </w:pPr>
      <w:r w:rsidRPr="001809DE">
        <w:rPr>
          <w:color w:val="auto"/>
        </w:rPr>
        <w:t>Table 10</w:t>
      </w:r>
      <w:r>
        <w:rPr>
          <w:color w:val="auto"/>
        </w:rPr>
        <w:t>.6</w:t>
      </w:r>
      <w:r w:rsidRPr="001809DE">
        <w:rPr>
          <w:color w:val="auto"/>
        </w:rPr>
        <w:t xml:space="preserve">: </w:t>
      </w:r>
      <w:r w:rsidR="00986B23" w:rsidRPr="001809DE">
        <w:rPr>
          <w:color w:val="auto"/>
        </w:rPr>
        <w:t>Levy parameters</w:t>
      </w:r>
      <w:r w:rsidR="00986B23">
        <w:rPr>
          <w:color w:val="auto"/>
        </w:rPr>
        <w:t xml:space="preserve"> – </w:t>
      </w:r>
      <w:r w:rsidR="00580877">
        <w:rPr>
          <w:color w:val="auto"/>
        </w:rPr>
        <w:t>Superannuation funds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9"/>
        <w:gridCol w:w="2049"/>
        <w:gridCol w:w="2131"/>
        <w:gridCol w:w="2171"/>
      </w:tblGrid>
      <w:tr w:rsidR="009800BE" w:rsidRPr="009800BE" w14:paraId="6E3F52B5" w14:textId="77777777" w:rsidTr="005926ED">
        <w:trPr>
          <w:cantSplit/>
          <w:trHeight w:val="284"/>
          <w:tblHeader/>
        </w:trPr>
        <w:tc>
          <w:tcPr>
            <w:tcW w:w="1495" w:type="pct"/>
            <w:shd w:val="clear" w:color="auto" w:fill="EEEEEE" w:themeFill="background2"/>
            <w:vAlign w:val="center"/>
            <w:hideMark/>
          </w:tcPr>
          <w:p w14:paraId="4C181508" w14:textId="77777777" w:rsidR="009800BE" w:rsidRPr="009800BE" w:rsidRDefault="009800BE" w:rsidP="009800BE">
            <w:pPr>
              <w:keepNext/>
              <w:keepLines/>
              <w:spacing w:before="0" w:after="0"/>
              <w:rPr>
                <w:rFonts w:eastAsia="Arial" w:cs="Calibri Light"/>
                <w:b/>
                <w:color w:val="000000"/>
                <w:kern w:val="2"/>
                <w:sz w:val="18"/>
                <w:szCs w:val="18"/>
                <w:lang w:eastAsia="en-US"/>
                <w14:ligatures w14:val="standardContextual"/>
              </w:rPr>
            </w:pPr>
            <w:r w:rsidRPr="009800BE">
              <w:rPr>
                <w:rFonts w:eastAsia="Arial" w:cs="Calibri Light"/>
                <w:b/>
                <w:color w:val="000000"/>
                <w:kern w:val="2"/>
                <w:sz w:val="18"/>
                <w:szCs w:val="18"/>
                <w:lang w:eastAsia="en-US"/>
                <w14:ligatures w14:val="standardContextual"/>
              </w:rPr>
              <w:t>Superannuation funds</w:t>
            </w:r>
          </w:p>
        </w:tc>
        <w:tc>
          <w:tcPr>
            <w:tcW w:w="1131" w:type="pct"/>
            <w:shd w:val="clear" w:color="auto" w:fill="EEEEEE" w:themeFill="background2"/>
            <w:vAlign w:val="center"/>
            <w:hideMark/>
          </w:tcPr>
          <w:p w14:paraId="52EBBD68" w14:textId="77777777" w:rsidR="009800BE" w:rsidRPr="009800BE" w:rsidRDefault="009800BE" w:rsidP="009800BE">
            <w:pPr>
              <w:spacing w:before="40" w:after="40"/>
              <w:jc w:val="center"/>
              <w:rPr>
                <w:rFonts w:cs="Calibri Light"/>
                <w:b/>
                <w:sz w:val="18"/>
                <w:szCs w:val="18"/>
              </w:rPr>
            </w:pPr>
            <w:r w:rsidRPr="009800BE">
              <w:rPr>
                <w:rFonts w:cs="Calibri Light"/>
                <w:b/>
                <w:sz w:val="18"/>
                <w:szCs w:val="18"/>
              </w:rPr>
              <w:t>2024-25 Actual</w:t>
            </w:r>
          </w:p>
        </w:tc>
        <w:tc>
          <w:tcPr>
            <w:tcW w:w="1176" w:type="pct"/>
            <w:shd w:val="clear" w:color="auto" w:fill="EEEEEE" w:themeFill="background2"/>
            <w:vAlign w:val="center"/>
            <w:hideMark/>
          </w:tcPr>
          <w:p w14:paraId="38CE0F08" w14:textId="77777777" w:rsidR="009800BE" w:rsidRPr="009800BE" w:rsidRDefault="009800BE" w:rsidP="009800BE">
            <w:pPr>
              <w:spacing w:before="40" w:after="40"/>
              <w:jc w:val="center"/>
              <w:rPr>
                <w:rFonts w:cs="Calibri Light"/>
                <w:b/>
                <w:sz w:val="18"/>
                <w:szCs w:val="18"/>
              </w:rPr>
            </w:pPr>
            <w:r w:rsidRPr="009800BE">
              <w:rPr>
                <w:rFonts w:cs="Calibri Light"/>
                <w:b/>
                <w:sz w:val="18"/>
                <w:szCs w:val="18"/>
              </w:rPr>
              <w:t>2025-26 Forecast</w:t>
            </w:r>
          </w:p>
        </w:tc>
        <w:tc>
          <w:tcPr>
            <w:tcW w:w="1198" w:type="pct"/>
            <w:shd w:val="clear" w:color="auto" w:fill="EEEEEE" w:themeFill="background2"/>
            <w:vAlign w:val="center"/>
            <w:hideMark/>
          </w:tcPr>
          <w:p w14:paraId="54236DFD" w14:textId="77777777" w:rsidR="009800BE" w:rsidRPr="009800BE" w:rsidRDefault="009800BE" w:rsidP="009800BE">
            <w:pPr>
              <w:spacing w:before="40" w:after="40"/>
              <w:jc w:val="center"/>
              <w:rPr>
                <w:rFonts w:cs="Calibri Light"/>
                <w:b/>
                <w:sz w:val="18"/>
                <w:szCs w:val="18"/>
              </w:rPr>
            </w:pPr>
            <w:r w:rsidRPr="009800BE">
              <w:rPr>
                <w:rFonts w:cs="Calibri Light"/>
                <w:b/>
                <w:sz w:val="18"/>
                <w:szCs w:val="18"/>
              </w:rPr>
              <w:t>Change (%)</w:t>
            </w:r>
          </w:p>
        </w:tc>
      </w:tr>
      <w:tr w:rsidR="009800BE" w:rsidRPr="009800BE" w14:paraId="5B1ACD4A" w14:textId="77777777" w:rsidTr="005926ED">
        <w:trPr>
          <w:trHeight w:val="284"/>
        </w:trPr>
        <w:tc>
          <w:tcPr>
            <w:tcW w:w="1495" w:type="pct"/>
            <w:shd w:val="clear" w:color="auto" w:fill="auto"/>
            <w:noWrap/>
            <w:vAlign w:val="center"/>
            <w:hideMark/>
          </w:tcPr>
          <w:p w14:paraId="0E54D4C1" w14:textId="77777777" w:rsidR="009800BE" w:rsidRPr="009800BE" w:rsidRDefault="009800BE" w:rsidP="009800BE">
            <w:pPr>
              <w:spacing w:before="40" w:after="40"/>
              <w:rPr>
                <w:rFonts w:cs="Calibri Light"/>
                <w:sz w:val="18"/>
              </w:rPr>
            </w:pPr>
            <w:r w:rsidRPr="009800BE">
              <w:rPr>
                <w:rFonts w:cs="Calibri Light"/>
                <w:b/>
                <w:sz w:val="18"/>
              </w:rPr>
              <w:t>Restricted</w:t>
            </w:r>
            <w:r w:rsidRPr="009800BE">
              <w:rPr>
                <w:rFonts w:cs="Calibri Light"/>
                <w:sz w:val="18"/>
              </w:rPr>
              <w:t xml:space="preserve"> rate (%)</w:t>
            </w:r>
          </w:p>
        </w:tc>
        <w:tc>
          <w:tcPr>
            <w:tcW w:w="1131" w:type="pct"/>
            <w:shd w:val="clear" w:color="auto" w:fill="auto"/>
            <w:noWrap/>
            <w:vAlign w:val="center"/>
            <w:hideMark/>
          </w:tcPr>
          <w:p w14:paraId="6772B246" w14:textId="77777777" w:rsidR="009800BE" w:rsidRPr="009800BE" w:rsidRDefault="009800BE" w:rsidP="009800BE">
            <w:pPr>
              <w:spacing w:before="40" w:after="40"/>
              <w:jc w:val="center"/>
              <w:rPr>
                <w:rFonts w:cs="Calibri Light"/>
                <w:sz w:val="16"/>
                <w:szCs w:val="16"/>
              </w:rPr>
            </w:pPr>
            <w:r w:rsidRPr="009800BE">
              <w:rPr>
                <w:rFonts w:cs="Calibri Light"/>
                <w:color w:val="000000"/>
                <w:sz w:val="16"/>
                <w:szCs w:val="16"/>
              </w:rPr>
              <w:t>0.00776</w:t>
            </w:r>
          </w:p>
        </w:tc>
        <w:tc>
          <w:tcPr>
            <w:tcW w:w="1176" w:type="pct"/>
            <w:shd w:val="clear" w:color="auto" w:fill="auto"/>
            <w:noWrap/>
            <w:vAlign w:val="center"/>
            <w:hideMark/>
          </w:tcPr>
          <w:p w14:paraId="362E102E" w14:textId="77777777" w:rsidR="009800BE" w:rsidRPr="009800BE" w:rsidRDefault="009800BE" w:rsidP="009800BE">
            <w:pPr>
              <w:spacing w:before="40" w:after="40"/>
              <w:jc w:val="center"/>
              <w:rPr>
                <w:rFonts w:cs="Calibri Light"/>
                <w:sz w:val="16"/>
                <w:szCs w:val="16"/>
              </w:rPr>
            </w:pPr>
            <w:r w:rsidRPr="009800BE">
              <w:rPr>
                <w:rFonts w:cs="Calibri Light"/>
                <w:color w:val="000000"/>
                <w:sz w:val="16"/>
                <w:szCs w:val="16"/>
              </w:rPr>
              <w:t>0.00721</w:t>
            </w:r>
          </w:p>
        </w:tc>
        <w:tc>
          <w:tcPr>
            <w:tcW w:w="1198" w:type="pct"/>
            <w:shd w:val="clear" w:color="auto" w:fill="auto"/>
            <w:noWrap/>
            <w:vAlign w:val="center"/>
            <w:hideMark/>
          </w:tcPr>
          <w:p w14:paraId="202F8C01" w14:textId="77777777" w:rsidR="009800BE" w:rsidRPr="009800BE" w:rsidRDefault="009800BE" w:rsidP="009800BE">
            <w:pPr>
              <w:spacing w:before="40" w:after="40"/>
              <w:jc w:val="center"/>
              <w:rPr>
                <w:rFonts w:cs="Calibri Light"/>
                <w:sz w:val="16"/>
                <w:szCs w:val="16"/>
              </w:rPr>
            </w:pPr>
            <w:r w:rsidRPr="009800BE">
              <w:rPr>
                <w:rFonts w:cs="Calibri Light"/>
                <w:color w:val="C00000"/>
                <w:sz w:val="16"/>
                <w:szCs w:val="16"/>
              </w:rPr>
              <w:t>(7.1%)</w:t>
            </w:r>
          </w:p>
        </w:tc>
      </w:tr>
      <w:tr w:rsidR="009800BE" w:rsidRPr="009800BE" w14:paraId="06C9FEC4" w14:textId="77777777" w:rsidTr="005926ED">
        <w:trPr>
          <w:trHeight w:val="284"/>
        </w:trPr>
        <w:tc>
          <w:tcPr>
            <w:tcW w:w="1495" w:type="pct"/>
            <w:shd w:val="clear" w:color="auto" w:fill="auto"/>
            <w:noWrap/>
            <w:vAlign w:val="center"/>
            <w:hideMark/>
          </w:tcPr>
          <w:p w14:paraId="2E42824D" w14:textId="77777777" w:rsidR="009800BE" w:rsidRPr="009800BE" w:rsidRDefault="009800BE" w:rsidP="009800BE">
            <w:pPr>
              <w:spacing w:before="40" w:after="40"/>
              <w:rPr>
                <w:rFonts w:cs="Calibri Light"/>
                <w:sz w:val="18"/>
              </w:rPr>
            </w:pPr>
            <w:r w:rsidRPr="009800BE">
              <w:rPr>
                <w:rFonts w:cs="Calibri Light"/>
                <w:b/>
                <w:sz w:val="18"/>
              </w:rPr>
              <w:t>Restricted</w:t>
            </w:r>
            <w:r w:rsidRPr="009800BE">
              <w:rPr>
                <w:rFonts w:cs="Calibri Light"/>
                <w:sz w:val="18"/>
              </w:rPr>
              <w:t xml:space="preserve"> minimum</w:t>
            </w:r>
          </w:p>
        </w:tc>
        <w:tc>
          <w:tcPr>
            <w:tcW w:w="1131" w:type="pct"/>
            <w:shd w:val="clear" w:color="auto" w:fill="auto"/>
            <w:noWrap/>
            <w:vAlign w:val="center"/>
            <w:hideMark/>
          </w:tcPr>
          <w:p w14:paraId="488D8576" w14:textId="77777777" w:rsidR="009800BE" w:rsidRPr="009800BE" w:rsidRDefault="009800BE" w:rsidP="009800BE">
            <w:pPr>
              <w:spacing w:before="40" w:after="40"/>
              <w:jc w:val="center"/>
              <w:rPr>
                <w:rFonts w:cs="Calibri Light"/>
                <w:sz w:val="16"/>
                <w:szCs w:val="16"/>
              </w:rPr>
            </w:pPr>
            <w:r w:rsidRPr="009800BE">
              <w:rPr>
                <w:rFonts w:cs="Calibri Light"/>
                <w:color w:val="000000"/>
                <w:sz w:val="16"/>
                <w:szCs w:val="16"/>
              </w:rPr>
              <w:t>12,500</w:t>
            </w:r>
          </w:p>
        </w:tc>
        <w:tc>
          <w:tcPr>
            <w:tcW w:w="1176" w:type="pct"/>
            <w:shd w:val="clear" w:color="auto" w:fill="auto"/>
            <w:noWrap/>
            <w:vAlign w:val="center"/>
            <w:hideMark/>
          </w:tcPr>
          <w:p w14:paraId="7845D043" w14:textId="77777777" w:rsidR="009800BE" w:rsidRPr="009800BE" w:rsidRDefault="009800BE" w:rsidP="009800BE">
            <w:pPr>
              <w:spacing w:before="40" w:after="40"/>
              <w:jc w:val="center"/>
              <w:rPr>
                <w:rFonts w:cs="Calibri Light"/>
                <w:sz w:val="16"/>
                <w:szCs w:val="16"/>
              </w:rPr>
            </w:pPr>
            <w:r w:rsidRPr="009800BE">
              <w:rPr>
                <w:rFonts w:cs="Calibri Light"/>
                <w:color w:val="000000"/>
                <w:sz w:val="16"/>
                <w:szCs w:val="16"/>
              </w:rPr>
              <w:t>12,500</w:t>
            </w:r>
          </w:p>
        </w:tc>
        <w:tc>
          <w:tcPr>
            <w:tcW w:w="1198" w:type="pct"/>
            <w:shd w:val="clear" w:color="auto" w:fill="auto"/>
            <w:noWrap/>
            <w:vAlign w:val="center"/>
            <w:hideMark/>
          </w:tcPr>
          <w:p w14:paraId="295396B9" w14:textId="77777777" w:rsidR="009800BE" w:rsidRPr="009800BE" w:rsidRDefault="009800BE" w:rsidP="009800BE">
            <w:pPr>
              <w:spacing w:before="40" w:after="40"/>
              <w:jc w:val="center"/>
              <w:rPr>
                <w:rFonts w:cs="Calibri Light"/>
                <w:sz w:val="16"/>
                <w:szCs w:val="16"/>
              </w:rPr>
            </w:pPr>
            <w:r w:rsidRPr="009800BE">
              <w:rPr>
                <w:rFonts w:cs="Calibri Light"/>
                <w:sz w:val="16"/>
                <w:szCs w:val="16"/>
              </w:rPr>
              <w:t>0.0%</w:t>
            </w:r>
          </w:p>
        </w:tc>
      </w:tr>
      <w:tr w:rsidR="009800BE" w:rsidRPr="009800BE" w14:paraId="2BA2C7F2" w14:textId="77777777" w:rsidTr="005926ED">
        <w:trPr>
          <w:trHeight w:val="284"/>
        </w:trPr>
        <w:tc>
          <w:tcPr>
            <w:tcW w:w="1495" w:type="pct"/>
            <w:shd w:val="clear" w:color="auto" w:fill="auto"/>
            <w:noWrap/>
            <w:vAlign w:val="center"/>
            <w:hideMark/>
          </w:tcPr>
          <w:p w14:paraId="0E3F6A97" w14:textId="77777777" w:rsidR="009800BE" w:rsidRPr="009800BE" w:rsidRDefault="009800BE" w:rsidP="009800BE">
            <w:pPr>
              <w:spacing w:before="40" w:after="40"/>
              <w:rPr>
                <w:rFonts w:cs="Calibri Light"/>
                <w:sz w:val="18"/>
              </w:rPr>
            </w:pPr>
            <w:r w:rsidRPr="009800BE">
              <w:rPr>
                <w:rFonts w:cs="Calibri Light"/>
                <w:b/>
                <w:sz w:val="18"/>
              </w:rPr>
              <w:t>Restricted</w:t>
            </w:r>
            <w:r w:rsidRPr="009800BE">
              <w:rPr>
                <w:rFonts w:cs="Calibri Light"/>
                <w:sz w:val="18"/>
              </w:rPr>
              <w:t xml:space="preserve"> maximum</w:t>
            </w:r>
          </w:p>
        </w:tc>
        <w:tc>
          <w:tcPr>
            <w:tcW w:w="1131" w:type="pct"/>
            <w:shd w:val="clear" w:color="auto" w:fill="auto"/>
            <w:noWrap/>
            <w:vAlign w:val="center"/>
            <w:hideMark/>
          </w:tcPr>
          <w:p w14:paraId="31E8DDFA" w14:textId="77777777" w:rsidR="009800BE" w:rsidRPr="009800BE" w:rsidRDefault="009800BE" w:rsidP="009800BE">
            <w:pPr>
              <w:spacing w:before="40" w:after="40"/>
              <w:jc w:val="center"/>
              <w:rPr>
                <w:rFonts w:cs="Calibri Light"/>
                <w:sz w:val="16"/>
                <w:szCs w:val="16"/>
              </w:rPr>
            </w:pPr>
            <w:r w:rsidRPr="009800BE">
              <w:rPr>
                <w:rFonts w:cs="Calibri Light"/>
                <w:color w:val="000000"/>
                <w:sz w:val="16"/>
                <w:szCs w:val="16"/>
              </w:rPr>
              <w:t>900,000</w:t>
            </w:r>
          </w:p>
        </w:tc>
        <w:tc>
          <w:tcPr>
            <w:tcW w:w="1176" w:type="pct"/>
            <w:shd w:val="clear" w:color="auto" w:fill="auto"/>
            <w:noWrap/>
            <w:vAlign w:val="center"/>
            <w:hideMark/>
          </w:tcPr>
          <w:p w14:paraId="4D987F5C" w14:textId="77777777" w:rsidR="009800BE" w:rsidRPr="009800BE" w:rsidRDefault="009800BE" w:rsidP="009800BE">
            <w:pPr>
              <w:spacing w:before="40" w:after="40"/>
              <w:jc w:val="center"/>
              <w:rPr>
                <w:rFonts w:cs="Calibri Light"/>
                <w:sz w:val="16"/>
                <w:szCs w:val="16"/>
              </w:rPr>
            </w:pPr>
            <w:r w:rsidRPr="009800BE">
              <w:rPr>
                <w:rFonts w:cs="Calibri Light"/>
                <w:color w:val="000000"/>
                <w:sz w:val="16"/>
                <w:szCs w:val="16"/>
              </w:rPr>
              <w:t>950,000</w:t>
            </w:r>
          </w:p>
        </w:tc>
        <w:tc>
          <w:tcPr>
            <w:tcW w:w="1198" w:type="pct"/>
            <w:shd w:val="clear" w:color="auto" w:fill="auto"/>
            <w:noWrap/>
            <w:vAlign w:val="center"/>
            <w:hideMark/>
          </w:tcPr>
          <w:p w14:paraId="6E5AC775" w14:textId="77777777" w:rsidR="009800BE" w:rsidRPr="009800BE" w:rsidRDefault="009800BE" w:rsidP="009800BE">
            <w:pPr>
              <w:spacing w:before="40" w:after="40"/>
              <w:jc w:val="center"/>
              <w:rPr>
                <w:rFonts w:cs="Calibri Light"/>
                <w:sz w:val="16"/>
                <w:szCs w:val="16"/>
              </w:rPr>
            </w:pPr>
            <w:r w:rsidRPr="009800BE">
              <w:rPr>
                <w:rFonts w:cs="Calibri Light"/>
                <w:color w:val="000000"/>
                <w:sz w:val="16"/>
                <w:szCs w:val="16"/>
              </w:rPr>
              <w:t>5.6%</w:t>
            </w:r>
          </w:p>
        </w:tc>
      </w:tr>
      <w:tr w:rsidR="009800BE" w:rsidRPr="009800BE" w14:paraId="572385FF" w14:textId="77777777" w:rsidTr="005926ED">
        <w:trPr>
          <w:trHeight w:val="284"/>
        </w:trPr>
        <w:tc>
          <w:tcPr>
            <w:tcW w:w="1495" w:type="pct"/>
            <w:shd w:val="clear" w:color="auto" w:fill="auto"/>
            <w:noWrap/>
            <w:vAlign w:val="center"/>
            <w:hideMark/>
          </w:tcPr>
          <w:p w14:paraId="1EDD4CE2" w14:textId="77777777" w:rsidR="009800BE" w:rsidRPr="009800BE" w:rsidRDefault="009800BE" w:rsidP="009800BE">
            <w:pPr>
              <w:spacing w:before="40" w:after="40"/>
              <w:rPr>
                <w:rFonts w:cs="Calibri Light"/>
                <w:b/>
                <w:sz w:val="18"/>
              </w:rPr>
            </w:pPr>
            <w:r w:rsidRPr="009800BE">
              <w:rPr>
                <w:rFonts w:cs="Calibri Light"/>
                <w:b/>
                <w:sz w:val="18"/>
              </w:rPr>
              <w:t>Unrestricted rate (%)</w:t>
            </w:r>
          </w:p>
        </w:tc>
        <w:tc>
          <w:tcPr>
            <w:tcW w:w="1131" w:type="pct"/>
            <w:shd w:val="clear" w:color="auto" w:fill="auto"/>
            <w:noWrap/>
            <w:vAlign w:val="center"/>
            <w:hideMark/>
          </w:tcPr>
          <w:p w14:paraId="2ADB35E5" w14:textId="77777777" w:rsidR="009800BE" w:rsidRPr="009800BE" w:rsidRDefault="009800BE" w:rsidP="009800BE">
            <w:pPr>
              <w:spacing w:before="40" w:after="40"/>
              <w:jc w:val="center"/>
              <w:rPr>
                <w:rFonts w:cs="Calibri Light"/>
                <w:sz w:val="16"/>
                <w:szCs w:val="16"/>
              </w:rPr>
            </w:pPr>
            <w:r w:rsidRPr="009800BE">
              <w:rPr>
                <w:rFonts w:cs="Calibri Light"/>
                <w:color w:val="000000"/>
                <w:sz w:val="16"/>
                <w:szCs w:val="16"/>
              </w:rPr>
              <w:t>0.003272</w:t>
            </w:r>
          </w:p>
        </w:tc>
        <w:tc>
          <w:tcPr>
            <w:tcW w:w="1176" w:type="pct"/>
            <w:shd w:val="clear" w:color="auto" w:fill="auto"/>
            <w:noWrap/>
            <w:vAlign w:val="center"/>
            <w:hideMark/>
          </w:tcPr>
          <w:p w14:paraId="36AF6A15" w14:textId="77777777" w:rsidR="009800BE" w:rsidRPr="009800BE" w:rsidRDefault="009800BE" w:rsidP="009800BE">
            <w:pPr>
              <w:spacing w:before="40" w:after="40"/>
              <w:jc w:val="center"/>
              <w:rPr>
                <w:rFonts w:cs="Calibri Light"/>
                <w:sz w:val="16"/>
                <w:szCs w:val="16"/>
              </w:rPr>
            </w:pPr>
            <w:r w:rsidRPr="009800BE">
              <w:rPr>
                <w:rFonts w:cs="Calibri Light"/>
                <w:color w:val="000000"/>
                <w:sz w:val="16"/>
                <w:szCs w:val="16"/>
              </w:rPr>
              <w:t>0.002593</w:t>
            </w:r>
          </w:p>
        </w:tc>
        <w:tc>
          <w:tcPr>
            <w:tcW w:w="1198" w:type="pct"/>
            <w:shd w:val="clear" w:color="auto" w:fill="auto"/>
            <w:noWrap/>
            <w:vAlign w:val="center"/>
            <w:hideMark/>
          </w:tcPr>
          <w:p w14:paraId="028583F2" w14:textId="77777777" w:rsidR="009800BE" w:rsidRPr="009800BE" w:rsidRDefault="009800BE" w:rsidP="009800BE">
            <w:pPr>
              <w:spacing w:before="40" w:after="40"/>
              <w:jc w:val="center"/>
              <w:rPr>
                <w:rFonts w:cs="Calibri Light"/>
                <w:sz w:val="16"/>
                <w:szCs w:val="16"/>
              </w:rPr>
            </w:pPr>
            <w:r w:rsidRPr="009800BE">
              <w:rPr>
                <w:rFonts w:cs="Calibri Light"/>
                <w:color w:val="C00000"/>
                <w:sz w:val="16"/>
                <w:szCs w:val="16"/>
              </w:rPr>
              <w:t>(20.7%)</w:t>
            </w:r>
          </w:p>
        </w:tc>
      </w:tr>
    </w:tbl>
    <w:p w14:paraId="08D8727E" w14:textId="77777777" w:rsidR="009800BE" w:rsidRDefault="009800BE" w:rsidP="009800BE">
      <w:pPr>
        <w:keepNext/>
        <w:keepLines/>
        <w:spacing w:before="0" w:after="220"/>
        <w:jc w:val="both"/>
        <w:rPr>
          <w:rFonts w:ascii="Arial" w:eastAsia="Arial" w:hAnsi="Arial" w:cs="Cordia New"/>
          <w:color w:val="000000"/>
          <w:kern w:val="2"/>
          <w:szCs w:val="22"/>
          <w:lang w:eastAsia="en-US"/>
          <w14:ligatures w14:val="standardContextual"/>
        </w:rPr>
      </w:pPr>
    </w:p>
    <w:p w14:paraId="6D7B0A00" w14:textId="124377A5" w:rsidR="009800BE" w:rsidRPr="005926ED" w:rsidRDefault="005926ED" w:rsidP="005926ED">
      <w:pPr>
        <w:pStyle w:val="TableMainHeading"/>
        <w:rPr>
          <w:rFonts w:ascii="Arial" w:eastAsia="Arial" w:hAnsi="Arial"/>
          <w:color w:val="auto"/>
        </w:rPr>
      </w:pPr>
      <w:r w:rsidRPr="001809DE">
        <w:rPr>
          <w:color w:val="auto"/>
        </w:rPr>
        <w:t>Table 10</w:t>
      </w:r>
      <w:r>
        <w:rPr>
          <w:color w:val="auto"/>
        </w:rPr>
        <w:t>.7</w:t>
      </w:r>
      <w:r w:rsidRPr="001809DE">
        <w:rPr>
          <w:color w:val="auto"/>
        </w:rPr>
        <w:t xml:space="preserve">: </w:t>
      </w:r>
      <w:r w:rsidR="00986B23" w:rsidRPr="001809DE">
        <w:rPr>
          <w:color w:val="auto"/>
        </w:rPr>
        <w:t>Levy parameters</w:t>
      </w:r>
      <w:r w:rsidR="00986B23">
        <w:rPr>
          <w:color w:val="auto"/>
        </w:rPr>
        <w:t xml:space="preserve"> – Pool Su</w:t>
      </w:r>
      <w:r w:rsidR="00580877">
        <w:rPr>
          <w:color w:val="auto"/>
        </w:rPr>
        <w:t>perannuation Trusts (PSTs)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9"/>
        <w:gridCol w:w="2049"/>
        <w:gridCol w:w="2131"/>
        <w:gridCol w:w="2171"/>
      </w:tblGrid>
      <w:tr w:rsidR="009800BE" w:rsidRPr="009800BE" w14:paraId="4408AEC1" w14:textId="77777777" w:rsidTr="003075E0">
        <w:trPr>
          <w:cantSplit/>
          <w:trHeight w:val="284"/>
          <w:tblHeader/>
        </w:trPr>
        <w:tc>
          <w:tcPr>
            <w:tcW w:w="1495" w:type="pct"/>
            <w:shd w:val="clear" w:color="auto" w:fill="EEEEEE" w:themeFill="background2"/>
            <w:vAlign w:val="center"/>
            <w:hideMark/>
          </w:tcPr>
          <w:p w14:paraId="72ACF0A3" w14:textId="77777777" w:rsidR="009800BE" w:rsidRPr="009800BE" w:rsidRDefault="009800BE" w:rsidP="009800BE">
            <w:pPr>
              <w:keepNext/>
              <w:keepLines/>
              <w:spacing w:before="0" w:after="0"/>
              <w:rPr>
                <w:rFonts w:eastAsia="Arial" w:cs="Calibri Light"/>
                <w:b/>
                <w:color w:val="000000"/>
                <w:kern w:val="2"/>
                <w:sz w:val="18"/>
                <w:szCs w:val="18"/>
                <w:lang w:eastAsia="en-US"/>
                <w14:ligatures w14:val="standardContextual"/>
              </w:rPr>
            </w:pPr>
            <w:r w:rsidRPr="009800BE">
              <w:rPr>
                <w:rFonts w:eastAsia="Arial" w:cs="Calibri Light"/>
                <w:b/>
                <w:color w:val="000000"/>
                <w:kern w:val="2"/>
                <w:sz w:val="18"/>
                <w:szCs w:val="18"/>
                <w:lang w:eastAsia="en-US"/>
                <w14:ligatures w14:val="standardContextual"/>
              </w:rPr>
              <w:t>Pooled Superannuation Trusts (PSTs)</w:t>
            </w:r>
          </w:p>
        </w:tc>
        <w:tc>
          <w:tcPr>
            <w:tcW w:w="1131" w:type="pct"/>
            <w:shd w:val="clear" w:color="auto" w:fill="EEEEEE" w:themeFill="background2"/>
            <w:vAlign w:val="center"/>
            <w:hideMark/>
          </w:tcPr>
          <w:p w14:paraId="6F988523" w14:textId="77777777" w:rsidR="009800BE" w:rsidRPr="009800BE" w:rsidRDefault="009800BE" w:rsidP="009800BE">
            <w:pPr>
              <w:spacing w:before="40" w:after="40"/>
              <w:jc w:val="center"/>
              <w:rPr>
                <w:rFonts w:cs="Calibri Light"/>
                <w:b/>
                <w:sz w:val="18"/>
                <w:szCs w:val="18"/>
              </w:rPr>
            </w:pPr>
            <w:r w:rsidRPr="009800BE">
              <w:rPr>
                <w:rFonts w:cs="Calibri Light"/>
                <w:b/>
                <w:sz w:val="18"/>
                <w:szCs w:val="18"/>
              </w:rPr>
              <w:t>2024-25 Actual</w:t>
            </w:r>
          </w:p>
        </w:tc>
        <w:tc>
          <w:tcPr>
            <w:tcW w:w="1176" w:type="pct"/>
            <w:shd w:val="clear" w:color="auto" w:fill="EEEEEE" w:themeFill="background2"/>
            <w:vAlign w:val="center"/>
            <w:hideMark/>
          </w:tcPr>
          <w:p w14:paraId="49388D85" w14:textId="77777777" w:rsidR="009800BE" w:rsidRPr="009800BE" w:rsidRDefault="009800BE" w:rsidP="009800BE">
            <w:pPr>
              <w:spacing w:before="40" w:after="40"/>
              <w:jc w:val="center"/>
              <w:rPr>
                <w:rFonts w:cs="Calibri Light"/>
                <w:b/>
                <w:sz w:val="18"/>
                <w:szCs w:val="18"/>
              </w:rPr>
            </w:pPr>
            <w:r w:rsidRPr="009800BE">
              <w:rPr>
                <w:rFonts w:cs="Calibri Light"/>
                <w:b/>
                <w:sz w:val="18"/>
                <w:szCs w:val="18"/>
              </w:rPr>
              <w:t>2025-26 Forecast</w:t>
            </w:r>
          </w:p>
        </w:tc>
        <w:tc>
          <w:tcPr>
            <w:tcW w:w="1198" w:type="pct"/>
            <w:shd w:val="clear" w:color="auto" w:fill="EEEEEE" w:themeFill="background2"/>
            <w:vAlign w:val="center"/>
            <w:hideMark/>
          </w:tcPr>
          <w:p w14:paraId="199A0042" w14:textId="77777777" w:rsidR="009800BE" w:rsidRPr="009800BE" w:rsidRDefault="009800BE" w:rsidP="009800BE">
            <w:pPr>
              <w:spacing w:before="40" w:after="40"/>
              <w:jc w:val="center"/>
              <w:rPr>
                <w:rFonts w:cs="Calibri Light"/>
                <w:b/>
                <w:sz w:val="18"/>
                <w:szCs w:val="18"/>
              </w:rPr>
            </w:pPr>
            <w:r w:rsidRPr="009800BE">
              <w:rPr>
                <w:rFonts w:cs="Calibri Light"/>
                <w:b/>
                <w:sz w:val="18"/>
                <w:szCs w:val="18"/>
              </w:rPr>
              <w:t>Change (%)</w:t>
            </w:r>
          </w:p>
        </w:tc>
      </w:tr>
      <w:tr w:rsidR="009800BE" w:rsidRPr="009800BE" w14:paraId="019CA34D" w14:textId="77777777" w:rsidTr="005926ED">
        <w:trPr>
          <w:trHeight w:val="284"/>
        </w:trPr>
        <w:tc>
          <w:tcPr>
            <w:tcW w:w="1495" w:type="pct"/>
            <w:shd w:val="clear" w:color="auto" w:fill="auto"/>
            <w:noWrap/>
            <w:vAlign w:val="center"/>
            <w:hideMark/>
          </w:tcPr>
          <w:p w14:paraId="1C250698" w14:textId="77777777" w:rsidR="009800BE" w:rsidRPr="009800BE" w:rsidRDefault="009800BE" w:rsidP="009800BE">
            <w:pPr>
              <w:spacing w:before="40" w:after="40"/>
              <w:rPr>
                <w:rFonts w:cs="Calibri Light"/>
                <w:sz w:val="18"/>
              </w:rPr>
            </w:pPr>
            <w:r w:rsidRPr="009800BE">
              <w:rPr>
                <w:rFonts w:cs="Calibri Light"/>
                <w:b/>
                <w:sz w:val="18"/>
              </w:rPr>
              <w:t>Restricted</w:t>
            </w:r>
            <w:r w:rsidRPr="009800BE">
              <w:rPr>
                <w:rFonts w:cs="Calibri Light"/>
                <w:sz w:val="18"/>
              </w:rPr>
              <w:t xml:space="preserve"> rate (%)</w:t>
            </w:r>
          </w:p>
        </w:tc>
        <w:tc>
          <w:tcPr>
            <w:tcW w:w="1131" w:type="pct"/>
            <w:shd w:val="clear" w:color="auto" w:fill="auto"/>
            <w:noWrap/>
            <w:vAlign w:val="center"/>
            <w:hideMark/>
          </w:tcPr>
          <w:p w14:paraId="537ABEF3" w14:textId="77777777" w:rsidR="009800BE" w:rsidRPr="009800BE" w:rsidRDefault="009800BE" w:rsidP="009800BE">
            <w:pPr>
              <w:spacing w:before="40" w:after="40"/>
              <w:jc w:val="center"/>
              <w:rPr>
                <w:rFonts w:cs="Calibri Light"/>
                <w:sz w:val="16"/>
                <w:szCs w:val="16"/>
              </w:rPr>
            </w:pPr>
            <w:r w:rsidRPr="009800BE">
              <w:rPr>
                <w:rFonts w:cs="Calibri Light"/>
                <w:color w:val="000000"/>
                <w:sz w:val="16"/>
                <w:szCs w:val="16"/>
              </w:rPr>
              <w:t>0.00388</w:t>
            </w:r>
          </w:p>
        </w:tc>
        <w:tc>
          <w:tcPr>
            <w:tcW w:w="1176" w:type="pct"/>
            <w:shd w:val="clear" w:color="auto" w:fill="auto"/>
            <w:noWrap/>
            <w:vAlign w:val="center"/>
            <w:hideMark/>
          </w:tcPr>
          <w:p w14:paraId="26FC3FEE" w14:textId="77777777" w:rsidR="009800BE" w:rsidRPr="009800BE" w:rsidRDefault="009800BE" w:rsidP="009800BE">
            <w:pPr>
              <w:spacing w:before="40" w:after="40"/>
              <w:jc w:val="center"/>
              <w:rPr>
                <w:rFonts w:cs="Calibri Light"/>
                <w:sz w:val="16"/>
                <w:szCs w:val="16"/>
              </w:rPr>
            </w:pPr>
            <w:r w:rsidRPr="009800BE">
              <w:rPr>
                <w:rFonts w:cs="Calibri Light"/>
                <w:color w:val="000000"/>
                <w:sz w:val="16"/>
                <w:szCs w:val="16"/>
              </w:rPr>
              <w:t>0.00360</w:t>
            </w:r>
          </w:p>
        </w:tc>
        <w:tc>
          <w:tcPr>
            <w:tcW w:w="1198" w:type="pct"/>
            <w:shd w:val="clear" w:color="auto" w:fill="auto"/>
            <w:noWrap/>
            <w:vAlign w:val="center"/>
            <w:hideMark/>
          </w:tcPr>
          <w:p w14:paraId="362D4429" w14:textId="77777777" w:rsidR="009800BE" w:rsidRPr="009800BE" w:rsidRDefault="009800BE" w:rsidP="009800BE">
            <w:pPr>
              <w:spacing w:before="40" w:after="40"/>
              <w:jc w:val="center"/>
              <w:rPr>
                <w:rFonts w:cs="Calibri Light"/>
                <w:sz w:val="16"/>
                <w:szCs w:val="16"/>
              </w:rPr>
            </w:pPr>
            <w:r w:rsidRPr="009800BE">
              <w:rPr>
                <w:rFonts w:cs="Calibri Light"/>
                <w:color w:val="C00000"/>
                <w:sz w:val="16"/>
                <w:szCs w:val="16"/>
              </w:rPr>
              <w:t>(7.1%)</w:t>
            </w:r>
          </w:p>
        </w:tc>
      </w:tr>
      <w:tr w:rsidR="009800BE" w:rsidRPr="009800BE" w14:paraId="28CFC361" w14:textId="77777777" w:rsidTr="005926ED">
        <w:trPr>
          <w:trHeight w:val="284"/>
        </w:trPr>
        <w:tc>
          <w:tcPr>
            <w:tcW w:w="1495" w:type="pct"/>
            <w:shd w:val="clear" w:color="auto" w:fill="auto"/>
            <w:noWrap/>
            <w:vAlign w:val="center"/>
            <w:hideMark/>
          </w:tcPr>
          <w:p w14:paraId="7131829B" w14:textId="77777777" w:rsidR="009800BE" w:rsidRPr="009800BE" w:rsidRDefault="009800BE" w:rsidP="009800BE">
            <w:pPr>
              <w:spacing w:before="40" w:after="40"/>
              <w:rPr>
                <w:rFonts w:cs="Calibri Light"/>
                <w:sz w:val="18"/>
              </w:rPr>
            </w:pPr>
            <w:r w:rsidRPr="009800BE">
              <w:rPr>
                <w:rFonts w:cs="Calibri Light"/>
                <w:b/>
                <w:sz w:val="18"/>
              </w:rPr>
              <w:t>Restricted</w:t>
            </w:r>
            <w:r w:rsidRPr="009800BE">
              <w:rPr>
                <w:rFonts w:cs="Calibri Light"/>
                <w:sz w:val="18"/>
              </w:rPr>
              <w:t xml:space="preserve"> minimum</w:t>
            </w:r>
          </w:p>
        </w:tc>
        <w:tc>
          <w:tcPr>
            <w:tcW w:w="1131" w:type="pct"/>
            <w:shd w:val="clear" w:color="auto" w:fill="auto"/>
            <w:noWrap/>
            <w:vAlign w:val="center"/>
            <w:hideMark/>
          </w:tcPr>
          <w:p w14:paraId="136C7903" w14:textId="77777777" w:rsidR="009800BE" w:rsidRPr="009800BE" w:rsidRDefault="009800BE" w:rsidP="009800BE">
            <w:pPr>
              <w:spacing w:before="40" w:after="40"/>
              <w:jc w:val="center"/>
              <w:rPr>
                <w:rFonts w:cs="Calibri Light"/>
                <w:sz w:val="16"/>
                <w:szCs w:val="16"/>
              </w:rPr>
            </w:pPr>
            <w:r w:rsidRPr="009800BE">
              <w:rPr>
                <w:rFonts w:cs="Calibri Light"/>
                <w:color w:val="000000"/>
                <w:sz w:val="16"/>
                <w:szCs w:val="16"/>
              </w:rPr>
              <w:t>12,500</w:t>
            </w:r>
          </w:p>
        </w:tc>
        <w:tc>
          <w:tcPr>
            <w:tcW w:w="1176" w:type="pct"/>
            <w:shd w:val="clear" w:color="auto" w:fill="auto"/>
            <w:noWrap/>
            <w:vAlign w:val="center"/>
            <w:hideMark/>
          </w:tcPr>
          <w:p w14:paraId="436B1B1E" w14:textId="77777777" w:rsidR="009800BE" w:rsidRPr="009800BE" w:rsidRDefault="009800BE" w:rsidP="009800BE">
            <w:pPr>
              <w:spacing w:before="40" w:after="40"/>
              <w:jc w:val="center"/>
              <w:rPr>
                <w:rFonts w:cs="Calibri Light"/>
                <w:sz w:val="16"/>
                <w:szCs w:val="16"/>
              </w:rPr>
            </w:pPr>
            <w:r w:rsidRPr="009800BE">
              <w:rPr>
                <w:rFonts w:cs="Calibri Light"/>
                <w:color w:val="000000"/>
                <w:sz w:val="16"/>
                <w:szCs w:val="16"/>
              </w:rPr>
              <w:t>12,500</w:t>
            </w:r>
          </w:p>
        </w:tc>
        <w:tc>
          <w:tcPr>
            <w:tcW w:w="1198" w:type="pct"/>
            <w:shd w:val="clear" w:color="auto" w:fill="auto"/>
            <w:noWrap/>
            <w:vAlign w:val="center"/>
            <w:hideMark/>
          </w:tcPr>
          <w:p w14:paraId="7EFC1C1F" w14:textId="77777777" w:rsidR="009800BE" w:rsidRPr="009800BE" w:rsidRDefault="009800BE" w:rsidP="009800BE">
            <w:pPr>
              <w:spacing w:before="40" w:after="40"/>
              <w:jc w:val="center"/>
              <w:rPr>
                <w:rFonts w:cs="Calibri Light"/>
                <w:sz w:val="16"/>
                <w:szCs w:val="16"/>
              </w:rPr>
            </w:pPr>
            <w:r w:rsidRPr="009800BE">
              <w:rPr>
                <w:rFonts w:cs="Calibri Light"/>
                <w:sz w:val="16"/>
                <w:szCs w:val="16"/>
              </w:rPr>
              <w:t>0.0%</w:t>
            </w:r>
          </w:p>
        </w:tc>
      </w:tr>
      <w:tr w:rsidR="009800BE" w:rsidRPr="009800BE" w14:paraId="3500D901" w14:textId="77777777" w:rsidTr="005926ED">
        <w:trPr>
          <w:trHeight w:val="284"/>
        </w:trPr>
        <w:tc>
          <w:tcPr>
            <w:tcW w:w="1495" w:type="pct"/>
            <w:shd w:val="clear" w:color="auto" w:fill="auto"/>
            <w:noWrap/>
            <w:vAlign w:val="center"/>
            <w:hideMark/>
          </w:tcPr>
          <w:p w14:paraId="45872C4A" w14:textId="77777777" w:rsidR="009800BE" w:rsidRPr="009800BE" w:rsidRDefault="009800BE" w:rsidP="009800BE">
            <w:pPr>
              <w:spacing w:before="40" w:after="40"/>
              <w:rPr>
                <w:rFonts w:cs="Calibri Light"/>
                <w:sz w:val="18"/>
              </w:rPr>
            </w:pPr>
            <w:r w:rsidRPr="009800BE">
              <w:rPr>
                <w:rFonts w:cs="Calibri Light"/>
                <w:b/>
                <w:sz w:val="18"/>
              </w:rPr>
              <w:t>Restricted</w:t>
            </w:r>
            <w:r w:rsidRPr="009800BE">
              <w:rPr>
                <w:rFonts w:cs="Calibri Light"/>
                <w:sz w:val="18"/>
              </w:rPr>
              <w:t xml:space="preserve"> maximum</w:t>
            </w:r>
          </w:p>
        </w:tc>
        <w:tc>
          <w:tcPr>
            <w:tcW w:w="1131" w:type="pct"/>
            <w:shd w:val="clear" w:color="auto" w:fill="auto"/>
            <w:noWrap/>
            <w:vAlign w:val="center"/>
            <w:hideMark/>
          </w:tcPr>
          <w:p w14:paraId="6DBAFABB" w14:textId="77777777" w:rsidR="009800BE" w:rsidRPr="009800BE" w:rsidRDefault="009800BE" w:rsidP="009800BE">
            <w:pPr>
              <w:spacing w:before="40" w:after="40"/>
              <w:jc w:val="center"/>
              <w:rPr>
                <w:rFonts w:cs="Calibri Light"/>
                <w:sz w:val="16"/>
                <w:szCs w:val="16"/>
              </w:rPr>
            </w:pPr>
            <w:r w:rsidRPr="009800BE">
              <w:rPr>
                <w:rFonts w:cs="Calibri Light"/>
                <w:color w:val="000000"/>
                <w:sz w:val="16"/>
                <w:szCs w:val="16"/>
              </w:rPr>
              <w:t>450,000</w:t>
            </w:r>
          </w:p>
        </w:tc>
        <w:tc>
          <w:tcPr>
            <w:tcW w:w="1176" w:type="pct"/>
            <w:shd w:val="clear" w:color="auto" w:fill="auto"/>
            <w:noWrap/>
            <w:vAlign w:val="center"/>
            <w:hideMark/>
          </w:tcPr>
          <w:p w14:paraId="3931CEB2" w14:textId="77777777" w:rsidR="009800BE" w:rsidRPr="009800BE" w:rsidRDefault="009800BE" w:rsidP="009800BE">
            <w:pPr>
              <w:spacing w:before="40" w:after="40"/>
              <w:jc w:val="center"/>
              <w:rPr>
                <w:rFonts w:cs="Calibri Light"/>
                <w:sz w:val="16"/>
                <w:szCs w:val="16"/>
              </w:rPr>
            </w:pPr>
            <w:r w:rsidRPr="009800BE">
              <w:rPr>
                <w:rFonts w:cs="Calibri Light"/>
                <w:color w:val="000000"/>
                <w:sz w:val="16"/>
                <w:szCs w:val="16"/>
              </w:rPr>
              <w:t>475,000</w:t>
            </w:r>
          </w:p>
        </w:tc>
        <w:tc>
          <w:tcPr>
            <w:tcW w:w="1198" w:type="pct"/>
            <w:shd w:val="clear" w:color="auto" w:fill="auto"/>
            <w:noWrap/>
            <w:vAlign w:val="center"/>
            <w:hideMark/>
          </w:tcPr>
          <w:p w14:paraId="46D358C2" w14:textId="77777777" w:rsidR="009800BE" w:rsidRPr="009800BE" w:rsidRDefault="009800BE" w:rsidP="009800BE">
            <w:pPr>
              <w:spacing w:before="40" w:after="40"/>
              <w:jc w:val="center"/>
              <w:rPr>
                <w:rFonts w:cs="Calibri Light"/>
                <w:sz w:val="16"/>
                <w:szCs w:val="16"/>
              </w:rPr>
            </w:pPr>
            <w:r w:rsidRPr="009800BE">
              <w:rPr>
                <w:rFonts w:cs="Calibri Light"/>
                <w:color w:val="000000"/>
                <w:sz w:val="16"/>
                <w:szCs w:val="16"/>
              </w:rPr>
              <w:t>5.6%</w:t>
            </w:r>
          </w:p>
        </w:tc>
      </w:tr>
      <w:tr w:rsidR="009800BE" w:rsidRPr="009800BE" w14:paraId="7F270CC5" w14:textId="77777777" w:rsidTr="005926ED">
        <w:trPr>
          <w:trHeight w:val="284"/>
        </w:trPr>
        <w:tc>
          <w:tcPr>
            <w:tcW w:w="1495" w:type="pct"/>
            <w:shd w:val="clear" w:color="auto" w:fill="auto"/>
            <w:noWrap/>
            <w:vAlign w:val="center"/>
            <w:hideMark/>
          </w:tcPr>
          <w:p w14:paraId="7C91BC9F" w14:textId="77777777" w:rsidR="009800BE" w:rsidRPr="009800BE" w:rsidRDefault="009800BE" w:rsidP="009800BE">
            <w:pPr>
              <w:spacing w:before="40" w:after="40"/>
              <w:rPr>
                <w:rFonts w:cs="Calibri Light"/>
                <w:b/>
                <w:sz w:val="18"/>
              </w:rPr>
            </w:pPr>
            <w:r w:rsidRPr="009800BE">
              <w:rPr>
                <w:rFonts w:cs="Calibri Light"/>
                <w:b/>
                <w:sz w:val="18"/>
              </w:rPr>
              <w:t>Unrestricted rate (%)</w:t>
            </w:r>
          </w:p>
        </w:tc>
        <w:tc>
          <w:tcPr>
            <w:tcW w:w="1131" w:type="pct"/>
            <w:shd w:val="clear" w:color="auto" w:fill="auto"/>
            <w:noWrap/>
            <w:vAlign w:val="center"/>
            <w:hideMark/>
          </w:tcPr>
          <w:p w14:paraId="7DFE27FA" w14:textId="77777777" w:rsidR="009800BE" w:rsidRPr="009800BE" w:rsidRDefault="009800BE" w:rsidP="009800BE">
            <w:pPr>
              <w:spacing w:before="40" w:after="40"/>
              <w:jc w:val="center"/>
              <w:rPr>
                <w:rFonts w:cs="Calibri Light"/>
                <w:sz w:val="16"/>
                <w:szCs w:val="16"/>
              </w:rPr>
            </w:pPr>
            <w:r w:rsidRPr="009800BE">
              <w:rPr>
                <w:rFonts w:cs="Calibri Light"/>
                <w:color w:val="000000"/>
                <w:sz w:val="16"/>
                <w:szCs w:val="16"/>
              </w:rPr>
              <w:t>0.001226</w:t>
            </w:r>
          </w:p>
        </w:tc>
        <w:tc>
          <w:tcPr>
            <w:tcW w:w="1176" w:type="pct"/>
            <w:shd w:val="clear" w:color="auto" w:fill="auto"/>
            <w:noWrap/>
            <w:vAlign w:val="center"/>
            <w:hideMark/>
          </w:tcPr>
          <w:p w14:paraId="1A50AAB8" w14:textId="77777777" w:rsidR="009800BE" w:rsidRPr="009800BE" w:rsidRDefault="009800BE" w:rsidP="009800BE">
            <w:pPr>
              <w:spacing w:before="40" w:after="40"/>
              <w:jc w:val="center"/>
              <w:rPr>
                <w:rFonts w:cs="Calibri Light"/>
                <w:sz w:val="16"/>
                <w:szCs w:val="16"/>
              </w:rPr>
            </w:pPr>
            <w:r w:rsidRPr="009800BE">
              <w:rPr>
                <w:rFonts w:cs="Calibri Light"/>
                <w:color w:val="000000"/>
                <w:sz w:val="16"/>
                <w:szCs w:val="16"/>
              </w:rPr>
              <w:t>0.001051</w:t>
            </w:r>
          </w:p>
        </w:tc>
        <w:tc>
          <w:tcPr>
            <w:tcW w:w="1198" w:type="pct"/>
            <w:shd w:val="clear" w:color="auto" w:fill="auto"/>
            <w:noWrap/>
            <w:vAlign w:val="center"/>
            <w:hideMark/>
          </w:tcPr>
          <w:p w14:paraId="23B202ED" w14:textId="77777777" w:rsidR="009800BE" w:rsidRPr="009800BE" w:rsidRDefault="009800BE" w:rsidP="009800BE">
            <w:pPr>
              <w:spacing w:before="40" w:after="40"/>
              <w:jc w:val="center"/>
              <w:rPr>
                <w:rFonts w:cs="Calibri Light"/>
                <w:sz w:val="16"/>
                <w:szCs w:val="16"/>
              </w:rPr>
            </w:pPr>
            <w:r w:rsidRPr="009800BE">
              <w:rPr>
                <w:rFonts w:cs="Calibri Light"/>
                <w:color w:val="C00000"/>
                <w:sz w:val="16"/>
                <w:szCs w:val="16"/>
              </w:rPr>
              <w:t>(14.3%)</w:t>
            </w:r>
          </w:p>
        </w:tc>
      </w:tr>
    </w:tbl>
    <w:p w14:paraId="70D7D3E5" w14:textId="77777777" w:rsidR="00762E42" w:rsidRPr="005378B1" w:rsidRDefault="00762E42" w:rsidP="005378B1">
      <w:pPr>
        <w:pStyle w:val="SingleParagraph"/>
      </w:pPr>
    </w:p>
    <w:p w14:paraId="272E69AC" w14:textId="77777777" w:rsidR="007C3180" w:rsidRDefault="007C3180">
      <w:pPr>
        <w:spacing w:before="0" w:after="160" w:line="259" w:lineRule="auto"/>
      </w:pPr>
      <w:r>
        <w:br w:type="page"/>
      </w:r>
    </w:p>
    <w:p w14:paraId="5A919A46" w14:textId="3567D12D" w:rsidR="00762E42" w:rsidRPr="005378B1" w:rsidRDefault="003C6509" w:rsidP="00C6473E">
      <w:pPr>
        <w:spacing w:before="0" w:after="160" w:line="259" w:lineRule="auto"/>
      </w:pPr>
      <w:r w:rsidRPr="005378B1">
        <w:lastRenderedPageBreak/>
        <w:t xml:space="preserve">Tables 11 to 16 compare the cost of the levies payable in each industry for relevant asset </w:t>
      </w:r>
      <w:r w:rsidR="00762E42" w:rsidRPr="005378B1">
        <w:t>base</w:t>
      </w:r>
      <w:r w:rsidR="009C28D4" w:rsidRPr="005378B1">
        <w:t>s</w:t>
      </w:r>
      <w:r w:rsidRPr="005378B1">
        <w:t xml:space="preserve"> between </w:t>
      </w:r>
      <w:r w:rsidR="00762E42" w:rsidRPr="005378B1">
        <w:t>202</w:t>
      </w:r>
      <w:r w:rsidR="00056ADD" w:rsidRPr="005378B1">
        <w:t>3</w:t>
      </w:r>
      <w:r w:rsidR="005C04E4" w:rsidRPr="005378B1">
        <w:t>–</w:t>
      </w:r>
      <w:r w:rsidR="00D428B6" w:rsidRPr="005378B1">
        <w:t>2</w:t>
      </w:r>
      <w:r w:rsidR="00056ADD" w:rsidRPr="005378B1">
        <w:t>4</w:t>
      </w:r>
      <w:r w:rsidR="00D428B6" w:rsidRPr="005378B1">
        <w:t xml:space="preserve"> </w:t>
      </w:r>
      <w:r w:rsidRPr="005378B1">
        <w:t xml:space="preserve">and </w:t>
      </w:r>
      <w:r w:rsidR="00E20842" w:rsidRPr="005378B1">
        <w:t>202</w:t>
      </w:r>
      <w:r w:rsidR="00056ADD" w:rsidRPr="005378B1">
        <w:t>4</w:t>
      </w:r>
      <w:r w:rsidR="005C04E4" w:rsidRPr="005378B1">
        <w:t>–</w:t>
      </w:r>
      <w:r w:rsidR="00E20842" w:rsidRPr="005378B1">
        <w:t>2</w:t>
      </w:r>
      <w:r w:rsidR="00056ADD" w:rsidRPr="005378B1">
        <w:t>5</w:t>
      </w:r>
      <w:r w:rsidRPr="005378B1">
        <w:t xml:space="preserve">, and the proposed levies payable in </w:t>
      </w:r>
      <w:r w:rsidR="00E20842" w:rsidRPr="005378B1">
        <w:t>202</w:t>
      </w:r>
      <w:r w:rsidR="00056ADD" w:rsidRPr="005378B1">
        <w:t>5</w:t>
      </w:r>
      <w:r w:rsidR="005C04E4" w:rsidRPr="005378B1">
        <w:t>–</w:t>
      </w:r>
      <w:r w:rsidR="00E20842" w:rsidRPr="005378B1">
        <w:t>2</w:t>
      </w:r>
      <w:r w:rsidR="00056ADD" w:rsidRPr="005378B1">
        <w:t>6</w:t>
      </w:r>
      <w:r w:rsidRPr="005378B1">
        <w:t>.</w:t>
      </w:r>
    </w:p>
    <w:p w14:paraId="1ED84DFE" w14:textId="71A0A942" w:rsidR="00762E42" w:rsidRPr="00097B21" w:rsidRDefault="003C6509" w:rsidP="005378B1">
      <w:pPr>
        <w:pStyle w:val="TableMainHeading"/>
        <w:rPr>
          <w:rFonts w:asciiTheme="majorHAnsi" w:hAnsiTheme="majorHAnsi" w:cstheme="majorHAnsi"/>
          <w:color w:val="auto"/>
        </w:rPr>
      </w:pPr>
      <w:bookmarkStart w:id="166" w:name="_Toc104212367"/>
      <w:bookmarkStart w:id="167" w:name="_Toc192616589"/>
      <w:bookmarkStart w:id="168" w:name="_Toc192616763"/>
      <w:r w:rsidRPr="00097B21">
        <w:rPr>
          <w:rFonts w:asciiTheme="majorHAnsi" w:hAnsiTheme="majorHAnsi" w:cstheme="majorHAnsi"/>
          <w:color w:val="auto"/>
        </w:rPr>
        <w:t>Table 11: Amounts levied on ADIs</w:t>
      </w:r>
      <w:bookmarkEnd w:id="166"/>
      <w:bookmarkEnd w:id="167"/>
      <w:bookmarkEnd w:id="16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8"/>
        <w:gridCol w:w="1109"/>
        <w:gridCol w:w="1111"/>
        <w:gridCol w:w="1111"/>
        <w:gridCol w:w="1109"/>
        <w:gridCol w:w="1111"/>
        <w:gridCol w:w="1111"/>
      </w:tblGrid>
      <w:tr w:rsidR="005378B1" w:rsidRPr="005378B1" w14:paraId="24BC9E16" w14:textId="77777777" w:rsidTr="003075E0">
        <w:trPr>
          <w:cantSplit/>
          <w:trHeight w:val="284"/>
          <w:tblHeader/>
        </w:trPr>
        <w:tc>
          <w:tcPr>
            <w:tcW w:w="1324" w:type="pct"/>
            <w:shd w:val="clear" w:color="auto" w:fill="EEEEEE" w:themeFill="background2"/>
            <w:vAlign w:val="center"/>
            <w:hideMark/>
          </w:tcPr>
          <w:p w14:paraId="6B34C597" w14:textId="77777777" w:rsidR="00762E42" w:rsidRPr="005378B1" w:rsidRDefault="003C6509" w:rsidP="005378B1">
            <w:pPr>
              <w:spacing w:after="0"/>
              <w:rPr>
                <w:rFonts w:cs="Calibri Light"/>
                <w:b/>
                <w:sz w:val="16"/>
              </w:rPr>
            </w:pPr>
            <w:r w:rsidRPr="005378B1">
              <w:rPr>
                <w:rFonts w:cs="Calibri Light"/>
                <w:b/>
                <w:sz w:val="16"/>
              </w:rPr>
              <w:t>Asset base</w:t>
            </w:r>
          </w:p>
        </w:tc>
        <w:tc>
          <w:tcPr>
            <w:tcW w:w="612" w:type="pct"/>
            <w:shd w:val="clear" w:color="auto" w:fill="EEEEEE" w:themeFill="background2"/>
            <w:vAlign w:val="center"/>
            <w:hideMark/>
          </w:tcPr>
          <w:p w14:paraId="628D1429" w14:textId="77777777" w:rsidR="00762E42" w:rsidRPr="005378B1" w:rsidRDefault="003C6509" w:rsidP="0005719A">
            <w:pPr>
              <w:spacing w:after="0"/>
              <w:jc w:val="center"/>
              <w:rPr>
                <w:rFonts w:cs="Calibri Light"/>
                <w:b/>
                <w:sz w:val="16"/>
              </w:rPr>
            </w:pPr>
            <w:r w:rsidRPr="005378B1">
              <w:rPr>
                <w:rFonts w:cs="Calibri Light"/>
                <w:b/>
                <w:sz w:val="16"/>
              </w:rPr>
              <w:t xml:space="preserve">$50m </w:t>
            </w:r>
            <w:r w:rsidRPr="005378B1">
              <w:rPr>
                <w:rFonts w:cs="Calibri Light"/>
                <w:b/>
                <w:sz w:val="16"/>
              </w:rPr>
              <w:br/>
              <w:t>($'000)</w:t>
            </w:r>
          </w:p>
        </w:tc>
        <w:tc>
          <w:tcPr>
            <w:tcW w:w="613" w:type="pct"/>
            <w:shd w:val="clear" w:color="auto" w:fill="EEEEEE" w:themeFill="background2"/>
            <w:vAlign w:val="center"/>
            <w:hideMark/>
          </w:tcPr>
          <w:p w14:paraId="594B4EB9" w14:textId="77777777" w:rsidR="00762E42" w:rsidRPr="005378B1" w:rsidRDefault="003C6509" w:rsidP="0005719A">
            <w:pPr>
              <w:spacing w:after="0"/>
              <w:jc w:val="center"/>
              <w:rPr>
                <w:rFonts w:cs="Calibri Light"/>
                <w:b/>
                <w:sz w:val="16"/>
              </w:rPr>
            </w:pPr>
            <w:r w:rsidRPr="005378B1">
              <w:rPr>
                <w:rFonts w:cs="Calibri Light"/>
                <w:b/>
                <w:sz w:val="16"/>
              </w:rPr>
              <w:t xml:space="preserve">$500m </w:t>
            </w:r>
            <w:r w:rsidRPr="005378B1">
              <w:rPr>
                <w:rFonts w:cs="Calibri Light"/>
                <w:b/>
                <w:sz w:val="16"/>
              </w:rPr>
              <w:br/>
              <w:t>($'000)</w:t>
            </w:r>
          </w:p>
        </w:tc>
        <w:tc>
          <w:tcPr>
            <w:tcW w:w="613" w:type="pct"/>
            <w:shd w:val="clear" w:color="auto" w:fill="EEEEEE" w:themeFill="background2"/>
            <w:vAlign w:val="center"/>
            <w:hideMark/>
          </w:tcPr>
          <w:p w14:paraId="3917E347" w14:textId="77777777" w:rsidR="00762E42" w:rsidRPr="005378B1" w:rsidRDefault="003C6509" w:rsidP="0005719A">
            <w:pPr>
              <w:spacing w:after="0"/>
              <w:jc w:val="center"/>
              <w:rPr>
                <w:rFonts w:cs="Calibri Light"/>
                <w:b/>
                <w:sz w:val="16"/>
              </w:rPr>
            </w:pPr>
            <w:r w:rsidRPr="005378B1">
              <w:rPr>
                <w:rFonts w:cs="Calibri Light"/>
                <w:b/>
                <w:sz w:val="16"/>
              </w:rPr>
              <w:t xml:space="preserve">$5b </w:t>
            </w:r>
            <w:r w:rsidRPr="005378B1">
              <w:rPr>
                <w:rFonts w:cs="Calibri Light"/>
                <w:b/>
                <w:sz w:val="16"/>
              </w:rPr>
              <w:br/>
              <w:t>($'000)</w:t>
            </w:r>
          </w:p>
        </w:tc>
        <w:tc>
          <w:tcPr>
            <w:tcW w:w="612" w:type="pct"/>
            <w:shd w:val="clear" w:color="auto" w:fill="EEEEEE" w:themeFill="background2"/>
            <w:vAlign w:val="center"/>
            <w:hideMark/>
          </w:tcPr>
          <w:p w14:paraId="6476ECFD" w14:textId="77777777" w:rsidR="00762E42" w:rsidRPr="005378B1" w:rsidRDefault="003C6509" w:rsidP="0005719A">
            <w:pPr>
              <w:spacing w:after="0"/>
              <w:jc w:val="center"/>
              <w:rPr>
                <w:rFonts w:cs="Calibri Light"/>
                <w:b/>
                <w:sz w:val="16"/>
              </w:rPr>
            </w:pPr>
            <w:r w:rsidRPr="005378B1">
              <w:rPr>
                <w:rFonts w:cs="Calibri Light"/>
                <w:b/>
                <w:sz w:val="16"/>
              </w:rPr>
              <w:t xml:space="preserve">$25b </w:t>
            </w:r>
            <w:r w:rsidRPr="005378B1">
              <w:rPr>
                <w:rFonts w:cs="Calibri Light"/>
                <w:b/>
                <w:sz w:val="16"/>
              </w:rPr>
              <w:br/>
              <w:t>($'000)</w:t>
            </w:r>
          </w:p>
        </w:tc>
        <w:tc>
          <w:tcPr>
            <w:tcW w:w="613" w:type="pct"/>
            <w:shd w:val="clear" w:color="auto" w:fill="EEEEEE" w:themeFill="background2"/>
            <w:vAlign w:val="center"/>
            <w:hideMark/>
          </w:tcPr>
          <w:p w14:paraId="416E89B7" w14:textId="77777777" w:rsidR="00762E42" w:rsidRPr="005378B1" w:rsidRDefault="003C6509" w:rsidP="0005719A">
            <w:pPr>
              <w:spacing w:after="0"/>
              <w:jc w:val="center"/>
              <w:rPr>
                <w:rFonts w:cs="Calibri Light"/>
                <w:b/>
                <w:sz w:val="16"/>
              </w:rPr>
            </w:pPr>
            <w:r w:rsidRPr="005378B1">
              <w:rPr>
                <w:rFonts w:cs="Calibri Light"/>
                <w:b/>
                <w:sz w:val="16"/>
              </w:rPr>
              <w:t xml:space="preserve">$100b </w:t>
            </w:r>
            <w:r w:rsidRPr="005378B1">
              <w:rPr>
                <w:rFonts w:cs="Calibri Light"/>
                <w:b/>
                <w:sz w:val="16"/>
              </w:rPr>
              <w:br/>
              <w:t>($'000)</w:t>
            </w:r>
          </w:p>
        </w:tc>
        <w:tc>
          <w:tcPr>
            <w:tcW w:w="613" w:type="pct"/>
            <w:shd w:val="clear" w:color="auto" w:fill="EEEEEE" w:themeFill="background2"/>
            <w:vAlign w:val="center"/>
            <w:hideMark/>
          </w:tcPr>
          <w:p w14:paraId="48A60939" w14:textId="77777777" w:rsidR="00762E42" w:rsidRPr="005378B1" w:rsidRDefault="003C6509" w:rsidP="0005719A">
            <w:pPr>
              <w:spacing w:after="0"/>
              <w:jc w:val="center"/>
              <w:rPr>
                <w:rFonts w:cs="Calibri Light"/>
                <w:b/>
                <w:sz w:val="16"/>
              </w:rPr>
            </w:pPr>
            <w:r w:rsidRPr="005378B1">
              <w:rPr>
                <w:rFonts w:cs="Calibri Light"/>
                <w:b/>
                <w:sz w:val="16"/>
              </w:rPr>
              <w:t xml:space="preserve">$800b </w:t>
            </w:r>
            <w:r w:rsidRPr="005378B1">
              <w:rPr>
                <w:rFonts w:cs="Calibri Light"/>
                <w:b/>
                <w:sz w:val="16"/>
              </w:rPr>
              <w:br/>
              <w:t>($'000)</w:t>
            </w:r>
          </w:p>
        </w:tc>
      </w:tr>
      <w:tr w:rsidR="00F34546" w:rsidRPr="005378B1" w14:paraId="0DE62E68" w14:textId="77777777" w:rsidTr="003075E0">
        <w:trPr>
          <w:trHeight w:val="284"/>
        </w:trPr>
        <w:tc>
          <w:tcPr>
            <w:tcW w:w="1324" w:type="pct"/>
            <w:shd w:val="clear" w:color="auto" w:fill="auto"/>
            <w:vAlign w:val="center"/>
            <w:hideMark/>
          </w:tcPr>
          <w:p w14:paraId="73096551" w14:textId="07C57F5F" w:rsidR="00F34546" w:rsidRPr="00F34546" w:rsidRDefault="00F34546" w:rsidP="00F34546">
            <w:pPr>
              <w:spacing w:after="0"/>
              <w:rPr>
                <w:rFonts w:cs="Calibri Light"/>
                <w:sz w:val="16"/>
              </w:rPr>
            </w:pPr>
            <w:r w:rsidRPr="00F34546">
              <w:rPr>
                <w:rFonts w:cs="Calibri Light"/>
                <w:sz w:val="16"/>
                <w:szCs w:val="16"/>
              </w:rPr>
              <w:t>2023-24</w:t>
            </w:r>
          </w:p>
        </w:tc>
        <w:tc>
          <w:tcPr>
            <w:tcW w:w="612" w:type="pct"/>
            <w:shd w:val="clear" w:color="auto" w:fill="auto"/>
            <w:vAlign w:val="center"/>
            <w:hideMark/>
          </w:tcPr>
          <w:p w14:paraId="4A80BE86" w14:textId="034D39AE" w:rsidR="00F34546" w:rsidRPr="00F34546" w:rsidRDefault="00D30268" w:rsidP="0005719A">
            <w:pPr>
              <w:spacing w:after="0"/>
              <w:jc w:val="center"/>
              <w:rPr>
                <w:rFonts w:cs="Calibri Light"/>
                <w:sz w:val="16"/>
                <w:szCs w:val="16"/>
              </w:rPr>
            </w:pPr>
            <w:r w:rsidRPr="00D65DC8">
              <w:rPr>
                <w:rFonts w:cs="Calibri Light"/>
                <w:sz w:val="16"/>
                <w:szCs w:val="16"/>
              </w:rPr>
              <w:t>22.8</w:t>
            </w:r>
          </w:p>
        </w:tc>
        <w:tc>
          <w:tcPr>
            <w:tcW w:w="613" w:type="pct"/>
            <w:shd w:val="clear" w:color="auto" w:fill="auto"/>
            <w:vAlign w:val="center"/>
            <w:hideMark/>
          </w:tcPr>
          <w:p w14:paraId="4819FC50" w14:textId="44AA8D38" w:rsidR="00F34546" w:rsidRPr="00F34546" w:rsidRDefault="00D30268" w:rsidP="0005719A">
            <w:pPr>
              <w:spacing w:after="0"/>
              <w:jc w:val="center"/>
              <w:rPr>
                <w:rFonts w:cs="Calibri Light"/>
                <w:sz w:val="16"/>
                <w:szCs w:val="16"/>
              </w:rPr>
            </w:pPr>
            <w:r w:rsidRPr="00D65DC8">
              <w:rPr>
                <w:rFonts w:cs="Calibri Light"/>
                <w:sz w:val="16"/>
                <w:szCs w:val="16"/>
              </w:rPr>
              <w:t>25.7</w:t>
            </w:r>
          </w:p>
        </w:tc>
        <w:tc>
          <w:tcPr>
            <w:tcW w:w="613" w:type="pct"/>
            <w:shd w:val="clear" w:color="auto" w:fill="auto"/>
            <w:vAlign w:val="center"/>
            <w:hideMark/>
          </w:tcPr>
          <w:p w14:paraId="27F1568A" w14:textId="5DF88259" w:rsidR="00F34546" w:rsidRPr="00F34546" w:rsidRDefault="00D30268" w:rsidP="0005719A">
            <w:pPr>
              <w:spacing w:after="0"/>
              <w:jc w:val="center"/>
              <w:rPr>
                <w:rFonts w:cs="Calibri Light"/>
                <w:sz w:val="16"/>
                <w:szCs w:val="16"/>
              </w:rPr>
            </w:pPr>
            <w:r w:rsidRPr="00D65DC8">
              <w:rPr>
                <w:rFonts w:cs="Calibri Light"/>
                <w:sz w:val="16"/>
                <w:szCs w:val="16"/>
              </w:rPr>
              <w:t>138.1</w:t>
            </w:r>
          </w:p>
        </w:tc>
        <w:tc>
          <w:tcPr>
            <w:tcW w:w="612" w:type="pct"/>
            <w:shd w:val="clear" w:color="auto" w:fill="auto"/>
            <w:vAlign w:val="center"/>
            <w:hideMark/>
          </w:tcPr>
          <w:p w14:paraId="7091BEED" w14:textId="21AD7B7B" w:rsidR="00F34546" w:rsidRPr="00F34546" w:rsidRDefault="00D30268" w:rsidP="0005719A">
            <w:pPr>
              <w:spacing w:after="0"/>
              <w:jc w:val="center"/>
              <w:rPr>
                <w:rFonts w:cs="Calibri Light"/>
                <w:sz w:val="16"/>
                <w:szCs w:val="16"/>
              </w:rPr>
            </w:pPr>
            <w:r w:rsidRPr="00D65DC8">
              <w:rPr>
                <w:rFonts w:cs="Calibri Light"/>
                <w:sz w:val="16"/>
                <w:szCs w:val="16"/>
              </w:rPr>
              <w:t>690.3</w:t>
            </w:r>
          </w:p>
        </w:tc>
        <w:tc>
          <w:tcPr>
            <w:tcW w:w="613" w:type="pct"/>
            <w:shd w:val="clear" w:color="auto" w:fill="auto"/>
            <w:vAlign w:val="center"/>
            <w:hideMark/>
          </w:tcPr>
          <w:p w14:paraId="22567F4A" w14:textId="1766EDC9" w:rsidR="00F34546" w:rsidRPr="00F34546" w:rsidRDefault="00D30268" w:rsidP="0005719A">
            <w:pPr>
              <w:spacing w:after="0"/>
              <w:jc w:val="center"/>
              <w:rPr>
                <w:rFonts w:cs="Calibri Light"/>
                <w:sz w:val="16"/>
                <w:szCs w:val="16"/>
              </w:rPr>
            </w:pPr>
            <w:r w:rsidRPr="00D65DC8">
              <w:rPr>
                <w:rFonts w:cs="Calibri Light"/>
                <w:sz w:val="16"/>
                <w:szCs w:val="16"/>
              </w:rPr>
              <w:t>2,761.1</w:t>
            </w:r>
          </w:p>
        </w:tc>
        <w:tc>
          <w:tcPr>
            <w:tcW w:w="613" w:type="pct"/>
            <w:shd w:val="clear" w:color="auto" w:fill="auto"/>
            <w:vAlign w:val="center"/>
            <w:hideMark/>
          </w:tcPr>
          <w:p w14:paraId="6B5DF0A7" w14:textId="62BCF229" w:rsidR="00F34546" w:rsidRPr="00F34546" w:rsidRDefault="00D30268" w:rsidP="0005719A">
            <w:pPr>
              <w:spacing w:after="0"/>
              <w:jc w:val="center"/>
              <w:rPr>
                <w:rFonts w:cs="Calibri Light"/>
                <w:sz w:val="16"/>
                <w:szCs w:val="16"/>
              </w:rPr>
            </w:pPr>
            <w:r w:rsidRPr="00D65DC8">
              <w:rPr>
                <w:rFonts w:cs="Calibri Light"/>
                <w:sz w:val="16"/>
                <w:szCs w:val="16"/>
              </w:rPr>
              <w:t>11,447.7</w:t>
            </w:r>
          </w:p>
        </w:tc>
      </w:tr>
      <w:tr w:rsidR="00F34546" w:rsidRPr="005378B1" w14:paraId="53C4595C" w14:textId="77777777" w:rsidTr="003075E0">
        <w:trPr>
          <w:trHeight w:val="284"/>
        </w:trPr>
        <w:tc>
          <w:tcPr>
            <w:tcW w:w="1324" w:type="pct"/>
            <w:shd w:val="clear" w:color="auto" w:fill="auto"/>
            <w:vAlign w:val="center"/>
            <w:hideMark/>
          </w:tcPr>
          <w:p w14:paraId="528F0972" w14:textId="24D5BFEA" w:rsidR="00F34546" w:rsidRPr="00F34546" w:rsidRDefault="00F34546" w:rsidP="00F34546">
            <w:pPr>
              <w:spacing w:after="0"/>
              <w:rPr>
                <w:rFonts w:cs="Calibri Light"/>
                <w:sz w:val="16"/>
              </w:rPr>
            </w:pPr>
            <w:r w:rsidRPr="00F34546">
              <w:rPr>
                <w:rFonts w:cs="Calibri Light"/>
                <w:sz w:val="16"/>
                <w:szCs w:val="16"/>
              </w:rPr>
              <w:t>2024-25</w:t>
            </w:r>
          </w:p>
        </w:tc>
        <w:tc>
          <w:tcPr>
            <w:tcW w:w="612" w:type="pct"/>
            <w:shd w:val="clear" w:color="auto" w:fill="auto"/>
            <w:vAlign w:val="center"/>
          </w:tcPr>
          <w:p w14:paraId="546A470F" w14:textId="05A30D4D" w:rsidR="00F34546" w:rsidRPr="00F34546" w:rsidRDefault="00D30268" w:rsidP="0005719A">
            <w:pPr>
              <w:spacing w:after="0"/>
              <w:jc w:val="center"/>
              <w:rPr>
                <w:rFonts w:cs="Calibri Light"/>
                <w:sz w:val="16"/>
                <w:szCs w:val="16"/>
              </w:rPr>
            </w:pPr>
            <w:r w:rsidRPr="00D65DC8">
              <w:rPr>
                <w:rFonts w:cs="Calibri Light"/>
                <w:sz w:val="16"/>
                <w:szCs w:val="16"/>
              </w:rPr>
              <w:t>22.9</w:t>
            </w:r>
          </w:p>
        </w:tc>
        <w:tc>
          <w:tcPr>
            <w:tcW w:w="613" w:type="pct"/>
            <w:shd w:val="clear" w:color="auto" w:fill="auto"/>
            <w:vAlign w:val="center"/>
          </w:tcPr>
          <w:p w14:paraId="0C34F2D4" w14:textId="5B4206DB" w:rsidR="00F34546" w:rsidRPr="00F34546" w:rsidRDefault="00D30268" w:rsidP="0005719A">
            <w:pPr>
              <w:spacing w:after="0"/>
              <w:jc w:val="center"/>
              <w:rPr>
                <w:rFonts w:cs="Calibri Light"/>
                <w:sz w:val="16"/>
                <w:szCs w:val="16"/>
              </w:rPr>
            </w:pPr>
            <w:r w:rsidRPr="00D65DC8">
              <w:rPr>
                <w:rFonts w:cs="Calibri Light"/>
                <w:sz w:val="16"/>
                <w:szCs w:val="16"/>
              </w:rPr>
              <w:t>26.4</w:t>
            </w:r>
          </w:p>
        </w:tc>
        <w:tc>
          <w:tcPr>
            <w:tcW w:w="613" w:type="pct"/>
            <w:shd w:val="clear" w:color="auto" w:fill="auto"/>
            <w:vAlign w:val="center"/>
          </w:tcPr>
          <w:p w14:paraId="66546377" w14:textId="0F0DEF21" w:rsidR="00F34546" w:rsidRPr="00F34546" w:rsidRDefault="00D30268" w:rsidP="0005719A">
            <w:pPr>
              <w:spacing w:after="0"/>
              <w:jc w:val="center"/>
              <w:rPr>
                <w:rFonts w:cs="Calibri Light"/>
                <w:sz w:val="16"/>
                <w:szCs w:val="16"/>
              </w:rPr>
            </w:pPr>
            <w:r w:rsidRPr="00D65DC8">
              <w:rPr>
                <w:rFonts w:cs="Calibri Light"/>
                <w:sz w:val="16"/>
                <w:szCs w:val="16"/>
              </w:rPr>
              <w:t>149.1</w:t>
            </w:r>
          </w:p>
        </w:tc>
        <w:tc>
          <w:tcPr>
            <w:tcW w:w="612" w:type="pct"/>
            <w:shd w:val="clear" w:color="auto" w:fill="auto"/>
            <w:vAlign w:val="center"/>
          </w:tcPr>
          <w:p w14:paraId="4E78ABC3" w14:textId="249B8A39" w:rsidR="00F34546" w:rsidRPr="00F34546" w:rsidRDefault="00D30268" w:rsidP="0005719A">
            <w:pPr>
              <w:spacing w:after="0"/>
              <w:jc w:val="center"/>
              <w:rPr>
                <w:rFonts w:cs="Calibri Light"/>
                <w:sz w:val="16"/>
                <w:szCs w:val="16"/>
              </w:rPr>
            </w:pPr>
            <w:r w:rsidRPr="00D65DC8">
              <w:rPr>
                <w:rFonts w:cs="Calibri Light"/>
                <w:sz w:val="16"/>
                <w:szCs w:val="16"/>
              </w:rPr>
              <w:t>745.7</w:t>
            </w:r>
          </w:p>
        </w:tc>
        <w:tc>
          <w:tcPr>
            <w:tcW w:w="613" w:type="pct"/>
            <w:shd w:val="clear" w:color="auto" w:fill="auto"/>
            <w:vAlign w:val="center"/>
          </w:tcPr>
          <w:p w14:paraId="06624863" w14:textId="7E128040" w:rsidR="00F34546" w:rsidRPr="00F34546" w:rsidRDefault="00D30268" w:rsidP="0005719A">
            <w:pPr>
              <w:spacing w:after="0"/>
              <w:jc w:val="center"/>
              <w:rPr>
                <w:rFonts w:cs="Calibri Light"/>
                <w:sz w:val="16"/>
                <w:szCs w:val="16"/>
              </w:rPr>
            </w:pPr>
            <w:r w:rsidRPr="00D65DC8">
              <w:rPr>
                <w:rFonts w:cs="Calibri Light"/>
                <w:sz w:val="16"/>
                <w:szCs w:val="16"/>
              </w:rPr>
              <w:t>2,982.7</w:t>
            </w:r>
          </w:p>
        </w:tc>
        <w:tc>
          <w:tcPr>
            <w:tcW w:w="613" w:type="pct"/>
            <w:shd w:val="clear" w:color="auto" w:fill="auto"/>
            <w:vAlign w:val="center"/>
          </w:tcPr>
          <w:p w14:paraId="037FAAB3" w14:textId="26CF0565" w:rsidR="00F34546" w:rsidRPr="00F34546" w:rsidRDefault="00D30268" w:rsidP="0005719A">
            <w:pPr>
              <w:spacing w:after="0"/>
              <w:jc w:val="center"/>
              <w:rPr>
                <w:rFonts w:cs="Calibri Light"/>
                <w:sz w:val="16"/>
                <w:szCs w:val="16"/>
              </w:rPr>
            </w:pPr>
            <w:r w:rsidRPr="00D65DC8">
              <w:rPr>
                <w:rFonts w:cs="Calibri Light"/>
                <w:sz w:val="16"/>
                <w:szCs w:val="16"/>
              </w:rPr>
              <w:t>13,712.0</w:t>
            </w:r>
          </w:p>
        </w:tc>
      </w:tr>
      <w:tr w:rsidR="00F34546" w:rsidRPr="005378B1" w14:paraId="77282E23" w14:textId="77777777" w:rsidTr="003075E0">
        <w:trPr>
          <w:trHeight w:val="284"/>
        </w:trPr>
        <w:tc>
          <w:tcPr>
            <w:tcW w:w="1324" w:type="pct"/>
            <w:shd w:val="clear" w:color="auto" w:fill="auto"/>
            <w:vAlign w:val="center"/>
            <w:hideMark/>
          </w:tcPr>
          <w:p w14:paraId="2EA51170" w14:textId="21C2F72A" w:rsidR="00F34546" w:rsidRPr="00F34546" w:rsidRDefault="00F34546" w:rsidP="00F34546">
            <w:pPr>
              <w:spacing w:after="0"/>
              <w:rPr>
                <w:rFonts w:cs="Calibri Light"/>
                <w:sz w:val="16"/>
              </w:rPr>
            </w:pPr>
            <w:r w:rsidRPr="00F34546">
              <w:rPr>
                <w:rFonts w:cs="Calibri Light"/>
                <w:sz w:val="16"/>
                <w:szCs w:val="16"/>
              </w:rPr>
              <w:t>2025-26</w:t>
            </w:r>
          </w:p>
        </w:tc>
        <w:tc>
          <w:tcPr>
            <w:tcW w:w="612" w:type="pct"/>
            <w:shd w:val="clear" w:color="auto" w:fill="auto"/>
            <w:vAlign w:val="center"/>
          </w:tcPr>
          <w:p w14:paraId="0D9AC890" w14:textId="6F0ECE21" w:rsidR="00F34546" w:rsidRPr="00F34546" w:rsidRDefault="00D30268" w:rsidP="0005719A">
            <w:pPr>
              <w:spacing w:after="0"/>
              <w:jc w:val="center"/>
              <w:rPr>
                <w:rFonts w:cs="Calibri Light"/>
                <w:sz w:val="16"/>
                <w:szCs w:val="16"/>
              </w:rPr>
            </w:pPr>
            <w:r w:rsidRPr="00D65DC8">
              <w:rPr>
                <w:rFonts w:cs="Calibri Light"/>
                <w:sz w:val="16"/>
                <w:szCs w:val="16"/>
              </w:rPr>
              <w:t>22.9</w:t>
            </w:r>
          </w:p>
        </w:tc>
        <w:tc>
          <w:tcPr>
            <w:tcW w:w="613" w:type="pct"/>
            <w:shd w:val="clear" w:color="auto" w:fill="auto"/>
            <w:vAlign w:val="center"/>
          </w:tcPr>
          <w:p w14:paraId="060CEBBF" w14:textId="2606AB0C" w:rsidR="00F34546" w:rsidRPr="00F34546" w:rsidRDefault="00D30268" w:rsidP="0005719A">
            <w:pPr>
              <w:spacing w:after="0"/>
              <w:jc w:val="center"/>
              <w:rPr>
                <w:rFonts w:cs="Calibri Light"/>
                <w:sz w:val="16"/>
                <w:szCs w:val="16"/>
              </w:rPr>
            </w:pPr>
            <w:r w:rsidRPr="00D65DC8">
              <w:rPr>
                <w:rFonts w:cs="Calibri Light"/>
                <w:sz w:val="16"/>
                <w:szCs w:val="16"/>
              </w:rPr>
              <w:t>26.1</w:t>
            </w:r>
          </w:p>
        </w:tc>
        <w:tc>
          <w:tcPr>
            <w:tcW w:w="613" w:type="pct"/>
            <w:shd w:val="clear" w:color="auto" w:fill="auto"/>
            <w:vAlign w:val="center"/>
          </w:tcPr>
          <w:p w14:paraId="38BCB10A" w14:textId="68DCA3EE" w:rsidR="00F34546" w:rsidRPr="00F34546" w:rsidRDefault="00D30268" w:rsidP="0005719A">
            <w:pPr>
              <w:spacing w:after="0"/>
              <w:jc w:val="center"/>
              <w:rPr>
                <w:rFonts w:cs="Calibri Light"/>
                <w:sz w:val="16"/>
                <w:szCs w:val="16"/>
              </w:rPr>
            </w:pPr>
            <w:r w:rsidRPr="00D65DC8">
              <w:rPr>
                <w:rFonts w:cs="Calibri Light"/>
                <w:sz w:val="16"/>
                <w:szCs w:val="16"/>
              </w:rPr>
              <w:t>145.3</w:t>
            </w:r>
          </w:p>
        </w:tc>
        <w:tc>
          <w:tcPr>
            <w:tcW w:w="612" w:type="pct"/>
            <w:shd w:val="clear" w:color="auto" w:fill="auto"/>
            <w:vAlign w:val="center"/>
          </w:tcPr>
          <w:p w14:paraId="39E09E61" w14:textId="7389C09E" w:rsidR="00F34546" w:rsidRPr="00F34546" w:rsidRDefault="00D30268" w:rsidP="0005719A">
            <w:pPr>
              <w:spacing w:after="0"/>
              <w:jc w:val="center"/>
              <w:rPr>
                <w:rFonts w:cs="Calibri Light"/>
                <w:sz w:val="16"/>
                <w:szCs w:val="16"/>
              </w:rPr>
            </w:pPr>
            <w:r w:rsidRPr="00D65DC8">
              <w:rPr>
                <w:rFonts w:cs="Calibri Light"/>
                <w:sz w:val="16"/>
                <w:szCs w:val="16"/>
              </w:rPr>
              <w:t>726.4</w:t>
            </w:r>
          </w:p>
        </w:tc>
        <w:tc>
          <w:tcPr>
            <w:tcW w:w="613" w:type="pct"/>
            <w:shd w:val="clear" w:color="auto" w:fill="auto"/>
            <w:vAlign w:val="center"/>
          </w:tcPr>
          <w:p w14:paraId="7928CF98" w14:textId="06AF6177" w:rsidR="00F34546" w:rsidRPr="00F34546" w:rsidRDefault="00D30268" w:rsidP="0005719A">
            <w:pPr>
              <w:spacing w:after="0"/>
              <w:jc w:val="center"/>
              <w:rPr>
                <w:rFonts w:cs="Calibri Light"/>
                <w:sz w:val="16"/>
                <w:szCs w:val="16"/>
              </w:rPr>
            </w:pPr>
            <w:r w:rsidRPr="00D65DC8">
              <w:rPr>
                <w:rFonts w:cs="Calibri Light"/>
                <w:sz w:val="16"/>
                <w:szCs w:val="16"/>
              </w:rPr>
              <w:t>2,905.7</w:t>
            </w:r>
          </w:p>
        </w:tc>
        <w:tc>
          <w:tcPr>
            <w:tcW w:w="613" w:type="pct"/>
            <w:shd w:val="clear" w:color="auto" w:fill="auto"/>
            <w:vAlign w:val="center"/>
          </w:tcPr>
          <w:p w14:paraId="2DB0EAB0" w14:textId="113AD3A5" w:rsidR="00F34546" w:rsidRPr="00F34546" w:rsidRDefault="00D30268" w:rsidP="0005719A">
            <w:pPr>
              <w:spacing w:after="0"/>
              <w:jc w:val="center"/>
              <w:rPr>
                <w:rFonts w:cs="Calibri Light"/>
                <w:sz w:val="16"/>
                <w:szCs w:val="16"/>
              </w:rPr>
            </w:pPr>
            <w:r w:rsidRPr="00D65DC8">
              <w:rPr>
                <w:rFonts w:cs="Calibri Light"/>
                <w:sz w:val="16"/>
                <w:szCs w:val="16"/>
              </w:rPr>
              <w:t>14,180.9</w:t>
            </w:r>
          </w:p>
        </w:tc>
      </w:tr>
      <w:tr w:rsidR="00F34546" w:rsidRPr="005378B1" w14:paraId="5FEBE55F" w14:textId="77777777" w:rsidTr="003075E0">
        <w:trPr>
          <w:trHeight w:val="284"/>
        </w:trPr>
        <w:tc>
          <w:tcPr>
            <w:tcW w:w="1324" w:type="pct"/>
            <w:shd w:val="clear" w:color="auto" w:fill="auto"/>
          </w:tcPr>
          <w:p w14:paraId="5B7EEA80" w14:textId="31532F1D" w:rsidR="00F34546" w:rsidRPr="00F34546" w:rsidRDefault="00F34546" w:rsidP="00F34546">
            <w:pPr>
              <w:spacing w:after="0"/>
              <w:rPr>
                <w:rFonts w:cs="Calibri Light"/>
                <w:sz w:val="16"/>
                <w:szCs w:val="16"/>
              </w:rPr>
            </w:pPr>
            <w:r w:rsidRPr="00F34546">
              <w:rPr>
                <w:rFonts w:cs="Calibri Light"/>
                <w:bCs/>
                <w:sz w:val="16"/>
                <w:szCs w:val="16"/>
              </w:rPr>
              <w:t>Change (%) 2025-26 v 2024-25</w:t>
            </w:r>
          </w:p>
        </w:tc>
        <w:tc>
          <w:tcPr>
            <w:tcW w:w="612" w:type="pct"/>
            <w:shd w:val="clear" w:color="auto" w:fill="auto"/>
            <w:vAlign w:val="center"/>
          </w:tcPr>
          <w:p w14:paraId="2EF71F05" w14:textId="18D62A60" w:rsidR="00F34546" w:rsidRPr="003D04CA" w:rsidRDefault="00D30268" w:rsidP="0005719A">
            <w:pPr>
              <w:spacing w:after="0"/>
              <w:jc w:val="center"/>
              <w:rPr>
                <w:rFonts w:cs="Calibri Light"/>
                <w:color w:val="C00000"/>
                <w:sz w:val="16"/>
                <w:szCs w:val="16"/>
              </w:rPr>
            </w:pPr>
            <w:r w:rsidRPr="003D04CA">
              <w:rPr>
                <w:rFonts w:cs="Calibri Light"/>
                <w:color w:val="C00000"/>
                <w:sz w:val="16"/>
                <w:szCs w:val="16"/>
              </w:rPr>
              <w:t>(0.1)</w:t>
            </w:r>
          </w:p>
        </w:tc>
        <w:tc>
          <w:tcPr>
            <w:tcW w:w="613" w:type="pct"/>
            <w:shd w:val="clear" w:color="auto" w:fill="auto"/>
            <w:vAlign w:val="center"/>
          </w:tcPr>
          <w:p w14:paraId="596DD995" w14:textId="6B2458A6" w:rsidR="00F34546" w:rsidRPr="003D04CA" w:rsidRDefault="00D30268" w:rsidP="0005719A">
            <w:pPr>
              <w:spacing w:after="0"/>
              <w:jc w:val="center"/>
              <w:rPr>
                <w:rFonts w:cs="Calibri Light"/>
                <w:color w:val="C00000"/>
                <w:sz w:val="16"/>
                <w:szCs w:val="16"/>
              </w:rPr>
            </w:pPr>
            <w:r w:rsidRPr="003D04CA">
              <w:rPr>
                <w:rFonts w:cs="Calibri Light"/>
                <w:color w:val="C00000"/>
                <w:sz w:val="16"/>
                <w:szCs w:val="16"/>
              </w:rPr>
              <w:t>(1.3)</w:t>
            </w:r>
          </w:p>
        </w:tc>
        <w:tc>
          <w:tcPr>
            <w:tcW w:w="613" w:type="pct"/>
            <w:shd w:val="clear" w:color="auto" w:fill="auto"/>
            <w:vAlign w:val="center"/>
          </w:tcPr>
          <w:p w14:paraId="66411001" w14:textId="6C69C5D9" w:rsidR="00F34546" w:rsidRPr="003D04CA" w:rsidRDefault="00D30268" w:rsidP="0005719A">
            <w:pPr>
              <w:spacing w:after="0"/>
              <w:jc w:val="center"/>
              <w:rPr>
                <w:rFonts w:cs="Calibri Light"/>
                <w:color w:val="C00000"/>
                <w:sz w:val="16"/>
                <w:szCs w:val="16"/>
              </w:rPr>
            </w:pPr>
            <w:r w:rsidRPr="003D04CA">
              <w:rPr>
                <w:rFonts w:cs="Calibri Light"/>
                <w:color w:val="C00000"/>
                <w:sz w:val="16"/>
                <w:szCs w:val="16"/>
              </w:rPr>
              <w:t>(2.6)</w:t>
            </w:r>
          </w:p>
        </w:tc>
        <w:tc>
          <w:tcPr>
            <w:tcW w:w="612" w:type="pct"/>
            <w:shd w:val="clear" w:color="auto" w:fill="auto"/>
            <w:vAlign w:val="center"/>
          </w:tcPr>
          <w:p w14:paraId="690FDF43" w14:textId="30D80540" w:rsidR="00F34546" w:rsidRPr="003D04CA" w:rsidRDefault="00D30268" w:rsidP="0005719A">
            <w:pPr>
              <w:spacing w:after="0"/>
              <w:jc w:val="center"/>
              <w:rPr>
                <w:rFonts w:cs="Calibri Light"/>
                <w:color w:val="C00000"/>
                <w:sz w:val="16"/>
                <w:szCs w:val="16"/>
              </w:rPr>
            </w:pPr>
            <w:r w:rsidRPr="003D04CA">
              <w:rPr>
                <w:rFonts w:cs="Calibri Light"/>
                <w:color w:val="C00000"/>
                <w:sz w:val="16"/>
                <w:szCs w:val="16"/>
              </w:rPr>
              <w:t>(2.6)</w:t>
            </w:r>
          </w:p>
        </w:tc>
        <w:tc>
          <w:tcPr>
            <w:tcW w:w="613" w:type="pct"/>
            <w:shd w:val="clear" w:color="auto" w:fill="auto"/>
            <w:vAlign w:val="center"/>
          </w:tcPr>
          <w:p w14:paraId="20F4F292" w14:textId="6A4E45FC" w:rsidR="00F34546" w:rsidRPr="003D04CA" w:rsidRDefault="00D30268" w:rsidP="0005719A">
            <w:pPr>
              <w:spacing w:after="0"/>
              <w:jc w:val="center"/>
              <w:rPr>
                <w:rFonts w:cs="Calibri Light"/>
                <w:color w:val="C00000"/>
                <w:sz w:val="16"/>
                <w:szCs w:val="16"/>
              </w:rPr>
            </w:pPr>
            <w:r w:rsidRPr="003D04CA">
              <w:rPr>
                <w:rFonts w:cs="Calibri Light"/>
                <w:color w:val="C00000"/>
                <w:sz w:val="16"/>
                <w:szCs w:val="16"/>
              </w:rPr>
              <w:t>(2.6)</w:t>
            </w:r>
          </w:p>
        </w:tc>
        <w:tc>
          <w:tcPr>
            <w:tcW w:w="613" w:type="pct"/>
            <w:shd w:val="clear" w:color="auto" w:fill="auto"/>
            <w:vAlign w:val="center"/>
          </w:tcPr>
          <w:p w14:paraId="700A8DB9" w14:textId="0300D98F" w:rsidR="00F34546" w:rsidRPr="00F34546" w:rsidRDefault="00D30268" w:rsidP="0005719A">
            <w:pPr>
              <w:spacing w:after="0"/>
              <w:jc w:val="center"/>
              <w:rPr>
                <w:rFonts w:cs="Calibri Light"/>
                <w:sz w:val="16"/>
                <w:szCs w:val="16"/>
              </w:rPr>
            </w:pPr>
            <w:r w:rsidRPr="00D65DC8">
              <w:rPr>
                <w:rFonts w:cs="Calibri Light"/>
                <w:sz w:val="16"/>
                <w:szCs w:val="16"/>
              </w:rPr>
              <w:t>3.4</w:t>
            </w:r>
          </w:p>
        </w:tc>
      </w:tr>
    </w:tbl>
    <w:p w14:paraId="77CB4E64" w14:textId="77777777" w:rsidR="00762E42" w:rsidRPr="005378B1" w:rsidRDefault="00762E42" w:rsidP="005378B1">
      <w:pPr>
        <w:pStyle w:val="SingleParagraph"/>
        <w:rPr>
          <w:rFonts w:ascii="Arial" w:hAnsi="Arial" w:cs="Arial"/>
        </w:rPr>
      </w:pPr>
    </w:p>
    <w:p w14:paraId="4D8B4D36" w14:textId="5F155C60" w:rsidR="00762E42" w:rsidRPr="00097B21" w:rsidRDefault="003C6509" w:rsidP="005378B1">
      <w:pPr>
        <w:pStyle w:val="TableMainHeading"/>
        <w:rPr>
          <w:rFonts w:asciiTheme="minorHAnsi" w:hAnsiTheme="minorHAnsi" w:cstheme="minorHAnsi"/>
          <w:color w:val="auto"/>
        </w:rPr>
      </w:pPr>
      <w:bookmarkStart w:id="169" w:name="_Toc104212368"/>
      <w:bookmarkStart w:id="170" w:name="_Toc192616590"/>
      <w:bookmarkStart w:id="171" w:name="_Toc192616764"/>
      <w:r w:rsidRPr="00097B21">
        <w:rPr>
          <w:rFonts w:asciiTheme="minorHAnsi" w:hAnsiTheme="minorHAnsi" w:cstheme="minorHAnsi"/>
          <w:color w:val="auto"/>
        </w:rPr>
        <w:t>Table 12: Amounts levied on foreign ADI branches</w:t>
      </w:r>
      <w:bookmarkEnd w:id="169"/>
      <w:bookmarkEnd w:id="170"/>
      <w:bookmarkEnd w:id="17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0"/>
        <w:gridCol w:w="1627"/>
        <w:gridCol w:w="1627"/>
        <w:gridCol w:w="1627"/>
        <w:gridCol w:w="1629"/>
      </w:tblGrid>
      <w:tr w:rsidR="005378B1" w:rsidRPr="005378B1" w14:paraId="15FBED0B" w14:textId="77777777" w:rsidTr="003075E0">
        <w:trPr>
          <w:cantSplit/>
          <w:trHeight w:val="284"/>
          <w:tblHeader/>
        </w:trPr>
        <w:tc>
          <w:tcPr>
            <w:tcW w:w="1407" w:type="pct"/>
            <w:shd w:val="clear" w:color="auto" w:fill="EEEEEE" w:themeFill="background2"/>
            <w:vAlign w:val="center"/>
            <w:hideMark/>
          </w:tcPr>
          <w:p w14:paraId="741DE642" w14:textId="77777777" w:rsidR="00D14D34" w:rsidRPr="005378B1" w:rsidRDefault="00D14D34" w:rsidP="005378B1">
            <w:pPr>
              <w:spacing w:after="0"/>
              <w:rPr>
                <w:rFonts w:cs="Calibri Light"/>
                <w:b/>
                <w:sz w:val="16"/>
              </w:rPr>
            </w:pPr>
            <w:r w:rsidRPr="005378B1">
              <w:rPr>
                <w:rFonts w:cs="Calibri Light"/>
                <w:b/>
                <w:sz w:val="16"/>
              </w:rPr>
              <w:t>Asset base</w:t>
            </w:r>
          </w:p>
        </w:tc>
        <w:tc>
          <w:tcPr>
            <w:tcW w:w="898" w:type="pct"/>
            <w:shd w:val="clear" w:color="auto" w:fill="EEEEEE" w:themeFill="background2"/>
            <w:vAlign w:val="center"/>
            <w:hideMark/>
          </w:tcPr>
          <w:p w14:paraId="3A17636B" w14:textId="77777777" w:rsidR="00D14D34" w:rsidRPr="005378B1" w:rsidRDefault="00D14D34" w:rsidP="0005719A">
            <w:pPr>
              <w:spacing w:after="0"/>
              <w:jc w:val="center"/>
              <w:rPr>
                <w:rFonts w:cs="Calibri Light"/>
                <w:b/>
                <w:sz w:val="16"/>
              </w:rPr>
            </w:pPr>
            <w:r w:rsidRPr="005378B1">
              <w:rPr>
                <w:rFonts w:cs="Calibri Light"/>
                <w:b/>
                <w:sz w:val="16"/>
              </w:rPr>
              <w:t xml:space="preserve">$500m </w:t>
            </w:r>
            <w:r w:rsidRPr="005378B1">
              <w:rPr>
                <w:rFonts w:cs="Calibri Light"/>
                <w:b/>
                <w:sz w:val="16"/>
              </w:rPr>
              <w:br/>
              <w:t>($'000)</w:t>
            </w:r>
          </w:p>
        </w:tc>
        <w:tc>
          <w:tcPr>
            <w:tcW w:w="898" w:type="pct"/>
            <w:shd w:val="clear" w:color="auto" w:fill="EEEEEE" w:themeFill="background2"/>
            <w:vAlign w:val="center"/>
            <w:hideMark/>
          </w:tcPr>
          <w:p w14:paraId="2E4DDA03" w14:textId="77777777" w:rsidR="00D14D34" w:rsidRPr="005378B1" w:rsidRDefault="00D14D34" w:rsidP="0005719A">
            <w:pPr>
              <w:spacing w:after="0"/>
              <w:jc w:val="center"/>
              <w:rPr>
                <w:rFonts w:cs="Calibri Light"/>
                <w:b/>
                <w:sz w:val="16"/>
              </w:rPr>
            </w:pPr>
            <w:r w:rsidRPr="005378B1">
              <w:rPr>
                <w:rFonts w:cs="Calibri Light"/>
                <w:b/>
                <w:sz w:val="16"/>
              </w:rPr>
              <w:t xml:space="preserve">$5b </w:t>
            </w:r>
            <w:r w:rsidRPr="005378B1">
              <w:rPr>
                <w:rFonts w:cs="Calibri Light"/>
                <w:b/>
                <w:sz w:val="16"/>
              </w:rPr>
              <w:br/>
              <w:t>($'000)</w:t>
            </w:r>
          </w:p>
        </w:tc>
        <w:tc>
          <w:tcPr>
            <w:tcW w:w="898" w:type="pct"/>
            <w:shd w:val="clear" w:color="auto" w:fill="EEEEEE" w:themeFill="background2"/>
            <w:vAlign w:val="center"/>
            <w:hideMark/>
          </w:tcPr>
          <w:p w14:paraId="7BB16C45" w14:textId="77777777" w:rsidR="00D14D34" w:rsidRPr="005378B1" w:rsidRDefault="00D14D34" w:rsidP="0005719A">
            <w:pPr>
              <w:spacing w:after="0"/>
              <w:jc w:val="center"/>
              <w:rPr>
                <w:rFonts w:cs="Calibri Light"/>
                <w:b/>
                <w:sz w:val="16"/>
              </w:rPr>
            </w:pPr>
            <w:r w:rsidRPr="005378B1">
              <w:rPr>
                <w:rFonts w:cs="Calibri Light"/>
                <w:b/>
                <w:sz w:val="16"/>
              </w:rPr>
              <w:t xml:space="preserve">$25b </w:t>
            </w:r>
            <w:r w:rsidRPr="005378B1">
              <w:rPr>
                <w:rFonts w:cs="Calibri Light"/>
                <w:b/>
                <w:sz w:val="16"/>
              </w:rPr>
              <w:br/>
              <w:t>($'000)</w:t>
            </w:r>
          </w:p>
        </w:tc>
        <w:tc>
          <w:tcPr>
            <w:tcW w:w="899" w:type="pct"/>
            <w:shd w:val="clear" w:color="auto" w:fill="EEEEEE" w:themeFill="background2"/>
            <w:vAlign w:val="center"/>
            <w:hideMark/>
          </w:tcPr>
          <w:p w14:paraId="60938255" w14:textId="77777777" w:rsidR="00D14D34" w:rsidRPr="005378B1" w:rsidRDefault="00D14D34" w:rsidP="0005719A">
            <w:pPr>
              <w:spacing w:after="0"/>
              <w:jc w:val="center"/>
              <w:rPr>
                <w:rFonts w:cs="Calibri Light"/>
                <w:b/>
                <w:sz w:val="16"/>
              </w:rPr>
            </w:pPr>
            <w:r w:rsidRPr="005378B1">
              <w:rPr>
                <w:rFonts w:cs="Calibri Light"/>
                <w:b/>
                <w:sz w:val="16"/>
              </w:rPr>
              <w:t xml:space="preserve">$50b </w:t>
            </w:r>
            <w:r w:rsidRPr="005378B1">
              <w:rPr>
                <w:rFonts w:cs="Calibri Light"/>
                <w:b/>
                <w:sz w:val="16"/>
              </w:rPr>
              <w:br/>
              <w:t>($'000)</w:t>
            </w:r>
          </w:p>
        </w:tc>
      </w:tr>
      <w:tr w:rsidR="00F34546" w:rsidRPr="005378B1" w14:paraId="3A87F4CD" w14:textId="77777777" w:rsidTr="003075E0">
        <w:trPr>
          <w:trHeight w:val="284"/>
        </w:trPr>
        <w:tc>
          <w:tcPr>
            <w:tcW w:w="1407" w:type="pct"/>
            <w:shd w:val="clear" w:color="auto" w:fill="auto"/>
            <w:vAlign w:val="center"/>
            <w:hideMark/>
          </w:tcPr>
          <w:p w14:paraId="7CC183A1" w14:textId="1AB37FCC" w:rsidR="00F34546" w:rsidRPr="00F34546" w:rsidRDefault="00F34546" w:rsidP="00F34546">
            <w:pPr>
              <w:spacing w:after="0"/>
              <w:rPr>
                <w:rFonts w:cs="Calibri Light"/>
                <w:sz w:val="16"/>
              </w:rPr>
            </w:pPr>
            <w:r w:rsidRPr="00F34546">
              <w:rPr>
                <w:rFonts w:cs="Calibri Light"/>
                <w:sz w:val="16"/>
                <w:szCs w:val="16"/>
              </w:rPr>
              <w:t>2023-24</w:t>
            </w:r>
          </w:p>
        </w:tc>
        <w:tc>
          <w:tcPr>
            <w:tcW w:w="898" w:type="pct"/>
            <w:shd w:val="clear" w:color="auto" w:fill="auto"/>
            <w:vAlign w:val="center"/>
            <w:hideMark/>
          </w:tcPr>
          <w:p w14:paraId="26E3A004" w14:textId="3C87EE3F" w:rsidR="00F34546" w:rsidRPr="00F34546" w:rsidRDefault="00D30268" w:rsidP="0005719A">
            <w:pPr>
              <w:spacing w:after="0"/>
              <w:jc w:val="center"/>
              <w:rPr>
                <w:rFonts w:cs="Calibri Light"/>
                <w:sz w:val="16"/>
                <w:szCs w:val="16"/>
              </w:rPr>
            </w:pPr>
            <w:r w:rsidRPr="00D65DC8">
              <w:rPr>
                <w:rFonts w:cs="Calibri Light"/>
                <w:sz w:val="16"/>
                <w:szCs w:val="16"/>
              </w:rPr>
              <w:t>25.7</w:t>
            </w:r>
          </w:p>
        </w:tc>
        <w:tc>
          <w:tcPr>
            <w:tcW w:w="898" w:type="pct"/>
            <w:shd w:val="clear" w:color="auto" w:fill="auto"/>
            <w:vAlign w:val="center"/>
            <w:hideMark/>
          </w:tcPr>
          <w:p w14:paraId="057E7BEB" w14:textId="45CBC898" w:rsidR="00F34546" w:rsidRPr="00F34546" w:rsidRDefault="00D30268" w:rsidP="0005719A">
            <w:pPr>
              <w:spacing w:after="0"/>
              <w:jc w:val="center"/>
              <w:rPr>
                <w:rFonts w:cs="Calibri Light"/>
                <w:sz w:val="16"/>
                <w:szCs w:val="16"/>
              </w:rPr>
            </w:pPr>
            <w:r w:rsidRPr="00D65DC8">
              <w:rPr>
                <w:rFonts w:cs="Calibri Light"/>
                <w:sz w:val="16"/>
                <w:szCs w:val="16"/>
              </w:rPr>
              <w:t>54.0</w:t>
            </w:r>
          </w:p>
        </w:tc>
        <w:tc>
          <w:tcPr>
            <w:tcW w:w="898" w:type="pct"/>
            <w:shd w:val="clear" w:color="auto" w:fill="auto"/>
            <w:vAlign w:val="center"/>
            <w:hideMark/>
          </w:tcPr>
          <w:p w14:paraId="60649E44" w14:textId="35DB43AA" w:rsidR="00F34546" w:rsidRPr="00F34546" w:rsidRDefault="00D30268" w:rsidP="0005719A">
            <w:pPr>
              <w:spacing w:after="0"/>
              <w:jc w:val="center"/>
              <w:rPr>
                <w:rFonts w:cs="Calibri Light"/>
                <w:sz w:val="16"/>
                <w:szCs w:val="16"/>
              </w:rPr>
            </w:pPr>
            <w:r w:rsidRPr="00D65DC8">
              <w:rPr>
                <w:rFonts w:cs="Calibri Light"/>
                <w:sz w:val="16"/>
                <w:szCs w:val="16"/>
              </w:rPr>
              <w:t>264.2</w:t>
            </w:r>
          </w:p>
        </w:tc>
        <w:tc>
          <w:tcPr>
            <w:tcW w:w="899" w:type="pct"/>
            <w:shd w:val="clear" w:color="auto" w:fill="auto"/>
            <w:vAlign w:val="center"/>
            <w:hideMark/>
          </w:tcPr>
          <w:p w14:paraId="0F1883E1" w14:textId="37BF9F6F" w:rsidR="00F34546" w:rsidRPr="00F34546" w:rsidRDefault="00D30268" w:rsidP="0005719A">
            <w:pPr>
              <w:spacing w:after="0"/>
              <w:jc w:val="center"/>
              <w:rPr>
                <w:rFonts w:cs="Calibri Light"/>
                <w:sz w:val="16"/>
                <w:szCs w:val="16"/>
              </w:rPr>
            </w:pPr>
            <w:r w:rsidRPr="00D65DC8">
              <w:rPr>
                <w:rFonts w:cs="Calibri Light"/>
                <w:sz w:val="16"/>
                <w:szCs w:val="16"/>
              </w:rPr>
              <w:t>528.5</w:t>
            </w:r>
          </w:p>
        </w:tc>
      </w:tr>
      <w:tr w:rsidR="00F34546" w:rsidRPr="005378B1" w14:paraId="4FF893F8" w14:textId="77777777" w:rsidTr="003075E0">
        <w:trPr>
          <w:trHeight w:val="284"/>
        </w:trPr>
        <w:tc>
          <w:tcPr>
            <w:tcW w:w="1407" w:type="pct"/>
            <w:shd w:val="clear" w:color="auto" w:fill="auto"/>
            <w:vAlign w:val="center"/>
            <w:hideMark/>
          </w:tcPr>
          <w:p w14:paraId="0CC740CE" w14:textId="69E4F2DE" w:rsidR="00F34546" w:rsidRPr="00F34546" w:rsidRDefault="00F34546" w:rsidP="00F34546">
            <w:pPr>
              <w:spacing w:after="0"/>
              <w:rPr>
                <w:rFonts w:cs="Calibri Light"/>
                <w:sz w:val="16"/>
              </w:rPr>
            </w:pPr>
            <w:r w:rsidRPr="00F34546">
              <w:rPr>
                <w:rFonts w:cs="Calibri Light"/>
                <w:sz w:val="16"/>
                <w:szCs w:val="16"/>
              </w:rPr>
              <w:t>2024-25</w:t>
            </w:r>
          </w:p>
        </w:tc>
        <w:tc>
          <w:tcPr>
            <w:tcW w:w="898" w:type="pct"/>
            <w:shd w:val="clear" w:color="auto" w:fill="auto"/>
            <w:vAlign w:val="center"/>
            <w:hideMark/>
          </w:tcPr>
          <w:p w14:paraId="530DDAA1" w14:textId="4D543486" w:rsidR="00F34546" w:rsidRPr="00F34546" w:rsidRDefault="00D30268" w:rsidP="0005719A">
            <w:pPr>
              <w:spacing w:after="0"/>
              <w:jc w:val="center"/>
              <w:rPr>
                <w:rFonts w:cs="Calibri Light"/>
                <w:sz w:val="16"/>
                <w:szCs w:val="16"/>
              </w:rPr>
            </w:pPr>
            <w:r w:rsidRPr="00D65DC8">
              <w:rPr>
                <w:rFonts w:cs="Calibri Light"/>
                <w:sz w:val="16"/>
                <w:szCs w:val="16"/>
              </w:rPr>
              <w:t>26.4</w:t>
            </w:r>
          </w:p>
        </w:tc>
        <w:tc>
          <w:tcPr>
            <w:tcW w:w="898" w:type="pct"/>
            <w:shd w:val="clear" w:color="auto" w:fill="auto"/>
            <w:vAlign w:val="center"/>
            <w:hideMark/>
          </w:tcPr>
          <w:p w14:paraId="55892A61" w14:textId="326FD24C" w:rsidR="00F34546" w:rsidRPr="00F34546" w:rsidRDefault="00D30268" w:rsidP="0005719A">
            <w:pPr>
              <w:spacing w:after="0"/>
              <w:jc w:val="center"/>
              <w:rPr>
                <w:rFonts w:cs="Calibri Light"/>
                <w:sz w:val="16"/>
                <w:szCs w:val="16"/>
              </w:rPr>
            </w:pPr>
            <w:r w:rsidRPr="00D65DC8">
              <w:rPr>
                <w:rFonts w:cs="Calibri Light"/>
                <w:sz w:val="16"/>
                <w:szCs w:val="16"/>
              </w:rPr>
              <w:t>61.3</w:t>
            </w:r>
          </w:p>
        </w:tc>
        <w:tc>
          <w:tcPr>
            <w:tcW w:w="898" w:type="pct"/>
            <w:shd w:val="clear" w:color="auto" w:fill="auto"/>
            <w:vAlign w:val="center"/>
            <w:hideMark/>
          </w:tcPr>
          <w:p w14:paraId="0A2BA78E" w14:textId="06E36A61" w:rsidR="00F34546" w:rsidRPr="00F34546" w:rsidRDefault="00D30268" w:rsidP="0005719A">
            <w:pPr>
              <w:spacing w:after="0"/>
              <w:jc w:val="center"/>
              <w:rPr>
                <w:rFonts w:cs="Calibri Light"/>
                <w:sz w:val="16"/>
                <w:szCs w:val="16"/>
              </w:rPr>
            </w:pPr>
            <w:r w:rsidRPr="00D65DC8">
              <w:rPr>
                <w:rFonts w:cs="Calibri Light"/>
                <w:sz w:val="16"/>
                <w:szCs w:val="16"/>
              </w:rPr>
              <w:t>304.4</w:t>
            </w:r>
          </w:p>
        </w:tc>
        <w:tc>
          <w:tcPr>
            <w:tcW w:w="899" w:type="pct"/>
            <w:shd w:val="clear" w:color="auto" w:fill="auto"/>
            <w:vAlign w:val="center"/>
            <w:hideMark/>
          </w:tcPr>
          <w:p w14:paraId="47C79DAB" w14:textId="5D74CAA0" w:rsidR="00F34546" w:rsidRPr="00F34546" w:rsidRDefault="00D30268" w:rsidP="0005719A">
            <w:pPr>
              <w:spacing w:after="0"/>
              <w:jc w:val="center"/>
              <w:rPr>
                <w:rFonts w:cs="Calibri Light"/>
                <w:sz w:val="16"/>
                <w:szCs w:val="16"/>
              </w:rPr>
            </w:pPr>
            <w:r w:rsidRPr="00D65DC8">
              <w:rPr>
                <w:rFonts w:cs="Calibri Light"/>
                <w:sz w:val="16"/>
                <w:szCs w:val="16"/>
              </w:rPr>
              <w:t>608.9</w:t>
            </w:r>
          </w:p>
        </w:tc>
      </w:tr>
      <w:tr w:rsidR="00F34546" w:rsidRPr="005378B1" w14:paraId="1AB9D513" w14:textId="77777777" w:rsidTr="003075E0">
        <w:trPr>
          <w:trHeight w:val="284"/>
        </w:trPr>
        <w:tc>
          <w:tcPr>
            <w:tcW w:w="1407" w:type="pct"/>
            <w:shd w:val="clear" w:color="auto" w:fill="auto"/>
            <w:vAlign w:val="center"/>
            <w:hideMark/>
          </w:tcPr>
          <w:p w14:paraId="0E516BAF" w14:textId="47AB0002" w:rsidR="00F34546" w:rsidRPr="00F34546" w:rsidRDefault="00F34546" w:rsidP="00F34546">
            <w:pPr>
              <w:spacing w:after="0"/>
              <w:rPr>
                <w:rFonts w:cs="Calibri Light"/>
                <w:sz w:val="16"/>
              </w:rPr>
            </w:pPr>
            <w:r w:rsidRPr="00F34546">
              <w:rPr>
                <w:rFonts w:cs="Calibri Light"/>
                <w:sz w:val="16"/>
                <w:szCs w:val="16"/>
              </w:rPr>
              <w:t>2025-26</w:t>
            </w:r>
          </w:p>
        </w:tc>
        <w:tc>
          <w:tcPr>
            <w:tcW w:w="898" w:type="pct"/>
            <w:shd w:val="clear" w:color="auto" w:fill="auto"/>
            <w:vAlign w:val="center"/>
          </w:tcPr>
          <w:p w14:paraId="649CE333" w14:textId="648E4F96" w:rsidR="00F34546" w:rsidRPr="00F34546" w:rsidRDefault="00D30268" w:rsidP="0005719A">
            <w:pPr>
              <w:spacing w:after="0"/>
              <w:jc w:val="center"/>
              <w:rPr>
                <w:rFonts w:cs="Calibri Light"/>
                <w:sz w:val="16"/>
                <w:szCs w:val="16"/>
              </w:rPr>
            </w:pPr>
            <w:r w:rsidRPr="00D65DC8">
              <w:rPr>
                <w:rFonts w:cs="Calibri Light"/>
                <w:sz w:val="16"/>
                <w:szCs w:val="16"/>
              </w:rPr>
              <w:t>26.1</w:t>
            </w:r>
          </w:p>
        </w:tc>
        <w:tc>
          <w:tcPr>
            <w:tcW w:w="898" w:type="pct"/>
            <w:shd w:val="clear" w:color="auto" w:fill="auto"/>
            <w:vAlign w:val="center"/>
          </w:tcPr>
          <w:p w14:paraId="71C5186E" w14:textId="42902A2C" w:rsidR="00F34546" w:rsidRPr="00F34546" w:rsidRDefault="00D30268" w:rsidP="0005719A">
            <w:pPr>
              <w:spacing w:after="0"/>
              <w:jc w:val="center"/>
              <w:rPr>
                <w:rFonts w:cs="Calibri Light"/>
                <w:sz w:val="16"/>
                <w:szCs w:val="16"/>
              </w:rPr>
            </w:pPr>
            <w:r w:rsidRPr="00D65DC8">
              <w:rPr>
                <w:rFonts w:cs="Calibri Light"/>
                <w:sz w:val="16"/>
                <w:szCs w:val="16"/>
              </w:rPr>
              <w:t>58.0</w:t>
            </w:r>
          </w:p>
        </w:tc>
        <w:tc>
          <w:tcPr>
            <w:tcW w:w="898" w:type="pct"/>
            <w:shd w:val="clear" w:color="auto" w:fill="auto"/>
            <w:vAlign w:val="center"/>
          </w:tcPr>
          <w:p w14:paraId="31472C4C" w14:textId="2FAEBD6A" w:rsidR="00F34546" w:rsidRPr="00F34546" w:rsidRDefault="00D30268" w:rsidP="0005719A">
            <w:pPr>
              <w:spacing w:after="0"/>
              <w:jc w:val="center"/>
              <w:rPr>
                <w:rFonts w:cs="Calibri Light"/>
                <w:sz w:val="16"/>
                <w:szCs w:val="16"/>
              </w:rPr>
            </w:pPr>
            <w:r w:rsidRPr="00D65DC8">
              <w:rPr>
                <w:rFonts w:cs="Calibri Light"/>
                <w:sz w:val="16"/>
                <w:szCs w:val="16"/>
              </w:rPr>
              <w:t>287.3</w:t>
            </w:r>
          </w:p>
        </w:tc>
        <w:tc>
          <w:tcPr>
            <w:tcW w:w="899" w:type="pct"/>
            <w:shd w:val="clear" w:color="auto" w:fill="auto"/>
            <w:vAlign w:val="center"/>
          </w:tcPr>
          <w:p w14:paraId="127B2EA9" w14:textId="5DA566C5" w:rsidR="00F34546" w:rsidRPr="00F34546" w:rsidRDefault="00D30268" w:rsidP="0005719A">
            <w:pPr>
              <w:spacing w:after="0"/>
              <w:jc w:val="center"/>
              <w:rPr>
                <w:rFonts w:cs="Calibri Light"/>
                <w:sz w:val="16"/>
                <w:szCs w:val="16"/>
              </w:rPr>
            </w:pPr>
            <w:r w:rsidRPr="00D65DC8">
              <w:rPr>
                <w:rFonts w:cs="Calibri Light"/>
                <w:sz w:val="16"/>
                <w:szCs w:val="16"/>
              </w:rPr>
              <w:t>574.6</w:t>
            </w:r>
          </w:p>
        </w:tc>
      </w:tr>
      <w:tr w:rsidR="00F34546" w:rsidRPr="005378B1" w14:paraId="50751BFD" w14:textId="77777777" w:rsidTr="003075E0">
        <w:trPr>
          <w:trHeight w:val="284"/>
        </w:trPr>
        <w:tc>
          <w:tcPr>
            <w:tcW w:w="1407" w:type="pct"/>
            <w:shd w:val="clear" w:color="auto" w:fill="auto"/>
          </w:tcPr>
          <w:p w14:paraId="662FFEE9" w14:textId="3B2E887A" w:rsidR="00F34546" w:rsidRPr="00F34546" w:rsidRDefault="00F34546" w:rsidP="00F34546">
            <w:pPr>
              <w:spacing w:after="0"/>
              <w:rPr>
                <w:rFonts w:cs="Calibri Light"/>
                <w:sz w:val="16"/>
                <w:szCs w:val="16"/>
              </w:rPr>
            </w:pPr>
            <w:r w:rsidRPr="00F34546">
              <w:rPr>
                <w:rFonts w:cs="Calibri Light"/>
                <w:bCs/>
                <w:sz w:val="16"/>
                <w:szCs w:val="16"/>
              </w:rPr>
              <w:t>Change (%) 2025-26 v 2024-25</w:t>
            </w:r>
          </w:p>
        </w:tc>
        <w:tc>
          <w:tcPr>
            <w:tcW w:w="898" w:type="pct"/>
            <w:shd w:val="clear" w:color="auto" w:fill="auto"/>
            <w:vAlign w:val="center"/>
          </w:tcPr>
          <w:p w14:paraId="5A5315A6" w14:textId="2D64768C" w:rsidR="00F34546" w:rsidRPr="003D04CA" w:rsidRDefault="00D30268" w:rsidP="00023FD5">
            <w:pPr>
              <w:spacing w:after="0"/>
              <w:jc w:val="center"/>
              <w:rPr>
                <w:rFonts w:cs="Calibri Light"/>
                <w:color w:val="C00000"/>
                <w:sz w:val="16"/>
                <w:szCs w:val="16"/>
              </w:rPr>
            </w:pPr>
            <w:r w:rsidRPr="003D04CA">
              <w:rPr>
                <w:rFonts w:cs="Calibri Light"/>
                <w:color w:val="C00000"/>
                <w:sz w:val="16"/>
                <w:szCs w:val="16"/>
              </w:rPr>
              <w:t>(1.3)</w:t>
            </w:r>
          </w:p>
        </w:tc>
        <w:tc>
          <w:tcPr>
            <w:tcW w:w="898" w:type="pct"/>
            <w:shd w:val="clear" w:color="auto" w:fill="auto"/>
            <w:vAlign w:val="center"/>
          </w:tcPr>
          <w:p w14:paraId="40725573" w14:textId="0224B0AE" w:rsidR="00F34546" w:rsidRPr="003D04CA" w:rsidRDefault="00D30268" w:rsidP="00023FD5">
            <w:pPr>
              <w:spacing w:after="0"/>
              <w:jc w:val="center"/>
              <w:rPr>
                <w:rFonts w:cs="Calibri Light"/>
                <w:color w:val="C00000"/>
                <w:sz w:val="16"/>
                <w:szCs w:val="16"/>
              </w:rPr>
            </w:pPr>
            <w:r w:rsidRPr="003D04CA">
              <w:rPr>
                <w:rFonts w:cs="Calibri Light"/>
                <w:color w:val="C00000"/>
                <w:sz w:val="16"/>
                <w:szCs w:val="16"/>
              </w:rPr>
              <w:t>(5.4)</w:t>
            </w:r>
          </w:p>
        </w:tc>
        <w:tc>
          <w:tcPr>
            <w:tcW w:w="898" w:type="pct"/>
            <w:shd w:val="clear" w:color="auto" w:fill="auto"/>
            <w:vAlign w:val="center"/>
          </w:tcPr>
          <w:p w14:paraId="7D44F5F0" w14:textId="549AB231" w:rsidR="00F34546" w:rsidRPr="003D04CA" w:rsidRDefault="00D30268" w:rsidP="00023FD5">
            <w:pPr>
              <w:spacing w:after="0"/>
              <w:jc w:val="center"/>
              <w:rPr>
                <w:rFonts w:cs="Calibri Light"/>
                <w:color w:val="C00000"/>
                <w:sz w:val="16"/>
                <w:szCs w:val="16"/>
              </w:rPr>
            </w:pPr>
            <w:r w:rsidRPr="003D04CA">
              <w:rPr>
                <w:rFonts w:cs="Calibri Light"/>
                <w:color w:val="C00000"/>
                <w:sz w:val="16"/>
                <w:szCs w:val="16"/>
              </w:rPr>
              <w:t>(5.6)</w:t>
            </w:r>
          </w:p>
        </w:tc>
        <w:tc>
          <w:tcPr>
            <w:tcW w:w="899" w:type="pct"/>
            <w:shd w:val="clear" w:color="auto" w:fill="auto"/>
            <w:vAlign w:val="center"/>
          </w:tcPr>
          <w:p w14:paraId="599BFE3C" w14:textId="4DB2D75F" w:rsidR="00F34546" w:rsidRPr="003D04CA" w:rsidRDefault="00D30268" w:rsidP="00023FD5">
            <w:pPr>
              <w:spacing w:after="0"/>
              <w:jc w:val="center"/>
              <w:rPr>
                <w:rFonts w:cs="Calibri Light"/>
                <w:color w:val="C00000"/>
                <w:sz w:val="16"/>
                <w:szCs w:val="16"/>
              </w:rPr>
            </w:pPr>
            <w:r w:rsidRPr="003D04CA">
              <w:rPr>
                <w:rFonts w:cs="Calibri Light"/>
                <w:color w:val="C00000"/>
                <w:sz w:val="16"/>
                <w:szCs w:val="16"/>
              </w:rPr>
              <w:t>(5.6)</w:t>
            </w:r>
          </w:p>
        </w:tc>
      </w:tr>
    </w:tbl>
    <w:p w14:paraId="37BF8ABC" w14:textId="77777777" w:rsidR="00762E42" w:rsidRPr="005378B1" w:rsidRDefault="00762E42" w:rsidP="005378B1">
      <w:pPr>
        <w:pStyle w:val="SingleParagraph"/>
        <w:rPr>
          <w:rFonts w:ascii="Arial" w:hAnsi="Arial" w:cs="Arial"/>
        </w:rPr>
      </w:pPr>
    </w:p>
    <w:p w14:paraId="4A3A0F42" w14:textId="1582F621" w:rsidR="00762E42" w:rsidRPr="00097B21" w:rsidRDefault="003C6509" w:rsidP="005378B1">
      <w:pPr>
        <w:pStyle w:val="TableMainHeading"/>
        <w:rPr>
          <w:rFonts w:asciiTheme="minorHAnsi" w:hAnsiTheme="minorHAnsi" w:cstheme="minorHAnsi"/>
          <w:color w:val="auto"/>
        </w:rPr>
      </w:pPr>
      <w:bookmarkStart w:id="172" w:name="_Toc104212369"/>
      <w:bookmarkStart w:id="173" w:name="_Toc192616591"/>
      <w:bookmarkStart w:id="174" w:name="_Toc192616765"/>
      <w:r w:rsidRPr="00097B21">
        <w:rPr>
          <w:rFonts w:asciiTheme="minorHAnsi" w:hAnsiTheme="minorHAnsi" w:cstheme="minorHAnsi"/>
          <w:color w:val="auto"/>
        </w:rPr>
        <w:t xml:space="preserve">Table 13: Amounts levied on </w:t>
      </w:r>
      <w:r w:rsidR="00A13A51" w:rsidRPr="00097B21">
        <w:rPr>
          <w:rFonts w:asciiTheme="minorHAnsi" w:hAnsiTheme="minorHAnsi" w:cstheme="minorHAnsi"/>
          <w:color w:val="auto"/>
        </w:rPr>
        <w:t>L</w:t>
      </w:r>
      <w:r w:rsidR="00473716" w:rsidRPr="00097B21">
        <w:rPr>
          <w:rFonts w:asciiTheme="minorHAnsi" w:hAnsiTheme="minorHAnsi" w:cstheme="minorHAnsi"/>
          <w:color w:val="auto"/>
        </w:rPr>
        <w:t xml:space="preserve">ife </w:t>
      </w:r>
      <w:r w:rsidRPr="00097B21">
        <w:rPr>
          <w:rFonts w:asciiTheme="minorHAnsi" w:hAnsiTheme="minorHAnsi" w:cstheme="minorHAnsi"/>
          <w:color w:val="auto"/>
        </w:rPr>
        <w:t>insurers/</w:t>
      </w:r>
      <w:r w:rsidR="00A13A51" w:rsidRPr="00097B21">
        <w:rPr>
          <w:rFonts w:asciiTheme="minorHAnsi" w:hAnsiTheme="minorHAnsi" w:cstheme="minorHAnsi"/>
          <w:color w:val="auto"/>
        </w:rPr>
        <w:t>F</w:t>
      </w:r>
      <w:r w:rsidR="00473716" w:rsidRPr="00097B21">
        <w:rPr>
          <w:rFonts w:asciiTheme="minorHAnsi" w:hAnsiTheme="minorHAnsi" w:cstheme="minorHAnsi"/>
          <w:color w:val="auto"/>
        </w:rPr>
        <w:t xml:space="preserve">riendly </w:t>
      </w:r>
      <w:r w:rsidRPr="00097B21">
        <w:rPr>
          <w:rFonts w:asciiTheme="minorHAnsi" w:hAnsiTheme="minorHAnsi" w:cstheme="minorHAnsi"/>
          <w:color w:val="auto"/>
        </w:rPr>
        <w:t>societies</w:t>
      </w:r>
      <w:bookmarkEnd w:id="172"/>
      <w:bookmarkEnd w:id="173"/>
      <w:bookmarkEnd w:id="17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1359"/>
        <w:gridCol w:w="1359"/>
        <w:gridCol w:w="1359"/>
        <w:gridCol w:w="1359"/>
        <w:gridCol w:w="1359"/>
      </w:tblGrid>
      <w:tr w:rsidR="005378B1" w:rsidRPr="005378B1" w14:paraId="374402CF" w14:textId="77777777" w:rsidTr="003075E0">
        <w:trPr>
          <w:cantSplit/>
          <w:trHeight w:val="284"/>
          <w:tblHeader/>
        </w:trPr>
        <w:tc>
          <w:tcPr>
            <w:tcW w:w="1250" w:type="pct"/>
            <w:shd w:val="clear" w:color="auto" w:fill="EEEEEE" w:themeFill="background2"/>
            <w:vAlign w:val="center"/>
            <w:hideMark/>
          </w:tcPr>
          <w:p w14:paraId="30684353" w14:textId="77777777" w:rsidR="00762E42" w:rsidRPr="005378B1" w:rsidRDefault="003C6509" w:rsidP="005378B1">
            <w:pPr>
              <w:spacing w:after="0"/>
              <w:rPr>
                <w:rFonts w:cs="Calibri Light"/>
                <w:b/>
                <w:sz w:val="16"/>
              </w:rPr>
            </w:pPr>
            <w:r w:rsidRPr="005378B1">
              <w:rPr>
                <w:rFonts w:cs="Calibri Light"/>
                <w:b/>
                <w:sz w:val="16"/>
              </w:rPr>
              <w:t>Asset base</w:t>
            </w:r>
          </w:p>
        </w:tc>
        <w:tc>
          <w:tcPr>
            <w:tcW w:w="750" w:type="pct"/>
            <w:shd w:val="clear" w:color="auto" w:fill="EEEEEE" w:themeFill="background2"/>
            <w:vAlign w:val="center"/>
            <w:hideMark/>
          </w:tcPr>
          <w:p w14:paraId="2AEB93A8" w14:textId="77777777" w:rsidR="00762E42" w:rsidRPr="005378B1" w:rsidRDefault="003C6509" w:rsidP="00023FD5">
            <w:pPr>
              <w:spacing w:after="0"/>
              <w:jc w:val="center"/>
              <w:rPr>
                <w:rFonts w:cs="Calibri Light"/>
                <w:b/>
                <w:sz w:val="16"/>
              </w:rPr>
            </w:pPr>
            <w:r w:rsidRPr="005378B1">
              <w:rPr>
                <w:rFonts w:cs="Calibri Light"/>
                <w:b/>
                <w:sz w:val="16"/>
              </w:rPr>
              <w:t xml:space="preserve">$50m </w:t>
            </w:r>
            <w:r w:rsidRPr="005378B1">
              <w:rPr>
                <w:rFonts w:cs="Calibri Light"/>
                <w:b/>
                <w:sz w:val="16"/>
              </w:rPr>
              <w:br/>
              <w:t>($'000)</w:t>
            </w:r>
          </w:p>
        </w:tc>
        <w:tc>
          <w:tcPr>
            <w:tcW w:w="750" w:type="pct"/>
            <w:shd w:val="clear" w:color="auto" w:fill="EEEEEE" w:themeFill="background2"/>
            <w:vAlign w:val="center"/>
            <w:hideMark/>
          </w:tcPr>
          <w:p w14:paraId="2A8C58F8" w14:textId="77777777" w:rsidR="00762E42" w:rsidRPr="005378B1" w:rsidRDefault="003C6509" w:rsidP="00023FD5">
            <w:pPr>
              <w:spacing w:after="0"/>
              <w:jc w:val="center"/>
              <w:rPr>
                <w:rFonts w:cs="Calibri Light"/>
                <w:b/>
                <w:sz w:val="16"/>
              </w:rPr>
            </w:pPr>
            <w:r w:rsidRPr="005378B1">
              <w:rPr>
                <w:rFonts w:cs="Calibri Light"/>
                <w:b/>
                <w:sz w:val="16"/>
              </w:rPr>
              <w:t xml:space="preserve">$500m </w:t>
            </w:r>
            <w:r w:rsidRPr="005378B1">
              <w:rPr>
                <w:rFonts w:cs="Calibri Light"/>
                <w:b/>
                <w:sz w:val="16"/>
              </w:rPr>
              <w:br/>
              <w:t>($'000)</w:t>
            </w:r>
          </w:p>
        </w:tc>
        <w:tc>
          <w:tcPr>
            <w:tcW w:w="750" w:type="pct"/>
            <w:shd w:val="clear" w:color="auto" w:fill="EEEEEE" w:themeFill="background2"/>
            <w:vAlign w:val="center"/>
            <w:hideMark/>
          </w:tcPr>
          <w:p w14:paraId="653DD9C3" w14:textId="77777777" w:rsidR="00762E42" w:rsidRPr="005378B1" w:rsidRDefault="003C6509" w:rsidP="00023FD5">
            <w:pPr>
              <w:spacing w:after="0"/>
              <w:jc w:val="center"/>
              <w:rPr>
                <w:rFonts w:cs="Calibri Light"/>
                <w:b/>
                <w:sz w:val="16"/>
              </w:rPr>
            </w:pPr>
            <w:r w:rsidRPr="005378B1">
              <w:rPr>
                <w:rFonts w:cs="Calibri Light"/>
                <w:b/>
                <w:sz w:val="16"/>
              </w:rPr>
              <w:t xml:space="preserve">$5b </w:t>
            </w:r>
            <w:r w:rsidRPr="005378B1">
              <w:rPr>
                <w:rFonts w:cs="Calibri Light"/>
                <w:b/>
                <w:sz w:val="16"/>
              </w:rPr>
              <w:br/>
              <w:t>($'000)</w:t>
            </w:r>
          </w:p>
        </w:tc>
        <w:tc>
          <w:tcPr>
            <w:tcW w:w="750" w:type="pct"/>
            <w:shd w:val="clear" w:color="auto" w:fill="EEEEEE" w:themeFill="background2"/>
            <w:vAlign w:val="center"/>
            <w:hideMark/>
          </w:tcPr>
          <w:p w14:paraId="10D80C79" w14:textId="77777777" w:rsidR="00762E42" w:rsidRPr="005378B1" w:rsidRDefault="003C6509" w:rsidP="00023FD5">
            <w:pPr>
              <w:spacing w:after="0"/>
              <w:jc w:val="center"/>
              <w:rPr>
                <w:rFonts w:cs="Calibri Light"/>
                <w:b/>
                <w:sz w:val="16"/>
              </w:rPr>
            </w:pPr>
            <w:r w:rsidRPr="005378B1">
              <w:rPr>
                <w:rFonts w:cs="Calibri Light"/>
                <w:b/>
                <w:sz w:val="16"/>
              </w:rPr>
              <w:t xml:space="preserve">$10b </w:t>
            </w:r>
            <w:r w:rsidRPr="005378B1">
              <w:rPr>
                <w:rFonts w:cs="Calibri Light"/>
                <w:b/>
                <w:sz w:val="16"/>
              </w:rPr>
              <w:br/>
              <w:t>($'000)</w:t>
            </w:r>
          </w:p>
        </w:tc>
        <w:tc>
          <w:tcPr>
            <w:tcW w:w="750" w:type="pct"/>
            <w:shd w:val="clear" w:color="auto" w:fill="EEEEEE" w:themeFill="background2"/>
            <w:vAlign w:val="center"/>
            <w:hideMark/>
          </w:tcPr>
          <w:p w14:paraId="4B633062" w14:textId="77777777" w:rsidR="00762E42" w:rsidRPr="005378B1" w:rsidRDefault="003C6509" w:rsidP="00023FD5">
            <w:pPr>
              <w:spacing w:after="0"/>
              <w:jc w:val="center"/>
              <w:rPr>
                <w:rFonts w:cs="Calibri Light"/>
                <w:b/>
                <w:sz w:val="16"/>
              </w:rPr>
            </w:pPr>
            <w:r w:rsidRPr="005378B1">
              <w:rPr>
                <w:rFonts w:cs="Calibri Light"/>
                <w:b/>
                <w:sz w:val="16"/>
              </w:rPr>
              <w:t xml:space="preserve">$20b </w:t>
            </w:r>
            <w:r w:rsidRPr="005378B1">
              <w:rPr>
                <w:rFonts w:cs="Calibri Light"/>
                <w:b/>
                <w:sz w:val="16"/>
              </w:rPr>
              <w:br/>
              <w:t>($'000)</w:t>
            </w:r>
          </w:p>
        </w:tc>
      </w:tr>
      <w:tr w:rsidR="00F34546" w:rsidRPr="005378B1" w14:paraId="54A4F210" w14:textId="77777777" w:rsidTr="003075E0">
        <w:trPr>
          <w:trHeight w:val="284"/>
        </w:trPr>
        <w:tc>
          <w:tcPr>
            <w:tcW w:w="1250" w:type="pct"/>
            <w:shd w:val="clear" w:color="auto" w:fill="auto"/>
            <w:vAlign w:val="center"/>
            <w:hideMark/>
          </w:tcPr>
          <w:p w14:paraId="472C858F" w14:textId="45556688" w:rsidR="00F34546" w:rsidRPr="00F34546" w:rsidRDefault="00F34546" w:rsidP="00F34546">
            <w:pPr>
              <w:spacing w:after="0"/>
              <w:rPr>
                <w:rFonts w:cs="Calibri Light"/>
                <w:sz w:val="16"/>
              </w:rPr>
            </w:pPr>
            <w:r w:rsidRPr="00F34546">
              <w:rPr>
                <w:rFonts w:cs="Calibri Light"/>
                <w:sz w:val="16"/>
                <w:szCs w:val="16"/>
              </w:rPr>
              <w:t>2023-24</w:t>
            </w:r>
          </w:p>
        </w:tc>
        <w:tc>
          <w:tcPr>
            <w:tcW w:w="750" w:type="pct"/>
            <w:shd w:val="clear" w:color="auto" w:fill="auto"/>
            <w:vAlign w:val="center"/>
            <w:hideMark/>
          </w:tcPr>
          <w:p w14:paraId="120C87EF" w14:textId="5D2B059B" w:rsidR="00F34546" w:rsidRPr="00F34546" w:rsidRDefault="00D30268" w:rsidP="00023FD5">
            <w:pPr>
              <w:spacing w:after="0"/>
              <w:jc w:val="center"/>
              <w:rPr>
                <w:rFonts w:cs="Calibri Light"/>
                <w:sz w:val="16"/>
              </w:rPr>
            </w:pPr>
            <w:r w:rsidRPr="00D65DC8">
              <w:rPr>
                <w:rFonts w:cs="Calibri Light"/>
                <w:sz w:val="16"/>
                <w:szCs w:val="16"/>
              </w:rPr>
              <w:t>25.7</w:t>
            </w:r>
          </w:p>
        </w:tc>
        <w:tc>
          <w:tcPr>
            <w:tcW w:w="750" w:type="pct"/>
            <w:shd w:val="clear" w:color="auto" w:fill="auto"/>
            <w:vAlign w:val="center"/>
            <w:hideMark/>
          </w:tcPr>
          <w:p w14:paraId="05C78C28" w14:textId="5682F568" w:rsidR="00F34546" w:rsidRPr="00F34546" w:rsidRDefault="00D30268" w:rsidP="00023FD5">
            <w:pPr>
              <w:spacing w:after="0"/>
              <w:jc w:val="center"/>
              <w:rPr>
                <w:rFonts w:cs="Calibri Light"/>
                <w:sz w:val="16"/>
              </w:rPr>
            </w:pPr>
            <w:r w:rsidRPr="00D65DC8">
              <w:rPr>
                <w:rFonts w:cs="Calibri Light"/>
                <w:sz w:val="16"/>
                <w:szCs w:val="16"/>
              </w:rPr>
              <w:t>100.5</w:t>
            </w:r>
          </w:p>
        </w:tc>
        <w:tc>
          <w:tcPr>
            <w:tcW w:w="750" w:type="pct"/>
            <w:shd w:val="clear" w:color="auto" w:fill="auto"/>
            <w:vAlign w:val="center"/>
            <w:hideMark/>
          </w:tcPr>
          <w:p w14:paraId="53589413" w14:textId="790D7869" w:rsidR="00F34546" w:rsidRPr="00F34546" w:rsidRDefault="00D30268" w:rsidP="00023FD5">
            <w:pPr>
              <w:spacing w:after="0"/>
              <w:jc w:val="center"/>
              <w:rPr>
                <w:rFonts w:cs="Calibri Light"/>
                <w:sz w:val="16"/>
              </w:rPr>
            </w:pPr>
            <w:r w:rsidRPr="00D65DC8">
              <w:rPr>
                <w:rFonts w:cs="Calibri Light"/>
                <w:sz w:val="16"/>
                <w:szCs w:val="16"/>
              </w:rPr>
              <w:t>1,005.3</w:t>
            </w:r>
          </w:p>
        </w:tc>
        <w:tc>
          <w:tcPr>
            <w:tcW w:w="750" w:type="pct"/>
            <w:shd w:val="clear" w:color="auto" w:fill="auto"/>
            <w:vAlign w:val="center"/>
            <w:hideMark/>
          </w:tcPr>
          <w:p w14:paraId="083589ED" w14:textId="14D147FD" w:rsidR="00F34546" w:rsidRPr="00F34546" w:rsidRDefault="00D30268" w:rsidP="00023FD5">
            <w:pPr>
              <w:spacing w:after="0"/>
              <w:jc w:val="center"/>
              <w:rPr>
                <w:rFonts w:cs="Calibri Light"/>
                <w:sz w:val="16"/>
              </w:rPr>
            </w:pPr>
            <w:r w:rsidRPr="00D65DC8">
              <w:rPr>
                <w:rFonts w:cs="Calibri Light"/>
                <w:sz w:val="16"/>
                <w:szCs w:val="16"/>
              </w:rPr>
              <w:t>1,783.6</w:t>
            </w:r>
          </w:p>
        </w:tc>
        <w:tc>
          <w:tcPr>
            <w:tcW w:w="750" w:type="pct"/>
            <w:shd w:val="clear" w:color="auto" w:fill="auto"/>
            <w:vAlign w:val="center"/>
            <w:hideMark/>
          </w:tcPr>
          <w:p w14:paraId="08F90797" w14:textId="3BC3617E" w:rsidR="00F34546" w:rsidRPr="00F34546" w:rsidRDefault="00D30268" w:rsidP="00023FD5">
            <w:pPr>
              <w:spacing w:after="0"/>
              <w:jc w:val="center"/>
              <w:rPr>
                <w:rFonts w:cs="Calibri Light"/>
                <w:sz w:val="16"/>
              </w:rPr>
            </w:pPr>
            <w:r w:rsidRPr="00D65DC8">
              <w:rPr>
                <w:rFonts w:cs="Calibri Light"/>
                <w:sz w:val="16"/>
                <w:szCs w:val="16"/>
              </w:rPr>
              <w:t>2,417.3</w:t>
            </w:r>
          </w:p>
        </w:tc>
      </w:tr>
      <w:tr w:rsidR="00F34546" w:rsidRPr="005378B1" w14:paraId="47C9398F" w14:textId="77777777" w:rsidTr="003075E0">
        <w:trPr>
          <w:trHeight w:val="284"/>
        </w:trPr>
        <w:tc>
          <w:tcPr>
            <w:tcW w:w="1250" w:type="pct"/>
            <w:shd w:val="clear" w:color="auto" w:fill="auto"/>
            <w:vAlign w:val="center"/>
            <w:hideMark/>
          </w:tcPr>
          <w:p w14:paraId="56E73138" w14:textId="18AB5CB9" w:rsidR="00F34546" w:rsidRPr="00F34546" w:rsidRDefault="00F34546" w:rsidP="00F34546">
            <w:pPr>
              <w:spacing w:after="0"/>
              <w:rPr>
                <w:rFonts w:cs="Calibri Light"/>
                <w:sz w:val="16"/>
              </w:rPr>
            </w:pPr>
            <w:r w:rsidRPr="00F34546">
              <w:rPr>
                <w:rFonts w:cs="Calibri Light"/>
                <w:sz w:val="16"/>
                <w:szCs w:val="16"/>
              </w:rPr>
              <w:t>2024-25</w:t>
            </w:r>
          </w:p>
        </w:tc>
        <w:tc>
          <w:tcPr>
            <w:tcW w:w="750" w:type="pct"/>
            <w:shd w:val="clear" w:color="auto" w:fill="auto"/>
            <w:vAlign w:val="center"/>
          </w:tcPr>
          <w:p w14:paraId="7E581046" w14:textId="517FFB89" w:rsidR="00F34546" w:rsidRPr="00F34546" w:rsidRDefault="00D30268" w:rsidP="0005719A">
            <w:pPr>
              <w:spacing w:after="0"/>
              <w:jc w:val="center"/>
              <w:rPr>
                <w:rFonts w:cs="Calibri Light"/>
                <w:sz w:val="16"/>
              </w:rPr>
            </w:pPr>
            <w:r w:rsidRPr="00D65DC8">
              <w:rPr>
                <w:rFonts w:cs="Calibri Light"/>
                <w:sz w:val="16"/>
                <w:szCs w:val="16"/>
              </w:rPr>
              <w:t>26.0</w:t>
            </w:r>
          </w:p>
        </w:tc>
        <w:tc>
          <w:tcPr>
            <w:tcW w:w="750" w:type="pct"/>
            <w:shd w:val="clear" w:color="auto" w:fill="auto"/>
            <w:vAlign w:val="center"/>
          </w:tcPr>
          <w:p w14:paraId="137552F4" w14:textId="35E18BAA" w:rsidR="00F34546" w:rsidRPr="00F34546" w:rsidRDefault="00D30268" w:rsidP="0005719A">
            <w:pPr>
              <w:spacing w:after="0"/>
              <w:jc w:val="center"/>
              <w:rPr>
                <w:rFonts w:cs="Calibri Light"/>
                <w:sz w:val="16"/>
              </w:rPr>
            </w:pPr>
            <w:r w:rsidRPr="00D65DC8">
              <w:rPr>
                <w:rFonts w:cs="Calibri Light"/>
                <w:sz w:val="16"/>
                <w:szCs w:val="16"/>
              </w:rPr>
              <w:t>96.6</w:t>
            </w:r>
          </w:p>
        </w:tc>
        <w:tc>
          <w:tcPr>
            <w:tcW w:w="750" w:type="pct"/>
            <w:shd w:val="clear" w:color="auto" w:fill="auto"/>
            <w:vAlign w:val="center"/>
          </w:tcPr>
          <w:p w14:paraId="16FC287E" w14:textId="28B7CAE2" w:rsidR="00F34546" w:rsidRPr="00F34546" w:rsidRDefault="00D30268" w:rsidP="0005719A">
            <w:pPr>
              <w:spacing w:after="0"/>
              <w:jc w:val="center"/>
              <w:rPr>
                <w:rFonts w:cs="Calibri Light"/>
                <w:sz w:val="16"/>
              </w:rPr>
            </w:pPr>
            <w:r w:rsidRPr="00D65DC8">
              <w:rPr>
                <w:rFonts w:cs="Calibri Light"/>
                <w:sz w:val="16"/>
                <w:szCs w:val="16"/>
              </w:rPr>
              <w:t>966.3</w:t>
            </w:r>
          </w:p>
        </w:tc>
        <w:tc>
          <w:tcPr>
            <w:tcW w:w="750" w:type="pct"/>
            <w:shd w:val="clear" w:color="auto" w:fill="auto"/>
            <w:vAlign w:val="center"/>
          </w:tcPr>
          <w:p w14:paraId="62AA390C" w14:textId="2DEEF693" w:rsidR="00F34546" w:rsidRPr="00F34546" w:rsidRDefault="00D30268" w:rsidP="0005719A">
            <w:pPr>
              <w:spacing w:after="0"/>
              <w:jc w:val="center"/>
              <w:rPr>
                <w:rFonts w:cs="Calibri Light"/>
                <w:sz w:val="16"/>
              </w:rPr>
            </w:pPr>
            <w:r w:rsidRPr="00D65DC8">
              <w:rPr>
                <w:rFonts w:cs="Calibri Light"/>
                <w:sz w:val="16"/>
                <w:szCs w:val="16"/>
              </w:rPr>
              <w:t>1,897.1</w:t>
            </w:r>
          </w:p>
        </w:tc>
        <w:tc>
          <w:tcPr>
            <w:tcW w:w="750" w:type="pct"/>
            <w:shd w:val="clear" w:color="auto" w:fill="auto"/>
            <w:vAlign w:val="center"/>
          </w:tcPr>
          <w:p w14:paraId="375B61F1" w14:textId="43764144" w:rsidR="00F34546" w:rsidRPr="00F34546" w:rsidRDefault="00D30268" w:rsidP="0005719A">
            <w:pPr>
              <w:spacing w:after="0"/>
              <w:jc w:val="center"/>
              <w:rPr>
                <w:rFonts w:cs="Calibri Light"/>
                <w:sz w:val="16"/>
              </w:rPr>
            </w:pPr>
            <w:r w:rsidRPr="00D65DC8">
              <w:rPr>
                <w:rFonts w:cs="Calibri Light"/>
                <w:sz w:val="16"/>
                <w:szCs w:val="16"/>
              </w:rPr>
              <w:t>2,594.2</w:t>
            </w:r>
          </w:p>
        </w:tc>
      </w:tr>
      <w:tr w:rsidR="00F34546" w:rsidRPr="005378B1" w14:paraId="0446EDBE" w14:textId="77777777" w:rsidTr="003075E0">
        <w:trPr>
          <w:trHeight w:val="284"/>
        </w:trPr>
        <w:tc>
          <w:tcPr>
            <w:tcW w:w="1250" w:type="pct"/>
            <w:shd w:val="clear" w:color="auto" w:fill="auto"/>
            <w:vAlign w:val="center"/>
            <w:hideMark/>
          </w:tcPr>
          <w:p w14:paraId="0DB20914" w14:textId="25260FA9" w:rsidR="00F34546" w:rsidRPr="00F34546" w:rsidRDefault="00F34546" w:rsidP="00F34546">
            <w:pPr>
              <w:spacing w:after="0"/>
              <w:rPr>
                <w:rFonts w:cs="Calibri Light"/>
                <w:sz w:val="16"/>
              </w:rPr>
            </w:pPr>
            <w:r w:rsidRPr="00F34546">
              <w:rPr>
                <w:rFonts w:cs="Calibri Light"/>
                <w:sz w:val="16"/>
                <w:szCs w:val="16"/>
              </w:rPr>
              <w:t>2025-26</w:t>
            </w:r>
          </w:p>
        </w:tc>
        <w:tc>
          <w:tcPr>
            <w:tcW w:w="750" w:type="pct"/>
            <w:shd w:val="clear" w:color="auto" w:fill="auto"/>
            <w:vAlign w:val="center"/>
          </w:tcPr>
          <w:p w14:paraId="02130DD9" w14:textId="2AB29BB5" w:rsidR="00F34546" w:rsidRPr="00F34546" w:rsidRDefault="00D30268" w:rsidP="0005719A">
            <w:pPr>
              <w:spacing w:after="0"/>
              <w:jc w:val="center"/>
              <w:rPr>
                <w:rFonts w:cs="Calibri Light"/>
                <w:sz w:val="16"/>
              </w:rPr>
            </w:pPr>
            <w:r w:rsidRPr="00D65DC8">
              <w:rPr>
                <w:rFonts w:cs="Calibri Light"/>
                <w:sz w:val="16"/>
                <w:szCs w:val="16"/>
              </w:rPr>
              <w:t>25.3</w:t>
            </w:r>
          </w:p>
        </w:tc>
        <w:tc>
          <w:tcPr>
            <w:tcW w:w="750" w:type="pct"/>
            <w:shd w:val="clear" w:color="auto" w:fill="auto"/>
            <w:vAlign w:val="center"/>
          </w:tcPr>
          <w:p w14:paraId="3006FF8C" w14:textId="210C259B" w:rsidR="00F34546" w:rsidRPr="00F34546" w:rsidRDefault="00D30268" w:rsidP="0005719A">
            <w:pPr>
              <w:spacing w:after="0"/>
              <w:jc w:val="center"/>
              <w:rPr>
                <w:rFonts w:cs="Calibri Light"/>
                <w:sz w:val="16"/>
              </w:rPr>
            </w:pPr>
            <w:r w:rsidRPr="00D65DC8">
              <w:rPr>
                <w:rFonts w:cs="Calibri Light"/>
                <w:sz w:val="16"/>
                <w:szCs w:val="16"/>
              </w:rPr>
              <w:t>81.1</w:t>
            </w:r>
          </w:p>
        </w:tc>
        <w:tc>
          <w:tcPr>
            <w:tcW w:w="750" w:type="pct"/>
            <w:shd w:val="clear" w:color="auto" w:fill="auto"/>
            <w:vAlign w:val="center"/>
          </w:tcPr>
          <w:p w14:paraId="17865CCE" w14:textId="6A0B5D49" w:rsidR="00F34546" w:rsidRPr="00F34546" w:rsidRDefault="00D30268" w:rsidP="0005719A">
            <w:pPr>
              <w:spacing w:after="0"/>
              <w:jc w:val="center"/>
              <w:rPr>
                <w:rFonts w:cs="Calibri Light"/>
                <w:sz w:val="16"/>
              </w:rPr>
            </w:pPr>
            <w:r w:rsidRPr="00D65DC8">
              <w:rPr>
                <w:rFonts w:cs="Calibri Light"/>
                <w:sz w:val="16"/>
                <w:szCs w:val="16"/>
              </w:rPr>
              <w:t>811.2</w:t>
            </w:r>
          </w:p>
        </w:tc>
        <w:tc>
          <w:tcPr>
            <w:tcW w:w="750" w:type="pct"/>
            <w:shd w:val="clear" w:color="auto" w:fill="auto"/>
            <w:vAlign w:val="center"/>
          </w:tcPr>
          <w:p w14:paraId="18A30522" w14:textId="51069947" w:rsidR="00F34546" w:rsidRPr="00F34546" w:rsidRDefault="00D30268" w:rsidP="0005719A">
            <w:pPr>
              <w:spacing w:after="0"/>
              <w:jc w:val="center"/>
              <w:rPr>
                <w:rFonts w:cs="Calibri Light"/>
                <w:sz w:val="16"/>
              </w:rPr>
            </w:pPr>
            <w:r w:rsidRPr="00D65DC8">
              <w:rPr>
                <w:rFonts w:cs="Calibri Light"/>
                <w:sz w:val="16"/>
                <w:szCs w:val="16"/>
              </w:rPr>
              <w:t>1,622.3</w:t>
            </w:r>
          </w:p>
        </w:tc>
        <w:tc>
          <w:tcPr>
            <w:tcW w:w="750" w:type="pct"/>
            <w:shd w:val="clear" w:color="auto" w:fill="auto"/>
            <w:vAlign w:val="center"/>
          </w:tcPr>
          <w:p w14:paraId="4108A8F7" w14:textId="053317E2" w:rsidR="00F34546" w:rsidRPr="00F34546" w:rsidRDefault="00D30268" w:rsidP="0005719A">
            <w:pPr>
              <w:spacing w:after="0"/>
              <w:jc w:val="center"/>
              <w:rPr>
                <w:rFonts w:cs="Calibri Light"/>
                <w:sz w:val="16"/>
              </w:rPr>
            </w:pPr>
            <w:r w:rsidRPr="00D65DC8">
              <w:rPr>
                <w:rFonts w:cs="Calibri Light"/>
                <w:sz w:val="16"/>
                <w:szCs w:val="16"/>
              </w:rPr>
              <w:t>2,335.8</w:t>
            </w:r>
          </w:p>
        </w:tc>
      </w:tr>
      <w:tr w:rsidR="00F34546" w:rsidRPr="005378B1" w14:paraId="3545B100" w14:textId="77777777" w:rsidTr="003075E0">
        <w:trPr>
          <w:trHeight w:val="284"/>
        </w:trPr>
        <w:tc>
          <w:tcPr>
            <w:tcW w:w="1250" w:type="pct"/>
            <w:shd w:val="clear" w:color="auto" w:fill="auto"/>
          </w:tcPr>
          <w:p w14:paraId="301B359E" w14:textId="4EEDCF7F" w:rsidR="00F34546" w:rsidRPr="00F34546" w:rsidRDefault="00F34546" w:rsidP="00F34546">
            <w:pPr>
              <w:spacing w:after="0"/>
              <w:rPr>
                <w:rFonts w:cs="Calibri Light"/>
                <w:sz w:val="16"/>
                <w:szCs w:val="16"/>
              </w:rPr>
            </w:pPr>
            <w:r w:rsidRPr="00F34546">
              <w:rPr>
                <w:rFonts w:cs="Calibri Light"/>
                <w:sz w:val="16"/>
                <w:szCs w:val="16"/>
              </w:rPr>
              <w:t>Change (%) 2025-26 v 2024-25</w:t>
            </w:r>
          </w:p>
        </w:tc>
        <w:tc>
          <w:tcPr>
            <w:tcW w:w="750" w:type="pct"/>
            <w:shd w:val="clear" w:color="auto" w:fill="auto"/>
            <w:vAlign w:val="center"/>
          </w:tcPr>
          <w:p w14:paraId="1EE4AC97" w14:textId="1427D979" w:rsidR="00F34546" w:rsidRPr="003D04CA" w:rsidRDefault="00D30268" w:rsidP="0005719A">
            <w:pPr>
              <w:spacing w:after="0"/>
              <w:jc w:val="center"/>
              <w:rPr>
                <w:rFonts w:cs="Calibri Light"/>
                <w:color w:val="C00000"/>
                <w:sz w:val="16"/>
                <w:szCs w:val="16"/>
              </w:rPr>
            </w:pPr>
            <w:r w:rsidRPr="003D04CA">
              <w:rPr>
                <w:rFonts w:cs="Calibri Light"/>
                <w:color w:val="C00000"/>
                <w:sz w:val="16"/>
                <w:szCs w:val="16"/>
              </w:rPr>
              <w:t>(2.5)</w:t>
            </w:r>
          </w:p>
        </w:tc>
        <w:tc>
          <w:tcPr>
            <w:tcW w:w="750" w:type="pct"/>
            <w:shd w:val="clear" w:color="auto" w:fill="auto"/>
            <w:vAlign w:val="center"/>
          </w:tcPr>
          <w:p w14:paraId="45BDED8E" w14:textId="57CEBC6A" w:rsidR="00F34546" w:rsidRPr="003D04CA" w:rsidRDefault="00D30268" w:rsidP="0005719A">
            <w:pPr>
              <w:spacing w:after="0"/>
              <w:jc w:val="center"/>
              <w:rPr>
                <w:rFonts w:cs="Calibri Light"/>
                <w:color w:val="C00000"/>
                <w:sz w:val="16"/>
                <w:szCs w:val="16"/>
              </w:rPr>
            </w:pPr>
            <w:r w:rsidRPr="003D04CA">
              <w:rPr>
                <w:rFonts w:cs="Calibri Light"/>
                <w:color w:val="C00000"/>
                <w:sz w:val="16"/>
                <w:szCs w:val="16"/>
              </w:rPr>
              <w:t>(16.1)</w:t>
            </w:r>
          </w:p>
        </w:tc>
        <w:tc>
          <w:tcPr>
            <w:tcW w:w="750" w:type="pct"/>
            <w:shd w:val="clear" w:color="auto" w:fill="auto"/>
            <w:vAlign w:val="center"/>
          </w:tcPr>
          <w:p w14:paraId="224F2C1E" w14:textId="311F16F6" w:rsidR="00F34546" w:rsidRPr="003D04CA" w:rsidRDefault="00D30268" w:rsidP="0005719A">
            <w:pPr>
              <w:spacing w:after="0"/>
              <w:jc w:val="center"/>
              <w:rPr>
                <w:rFonts w:cs="Calibri Light"/>
                <w:color w:val="C00000"/>
                <w:sz w:val="16"/>
                <w:szCs w:val="16"/>
              </w:rPr>
            </w:pPr>
            <w:r w:rsidRPr="003D04CA">
              <w:rPr>
                <w:rFonts w:cs="Calibri Light"/>
                <w:color w:val="C00000"/>
                <w:sz w:val="16"/>
                <w:szCs w:val="16"/>
              </w:rPr>
              <w:t>(16.1)</w:t>
            </w:r>
          </w:p>
        </w:tc>
        <w:tc>
          <w:tcPr>
            <w:tcW w:w="750" w:type="pct"/>
            <w:shd w:val="clear" w:color="auto" w:fill="auto"/>
            <w:vAlign w:val="center"/>
          </w:tcPr>
          <w:p w14:paraId="525C31F8" w14:textId="10C096CA" w:rsidR="00F34546" w:rsidRPr="003D04CA" w:rsidRDefault="00D30268" w:rsidP="0005719A">
            <w:pPr>
              <w:spacing w:after="0"/>
              <w:jc w:val="center"/>
              <w:rPr>
                <w:rFonts w:cs="Calibri Light"/>
                <w:color w:val="C00000"/>
                <w:sz w:val="16"/>
                <w:szCs w:val="16"/>
              </w:rPr>
            </w:pPr>
            <w:r w:rsidRPr="003D04CA">
              <w:rPr>
                <w:rFonts w:cs="Calibri Light"/>
                <w:color w:val="C00000"/>
                <w:sz w:val="16"/>
                <w:szCs w:val="16"/>
              </w:rPr>
              <w:t>(14.5)</w:t>
            </w:r>
          </w:p>
        </w:tc>
        <w:tc>
          <w:tcPr>
            <w:tcW w:w="750" w:type="pct"/>
            <w:shd w:val="clear" w:color="auto" w:fill="auto"/>
            <w:vAlign w:val="center"/>
          </w:tcPr>
          <w:p w14:paraId="35F5E457" w14:textId="4765786F" w:rsidR="00F34546" w:rsidRPr="003D04CA" w:rsidRDefault="00D30268" w:rsidP="0005719A">
            <w:pPr>
              <w:spacing w:after="0"/>
              <w:jc w:val="center"/>
              <w:rPr>
                <w:rFonts w:cs="Calibri Light"/>
                <w:color w:val="C00000"/>
                <w:sz w:val="16"/>
                <w:szCs w:val="16"/>
              </w:rPr>
            </w:pPr>
            <w:r w:rsidRPr="003D04CA">
              <w:rPr>
                <w:rFonts w:cs="Calibri Light"/>
                <w:color w:val="C00000"/>
                <w:sz w:val="16"/>
                <w:szCs w:val="16"/>
              </w:rPr>
              <w:t>(10.0)</w:t>
            </w:r>
          </w:p>
        </w:tc>
      </w:tr>
    </w:tbl>
    <w:p w14:paraId="4DA42D35" w14:textId="77777777" w:rsidR="00762E42" w:rsidRPr="005378B1" w:rsidRDefault="00762E42" w:rsidP="005378B1">
      <w:pPr>
        <w:pStyle w:val="SingleParagraph"/>
        <w:rPr>
          <w:rFonts w:ascii="Arial" w:hAnsi="Arial" w:cs="Arial"/>
        </w:rPr>
      </w:pPr>
    </w:p>
    <w:p w14:paraId="2E672CC9" w14:textId="5329FB50" w:rsidR="00762E42" w:rsidRPr="00097B21" w:rsidRDefault="003C6509" w:rsidP="005378B1">
      <w:pPr>
        <w:pStyle w:val="TableMainHeading"/>
        <w:rPr>
          <w:rFonts w:asciiTheme="minorHAnsi" w:hAnsiTheme="minorHAnsi" w:cstheme="minorHAnsi"/>
          <w:color w:val="auto"/>
        </w:rPr>
      </w:pPr>
      <w:bookmarkStart w:id="175" w:name="_Toc104212370"/>
      <w:bookmarkStart w:id="176" w:name="_Toc192616592"/>
      <w:bookmarkStart w:id="177" w:name="_Toc192616766"/>
      <w:r w:rsidRPr="00097B21">
        <w:rPr>
          <w:rFonts w:asciiTheme="minorHAnsi" w:hAnsiTheme="minorHAnsi" w:cstheme="minorHAnsi"/>
          <w:color w:val="auto"/>
        </w:rPr>
        <w:t xml:space="preserve">Table 14: Amounts levied on </w:t>
      </w:r>
      <w:r w:rsidR="00A13A51" w:rsidRPr="00097B21">
        <w:rPr>
          <w:rFonts w:asciiTheme="minorHAnsi" w:hAnsiTheme="minorHAnsi" w:cstheme="minorHAnsi"/>
          <w:color w:val="auto"/>
        </w:rPr>
        <w:t>G</w:t>
      </w:r>
      <w:r w:rsidR="00473716" w:rsidRPr="00097B21">
        <w:rPr>
          <w:rFonts w:asciiTheme="minorHAnsi" w:hAnsiTheme="minorHAnsi" w:cstheme="minorHAnsi"/>
          <w:color w:val="auto"/>
        </w:rPr>
        <w:t xml:space="preserve">eneral </w:t>
      </w:r>
      <w:r w:rsidRPr="00097B21">
        <w:rPr>
          <w:rFonts w:asciiTheme="minorHAnsi" w:hAnsiTheme="minorHAnsi" w:cstheme="minorHAnsi"/>
          <w:color w:val="auto"/>
        </w:rPr>
        <w:t>insurers</w:t>
      </w:r>
      <w:bookmarkEnd w:id="175"/>
      <w:bookmarkEnd w:id="176"/>
      <w:bookmarkEnd w:id="17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1128"/>
        <w:gridCol w:w="1127"/>
        <w:gridCol w:w="1127"/>
        <w:gridCol w:w="1127"/>
        <w:gridCol w:w="1127"/>
        <w:gridCol w:w="1127"/>
      </w:tblGrid>
      <w:tr w:rsidR="005378B1" w:rsidRPr="005378B1" w14:paraId="21CCE5DB" w14:textId="77777777" w:rsidTr="003075E0">
        <w:trPr>
          <w:cantSplit/>
          <w:trHeight w:val="284"/>
          <w:tblHeader/>
        </w:trPr>
        <w:tc>
          <w:tcPr>
            <w:tcW w:w="1267" w:type="pct"/>
            <w:shd w:val="clear" w:color="auto" w:fill="EEEEEE" w:themeFill="background2"/>
            <w:vAlign w:val="center"/>
            <w:hideMark/>
          </w:tcPr>
          <w:p w14:paraId="472DEF64" w14:textId="77777777" w:rsidR="00762E42" w:rsidRPr="005378B1" w:rsidRDefault="003C6509" w:rsidP="005378B1">
            <w:pPr>
              <w:spacing w:after="0"/>
              <w:rPr>
                <w:rFonts w:cs="Calibri Light"/>
                <w:b/>
                <w:sz w:val="16"/>
              </w:rPr>
            </w:pPr>
            <w:r w:rsidRPr="005378B1">
              <w:rPr>
                <w:rFonts w:cs="Calibri Light"/>
                <w:b/>
                <w:sz w:val="16"/>
              </w:rPr>
              <w:t>Asset base</w:t>
            </w:r>
          </w:p>
        </w:tc>
        <w:tc>
          <w:tcPr>
            <w:tcW w:w="622" w:type="pct"/>
            <w:shd w:val="clear" w:color="auto" w:fill="EEEEEE" w:themeFill="background2"/>
            <w:vAlign w:val="center"/>
            <w:hideMark/>
          </w:tcPr>
          <w:p w14:paraId="48459709" w14:textId="77777777" w:rsidR="00762E42" w:rsidRPr="005378B1" w:rsidRDefault="003C6509" w:rsidP="0005719A">
            <w:pPr>
              <w:spacing w:after="0"/>
              <w:jc w:val="center"/>
              <w:rPr>
                <w:rFonts w:cs="Calibri Light"/>
                <w:b/>
                <w:sz w:val="16"/>
              </w:rPr>
            </w:pPr>
            <w:r w:rsidRPr="005378B1">
              <w:rPr>
                <w:rFonts w:cs="Calibri Light"/>
                <w:b/>
                <w:sz w:val="16"/>
              </w:rPr>
              <w:t xml:space="preserve">$15m </w:t>
            </w:r>
            <w:r w:rsidRPr="005378B1">
              <w:rPr>
                <w:rFonts w:cs="Calibri Light"/>
                <w:b/>
                <w:sz w:val="16"/>
              </w:rPr>
              <w:br/>
              <w:t>($'000)</w:t>
            </w:r>
          </w:p>
        </w:tc>
        <w:tc>
          <w:tcPr>
            <w:tcW w:w="622" w:type="pct"/>
            <w:shd w:val="clear" w:color="auto" w:fill="EEEEEE" w:themeFill="background2"/>
            <w:vAlign w:val="center"/>
            <w:hideMark/>
          </w:tcPr>
          <w:p w14:paraId="30C00797" w14:textId="77777777" w:rsidR="00762E42" w:rsidRPr="005378B1" w:rsidRDefault="003C6509" w:rsidP="0005719A">
            <w:pPr>
              <w:spacing w:after="0"/>
              <w:jc w:val="center"/>
              <w:rPr>
                <w:rFonts w:cs="Calibri Light"/>
                <w:b/>
                <w:sz w:val="16"/>
              </w:rPr>
            </w:pPr>
            <w:r w:rsidRPr="005378B1">
              <w:rPr>
                <w:rFonts w:cs="Calibri Light"/>
                <w:b/>
                <w:sz w:val="16"/>
              </w:rPr>
              <w:t>$50m</w:t>
            </w:r>
            <w:r w:rsidRPr="005378B1">
              <w:rPr>
                <w:rFonts w:cs="Calibri Light"/>
                <w:b/>
                <w:sz w:val="16"/>
              </w:rPr>
              <w:br/>
              <w:t>($'000)</w:t>
            </w:r>
          </w:p>
        </w:tc>
        <w:tc>
          <w:tcPr>
            <w:tcW w:w="622" w:type="pct"/>
            <w:shd w:val="clear" w:color="auto" w:fill="EEEEEE" w:themeFill="background2"/>
            <w:vAlign w:val="center"/>
            <w:hideMark/>
          </w:tcPr>
          <w:p w14:paraId="51F00518" w14:textId="77777777" w:rsidR="00762E42" w:rsidRPr="005378B1" w:rsidRDefault="003C6509" w:rsidP="0005719A">
            <w:pPr>
              <w:spacing w:after="0"/>
              <w:jc w:val="center"/>
              <w:rPr>
                <w:rFonts w:cs="Calibri Light"/>
                <w:b/>
                <w:sz w:val="16"/>
              </w:rPr>
            </w:pPr>
            <w:r w:rsidRPr="005378B1">
              <w:rPr>
                <w:rFonts w:cs="Calibri Light"/>
                <w:b/>
                <w:sz w:val="16"/>
              </w:rPr>
              <w:t>$250m</w:t>
            </w:r>
            <w:r w:rsidRPr="005378B1">
              <w:rPr>
                <w:rFonts w:cs="Calibri Light"/>
                <w:b/>
                <w:sz w:val="16"/>
              </w:rPr>
              <w:br/>
              <w:t>($'000)</w:t>
            </w:r>
          </w:p>
        </w:tc>
        <w:tc>
          <w:tcPr>
            <w:tcW w:w="622" w:type="pct"/>
            <w:shd w:val="clear" w:color="auto" w:fill="EEEEEE" w:themeFill="background2"/>
            <w:vAlign w:val="center"/>
            <w:hideMark/>
          </w:tcPr>
          <w:p w14:paraId="00005060" w14:textId="77777777" w:rsidR="00762E42" w:rsidRPr="005378B1" w:rsidRDefault="003C6509" w:rsidP="0005719A">
            <w:pPr>
              <w:spacing w:after="0"/>
              <w:jc w:val="center"/>
              <w:rPr>
                <w:rFonts w:cs="Calibri Light"/>
                <w:b/>
                <w:sz w:val="16"/>
              </w:rPr>
            </w:pPr>
            <w:r w:rsidRPr="005378B1">
              <w:rPr>
                <w:rFonts w:cs="Calibri Light"/>
                <w:b/>
                <w:sz w:val="16"/>
              </w:rPr>
              <w:t>$1b</w:t>
            </w:r>
            <w:r w:rsidRPr="005378B1">
              <w:rPr>
                <w:rFonts w:cs="Calibri Light"/>
                <w:b/>
                <w:sz w:val="16"/>
              </w:rPr>
              <w:br/>
              <w:t>($'000)</w:t>
            </w:r>
          </w:p>
        </w:tc>
        <w:tc>
          <w:tcPr>
            <w:tcW w:w="622" w:type="pct"/>
            <w:shd w:val="clear" w:color="auto" w:fill="EEEEEE" w:themeFill="background2"/>
            <w:vAlign w:val="center"/>
            <w:hideMark/>
          </w:tcPr>
          <w:p w14:paraId="27182082" w14:textId="77777777" w:rsidR="00762E42" w:rsidRPr="005378B1" w:rsidRDefault="003C6509" w:rsidP="0005719A">
            <w:pPr>
              <w:spacing w:after="0"/>
              <w:jc w:val="center"/>
              <w:rPr>
                <w:rFonts w:cs="Calibri Light"/>
                <w:b/>
                <w:sz w:val="16"/>
              </w:rPr>
            </w:pPr>
            <w:r w:rsidRPr="005378B1">
              <w:rPr>
                <w:rFonts w:cs="Calibri Light"/>
                <w:b/>
                <w:sz w:val="16"/>
              </w:rPr>
              <w:t>$5b</w:t>
            </w:r>
            <w:r w:rsidRPr="005378B1">
              <w:rPr>
                <w:rFonts w:cs="Calibri Light"/>
                <w:b/>
                <w:sz w:val="16"/>
              </w:rPr>
              <w:br/>
              <w:t>($'000)</w:t>
            </w:r>
          </w:p>
        </w:tc>
        <w:tc>
          <w:tcPr>
            <w:tcW w:w="622" w:type="pct"/>
            <w:shd w:val="clear" w:color="auto" w:fill="EEEEEE" w:themeFill="background2"/>
            <w:vAlign w:val="center"/>
            <w:hideMark/>
          </w:tcPr>
          <w:p w14:paraId="63A3E674" w14:textId="77777777" w:rsidR="00762E42" w:rsidRPr="005378B1" w:rsidRDefault="003C6509" w:rsidP="0005719A">
            <w:pPr>
              <w:spacing w:after="0"/>
              <w:jc w:val="center"/>
              <w:rPr>
                <w:rFonts w:cs="Calibri Light"/>
                <w:b/>
                <w:sz w:val="16"/>
              </w:rPr>
            </w:pPr>
            <w:r w:rsidRPr="005378B1">
              <w:rPr>
                <w:rFonts w:cs="Calibri Light"/>
                <w:b/>
                <w:sz w:val="16"/>
              </w:rPr>
              <w:t>$15b</w:t>
            </w:r>
            <w:r w:rsidRPr="005378B1">
              <w:rPr>
                <w:rFonts w:cs="Calibri Light"/>
                <w:b/>
                <w:sz w:val="16"/>
              </w:rPr>
              <w:br/>
              <w:t>($'000)</w:t>
            </w:r>
          </w:p>
        </w:tc>
      </w:tr>
      <w:tr w:rsidR="00F34546" w:rsidRPr="005378B1" w14:paraId="7E828012" w14:textId="77777777" w:rsidTr="003075E0">
        <w:trPr>
          <w:trHeight w:val="284"/>
        </w:trPr>
        <w:tc>
          <w:tcPr>
            <w:tcW w:w="1267" w:type="pct"/>
            <w:shd w:val="clear" w:color="auto" w:fill="auto"/>
            <w:vAlign w:val="center"/>
            <w:hideMark/>
          </w:tcPr>
          <w:p w14:paraId="4C9AC3BF" w14:textId="07716198" w:rsidR="00F34546" w:rsidRPr="00F34546" w:rsidRDefault="00F34546" w:rsidP="00F34546">
            <w:pPr>
              <w:spacing w:after="0"/>
              <w:rPr>
                <w:rFonts w:cs="Calibri Light"/>
                <w:sz w:val="16"/>
              </w:rPr>
            </w:pPr>
            <w:r w:rsidRPr="00F34546">
              <w:rPr>
                <w:rFonts w:cs="Calibri Light"/>
                <w:sz w:val="16"/>
                <w:szCs w:val="16"/>
              </w:rPr>
              <w:t>2023-24</w:t>
            </w:r>
          </w:p>
        </w:tc>
        <w:tc>
          <w:tcPr>
            <w:tcW w:w="622" w:type="pct"/>
            <w:shd w:val="clear" w:color="auto" w:fill="auto"/>
            <w:vAlign w:val="center"/>
            <w:hideMark/>
          </w:tcPr>
          <w:p w14:paraId="68545146" w14:textId="0A505AB5" w:rsidR="00F34546" w:rsidRPr="00F34546" w:rsidRDefault="00D30268" w:rsidP="0005719A">
            <w:pPr>
              <w:spacing w:after="0"/>
              <w:jc w:val="center"/>
              <w:rPr>
                <w:rFonts w:cs="Calibri Light"/>
                <w:sz w:val="16"/>
              </w:rPr>
            </w:pPr>
            <w:r w:rsidRPr="00D65DC8">
              <w:rPr>
                <w:rFonts w:cs="Calibri Light"/>
                <w:sz w:val="16"/>
                <w:szCs w:val="16"/>
              </w:rPr>
              <w:t>23.5</w:t>
            </w:r>
          </w:p>
        </w:tc>
        <w:tc>
          <w:tcPr>
            <w:tcW w:w="622" w:type="pct"/>
            <w:shd w:val="clear" w:color="auto" w:fill="auto"/>
            <w:vAlign w:val="center"/>
            <w:hideMark/>
          </w:tcPr>
          <w:p w14:paraId="05BED0EF" w14:textId="47B47C2A" w:rsidR="00F34546" w:rsidRPr="00F34546" w:rsidRDefault="00D30268" w:rsidP="0005719A">
            <w:pPr>
              <w:spacing w:after="0"/>
              <w:jc w:val="center"/>
              <w:rPr>
                <w:rFonts w:cs="Calibri Light"/>
                <w:sz w:val="16"/>
              </w:rPr>
            </w:pPr>
            <w:r w:rsidRPr="00D65DC8">
              <w:rPr>
                <w:rFonts w:cs="Calibri Light"/>
                <w:sz w:val="16"/>
                <w:szCs w:val="16"/>
              </w:rPr>
              <w:t>25.8</w:t>
            </w:r>
          </w:p>
        </w:tc>
        <w:tc>
          <w:tcPr>
            <w:tcW w:w="622" w:type="pct"/>
            <w:shd w:val="clear" w:color="auto" w:fill="auto"/>
            <w:vAlign w:val="center"/>
            <w:hideMark/>
          </w:tcPr>
          <w:p w14:paraId="046226E3" w14:textId="720C29C0" w:rsidR="00F34546" w:rsidRPr="00F34546" w:rsidRDefault="00D30268" w:rsidP="0005719A">
            <w:pPr>
              <w:spacing w:after="0"/>
              <w:jc w:val="center"/>
              <w:rPr>
                <w:rFonts w:cs="Calibri Light"/>
                <w:sz w:val="16"/>
              </w:rPr>
            </w:pPr>
            <w:r w:rsidRPr="00D65DC8">
              <w:rPr>
                <w:rFonts w:cs="Calibri Light"/>
                <w:sz w:val="16"/>
                <w:szCs w:val="16"/>
              </w:rPr>
              <w:t>46.4</w:t>
            </w:r>
          </w:p>
        </w:tc>
        <w:tc>
          <w:tcPr>
            <w:tcW w:w="622" w:type="pct"/>
            <w:shd w:val="clear" w:color="auto" w:fill="auto"/>
            <w:vAlign w:val="center"/>
            <w:hideMark/>
          </w:tcPr>
          <w:p w14:paraId="447A7F92" w14:textId="57AAAA6D" w:rsidR="00F34546" w:rsidRPr="00F34546" w:rsidRDefault="00D30268" w:rsidP="0005719A">
            <w:pPr>
              <w:spacing w:after="0"/>
              <w:jc w:val="center"/>
              <w:rPr>
                <w:rFonts w:cs="Calibri Light"/>
                <w:sz w:val="16"/>
              </w:rPr>
            </w:pPr>
            <w:r w:rsidRPr="00D65DC8">
              <w:rPr>
                <w:rFonts w:cs="Calibri Light"/>
                <w:sz w:val="16"/>
                <w:szCs w:val="16"/>
              </w:rPr>
              <w:t>185.5</w:t>
            </w:r>
          </w:p>
        </w:tc>
        <w:tc>
          <w:tcPr>
            <w:tcW w:w="622" w:type="pct"/>
            <w:shd w:val="clear" w:color="auto" w:fill="auto"/>
            <w:vAlign w:val="center"/>
            <w:hideMark/>
          </w:tcPr>
          <w:p w14:paraId="2A7CEB38" w14:textId="49590538" w:rsidR="00F34546" w:rsidRPr="00F34546" w:rsidRDefault="00D30268" w:rsidP="0005719A">
            <w:pPr>
              <w:spacing w:after="0"/>
              <w:jc w:val="center"/>
              <w:rPr>
                <w:rFonts w:cs="Calibri Light"/>
                <w:sz w:val="16"/>
              </w:rPr>
            </w:pPr>
            <w:r w:rsidRPr="00D65DC8">
              <w:rPr>
                <w:rFonts w:cs="Calibri Light"/>
                <w:sz w:val="16"/>
                <w:szCs w:val="16"/>
              </w:rPr>
              <w:t>927.7</w:t>
            </w:r>
          </w:p>
        </w:tc>
        <w:tc>
          <w:tcPr>
            <w:tcW w:w="622" w:type="pct"/>
            <w:shd w:val="clear" w:color="auto" w:fill="auto"/>
            <w:vAlign w:val="center"/>
            <w:hideMark/>
          </w:tcPr>
          <w:p w14:paraId="15587B65" w14:textId="772A0537" w:rsidR="00F34546" w:rsidRPr="00F34546" w:rsidRDefault="00D30268" w:rsidP="0005719A">
            <w:pPr>
              <w:spacing w:after="0"/>
              <w:jc w:val="center"/>
              <w:rPr>
                <w:rFonts w:cs="Calibri Light"/>
                <w:sz w:val="16"/>
              </w:rPr>
            </w:pPr>
            <w:r w:rsidRPr="00D65DC8">
              <w:rPr>
                <w:rFonts w:cs="Calibri Light"/>
                <w:sz w:val="16"/>
                <w:szCs w:val="16"/>
              </w:rPr>
              <w:t>2,441.0</w:t>
            </w:r>
          </w:p>
        </w:tc>
      </w:tr>
      <w:tr w:rsidR="00F34546" w:rsidRPr="005378B1" w14:paraId="6BF63CAB" w14:textId="77777777" w:rsidTr="003075E0">
        <w:trPr>
          <w:trHeight w:val="284"/>
        </w:trPr>
        <w:tc>
          <w:tcPr>
            <w:tcW w:w="1267" w:type="pct"/>
            <w:shd w:val="clear" w:color="auto" w:fill="auto"/>
            <w:vAlign w:val="center"/>
            <w:hideMark/>
          </w:tcPr>
          <w:p w14:paraId="6F781D16" w14:textId="0488D7E5" w:rsidR="00F34546" w:rsidRPr="00F34546" w:rsidRDefault="00F34546" w:rsidP="00F34546">
            <w:pPr>
              <w:spacing w:after="0"/>
              <w:rPr>
                <w:rFonts w:cs="Calibri Light"/>
                <w:sz w:val="16"/>
              </w:rPr>
            </w:pPr>
            <w:r w:rsidRPr="00F34546">
              <w:rPr>
                <w:rFonts w:cs="Calibri Light"/>
                <w:sz w:val="16"/>
                <w:szCs w:val="16"/>
              </w:rPr>
              <w:t>2024-25</w:t>
            </w:r>
          </w:p>
        </w:tc>
        <w:tc>
          <w:tcPr>
            <w:tcW w:w="622" w:type="pct"/>
            <w:shd w:val="clear" w:color="auto" w:fill="auto"/>
            <w:vAlign w:val="center"/>
          </w:tcPr>
          <w:p w14:paraId="6E00BA38" w14:textId="221700F3" w:rsidR="00F34546" w:rsidRPr="00F34546" w:rsidRDefault="00D30268" w:rsidP="0005719A">
            <w:pPr>
              <w:spacing w:after="0"/>
              <w:jc w:val="center"/>
              <w:rPr>
                <w:rFonts w:cs="Calibri Light"/>
                <w:sz w:val="16"/>
              </w:rPr>
            </w:pPr>
            <w:r w:rsidRPr="00D65DC8">
              <w:rPr>
                <w:rFonts w:cs="Calibri Light"/>
                <w:sz w:val="16"/>
                <w:szCs w:val="16"/>
              </w:rPr>
              <w:t>24.1</w:t>
            </w:r>
          </w:p>
        </w:tc>
        <w:tc>
          <w:tcPr>
            <w:tcW w:w="622" w:type="pct"/>
            <w:shd w:val="clear" w:color="auto" w:fill="auto"/>
            <w:vAlign w:val="center"/>
          </w:tcPr>
          <w:p w14:paraId="2CF4DF78" w14:textId="678C2864" w:rsidR="00F34546" w:rsidRPr="00F34546" w:rsidRDefault="00D30268" w:rsidP="0005719A">
            <w:pPr>
              <w:spacing w:after="0"/>
              <w:jc w:val="center"/>
              <w:rPr>
                <w:rFonts w:cs="Calibri Light"/>
                <w:sz w:val="16"/>
              </w:rPr>
            </w:pPr>
            <w:r w:rsidRPr="00D65DC8">
              <w:rPr>
                <w:rFonts w:cs="Calibri Light"/>
                <w:sz w:val="16"/>
                <w:szCs w:val="16"/>
              </w:rPr>
              <w:t>27.7</w:t>
            </w:r>
          </w:p>
        </w:tc>
        <w:tc>
          <w:tcPr>
            <w:tcW w:w="622" w:type="pct"/>
            <w:shd w:val="clear" w:color="auto" w:fill="auto"/>
            <w:vAlign w:val="center"/>
          </w:tcPr>
          <w:p w14:paraId="492DD270" w14:textId="06F6746D" w:rsidR="00F34546" w:rsidRPr="00F34546" w:rsidRDefault="00D30268" w:rsidP="0005719A">
            <w:pPr>
              <w:spacing w:after="0"/>
              <w:jc w:val="center"/>
              <w:rPr>
                <w:rFonts w:cs="Calibri Light"/>
                <w:sz w:val="16"/>
              </w:rPr>
            </w:pPr>
            <w:r w:rsidRPr="00D65DC8">
              <w:rPr>
                <w:rFonts w:cs="Calibri Light"/>
                <w:sz w:val="16"/>
                <w:szCs w:val="16"/>
              </w:rPr>
              <w:t>61.0</w:t>
            </w:r>
          </w:p>
        </w:tc>
        <w:tc>
          <w:tcPr>
            <w:tcW w:w="622" w:type="pct"/>
            <w:shd w:val="clear" w:color="auto" w:fill="auto"/>
            <w:vAlign w:val="center"/>
          </w:tcPr>
          <w:p w14:paraId="7DEEF657" w14:textId="37DD22E2" w:rsidR="00F34546" w:rsidRPr="00F34546" w:rsidRDefault="00D30268" w:rsidP="0005719A">
            <w:pPr>
              <w:spacing w:after="0"/>
              <w:jc w:val="center"/>
              <w:rPr>
                <w:rFonts w:cs="Calibri Light"/>
                <w:sz w:val="16"/>
              </w:rPr>
            </w:pPr>
            <w:r w:rsidRPr="00D65DC8">
              <w:rPr>
                <w:rFonts w:cs="Calibri Light"/>
                <w:sz w:val="16"/>
                <w:szCs w:val="16"/>
              </w:rPr>
              <w:t>244.2</w:t>
            </w:r>
          </w:p>
        </w:tc>
        <w:tc>
          <w:tcPr>
            <w:tcW w:w="622" w:type="pct"/>
            <w:shd w:val="clear" w:color="auto" w:fill="auto"/>
            <w:vAlign w:val="center"/>
          </w:tcPr>
          <w:p w14:paraId="536D57C6" w14:textId="3990152A" w:rsidR="00F34546" w:rsidRPr="00F34546" w:rsidRDefault="00D30268" w:rsidP="0005719A">
            <w:pPr>
              <w:spacing w:after="0"/>
              <w:jc w:val="center"/>
              <w:rPr>
                <w:rFonts w:cs="Calibri Light"/>
                <w:sz w:val="16"/>
              </w:rPr>
            </w:pPr>
            <w:r w:rsidRPr="00D65DC8">
              <w:rPr>
                <w:rFonts w:cs="Calibri Light"/>
                <w:sz w:val="16"/>
                <w:szCs w:val="16"/>
              </w:rPr>
              <w:t>1,220.9</w:t>
            </w:r>
          </w:p>
        </w:tc>
        <w:tc>
          <w:tcPr>
            <w:tcW w:w="622" w:type="pct"/>
            <w:shd w:val="clear" w:color="auto" w:fill="auto"/>
            <w:vAlign w:val="center"/>
          </w:tcPr>
          <w:p w14:paraId="24CD1DA0" w14:textId="6788B6A9" w:rsidR="00F34546" w:rsidRPr="00F34546" w:rsidRDefault="00D30268" w:rsidP="0005719A">
            <w:pPr>
              <w:spacing w:after="0"/>
              <w:jc w:val="center"/>
              <w:rPr>
                <w:rFonts w:cs="Calibri Light"/>
                <w:sz w:val="16"/>
              </w:rPr>
            </w:pPr>
            <w:r w:rsidRPr="00D65DC8">
              <w:rPr>
                <w:rFonts w:cs="Calibri Light"/>
                <w:sz w:val="16"/>
                <w:szCs w:val="16"/>
              </w:rPr>
              <w:t>3,171.5</w:t>
            </w:r>
          </w:p>
        </w:tc>
      </w:tr>
      <w:tr w:rsidR="00F34546" w:rsidRPr="005378B1" w14:paraId="63F8810D" w14:textId="77777777" w:rsidTr="003075E0">
        <w:trPr>
          <w:trHeight w:val="284"/>
        </w:trPr>
        <w:tc>
          <w:tcPr>
            <w:tcW w:w="1267" w:type="pct"/>
            <w:shd w:val="clear" w:color="auto" w:fill="auto"/>
            <w:vAlign w:val="center"/>
            <w:hideMark/>
          </w:tcPr>
          <w:p w14:paraId="60825924" w14:textId="7BF56528" w:rsidR="00F34546" w:rsidRPr="00F34546" w:rsidRDefault="00F34546" w:rsidP="00F34546">
            <w:pPr>
              <w:spacing w:after="0"/>
              <w:rPr>
                <w:rFonts w:cs="Calibri Light"/>
                <w:sz w:val="16"/>
              </w:rPr>
            </w:pPr>
            <w:r w:rsidRPr="00F34546">
              <w:rPr>
                <w:rFonts w:cs="Calibri Light"/>
                <w:sz w:val="16"/>
                <w:szCs w:val="16"/>
              </w:rPr>
              <w:t>2025-26</w:t>
            </w:r>
          </w:p>
        </w:tc>
        <w:tc>
          <w:tcPr>
            <w:tcW w:w="622" w:type="pct"/>
            <w:shd w:val="clear" w:color="auto" w:fill="auto"/>
            <w:vAlign w:val="center"/>
          </w:tcPr>
          <w:p w14:paraId="03A29F03" w14:textId="02D45966" w:rsidR="00F34546" w:rsidRPr="00F34546" w:rsidRDefault="00D30268" w:rsidP="0005719A">
            <w:pPr>
              <w:spacing w:after="0"/>
              <w:jc w:val="center"/>
              <w:rPr>
                <w:rFonts w:cs="Calibri Light"/>
                <w:sz w:val="16"/>
              </w:rPr>
            </w:pPr>
            <w:r w:rsidRPr="00D65DC8">
              <w:rPr>
                <w:rFonts w:cs="Calibri Light"/>
                <w:sz w:val="16"/>
                <w:szCs w:val="16"/>
              </w:rPr>
              <w:t>23.8</w:t>
            </w:r>
          </w:p>
        </w:tc>
        <w:tc>
          <w:tcPr>
            <w:tcW w:w="622" w:type="pct"/>
            <w:shd w:val="clear" w:color="auto" w:fill="auto"/>
            <w:vAlign w:val="center"/>
          </w:tcPr>
          <w:p w14:paraId="10BADCE8" w14:textId="27765607" w:rsidR="00F34546" w:rsidRPr="00F34546" w:rsidRDefault="00D30268" w:rsidP="0005719A">
            <w:pPr>
              <w:spacing w:after="0"/>
              <w:jc w:val="center"/>
              <w:rPr>
                <w:rFonts w:cs="Calibri Light"/>
                <w:sz w:val="16"/>
              </w:rPr>
            </w:pPr>
            <w:r w:rsidRPr="00D65DC8">
              <w:rPr>
                <w:rFonts w:cs="Calibri Light"/>
                <w:sz w:val="16"/>
                <w:szCs w:val="16"/>
              </w:rPr>
              <w:t>26.7</w:t>
            </w:r>
          </w:p>
        </w:tc>
        <w:tc>
          <w:tcPr>
            <w:tcW w:w="622" w:type="pct"/>
            <w:shd w:val="clear" w:color="auto" w:fill="auto"/>
            <w:vAlign w:val="center"/>
          </w:tcPr>
          <w:p w14:paraId="6BB96734" w14:textId="01CF1853" w:rsidR="00F34546" w:rsidRPr="00F34546" w:rsidRDefault="00D30268" w:rsidP="0005719A">
            <w:pPr>
              <w:spacing w:after="0"/>
              <w:jc w:val="center"/>
              <w:rPr>
                <w:rFonts w:cs="Calibri Light"/>
                <w:sz w:val="16"/>
              </w:rPr>
            </w:pPr>
            <w:r w:rsidRPr="00D65DC8">
              <w:rPr>
                <w:rFonts w:cs="Calibri Light"/>
                <w:sz w:val="16"/>
                <w:szCs w:val="16"/>
              </w:rPr>
              <w:t>51.7</w:t>
            </w:r>
          </w:p>
        </w:tc>
        <w:tc>
          <w:tcPr>
            <w:tcW w:w="622" w:type="pct"/>
            <w:shd w:val="clear" w:color="auto" w:fill="auto"/>
            <w:vAlign w:val="center"/>
          </w:tcPr>
          <w:p w14:paraId="42B91533" w14:textId="00E4E11A" w:rsidR="00F34546" w:rsidRPr="00F34546" w:rsidRDefault="00D30268" w:rsidP="0005719A">
            <w:pPr>
              <w:spacing w:after="0"/>
              <w:jc w:val="center"/>
              <w:rPr>
                <w:rFonts w:cs="Calibri Light"/>
                <w:sz w:val="16"/>
              </w:rPr>
            </w:pPr>
            <w:r w:rsidRPr="00D65DC8">
              <w:rPr>
                <w:rFonts w:cs="Calibri Light"/>
                <w:sz w:val="16"/>
                <w:szCs w:val="16"/>
              </w:rPr>
              <w:t>206.9</w:t>
            </w:r>
          </w:p>
        </w:tc>
        <w:tc>
          <w:tcPr>
            <w:tcW w:w="622" w:type="pct"/>
            <w:shd w:val="clear" w:color="auto" w:fill="auto"/>
            <w:vAlign w:val="center"/>
          </w:tcPr>
          <w:p w14:paraId="516F212A" w14:textId="679C57B8" w:rsidR="00F34546" w:rsidRPr="00F34546" w:rsidRDefault="00D30268" w:rsidP="0005719A">
            <w:pPr>
              <w:spacing w:after="0"/>
              <w:jc w:val="center"/>
              <w:rPr>
                <w:rFonts w:cs="Calibri Light"/>
                <w:sz w:val="16"/>
              </w:rPr>
            </w:pPr>
            <w:r w:rsidRPr="00D65DC8">
              <w:rPr>
                <w:rFonts w:cs="Calibri Light"/>
                <w:sz w:val="16"/>
                <w:szCs w:val="16"/>
              </w:rPr>
              <w:t>1,034.5</w:t>
            </w:r>
          </w:p>
        </w:tc>
        <w:tc>
          <w:tcPr>
            <w:tcW w:w="622" w:type="pct"/>
            <w:shd w:val="clear" w:color="auto" w:fill="auto"/>
            <w:vAlign w:val="center"/>
          </w:tcPr>
          <w:p w14:paraId="2F5827B8" w14:textId="73DE244C" w:rsidR="00F34546" w:rsidRPr="00F34546" w:rsidRDefault="00D30268" w:rsidP="0005719A">
            <w:pPr>
              <w:spacing w:after="0"/>
              <w:jc w:val="center"/>
              <w:rPr>
                <w:rFonts w:cs="Calibri Light"/>
                <w:sz w:val="16"/>
              </w:rPr>
            </w:pPr>
            <w:r w:rsidRPr="00D65DC8">
              <w:rPr>
                <w:rFonts w:cs="Calibri Light"/>
                <w:sz w:val="16"/>
                <w:szCs w:val="16"/>
              </w:rPr>
              <w:t>2,852.6</w:t>
            </w:r>
          </w:p>
        </w:tc>
      </w:tr>
      <w:tr w:rsidR="00F34546" w:rsidRPr="005378B1" w14:paraId="3C9DBAB0" w14:textId="77777777" w:rsidTr="003075E0">
        <w:trPr>
          <w:trHeight w:val="219"/>
        </w:trPr>
        <w:tc>
          <w:tcPr>
            <w:tcW w:w="1267" w:type="pct"/>
            <w:shd w:val="clear" w:color="auto" w:fill="auto"/>
          </w:tcPr>
          <w:p w14:paraId="4F7BCD4D" w14:textId="12FA2158" w:rsidR="00F34546" w:rsidRPr="00F34546" w:rsidRDefault="00F34546" w:rsidP="00F34546">
            <w:pPr>
              <w:spacing w:after="0"/>
              <w:rPr>
                <w:rFonts w:cs="Calibri Light"/>
                <w:sz w:val="16"/>
                <w:szCs w:val="16"/>
              </w:rPr>
            </w:pPr>
            <w:r w:rsidRPr="00F34546">
              <w:rPr>
                <w:rFonts w:cs="Calibri Light"/>
                <w:sz w:val="16"/>
                <w:szCs w:val="16"/>
              </w:rPr>
              <w:t>Change (%) 2025-26 v 2024-25</w:t>
            </w:r>
          </w:p>
        </w:tc>
        <w:tc>
          <w:tcPr>
            <w:tcW w:w="622" w:type="pct"/>
            <w:shd w:val="clear" w:color="auto" w:fill="auto"/>
            <w:vAlign w:val="center"/>
          </w:tcPr>
          <w:p w14:paraId="5B7FED4B" w14:textId="2C236B60" w:rsidR="00F34546" w:rsidRPr="003D04CA" w:rsidRDefault="00D30268" w:rsidP="0005719A">
            <w:pPr>
              <w:spacing w:after="0"/>
              <w:jc w:val="center"/>
              <w:rPr>
                <w:rFonts w:cs="Calibri Light"/>
                <w:color w:val="C00000"/>
                <w:sz w:val="16"/>
                <w:szCs w:val="16"/>
              </w:rPr>
            </w:pPr>
            <w:r w:rsidRPr="003D04CA">
              <w:rPr>
                <w:rFonts w:cs="Calibri Light"/>
                <w:color w:val="C00000"/>
                <w:sz w:val="16"/>
                <w:szCs w:val="16"/>
              </w:rPr>
              <w:t>(1.3)</w:t>
            </w:r>
          </w:p>
        </w:tc>
        <w:tc>
          <w:tcPr>
            <w:tcW w:w="622" w:type="pct"/>
            <w:shd w:val="clear" w:color="auto" w:fill="auto"/>
            <w:vAlign w:val="center"/>
          </w:tcPr>
          <w:p w14:paraId="55BF4CC8" w14:textId="65DB0DC6" w:rsidR="00F34546" w:rsidRPr="003D04CA" w:rsidRDefault="00D30268" w:rsidP="0005719A">
            <w:pPr>
              <w:spacing w:after="0"/>
              <w:jc w:val="center"/>
              <w:rPr>
                <w:rFonts w:cs="Calibri Light"/>
                <w:color w:val="C00000"/>
                <w:sz w:val="16"/>
                <w:szCs w:val="16"/>
              </w:rPr>
            </w:pPr>
            <w:r w:rsidRPr="003D04CA">
              <w:rPr>
                <w:rFonts w:cs="Calibri Light"/>
                <w:color w:val="C00000"/>
                <w:sz w:val="16"/>
                <w:szCs w:val="16"/>
              </w:rPr>
              <w:t>(3.8)</w:t>
            </w:r>
          </w:p>
        </w:tc>
        <w:tc>
          <w:tcPr>
            <w:tcW w:w="622" w:type="pct"/>
            <w:shd w:val="clear" w:color="auto" w:fill="auto"/>
            <w:vAlign w:val="center"/>
          </w:tcPr>
          <w:p w14:paraId="26F17C22" w14:textId="1FAC6536" w:rsidR="00F34546" w:rsidRPr="003D04CA" w:rsidRDefault="00D30268" w:rsidP="0005719A">
            <w:pPr>
              <w:spacing w:after="0"/>
              <w:jc w:val="center"/>
              <w:rPr>
                <w:rFonts w:cs="Calibri Light"/>
                <w:color w:val="C00000"/>
                <w:sz w:val="16"/>
                <w:szCs w:val="16"/>
              </w:rPr>
            </w:pPr>
            <w:r w:rsidRPr="003D04CA">
              <w:rPr>
                <w:rFonts w:cs="Calibri Light"/>
                <w:color w:val="C00000"/>
                <w:sz w:val="16"/>
                <w:szCs w:val="16"/>
              </w:rPr>
              <w:t>(15.3)</w:t>
            </w:r>
          </w:p>
        </w:tc>
        <w:tc>
          <w:tcPr>
            <w:tcW w:w="622" w:type="pct"/>
            <w:shd w:val="clear" w:color="auto" w:fill="auto"/>
            <w:vAlign w:val="center"/>
          </w:tcPr>
          <w:p w14:paraId="1933F846" w14:textId="33B37AE5" w:rsidR="00F34546" w:rsidRPr="003D04CA" w:rsidRDefault="00D30268" w:rsidP="0005719A">
            <w:pPr>
              <w:spacing w:after="0"/>
              <w:jc w:val="center"/>
              <w:rPr>
                <w:rFonts w:cs="Calibri Light"/>
                <w:color w:val="C00000"/>
                <w:sz w:val="16"/>
                <w:szCs w:val="16"/>
              </w:rPr>
            </w:pPr>
            <w:r w:rsidRPr="003D04CA">
              <w:rPr>
                <w:rFonts w:cs="Calibri Light"/>
                <w:color w:val="C00000"/>
                <w:sz w:val="16"/>
                <w:szCs w:val="16"/>
              </w:rPr>
              <w:t>(15.3)</w:t>
            </w:r>
          </w:p>
        </w:tc>
        <w:tc>
          <w:tcPr>
            <w:tcW w:w="622" w:type="pct"/>
            <w:shd w:val="clear" w:color="auto" w:fill="auto"/>
            <w:vAlign w:val="center"/>
          </w:tcPr>
          <w:p w14:paraId="79C859B0" w14:textId="077E7877" w:rsidR="00F34546" w:rsidRPr="003D04CA" w:rsidRDefault="00D30268" w:rsidP="0005719A">
            <w:pPr>
              <w:spacing w:after="0"/>
              <w:jc w:val="center"/>
              <w:rPr>
                <w:rFonts w:cs="Calibri Light"/>
                <w:color w:val="C00000"/>
                <w:sz w:val="16"/>
                <w:szCs w:val="16"/>
              </w:rPr>
            </w:pPr>
            <w:r w:rsidRPr="003D04CA">
              <w:rPr>
                <w:rFonts w:cs="Calibri Light"/>
                <w:color w:val="C00000"/>
                <w:sz w:val="16"/>
                <w:szCs w:val="16"/>
              </w:rPr>
              <w:t>(15.3)</w:t>
            </w:r>
          </w:p>
        </w:tc>
        <w:tc>
          <w:tcPr>
            <w:tcW w:w="622" w:type="pct"/>
            <w:shd w:val="clear" w:color="auto" w:fill="auto"/>
            <w:vAlign w:val="center"/>
          </w:tcPr>
          <w:p w14:paraId="1625A0FD" w14:textId="19E01578" w:rsidR="00F34546" w:rsidRPr="003D04CA" w:rsidRDefault="00D30268" w:rsidP="0005719A">
            <w:pPr>
              <w:spacing w:after="0"/>
              <w:jc w:val="center"/>
              <w:rPr>
                <w:rFonts w:cs="Calibri Light"/>
                <w:color w:val="C00000"/>
                <w:sz w:val="16"/>
                <w:szCs w:val="16"/>
              </w:rPr>
            </w:pPr>
            <w:r w:rsidRPr="003D04CA">
              <w:rPr>
                <w:rFonts w:cs="Calibri Light"/>
                <w:color w:val="C00000"/>
                <w:sz w:val="16"/>
                <w:szCs w:val="16"/>
              </w:rPr>
              <w:t>(10.1)</w:t>
            </w:r>
          </w:p>
        </w:tc>
      </w:tr>
    </w:tbl>
    <w:p w14:paraId="0A0FD54C" w14:textId="55F9E1FE" w:rsidR="00762E42" w:rsidRPr="005378B1" w:rsidRDefault="00762E42" w:rsidP="005378B1">
      <w:pPr>
        <w:pStyle w:val="SingleParagraph"/>
        <w:rPr>
          <w:rFonts w:ascii="Arial" w:hAnsi="Arial" w:cs="Arial"/>
        </w:rPr>
      </w:pPr>
    </w:p>
    <w:p w14:paraId="48A8981B" w14:textId="77777777" w:rsidR="00FA1575" w:rsidRDefault="00FA1575">
      <w:pPr>
        <w:spacing w:before="0" w:after="160" w:line="259" w:lineRule="auto"/>
        <w:rPr>
          <w:rFonts w:asciiTheme="minorHAnsi" w:hAnsiTheme="minorHAnsi" w:cstheme="minorHAnsi"/>
          <w:kern w:val="32"/>
          <w:sz w:val="26"/>
          <w:szCs w:val="26"/>
        </w:rPr>
      </w:pPr>
      <w:bookmarkStart w:id="178" w:name="_Toc104212371"/>
      <w:r>
        <w:rPr>
          <w:rFonts w:asciiTheme="minorHAnsi" w:hAnsiTheme="minorHAnsi" w:cstheme="minorHAnsi"/>
        </w:rPr>
        <w:br w:type="page"/>
      </w:r>
    </w:p>
    <w:p w14:paraId="1C76728B" w14:textId="1FE25376" w:rsidR="00762E42" w:rsidRPr="00097B21" w:rsidRDefault="003C6509" w:rsidP="005378B1">
      <w:pPr>
        <w:pStyle w:val="TableMainHeading"/>
        <w:rPr>
          <w:rFonts w:asciiTheme="minorHAnsi" w:hAnsiTheme="minorHAnsi" w:cstheme="minorHAnsi"/>
          <w:color w:val="auto"/>
        </w:rPr>
      </w:pPr>
      <w:bookmarkStart w:id="179" w:name="_Toc192616593"/>
      <w:bookmarkStart w:id="180" w:name="_Toc192616767"/>
      <w:r w:rsidRPr="00097B21">
        <w:rPr>
          <w:rFonts w:asciiTheme="minorHAnsi" w:hAnsiTheme="minorHAnsi" w:cstheme="minorHAnsi"/>
          <w:color w:val="auto"/>
        </w:rPr>
        <w:lastRenderedPageBreak/>
        <w:t xml:space="preserve">Table 15: Amounts levied on </w:t>
      </w:r>
      <w:r w:rsidR="00FF2C36" w:rsidRPr="00097B21">
        <w:rPr>
          <w:rFonts w:asciiTheme="minorHAnsi" w:hAnsiTheme="minorHAnsi" w:cstheme="minorHAnsi"/>
          <w:color w:val="auto"/>
        </w:rPr>
        <w:t>S</w:t>
      </w:r>
      <w:r w:rsidR="00473716" w:rsidRPr="00097B21">
        <w:rPr>
          <w:rFonts w:asciiTheme="minorHAnsi" w:hAnsiTheme="minorHAnsi" w:cstheme="minorHAnsi"/>
          <w:color w:val="auto"/>
        </w:rPr>
        <w:t xml:space="preserve">uperannuation </w:t>
      </w:r>
      <w:r w:rsidRPr="00097B21">
        <w:rPr>
          <w:rFonts w:asciiTheme="minorHAnsi" w:hAnsiTheme="minorHAnsi" w:cstheme="minorHAnsi"/>
          <w:color w:val="auto"/>
        </w:rPr>
        <w:t>funds (excluding SAFs and PSTs)</w:t>
      </w:r>
      <w:bookmarkEnd w:id="178"/>
      <w:bookmarkEnd w:id="179"/>
      <w:bookmarkEnd w:id="18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966"/>
        <w:gridCol w:w="968"/>
        <w:gridCol w:w="966"/>
        <w:gridCol w:w="968"/>
        <w:gridCol w:w="966"/>
        <w:gridCol w:w="968"/>
        <w:gridCol w:w="966"/>
      </w:tblGrid>
      <w:tr w:rsidR="005378B1" w:rsidRPr="005378B1" w14:paraId="14AF7D10" w14:textId="77777777" w:rsidTr="003075E0">
        <w:trPr>
          <w:cantSplit/>
          <w:trHeight w:val="284"/>
          <w:tblHeader/>
        </w:trPr>
        <w:tc>
          <w:tcPr>
            <w:tcW w:w="1265" w:type="pct"/>
            <w:shd w:val="clear" w:color="auto" w:fill="EEEEEE" w:themeFill="background2"/>
            <w:vAlign w:val="center"/>
            <w:hideMark/>
          </w:tcPr>
          <w:p w14:paraId="0714FF3D" w14:textId="77777777" w:rsidR="00762E42" w:rsidRPr="005378B1" w:rsidRDefault="003C6509" w:rsidP="005378B1">
            <w:pPr>
              <w:spacing w:after="0"/>
              <w:rPr>
                <w:rFonts w:cs="Calibri Light"/>
                <w:b/>
                <w:sz w:val="16"/>
              </w:rPr>
            </w:pPr>
            <w:r w:rsidRPr="005378B1">
              <w:rPr>
                <w:rFonts w:cs="Calibri Light"/>
                <w:b/>
                <w:sz w:val="16"/>
              </w:rPr>
              <w:t>Asset base</w:t>
            </w:r>
          </w:p>
        </w:tc>
        <w:tc>
          <w:tcPr>
            <w:tcW w:w="533" w:type="pct"/>
            <w:shd w:val="clear" w:color="auto" w:fill="EEEEEE" w:themeFill="background2"/>
            <w:vAlign w:val="center"/>
            <w:hideMark/>
          </w:tcPr>
          <w:p w14:paraId="4B90783D" w14:textId="77777777" w:rsidR="00762E42" w:rsidRPr="005378B1" w:rsidRDefault="003C6509" w:rsidP="0005719A">
            <w:pPr>
              <w:spacing w:after="0"/>
              <w:jc w:val="center"/>
              <w:rPr>
                <w:rFonts w:cs="Calibri Light"/>
                <w:b/>
                <w:sz w:val="16"/>
              </w:rPr>
            </w:pPr>
            <w:r w:rsidRPr="005378B1">
              <w:rPr>
                <w:rFonts w:cs="Calibri Light"/>
                <w:b/>
                <w:sz w:val="16"/>
              </w:rPr>
              <w:t>$5m</w:t>
            </w:r>
            <w:r w:rsidRPr="005378B1">
              <w:rPr>
                <w:rFonts w:cs="Calibri Light"/>
                <w:b/>
                <w:sz w:val="16"/>
              </w:rPr>
              <w:br/>
              <w:t>($'000)</w:t>
            </w:r>
          </w:p>
        </w:tc>
        <w:tc>
          <w:tcPr>
            <w:tcW w:w="534" w:type="pct"/>
            <w:shd w:val="clear" w:color="auto" w:fill="EEEEEE" w:themeFill="background2"/>
            <w:vAlign w:val="center"/>
            <w:hideMark/>
          </w:tcPr>
          <w:p w14:paraId="00619508" w14:textId="77777777" w:rsidR="00762E42" w:rsidRPr="005378B1" w:rsidRDefault="003C6509" w:rsidP="0005719A">
            <w:pPr>
              <w:spacing w:after="0"/>
              <w:jc w:val="center"/>
              <w:rPr>
                <w:rFonts w:cs="Calibri Light"/>
                <w:b/>
                <w:sz w:val="16"/>
              </w:rPr>
            </w:pPr>
            <w:r w:rsidRPr="005378B1">
              <w:rPr>
                <w:rFonts w:cs="Calibri Light"/>
                <w:b/>
                <w:sz w:val="16"/>
              </w:rPr>
              <w:t>$50m</w:t>
            </w:r>
            <w:r w:rsidRPr="005378B1">
              <w:rPr>
                <w:rFonts w:cs="Calibri Light"/>
                <w:b/>
                <w:sz w:val="16"/>
              </w:rPr>
              <w:br/>
              <w:t>($'000)</w:t>
            </w:r>
          </w:p>
        </w:tc>
        <w:tc>
          <w:tcPr>
            <w:tcW w:w="533" w:type="pct"/>
            <w:shd w:val="clear" w:color="auto" w:fill="EEEEEE" w:themeFill="background2"/>
            <w:vAlign w:val="center"/>
            <w:hideMark/>
          </w:tcPr>
          <w:p w14:paraId="3A9EF15B" w14:textId="77777777" w:rsidR="00762E42" w:rsidRPr="005378B1" w:rsidRDefault="003C6509" w:rsidP="0005719A">
            <w:pPr>
              <w:spacing w:after="0"/>
              <w:jc w:val="center"/>
              <w:rPr>
                <w:rFonts w:cs="Calibri Light"/>
                <w:b/>
                <w:sz w:val="16"/>
              </w:rPr>
            </w:pPr>
            <w:r w:rsidRPr="005378B1">
              <w:rPr>
                <w:rFonts w:cs="Calibri Light"/>
                <w:b/>
                <w:sz w:val="16"/>
              </w:rPr>
              <w:t>$250m</w:t>
            </w:r>
            <w:r w:rsidRPr="005378B1">
              <w:rPr>
                <w:rFonts w:cs="Calibri Light"/>
                <w:b/>
                <w:sz w:val="16"/>
              </w:rPr>
              <w:br/>
              <w:t>($'000)</w:t>
            </w:r>
          </w:p>
        </w:tc>
        <w:tc>
          <w:tcPr>
            <w:tcW w:w="534" w:type="pct"/>
            <w:shd w:val="clear" w:color="auto" w:fill="EEEEEE" w:themeFill="background2"/>
            <w:vAlign w:val="center"/>
            <w:hideMark/>
          </w:tcPr>
          <w:p w14:paraId="7E9DF24B" w14:textId="77777777" w:rsidR="00762E42" w:rsidRPr="005378B1" w:rsidRDefault="003C6509" w:rsidP="0005719A">
            <w:pPr>
              <w:spacing w:after="0"/>
              <w:jc w:val="center"/>
              <w:rPr>
                <w:rFonts w:cs="Calibri Light"/>
                <w:b/>
                <w:sz w:val="16"/>
              </w:rPr>
            </w:pPr>
            <w:r w:rsidRPr="005378B1">
              <w:rPr>
                <w:rFonts w:cs="Calibri Light"/>
                <w:b/>
                <w:sz w:val="16"/>
              </w:rPr>
              <w:t>$1b</w:t>
            </w:r>
            <w:r w:rsidRPr="005378B1">
              <w:rPr>
                <w:rFonts w:cs="Calibri Light"/>
                <w:b/>
                <w:sz w:val="16"/>
              </w:rPr>
              <w:br/>
              <w:t>($'000)</w:t>
            </w:r>
          </w:p>
        </w:tc>
        <w:tc>
          <w:tcPr>
            <w:tcW w:w="533" w:type="pct"/>
            <w:shd w:val="clear" w:color="auto" w:fill="EEEEEE" w:themeFill="background2"/>
            <w:vAlign w:val="center"/>
            <w:hideMark/>
          </w:tcPr>
          <w:p w14:paraId="0C65255B" w14:textId="77777777" w:rsidR="00762E42" w:rsidRPr="005378B1" w:rsidRDefault="003C6509" w:rsidP="0005719A">
            <w:pPr>
              <w:spacing w:after="0"/>
              <w:jc w:val="center"/>
              <w:rPr>
                <w:rFonts w:cs="Calibri Light"/>
                <w:b/>
                <w:sz w:val="16"/>
              </w:rPr>
            </w:pPr>
            <w:r w:rsidRPr="005378B1">
              <w:rPr>
                <w:rFonts w:cs="Calibri Light"/>
                <w:b/>
                <w:sz w:val="16"/>
              </w:rPr>
              <w:t>$20b</w:t>
            </w:r>
            <w:r w:rsidRPr="005378B1">
              <w:rPr>
                <w:rFonts w:cs="Calibri Light"/>
                <w:b/>
                <w:sz w:val="16"/>
              </w:rPr>
              <w:br/>
              <w:t>($'000)</w:t>
            </w:r>
          </w:p>
        </w:tc>
        <w:tc>
          <w:tcPr>
            <w:tcW w:w="534" w:type="pct"/>
            <w:shd w:val="clear" w:color="auto" w:fill="EEEEEE" w:themeFill="background2"/>
            <w:vAlign w:val="center"/>
            <w:hideMark/>
          </w:tcPr>
          <w:p w14:paraId="1F56BC26" w14:textId="77777777" w:rsidR="00762E42" w:rsidRPr="005378B1" w:rsidRDefault="003C6509" w:rsidP="0005719A">
            <w:pPr>
              <w:spacing w:after="0"/>
              <w:jc w:val="center"/>
              <w:rPr>
                <w:rFonts w:cs="Calibri Light"/>
                <w:b/>
                <w:sz w:val="16"/>
              </w:rPr>
            </w:pPr>
            <w:r w:rsidRPr="005378B1">
              <w:rPr>
                <w:rFonts w:cs="Calibri Light"/>
                <w:b/>
                <w:sz w:val="16"/>
              </w:rPr>
              <w:t>$50b</w:t>
            </w:r>
            <w:r w:rsidRPr="005378B1">
              <w:rPr>
                <w:rFonts w:cs="Calibri Light"/>
                <w:b/>
                <w:sz w:val="16"/>
              </w:rPr>
              <w:br/>
              <w:t>($'000)</w:t>
            </w:r>
          </w:p>
        </w:tc>
        <w:tc>
          <w:tcPr>
            <w:tcW w:w="533" w:type="pct"/>
            <w:shd w:val="clear" w:color="auto" w:fill="EEEEEE" w:themeFill="background2"/>
            <w:vAlign w:val="center"/>
            <w:hideMark/>
          </w:tcPr>
          <w:p w14:paraId="5D7CB819" w14:textId="77777777" w:rsidR="00762E42" w:rsidRPr="005378B1" w:rsidRDefault="003C6509" w:rsidP="0005719A">
            <w:pPr>
              <w:spacing w:after="0"/>
              <w:jc w:val="center"/>
              <w:rPr>
                <w:rFonts w:cs="Calibri Light"/>
                <w:b/>
                <w:sz w:val="16"/>
              </w:rPr>
            </w:pPr>
            <w:r w:rsidRPr="005378B1">
              <w:rPr>
                <w:rFonts w:cs="Calibri Light"/>
                <w:b/>
                <w:sz w:val="16"/>
              </w:rPr>
              <w:t>$100b</w:t>
            </w:r>
            <w:r w:rsidRPr="005378B1">
              <w:rPr>
                <w:rFonts w:cs="Calibri Light"/>
                <w:b/>
                <w:sz w:val="16"/>
              </w:rPr>
              <w:br/>
              <w:t>($'000)</w:t>
            </w:r>
          </w:p>
        </w:tc>
      </w:tr>
      <w:tr w:rsidR="00D77AE6" w:rsidRPr="005378B1" w14:paraId="3B0FFD01" w14:textId="77777777" w:rsidTr="003075E0">
        <w:trPr>
          <w:trHeight w:val="284"/>
        </w:trPr>
        <w:tc>
          <w:tcPr>
            <w:tcW w:w="1265" w:type="pct"/>
            <w:shd w:val="clear" w:color="auto" w:fill="auto"/>
            <w:vAlign w:val="center"/>
            <w:hideMark/>
          </w:tcPr>
          <w:p w14:paraId="2B5D8A75" w14:textId="0A026E40" w:rsidR="00D77AE6" w:rsidRPr="00D601F7" w:rsidRDefault="00D77AE6" w:rsidP="00D77AE6">
            <w:pPr>
              <w:spacing w:after="0"/>
              <w:rPr>
                <w:rFonts w:cs="Calibri Light"/>
                <w:sz w:val="16"/>
              </w:rPr>
            </w:pPr>
            <w:r w:rsidRPr="00D601F7">
              <w:rPr>
                <w:rFonts w:cs="Calibri Light"/>
                <w:sz w:val="16"/>
                <w:szCs w:val="16"/>
              </w:rPr>
              <w:t>2023-24</w:t>
            </w:r>
          </w:p>
        </w:tc>
        <w:tc>
          <w:tcPr>
            <w:tcW w:w="533" w:type="pct"/>
            <w:shd w:val="clear" w:color="auto" w:fill="auto"/>
            <w:vAlign w:val="center"/>
            <w:hideMark/>
          </w:tcPr>
          <w:p w14:paraId="3E957475" w14:textId="36FA5C65" w:rsidR="00D77AE6" w:rsidRPr="00D77AE6" w:rsidRDefault="00D77AE6" w:rsidP="00D77AE6">
            <w:pPr>
              <w:spacing w:after="0"/>
              <w:jc w:val="center"/>
              <w:rPr>
                <w:rFonts w:cs="Calibri Light"/>
                <w:sz w:val="16"/>
              </w:rPr>
            </w:pPr>
            <w:r w:rsidRPr="00336F58">
              <w:rPr>
                <w:rFonts w:cs="Calibri Light"/>
                <w:sz w:val="16"/>
                <w:szCs w:val="16"/>
              </w:rPr>
              <w:t>12.7</w:t>
            </w:r>
          </w:p>
        </w:tc>
        <w:tc>
          <w:tcPr>
            <w:tcW w:w="534" w:type="pct"/>
            <w:shd w:val="clear" w:color="auto" w:fill="auto"/>
            <w:vAlign w:val="center"/>
            <w:hideMark/>
          </w:tcPr>
          <w:p w14:paraId="06A19110" w14:textId="3DB75A85" w:rsidR="00D77AE6" w:rsidRPr="00D77AE6" w:rsidRDefault="00D77AE6" w:rsidP="00D77AE6">
            <w:pPr>
              <w:spacing w:after="0"/>
              <w:jc w:val="center"/>
              <w:rPr>
                <w:rFonts w:cs="Calibri Light"/>
                <w:sz w:val="16"/>
              </w:rPr>
            </w:pPr>
            <w:r w:rsidRPr="00336F58">
              <w:rPr>
                <w:rFonts w:cs="Calibri Light"/>
                <w:sz w:val="16"/>
                <w:szCs w:val="16"/>
              </w:rPr>
              <w:t>14.1</w:t>
            </w:r>
          </w:p>
        </w:tc>
        <w:tc>
          <w:tcPr>
            <w:tcW w:w="533" w:type="pct"/>
            <w:shd w:val="clear" w:color="auto" w:fill="auto"/>
            <w:vAlign w:val="center"/>
            <w:hideMark/>
          </w:tcPr>
          <w:p w14:paraId="7F46BD25" w14:textId="3E187343" w:rsidR="00D77AE6" w:rsidRPr="00D77AE6" w:rsidRDefault="00D77AE6" w:rsidP="00D77AE6">
            <w:pPr>
              <w:spacing w:after="0"/>
              <w:jc w:val="center"/>
              <w:rPr>
                <w:rFonts w:cs="Calibri Light"/>
                <w:sz w:val="16"/>
              </w:rPr>
            </w:pPr>
            <w:r w:rsidRPr="00336F58">
              <w:rPr>
                <w:rFonts w:cs="Calibri Light"/>
                <w:sz w:val="16"/>
                <w:szCs w:val="16"/>
              </w:rPr>
              <w:t>28.9</w:t>
            </w:r>
          </w:p>
        </w:tc>
        <w:tc>
          <w:tcPr>
            <w:tcW w:w="534" w:type="pct"/>
            <w:shd w:val="clear" w:color="auto" w:fill="auto"/>
            <w:vAlign w:val="center"/>
            <w:hideMark/>
          </w:tcPr>
          <w:p w14:paraId="57D32655" w14:textId="4B0AAE1A" w:rsidR="00D77AE6" w:rsidRPr="00D77AE6" w:rsidRDefault="00D77AE6" w:rsidP="00D77AE6">
            <w:pPr>
              <w:spacing w:after="0"/>
              <w:jc w:val="center"/>
              <w:rPr>
                <w:rFonts w:cs="Calibri Light"/>
                <w:sz w:val="16"/>
              </w:rPr>
            </w:pPr>
            <w:r w:rsidRPr="00336F58">
              <w:rPr>
                <w:rFonts w:cs="Calibri Light"/>
                <w:sz w:val="16"/>
                <w:szCs w:val="16"/>
              </w:rPr>
              <w:t>115.7</w:t>
            </w:r>
          </w:p>
        </w:tc>
        <w:tc>
          <w:tcPr>
            <w:tcW w:w="533" w:type="pct"/>
            <w:shd w:val="clear" w:color="auto" w:fill="auto"/>
            <w:vAlign w:val="center"/>
            <w:hideMark/>
          </w:tcPr>
          <w:p w14:paraId="5A726850" w14:textId="73C5F056" w:rsidR="00D77AE6" w:rsidRPr="00D77AE6" w:rsidRDefault="00D77AE6" w:rsidP="00D77AE6">
            <w:pPr>
              <w:spacing w:after="0"/>
              <w:jc w:val="center"/>
              <w:rPr>
                <w:rFonts w:cs="Calibri Light"/>
                <w:sz w:val="16"/>
              </w:rPr>
            </w:pPr>
            <w:r w:rsidRPr="00336F58">
              <w:rPr>
                <w:rFonts w:cs="Calibri Light"/>
                <w:sz w:val="16"/>
                <w:szCs w:val="16"/>
              </w:rPr>
              <w:t>1,433.5</w:t>
            </w:r>
          </w:p>
        </w:tc>
        <w:tc>
          <w:tcPr>
            <w:tcW w:w="534" w:type="pct"/>
            <w:shd w:val="clear" w:color="auto" w:fill="auto"/>
            <w:vAlign w:val="center"/>
            <w:hideMark/>
          </w:tcPr>
          <w:p w14:paraId="7218B24E" w14:textId="0BA20BBB" w:rsidR="00D77AE6" w:rsidRPr="00D77AE6" w:rsidRDefault="00D77AE6" w:rsidP="00D77AE6">
            <w:pPr>
              <w:spacing w:after="0"/>
              <w:jc w:val="center"/>
              <w:rPr>
                <w:rFonts w:cs="Calibri Light"/>
                <w:sz w:val="16"/>
              </w:rPr>
            </w:pPr>
            <w:r w:rsidRPr="00336F58">
              <w:rPr>
                <w:rFonts w:cs="Calibri Light"/>
                <w:sz w:val="16"/>
                <w:szCs w:val="16"/>
              </w:rPr>
              <w:t>2,383.7</w:t>
            </w:r>
          </w:p>
        </w:tc>
        <w:tc>
          <w:tcPr>
            <w:tcW w:w="533" w:type="pct"/>
            <w:shd w:val="clear" w:color="auto" w:fill="auto"/>
            <w:vAlign w:val="center"/>
            <w:hideMark/>
          </w:tcPr>
          <w:p w14:paraId="387D5418" w14:textId="62A8BB68" w:rsidR="00D77AE6" w:rsidRPr="00D77AE6" w:rsidRDefault="00D77AE6" w:rsidP="00D77AE6">
            <w:pPr>
              <w:spacing w:after="0"/>
              <w:jc w:val="center"/>
              <w:rPr>
                <w:rFonts w:cs="Calibri Light"/>
                <w:sz w:val="16"/>
              </w:rPr>
            </w:pPr>
            <w:r w:rsidRPr="00336F58">
              <w:rPr>
                <w:rFonts w:cs="Calibri Light"/>
                <w:sz w:val="16"/>
                <w:szCs w:val="16"/>
              </w:rPr>
              <w:t>3,967.5</w:t>
            </w:r>
          </w:p>
        </w:tc>
      </w:tr>
      <w:tr w:rsidR="00D77AE6" w:rsidRPr="005378B1" w14:paraId="712D107A" w14:textId="77777777" w:rsidTr="003075E0">
        <w:trPr>
          <w:trHeight w:val="284"/>
        </w:trPr>
        <w:tc>
          <w:tcPr>
            <w:tcW w:w="1265" w:type="pct"/>
            <w:shd w:val="clear" w:color="auto" w:fill="auto"/>
            <w:vAlign w:val="center"/>
            <w:hideMark/>
          </w:tcPr>
          <w:p w14:paraId="6F69D27F" w14:textId="2AAE0667" w:rsidR="00D77AE6" w:rsidRPr="00D601F7" w:rsidRDefault="00D77AE6" w:rsidP="00D77AE6">
            <w:pPr>
              <w:spacing w:after="0"/>
              <w:rPr>
                <w:rFonts w:cs="Calibri Light"/>
                <w:sz w:val="16"/>
              </w:rPr>
            </w:pPr>
            <w:r w:rsidRPr="00D601F7">
              <w:rPr>
                <w:rFonts w:cs="Calibri Light"/>
                <w:sz w:val="16"/>
                <w:szCs w:val="16"/>
              </w:rPr>
              <w:t>2024-25</w:t>
            </w:r>
          </w:p>
        </w:tc>
        <w:tc>
          <w:tcPr>
            <w:tcW w:w="533" w:type="pct"/>
            <w:shd w:val="clear" w:color="auto" w:fill="auto"/>
            <w:vAlign w:val="center"/>
          </w:tcPr>
          <w:p w14:paraId="49BD48BF" w14:textId="7E2A60A4" w:rsidR="00D77AE6" w:rsidRPr="00D77AE6" w:rsidRDefault="00D77AE6" w:rsidP="00D77AE6">
            <w:pPr>
              <w:spacing w:after="0"/>
              <w:jc w:val="center"/>
              <w:rPr>
                <w:rFonts w:cs="Calibri Light"/>
                <w:sz w:val="16"/>
              </w:rPr>
            </w:pPr>
            <w:r w:rsidRPr="00336F58">
              <w:rPr>
                <w:rFonts w:cs="Calibri Light"/>
                <w:sz w:val="16"/>
                <w:szCs w:val="16"/>
              </w:rPr>
              <w:t>12.7</w:t>
            </w:r>
          </w:p>
        </w:tc>
        <w:tc>
          <w:tcPr>
            <w:tcW w:w="534" w:type="pct"/>
            <w:shd w:val="clear" w:color="auto" w:fill="auto"/>
            <w:vAlign w:val="center"/>
          </w:tcPr>
          <w:p w14:paraId="7D9CB5E7" w14:textId="3ACA67F1" w:rsidR="00D77AE6" w:rsidRPr="00D77AE6" w:rsidRDefault="00D77AE6" w:rsidP="00D77AE6">
            <w:pPr>
              <w:spacing w:after="0"/>
              <w:jc w:val="center"/>
              <w:rPr>
                <w:rFonts w:cs="Calibri Light"/>
                <w:sz w:val="16"/>
              </w:rPr>
            </w:pPr>
            <w:r w:rsidRPr="00336F58">
              <w:rPr>
                <w:rFonts w:cs="Calibri Light"/>
                <w:sz w:val="16"/>
                <w:szCs w:val="16"/>
              </w:rPr>
              <w:t>14.1</w:t>
            </w:r>
          </w:p>
        </w:tc>
        <w:tc>
          <w:tcPr>
            <w:tcW w:w="533" w:type="pct"/>
            <w:shd w:val="clear" w:color="auto" w:fill="auto"/>
            <w:vAlign w:val="center"/>
          </w:tcPr>
          <w:p w14:paraId="7FFB5C0B" w14:textId="020265D7" w:rsidR="00D77AE6" w:rsidRPr="00D77AE6" w:rsidRDefault="00D77AE6" w:rsidP="00D77AE6">
            <w:pPr>
              <w:spacing w:after="0"/>
              <w:jc w:val="center"/>
              <w:rPr>
                <w:rFonts w:cs="Calibri Light"/>
                <w:sz w:val="16"/>
              </w:rPr>
            </w:pPr>
            <w:r w:rsidRPr="00336F58">
              <w:rPr>
                <w:rFonts w:cs="Calibri Light"/>
                <w:sz w:val="16"/>
                <w:szCs w:val="16"/>
              </w:rPr>
              <w:t>27.6</w:t>
            </w:r>
          </w:p>
        </w:tc>
        <w:tc>
          <w:tcPr>
            <w:tcW w:w="534" w:type="pct"/>
            <w:shd w:val="clear" w:color="auto" w:fill="auto"/>
            <w:vAlign w:val="center"/>
          </w:tcPr>
          <w:p w14:paraId="69071F62" w14:textId="3109A20D" w:rsidR="00D77AE6" w:rsidRPr="00D77AE6" w:rsidRDefault="00D77AE6" w:rsidP="00D77AE6">
            <w:pPr>
              <w:spacing w:after="0"/>
              <w:jc w:val="center"/>
              <w:rPr>
                <w:rFonts w:cs="Calibri Light"/>
                <w:sz w:val="16"/>
              </w:rPr>
            </w:pPr>
            <w:r w:rsidRPr="00336F58">
              <w:rPr>
                <w:rFonts w:cs="Calibri Light"/>
                <w:sz w:val="16"/>
                <w:szCs w:val="16"/>
              </w:rPr>
              <w:t>110.4</w:t>
            </w:r>
          </w:p>
        </w:tc>
        <w:tc>
          <w:tcPr>
            <w:tcW w:w="533" w:type="pct"/>
            <w:shd w:val="clear" w:color="auto" w:fill="auto"/>
            <w:vAlign w:val="center"/>
          </w:tcPr>
          <w:p w14:paraId="514BE983" w14:textId="599AA85C" w:rsidR="00D77AE6" w:rsidRPr="00D77AE6" w:rsidRDefault="00D77AE6" w:rsidP="00D77AE6">
            <w:pPr>
              <w:spacing w:after="0"/>
              <w:jc w:val="center"/>
              <w:rPr>
                <w:rFonts w:cs="Calibri Light"/>
                <w:sz w:val="16"/>
              </w:rPr>
            </w:pPr>
            <w:r w:rsidRPr="00336F58">
              <w:rPr>
                <w:rFonts w:cs="Calibri Light"/>
                <w:sz w:val="16"/>
                <w:szCs w:val="16"/>
              </w:rPr>
              <w:t>1,554.4</w:t>
            </w:r>
          </w:p>
        </w:tc>
        <w:tc>
          <w:tcPr>
            <w:tcW w:w="534" w:type="pct"/>
            <w:shd w:val="clear" w:color="auto" w:fill="auto"/>
            <w:vAlign w:val="center"/>
          </w:tcPr>
          <w:p w14:paraId="684A2A8B" w14:textId="1D39C7E3" w:rsidR="00D77AE6" w:rsidRPr="00D77AE6" w:rsidRDefault="00D77AE6" w:rsidP="00D77AE6">
            <w:pPr>
              <w:spacing w:after="0"/>
              <w:jc w:val="center"/>
              <w:rPr>
                <w:rFonts w:cs="Calibri Light"/>
                <w:sz w:val="16"/>
              </w:rPr>
            </w:pPr>
            <w:r w:rsidRPr="00336F58">
              <w:rPr>
                <w:rFonts w:cs="Calibri Light"/>
                <w:sz w:val="16"/>
                <w:szCs w:val="16"/>
              </w:rPr>
              <w:t>2,535.9</w:t>
            </w:r>
          </w:p>
        </w:tc>
        <w:tc>
          <w:tcPr>
            <w:tcW w:w="533" w:type="pct"/>
            <w:shd w:val="clear" w:color="auto" w:fill="auto"/>
            <w:vAlign w:val="center"/>
          </w:tcPr>
          <w:p w14:paraId="004EFC2E" w14:textId="4CB6099C" w:rsidR="00D77AE6" w:rsidRPr="00D77AE6" w:rsidRDefault="00D77AE6" w:rsidP="00D77AE6">
            <w:pPr>
              <w:spacing w:after="0"/>
              <w:jc w:val="center"/>
              <w:rPr>
                <w:rFonts w:cs="Calibri Light"/>
                <w:sz w:val="16"/>
              </w:rPr>
            </w:pPr>
            <w:r w:rsidRPr="00336F58">
              <w:rPr>
                <w:rFonts w:cs="Calibri Light"/>
                <w:sz w:val="16"/>
                <w:szCs w:val="16"/>
              </w:rPr>
              <w:t>4,171.8</w:t>
            </w:r>
          </w:p>
        </w:tc>
      </w:tr>
      <w:tr w:rsidR="00D77AE6" w:rsidRPr="005378B1" w14:paraId="553C06F4" w14:textId="77777777" w:rsidTr="003075E0">
        <w:trPr>
          <w:trHeight w:val="284"/>
        </w:trPr>
        <w:tc>
          <w:tcPr>
            <w:tcW w:w="1265" w:type="pct"/>
            <w:shd w:val="clear" w:color="auto" w:fill="auto"/>
            <w:vAlign w:val="center"/>
            <w:hideMark/>
          </w:tcPr>
          <w:p w14:paraId="68DE191F" w14:textId="168D1F91" w:rsidR="00D77AE6" w:rsidRPr="00D601F7" w:rsidRDefault="00D77AE6" w:rsidP="00D77AE6">
            <w:pPr>
              <w:spacing w:after="0"/>
              <w:rPr>
                <w:rFonts w:cs="Calibri Light"/>
                <w:sz w:val="16"/>
              </w:rPr>
            </w:pPr>
            <w:r w:rsidRPr="00D601F7">
              <w:rPr>
                <w:rFonts w:cs="Calibri Light"/>
                <w:sz w:val="16"/>
                <w:szCs w:val="16"/>
              </w:rPr>
              <w:t>2025-26</w:t>
            </w:r>
          </w:p>
        </w:tc>
        <w:tc>
          <w:tcPr>
            <w:tcW w:w="533" w:type="pct"/>
            <w:shd w:val="clear" w:color="auto" w:fill="auto"/>
            <w:vAlign w:val="center"/>
          </w:tcPr>
          <w:p w14:paraId="2B76ABC8" w14:textId="7E9B7DB6" w:rsidR="00D77AE6" w:rsidRPr="00D77AE6" w:rsidRDefault="00D77AE6" w:rsidP="00D77AE6">
            <w:pPr>
              <w:spacing w:after="0"/>
              <w:jc w:val="center"/>
              <w:rPr>
                <w:rFonts w:cs="Calibri Light"/>
                <w:sz w:val="16"/>
              </w:rPr>
            </w:pPr>
            <w:r w:rsidRPr="00336F58">
              <w:rPr>
                <w:rFonts w:cs="Calibri Light"/>
                <w:sz w:val="16"/>
                <w:szCs w:val="16"/>
              </w:rPr>
              <w:t>12.6</w:t>
            </w:r>
          </w:p>
        </w:tc>
        <w:tc>
          <w:tcPr>
            <w:tcW w:w="534" w:type="pct"/>
            <w:shd w:val="clear" w:color="auto" w:fill="auto"/>
            <w:vAlign w:val="center"/>
          </w:tcPr>
          <w:p w14:paraId="02A8D241" w14:textId="2E32995E" w:rsidR="00D77AE6" w:rsidRPr="00D77AE6" w:rsidRDefault="00D77AE6" w:rsidP="00D77AE6">
            <w:pPr>
              <w:spacing w:after="0"/>
              <w:jc w:val="center"/>
              <w:rPr>
                <w:rFonts w:cs="Calibri Light"/>
                <w:sz w:val="16"/>
              </w:rPr>
            </w:pPr>
            <w:r w:rsidRPr="00336F58">
              <w:rPr>
                <w:rFonts w:cs="Calibri Light"/>
                <w:sz w:val="16"/>
                <w:szCs w:val="16"/>
              </w:rPr>
              <w:t>13.8</w:t>
            </w:r>
          </w:p>
        </w:tc>
        <w:tc>
          <w:tcPr>
            <w:tcW w:w="533" w:type="pct"/>
            <w:shd w:val="clear" w:color="auto" w:fill="auto"/>
            <w:vAlign w:val="center"/>
          </w:tcPr>
          <w:p w14:paraId="2196BCBD" w14:textId="66327480" w:rsidR="00D77AE6" w:rsidRPr="00D77AE6" w:rsidRDefault="00D77AE6" w:rsidP="00D77AE6">
            <w:pPr>
              <w:spacing w:after="0"/>
              <w:jc w:val="center"/>
              <w:rPr>
                <w:rFonts w:cs="Calibri Light"/>
                <w:sz w:val="16"/>
              </w:rPr>
            </w:pPr>
            <w:r w:rsidRPr="00336F58">
              <w:rPr>
                <w:rFonts w:cs="Calibri Light"/>
                <w:sz w:val="16"/>
                <w:szCs w:val="16"/>
              </w:rPr>
              <w:t>24.5</w:t>
            </w:r>
          </w:p>
        </w:tc>
        <w:tc>
          <w:tcPr>
            <w:tcW w:w="534" w:type="pct"/>
            <w:shd w:val="clear" w:color="auto" w:fill="auto"/>
            <w:vAlign w:val="center"/>
          </w:tcPr>
          <w:p w14:paraId="2ED37030" w14:textId="38AC4C09" w:rsidR="00D77AE6" w:rsidRPr="00D77AE6" w:rsidRDefault="00D77AE6" w:rsidP="00D77AE6">
            <w:pPr>
              <w:spacing w:after="0"/>
              <w:jc w:val="center"/>
              <w:rPr>
                <w:rFonts w:cs="Calibri Light"/>
                <w:sz w:val="16"/>
              </w:rPr>
            </w:pPr>
            <w:r w:rsidRPr="00336F58">
              <w:rPr>
                <w:rFonts w:cs="Calibri Light"/>
                <w:sz w:val="16"/>
                <w:szCs w:val="16"/>
              </w:rPr>
              <w:t>98.0</w:t>
            </w:r>
          </w:p>
        </w:tc>
        <w:tc>
          <w:tcPr>
            <w:tcW w:w="533" w:type="pct"/>
            <w:shd w:val="clear" w:color="auto" w:fill="auto"/>
            <w:vAlign w:val="center"/>
          </w:tcPr>
          <w:p w14:paraId="00839D89" w14:textId="44EDC093" w:rsidR="00D77AE6" w:rsidRPr="00D77AE6" w:rsidRDefault="00D77AE6" w:rsidP="00D77AE6">
            <w:pPr>
              <w:spacing w:after="0"/>
              <w:jc w:val="center"/>
              <w:rPr>
                <w:rFonts w:cs="Calibri Light"/>
                <w:sz w:val="16"/>
              </w:rPr>
            </w:pPr>
            <w:r w:rsidRPr="00336F58">
              <w:rPr>
                <w:rFonts w:cs="Calibri Light"/>
                <w:sz w:val="16"/>
                <w:szCs w:val="16"/>
              </w:rPr>
              <w:t>1,468.6</w:t>
            </w:r>
          </w:p>
        </w:tc>
        <w:tc>
          <w:tcPr>
            <w:tcW w:w="534" w:type="pct"/>
            <w:shd w:val="clear" w:color="auto" w:fill="auto"/>
            <w:vAlign w:val="center"/>
          </w:tcPr>
          <w:p w14:paraId="543F37CE" w14:textId="70018FEE" w:rsidR="00D77AE6" w:rsidRPr="00D77AE6" w:rsidRDefault="00D77AE6" w:rsidP="00D77AE6">
            <w:pPr>
              <w:spacing w:after="0"/>
              <w:jc w:val="center"/>
              <w:rPr>
                <w:rFonts w:cs="Calibri Light"/>
                <w:sz w:val="16"/>
              </w:rPr>
            </w:pPr>
            <w:r w:rsidRPr="00336F58">
              <w:rPr>
                <w:rFonts w:cs="Calibri Light"/>
                <w:sz w:val="16"/>
                <w:szCs w:val="16"/>
              </w:rPr>
              <w:t>2,246.6</w:t>
            </w:r>
          </w:p>
        </w:tc>
        <w:tc>
          <w:tcPr>
            <w:tcW w:w="533" w:type="pct"/>
            <w:shd w:val="clear" w:color="auto" w:fill="auto"/>
            <w:vAlign w:val="center"/>
          </w:tcPr>
          <w:p w14:paraId="184CCC08" w14:textId="06FB9713" w:rsidR="00D77AE6" w:rsidRPr="00D77AE6" w:rsidRDefault="00D77AE6" w:rsidP="00D77AE6">
            <w:pPr>
              <w:spacing w:after="0"/>
              <w:jc w:val="center"/>
              <w:rPr>
                <w:rFonts w:cs="Calibri Light"/>
                <w:sz w:val="16"/>
              </w:rPr>
            </w:pPr>
            <w:r w:rsidRPr="00336F58">
              <w:rPr>
                <w:rFonts w:cs="Calibri Light"/>
                <w:sz w:val="16"/>
                <w:szCs w:val="16"/>
              </w:rPr>
              <w:t>3,543.1</w:t>
            </w:r>
          </w:p>
        </w:tc>
      </w:tr>
      <w:tr w:rsidR="00D77AE6" w:rsidRPr="005378B1" w14:paraId="2517C7B5" w14:textId="77777777" w:rsidTr="003075E0">
        <w:trPr>
          <w:trHeight w:val="284"/>
        </w:trPr>
        <w:tc>
          <w:tcPr>
            <w:tcW w:w="1265" w:type="pct"/>
            <w:shd w:val="clear" w:color="auto" w:fill="auto"/>
          </w:tcPr>
          <w:p w14:paraId="7AE39362" w14:textId="36E3BECB" w:rsidR="00D77AE6" w:rsidRPr="00D601F7" w:rsidRDefault="00D77AE6" w:rsidP="00D77AE6">
            <w:pPr>
              <w:spacing w:after="0"/>
              <w:rPr>
                <w:rFonts w:cs="Calibri Light"/>
                <w:sz w:val="16"/>
                <w:szCs w:val="16"/>
              </w:rPr>
            </w:pPr>
            <w:r w:rsidRPr="00D601F7">
              <w:rPr>
                <w:rFonts w:cs="Calibri Light"/>
                <w:bCs/>
                <w:sz w:val="16"/>
                <w:szCs w:val="16"/>
              </w:rPr>
              <w:t>Change (%) 2025-26 v 2024-25</w:t>
            </w:r>
          </w:p>
        </w:tc>
        <w:tc>
          <w:tcPr>
            <w:tcW w:w="533" w:type="pct"/>
            <w:shd w:val="clear" w:color="auto" w:fill="auto"/>
            <w:vAlign w:val="center"/>
          </w:tcPr>
          <w:p w14:paraId="079A0127" w14:textId="7CDF5FE2" w:rsidR="00D77AE6" w:rsidRPr="003D04CA" w:rsidRDefault="00D77AE6" w:rsidP="00D77AE6">
            <w:pPr>
              <w:spacing w:after="0"/>
              <w:jc w:val="center"/>
              <w:rPr>
                <w:rFonts w:cs="Calibri Light"/>
                <w:color w:val="C00000"/>
                <w:sz w:val="16"/>
                <w:szCs w:val="16"/>
              </w:rPr>
            </w:pPr>
            <w:r w:rsidRPr="003D04CA">
              <w:rPr>
                <w:rFonts w:cs="Calibri Light"/>
                <w:color w:val="C00000"/>
                <w:sz w:val="16"/>
                <w:szCs w:val="16"/>
              </w:rPr>
              <w:t>(0.3)</w:t>
            </w:r>
          </w:p>
        </w:tc>
        <w:tc>
          <w:tcPr>
            <w:tcW w:w="534" w:type="pct"/>
            <w:shd w:val="clear" w:color="auto" w:fill="auto"/>
            <w:vAlign w:val="center"/>
          </w:tcPr>
          <w:p w14:paraId="3A2AF409" w14:textId="206E52D8" w:rsidR="00D77AE6" w:rsidRPr="003D04CA" w:rsidRDefault="00D77AE6" w:rsidP="00D77AE6">
            <w:pPr>
              <w:spacing w:after="0"/>
              <w:jc w:val="center"/>
              <w:rPr>
                <w:rFonts w:cs="Calibri Light"/>
                <w:color w:val="C00000"/>
                <w:sz w:val="16"/>
                <w:szCs w:val="16"/>
              </w:rPr>
            </w:pPr>
            <w:r w:rsidRPr="003D04CA">
              <w:rPr>
                <w:rFonts w:cs="Calibri Light"/>
                <w:color w:val="C00000"/>
                <w:sz w:val="16"/>
                <w:szCs w:val="16"/>
              </w:rPr>
              <w:t>(2.4)</w:t>
            </w:r>
          </w:p>
        </w:tc>
        <w:tc>
          <w:tcPr>
            <w:tcW w:w="533" w:type="pct"/>
            <w:shd w:val="clear" w:color="auto" w:fill="auto"/>
            <w:vAlign w:val="center"/>
          </w:tcPr>
          <w:p w14:paraId="1CE0BFF5" w14:textId="436CF81E" w:rsidR="00D77AE6" w:rsidRPr="003D04CA" w:rsidRDefault="00D77AE6" w:rsidP="00D77AE6">
            <w:pPr>
              <w:spacing w:after="0"/>
              <w:jc w:val="center"/>
              <w:rPr>
                <w:rFonts w:cs="Calibri Light"/>
                <w:color w:val="C00000"/>
                <w:sz w:val="16"/>
                <w:szCs w:val="16"/>
              </w:rPr>
            </w:pPr>
            <w:r w:rsidRPr="003D04CA">
              <w:rPr>
                <w:rFonts w:cs="Calibri Light"/>
                <w:color w:val="C00000"/>
                <w:sz w:val="16"/>
                <w:szCs w:val="16"/>
              </w:rPr>
              <w:t>(11.2)</w:t>
            </w:r>
          </w:p>
        </w:tc>
        <w:tc>
          <w:tcPr>
            <w:tcW w:w="534" w:type="pct"/>
            <w:shd w:val="clear" w:color="auto" w:fill="auto"/>
            <w:vAlign w:val="center"/>
          </w:tcPr>
          <w:p w14:paraId="7530E6CD" w14:textId="467773F6" w:rsidR="00D77AE6" w:rsidRPr="003D04CA" w:rsidRDefault="00D77AE6" w:rsidP="00D77AE6">
            <w:pPr>
              <w:spacing w:after="0"/>
              <w:jc w:val="center"/>
              <w:rPr>
                <w:rFonts w:cs="Calibri Light"/>
                <w:color w:val="C00000"/>
                <w:sz w:val="16"/>
                <w:szCs w:val="16"/>
              </w:rPr>
            </w:pPr>
            <w:r w:rsidRPr="003D04CA">
              <w:rPr>
                <w:rFonts w:cs="Calibri Light"/>
                <w:color w:val="C00000"/>
                <w:sz w:val="16"/>
                <w:szCs w:val="16"/>
              </w:rPr>
              <w:t>(11.2)</w:t>
            </w:r>
          </w:p>
        </w:tc>
        <w:tc>
          <w:tcPr>
            <w:tcW w:w="533" w:type="pct"/>
            <w:shd w:val="clear" w:color="auto" w:fill="auto"/>
            <w:vAlign w:val="center"/>
          </w:tcPr>
          <w:p w14:paraId="70134DA4" w14:textId="6FA86EC5" w:rsidR="00D77AE6" w:rsidRPr="003D04CA" w:rsidRDefault="00D77AE6" w:rsidP="00D77AE6">
            <w:pPr>
              <w:spacing w:after="0"/>
              <w:jc w:val="center"/>
              <w:rPr>
                <w:rFonts w:cs="Calibri Light"/>
                <w:color w:val="C00000"/>
                <w:sz w:val="16"/>
                <w:szCs w:val="16"/>
              </w:rPr>
            </w:pPr>
            <w:r w:rsidRPr="003D04CA">
              <w:rPr>
                <w:rFonts w:cs="Calibri Light"/>
                <w:color w:val="C00000"/>
                <w:sz w:val="16"/>
                <w:szCs w:val="16"/>
              </w:rPr>
              <w:t>(5.5)</w:t>
            </w:r>
          </w:p>
        </w:tc>
        <w:tc>
          <w:tcPr>
            <w:tcW w:w="534" w:type="pct"/>
            <w:shd w:val="clear" w:color="auto" w:fill="auto"/>
            <w:vAlign w:val="center"/>
          </w:tcPr>
          <w:p w14:paraId="2F96807E" w14:textId="2BAE6392" w:rsidR="00D77AE6" w:rsidRPr="003D04CA" w:rsidRDefault="00D77AE6" w:rsidP="00D77AE6">
            <w:pPr>
              <w:spacing w:after="0"/>
              <w:jc w:val="center"/>
              <w:rPr>
                <w:rFonts w:cs="Calibri Light"/>
                <w:color w:val="C00000"/>
                <w:sz w:val="16"/>
                <w:szCs w:val="16"/>
              </w:rPr>
            </w:pPr>
            <w:r w:rsidRPr="003D04CA">
              <w:rPr>
                <w:rFonts w:cs="Calibri Light"/>
                <w:color w:val="C00000"/>
                <w:sz w:val="16"/>
                <w:szCs w:val="16"/>
              </w:rPr>
              <w:t>(11.4)</w:t>
            </w:r>
          </w:p>
        </w:tc>
        <w:tc>
          <w:tcPr>
            <w:tcW w:w="533" w:type="pct"/>
            <w:shd w:val="clear" w:color="auto" w:fill="auto"/>
            <w:vAlign w:val="center"/>
          </w:tcPr>
          <w:p w14:paraId="3BCC3B9D" w14:textId="5C2E9002" w:rsidR="00D77AE6" w:rsidRPr="003D04CA" w:rsidRDefault="00D77AE6" w:rsidP="00D77AE6">
            <w:pPr>
              <w:spacing w:after="0"/>
              <w:jc w:val="center"/>
              <w:rPr>
                <w:rFonts w:cs="Calibri Light"/>
                <w:color w:val="C00000"/>
                <w:sz w:val="16"/>
                <w:szCs w:val="16"/>
              </w:rPr>
            </w:pPr>
            <w:r w:rsidRPr="003D04CA">
              <w:rPr>
                <w:rFonts w:cs="Calibri Light"/>
                <w:color w:val="C00000"/>
                <w:sz w:val="16"/>
                <w:szCs w:val="16"/>
              </w:rPr>
              <w:t>(15.1)</w:t>
            </w:r>
          </w:p>
        </w:tc>
      </w:tr>
    </w:tbl>
    <w:p w14:paraId="1C554425" w14:textId="77777777" w:rsidR="00762E42" w:rsidRPr="005378B1" w:rsidRDefault="00762E42" w:rsidP="005378B1">
      <w:pPr>
        <w:pStyle w:val="SingleParagraph"/>
        <w:rPr>
          <w:rFonts w:ascii="Arial" w:hAnsi="Arial" w:cs="Arial"/>
        </w:rPr>
      </w:pPr>
    </w:p>
    <w:p w14:paraId="0E240DAB" w14:textId="1E074014" w:rsidR="00762E42" w:rsidRPr="00097B21" w:rsidRDefault="003C6509" w:rsidP="005378B1">
      <w:pPr>
        <w:pStyle w:val="TableMainHeading"/>
        <w:rPr>
          <w:rFonts w:asciiTheme="minorHAnsi" w:hAnsiTheme="minorHAnsi" w:cstheme="minorHAnsi"/>
          <w:color w:val="auto"/>
        </w:rPr>
      </w:pPr>
      <w:bookmarkStart w:id="181" w:name="_Toc104212372"/>
      <w:bookmarkStart w:id="182" w:name="_Toc192616594"/>
      <w:bookmarkStart w:id="183" w:name="_Toc192616768"/>
      <w:r w:rsidRPr="00097B21">
        <w:rPr>
          <w:rFonts w:asciiTheme="minorHAnsi" w:hAnsiTheme="minorHAnsi" w:cstheme="minorHAnsi"/>
          <w:color w:val="auto"/>
        </w:rPr>
        <w:t>Table 16: Amounts levied on PSTs</w:t>
      </w:r>
      <w:bookmarkEnd w:id="181"/>
      <w:bookmarkEnd w:id="182"/>
      <w:bookmarkEnd w:id="18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965"/>
        <w:gridCol w:w="968"/>
        <w:gridCol w:w="966"/>
        <w:gridCol w:w="968"/>
        <w:gridCol w:w="966"/>
        <w:gridCol w:w="968"/>
        <w:gridCol w:w="966"/>
      </w:tblGrid>
      <w:tr w:rsidR="005378B1" w:rsidRPr="005378B1" w14:paraId="62C49F24" w14:textId="77777777" w:rsidTr="003075E0">
        <w:trPr>
          <w:cantSplit/>
          <w:trHeight w:val="284"/>
          <w:tblHeader/>
        </w:trPr>
        <w:tc>
          <w:tcPr>
            <w:tcW w:w="1266" w:type="pct"/>
            <w:shd w:val="clear" w:color="auto" w:fill="EEEEEE" w:themeFill="background2"/>
            <w:vAlign w:val="center"/>
            <w:hideMark/>
          </w:tcPr>
          <w:p w14:paraId="182D24E0" w14:textId="77777777" w:rsidR="00762E42" w:rsidRPr="003075E0" w:rsidRDefault="003C6509" w:rsidP="005378B1">
            <w:pPr>
              <w:spacing w:after="0"/>
              <w:rPr>
                <w:rFonts w:cs="Calibri Light"/>
                <w:b/>
                <w:sz w:val="16"/>
              </w:rPr>
            </w:pPr>
            <w:r w:rsidRPr="003075E0">
              <w:rPr>
                <w:rFonts w:cs="Calibri Light"/>
                <w:b/>
                <w:sz w:val="16"/>
              </w:rPr>
              <w:t>Asset base</w:t>
            </w:r>
          </w:p>
        </w:tc>
        <w:tc>
          <w:tcPr>
            <w:tcW w:w="533" w:type="pct"/>
            <w:shd w:val="clear" w:color="auto" w:fill="EEEEEE" w:themeFill="background2"/>
            <w:vAlign w:val="center"/>
            <w:hideMark/>
          </w:tcPr>
          <w:p w14:paraId="16EC715B" w14:textId="77777777" w:rsidR="00762E42" w:rsidRPr="003075E0" w:rsidRDefault="003C6509" w:rsidP="0005719A">
            <w:pPr>
              <w:spacing w:after="0"/>
              <w:jc w:val="center"/>
              <w:rPr>
                <w:rFonts w:cs="Calibri Light"/>
                <w:b/>
                <w:sz w:val="16"/>
              </w:rPr>
            </w:pPr>
            <w:r w:rsidRPr="003075E0">
              <w:rPr>
                <w:rFonts w:cs="Calibri Light"/>
                <w:b/>
                <w:sz w:val="16"/>
              </w:rPr>
              <w:t>$10m</w:t>
            </w:r>
            <w:r w:rsidRPr="003075E0">
              <w:rPr>
                <w:rFonts w:cs="Calibri Light"/>
                <w:b/>
                <w:sz w:val="16"/>
              </w:rPr>
              <w:br/>
              <w:t>($'000)</w:t>
            </w:r>
          </w:p>
        </w:tc>
        <w:tc>
          <w:tcPr>
            <w:tcW w:w="534" w:type="pct"/>
            <w:shd w:val="clear" w:color="auto" w:fill="EEEEEE" w:themeFill="background2"/>
            <w:vAlign w:val="center"/>
            <w:hideMark/>
          </w:tcPr>
          <w:p w14:paraId="07C56A95" w14:textId="77777777" w:rsidR="00762E42" w:rsidRPr="003075E0" w:rsidRDefault="003C6509" w:rsidP="0005719A">
            <w:pPr>
              <w:spacing w:after="0"/>
              <w:jc w:val="center"/>
              <w:rPr>
                <w:rFonts w:cs="Calibri Light"/>
                <w:b/>
                <w:sz w:val="16"/>
              </w:rPr>
            </w:pPr>
            <w:r w:rsidRPr="003075E0">
              <w:rPr>
                <w:rFonts w:cs="Calibri Light"/>
                <w:b/>
                <w:sz w:val="16"/>
              </w:rPr>
              <w:t>$50m</w:t>
            </w:r>
            <w:r w:rsidRPr="003075E0">
              <w:rPr>
                <w:rFonts w:cs="Calibri Light"/>
                <w:b/>
                <w:sz w:val="16"/>
              </w:rPr>
              <w:br/>
              <w:t>($'000)</w:t>
            </w:r>
          </w:p>
        </w:tc>
        <w:tc>
          <w:tcPr>
            <w:tcW w:w="533" w:type="pct"/>
            <w:shd w:val="clear" w:color="auto" w:fill="EEEEEE" w:themeFill="background2"/>
            <w:vAlign w:val="center"/>
            <w:hideMark/>
          </w:tcPr>
          <w:p w14:paraId="3B968449" w14:textId="77777777" w:rsidR="00762E42" w:rsidRPr="003075E0" w:rsidRDefault="003C6509" w:rsidP="0005719A">
            <w:pPr>
              <w:spacing w:after="0"/>
              <w:jc w:val="center"/>
              <w:rPr>
                <w:rFonts w:cs="Calibri Light"/>
                <w:b/>
                <w:sz w:val="16"/>
              </w:rPr>
            </w:pPr>
            <w:r w:rsidRPr="003075E0">
              <w:rPr>
                <w:rFonts w:cs="Calibri Light"/>
                <w:b/>
                <w:sz w:val="16"/>
              </w:rPr>
              <w:t>$500m</w:t>
            </w:r>
            <w:r w:rsidRPr="003075E0">
              <w:rPr>
                <w:rFonts w:cs="Calibri Light"/>
                <w:b/>
                <w:sz w:val="16"/>
              </w:rPr>
              <w:br/>
              <w:t>($'000)</w:t>
            </w:r>
          </w:p>
        </w:tc>
        <w:tc>
          <w:tcPr>
            <w:tcW w:w="534" w:type="pct"/>
            <w:shd w:val="clear" w:color="auto" w:fill="EEEEEE" w:themeFill="background2"/>
            <w:vAlign w:val="center"/>
            <w:hideMark/>
          </w:tcPr>
          <w:p w14:paraId="185DBA2A" w14:textId="77777777" w:rsidR="00762E42" w:rsidRPr="003075E0" w:rsidRDefault="003C6509" w:rsidP="0005719A">
            <w:pPr>
              <w:spacing w:after="0"/>
              <w:jc w:val="center"/>
              <w:rPr>
                <w:rFonts w:cs="Calibri Light"/>
                <w:b/>
                <w:sz w:val="16"/>
              </w:rPr>
            </w:pPr>
            <w:r w:rsidRPr="003075E0">
              <w:rPr>
                <w:rFonts w:cs="Calibri Light"/>
                <w:b/>
                <w:sz w:val="16"/>
              </w:rPr>
              <w:t>$5b</w:t>
            </w:r>
            <w:r w:rsidRPr="003075E0">
              <w:rPr>
                <w:rFonts w:cs="Calibri Light"/>
                <w:b/>
                <w:sz w:val="16"/>
              </w:rPr>
              <w:br/>
              <w:t>($'000)</w:t>
            </w:r>
          </w:p>
        </w:tc>
        <w:tc>
          <w:tcPr>
            <w:tcW w:w="533" w:type="pct"/>
            <w:shd w:val="clear" w:color="auto" w:fill="EEEEEE" w:themeFill="background2"/>
            <w:vAlign w:val="center"/>
            <w:hideMark/>
          </w:tcPr>
          <w:p w14:paraId="5EBBA856" w14:textId="77777777" w:rsidR="00762E42" w:rsidRPr="003075E0" w:rsidRDefault="003C6509" w:rsidP="0005719A">
            <w:pPr>
              <w:spacing w:after="0"/>
              <w:jc w:val="center"/>
              <w:rPr>
                <w:rFonts w:cs="Calibri Light"/>
                <w:b/>
                <w:sz w:val="16"/>
              </w:rPr>
            </w:pPr>
            <w:r w:rsidRPr="003075E0">
              <w:rPr>
                <w:rFonts w:cs="Calibri Light"/>
                <w:b/>
                <w:sz w:val="16"/>
              </w:rPr>
              <w:t>$10b</w:t>
            </w:r>
            <w:r w:rsidRPr="003075E0">
              <w:rPr>
                <w:rFonts w:cs="Calibri Light"/>
                <w:b/>
                <w:sz w:val="16"/>
              </w:rPr>
              <w:br/>
              <w:t>($'000)</w:t>
            </w:r>
          </w:p>
        </w:tc>
        <w:tc>
          <w:tcPr>
            <w:tcW w:w="534" w:type="pct"/>
            <w:shd w:val="clear" w:color="auto" w:fill="EEEEEE" w:themeFill="background2"/>
            <w:vAlign w:val="center"/>
            <w:hideMark/>
          </w:tcPr>
          <w:p w14:paraId="6035C53B" w14:textId="77777777" w:rsidR="00762E42" w:rsidRPr="003075E0" w:rsidRDefault="003C6509" w:rsidP="0005719A">
            <w:pPr>
              <w:spacing w:after="0"/>
              <w:jc w:val="center"/>
              <w:rPr>
                <w:rFonts w:cs="Calibri Light"/>
                <w:b/>
                <w:sz w:val="16"/>
              </w:rPr>
            </w:pPr>
            <w:r w:rsidRPr="003075E0">
              <w:rPr>
                <w:rFonts w:cs="Calibri Light"/>
                <w:b/>
                <w:sz w:val="16"/>
              </w:rPr>
              <w:t>$20b</w:t>
            </w:r>
            <w:r w:rsidRPr="003075E0">
              <w:rPr>
                <w:rFonts w:cs="Calibri Light"/>
                <w:b/>
                <w:sz w:val="16"/>
              </w:rPr>
              <w:br/>
              <w:t>($'000)</w:t>
            </w:r>
          </w:p>
        </w:tc>
        <w:tc>
          <w:tcPr>
            <w:tcW w:w="533" w:type="pct"/>
            <w:shd w:val="clear" w:color="auto" w:fill="EEEEEE" w:themeFill="background2"/>
            <w:vAlign w:val="center"/>
            <w:hideMark/>
          </w:tcPr>
          <w:p w14:paraId="09DC480C" w14:textId="77777777" w:rsidR="00762E42" w:rsidRPr="003075E0" w:rsidRDefault="003C6509" w:rsidP="0005719A">
            <w:pPr>
              <w:spacing w:after="0"/>
              <w:jc w:val="center"/>
              <w:rPr>
                <w:rFonts w:cs="Calibri Light"/>
                <w:b/>
                <w:sz w:val="16"/>
              </w:rPr>
            </w:pPr>
            <w:r w:rsidRPr="003075E0">
              <w:rPr>
                <w:rFonts w:cs="Calibri Light"/>
                <w:b/>
                <w:sz w:val="16"/>
              </w:rPr>
              <w:t>$50b</w:t>
            </w:r>
            <w:r w:rsidRPr="003075E0">
              <w:rPr>
                <w:rFonts w:cs="Calibri Light"/>
                <w:b/>
                <w:sz w:val="16"/>
              </w:rPr>
              <w:br/>
              <w:t>($'000)</w:t>
            </w:r>
          </w:p>
        </w:tc>
      </w:tr>
      <w:tr w:rsidR="00D601F7" w:rsidRPr="005378B1" w14:paraId="1F05687B" w14:textId="77777777" w:rsidTr="003075E0">
        <w:trPr>
          <w:trHeight w:val="284"/>
        </w:trPr>
        <w:tc>
          <w:tcPr>
            <w:tcW w:w="1266" w:type="pct"/>
            <w:shd w:val="clear" w:color="auto" w:fill="auto"/>
            <w:vAlign w:val="center"/>
            <w:hideMark/>
          </w:tcPr>
          <w:p w14:paraId="2C1A1D6B" w14:textId="195C36FE" w:rsidR="00D601F7" w:rsidRPr="00D601F7" w:rsidRDefault="00D601F7" w:rsidP="00D601F7">
            <w:pPr>
              <w:spacing w:after="0"/>
              <w:rPr>
                <w:rFonts w:cs="Calibri Light"/>
                <w:sz w:val="16"/>
              </w:rPr>
            </w:pPr>
            <w:r w:rsidRPr="00D601F7">
              <w:rPr>
                <w:rFonts w:cs="Calibri Light"/>
                <w:sz w:val="16"/>
                <w:szCs w:val="16"/>
              </w:rPr>
              <w:t>2023-24</w:t>
            </w:r>
          </w:p>
        </w:tc>
        <w:tc>
          <w:tcPr>
            <w:tcW w:w="533" w:type="pct"/>
            <w:shd w:val="clear" w:color="auto" w:fill="auto"/>
            <w:vAlign w:val="center"/>
            <w:hideMark/>
          </w:tcPr>
          <w:p w14:paraId="00E75696" w14:textId="7B818734" w:rsidR="00D601F7" w:rsidRPr="00D601F7" w:rsidRDefault="002D2ED4" w:rsidP="0005719A">
            <w:pPr>
              <w:spacing w:after="0"/>
              <w:jc w:val="center"/>
              <w:rPr>
                <w:rFonts w:cs="Calibri Light"/>
                <w:sz w:val="16"/>
                <w:szCs w:val="16"/>
              </w:rPr>
            </w:pPr>
            <w:r w:rsidRPr="00D65DC8">
              <w:rPr>
                <w:rFonts w:cs="Calibri Light"/>
                <w:sz w:val="16"/>
                <w:szCs w:val="16"/>
              </w:rPr>
              <w:t>12.6</w:t>
            </w:r>
          </w:p>
        </w:tc>
        <w:tc>
          <w:tcPr>
            <w:tcW w:w="534" w:type="pct"/>
            <w:shd w:val="clear" w:color="auto" w:fill="auto"/>
            <w:vAlign w:val="center"/>
            <w:hideMark/>
          </w:tcPr>
          <w:p w14:paraId="45F15B42" w14:textId="332CC0BD" w:rsidR="00D601F7" w:rsidRPr="00D601F7" w:rsidRDefault="002D2ED4" w:rsidP="0005719A">
            <w:pPr>
              <w:spacing w:after="0"/>
              <w:jc w:val="center"/>
              <w:rPr>
                <w:rFonts w:cs="Calibri Light"/>
                <w:sz w:val="16"/>
                <w:szCs w:val="16"/>
              </w:rPr>
            </w:pPr>
            <w:r w:rsidRPr="00D65DC8">
              <w:rPr>
                <w:rFonts w:cs="Calibri Light"/>
                <w:sz w:val="16"/>
                <w:szCs w:val="16"/>
              </w:rPr>
              <w:t>13.1</w:t>
            </w:r>
          </w:p>
        </w:tc>
        <w:tc>
          <w:tcPr>
            <w:tcW w:w="533" w:type="pct"/>
            <w:shd w:val="clear" w:color="auto" w:fill="auto"/>
            <w:vAlign w:val="center"/>
            <w:hideMark/>
          </w:tcPr>
          <w:p w14:paraId="5746D79B" w14:textId="56EAED66" w:rsidR="00D601F7" w:rsidRPr="00D601F7" w:rsidRDefault="002D2ED4" w:rsidP="0005719A">
            <w:pPr>
              <w:spacing w:after="0"/>
              <w:jc w:val="center"/>
              <w:rPr>
                <w:rFonts w:cs="Calibri Light"/>
                <w:sz w:val="16"/>
                <w:szCs w:val="16"/>
              </w:rPr>
            </w:pPr>
            <w:r w:rsidRPr="00D65DC8">
              <w:rPr>
                <w:rFonts w:cs="Calibri Light"/>
                <w:sz w:val="16"/>
                <w:szCs w:val="16"/>
              </w:rPr>
              <w:t>27.1</w:t>
            </w:r>
          </w:p>
        </w:tc>
        <w:tc>
          <w:tcPr>
            <w:tcW w:w="534" w:type="pct"/>
            <w:shd w:val="clear" w:color="auto" w:fill="auto"/>
            <w:vAlign w:val="center"/>
            <w:hideMark/>
          </w:tcPr>
          <w:p w14:paraId="53CA3870" w14:textId="0DA23AA0" w:rsidR="00D601F7" w:rsidRPr="00D601F7" w:rsidRDefault="002D2ED4" w:rsidP="0005719A">
            <w:pPr>
              <w:spacing w:after="0"/>
              <w:jc w:val="center"/>
              <w:rPr>
                <w:rFonts w:cs="Calibri Light"/>
                <w:sz w:val="16"/>
                <w:szCs w:val="16"/>
              </w:rPr>
            </w:pPr>
            <w:r w:rsidRPr="00D65DC8">
              <w:rPr>
                <w:rFonts w:cs="Calibri Light"/>
                <w:sz w:val="16"/>
                <w:szCs w:val="16"/>
              </w:rPr>
              <w:t>271.0</w:t>
            </w:r>
          </w:p>
        </w:tc>
        <w:tc>
          <w:tcPr>
            <w:tcW w:w="533" w:type="pct"/>
            <w:shd w:val="clear" w:color="auto" w:fill="auto"/>
            <w:vAlign w:val="center"/>
            <w:hideMark/>
          </w:tcPr>
          <w:p w14:paraId="0FE40672" w14:textId="23AFB410" w:rsidR="00D601F7" w:rsidRPr="00D601F7" w:rsidRDefault="002D2ED4" w:rsidP="0005719A">
            <w:pPr>
              <w:spacing w:after="0"/>
              <w:jc w:val="center"/>
              <w:rPr>
                <w:rFonts w:cs="Calibri Light"/>
                <w:sz w:val="16"/>
                <w:szCs w:val="16"/>
              </w:rPr>
            </w:pPr>
            <w:r w:rsidRPr="00D65DC8">
              <w:rPr>
                <w:rFonts w:cs="Calibri Light"/>
                <w:sz w:val="16"/>
                <w:szCs w:val="16"/>
              </w:rPr>
              <w:t>522.1</w:t>
            </w:r>
          </w:p>
        </w:tc>
        <w:tc>
          <w:tcPr>
            <w:tcW w:w="534" w:type="pct"/>
            <w:shd w:val="clear" w:color="auto" w:fill="auto"/>
            <w:vAlign w:val="center"/>
            <w:hideMark/>
          </w:tcPr>
          <w:p w14:paraId="39D7EA27" w14:textId="269B9C89" w:rsidR="00D601F7" w:rsidRPr="00D601F7" w:rsidRDefault="002D2ED4" w:rsidP="0005719A">
            <w:pPr>
              <w:spacing w:after="0"/>
              <w:jc w:val="center"/>
              <w:rPr>
                <w:rFonts w:cs="Calibri Light"/>
                <w:sz w:val="16"/>
                <w:szCs w:val="16"/>
              </w:rPr>
            </w:pPr>
            <w:r w:rsidRPr="00D65DC8">
              <w:rPr>
                <w:rFonts w:cs="Calibri Light"/>
                <w:sz w:val="16"/>
                <w:szCs w:val="16"/>
              </w:rPr>
              <w:t>644.2</w:t>
            </w:r>
          </w:p>
        </w:tc>
        <w:tc>
          <w:tcPr>
            <w:tcW w:w="533" w:type="pct"/>
            <w:shd w:val="clear" w:color="auto" w:fill="auto"/>
            <w:vAlign w:val="center"/>
            <w:hideMark/>
          </w:tcPr>
          <w:p w14:paraId="2B3EB07D" w14:textId="4FFD7764" w:rsidR="00D601F7" w:rsidRPr="00D601F7" w:rsidRDefault="002D2ED4" w:rsidP="0005719A">
            <w:pPr>
              <w:spacing w:after="0"/>
              <w:jc w:val="center"/>
              <w:rPr>
                <w:rFonts w:cs="Calibri Light"/>
                <w:sz w:val="16"/>
                <w:szCs w:val="16"/>
              </w:rPr>
            </w:pPr>
            <w:r w:rsidRPr="00D65DC8">
              <w:rPr>
                <w:rFonts w:cs="Calibri Light"/>
                <w:sz w:val="16"/>
                <w:szCs w:val="16"/>
              </w:rPr>
              <w:t>1</w:t>
            </w:r>
            <w:r w:rsidR="00F37B6D">
              <w:rPr>
                <w:rFonts w:cs="Calibri Light"/>
                <w:sz w:val="16"/>
                <w:szCs w:val="16"/>
              </w:rPr>
              <w:t>,</w:t>
            </w:r>
            <w:r w:rsidRPr="00D65DC8">
              <w:rPr>
                <w:rFonts w:cs="Calibri Light"/>
                <w:sz w:val="16"/>
                <w:szCs w:val="16"/>
              </w:rPr>
              <w:t>010.4</w:t>
            </w:r>
          </w:p>
        </w:tc>
      </w:tr>
      <w:tr w:rsidR="00D601F7" w:rsidRPr="005378B1" w14:paraId="796CAACC" w14:textId="77777777" w:rsidTr="003075E0">
        <w:trPr>
          <w:trHeight w:val="284"/>
        </w:trPr>
        <w:tc>
          <w:tcPr>
            <w:tcW w:w="1266" w:type="pct"/>
            <w:shd w:val="clear" w:color="auto" w:fill="auto"/>
            <w:vAlign w:val="center"/>
            <w:hideMark/>
          </w:tcPr>
          <w:p w14:paraId="2D85EB96" w14:textId="7C0A6331" w:rsidR="00D601F7" w:rsidRPr="00D601F7" w:rsidRDefault="00D601F7" w:rsidP="00D601F7">
            <w:pPr>
              <w:spacing w:after="0"/>
              <w:rPr>
                <w:rFonts w:cs="Calibri Light"/>
                <w:sz w:val="16"/>
              </w:rPr>
            </w:pPr>
            <w:r w:rsidRPr="00D601F7">
              <w:rPr>
                <w:rFonts w:cs="Calibri Light"/>
                <w:sz w:val="16"/>
                <w:szCs w:val="16"/>
              </w:rPr>
              <w:t>2024-25</w:t>
            </w:r>
          </w:p>
        </w:tc>
        <w:tc>
          <w:tcPr>
            <w:tcW w:w="533" w:type="pct"/>
            <w:shd w:val="clear" w:color="auto" w:fill="auto"/>
            <w:vAlign w:val="center"/>
          </w:tcPr>
          <w:p w14:paraId="05AB961D" w14:textId="7E520A61" w:rsidR="00D601F7" w:rsidRPr="00D601F7" w:rsidRDefault="002D2ED4" w:rsidP="0005719A">
            <w:pPr>
              <w:spacing w:after="0"/>
              <w:jc w:val="center"/>
              <w:rPr>
                <w:rFonts w:cs="Calibri Light"/>
                <w:sz w:val="16"/>
                <w:szCs w:val="16"/>
              </w:rPr>
            </w:pPr>
            <w:r w:rsidRPr="00D65DC8">
              <w:rPr>
                <w:rFonts w:cs="Calibri Light"/>
                <w:sz w:val="16"/>
                <w:szCs w:val="16"/>
              </w:rPr>
              <w:t>12.6</w:t>
            </w:r>
          </w:p>
        </w:tc>
        <w:tc>
          <w:tcPr>
            <w:tcW w:w="534" w:type="pct"/>
            <w:shd w:val="clear" w:color="auto" w:fill="auto"/>
            <w:vAlign w:val="center"/>
          </w:tcPr>
          <w:p w14:paraId="22AA87FD" w14:textId="2C65229A" w:rsidR="00D601F7" w:rsidRPr="00D601F7" w:rsidRDefault="002D2ED4" w:rsidP="0005719A">
            <w:pPr>
              <w:spacing w:after="0"/>
              <w:jc w:val="center"/>
              <w:rPr>
                <w:rFonts w:cs="Calibri Light"/>
                <w:sz w:val="16"/>
                <w:szCs w:val="16"/>
              </w:rPr>
            </w:pPr>
            <w:r w:rsidRPr="00D65DC8">
              <w:rPr>
                <w:rFonts w:cs="Calibri Light"/>
                <w:sz w:val="16"/>
                <w:szCs w:val="16"/>
              </w:rPr>
              <w:t>13.1</w:t>
            </w:r>
          </w:p>
        </w:tc>
        <w:tc>
          <w:tcPr>
            <w:tcW w:w="533" w:type="pct"/>
            <w:shd w:val="clear" w:color="auto" w:fill="auto"/>
            <w:vAlign w:val="center"/>
          </w:tcPr>
          <w:p w14:paraId="032FCA42" w14:textId="3EED2F0F" w:rsidR="00D601F7" w:rsidRPr="00D601F7" w:rsidRDefault="002D2ED4" w:rsidP="0005719A">
            <w:pPr>
              <w:spacing w:after="0"/>
              <w:jc w:val="center"/>
              <w:rPr>
                <w:rFonts w:cs="Calibri Light"/>
                <w:sz w:val="16"/>
                <w:szCs w:val="16"/>
              </w:rPr>
            </w:pPr>
            <w:r w:rsidRPr="00D65DC8">
              <w:rPr>
                <w:rFonts w:cs="Calibri Light"/>
                <w:sz w:val="16"/>
                <w:szCs w:val="16"/>
              </w:rPr>
              <w:t>25.5</w:t>
            </w:r>
          </w:p>
        </w:tc>
        <w:tc>
          <w:tcPr>
            <w:tcW w:w="534" w:type="pct"/>
            <w:shd w:val="clear" w:color="auto" w:fill="auto"/>
            <w:vAlign w:val="center"/>
          </w:tcPr>
          <w:p w14:paraId="5B6EF52E" w14:textId="2C33265F" w:rsidR="00D601F7" w:rsidRPr="00D601F7" w:rsidRDefault="002D2ED4" w:rsidP="0005719A">
            <w:pPr>
              <w:spacing w:after="0"/>
              <w:jc w:val="center"/>
              <w:rPr>
                <w:rFonts w:cs="Calibri Light"/>
                <w:sz w:val="16"/>
                <w:szCs w:val="16"/>
              </w:rPr>
            </w:pPr>
            <w:r w:rsidRPr="00D65DC8">
              <w:rPr>
                <w:rFonts w:cs="Calibri Light"/>
                <w:sz w:val="16"/>
                <w:szCs w:val="16"/>
              </w:rPr>
              <w:t>255.4</w:t>
            </w:r>
          </w:p>
        </w:tc>
        <w:tc>
          <w:tcPr>
            <w:tcW w:w="533" w:type="pct"/>
            <w:shd w:val="clear" w:color="auto" w:fill="auto"/>
            <w:vAlign w:val="center"/>
          </w:tcPr>
          <w:p w14:paraId="4AC0D030" w14:textId="4153CEC6" w:rsidR="00D601F7" w:rsidRPr="00D601F7" w:rsidRDefault="002D2ED4" w:rsidP="0005719A">
            <w:pPr>
              <w:spacing w:after="0"/>
              <w:jc w:val="center"/>
              <w:rPr>
                <w:rFonts w:cs="Calibri Light"/>
                <w:sz w:val="16"/>
                <w:szCs w:val="16"/>
              </w:rPr>
            </w:pPr>
            <w:r w:rsidRPr="00D65DC8">
              <w:rPr>
                <w:rFonts w:cs="Calibri Light"/>
                <w:sz w:val="16"/>
                <w:szCs w:val="16"/>
              </w:rPr>
              <w:t>510.8</w:t>
            </w:r>
          </w:p>
        </w:tc>
        <w:tc>
          <w:tcPr>
            <w:tcW w:w="534" w:type="pct"/>
            <w:shd w:val="clear" w:color="auto" w:fill="auto"/>
            <w:vAlign w:val="center"/>
          </w:tcPr>
          <w:p w14:paraId="61FF902F" w14:textId="4730479D" w:rsidR="00D601F7" w:rsidRPr="00D601F7" w:rsidRDefault="002D2ED4" w:rsidP="0005719A">
            <w:pPr>
              <w:spacing w:after="0"/>
              <w:jc w:val="center"/>
              <w:rPr>
                <w:rFonts w:cs="Calibri Light"/>
                <w:sz w:val="16"/>
                <w:szCs w:val="16"/>
              </w:rPr>
            </w:pPr>
            <w:r w:rsidRPr="00D65DC8">
              <w:rPr>
                <w:rFonts w:cs="Calibri Light"/>
                <w:sz w:val="16"/>
                <w:szCs w:val="16"/>
              </w:rPr>
              <w:t>695.1</w:t>
            </w:r>
          </w:p>
        </w:tc>
        <w:tc>
          <w:tcPr>
            <w:tcW w:w="533" w:type="pct"/>
            <w:shd w:val="clear" w:color="auto" w:fill="auto"/>
            <w:vAlign w:val="center"/>
          </w:tcPr>
          <w:p w14:paraId="244B579B" w14:textId="40460B16" w:rsidR="00D601F7" w:rsidRPr="00D601F7" w:rsidRDefault="002D2ED4" w:rsidP="0005719A">
            <w:pPr>
              <w:spacing w:after="0"/>
              <w:jc w:val="center"/>
              <w:rPr>
                <w:rFonts w:cs="Calibri Light"/>
                <w:sz w:val="16"/>
                <w:szCs w:val="16"/>
              </w:rPr>
            </w:pPr>
            <w:r w:rsidRPr="00D65DC8">
              <w:rPr>
                <w:rFonts w:cs="Calibri Light"/>
                <w:sz w:val="16"/>
                <w:szCs w:val="16"/>
              </w:rPr>
              <w:t>1</w:t>
            </w:r>
            <w:r w:rsidR="00F37B6D">
              <w:rPr>
                <w:rFonts w:cs="Calibri Light"/>
                <w:sz w:val="16"/>
                <w:szCs w:val="16"/>
              </w:rPr>
              <w:t>,</w:t>
            </w:r>
            <w:r w:rsidRPr="00D65DC8">
              <w:rPr>
                <w:rFonts w:cs="Calibri Light"/>
                <w:sz w:val="16"/>
                <w:szCs w:val="16"/>
              </w:rPr>
              <w:t>062.9</w:t>
            </w:r>
          </w:p>
        </w:tc>
      </w:tr>
      <w:tr w:rsidR="00D601F7" w:rsidRPr="005378B1" w14:paraId="3444532C" w14:textId="77777777" w:rsidTr="003075E0">
        <w:trPr>
          <w:trHeight w:val="284"/>
        </w:trPr>
        <w:tc>
          <w:tcPr>
            <w:tcW w:w="1266" w:type="pct"/>
            <w:shd w:val="clear" w:color="auto" w:fill="auto"/>
            <w:vAlign w:val="center"/>
            <w:hideMark/>
          </w:tcPr>
          <w:p w14:paraId="58E15DFA" w14:textId="51DF2B43" w:rsidR="00D601F7" w:rsidRPr="00D601F7" w:rsidRDefault="00D601F7" w:rsidP="00D601F7">
            <w:pPr>
              <w:spacing w:after="0"/>
              <w:rPr>
                <w:rFonts w:cs="Calibri Light"/>
                <w:sz w:val="16"/>
              </w:rPr>
            </w:pPr>
            <w:r w:rsidRPr="00D601F7">
              <w:rPr>
                <w:rFonts w:cs="Calibri Light"/>
                <w:sz w:val="16"/>
                <w:szCs w:val="16"/>
              </w:rPr>
              <w:t>2025-26</w:t>
            </w:r>
          </w:p>
        </w:tc>
        <w:tc>
          <w:tcPr>
            <w:tcW w:w="533" w:type="pct"/>
            <w:shd w:val="clear" w:color="auto" w:fill="auto"/>
            <w:vAlign w:val="center"/>
          </w:tcPr>
          <w:p w14:paraId="58DF220D" w14:textId="5F8AC6F6" w:rsidR="00D601F7" w:rsidRPr="00D601F7" w:rsidRDefault="002D2ED4" w:rsidP="0005719A">
            <w:pPr>
              <w:spacing w:after="0"/>
              <w:jc w:val="center"/>
              <w:rPr>
                <w:rFonts w:cs="Calibri Light"/>
                <w:sz w:val="16"/>
                <w:szCs w:val="16"/>
              </w:rPr>
            </w:pPr>
            <w:r w:rsidRPr="00D65DC8">
              <w:rPr>
                <w:rFonts w:cs="Calibri Light"/>
                <w:sz w:val="16"/>
                <w:szCs w:val="16"/>
              </w:rPr>
              <w:t>12.6</w:t>
            </w:r>
          </w:p>
        </w:tc>
        <w:tc>
          <w:tcPr>
            <w:tcW w:w="534" w:type="pct"/>
            <w:shd w:val="clear" w:color="auto" w:fill="auto"/>
            <w:vAlign w:val="center"/>
          </w:tcPr>
          <w:p w14:paraId="032A2B96" w14:textId="69FFA7E7" w:rsidR="00D601F7" w:rsidRPr="00D601F7" w:rsidRDefault="002D2ED4" w:rsidP="0005719A">
            <w:pPr>
              <w:spacing w:after="0"/>
              <w:jc w:val="center"/>
              <w:rPr>
                <w:rFonts w:cs="Calibri Light"/>
                <w:sz w:val="16"/>
                <w:szCs w:val="16"/>
              </w:rPr>
            </w:pPr>
            <w:r w:rsidRPr="00D65DC8">
              <w:rPr>
                <w:rFonts w:cs="Calibri Light"/>
                <w:sz w:val="16"/>
                <w:szCs w:val="16"/>
              </w:rPr>
              <w:t>13.0</w:t>
            </w:r>
          </w:p>
        </w:tc>
        <w:tc>
          <w:tcPr>
            <w:tcW w:w="533" w:type="pct"/>
            <w:shd w:val="clear" w:color="auto" w:fill="auto"/>
            <w:vAlign w:val="center"/>
          </w:tcPr>
          <w:p w14:paraId="03D6CB53" w14:textId="0FD92F46" w:rsidR="00D601F7" w:rsidRPr="00D601F7" w:rsidRDefault="002D2ED4" w:rsidP="0005719A">
            <w:pPr>
              <w:spacing w:after="0"/>
              <w:jc w:val="center"/>
              <w:rPr>
                <w:rFonts w:cs="Calibri Light"/>
                <w:sz w:val="16"/>
                <w:szCs w:val="16"/>
              </w:rPr>
            </w:pPr>
            <w:r w:rsidRPr="00D65DC8">
              <w:rPr>
                <w:rFonts w:cs="Calibri Light"/>
                <w:sz w:val="16"/>
                <w:szCs w:val="16"/>
              </w:rPr>
              <w:t>23.3</w:t>
            </w:r>
          </w:p>
        </w:tc>
        <w:tc>
          <w:tcPr>
            <w:tcW w:w="534" w:type="pct"/>
            <w:shd w:val="clear" w:color="auto" w:fill="auto"/>
            <w:vAlign w:val="center"/>
          </w:tcPr>
          <w:p w14:paraId="6242DA9D" w14:textId="19F7488E" w:rsidR="00D601F7" w:rsidRPr="00D601F7" w:rsidRDefault="002D2ED4" w:rsidP="0005719A">
            <w:pPr>
              <w:spacing w:after="0"/>
              <w:jc w:val="center"/>
              <w:rPr>
                <w:rFonts w:cs="Calibri Light"/>
                <w:sz w:val="16"/>
                <w:szCs w:val="16"/>
              </w:rPr>
            </w:pPr>
            <w:r w:rsidRPr="00D65DC8">
              <w:rPr>
                <w:rFonts w:cs="Calibri Light"/>
                <w:sz w:val="16"/>
                <w:szCs w:val="16"/>
              </w:rPr>
              <w:t>232.8</w:t>
            </w:r>
          </w:p>
        </w:tc>
        <w:tc>
          <w:tcPr>
            <w:tcW w:w="533" w:type="pct"/>
            <w:shd w:val="clear" w:color="auto" w:fill="auto"/>
            <w:vAlign w:val="center"/>
          </w:tcPr>
          <w:p w14:paraId="39C990FE" w14:textId="3EA724EF" w:rsidR="00D601F7" w:rsidRPr="00D601F7" w:rsidRDefault="002D2ED4" w:rsidP="0005719A">
            <w:pPr>
              <w:spacing w:after="0"/>
              <w:jc w:val="center"/>
              <w:rPr>
                <w:rFonts w:cs="Calibri Light"/>
                <w:sz w:val="16"/>
                <w:szCs w:val="16"/>
              </w:rPr>
            </w:pPr>
            <w:r w:rsidRPr="00D65DC8">
              <w:rPr>
                <w:rFonts w:cs="Calibri Light"/>
                <w:sz w:val="16"/>
                <w:szCs w:val="16"/>
              </w:rPr>
              <w:t>465.6</w:t>
            </w:r>
          </w:p>
        </w:tc>
        <w:tc>
          <w:tcPr>
            <w:tcW w:w="534" w:type="pct"/>
            <w:shd w:val="clear" w:color="auto" w:fill="auto"/>
            <w:vAlign w:val="center"/>
          </w:tcPr>
          <w:p w14:paraId="04CC3446" w14:textId="2D40CB41" w:rsidR="00D601F7" w:rsidRPr="00D601F7" w:rsidRDefault="002D2ED4" w:rsidP="0005719A">
            <w:pPr>
              <w:spacing w:after="0"/>
              <w:jc w:val="center"/>
              <w:rPr>
                <w:rFonts w:cs="Calibri Light"/>
                <w:sz w:val="16"/>
                <w:szCs w:val="16"/>
              </w:rPr>
            </w:pPr>
            <w:r w:rsidRPr="00D65DC8">
              <w:rPr>
                <w:rFonts w:cs="Calibri Light"/>
                <w:sz w:val="16"/>
                <w:szCs w:val="16"/>
              </w:rPr>
              <w:t>685.2</w:t>
            </w:r>
          </w:p>
        </w:tc>
        <w:tc>
          <w:tcPr>
            <w:tcW w:w="533" w:type="pct"/>
            <w:shd w:val="clear" w:color="auto" w:fill="auto"/>
            <w:vAlign w:val="center"/>
          </w:tcPr>
          <w:p w14:paraId="28FE064C" w14:textId="29C23BB4" w:rsidR="00D601F7" w:rsidRPr="00D601F7" w:rsidRDefault="002D2ED4" w:rsidP="0005719A">
            <w:pPr>
              <w:spacing w:after="0"/>
              <w:jc w:val="center"/>
              <w:rPr>
                <w:rFonts w:cs="Calibri Light"/>
                <w:sz w:val="16"/>
                <w:szCs w:val="16"/>
              </w:rPr>
            </w:pPr>
            <w:r w:rsidRPr="00D65DC8">
              <w:rPr>
                <w:rFonts w:cs="Calibri Light"/>
                <w:sz w:val="16"/>
                <w:szCs w:val="16"/>
              </w:rPr>
              <w:t>1,000.4</w:t>
            </w:r>
          </w:p>
        </w:tc>
      </w:tr>
      <w:tr w:rsidR="00D601F7" w:rsidRPr="008D1D3E" w14:paraId="405549CC" w14:textId="77777777" w:rsidTr="003075E0">
        <w:trPr>
          <w:trHeight w:val="284"/>
        </w:trPr>
        <w:tc>
          <w:tcPr>
            <w:tcW w:w="1266" w:type="pct"/>
            <w:shd w:val="clear" w:color="auto" w:fill="auto"/>
          </w:tcPr>
          <w:p w14:paraId="3C37965A" w14:textId="55663645" w:rsidR="00D601F7" w:rsidRPr="00D601F7" w:rsidRDefault="00D601F7" w:rsidP="00D601F7">
            <w:pPr>
              <w:spacing w:after="0"/>
              <w:rPr>
                <w:rFonts w:cs="Calibri Light"/>
                <w:sz w:val="16"/>
                <w:szCs w:val="16"/>
              </w:rPr>
            </w:pPr>
            <w:r w:rsidRPr="00D601F7">
              <w:rPr>
                <w:rFonts w:cs="Calibri Light"/>
                <w:sz w:val="16"/>
                <w:szCs w:val="16"/>
              </w:rPr>
              <w:t>Change (%) 2025-26 v 2024-25</w:t>
            </w:r>
          </w:p>
        </w:tc>
        <w:tc>
          <w:tcPr>
            <w:tcW w:w="533" w:type="pct"/>
            <w:shd w:val="clear" w:color="auto" w:fill="auto"/>
            <w:vAlign w:val="center"/>
          </w:tcPr>
          <w:p w14:paraId="3B8FCC98" w14:textId="1B793FFC" w:rsidR="00D601F7" w:rsidRPr="003D04CA" w:rsidRDefault="002D2ED4" w:rsidP="0005719A">
            <w:pPr>
              <w:spacing w:after="0"/>
              <w:jc w:val="center"/>
              <w:rPr>
                <w:rFonts w:cs="Calibri Light"/>
                <w:color w:val="C00000"/>
                <w:sz w:val="16"/>
                <w:szCs w:val="16"/>
              </w:rPr>
            </w:pPr>
            <w:r w:rsidRPr="003D04CA">
              <w:rPr>
                <w:rFonts w:cs="Calibri Light"/>
                <w:color w:val="C00000"/>
                <w:sz w:val="16"/>
                <w:szCs w:val="16"/>
              </w:rPr>
              <w:t>(0.1)</w:t>
            </w:r>
          </w:p>
        </w:tc>
        <w:tc>
          <w:tcPr>
            <w:tcW w:w="534" w:type="pct"/>
            <w:shd w:val="clear" w:color="auto" w:fill="auto"/>
            <w:vAlign w:val="center"/>
          </w:tcPr>
          <w:p w14:paraId="16A8AB27" w14:textId="159866FD" w:rsidR="00D601F7" w:rsidRPr="003D04CA" w:rsidRDefault="002D2ED4" w:rsidP="0005719A">
            <w:pPr>
              <w:spacing w:after="0"/>
              <w:jc w:val="center"/>
              <w:rPr>
                <w:rFonts w:cs="Calibri Light"/>
                <w:color w:val="C00000"/>
                <w:sz w:val="16"/>
                <w:szCs w:val="16"/>
              </w:rPr>
            </w:pPr>
            <w:r w:rsidRPr="003D04CA">
              <w:rPr>
                <w:rFonts w:cs="Calibri Light"/>
                <w:color w:val="C00000"/>
                <w:sz w:val="16"/>
                <w:szCs w:val="16"/>
              </w:rPr>
              <w:t>(0.7)</w:t>
            </w:r>
          </w:p>
        </w:tc>
        <w:tc>
          <w:tcPr>
            <w:tcW w:w="533" w:type="pct"/>
            <w:shd w:val="clear" w:color="auto" w:fill="auto"/>
            <w:vAlign w:val="center"/>
          </w:tcPr>
          <w:p w14:paraId="5FBAB907" w14:textId="12B3B37B" w:rsidR="00D601F7" w:rsidRPr="003D04CA" w:rsidRDefault="002D2ED4" w:rsidP="0005719A">
            <w:pPr>
              <w:spacing w:after="0"/>
              <w:jc w:val="center"/>
              <w:rPr>
                <w:rFonts w:cs="Calibri Light"/>
                <w:color w:val="C00000"/>
                <w:sz w:val="16"/>
                <w:szCs w:val="16"/>
              </w:rPr>
            </w:pPr>
            <w:r w:rsidRPr="003D04CA">
              <w:rPr>
                <w:rFonts w:cs="Calibri Light"/>
                <w:color w:val="C00000"/>
                <w:sz w:val="16"/>
                <w:szCs w:val="16"/>
              </w:rPr>
              <w:t>(8.8)</w:t>
            </w:r>
          </w:p>
        </w:tc>
        <w:tc>
          <w:tcPr>
            <w:tcW w:w="534" w:type="pct"/>
            <w:shd w:val="clear" w:color="auto" w:fill="auto"/>
            <w:vAlign w:val="center"/>
          </w:tcPr>
          <w:p w14:paraId="195934C9" w14:textId="12F938AC" w:rsidR="00D601F7" w:rsidRPr="003D04CA" w:rsidRDefault="002D2ED4" w:rsidP="0005719A">
            <w:pPr>
              <w:spacing w:after="0"/>
              <w:jc w:val="center"/>
              <w:rPr>
                <w:rFonts w:cs="Calibri Light"/>
                <w:color w:val="C00000"/>
                <w:sz w:val="16"/>
                <w:szCs w:val="16"/>
              </w:rPr>
            </w:pPr>
            <w:r w:rsidRPr="003D04CA">
              <w:rPr>
                <w:rFonts w:cs="Calibri Light"/>
                <w:color w:val="C00000"/>
                <w:sz w:val="16"/>
                <w:szCs w:val="16"/>
              </w:rPr>
              <w:t>(8.8)</w:t>
            </w:r>
          </w:p>
        </w:tc>
        <w:tc>
          <w:tcPr>
            <w:tcW w:w="533" w:type="pct"/>
            <w:shd w:val="clear" w:color="auto" w:fill="auto"/>
            <w:vAlign w:val="center"/>
          </w:tcPr>
          <w:p w14:paraId="0E4AC46F" w14:textId="7DFFE0CB" w:rsidR="00D601F7" w:rsidRPr="003D04CA" w:rsidRDefault="002D2ED4" w:rsidP="0005719A">
            <w:pPr>
              <w:spacing w:after="0"/>
              <w:jc w:val="center"/>
              <w:rPr>
                <w:rFonts w:cs="Calibri Light"/>
                <w:color w:val="C00000"/>
                <w:sz w:val="16"/>
                <w:szCs w:val="16"/>
              </w:rPr>
            </w:pPr>
            <w:r w:rsidRPr="003D04CA">
              <w:rPr>
                <w:rFonts w:cs="Calibri Light"/>
                <w:color w:val="C00000"/>
                <w:sz w:val="16"/>
                <w:szCs w:val="16"/>
              </w:rPr>
              <w:t>(8.8)</w:t>
            </w:r>
          </w:p>
        </w:tc>
        <w:tc>
          <w:tcPr>
            <w:tcW w:w="534" w:type="pct"/>
            <w:shd w:val="clear" w:color="auto" w:fill="auto"/>
            <w:vAlign w:val="center"/>
          </w:tcPr>
          <w:p w14:paraId="655E9FC1" w14:textId="5C5FC26E" w:rsidR="00D601F7" w:rsidRPr="003D04CA" w:rsidRDefault="002D2ED4" w:rsidP="0005719A">
            <w:pPr>
              <w:spacing w:after="0"/>
              <w:jc w:val="center"/>
              <w:rPr>
                <w:rFonts w:cs="Calibri Light"/>
                <w:color w:val="C00000"/>
                <w:sz w:val="16"/>
                <w:szCs w:val="16"/>
              </w:rPr>
            </w:pPr>
            <w:r w:rsidRPr="003D04CA">
              <w:rPr>
                <w:rFonts w:cs="Calibri Light"/>
                <w:color w:val="C00000"/>
                <w:sz w:val="16"/>
                <w:szCs w:val="16"/>
              </w:rPr>
              <w:t>(1.4)</w:t>
            </w:r>
          </w:p>
        </w:tc>
        <w:tc>
          <w:tcPr>
            <w:tcW w:w="533" w:type="pct"/>
            <w:shd w:val="clear" w:color="auto" w:fill="auto"/>
            <w:vAlign w:val="center"/>
          </w:tcPr>
          <w:p w14:paraId="7A238940" w14:textId="60B2EB5F" w:rsidR="00D601F7" w:rsidRPr="003D04CA" w:rsidRDefault="002D2ED4" w:rsidP="0005719A">
            <w:pPr>
              <w:spacing w:after="0"/>
              <w:jc w:val="center"/>
              <w:rPr>
                <w:rFonts w:cs="Calibri Light"/>
                <w:color w:val="C00000"/>
                <w:sz w:val="16"/>
                <w:szCs w:val="16"/>
              </w:rPr>
            </w:pPr>
            <w:r w:rsidRPr="003D04CA">
              <w:rPr>
                <w:rFonts w:cs="Calibri Light"/>
                <w:color w:val="C00000"/>
                <w:sz w:val="16"/>
                <w:szCs w:val="16"/>
              </w:rPr>
              <w:t>(5.9)</w:t>
            </w:r>
          </w:p>
        </w:tc>
      </w:tr>
    </w:tbl>
    <w:p w14:paraId="53B604A0" w14:textId="58537B0F" w:rsidR="00082FC2" w:rsidRPr="005378B1" w:rsidRDefault="00082FC2" w:rsidP="005378B1"/>
    <w:sectPr w:rsidR="00082FC2" w:rsidRPr="005378B1" w:rsidSect="000F2169">
      <w:headerReference w:type="even" r:id="rId31"/>
      <w:headerReference w:type="default" r:id="rId32"/>
      <w:footerReference w:type="even" r:id="rId33"/>
      <w:footerReference w:type="default" r:id="rId34"/>
      <w:headerReference w:type="first" r:id="rId35"/>
      <w:footerReference w:type="first" r:id="rId36"/>
      <w:pgSz w:w="11906" w:h="16838" w:code="9"/>
      <w:pgMar w:top="1843"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A03D3" w14:textId="77777777" w:rsidR="00A85D6A" w:rsidRDefault="00A85D6A">
      <w:pPr>
        <w:spacing w:before="0" w:after="0"/>
      </w:pPr>
      <w:r>
        <w:separator/>
      </w:r>
    </w:p>
  </w:endnote>
  <w:endnote w:type="continuationSeparator" w:id="0">
    <w:p w14:paraId="61A6C183" w14:textId="77777777" w:rsidR="00A85D6A" w:rsidRDefault="00A85D6A">
      <w:pPr>
        <w:spacing w:before="0" w:after="0"/>
      </w:pPr>
      <w:r>
        <w:continuationSeparator/>
      </w:r>
    </w:p>
  </w:endnote>
  <w:endnote w:type="continuationNotice" w:id="1">
    <w:p w14:paraId="13CC7523" w14:textId="77777777" w:rsidR="00A85D6A" w:rsidRDefault="00A85D6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Arial Bold">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15AE005C" w14:paraId="63B90BDD" w14:textId="77777777" w:rsidTr="15AE005C">
      <w:trPr>
        <w:trHeight w:val="300"/>
      </w:trPr>
      <w:tc>
        <w:tcPr>
          <w:tcW w:w="3020" w:type="dxa"/>
        </w:tcPr>
        <w:p w14:paraId="69B23834" w14:textId="0935A707" w:rsidR="15AE005C" w:rsidRDefault="15AE005C" w:rsidP="15AE005C">
          <w:pPr>
            <w:pStyle w:val="Header"/>
            <w:ind w:left="-115"/>
            <w:jc w:val="left"/>
          </w:pPr>
        </w:p>
      </w:tc>
      <w:tc>
        <w:tcPr>
          <w:tcW w:w="3020" w:type="dxa"/>
        </w:tcPr>
        <w:p w14:paraId="3F6229CD" w14:textId="3C2C64A7" w:rsidR="15AE005C" w:rsidRDefault="15AE005C" w:rsidP="15AE005C">
          <w:pPr>
            <w:pStyle w:val="Header"/>
            <w:jc w:val="center"/>
          </w:pPr>
        </w:p>
      </w:tc>
      <w:tc>
        <w:tcPr>
          <w:tcW w:w="3020" w:type="dxa"/>
        </w:tcPr>
        <w:p w14:paraId="1407E118" w14:textId="0C0D8D77" w:rsidR="15AE005C" w:rsidRDefault="15AE005C" w:rsidP="15AE005C">
          <w:pPr>
            <w:pStyle w:val="Header"/>
            <w:ind w:right="-115"/>
          </w:pPr>
        </w:p>
      </w:tc>
    </w:tr>
  </w:tbl>
  <w:p w14:paraId="16E30299" w14:textId="492A9812" w:rsidR="00D31AEC" w:rsidRDefault="00D31AEC">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181F2" w14:textId="77777777" w:rsidR="00E81A40" w:rsidRDefault="00E81A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15AE005C" w14:paraId="4E6E07FB" w14:textId="77777777" w:rsidTr="15AE005C">
      <w:trPr>
        <w:trHeight w:val="300"/>
      </w:trPr>
      <w:tc>
        <w:tcPr>
          <w:tcW w:w="3020" w:type="dxa"/>
        </w:tcPr>
        <w:p w14:paraId="32811925" w14:textId="0E031FE6" w:rsidR="15AE005C" w:rsidRDefault="15AE005C" w:rsidP="15AE005C">
          <w:pPr>
            <w:pStyle w:val="Header"/>
            <w:ind w:left="-115"/>
            <w:jc w:val="left"/>
          </w:pPr>
        </w:p>
      </w:tc>
      <w:tc>
        <w:tcPr>
          <w:tcW w:w="3020" w:type="dxa"/>
        </w:tcPr>
        <w:p w14:paraId="187CD0DC" w14:textId="2B7A4297" w:rsidR="15AE005C" w:rsidRDefault="15AE005C" w:rsidP="15AE005C">
          <w:pPr>
            <w:pStyle w:val="Header"/>
            <w:jc w:val="center"/>
          </w:pPr>
        </w:p>
      </w:tc>
      <w:tc>
        <w:tcPr>
          <w:tcW w:w="3020" w:type="dxa"/>
        </w:tcPr>
        <w:p w14:paraId="489FBEBF" w14:textId="097765FB" w:rsidR="15AE005C" w:rsidRDefault="15AE005C" w:rsidP="15AE005C">
          <w:pPr>
            <w:pStyle w:val="Header"/>
            <w:ind w:right="-115"/>
          </w:pPr>
        </w:p>
      </w:tc>
    </w:tr>
  </w:tbl>
  <w:p w14:paraId="79502463" w14:textId="060DA57E" w:rsidR="00D31AEC" w:rsidRDefault="00D31A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60062" w14:textId="77777777" w:rsidR="002314D2" w:rsidRPr="00E77C89" w:rsidRDefault="003C6509" w:rsidP="0017089D">
    <w:r>
      <w:fldChar w:fldCharType="begin"/>
    </w:r>
    <w:r>
      <w:instrText xml:space="preserve"> PAGE  \* Arabic  \* MERGEFORMAT </w:instrText>
    </w:r>
    <w:r>
      <w:fldChar w:fldCharType="separate"/>
    </w:r>
    <w:r>
      <w:t>6</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15AE005C" w14:paraId="5E19EAA1" w14:textId="77777777" w:rsidTr="15AE005C">
      <w:trPr>
        <w:trHeight w:val="300"/>
      </w:trPr>
      <w:tc>
        <w:tcPr>
          <w:tcW w:w="3020" w:type="dxa"/>
        </w:tcPr>
        <w:p w14:paraId="4BAE4D3C" w14:textId="0CC47433" w:rsidR="15AE005C" w:rsidRDefault="15AE005C" w:rsidP="15AE005C">
          <w:pPr>
            <w:pStyle w:val="Header"/>
            <w:ind w:left="-115"/>
            <w:jc w:val="left"/>
          </w:pPr>
        </w:p>
      </w:tc>
      <w:tc>
        <w:tcPr>
          <w:tcW w:w="3020" w:type="dxa"/>
        </w:tcPr>
        <w:p w14:paraId="70BA56AD" w14:textId="616C0777" w:rsidR="15AE005C" w:rsidRDefault="15AE005C" w:rsidP="15AE005C">
          <w:pPr>
            <w:pStyle w:val="Header"/>
            <w:jc w:val="center"/>
          </w:pPr>
        </w:p>
      </w:tc>
      <w:tc>
        <w:tcPr>
          <w:tcW w:w="3020" w:type="dxa"/>
        </w:tcPr>
        <w:p w14:paraId="6C346C9B" w14:textId="7678A0B4" w:rsidR="15AE005C" w:rsidRDefault="15AE005C" w:rsidP="15AE005C">
          <w:pPr>
            <w:pStyle w:val="Header"/>
            <w:ind w:right="-115"/>
          </w:pPr>
        </w:p>
      </w:tc>
    </w:tr>
  </w:tbl>
  <w:p w14:paraId="652885E4" w14:textId="53520031" w:rsidR="00D31AEC" w:rsidRDefault="00D31AE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15AE005C" w14:paraId="2C8395D4" w14:textId="77777777" w:rsidTr="15AE005C">
      <w:trPr>
        <w:trHeight w:val="300"/>
      </w:trPr>
      <w:tc>
        <w:tcPr>
          <w:tcW w:w="3020" w:type="dxa"/>
        </w:tcPr>
        <w:p w14:paraId="73F2DDD2" w14:textId="08C319B0" w:rsidR="15AE005C" w:rsidRDefault="15AE005C" w:rsidP="15AE005C">
          <w:pPr>
            <w:pStyle w:val="Header"/>
            <w:ind w:left="-115"/>
            <w:jc w:val="left"/>
          </w:pPr>
        </w:p>
      </w:tc>
      <w:tc>
        <w:tcPr>
          <w:tcW w:w="3020" w:type="dxa"/>
        </w:tcPr>
        <w:p w14:paraId="5879AF7C" w14:textId="641DBEA6" w:rsidR="15AE005C" w:rsidRDefault="15AE005C" w:rsidP="15AE005C">
          <w:pPr>
            <w:pStyle w:val="Header"/>
            <w:jc w:val="center"/>
          </w:pPr>
        </w:p>
      </w:tc>
      <w:tc>
        <w:tcPr>
          <w:tcW w:w="3020" w:type="dxa"/>
        </w:tcPr>
        <w:p w14:paraId="2FA0F23D" w14:textId="60BA7336" w:rsidR="15AE005C" w:rsidRDefault="15AE005C" w:rsidP="15AE005C">
          <w:pPr>
            <w:pStyle w:val="Header"/>
            <w:ind w:right="-115"/>
          </w:pPr>
        </w:p>
      </w:tc>
    </w:tr>
  </w:tbl>
  <w:p w14:paraId="252173B3" w14:textId="65FB7CB9" w:rsidR="00D31AEC" w:rsidRDefault="00D31AE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9DDD6" w14:textId="5EE6DA7F" w:rsidR="009927E5" w:rsidRPr="008043EA" w:rsidRDefault="009927E5" w:rsidP="0009151A">
    <w:r w:rsidRPr="00742366">
      <w:rPr>
        <w:noProof/>
      </w:rPr>
      <w:drawing>
        <wp:anchor distT="0" distB="0" distL="114300" distR="114300" simplePos="0" relativeHeight="251658241" behindDoc="1" locked="1" layoutInCell="1" allowOverlap="1" wp14:anchorId="0E21FBC0" wp14:editId="2776F0A6">
          <wp:simplePos x="0" y="0"/>
          <wp:positionH relativeFrom="margin">
            <wp:posOffset>5459095</wp:posOffset>
          </wp:positionH>
          <wp:positionV relativeFrom="page">
            <wp:posOffset>3280410</wp:posOffset>
          </wp:positionV>
          <wp:extent cx="7574280" cy="1043940"/>
          <wp:effectExtent l="7620" t="0" r="0" b="0"/>
          <wp:wrapNone/>
          <wp:docPr id="1744078545" name="Picture 17440785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078545" name="Picture 174407854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0" wp14:anchorId="146D1281" wp14:editId="7D4ED354">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770123748" name="Picture 7701237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123748" name="Picture 770123748">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rsidR="003C6509">
      <w:ptab w:relativeTo="margin" w:alignment="center" w:leader="none"/>
    </w:r>
    <w:r w:rsidR="009E55A7">
      <w:fldChar w:fldCharType="begin"/>
    </w:r>
    <w:r w:rsidR="003C6509">
      <w:instrText xml:space="preserve"> STYLEREF  "Heading 1"  \* MERGEFORMAT </w:instrText>
    </w:r>
    <w:r w:rsidR="009E55A7">
      <w:fldChar w:fldCharType="separate"/>
    </w:r>
    <w:r w:rsidR="00176FDF">
      <w:rPr>
        <w:noProof/>
      </w:rPr>
      <w:t>Contents</w:t>
    </w:r>
    <w:r w:rsidR="009E55A7">
      <w:rPr>
        <w:noProof/>
      </w:rPr>
      <w:fldChar w:fldCharType="end"/>
    </w:r>
    <w:r w:rsidR="003C6509">
      <w:t xml:space="preserve"> | </w:t>
    </w:r>
    <w:r w:rsidR="003C6509">
      <w:fldChar w:fldCharType="begin"/>
    </w:r>
    <w:r w:rsidR="003C6509">
      <w:instrText xml:space="preserve"> PAGE   \* MERGEFORMAT </w:instrText>
    </w:r>
    <w:r w:rsidR="003C6509">
      <w:fldChar w:fldCharType="separate"/>
    </w:r>
    <w:r w:rsidR="003C6509">
      <w:t>1</w:t>
    </w:r>
    <w:r w:rsidR="003C6509">
      <w:fldChar w:fldCharType="end"/>
    </w:r>
  </w:p>
  <w:p w14:paraId="24601EEE" w14:textId="77777777" w:rsidR="009927E5" w:rsidRPr="008043EA" w:rsidRDefault="009927E5" w:rsidP="009927E5"/>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15AE005C" w14:paraId="3DA78261" w14:textId="77777777" w:rsidTr="15AE005C">
      <w:trPr>
        <w:trHeight w:val="300"/>
      </w:trPr>
      <w:tc>
        <w:tcPr>
          <w:tcW w:w="3020" w:type="dxa"/>
        </w:tcPr>
        <w:p w14:paraId="0F4A53D3" w14:textId="657ECCAF" w:rsidR="15AE005C" w:rsidRDefault="15AE005C" w:rsidP="15AE005C">
          <w:pPr>
            <w:pStyle w:val="Header"/>
            <w:ind w:left="-115"/>
            <w:jc w:val="left"/>
          </w:pPr>
        </w:p>
      </w:tc>
      <w:tc>
        <w:tcPr>
          <w:tcW w:w="3020" w:type="dxa"/>
        </w:tcPr>
        <w:p w14:paraId="46735B75" w14:textId="49857D2D" w:rsidR="15AE005C" w:rsidRDefault="15AE005C" w:rsidP="15AE005C">
          <w:pPr>
            <w:pStyle w:val="Header"/>
            <w:jc w:val="center"/>
          </w:pPr>
        </w:p>
      </w:tc>
      <w:tc>
        <w:tcPr>
          <w:tcW w:w="3020" w:type="dxa"/>
        </w:tcPr>
        <w:p w14:paraId="0503A8A1" w14:textId="02DDAC38" w:rsidR="15AE005C" w:rsidRDefault="15AE005C" w:rsidP="15AE005C">
          <w:pPr>
            <w:pStyle w:val="Header"/>
            <w:ind w:right="-115"/>
          </w:pPr>
        </w:p>
      </w:tc>
    </w:tr>
  </w:tbl>
  <w:p w14:paraId="782C901B" w14:textId="70D74EFF" w:rsidR="00D31AEC" w:rsidRDefault="00D31AE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D4E28" w14:textId="77777777" w:rsidR="00E81A40" w:rsidRPr="00E77C89" w:rsidRDefault="003C6509" w:rsidP="0017089D">
    <w:r>
      <w:fldChar w:fldCharType="begin"/>
    </w:r>
    <w:r>
      <w:instrText xml:space="preserve"> PAGE  \* Arabic  \* MERGEFORMAT </w:instrText>
    </w:r>
    <w:r>
      <w:fldChar w:fldCharType="separate"/>
    </w:r>
    <w:r>
      <w:t>6</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722A2" w14:textId="248A2FE2" w:rsidR="00E81A40" w:rsidRPr="00E13E90" w:rsidRDefault="00E81A40" w:rsidP="00E13E90">
    <w:pPr>
      <w:pStyle w:val="Footer"/>
    </w:pPr>
    <w:r w:rsidRPr="00742366">
      <w:drawing>
        <wp:anchor distT="0" distB="0" distL="114300" distR="114300" simplePos="0" relativeHeight="251658243" behindDoc="1" locked="1" layoutInCell="1" allowOverlap="1" wp14:anchorId="037D9C51" wp14:editId="2BEB1339">
          <wp:simplePos x="0" y="0"/>
          <wp:positionH relativeFrom="margin">
            <wp:posOffset>5459095</wp:posOffset>
          </wp:positionH>
          <wp:positionV relativeFrom="page">
            <wp:posOffset>3280410</wp:posOffset>
          </wp:positionV>
          <wp:extent cx="7574280" cy="1043940"/>
          <wp:effectExtent l="7620" t="0" r="0" b="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sidRPr="00EF03E1">
      <w:rPr>
        <w:position w:val="-10"/>
      </w:rPr>
      <w:drawing>
        <wp:inline distT="0" distB="0" distL="0" distR="0" wp14:anchorId="023A58C8" wp14:editId="0A81B8A4">
          <wp:extent cx="1324800" cy="201600"/>
          <wp:effectExtent l="0" t="0" r="0" b="8255"/>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rsidR="003C6509">
      <w:tab/>
    </w:r>
    <w:fldSimple w:instr="STYLEREF  &quot;Heading 1&quot;  \* MERGEFORMAT">
      <w:r w:rsidR="00805677">
        <w:t>Summary of levies funding requirements for 2025–26</w:t>
      </w:r>
    </w:fldSimple>
    <w:r w:rsidR="003C6509">
      <w:t xml:space="preserve"> | </w:t>
    </w:r>
    <w:r w:rsidR="003C6509">
      <w:rPr>
        <w:noProof w:val="0"/>
      </w:rPr>
      <w:fldChar w:fldCharType="begin"/>
    </w:r>
    <w:r w:rsidR="003C6509">
      <w:instrText xml:space="preserve"> PAGE   \* MERGEFORMAT </w:instrText>
    </w:r>
    <w:r w:rsidR="003C6509">
      <w:rPr>
        <w:noProof w:val="0"/>
      </w:rPr>
      <w:fldChar w:fldCharType="separate"/>
    </w:r>
    <w:r w:rsidR="003C6509">
      <w:rPr>
        <w:noProof w:val="0"/>
      </w:rPr>
      <w:t>3</w:t>
    </w:r>
    <w:r w:rsidR="003C650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1E71C" w14:textId="77777777" w:rsidR="00A85D6A" w:rsidRDefault="00A85D6A">
      <w:pPr>
        <w:spacing w:before="0" w:after="0"/>
      </w:pPr>
      <w:r>
        <w:separator/>
      </w:r>
    </w:p>
  </w:footnote>
  <w:footnote w:type="continuationSeparator" w:id="0">
    <w:p w14:paraId="426271FC" w14:textId="77777777" w:rsidR="00A85D6A" w:rsidRDefault="00A85D6A">
      <w:pPr>
        <w:spacing w:before="0" w:after="0"/>
      </w:pPr>
      <w:r>
        <w:continuationSeparator/>
      </w:r>
    </w:p>
  </w:footnote>
  <w:footnote w:type="continuationNotice" w:id="1">
    <w:p w14:paraId="18A76A9E" w14:textId="77777777" w:rsidR="00A85D6A" w:rsidRDefault="00A85D6A">
      <w:pPr>
        <w:spacing w:before="0" w:after="0"/>
      </w:pPr>
    </w:p>
  </w:footnote>
  <w:footnote w:id="2">
    <w:p w14:paraId="6979DD12" w14:textId="3783BA5B" w:rsidR="00DE100A" w:rsidRDefault="00DE100A">
      <w:pPr>
        <w:pStyle w:val="FootnoteText"/>
      </w:pPr>
      <w:r>
        <w:rPr>
          <w:rStyle w:val="FootnoteReference"/>
        </w:rPr>
        <w:footnoteRef/>
      </w:r>
      <w:r>
        <w:t xml:space="preserve"> </w:t>
      </w:r>
      <w:r>
        <w:rPr>
          <w:color w:val="000000"/>
        </w:rPr>
        <w:t>Census day is the 30 June last occurring before the day on which the levy is payable</w:t>
      </w:r>
      <w:r w:rsidR="008448AC">
        <w:rPr>
          <w:color w:val="000000"/>
        </w:rPr>
        <w:t>.</w:t>
      </w:r>
    </w:p>
  </w:footnote>
  <w:footnote w:id="3">
    <w:p w14:paraId="15B08668" w14:textId="77777777" w:rsidR="00CE645F" w:rsidRPr="0028735B" w:rsidRDefault="00CE645F" w:rsidP="00CE645F">
      <w:pPr>
        <w:pStyle w:val="FootnoteText"/>
        <w:rPr>
          <w:highlight w:val="yellow"/>
        </w:rPr>
      </w:pPr>
      <w:r w:rsidRPr="001E2899">
        <w:rPr>
          <w:rStyle w:val="FootnoteReference"/>
          <w:vertAlign w:val="superscript"/>
        </w:rPr>
        <w:footnoteRef/>
      </w:r>
      <w:r>
        <w:t xml:space="preserve"> </w:t>
      </w:r>
      <w:hyperlink r:id="rId1" w:history="1">
        <w:r w:rsidRPr="0028735B">
          <w:rPr>
            <w:rStyle w:val="Hyperlink"/>
          </w:rPr>
          <w:t>https://www.apra.gov.au/statement-of-expectations</w:t>
        </w:r>
      </w:hyperlink>
      <w:r w:rsidRPr="00384E09">
        <w:t xml:space="preserve"> </w:t>
      </w:r>
    </w:p>
  </w:footnote>
  <w:footnote w:id="4">
    <w:p w14:paraId="1981CEA7" w14:textId="5614F19E" w:rsidR="007B1E21" w:rsidRDefault="007B1E21" w:rsidP="007B1E21">
      <w:pPr>
        <w:pStyle w:val="FootnoteText"/>
      </w:pPr>
      <w:r w:rsidRPr="00384E09">
        <w:rPr>
          <w:rStyle w:val="FootnoteReference"/>
          <w:vertAlign w:val="superscript"/>
        </w:rPr>
        <w:footnoteRef/>
      </w:r>
      <w:r>
        <w:t xml:space="preserve"> </w:t>
      </w:r>
      <w:hyperlink r:id="rId2" w:history="1">
        <w:r w:rsidR="00C05797" w:rsidRPr="00C05797">
          <w:rPr>
            <w:rStyle w:val="Hyperlink"/>
          </w:rPr>
          <w:t>https://www.apra.gov.au/apra-corporate-plan-2024-25</w:t>
        </w:r>
      </w:hyperlink>
    </w:p>
    <w:p w14:paraId="23E18F19" w14:textId="77777777" w:rsidR="007B1E21" w:rsidRDefault="007B1E21" w:rsidP="007B1E21">
      <w:pPr>
        <w:pStyle w:val="FootnoteText"/>
      </w:pPr>
    </w:p>
  </w:footnote>
  <w:footnote w:id="5">
    <w:p w14:paraId="1D680E10" w14:textId="77777777" w:rsidR="002C6CC3" w:rsidRDefault="002C6CC3" w:rsidP="002C6CC3">
      <w:pPr>
        <w:pStyle w:val="FootnoteText"/>
      </w:pPr>
      <w:r w:rsidRPr="001E2899">
        <w:rPr>
          <w:rStyle w:val="FootnoteReference"/>
          <w:vertAlign w:val="superscript"/>
        </w:rPr>
        <w:footnoteRef/>
      </w:r>
      <w:r>
        <w:t xml:space="preserve"> Refer to page 7 for ATO activities funded through the levies.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15AE005C" w14:paraId="50136C51" w14:textId="77777777" w:rsidTr="15AE005C">
      <w:trPr>
        <w:trHeight w:val="300"/>
      </w:trPr>
      <w:tc>
        <w:tcPr>
          <w:tcW w:w="3020" w:type="dxa"/>
        </w:tcPr>
        <w:p w14:paraId="0C476E7D" w14:textId="77BC7357" w:rsidR="15AE005C" w:rsidRDefault="15AE005C" w:rsidP="15AE005C">
          <w:pPr>
            <w:pStyle w:val="Header"/>
            <w:ind w:left="-115"/>
            <w:jc w:val="left"/>
          </w:pPr>
        </w:p>
      </w:tc>
      <w:tc>
        <w:tcPr>
          <w:tcW w:w="3020" w:type="dxa"/>
        </w:tcPr>
        <w:p w14:paraId="76453817" w14:textId="2E81BEA6" w:rsidR="15AE005C" w:rsidRDefault="15AE005C" w:rsidP="15AE005C">
          <w:pPr>
            <w:pStyle w:val="Header"/>
            <w:jc w:val="center"/>
          </w:pPr>
        </w:p>
      </w:tc>
      <w:tc>
        <w:tcPr>
          <w:tcW w:w="3020" w:type="dxa"/>
        </w:tcPr>
        <w:p w14:paraId="723E7FF5" w14:textId="37BDF0C7" w:rsidR="15AE005C" w:rsidRDefault="15AE005C" w:rsidP="15AE005C">
          <w:pPr>
            <w:pStyle w:val="Header"/>
            <w:ind w:right="-115"/>
          </w:pPr>
        </w:p>
      </w:tc>
    </w:tr>
  </w:tbl>
  <w:p w14:paraId="6499E973" w14:textId="1D404C27" w:rsidR="00D31AEC" w:rsidRDefault="00D31A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15AE005C" w14:paraId="1FC22F5A" w14:textId="77777777" w:rsidTr="15AE005C">
      <w:trPr>
        <w:trHeight w:val="300"/>
      </w:trPr>
      <w:tc>
        <w:tcPr>
          <w:tcW w:w="3020" w:type="dxa"/>
        </w:tcPr>
        <w:p w14:paraId="21B81B89" w14:textId="048CD976" w:rsidR="15AE005C" w:rsidRDefault="15AE005C" w:rsidP="15AE005C">
          <w:pPr>
            <w:pStyle w:val="Header"/>
            <w:ind w:left="-115"/>
            <w:jc w:val="left"/>
          </w:pPr>
        </w:p>
      </w:tc>
      <w:tc>
        <w:tcPr>
          <w:tcW w:w="3020" w:type="dxa"/>
        </w:tcPr>
        <w:p w14:paraId="4A6214E6" w14:textId="2C92CAB6" w:rsidR="15AE005C" w:rsidRDefault="15AE005C" w:rsidP="15AE005C">
          <w:pPr>
            <w:pStyle w:val="Header"/>
            <w:jc w:val="center"/>
          </w:pPr>
        </w:p>
      </w:tc>
      <w:tc>
        <w:tcPr>
          <w:tcW w:w="3020" w:type="dxa"/>
        </w:tcPr>
        <w:p w14:paraId="3E60B0EF" w14:textId="61C44D76" w:rsidR="15AE005C" w:rsidRDefault="15AE005C" w:rsidP="15AE005C">
          <w:pPr>
            <w:pStyle w:val="Header"/>
            <w:ind w:right="-115"/>
          </w:pPr>
        </w:p>
      </w:tc>
    </w:tr>
  </w:tbl>
  <w:p w14:paraId="44018A8C" w14:textId="5D82C5F3" w:rsidR="00D31AEC" w:rsidRDefault="00D31A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117A3" w14:textId="77777777" w:rsidR="002314D2" w:rsidRPr="001F3912" w:rsidRDefault="003C6509" w:rsidP="0017089D">
    <w:r>
      <w:fldChar w:fldCharType="begin"/>
    </w:r>
    <w:r>
      <w:instrText xml:space="preserve"> macrobutton nomacro [Click and add Publication Title] </w:instrTex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ECC35" w14:textId="77777777" w:rsidR="002314D2" w:rsidRPr="001F3912" w:rsidRDefault="002314D2" w:rsidP="0017089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15AE005C" w14:paraId="566BAFF6" w14:textId="77777777" w:rsidTr="15AE005C">
      <w:trPr>
        <w:trHeight w:val="300"/>
      </w:trPr>
      <w:tc>
        <w:tcPr>
          <w:tcW w:w="3020" w:type="dxa"/>
        </w:tcPr>
        <w:p w14:paraId="32486D38" w14:textId="7B05453E" w:rsidR="15AE005C" w:rsidRDefault="15AE005C" w:rsidP="15AE005C">
          <w:pPr>
            <w:pStyle w:val="Header"/>
            <w:ind w:left="-115"/>
            <w:jc w:val="left"/>
          </w:pPr>
        </w:p>
      </w:tc>
      <w:tc>
        <w:tcPr>
          <w:tcW w:w="3020" w:type="dxa"/>
        </w:tcPr>
        <w:p w14:paraId="7352F997" w14:textId="4174E2E4" w:rsidR="15AE005C" w:rsidRDefault="15AE005C" w:rsidP="15AE005C">
          <w:pPr>
            <w:pStyle w:val="Header"/>
            <w:jc w:val="center"/>
          </w:pPr>
        </w:p>
      </w:tc>
      <w:tc>
        <w:tcPr>
          <w:tcW w:w="3020" w:type="dxa"/>
        </w:tcPr>
        <w:p w14:paraId="651B8512" w14:textId="08518981" w:rsidR="15AE005C" w:rsidRDefault="15AE005C" w:rsidP="15AE005C">
          <w:pPr>
            <w:pStyle w:val="Header"/>
            <w:ind w:right="-115"/>
          </w:pPr>
        </w:p>
      </w:tc>
    </w:tr>
  </w:tbl>
  <w:p w14:paraId="704AA439" w14:textId="7303BECF" w:rsidR="00D31AEC" w:rsidRDefault="00D31AE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15AE005C" w14:paraId="3F7D6328" w14:textId="77777777" w:rsidTr="15AE005C">
      <w:trPr>
        <w:trHeight w:val="300"/>
      </w:trPr>
      <w:tc>
        <w:tcPr>
          <w:tcW w:w="3020" w:type="dxa"/>
        </w:tcPr>
        <w:p w14:paraId="414CB061" w14:textId="2245CBB9" w:rsidR="15AE005C" w:rsidRDefault="15AE005C" w:rsidP="15AE005C">
          <w:pPr>
            <w:pStyle w:val="Header"/>
            <w:ind w:left="-115"/>
            <w:jc w:val="left"/>
          </w:pPr>
        </w:p>
      </w:tc>
      <w:tc>
        <w:tcPr>
          <w:tcW w:w="3020" w:type="dxa"/>
        </w:tcPr>
        <w:p w14:paraId="5B097524" w14:textId="49A2AEF4" w:rsidR="15AE005C" w:rsidRDefault="15AE005C" w:rsidP="15AE005C">
          <w:pPr>
            <w:pStyle w:val="Header"/>
            <w:jc w:val="center"/>
          </w:pPr>
        </w:p>
      </w:tc>
      <w:tc>
        <w:tcPr>
          <w:tcW w:w="3020" w:type="dxa"/>
        </w:tcPr>
        <w:p w14:paraId="13E3682D" w14:textId="33A146D9" w:rsidR="15AE005C" w:rsidRDefault="15AE005C" w:rsidP="15AE005C">
          <w:pPr>
            <w:pStyle w:val="Header"/>
            <w:ind w:right="-115"/>
          </w:pPr>
        </w:p>
      </w:tc>
    </w:tr>
  </w:tbl>
  <w:p w14:paraId="36B5ED2A" w14:textId="566BD9E2" w:rsidR="00D31AEC" w:rsidRDefault="00D31AE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D4C77" w14:textId="77777777" w:rsidR="00E81A40" w:rsidRPr="001F3912" w:rsidRDefault="003C6509" w:rsidP="0017089D">
    <w:r>
      <w:fldChar w:fldCharType="begin"/>
    </w:r>
    <w:r>
      <w:instrText xml:space="preserve"> macrobutton nomacro [Click and add Publication Title] </w:instrTex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40DB3" w14:textId="77777777" w:rsidR="00E81A40" w:rsidRPr="00963E8D" w:rsidRDefault="00E81A40" w:rsidP="00963E8D">
    <w:pPr>
      <w:pStyle w:val="Header"/>
    </w:pPr>
    <w:r>
      <w:rPr>
        <w:noProof/>
      </w:rPr>
      <w:drawing>
        <wp:anchor distT="0" distB="0" distL="114300" distR="114300" simplePos="0" relativeHeight="251658242" behindDoc="1" locked="1" layoutInCell="1" allowOverlap="1" wp14:anchorId="37580891" wp14:editId="5235A59E">
          <wp:simplePos x="0" y="0"/>
          <wp:positionH relativeFrom="page">
            <wp:align>center</wp:align>
          </wp:positionH>
          <wp:positionV relativeFrom="page">
            <wp:align>top</wp:align>
          </wp:positionV>
          <wp:extent cx="7570800" cy="1044000"/>
          <wp:effectExtent l="0" t="0" r="0" b="381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C19F1" w14:textId="77777777" w:rsidR="00E81A40" w:rsidRDefault="00E81A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0074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02D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25C4E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90B9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49C85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2CBC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246D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D800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E6812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8326E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90502"/>
    <w:multiLevelType w:val="hybridMultilevel"/>
    <w:tmpl w:val="82743874"/>
    <w:lvl w:ilvl="0" w:tplc="740ED89E">
      <w:start w:val="1"/>
      <w:numFmt w:val="bullet"/>
      <w:lvlText w:val=""/>
      <w:lvlJc w:val="left"/>
      <w:pPr>
        <w:ind w:left="720" w:hanging="360"/>
      </w:pPr>
      <w:rPr>
        <w:rFonts w:ascii="Symbol" w:hAnsi="Symbol" w:hint="default"/>
      </w:rPr>
    </w:lvl>
    <w:lvl w:ilvl="1" w:tplc="B8BECD8E">
      <w:start w:val="1"/>
      <w:numFmt w:val="bullet"/>
      <w:lvlText w:val="o"/>
      <w:lvlJc w:val="left"/>
      <w:pPr>
        <w:ind w:left="1440" w:hanging="360"/>
      </w:pPr>
      <w:rPr>
        <w:rFonts w:ascii="Courier New" w:hAnsi="Courier New" w:cs="Courier New" w:hint="default"/>
      </w:rPr>
    </w:lvl>
    <w:lvl w:ilvl="2" w:tplc="3BBABB4A">
      <w:start w:val="1"/>
      <w:numFmt w:val="bullet"/>
      <w:lvlText w:val=""/>
      <w:lvlJc w:val="left"/>
      <w:pPr>
        <w:ind w:left="2160" w:hanging="360"/>
      </w:pPr>
      <w:rPr>
        <w:rFonts w:ascii="Wingdings" w:hAnsi="Wingdings" w:hint="default"/>
      </w:rPr>
    </w:lvl>
    <w:lvl w:ilvl="3" w:tplc="8026ACA6">
      <w:start w:val="1"/>
      <w:numFmt w:val="bullet"/>
      <w:lvlText w:val=""/>
      <w:lvlJc w:val="left"/>
      <w:pPr>
        <w:ind w:left="2880" w:hanging="360"/>
      </w:pPr>
      <w:rPr>
        <w:rFonts w:ascii="Symbol" w:hAnsi="Symbol" w:hint="default"/>
      </w:rPr>
    </w:lvl>
    <w:lvl w:ilvl="4" w:tplc="0FA0DDC4">
      <w:start w:val="1"/>
      <w:numFmt w:val="bullet"/>
      <w:lvlText w:val="o"/>
      <w:lvlJc w:val="left"/>
      <w:pPr>
        <w:ind w:left="3600" w:hanging="360"/>
      </w:pPr>
      <w:rPr>
        <w:rFonts w:ascii="Courier New" w:hAnsi="Courier New" w:cs="Courier New" w:hint="default"/>
      </w:rPr>
    </w:lvl>
    <w:lvl w:ilvl="5" w:tplc="5E44BAF0">
      <w:start w:val="1"/>
      <w:numFmt w:val="bullet"/>
      <w:lvlText w:val=""/>
      <w:lvlJc w:val="left"/>
      <w:pPr>
        <w:ind w:left="4320" w:hanging="360"/>
      </w:pPr>
      <w:rPr>
        <w:rFonts w:ascii="Wingdings" w:hAnsi="Wingdings" w:hint="default"/>
      </w:rPr>
    </w:lvl>
    <w:lvl w:ilvl="6" w:tplc="023E68FC">
      <w:start w:val="1"/>
      <w:numFmt w:val="bullet"/>
      <w:lvlText w:val=""/>
      <w:lvlJc w:val="left"/>
      <w:pPr>
        <w:ind w:left="5040" w:hanging="360"/>
      </w:pPr>
      <w:rPr>
        <w:rFonts w:ascii="Symbol" w:hAnsi="Symbol" w:hint="default"/>
      </w:rPr>
    </w:lvl>
    <w:lvl w:ilvl="7" w:tplc="07DA7DBC">
      <w:start w:val="1"/>
      <w:numFmt w:val="bullet"/>
      <w:lvlText w:val="o"/>
      <w:lvlJc w:val="left"/>
      <w:pPr>
        <w:ind w:left="5760" w:hanging="360"/>
      </w:pPr>
      <w:rPr>
        <w:rFonts w:ascii="Courier New" w:hAnsi="Courier New" w:cs="Courier New" w:hint="default"/>
      </w:rPr>
    </w:lvl>
    <w:lvl w:ilvl="8" w:tplc="32B2674A">
      <w:start w:val="1"/>
      <w:numFmt w:val="bullet"/>
      <w:lvlText w:val=""/>
      <w:lvlJc w:val="left"/>
      <w:pPr>
        <w:ind w:left="6480" w:hanging="360"/>
      </w:pPr>
      <w:rPr>
        <w:rFonts w:ascii="Wingdings" w:hAnsi="Wingdings" w:hint="default"/>
      </w:rPr>
    </w:lvl>
  </w:abstractNum>
  <w:abstractNum w:abstractNumId="11" w15:restartNumberingAfterBreak="0">
    <w:nsid w:val="05EB3DEC"/>
    <w:multiLevelType w:val="hybridMultilevel"/>
    <w:tmpl w:val="A8BE2E3A"/>
    <w:lvl w:ilvl="0" w:tplc="DB7E0A40">
      <w:start w:val="1"/>
      <w:numFmt w:val="bullet"/>
      <w:lvlText w:val=""/>
      <w:lvlJc w:val="left"/>
      <w:pPr>
        <w:ind w:left="720" w:hanging="360"/>
      </w:pPr>
      <w:rPr>
        <w:rFonts w:ascii="Symbol" w:hAnsi="Symbol" w:hint="default"/>
      </w:rPr>
    </w:lvl>
    <w:lvl w:ilvl="1" w:tplc="8AEE2F3C">
      <w:start w:val="1"/>
      <w:numFmt w:val="bullet"/>
      <w:lvlText w:val=""/>
      <w:lvlJc w:val="left"/>
      <w:pPr>
        <w:ind w:left="1440" w:hanging="360"/>
      </w:pPr>
      <w:rPr>
        <w:rFonts w:ascii="Symbol" w:hAnsi="Symbol" w:hint="default"/>
      </w:rPr>
    </w:lvl>
    <w:lvl w:ilvl="2" w:tplc="7480BFE4" w:tentative="1">
      <w:start w:val="1"/>
      <w:numFmt w:val="lowerRoman"/>
      <w:lvlText w:val="%3."/>
      <w:lvlJc w:val="right"/>
      <w:pPr>
        <w:ind w:left="2160" w:hanging="180"/>
      </w:pPr>
    </w:lvl>
    <w:lvl w:ilvl="3" w:tplc="22A0C2E6" w:tentative="1">
      <w:start w:val="1"/>
      <w:numFmt w:val="decimal"/>
      <w:lvlText w:val="%4."/>
      <w:lvlJc w:val="left"/>
      <w:pPr>
        <w:ind w:left="2880" w:hanging="360"/>
      </w:pPr>
    </w:lvl>
    <w:lvl w:ilvl="4" w:tplc="64EE6D48" w:tentative="1">
      <w:start w:val="1"/>
      <w:numFmt w:val="lowerLetter"/>
      <w:lvlText w:val="%5."/>
      <w:lvlJc w:val="left"/>
      <w:pPr>
        <w:ind w:left="3600" w:hanging="360"/>
      </w:pPr>
    </w:lvl>
    <w:lvl w:ilvl="5" w:tplc="0142844C" w:tentative="1">
      <w:start w:val="1"/>
      <w:numFmt w:val="lowerRoman"/>
      <w:lvlText w:val="%6."/>
      <w:lvlJc w:val="right"/>
      <w:pPr>
        <w:ind w:left="4320" w:hanging="180"/>
      </w:pPr>
    </w:lvl>
    <w:lvl w:ilvl="6" w:tplc="BCF23C3E" w:tentative="1">
      <w:start w:val="1"/>
      <w:numFmt w:val="decimal"/>
      <w:lvlText w:val="%7."/>
      <w:lvlJc w:val="left"/>
      <w:pPr>
        <w:ind w:left="5040" w:hanging="360"/>
      </w:pPr>
    </w:lvl>
    <w:lvl w:ilvl="7" w:tplc="A356AA7C" w:tentative="1">
      <w:start w:val="1"/>
      <w:numFmt w:val="lowerLetter"/>
      <w:lvlText w:val="%8."/>
      <w:lvlJc w:val="left"/>
      <w:pPr>
        <w:ind w:left="5760" w:hanging="360"/>
      </w:pPr>
    </w:lvl>
    <w:lvl w:ilvl="8" w:tplc="F7A05934" w:tentative="1">
      <w:start w:val="1"/>
      <w:numFmt w:val="lowerRoman"/>
      <w:lvlText w:val="%9."/>
      <w:lvlJc w:val="right"/>
      <w:pPr>
        <w:ind w:left="6480" w:hanging="180"/>
      </w:pPr>
    </w:lvl>
  </w:abstractNum>
  <w:abstractNum w:abstractNumId="12"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3" w15:restartNumberingAfterBreak="0">
    <w:nsid w:val="094852DC"/>
    <w:multiLevelType w:val="hybridMultilevel"/>
    <w:tmpl w:val="039247C4"/>
    <w:lvl w:ilvl="0" w:tplc="871008C2">
      <w:start w:val="1"/>
      <w:numFmt w:val="decimal"/>
      <w:lvlText w:val="%1."/>
      <w:lvlJc w:val="left"/>
      <w:pPr>
        <w:ind w:left="720" w:hanging="360"/>
      </w:pPr>
      <w:rPr>
        <w:rFonts w:cs="Times New Roman"/>
      </w:rPr>
    </w:lvl>
    <w:lvl w:ilvl="1" w:tplc="47620F68" w:tentative="1">
      <w:start w:val="1"/>
      <w:numFmt w:val="lowerLetter"/>
      <w:lvlText w:val="%2."/>
      <w:lvlJc w:val="left"/>
      <w:pPr>
        <w:ind w:left="1440" w:hanging="360"/>
      </w:pPr>
      <w:rPr>
        <w:rFonts w:cs="Times New Roman"/>
      </w:rPr>
    </w:lvl>
    <w:lvl w:ilvl="2" w:tplc="5FA6C83C" w:tentative="1">
      <w:start w:val="1"/>
      <w:numFmt w:val="lowerRoman"/>
      <w:lvlText w:val="%3."/>
      <w:lvlJc w:val="right"/>
      <w:pPr>
        <w:ind w:left="2160" w:hanging="180"/>
      </w:pPr>
      <w:rPr>
        <w:rFonts w:cs="Times New Roman"/>
      </w:rPr>
    </w:lvl>
    <w:lvl w:ilvl="3" w:tplc="5768C45C" w:tentative="1">
      <w:start w:val="1"/>
      <w:numFmt w:val="decimal"/>
      <w:lvlText w:val="%4."/>
      <w:lvlJc w:val="left"/>
      <w:pPr>
        <w:ind w:left="2880" w:hanging="360"/>
      </w:pPr>
      <w:rPr>
        <w:rFonts w:cs="Times New Roman"/>
      </w:rPr>
    </w:lvl>
    <w:lvl w:ilvl="4" w:tplc="76A65994" w:tentative="1">
      <w:start w:val="1"/>
      <w:numFmt w:val="lowerLetter"/>
      <w:lvlText w:val="%5."/>
      <w:lvlJc w:val="left"/>
      <w:pPr>
        <w:ind w:left="3600" w:hanging="360"/>
      </w:pPr>
      <w:rPr>
        <w:rFonts w:cs="Times New Roman"/>
      </w:rPr>
    </w:lvl>
    <w:lvl w:ilvl="5" w:tplc="0286436C" w:tentative="1">
      <w:start w:val="1"/>
      <w:numFmt w:val="lowerRoman"/>
      <w:lvlText w:val="%6."/>
      <w:lvlJc w:val="right"/>
      <w:pPr>
        <w:ind w:left="4320" w:hanging="180"/>
      </w:pPr>
      <w:rPr>
        <w:rFonts w:cs="Times New Roman"/>
      </w:rPr>
    </w:lvl>
    <w:lvl w:ilvl="6" w:tplc="EDCC6522" w:tentative="1">
      <w:start w:val="1"/>
      <w:numFmt w:val="decimal"/>
      <w:lvlText w:val="%7."/>
      <w:lvlJc w:val="left"/>
      <w:pPr>
        <w:ind w:left="5040" w:hanging="360"/>
      </w:pPr>
      <w:rPr>
        <w:rFonts w:cs="Times New Roman"/>
      </w:rPr>
    </w:lvl>
    <w:lvl w:ilvl="7" w:tplc="625243AE" w:tentative="1">
      <w:start w:val="1"/>
      <w:numFmt w:val="lowerLetter"/>
      <w:lvlText w:val="%8."/>
      <w:lvlJc w:val="left"/>
      <w:pPr>
        <w:ind w:left="5760" w:hanging="360"/>
      </w:pPr>
      <w:rPr>
        <w:rFonts w:cs="Times New Roman"/>
      </w:rPr>
    </w:lvl>
    <w:lvl w:ilvl="8" w:tplc="FC841544" w:tentative="1">
      <w:start w:val="1"/>
      <w:numFmt w:val="lowerRoman"/>
      <w:lvlText w:val="%9."/>
      <w:lvlJc w:val="right"/>
      <w:pPr>
        <w:ind w:left="6480" w:hanging="180"/>
      </w:pPr>
      <w:rPr>
        <w:rFonts w:cs="Times New Roman"/>
      </w:rPr>
    </w:lvl>
  </w:abstractNum>
  <w:abstractNum w:abstractNumId="14" w15:restartNumberingAfterBreak="0">
    <w:nsid w:val="0A3C60AE"/>
    <w:multiLevelType w:val="hybridMultilevel"/>
    <w:tmpl w:val="BD46BACE"/>
    <w:lvl w:ilvl="0" w:tplc="7EF4E6AE">
      <w:start w:val="1"/>
      <w:numFmt w:val="lowerLetter"/>
      <w:lvlText w:val="%1)"/>
      <w:lvlJc w:val="left"/>
      <w:pPr>
        <w:ind w:left="720" w:hanging="360"/>
      </w:pPr>
      <w:rPr>
        <w:rFonts w:hint="default"/>
      </w:rPr>
    </w:lvl>
    <w:lvl w:ilvl="1" w:tplc="376A2A14" w:tentative="1">
      <w:start w:val="1"/>
      <w:numFmt w:val="lowerLetter"/>
      <w:lvlText w:val="%2."/>
      <w:lvlJc w:val="left"/>
      <w:pPr>
        <w:ind w:left="1440" w:hanging="360"/>
      </w:pPr>
    </w:lvl>
    <w:lvl w:ilvl="2" w:tplc="B204DFA8" w:tentative="1">
      <w:start w:val="1"/>
      <w:numFmt w:val="lowerRoman"/>
      <w:lvlText w:val="%3."/>
      <w:lvlJc w:val="right"/>
      <w:pPr>
        <w:ind w:left="2160" w:hanging="180"/>
      </w:pPr>
    </w:lvl>
    <w:lvl w:ilvl="3" w:tplc="AABA140C" w:tentative="1">
      <w:start w:val="1"/>
      <w:numFmt w:val="decimal"/>
      <w:lvlText w:val="%4."/>
      <w:lvlJc w:val="left"/>
      <w:pPr>
        <w:ind w:left="2880" w:hanging="360"/>
      </w:pPr>
    </w:lvl>
    <w:lvl w:ilvl="4" w:tplc="64709B68" w:tentative="1">
      <w:start w:val="1"/>
      <w:numFmt w:val="lowerLetter"/>
      <w:lvlText w:val="%5."/>
      <w:lvlJc w:val="left"/>
      <w:pPr>
        <w:ind w:left="3600" w:hanging="360"/>
      </w:pPr>
    </w:lvl>
    <w:lvl w:ilvl="5" w:tplc="8AE62CFA" w:tentative="1">
      <w:start w:val="1"/>
      <w:numFmt w:val="lowerRoman"/>
      <w:lvlText w:val="%6."/>
      <w:lvlJc w:val="right"/>
      <w:pPr>
        <w:ind w:left="4320" w:hanging="180"/>
      </w:pPr>
    </w:lvl>
    <w:lvl w:ilvl="6" w:tplc="FAD20722" w:tentative="1">
      <w:start w:val="1"/>
      <w:numFmt w:val="decimal"/>
      <w:lvlText w:val="%7."/>
      <w:lvlJc w:val="left"/>
      <w:pPr>
        <w:ind w:left="5040" w:hanging="360"/>
      </w:pPr>
    </w:lvl>
    <w:lvl w:ilvl="7" w:tplc="075211CE" w:tentative="1">
      <w:start w:val="1"/>
      <w:numFmt w:val="lowerLetter"/>
      <w:lvlText w:val="%8."/>
      <w:lvlJc w:val="left"/>
      <w:pPr>
        <w:ind w:left="5760" w:hanging="360"/>
      </w:pPr>
    </w:lvl>
    <w:lvl w:ilvl="8" w:tplc="5FC2302A" w:tentative="1">
      <w:start w:val="1"/>
      <w:numFmt w:val="lowerRoman"/>
      <w:lvlText w:val="%9."/>
      <w:lvlJc w:val="right"/>
      <w:pPr>
        <w:ind w:left="6480" w:hanging="180"/>
      </w:pPr>
    </w:lvl>
  </w:abstractNum>
  <w:abstractNum w:abstractNumId="15" w15:restartNumberingAfterBreak="0">
    <w:nsid w:val="0A6E5A70"/>
    <w:multiLevelType w:val="hybridMultilevel"/>
    <w:tmpl w:val="B060D298"/>
    <w:lvl w:ilvl="0" w:tplc="D3EA472A">
      <w:start w:val="1"/>
      <w:numFmt w:val="bullet"/>
      <w:lvlText w:val=""/>
      <w:lvlJc w:val="left"/>
      <w:pPr>
        <w:ind w:left="720" w:hanging="360"/>
      </w:pPr>
      <w:rPr>
        <w:rFonts w:ascii="Symbol" w:hAnsi="Symbol" w:hint="default"/>
      </w:rPr>
    </w:lvl>
    <w:lvl w:ilvl="1" w:tplc="8AE63618">
      <w:start w:val="1"/>
      <w:numFmt w:val="bullet"/>
      <w:lvlText w:val="o"/>
      <w:lvlJc w:val="left"/>
      <w:pPr>
        <w:ind w:left="1440" w:hanging="360"/>
      </w:pPr>
      <w:rPr>
        <w:rFonts w:ascii="Courier New" w:hAnsi="Courier New" w:cs="Courier New" w:hint="default"/>
      </w:rPr>
    </w:lvl>
    <w:lvl w:ilvl="2" w:tplc="C082BC7A">
      <w:start w:val="1"/>
      <w:numFmt w:val="bullet"/>
      <w:lvlText w:val=""/>
      <w:lvlJc w:val="left"/>
      <w:pPr>
        <w:ind w:left="2160" w:hanging="360"/>
      </w:pPr>
      <w:rPr>
        <w:rFonts w:ascii="Wingdings" w:hAnsi="Wingdings" w:hint="default"/>
      </w:rPr>
    </w:lvl>
    <w:lvl w:ilvl="3" w:tplc="255EE126">
      <w:start w:val="1"/>
      <w:numFmt w:val="bullet"/>
      <w:lvlText w:val=""/>
      <w:lvlJc w:val="left"/>
      <w:pPr>
        <w:ind w:left="2880" w:hanging="360"/>
      </w:pPr>
      <w:rPr>
        <w:rFonts w:ascii="Symbol" w:hAnsi="Symbol" w:hint="default"/>
      </w:rPr>
    </w:lvl>
    <w:lvl w:ilvl="4" w:tplc="0DEA174A">
      <w:start w:val="1"/>
      <w:numFmt w:val="bullet"/>
      <w:lvlText w:val="o"/>
      <w:lvlJc w:val="left"/>
      <w:pPr>
        <w:ind w:left="3600" w:hanging="360"/>
      </w:pPr>
      <w:rPr>
        <w:rFonts w:ascii="Courier New" w:hAnsi="Courier New" w:cs="Courier New" w:hint="default"/>
      </w:rPr>
    </w:lvl>
    <w:lvl w:ilvl="5" w:tplc="D7149F06">
      <w:start w:val="1"/>
      <w:numFmt w:val="bullet"/>
      <w:lvlText w:val=""/>
      <w:lvlJc w:val="left"/>
      <w:pPr>
        <w:ind w:left="4320" w:hanging="360"/>
      </w:pPr>
      <w:rPr>
        <w:rFonts w:ascii="Wingdings" w:hAnsi="Wingdings" w:hint="default"/>
      </w:rPr>
    </w:lvl>
    <w:lvl w:ilvl="6" w:tplc="12940BA8">
      <w:start w:val="1"/>
      <w:numFmt w:val="bullet"/>
      <w:lvlText w:val=""/>
      <w:lvlJc w:val="left"/>
      <w:pPr>
        <w:ind w:left="5040" w:hanging="360"/>
      </w:pPr>
      <w:rPr>
        <w:rFonts w:ascii="Symbol" w:hAnsi="Symbol" w:hint="default"/>
      </w:rPr>
    </w:lvl>
    <w:lvl w:ilvl="7" w:tplc="A0127212">
      <w:start w:val="1"/>
      <w:numFmt w:val="bullet"/>
      <w:lvlText w:val="o"/>
      <w:lvlJc w:val="left"/>
      <w:pPr>
        <w:ind w:left="5760" w:hanging="360"/>
      </w:pPr>
      <w:rPr>
        <w:rFonts w:ascii="Courier New" w:hAnsi="Courier New" w:cs="Courier New" w:hint="default"/>
      </w:rPr>
    </w:lvl>
    <w:lvl w:ilvl="8" w:tplc="A334B42A">
      <w:start w:val="1"/>
      <w:numFmt w:val="bullet"/>
      <w:lvlText w:val=""/>
      <w:lvlJc w:val="left"/>
      <w:pPr>
        <w:ind w:left="6480" w:hanging="360"/>
      </w:pPr>
      <w:rPr>
        <w:rFonts w:ascii="Wingdings" w:hAnsi="Wingdings" w:hint="default"/>
      </w:rPr>
    </w:lvl>
  </w:abstractNum>
  <w:abstractNum w:abstractNumId="16" w15:restartNumberingAfterBreak="0">
    <w:nsid w:val="0ECB224E"/>
    <w:multiLevelType w:val="multilevel"/>
    <w:tmpl w:val="66E86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10C2B67"/>
    <w:multiLevelType w:val="hybridMultilevel"/>
    <w:tmpl w:val="9C620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7DF7717"/>
    <w:multiLevelType w:val="multilevel"/>
    <w:tmpl w:val="32BA81B0"/>
    <w:lvl w:ilvl="0">
      <w:start w:val="1"/>
      <w:numFmt w:val="decimal"/>
      <w:pStyle w:val="Heading1Numbered"/>
      <w:lvlText w:val="%1."/>
      <w:lvlJc w:val="left"/>
      <w:pPr>
        <w:ind w:left="454" w:hanging="454"/>
      </w:pPr>
      <w:rPr>
        <w:rFonts w:hint="default"/>
      </w:rPr>
    </w:lvl>
    <w:lvl w:ilvl="1">
      <w:start w:val="1"/>
      <w:numFmt w:val="decimal"/>
      <w:pStyle w:val="Heading2Numbered"/>
      <w:lvlText w:val="%1.%2"/>
      <w:lvlJc w:val="left"/>
      <w:pPr>
        <w:ind w:left="454" w:hanging="454"/>
      </w:pPr>
      <w:rPr>
        <w:rFonts w:hint="default"/>
      </w:rPr>
    </w:lvl>
    <w:lvl w:ilvl="2">
      <w:start w:val="1"/>
      <w:numFmt w:val="decimal"/>
      <w:pStyle w:val="Heading3Numbered"/>
      <w:lvlText w:val="%1.%2.%3"/>
      <w:lvlJc w:val="left"/>
      <w:pPr>
        <w:ind w:left="454" w:hanging="454"/>
      </w:pPr>
      <w:rPr>
        <w:rFonts w:hint="default"/>
      </w:rPr>
    </w:lvl>
    <w:lvl w:ilvl="3">
      <w:start w:val="1"/>
      <w:numFmt w:val="decimal"/>
      <w:lvlText w:val="(%4)"/>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lef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left"/>
      <w:pPr>
        <w:ind w:left="454" w:hanging="454"/>
      </w:pPr>
      <w:rPr>
        <w:rFonts w:hint="default"/>
      </w:rPr>
    </w:lvl>
  </w:abstractNum>
  <w:abstractNum w:abstractNumId="20" w15:restartNumberingAfterBreak="0">
    <w:nsid w:val="1E2B1AF8"/>
    <w:multiLevelType w:val="hybridMultilevel"/>
    <w:tmpl w:val="91866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3D600B1"/>
    <w:multiLevelType w:val="hybridMultilevel"/>
    <w:tmpl w:val="D5DC19AA"/>
    <w:lvl w:ilvl="0" w:tplc="9412F8F4">
      <w:start w:val="1"/>
      <w:numFmt w:val="decimal"/>
      <w:lvlText w:val="%1."/>
      <w:lvlJc w:val="left"/>
      <w:pPr>
        <w:ind w:left="720" w:hanging="360"/>
      </w:pPr>
      <w:rPr>
        <w:rFonts w:hint="default"/>
      </w:rPr>
    </w:lvl>
    <w:lvl w:ilvl="1" w:tplc="30663C26" w:tentative="1">
      <w:start w:val="1"/>
      <w:numFmt w:val="lowerLetter"/>
      <w:lvlText w:val="%2."/>
      <w:lvlJc w:val="left"/>
      <w:pPr>
        <w:ind w:left="1440" w:hanging="360"/>
      </w:pPr>
    </w:lvl>
    <w:lvl w:ilvl="2" w:tplc="0C58E3C8" w:tentative="1">
      <w:start w:val="1"/>
      <w:numFmt w:val="lowerRoman"/>
      <w:lvlText w:val="%3."/>
      <w:lvlJc w:val="right"/>
      <w:pPr>
        <w:ind w:left="2160" w:hanging="180"/>
      </w:pPr>
    </w:lvl>
    <w:lvl w:ilvl="3" w:tplc="292245B0" w:tentative="1">
      <w:start w:val="1"/>
      <w:numFmt w:val="decimal"/>
      <w:lvlText w:val="%4."/>
      <w:lvlJc w:val="left"/>
      <w:pPr>
        <w:ind w:left="2880" w:hanging="360"/>
      </w:pPr>
    </w:lvl>
    <w:lvl w:ilvl="4" w:tplc="DFD48CFA" w:tentative="1">
      <w:start w:val="1"/>
      <w:numFmt w:val="lowerLetter"/>
      <w:lvlText w:val="%5."/>
      <w:lvlJc w:val="left"/>
      <w:pPr>
        <w:ind w:left="3600" w:hanging="360"/>
      </w:pPr>
    </w:lvl>
    <w:lvl w:ilvl="5" w:tplc="C38A2DDA" w:tentative="1">
      <w:start w:val="1"/>
      <w:numFmt w:val="lowerRoman"/>
      <w:lvlText w:val="%6."/>
      <w:lvlJc w:val="right"/>
      <w:pPr>
        <w:ind w:left="4320" w:hanging="180"/>
      </w:pPr>
    </w:lvl>
    <w:lvl w:ilvl="6" w:tplc="91DE9642" w:tentative="1">
      <w:start w:val="1"/>
      <w:numFmt w:val="decimal"/>
      <w:lvlText w:val="%7."/>
      <w:lvlJc w:val="left"/>
      <w:pPr>
        <w:ind w:left="5040" w:hanging="360"/>
      </w:pPr>
    </w:lvl>
    <w:lvl w:ilvl="7" w:tplc="06F66ADE" w:tentative="1">
      <w:start w:val="1"/>
      <w:numFmt w:val="lowerLetter"/>
      <w:lvlText w:val="%8."/>
      <w:lvlJc w:val="left"/>
      <w:pPr>
        <w:ind w:left="5760" w:hanging="360"/>
      </w:pPr>
    </w:lvl>
    <w:lvl w:ilvl="8" w:tplc="669E1C3E" w:tentative="1">
      <w:start w:val="1"/>
      <w:numFmt w:val="lowerRoman"/>
      <w:lvlText w:val="%9."/>
      <w:lvlJc w:val="right"/>
      <w:pPr>
        <w:ind w:left="6480" w:hanging="180"/>
      </w:pPr>
    </w:lvl>
  </w:abstractNum>
  <w:abstractNum w:abstractNumId="22" w15:restartNumberingAfterBreak="0">
    <w:nsid w:val="27826BF0"/>
    <w:multiLevelType w:val="multilevel"/>
    <w:tmpl w:val="A4B40D48"/>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DF54350"/>
    <w:multiLevelType w:val="multilevel"/>
    <w:tmpl w:val="A6800B9E"/>
    <w:styleLink w:val="Outlinenumbering"/>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4" w15:restartNumberingAfterBreak="0">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5"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F171D8E"/>
    <w:multiLevelType w:val="hybridMultilevel"/>
    <w:tmpl w:val="0930D794"/>
    <w:lvl w:ilvl="0" w:tplc="07800482">
      <w:start w:val="1"/>
      <w:numFmt w:val="bullet"/>
      <w:lvlText w:val=""/>
      <w:lvlJc w:val="left"/>
      <w:pPr>
        <w:ind w:left="720" w:hanging="360"/>
      </w:pPr>
      <w:rPr>
        <w:rFonts w:ascii="Symbol" w:hAnsi="Symbol" w:hint="default"/>
      </w:rPr>
    </w:lvl>
    <w:lvl w:ilvl="1" w:tplc="492479D6" w:tentative="1">
      <w:start w:val="1"/>
      <w:numFmt w:val="bullet"/>
      <w:lvlText w:val="o"/>
      <w:lvlJc w:val="left"/>
      <w:pPr>
        <w:ind w:left="1440" w:hanging="360"/>
      </w:pPr>
      <w:rPr>
        <w:rFonts w:ascii="Courier New" w:hAnsi="Courier New" w:cs="Courier New" w:hint="default"/>
      </w:rPr>
    </w:lvl>
    <w:lvl w:ilvl="2" w:tplc="809E8C38" w:tentative="1">
      <w:start w:val="1"/>
      <w:numFmt w:val="bullet"/>
      <w:lvlText w:val=""/>
      <w:lvlJc w:val="left"/>
      <w:pPr>
        <w:ind w:left="2160" w:hanging="360"/>
      </w:pPr>
      <w:rPr>
        <w:rFonts w:ascii="Wingdings" w:hAnsi="Wingdings" w:hint="default"/>
      </w:rPr>
    </w:lvl>
    <w:lvl w:ilvl="3" w:tplc="DB20ED94" w:tentative="1">
      <w:start w:val="1"/>
      <w:numFmt w:val="bullet"/>
      <w:lvlText w:val=""/>
      <w:lvlJc w:val="left"/>
      <w:pPr>
        <w:ind w:left="2880" w:hanging="360"/>
      </w:pPr>
      <w:rPr>
        <w:rFonts w:ascii="Symbol" w:hAnsi="Symbol" w:hint="default"/>
      </w:rPr>
    </w:lvl>
    <w:lvl w:ilvl="4" w:tplc="C96232A0" w:tentative="1">
      <w:start w:val="1"/>
      <w:numFmt w:val="bullet"/>
      <w:lvlText w:val="o"/>
      <w:lvlJc w:val="left"/>
      <w:pPr>
        <w:ind w:left="3600" w:hanging="360"/>
      </w:pPr>
      <w:rPr>
        <w:rFonts w:ascii="Courier New" w:hAnsi="Courier New" w:cs="Courier New" w:hint="default"/>
      </w:rPr>
    </w:lvl>
    <w:lvl w:ilvl="5" w:tplc="8808FCB2" w:tentative="1">
      <w:start w:val="1"/>
      <w:numFmt w:val="bullet"/>
      <w:lvlText w:val=""/>
      <w:lvlJc w:val="left"/>
      <w:pPr>
        <w:ind w:left="4320" w:hanging="360"/>
      </w:pPr>
      <w:rPr>
        <w:rFonts w:ascii="Wingdings" w:hAnsi="Wingdings" w:hint="default"/>
      </w:rPr>
    </w:lvl>
    <w:lvl w:ilvl="6" w:tplc="CE3C52BA" w:tentative="1">
      <w:start w:val="1"/>
      <w:numFmt w:val="bullet"/>
      <w:lvlText w:val=""/>
      <w:lvlJc w:val="left"/>
      <w:pPr>
        <w:ind w:left="5040" w:hanging="360"/>
      </w:pPr>
      <w:rPr>
        <w:rFonts w:ascii="Symbol" w:hAnsi="Symbol" w:hint="default"/>
      </w:rPr>
    </w:lvl>
    <w:lvl w:ilvl="7" w:tplc="3AB6CE62" w:tentative="1">
      <w:start w:val="1"/>
      <w:numFmt w:val="bullet"/>
      <w:lvlText w:val="o"/>
      <w:lvlJc w:val="left"/>
      <w:pPr>
        <w:ind w:left="5760" w:hanging="360"/>
      </w:pPr>
      <w:rPr>
        <w:rFonts w:ascii="Courier New" w:hAnsi="Courier New" w:cs="Courier New" w:hint="default"/>
      </w:rPr>
    </w:lvl>
    <w:lvl w:ilvl="8" w:tplc="439057A8" w:tentative="1">
      <w:start w:val="1"/>
      <w:numFmt w:val="bullet"/>
      <w:lvlText w:val=""/>
      <w:lvlJc w:val="left"/>
      <w:pPr>
        <w:ind w:left="6480" w:hanging="360"/>
      </w:pPr>
      <w:rPr>
        <w:rFonts w:ascii="Wingdings" w:hAnsi="Wingdings" w:hint="default"/>
      </w:rPr>
    </w:lvl>
  </w:abstractNum>
  <w:abstractNum w:abstractNumId="28" w15:restartNumberingAfterBreak="0">
    <w:nsid w:val="46AE4AF4"/>
    <w:multiLevelType w:val="hybridMultilevel"/>
    <w:tmpl w:val="934421BA"/>
    <w:lvl w:ilvl="0" w:tplc="2C783FE4">
      <w:start w:val="1"/>
      <w:numFmt w:val="bullet"/>
      <w:lvlText w:val=""/>
      <w:lvlJc w:val="left"/>
      <w:pPr>
        <w:ind w:left="781" w:hanging="360"/>
      </w:pPr>
      <w:rPr>
        <w:rFonts w:ascii="Symbol" w:hAnsi="Symbol" w:hint="default"/>
      </w:rPr>
    </w:lvl>
    <w:lvl w:ilvl="1" w:tplc="94EA40A6" w:tentative="1">
      <w:start w:val="1"/>
      <w:numFmt w:val="bullet"/>
      <w:lvlText w:val="o"/>
      <w:lvlJc w:val="left"/>
      <w:pPr>
        <w:ind w:left="1501" w:hanging="360"/>
      </w:pPr>
      <w:rPr>
        <w:rFonts w:ascii="Courier New" w:hAnsi="Courier New" w:cs="Courier New" w:hint="default"/>
      </w:rPr>
    </w:lvl>
    <w:lvl w:ilvl="2" w:tplc="AC0493C0" w:tentative="1">
      <w:start w:val="1"/>
      <w:numFmt w:val="bullet"/>
      <w:lvlText w:val=""/>
      <w:lvlJc w:val="left"/>
      <w:pPr>
        <w:ind w:left="2221" w:hanging="360"/>
      </w:pPr>
      <w:rPr>
        <w:rFonts w:ascii="Wingdings" w:hAnsi="Wingdings" w:hint="default"/>
      </w:rPr>
    </w:lvl>
    <w:lvl w:ilvl="3" w:tplc="954278EC" w:tentative="1">
      <w:start w:val="1"/>
      <w:numFmt w:val="bullet"/>
      <w:lvlText w:val=""/>
      <w:lvlJc w:val="left"/>
      <w:pPr>
        <w:ind w:left="2941" w:hanging="360"/>
      </w:pPr>
      <w:rPr>
        <w:rFonts w:ascii="Symbol" w:hAnsi="Symbol" w:hint="default"/>
      </w:rPr>
    </w:lvl>
    <w:lvl w:ilvl="4" w:tplc="769E0A82" w:tentative="1">
      <w:start w:val="1"/>
      <w:numFmt w:val="bullet"/>
      <w:lvlText w:val="o"/>
      <w:lvlJc w:val="left"/>
      <w:pPr>
        <w:ind w:left="3661" w:hanging="360"/>
      </w:pPr>
      <w:rPr>
        <w:rFonts w:ascii="Courier New" w:hAnsi="Courier New" w:cs="Courier New" w:hint="default"/>
      </w:rPr>
    </w:lvl>
    <w:lvl w:ilvl="5" w:tplc="6F941AAE" w:tentative="1">
      <w:start w:val="1"/>
      <w:numFmt w:val="bullet"/>
      <w:lvlText w:val=""/>
      <w:lvlJc w:val="left"/>
      <w:pPr>
        <w:ind w:left="4381" w:hanging="360"/>
      </w:pPr>
      <w:rPr>
        <w:rFonts w:ascii="Wingdings" w:hAnsi="Wingdings" w:hint="default"/>
      </w:rPr>
    </w:lvl>
    <w:lvl w:ilvl="6" w:tplc="E4FEA8FC" w:tentative="1">
      <w:start w:val="1"/>
      <w:numFmt w:val="bullet"/>
      <w:lvlText w:val=""/>
      <w:lvlJc w:val="left"/>
      <w:pPr>
        <w:ind w:left="5101" w:hanging="360"/>
      </w:pPr>
      <w:rPr>
        <w:rFonts w:ascii="Symbol" w:hAnsi="Symbol" w:hint="default"/>
      </w:rPr>
    </w:lvl>
    <w:lvl w:ilvl="7" w:tplc="68CE3AD6" w:tentative="1">
      <w:start w:val="1"/>
      <w:numFmt w:val="bullet"/>
      <w:lvlText w:val="o"/>
      <w:lvlJc w:val="left"/>
      <w:pPr>
        <w:ind w:left="5821" w:hanging="360"/>
      </w:pPr>
      <w:rPr>
        <w:rFonts w:ascii="Courier New" w:hAnsi="Courier New" w:cs="Courier New" w:hint="default"/>
      </w:rPr>
    </w:lvl>
    <w:lvl w:ilvl="8" w:tplc="B68A5B98" w:tentative="1">
      <w:start w:val="1"/>
      <w:numFmt w:val="bullet"/>
      <w:lvlText w:val=""/>
      <w:lvlJc w:val="left"/>
      <w:pPr>
        <w:ind w:left="6541" w:hanging="360"/>
      </w:pPr>
      <w:rPr>
        <w:rFonts w:ascii="Wingdings" w:hAnsi="Wingdings" w:hint="default"/>
      </w:rPr>
    </w:lvl>
  </w:abstractNum>
  <w:abstractNum w:abstractNumId="29" w15:restartNumberingAfterBreak="0">
    <w:nsid w:val="4F9E2F28"/>
    <w:multiLevelType w:val="multilevel"/>
    <w:tmpl w:val="A3FA5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87152C"/>
    <w:multiLevelType w:val="multilevel"/>
    <w:tmpl w:val="D6785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053B77"/>
    <w:multiLevelType w:val="multilevel"/>
    <w:tmpl w:val="E9864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BD703C"/>
    <w:multiLevelType w:val="hybridMultilevel"/>
    <w:tmpl w:val="D5887340"/>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3" w15:restartNumberingAfterBreak="0">
    <w:nsid w:val="69B17A3F"/>
    <w:multiLevelType w:val="multilevel"/>
    <w:tmpl w:val="81AE9404"/>
    <w:lvl w:ilvl="0">
      <w:start w:val="1"/>
      <w:numFmt w:val="none"/>
      <w:suff w:val="nothing"/>
      <w:lvlText w:val=""/>
      <w:lvlJc w:val="left"/>
      <w:pPr>
        <w:ind w:left="0" w:firstLine="0"/>
      </w:pPr>
    </w:lvl>
    <w:lvl w:ilvl="1">
      <w:start w:val="1"/>
      <w:numFmt w:val="decimal"/>
      <w:lvlText w:val="%2."/>
      <w:lvlJc w:val="left"/>
      <w:pPr>
        <w:tabs>
          <w:tab w:val="num" w:pos="425"/>
        </w:tabs>
        <w:ind w:left="425" w:hanging="425"/>
      </w:pPr>
    </w:lvl>
    <w:lvl w:ilvl="2">
      <w:start w:val="1"/>
      <w:numFmt w:val="lowerLetter"/>
      <w:lvlText w:val="%3."/>
      <w:lvlJc w:val="left"/>
      <w:pPr>
        <w:tabs>
          <w:tab w:val="num" w:pos="851"/>
        </w:tabs>
        <w:ind w:left="851" w:hanging="426"/>
      </w:pPr>
    </w:lvl>
    <w:lvl w:ilvl="3">
      <w:start w:val="1"/>
      <w:numFmt w:val="lowerRoman"/>
      <w:lvlText w:val="%4."/>
      <w:lvlJc w:val="left"/>
      <w:pPr>
        <w:tabs>
          <w:tab w:val="num" w:pos="1276"/>
        </w:tabs>
        <w:ind w:left="1276" w:hanging="425"/>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lvlText w:val=""/>
      <w:lvlJc w:val="left"/>
      <w:pPr>
        <w:ind w:left="0" w:firstLine="0"/>
      </w:pPr>
    </w:lvl>
    <w:lvl w:ilvl="8">
      <w:start w:val="1"/>
      <w:numFmt w:val="none"/>
      <w:suff w:val="nothing"/>
      <w:lvlText w:val=""/>
      <w:lvlJc w:val="left"/>
      <w:pPr>
        <w:ind w:left="0" w:firstLine="0"/>
      </w:pPr>
    </w:lvl>
  </w:abstractNum>
  <w:abstractNum w:abstractNumId="34" w15:restartNumberingAfterBreak="0">
    <w:nsid w:val="70757B94"/>
    <w:multiLevelType w:val="multilevel"/>
    <w:tmpl w:val="7A44E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7B79EC"/>
    <w:multiLevelType w:val="hybridMultilevel"/>
    <w:tmpl w:val="715E872E"/>
    <w:lvl w:ilvl="0" w:tplc="07861396">
      <w:start w:val="1"/>
      <w:numFmt w:val="bullet"/>
      <w:lvlText w:val=""/>
      <w:lvlJc w:val="left"/>
      <w:pPr>
        <w:ind w:left="720" w:hanging="360"/>
      </w:pPr>
      <w:rPr>
        <w:rFonts w:ascii="Symbol" w:hAnsi="Symbol" w:hint="default"/>
      </w:rPr>
    </w:lvl>
    <w:lvl w:ilvl="1" w:tplc="E500C8B8" w:tentative="1">
      <w:start w:val="1"/>
      <w:numFmt w:val="bullet"/>
      <w:lvlText w:val="o"/>
      <w:lvlJc w:val="left"/>
      <w:pPr>
        <w:ind w:left="1440" w:hanging="360"/>
      </w:pPr>
      <w:rPr>
        <w:rFonts w:ascii="Courier New" w:hAnsi="Courier New" w:cs="Courier New" w:hint="default"/>
      </w:rPr>
    </w:lvl>
    <w:lvl w:ilvl="2" w:tplc="EE0244A4" w:tentative="1">
      <w:start w:val="1"/>
      <w:numFmt w:val="bullet"/>
      <w:lvlText w:val=""/>
      <w:lvlJc w:val="left"/>
      <w:pPr>
        <w:ind w:left="2160" w:hanging="360"/>
      </w:pPr>
      <w:rPr>
        <w:rFonts w:ascii="Wingdings" w:hAnsi="Wingdings" w:hint="default"/>
      </w:rPr>
    </w:lvl>
    <w:lvl w:ilvl="3" w:tplc="D7C408C8" w:tentative="1">
      <w:start w:val="1"/>
      <w:numFmt w:val="bullet"/>
      <w:lvlText w:val=""/>
      <w:lvlJc w:val="left"/>
      <w:pPr>
        <w:ind w:left="2880" w:hanging="360"/>
      </w:pPr>
      <w:rPr>
        <w:rFonts w:ascii="Symbol" w:hAnsi="Symbol" w:hint="default"/>
      </w:rPr>
    </w:lvl>
    <w:lvl w:ilvl="4" w:tplc="4A32CAC2" w:tentative="1">
      <w:start w:val="1"/>
      <w:numFmt w:val="bullet"/>
      <w:lvlText w:val="o"/>
      <w:lvlJc w:val="left"/>
      <w:pPr>
        <w:ind w:left="3600" w:hanging="360"/>
      </w:pPr>
      <w:rPr>
        <w:rFonts w:ascii="Courier New" w:hAnsi="Courier New" w:cs="Courier New" w:hint="default"/>
      </w:rPr>
    </w:lvl>
    <w:lvl w:ilvl="5" w:tplc="1C067FC4" w:tentative="1">
      <w:start w:val="1"/>
      <w:numFmt w:val="bullet"/>
      <w:lvlText w:val=""/>
      <w:lvlJc w:val="left"/>
      <w:pPr>
        <w:ind w:left="4320" w:hanging="360"/>
      </w:pPr>
      <w:rPr>
        <w:rFonts w:ascii="Wingdings" w:hAnsi="Wingdings" w:hint="default"/>
      </w:rPr>
    </w:lvl>
    <w:lvl w:ilvl="6" w:tplc="002A9C68" w:tentative="1">
      <w:start w:val="1"/>
      <w:numFmt w:val="bullet"/>
      <w:lvlText w:val=""/>
      <w:lvlJc w:val="left"/>
      <w:pPr>
        <w:ind w:left="5040" w:hanging="360"/>
      </w:pPr>
      <w:rPr>
        <w:rFonts w:ascii="Symbol" w:hAnsi="Symbol" w:hint="default"/>
      </w:rPr>
    </w:lvl>
    <w:lvl w:ilvl="7" w:tplc="B536588C" w:tentative="1">
      <w:start w:val="1"/>
      <w:numFmt w:val="bullet"/>
      <w:lvlText w:val="o"/>
      <w:lvlJc w:val="left"/>
      <w:pPr>
        <w:ind w:left="5760" w:hanging="360"/>
      </w:pPr>
      <w:rPr>
        <w:rFonts w:ascii="Courier New" w:hAnsi="Courier New" w:cs="Courier New" w:hint="default"/>
      </w:rPr>
    </w:lvl>
    <w:lvl w:ilvl="8" w:tplc="84680E84" w:tentative="1">
      <w:start w:val="1"/>
      <w:numFmt w:val="bullet"/>
      <w:lvlText w:val=""/>
      <w:lvlJc w:val="left"/>
      <w:pPr>
        <w:ind w:left="6480" w:hanging="360"/>
      </w:pPr>
      <w:rPr>
        <w:rFonts w:ascii="Wingdings" w:hAnsi="Wingdings" w:hint="default"/>
      </w:rPr>
    </w:lvl>
  </w:abstractNum>
  <w:abstractNum w:abstractNumId="36" w15:restartNumberingAfterBreak="0">
    <w:nsid w:val="7D6B5224"/>
    <w:multiLevelType w:val="multilevel"/>
    <w:tmpl w:val="57000EF8"/>
    <w:lvl w:ilvl="0">
      <w:start w:val="1"/>
      <w:numFmt w:val="bullet"/>
      <w:pStyle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45387733">
    <w:abstractNumId w:val="24"/>
  </w:num>
  <w:num w:numId="2" w16cid:durableId="1352412728">
    <w:abstractNumId w:val="12"/>
  </w:num>
  <w:num w:numId="3" w16cid:durableId="902716693">
    <w:abstractNumId w:val="26"/>
  </w:num>
  <w:num w:numId="4" w16cid:durableId="227689199">
    <w:abstractNumId w:val="17"/>
  </w:num>
  <w:num w:numId="5" w16cid:durableId="741682078">
    <w:abstractNumId w:val="25"/>
  </w:num>
  <w:num w:numId="6" w16cid:durableId="155807793">
    <w:abstractNumId w:val="3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44191243">
    <w:abstractNumId w:val="24"/>
  </w:num>
  <w:num w:numId="8" w16cid:durableId="2017226477">
    <w:abstractNumId w:val="25"/>
  </w:num>
  <w:num w:numId="9" w16cid:durableId="1392001549">
    <w:abstractNumId w:val="19"/>
  </w:num>
  <w:num w:numId="10" w16cid:durableId="1080980961">
    <w:abstractNumId w:val="26"/>
  </w:num>
  <w:num w:numId="11" w16cid:durableId="347292548">
    <w:abstractNumId w:val="17"/>
  </w:num>
  <w:num w:numId="12" w16cid:durableId="336805850">
    <w:abstractNumId w:val="22"/>
  </w:num>
  <w:num w:numId="13" w16cid:durableId="1706323999">
    <w:abstractNumId w:val="23"/>
  </w:num>
  <w:num w:numId="14" w16cid:durableId="1545602368">
    <w:abstractNumId w:val="13"/>
    <w:lvlOverride w:ilvl="0">
      <w:startOverride w:val="1"/>
    </w:lvlOverride>
  </w:num>
  <w:num w:numId="15" w16cid:durableId="1024087597">
    <w:abstractNumId w:val="14"/>
  </w:num>
  <w:num w:numId="16" w16cid:durableId="112042060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50002562">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80868896">
    <w:abstractNumId w:val="35"/>
  </w:num>
  <w:num w:numId="19" w16cid:durableId="1458068214">
    <w:abstractNumId w:val="21"/>
  </w:num>
  <w:num w:numId="20" w16cid:durableId="304240842">
    <w:abstractNumId w:val="13"/>
  </w:num>
  <w:num w:numId="21" w16cid:durableId="1061444162">
    <w:abstractNumId w:val="11"/>
  </w:num>
  <w:num w:numId="22" w16cid:durableId="280957765">
    <w:abstractNumId w:val="15"/>
  </w:num>
  <w:num w:numId="23" w16cid:durableId="1283269723">
    <w:abstractNumId w:val="15"/>
  </w:num>
  <w:num w:numId="24" w16cid:durableId="532815685">
    <w:abstractNumId w:val="30"/>
  </w:num>
  <w:num w:numId="25" w16cid:durableId="966274718">
    <w:abstractNumId w:val="34"/>
  </w:num>
  <w:num w:numId="26" w16cid:durableId="1180317716">
    <w:abstractNumId w:val="31"/>
  </w:num>
  <w:num w:numId="27" w16cid:durableId="486364642">
    <w:abstractNumId w:val="16"/>
  </w:num>
  <w:num w:numId="28" w16cid:durableId="1401094583">
    <w:abstractNumId w:val="29"/>
  </w:num>
  <w:num w:numId="29" w16cid:durableId="41906675">
    <w:abstractNumId w:val="28"/>
  </w:num>
  <w:num w:numId="30" w16cid:durableId="484784304">
    <w:abstractNumId w:val="10"/>
  </w:num>
  <w:num w:numId="31" w16cid:durableId="1131285776">
    <w:abstractNumId w:val="10"/>
  </w:num>
  <w:num w:numId="32" w16cid:durableId="1955139532">
    <w:abstractNumId w:val="27"/>
  </w:num>
  <w:num w:numId="33" w16cid:durableId="302851920">
    <w:abstractNumId w:val="3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38321788">
    <w:abstractNumId w:val="9"/>
  </w:num>
  <w:num w:numId="35" w16cid:durableId="633222413">
    <w:abstractNumId w:val="8"/>
  </w:num>
  <w:num w:numId="36" w16cid:durableId="1129859665">
    <w:abstractNumId w:val="7"/>
  </w:num>
  <w:num w:numId="37" w16cid:durableId="166291128">
    <w:abstractNumId w:val="6"/>
  </w:num>
  <w:num w:numId="38" w16cid:durableId="898520447">
    <w:abstractNumId w:val="5"/>
  </w:num>
  <w:num w:numId="39" w16cid:durableId="1595747498">
    <w:abstractNumId w:val="4"/>
  </w:num>
  <w:num w:numId="40" w16cid:durableId="1886482829">
    <w:abstractNumId w:val="3"/>
  </w:num>
  <w:num w:numId="41" w16cid:durableId="1761175325">
    <w:abstractNumId w:val="2"/>
  </w:num>
  <w:num w:numId="42" w16cid:durableId="1963683468">
    <w:abstractNumId w:val="1"/>
  </w:num>
  <w:num w:numId="43" w16cid:durableId="714428599">
    <w:abstractNumId w:val="0"/>
  </w:num>
  <w:num w:numId="44" w16cid:durableId="735392764">
    <w:abstractNumId w:val="18"/>
  </w:num>
  <w:num w:numId="45" w16cid:durableId="2079135817">
    <w:abstractNumId w:val="32"/>
  </w:num>
  <w:num w:numId="46" w16cid:durableId="1430661052">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140"/>
    <w:rsid w:val="000000DC"/>
    <w:rsid w:val="000003FD"/>
    <w:rsid w:val="00001330"/>
    <w:rsid w:val="000013BC"/>
    <w:rsid w:val="00001732"/>
    <w:rsid w:val="000024A2"/>
    <w:rsid w:val="00002536"/>
    <w:rsid w:val="00005215"/>
    <w:rsid w:val="00005588"/>
    <w:rsid w:val="000057D5"/>
    <w:rsid w:val="00006208"/>
    <w:rsid w:val="00006ADE"/>
    <w:rsid w:val="0000740A"/>
    <w:rsid w:val="000074C8"/>
    <w:rsid w:val="000075F0"/>
    <w:rsid w:val="00007AF3"/>
    <w:rsid w:val="00010991"/>
    <w:rsid w:val="00011111"/>
    <w:rsid w:val="00011725"/>
    <w:rsid w:val="000117E8"/>
    <w:rsid w:val="0001184F"/>
    <w:rsid w:val="00011F14"/>
    <w:rsid w:val="0001210E"/>
    <w:rsid w:val="000121E4"/>
    <w:rsid w:val="0001238C"/>
    <w:rsid w:val="00012C62"/>
    <w:rsid w:val="00014996"/>
    <w:rsid w:val="00014A1A"/>
    <w:rsid w:val="0001672A"/>
    <w:rsid w:val="00016A7B"/>
    <w:rsid w:val="00020200"/>
    <w:rsid w:val="00020251"/>
    <w:rsid w:val="00020D6D"/>
    <w:rsid w:val="00020DD0"/>
    <w:rsid w:val="00021233"/>
    <w:rsid w:val="00021349"/>
    <w:rsid w:val="0002270D"/>
    <w:rsid w:val="00023759"/>
    <w:rsid w:val="00023FD5"/>
    <w:rsid w:val="000240CE"/>
    <w:rsid w:val="00024281"/>
    <w:rsid w:val="00024ECD"/>
    <w:rsid w:val="0002544D"/>
    <w:rsid w:val="00025BB8"/>
    <w:rsid w:val="00025DC0"/>
    <w:rsid w:val="00026AB6"/>
    <w:rsid w:val="000271DC"/>
    <w:rsid w:val="00027676"/>
    <w:rsid w:val="000277AB"/>
    <w:rsid w:val="00027935"/>
    <w:rsid w:val="00030642"/>
    <w:rsid w:val="000308CD"/>
    <w:rsid w:val="000318DC"/>
    <w:rsid w:val="00031AA2"/>
    <w:rsid w:val="00031FDD"/>
    <w:rsid w:val="000323BC"/>
    <w:rsid w:val="00032532"/>
    <w:rsid w:val="00032926"/>
    <w:rsid w:val="000330C7"/>
    <w:rsid w:val="00033243"/>
    <w:rsid w:val="00033AA8"/>
    <w:rsid w:val="00033EA9"/>
    <w:rsid w:val="00033FA6"/>
    <w:rsid w:val="00034F22"/>
    <w:rsid w:val="00037C2A"/>
    <w:rsid w:val="00040BA6"/>
    <w:rsid w:val="00040D61"/>
    <w:rsid w:val="00041A8B"/>
    <w:rsid w:val="00041BC9"/>
    <w:rsid w:val="000426D9"/>
    <w:rsid w:val="0004274D"/>
    <w:rsid w:val="00042A77"/>
    <w:rsid w:val="00042E00"/>
    <w:rsid w:val="000435A6"/>
    <w:rsid w:val="000438A5"/>
    <w:rsid w:val="00043A1B"/>
    <w:rsid w:val="00043DF3"/>
    <w:rsid w:val="000441E3"/>
    <w:rsid w:val="00044456"/>
    <w:rsid w:val="00044C0A"/>
    <w:rsid w:val="00045A6B"/>
    <w:rsid w:val="000461FE"/>
    <w:rsid w:val="00050389"/>
    <w:rsid w:val="0005091E"/>
    <w:rsid w:val="00050F00"/>
    <w:rsid w:val="0005167D"/>
    <w:rsid w:val="00051D60"/>
    <w:rsid w:val="000520A6"/>
    <w:rsid w:val="00052957"/>
    <w:rsid w:val="00052A7D"/>
    <w:rsid w:val="00055764"/>
    <w:rsid w:val="00055F97"/>
    <w:rsid w:val="00056880"/>
    <w:rsid w:val="00056ADD"/>
    <w:rsid w:val="0005719A"/>
    <w:rsid w:val="00057AEF"/>
    <w:rsid w:val="00057B8B"/>
    <w:rsid w:val="00060564"/>
    <w:rsid w:val="00060F96"/>
    <w:rsid w:val="0006169A"/>
    <w:rsid w:val="00061E28"/>
    <w:rsid w:val="00062C9A"/>
    <w:rsid w:val="00062F8A"/>
    <w:rsid w:val="000634AE"/>
    <w:rsid w:val="00063E5C"/>
    <w:rsid w:val="000647A5"/>
    <w:rsid w:val="00064844"/>
    <w:rsid w:val="00064BD6"/>
    <w:rsid w:val="00064BEC"/>
    <w:rsid w:val="00066105"/>
    <w:rsid w:val="000665C1"/>
    <w:rsid w:val="000675D1"/>
    <w:rsid w:val="000679E4"/>
    <w:rsid w:val="00067AF8"/>
    <w:rsid w:val="000701B6"/>
    <w:rsid w:val="000704F2"/>
    <w:rsid w:val="00070945"/>
    <w:rsid w:val="00070CEC"/>
    <w:rsid w:val="0007102C"/>
    <w:rsid w:val="000710FC"/>
    <w:rsid w:val="0007190C"/>
    <w:rsid w:val="00071C81"/>
    <w:rsid w:val="00072045"/>
    <w:rsid w:val="00072352"/>
    <w:rsid w:val="00072843"/>
    <w:rsid w:val="000728F2"/>
    <w:rsid w:val="00072CC9"/>
    <w:rsid w:val="000733A3"/>
    <w:rsid w:val="00073521"/>
    <w:rsid w:val="00073A39"/>
    <w:rsid w:val="00073C1B"/>
    <w:rsid w:val="00073DB8"/>
    <w:rsid w:val="00074E7F"/>
    <w:rsid w:val="00074E9D"/>
    <w:rsid w:val="000753CD"/>
    <w:rsid w:val="0007576A"/>
    <w:rsid w:val="00076A5F"/>
    <w:rsid w:val="00076E3A"/>
    <w:rsid w:val="000773BB"/>
    <w:rsid w:val="000775DE"/>
    <w:rsid w:val="00077D4F"/>
    <w:rsid w:val="00077D65"/>
    <w:rsid w:val="00080A43"/>
    <w:rsid w:val="000811B5"/>
    <w:rsid w:val="00081BD0"/>
    <w:rsid w:val="00081E5E"/>
    <w:rsid w:val="00082FC2"/>
    <w:rsid w:val="00082FE3"/>
    <w:rsid w:val="0008419C"/>
    <w:rsid w:val="000848B7"/>
    <w:rsid w:val="0008534E"/>
    <w:rsid w:val="000854C6"/>
    <w:rsid w:val="000858F2"/>
    <w:rsid w:val="000861FF"/>
    <w:rsid w:val="00086398"/>
    <w:rsid w:val="000864C9"/>
    <w:rsid w:val="00086A08"/>
    <w:rsid w:val="00086F82"/>
    <w:rsid w:val="000873B1"/>
    <w:rsid w:val="000875A4"/>
    <w:rsid w:val="000875AD"/>
    <w:rsid w:val="00087E9B"/>
    <w:rsid w:val="00087FAF"/>
    <w:rsid w:val="0009151A"/>
    <w:rsid w:val="000934F0"/>
    <w:rsid w:val="00093AF3"/>
    <w:rsid w:val="000945AB"/>
    <w:rsid w:val="00095034"/>
    <w:rsid w:val="000951A5"/>
    <w:rsid w:val="000951DF"/>
    <w:rsid w:val="00095AF9"/>
    <w:rsid w:val="00095EBC"/>
    <w:rsid w:val="00095FCC"/>
    <w:rsid w:val="000965C1"/>
    <w:rsid w:val="000965E0"/>
    <w:rsid w:val="00096AA9"/>
    <w:rsid w:val="00097B21"/>
    <w:rsid w:val="00097E0B"/>
    <w:rsid w:val="000A0959"/>
    <w:rsid w:val="000A0A01"/>
    <w:rsid w:val="000A1068"/>
    <w:rsid w:val="000A1142"/>
    <w:rsid w:val="000A1AB1"/>
    <w:rsid w:val="000A29A8"/>
    <w:rsid w:val="000A2D54"/>
    <w:rsid w:val="000A317D"/>
    <w:rsid w:val="000A3F4B"/>
    <w:rsid w:val="000A46D6"/>
    <w:rsid w:val="000A47C4"/>
    <w:rsid w:val="000A489F"/>
    <w:rsid w:val="000A5281"/>
    <w:rsid w:val="000A55C6"/>
    <w:rsid w:val="000A5C27"/>
    <w:rsid w:val="000A5C64"/>
    <w:rsid w:val="000A637A"/>
    <w:rsid w:val="000A65EB"/>
    <w:rsid w:val="000A7027"/>
    <w:rsid w:val="000A7EC6"/>
    <w:rsid w:val="000B00AA"/>
    <w:rsid w:val="000B1414"/>
    <w:rsid w:val="000B2550"/>
    <w:rsid w:val="000B2B5E"/>
    <w:rsid w:val="000B2C9F"/>
    <w:rsid w:val="000B4DF6"/>
    <w:rsid w:val="000B4F2C"/>
    <w:rsid w:val="000B5012"/>
    <w:rsid w:val="000B5234"/>
    <w:rsid w:val="000B5F16"/>
    <w:rsid w:val="000B6672"/>
    <w:rsid w:val="000B6FDD"/>
    <w:rsid w:val="000B76D5"/>
    <w:rsid w:val="000B7A46"/>
    <w:rsid w:val="000C003D"/>
    <w:rsid w:val="000C01EB"/>
    <w:rsid w:val="000C03B4"/>
    <w:rsid w:val="000C1C8F"/>
    <w:rsid w:val="000C229F"/>
    <w:rsid w:val="000C29B8"/>
    <w:rsid w:val="000C36BF"/>
    <w:rsid w:val="000C3A46"/>
    <w:rsid w:val="000C3EE0"/>
    <w:rsid w:val="000C4244"/>
    <w:rsid w:val="000C4313"/>
    <w:rsid w:val="000C5288"/>
    <w:rsid w:val="000C5F40"/>
    <w:rsid w:val="000C6916"/>
    <w:rsid w:val="000C6949"/>
    <w:rsid w:val="000C6C52"/>
    <w:rsid w:val="000C6C75"/>
    <w:rsid w:val="000C7FD3"/>
    <w:rsid w:val="000D0084"/>
    <w:rsid w:val="000D0F17"/>
    <w:rsid w:val="000D1247"/>
    <w:rsid w:val="000D1284"/>
    <w:rsid w:val="000D13F5"/>
    <w:rsid w:val="000D27C0"/>
    <w:rsid w:val="000D3FB7"/>
    <w:rsid w:val="000D4285"/>
    <w:rsid w:val="000D4CE1"/>
    <w:rsid w:val="000D4DE0"/>
    <w:rsid w:val="000D5407"/>
    <w:rsid w:val="000D5557"/>
    <w:rsid w:val="000D5BAC"/>
    <w:rsid w:val="000D5DCA"/>
    <w:rsid w:val="000D6822"/>
    <w:rsid w:val="000D68AA"/>
    <w:rsid w:val="000D6C8F"/>
    <w:rsid w:val="000E00F8"/>
    <w:rsid w:val="000E0ACB"/>
    <w:rsid w:val="000E0B74"/>
    <w:rsid w:val="000E0CD0"/>
    <w:rsid w:val="000E106B"/>
    <w:rsid w:val="000E13BE"/>
    <w:rsid w:val="000E176D"/>
    <w:rsid w:val="000E1BBE"/>
    <w:rsid w:val="000E21DE"/>
    <w:rsid w:val="000E2F23"/>
    <w:rsid w:val="000E3103"/>
    <w:rsid w:val="000E31F2"/>
    <w:rsid w:val="000E3C4F"/>
    <w:rsid w:val="000E3C7B"/>
    <w:rsid w:val="000E4464"/>
    <w:rsid w:val="000E4536"/>
    <w:rsid w:val="000E4F27"/>
    <w:rsid w:val="000E50BE"/>
    <w:rsid w:val="000E551E"/>
    <w:rsid w:val="000E56DF"/>
    <w:rsid w:val="000E5973"/>
    <w:rsid w:val="000E5A82"/>
    <w:rsid w:val="000E5FA3"/>
    <w:rsid w:val="000E62EE"/>
    <w:rsid w:val="000E69CD"/>
    <w:rsid w:val="000E72B8"/>
    <w:rsid w:val="000E733C"/>
    <w:rsid w:val="000E7E58"/>
    <w:rsid w:val="000F06EB"/>
    <w:rsid w:val="000F0BF8"/>
    <w:rsid w:val="000F2153"/>
    <w:rsid w:val="000F2169"/>
    <w:rsid w:val="000F237F"/>
    <w:rsid w:val="000F2D9B"/>
    <w:rsid w:val="000F2EA6"/>
    <w:rsid w:val="000F363D"/>
    <w:rsid w:val="000F3BA9"/>
    <w:rsid w:val="000F3E61"/>
    <w:rsid w:val="000F4ABD"/>
    <w:rsid w:val="000F4FED"/>
    <w:rsid w:val="000F62FF"/>
    <w:rsid w:val="000F6326"/>
    <w:rsid w:val="000F6A6D"/>
    <w:rsid w:val="000F70ED"/>
    <w:rsid w:val="000F7517"/>
    <w:rsid w:val="00100424"/>
    <w:rsid w:val="00100A4E"/>
    <w:rsid w:val="00100FC4"/>
    <w:rsid w:val="00101DDE"/>
    <w:rsid w:val="00102653"/>
    <w:rsid w:val="00102AD6"/>
    <w:rsid w:val="00103C98"/>
    <w:rsid w:val="00104D3C"/>
    <w:rsid w:val="00104EC5"/>
    <w:rsid w:val="00105368"/>
    <w:rsid w:val="001065BB"/>
    <w:rsid w:val="00106708"/>
    <w:rsid w:val="0010795F"/>
    <w:rsid w:val="00107D42"/>
    <w:rsid w:val="001108B7"/>
    <w:rsid w:val="00110A27"/>
    <w:rsid w:val="00111480"/>
    <w:rsid w:val="001119D9"/>
    <w:rsid w:val="00111E59"/>
    <w:rsid w:val="00112877"/>
    <w:rsid w:val="00113314"/>
    <w:rsid w:val="00113B3E"/>
    <w:rsid w:val="00114864"/>
    <w:rsid w:val="00114D41"/>
    <w:rsid w:val="00115FCA"/>
    <w:rsid w:val="00120FEA"/>
    <w:rsid w:val="00121A62"/>
    <w:rsid w:val="001220F0"/>
    <w:rsid w:val="001233C3"/>
    <w:rsid w:val="001254B4"/>
    <w:rsid w:val="001255BB"/>
    <w:rsid w:val="00125CFB"/>
    <w:rsid w:val="00125D42"/>
    <w:rsid w:val="0012642B"/>
    <w:rsid w:val="0012685D"/>
    <w:rsid w:val="00127408"/>
    <w:rsid w:val="00127A0C"/>
    <w:rsid w:val="00131053"/>
    <w:rsid w:val="0013247C"/>
    <w:rsid w:val="001326DC"/>
    <w:rsid w:val="001330CD"/>
    <w:rsid w:val="00133301"/>
    <w:rsid w:val="001346C5"/>
    <w:rsid w:val="00134750"/>
    <w:rsid w:val="00135FA9"/>
    <w:rsid w:val="00136C1F"/>
    <w:rsid w:val="00137379"/>
    <w:rsid w:val="0013778E"/>
    <w:rsid w:val="0014091C"/>
    <w:rsid w:val="00141B87"/>
    <w:rsid w:val="00142885"/>
    <w:rsid w:val="001439FE"/>
    <w:rsid w:val="00143F41"/>
    <w:rsid w:val="00143FD1"/>
    <w:rsid w:val="00144EB4"/>
    <w:rsid w:val="00145574"/>
    <w:rsid w:val="00145D71"/>
    <w:rsid w:val="00147098"/>
    <w:rsid w:val="001470EF"/>
    <w:rsid w:val="001474FC"/>
    <w:rsid w:val="00147830"/>
    <w:rsid w:val="00147A5E"/>
    <w:rsid w:val="001513CA"/>
    <w:rsid w:val="00151692"/>
    <w:rsid w:val="001517BC"/>
    <w:rsid w:val="00151EA6"/>
    <w:rsid w:val="001526FB"/>
    <w:rsid w:val="0015286F"/>
    <w:rsid w:val="00153259"/>
    <w:rsid w:val="001534EC"/>
    <w:rsid w:val="0015384E"/>
    <w:rsid w:val="00153A67"/>
    <w:rsid w:val="0015463C"/>
    <w:rsid w:val="001549E5"/>
    <w:rsid w:val="00154F4B"/>
    <w:rsid w:val="001555A1"/>
    <w:rsid w:val="001557C6"/>
    <w:rsid w:val="001558D3"/>
    <w:rsid w:val="00155D2C"/>
    <w:rsid w:val="00156A8C"/>
    <w:rsid w:val="00156E4A"/>
    <w:rsid w:val="00156FC0"/>
    <w:rsid w:val="00157424"/>
    <w:rsid w:val="00157945"/>
    <w:rsid w:val="001579A8"/>
    <w:rsid w:val="001603AD"/>
    <w:rsid w:val="001606CF"/>
    <w:rsid w:val="0016090D"/>
    <w:rsid w:val="0016128D"/>
    <w:rsid w:val="00161C01"/>
    <w:rsid w:val="00161E9B"/>
    <w:rsid w:val="00162269"/>
    <w:rsid w:val="00163865"/>
    <w:rsid w:val="00163A11"/>
    <w:rsid w:val="00163E1B"/>
    <w:rsid w:val="001646FA"/>
    <w:rsid w:val="001654D8"/>
    <w:rsid w:val="001654E5"/>
    <w:rsid w:val="001668AE"/>
    <w:rsid w:val="001668C0"/>
    <w:rsid w:val="00166E2B"/>
    <w:rsid w:val="0017089D"/>
    <w:rsid w:val="001710C3"/>
    <w:rsid w:val="00171C84"/>
    <w:rsid w:val="00171F16"/>
    <w:rsid w:val="00171F86"/>
    <w:rsid w:val="00172B76"/>
    <w:rsid w:val="00172CB0"/>
    <w:rsid w:val="00173380"/>
    <w:rsid w:val="00173811"/>
    <w:rsid w:val="00173927"/>
    <w:rsid w:val="00174F21"/>
    <w:rsid w:val="001750EF"/>
    <w:rsid w:val="001756AA"/>
    <w:rsid w:val="00175A55"/>
    <w:rsid w:val="001767ED"/>
    <w:rsid w:val="00176A32"/>
    <w:rsid w:val="00176FDF"/>
    <w:rsid w:val="0017759C"/>
    <w:rsid w:val="001809DE"/>
    <w:rsid w:val="00182AA1"/>
    <w:rsid w:val="00182EE4"/>
    <w:rsid w:val="00183D09"/>
    <w:rsid w:val="00183F32"/>
    <w:rsid w:val="00184033"/>
    <w:rsid w:val="00184487"/>
    <w:rsid w:val="00184E31"/>
    <w:rsid w:val="00185510"/>
    <w:rsid w:val="001864C6"/>
    <w:rsid w:val="0018664A"/>
    <w:rsid w:val="0018665A"/>
    <w:rsid w:val="00187AB8"/>
    <w:rsid w:val="00187CF9"/>
    <w:rsid w:val="00187FE2"/>
    <w:rsid w:val="00190AF0"/>
    <w:rsid w:val="00190B56"/>
    <w:rsid w:val="00190EFF"/>
    <w:rsid w:val="0019101A"/>
    <w:rsid w:val="00191583"/>
    <w:rsid w:val="00191813"/>
    <w:rsid w:val="001933D2"/>
    <w:rsid w:val="00194381"/>
    <w:rsid w:val="001946A1"/>
    <w:rsid w:val="00194707"/>
    <w:rsid w:val="00194A4A"/>
    <w:rsid w:val="0019506E"/>
    <w:rsid w:val="00195D8F"/>
    <w:rsid w:val="00195E50"/>
    <w:rsid w:val="00197048"/>
    <w:rsid w:val="0019749E"/>
    <w:rsid w:val="00197812"/>
    <w:rsid w:val="00197B79"/>
    <w:rsid w:val="001A0D86"/>
    <w:rsid w:val="001A221C"/>
    <w:rsid w:val="001A2A3B"/>
    <w:rsid w:val="001A319C"/>
    <w:rsid w:val="001A3348"/>
    <w:rsid w:val="001A4B1D"/>
    <w:rsid w:val="001A5689"/>
    <w:rsid w:val="001A56E9"/>
    <w:rsid w:val="001A59AC"/>
    <w:rsid w:val="001A631C"/>
    <w:rsid w:val="001A6971"/>
    <w:rsid w:val="001A6A6B"/>
    <w:rsid w:val="001B11A0"/>
    <w:rsid w:val="001B1B5D"/>
    <w:rsid w:val="001B25EA"/>
    <w:rsid w:val="001B491E"/>
    <w:rsid w:val="001B4B5E"/>
    <w:rsid w:val="001B5336"/>
    <w:rsid w:val="001B5D10"/>
    <w:rsid w:val="001B61E6"/>
    <w:rsid w:val="001B62A9"/>
    <w:rsid w:val="001B696E"/>
    <w:rsid w:val="001C0E56"/>
    <w:rsid w:val="001C0EAD"/>
    <w:rsid w:val="001C0FF6"/>
    <w:rsid w:val="001C103C"/>
    <w:rsid w:val="001C1AEA"/>
    <w:rsid w:val="001C22BC"/>
    <w:rsid w:val="001C240F"/>
    <w:rsid w:val="001C2E0D"/>
    <w:rsid w:val="001C358D"/>
    <w:rsid w:val="001C381D"/>
    <w:rsid w:val="001C3933"/>
    <w:rsid w:val="001C3F26"/>
    <w:rsid w:val="001C3F33"/>
    <w:rsid w:val="001C49BC"/>
    <w:rsid w:val="001C4CB5"/>
    <w:rsid w:val="001C4D49"/>
    <w:rsid w:val="001C5DDC"/>
    <w:rsid w:val="001C5E66"/>
    <w:rsid w:val="001C5E8E"/>
    <w:rsid w:val="001C6168"/>
    <w:rsid w:val="001C662B"/>
    <w:rsid w:val="001C6D4C"/>
    <w:rsid w:val="001C7439"/>
    <w:rsid w:val="001D040C"/>
    <w:rsid w:val="001D0A18"/>
    <w:rsid w:val="001D1363"/>
    <w:rsid w:val="001D1427"/>
    <w:rsid w:val="001D1497"/>
    <w:rsid w:val="001D1659"/>
    <w:rsid w:val="001D2103"/>
    <w:rsid w:val="001D258B"/>
    <w:rsid w:val="001D31BF"/>
    <w:rsid w:val="001D431A"/>
    <w:rsid w:val="001D4EAA"/>
    <w:rsid w:val="001D584C"/>
    <w:rsid w:val="001D5FDB"/>
    <w:rsid w:val="001D6DE6"/>
    <w:rsid w:val="001D755A"/>
    <w:rsid w:val="001E01A8"/>
    <w:rsid w:val="001E04C0"/>
    <w:rsid w:val="001E07A0"/>
    <w:rsid w:val="001E1491"/>
    <w:rsid w:val="001E1E1E"/>
    <w:rsid w:val="001E244F"/>
    <w:rsid w:val="001E2492"/>
    <w:rsid w:val="001E24C3"/>
    <w:rsid w:val="001E24C5"/>
    <w:rsid w:val="001E2899"/>
    <w:rsid w:val="001E2CF1"/>
    <w:rsid w:val="001E3883"/>
    <w:rsid w:val="001E4479"/>
    <w:rsid w:val="001E4D37"/>
    <w:rsid w:val="001E61B6"/>
    <w:rsid w:val="001E6A7E"/>
    <w:rsid w:val="001E70C7"/>
    <w:rsid w:val="001E740E"/>
    <w:rsid w:val="001F0A07"/>
    <w:rsid w:val="001F1011"/>
    <w:rsid w:val="001F1084"/>
    <w:rsid w:val="001F1D5C"/>
    <w:rsid w:val="001F38B1"/>
    <w:rsid w:val="001F3912"/>
    <w:rsid w:val="001F430A"/>
    <w:rsid w:val="001F44E9"/>
    <w:rsid w:val="001F4A50"/>
    <w:rsid w:val="001F4B45"/>
    <w:rsid w:val="001F64CE"/>
    <w:rsid w:val="001F695C"/>
    <w:rsid w:val="001F7E43"/>
    <w:rsid w:val="0020045B"/>
    <w:rsid w:val="00200703"/>
    <w:rsid w:val="00202589"/>
    <w:rsid w:val="00202D0B"/>
    <w:rsid w:val="00202FD8"/>
    <w:rsid w:val="002033BF"/>
    <w:rsid w:val="00203737"/>
    <w:rsid w:val="002039AE"/>
    <w:rsid w:val="00203DF5"/>
    <w:rsid w:val="0020445A"/>
    <w:rsid w:val="00204F6D"/>
    <w:rsid w:val="00205622"/>
    <w:rsid w:val="00205896"/>
    <w:rsid w:val="00205A80"/>
    <w:rsid w:val="002116B0"/>
    <w:rsid w:val="002118F9"/>
    <w:rsid w:val="00211B42"/>
    <w:rsid w:val="00211BF5"/>
    <w:rsid w:val="00211F8E"/>
    <w:rsid w:val="00212474"/>
    <w:rsid w:val="0021265B"/>
    <w:rsid w:val="0021464C"/>
    <w:rsid w:val="002146ED"/>
    <w:rsid w:val="00214D22"/>
    <w:rsid w:val="00214EDB"/>
    <w:rsid w:val="00215EBA"/>
    <w:rsid w:val="00216BFD"/>
    <w:rsid w:val="00216F31"/>
    <w:rsid w:val="00217880"/>
    <w:rsid w:val="00217AF9"/>
    <w:rsid w:val="00217B48"/>
    <w:rsid w:val="002202C4"/>
    <w:rsid w:val="002202DA"/>
    <w:rsid w:val="0022125D"/>
    <w:rsid w:val="0022190E"/>
    <w:rsid w:val="0022369F"/>
    <w:rsid w:val="0022393B"/>
    <w:rsid w:val="002239F1"/>
    <w:rsid w:val="00223A11"/>
    <w:rsid w:val="00223D7D"/>
    <w:rsid w:val="002240B0"/>
    <w:rsid w:val="002243C7"/>
    <w:rsid w:val="00224F4A"/>
    <w:rsid w:val="002255FA"/>
    <w:rsid w:val="00225CD2"/>
    <w:rsid w:val="00225E6C"/>
    <w:rsid w:val="00226C35"/>
    <w:rsid w:val="00226E0F"/>
    <w:rsid w:val="002276FF"/>
    <w:rsid w:val="0022774A"/>
    <w:rsid w:val="00230433"/>
    <w:rsid w:val="00231049"/>
    <w:rsid w:val="002314D2"/>
    <w:rsid w:val="00232128"/>
    <w:rsid w:val="00232FF4"/>
    <w:rsid w:val="0023533C"/>
    <w:rsid w:val="002356DE"/>
    <w:rsid w:val="0023590B"/>
    <w:rsid w:val="002367A8"/>
    <w:rsid w:val="00236B68"/>
    <w:rsid w:val="00236DEA"/>
    <w:rsid w:val="00236E34"/>
    <w:rsid w:val="002372A6"/>
    <w:rsid w:val="002405FA"/>
    <w:rsid w:val="0024167F"/>
    <w:rsid w:val="00241B51"/>
    <w:rsid w:val="00241BF0"/>
    <w:rsid w:val="0024215C"/>
    <w:rsid w:val="00242283"/>
    <w:rsid w:val="00244870"/>
    <w:rsid w:val="00244E0F"/>
    <w:rsid w:val="00245A6B"/>
    <w:rsid w:val="002462B2"/>
    <w:rsid w:val="0024654B"/>
    <w:rsid w:val="00246F45"/>
    <w:rsid w:val="002478A8"/>
    <w:rsid w:val="00250311"/>
    <w:rsid w:val="00252CD9"/>
    <w:rsid w:val="002535CD"/>
    <w:rsid w:val="00253655"/>
    <w:rsid w:val="00253B5A"/>
    <w:rsid w:val="00253D62"/>
    <w:rsid w:val="00253F22"/>
    <w:rsid w:val="0025424D"/>
    <w:rsid w:val="00254DA1"/>
    <w:rsid w:val="002551AC"/>
    <w:rsid w:val="002558EE"/>
    <w:rsid w:val="00255DDC"/>
    <w:rsid w:val="0025755A"/>
    <w:rsid w:val="002575A7"/>
    <w:rsid w:val="00257AEE"/>
    <w:rsid w:val="00257FE5"/>
    <w:rsid w:val="00260794"/>
    <w:rsid w:val="00260869"/>
    <w:rsid w:val="00260916"/>
    <w:rsid w:val="00261869"/>
    <w:rsid w:val="00261F2B"/>
    <w:rsid w:val="00261FBE"/>
    <w:rsid w:val="002623B4"/>
    <w:rsid w:val="00263758"/>
    <w:rsid w:val="00263B6C"/>
    <w:rsid w:val="00263D9D"/>
    <w:rsid w:val="00264054"/>
    <w:rsid w:val="00264234"/>
    <w:rsid w:val="00264E2A"/>
    <w:rsid w:val="00264FDB"/>
    <w:rsid w:val="0026511F"/>
    <w:rsid w:val="00265805"/>
    <w:rsid w:val="00265B56"/>
    <w:rsid w:val="00266178"/>
    <w:rsid w:val="002662EA"/>
    <w:rsid w:val="00266347"/>
    <w:rsid w:val="00266CDA"/>
    <w:rsid w:val="0026737D"/>
    <w:rsid w:val="00267A5B"/>
    <w:rsid w:val="0027047F"/>
    <w:rsid w:val="00270CDA"/>
    <w:rsid w:val="0027259D"/>
    <w:rsid w:val="0027263D"/>
    <w:rsid w:val="00273FD6"/>
    <w:rsid w:val="0027537C"/>
    <w:rsid w:val="0027565D"/>
    <w:rsid w:val="0027590B"/>
    <w:rsid w:val="00275B49"/>
    <w:rsid w:val="002778A2"/>
    <w:rsid w:val="002807D1"/>
    <w:rsid w:val="0028099B"/>
    <w:rsid w:val="00280B0E"/>
    <w:rsid w:val="00280D32"/>
    <w:rsid w:val="00282AC7"/>
    <w:rsid w:val="00282B33"/>
    <w:rsid w:val="00283EDF"/>
    <w:rsid w:val="00284395"/>
    <w:rsid w:val="00284CD4"/>
    <w:rsid w:val="00285969"/>
    <w:rsid w:val="00285B44"/>
    <w:rsid w:val="00285C40"/>
    <w:rsid w:val="00285C7C"/>
    <w:rsid w:val="00286647"/>
    <w:rsid w:val="00286980"/>
    <w:rsid w:val="00286D73"/>
    <w:rsid w:val="0028735B"/>
    <w:rsid w:val="00287DC4"/>
    <w:rsid w:val="00291872"/>
    <w:rsid w:val="00292631"/>
    <w:rsid w:val="002935C3"/>
    <w:rsid w:val="002939D6"/>
    <w:rsid w:val="002940AD"/>
    <w:rsid w:val="002940EC"/>
    <w:rsid w:val="0029446C"/>
    <w:rsid w:val="00294750"/>
    <w:rsid w:val="002947CC"/>
    <w:rsid w:val="0029482D"/>
    <w:rsid w:val="002949D4"/>
    <w:rsid w:val="00294BED"/>
    <w:rsid w:val="00294DBB"/>
    <w:rsid w:val="00295D81"/>
    <w:rsid w:val="002961BF"/>
    <w:rsid w:val="00296FFE"/>
    <w:rsid w:val="0029726A"/>
    <w:rsid w:val="00297628"/>
    <w:rsid w:val="002A070A"/>
    <w:rsid w:val="002A09FA"/>
    <w:rsid w:val="002A0F94"/>
    <w:rsid w:val="002A1212"/>
    <w:rsid w:val="002A1A7F"/>
    <w:rsid w:val="002A23DC"/>
    <w:rsid w:val="002A24A0"/>
    <w:rsid w:val="002A27BB"/>
    <w:rsid w:val="002A4291"/>
    <w:rsid w:val="002A4BB3"/>
    <w:rsid w:val="002A4FF7"/>
    <w:rsid w:val="002A5097"/>
    <w:rsid w:val="002A52A2"/>
    <w:rsid w:val="002A5736"/>
    <w:rsid w:val="002A5F45"/>
    <w:rsid w:val="002A71B0"/>
    <w:rsid w:val="002A7A54"/>
    <w:rsid w:val="002B0081"/>
    <w:rsid w:val="002B011A"/>
    <w:rsid w:val="002B0271"/>
    <w:rsid w:val="002B0E44"/>
    <w:rsid w:val="002B0F55"/>
    <w:rsid w:val="002B1686"/>
    <w:rsid w:val="002B2482"/>
    <w:rsid w:val="002B3829"/>
    <w:rsid w:val="002B3BA0"/>
    <w:rsid w:val="002B45B9"/>
    <w:rsid w:val="002B49D8"/>
    <w:rsid w:val="002B4D4D"/>
    <w:rsid w:val="002B5528"/>
    <w:rsid w:val="002B5921"/>
    <w:rsid w:val="002B5C39"/>
    <w:rsid w:val="002B60CB"/>
    <w:rsid w:val="002B6459"/>
    <w:rsid w:val="002B70E5"/>
    <w:rsid w:val="002B7F39"/>
    <w:rsid w:val="002C0671"/>
    <w:rsid w:val="002C1696"/>
    <w:rsid w:val="002C2489"/>
    <w:rsid w:val="002C251C"/>
    <w:rsid w:val="002C288A"/>
    <w:rsid w:val="002C2C59"/>
    <w:rsid w:val="002C40A7"/>
    <w:rsid w:val="002C583E"/>
    <w:rsid w:val="002C59E7"/>
    <w:rsid w:val="002C6508"/>
    <w:rsid w:val="002C687A"/>
    <w:rsid w:val="002C6CC3"/>
    <w:rsid w:val="002C6D40"/>
    <w:rsid w:val="002C7A63"/>
    <w:rsid w:val="002D005A"/>
    <w:rsid w:val="002D01A6"/>
    <w:rsid w:val="002D076E"/>
    <w:rsid w:val="002D0AF7"/>
    <w:rsid w:val="002D1C33"/>
    <w:rsid w:val="002D1F90"/>
    <w:rsid w:val="002D2C9B"/>
    <w:rsid w:val="002D2ED4"/>
    <w:rsid w:val="002D34AE"/>
    <w:rsid w:val="002D3E70"/>
    <w:rsid w:val="002D4460"/>
    <w:rsid w:val="002D488F"/>
    <w:rsid w:val="002D4A32"/>
    <w:rsid w:val="002D4D93"/>
    <w:rsid w:val="002D5343"/>
    <w:rsid w:val="002D5ED4"/>
    <w:rsid w:val="002D685E"/>
    <w:rsid w:val="002D784F"/>
    <w:rsid w:val="002D7BE3"/>
    <w:rsid w:val="002E0AFD"/>
    <w:rsid w:val="002E1272"/>
    <w:rsid w:val="002E1D01"/>
    <w:rsid w:val="002E1EF5"/>
    <w:rsid w:val="002E2528"/>
    <w:rsid w:val="002E26BA"/>
    <w:rsid w:val="002E2C2F"/>
    <w:rsid w:val="002E3D3C"/>
    <w:rsid w:val="002E3FD9"/>
    <w:rsid w:val="002E4C33"/>
    <w:rsid w:val="002E4D6C"/>
    <w:rsid w:val="002E5106"/>
    <w:rsid w:val="002E5242"/>
    <w:rsid w:val="002E5296"/>
    <w:rsid w:val="002E5344"/>
    <w:rsid w:val="002E644F"/>
    <w:rsid w:val="002E65E1"/>
    <w:rsid w:val="002E68D0"/>
    <w:rsid w:val="002E6AC4"/>
    <w:rsid w:val="002E6B68"/>
    <w:rsid w:val="002F0B33"/>
    <w:rsid w:val="002F1BC2"/>
    <w:rsid w:val="002F1CDF"/>
    <w:rsid w:val="002F3029"/>
    <w:rsid w:val="002F30BB"/>
    <w:rsid w:val="002F5D1F"/>
    <w:rsid w:val="002F617F"/>
    <w:rsid w:val="002F6EE6"/>
    <w:rsid w:val="002F735B"/>
    <w:rsid w:val="002F7EB4"/>
    <w:rsid w:val="00300434"/>
    <w:rsid w:val="0030051A"/>
    <w:rsid w:val="00300787"/>
    <w:rsid w:val="00301836"/>
    <w:rsid w:val="00301B3B"/>
    <w:rsid w:val="00301E8D"/>
    <w:rsid w:val="003026C9"/>
    <w:rsid w:val="003033A1"/>
    <w:rsid w:val="003039E6"/>
    <w:rsid w:val="00303E0F"/>
    <w:rsid w:val="003045C5"/>
    <w:rsid w:val="00304A61"/>
    <w:rsid w:val="00304B85"/>
    <w:rsid w:val="00304FD6"/>
    <w:rsid w:val="003051CE"/>
    <w:rsid w:val="00305AEE"/>
    <w:rsid w:val="00305F28"/>
    <w:rsid w:val="00306070"/>
    <w:rsid w:val="0030609A"/>
    <w:rsid w:val="003066C8"/>
    <w:rsid w:val="003075E0"/>
    <w:rsid w:val="0031098E"/>
    <w:rsid w:val="00310D33"/>
    <w:rsid w:val="00311006"/>
    <w:rsid w:val="00311850"/>
    <w:rsid w:val="003118BF"/>
    <w:rsid w:val="0031191B"/>
    <w:rsid w:val="00311D8E"/>
    <w:rsid w:val="003122F4"/>
    <w:rsid w:val="0031276E"/>
    <w:rsid w:val="00312CA9"/>
    <w:rsid w:val="00312E2C"/>
    <w:rsid w:val="00313748"/>
    <w:rsid w:val="003139ED"/>
    <w:rsid w:val="00313D74"/>
    <w:rsid w:val="003141EB"/>
    <w:rsid w:val="003143D6"/>
    <w:rsid w:val="00314525"/>
    <w:rsid w:val="003156A3"/>
    <w:rsid w:val="00315DE4"/>
    <w:rsid w:val="0031698B"/>
    <w:rsid w:val="00317635"/>
    <w:rsid w:val="00317B5B"/>
    <w:rsid w:val="00320D55"/>
    <w:rsid w:val="00321774"/>
    <w:rsid w:val="00321B19"/>
    <w:rsid w:val="00321B22"/>
    <w:rsid w:val="003232D0"/>
    <w:rsid w:val="0032361B"/>
    <w:rsid w:val="0032377A"/>
    <w:rsid w:val="00323E47"/>
    <w:rsid w:val="0032413C"/>
    <w:rsid w:val="003246A7"/>
    <w:rsid w:val="003251EA"/>
    <w:rsid w:val="0032521A"/>
    <w:rsid w:val="003254F1"/>
    <w:rsid w:val="003268D5"/>
    <w:rsid w:val="003271BD"/>
    <w:rsid w:val="00327E5A"/>
    <w:rsid w:val="003302B7"/>
    <w:rsid w:val="0033074D"/>
    <w:rsid w:val="003312BE"/>
    <w:rsid w:val="003313F2"/>
    <w:rsid w:val="00331A8A"/>
    <w:rsid w:val="00332438"/>
    <w:rsid w:val="0033269B"/>
    <w:rsid w:val="003332ED"/>
    <w:rsid w:val="003333D5"/>
    <w:rsid w:val="00333AC2"/>
    <w:rsid w:val="00334306"/>
    <w:rsid w:val="00334944"/>
    <w:rsid w:val="00334D9E"/>
    <w:rsid w:val="0033507B"/>
    <w:rsid w:val="0033548B"/>
    <w:rsid w:val="00335920"/>
    <w:rsid w:val="00335D84"/>
    <w:rsid w:val="00336539"/>
    <w:rsid w:val="00336F58"/>
    <w:rsid w:val="00340928"/>
    <w:rsid w:val="003413A9"/>
    <w:rsid w:val="003424D6"/>
    <w:rsid w:val="00344779"/>
    <w:rsid w:val="00344824"/>
    <w:rsid w:val="0034482C"/>
    <w:rsid w:val="00345108"/>
    <w:rsid w:val="00350175"/>
    <w:rsid w:val="00350CF4"/>
    <w:rsid w:val="00351854"/>
    <w:rsid w:val="00351D77"/>
    <w:rsid w:val="00352127"/>
    <w:rsid w:val="00352E5F"/>
    <w:rsid w:val="003549B1"/>
    <w:rsid w:val="00354D27"/>
    <w:rsid w:val="00354E33"/>
    <w:rsid w:val="00354FBB"/>
    <w:rsid w:val="003556F2"/>
    <w:rsid w:val="00355A12"/>
    <w:rsid w:val="003570C9"/>
    <w:rsid w:val="00357331"/>
    <w:rsid w:val="003601BF"/>
    <w:rsid w:val="0036020E"/>
    <w:rsid w:val="00360FF6"/>
    <w:rsid w:val="003614ED"/>
    <w:rsid w:val="003622E3"/>
    <w:rsid w:val="0036255A"/>
    <w:rsid w:val="00362800"/>
    <w:rsid w:val="003637EC"/>
    <w:rsid w:val="00364134"/>
    <w:rsid w:val="003648B5"/>
    <w:rsid w:val="00364EAF"/>
    <w:rsid w:val="00365389"/>
    <w:rsid w:val="0036572A"/>
    <w:rsid w:val="00365CF6"/>
    <w:rsid w:val="00365FEB"/>
    <w:rsid w:val="003660D8"/>
    <w:rsid w:val="003661CA"/>
    <w:rsid w:val="003677CF"/>
    <w:rsid w:val="00370497"/>
    <w:rsid w:val="00370549"/>
    <w:rsid w:val="0037198D"/>
    <w:rsid w:val="0037301B"/>
    <w:rsid w:val="00374B7F"/>
    <w:rsid w:val="003753B6"/>
    <w:rsid w:val="00375629"/>
    <w:rsid w:val="0037697C"/>
    <w:rsid w:val="00376B8D"/>
    <w:rsid w:val="0037730A"/>
    <w:rsid w:val="0038104D"/>
    <w:rsid w:val="003819DA"/>
    <w:rsid w:val="003839F0"/>
    <w:rsid w:val="00384E09"/>
    <w:rsid w:val="003850A3"/>
    <w:rsid w:val="003853CC"/>
    <w:rsid w:val="003858A6"/>
    <w:rsid w:val="00385927"/>
    <w:rsid w:val="00385AF9"/>
    <w:rsid w:val="0038641F"/>
    <w:rsid w:val="0038651B"/>
    <w:rsid w:val="00391565"/>
    <w:rsid w:val="00391616"/>
    <w:rsid w:val="00391DD8"/>
    <w:rsid w:val="00392594"/>
    <w:rsid w:val="00392DCC"/>
    <w:rsid w:val="00393224"/>
    <w:rsid w:val="003940AC"/>
    <w:rsid w:val="0039556F"/>
    <w:rsid w:val="00395F02"/>
    <w:rsid w:val="003960BC"/>
    <w:rsid w:val="0039767E"/>
    <w:rsid w:val="003A0188"/>
    <w:rsid w:val="003A02A2"/>
    <w:rsid w:val="003A06FE"/>
    <w:rsid w:val="003A07D0"/>
    <w:rsid w:val="003A199F"/>
    <w:rsid w:val="003A1C40"/>
    <w:rsid w:val="003A22AD"/>
    <w:rsid w:val="003A23C5"/>
    <w:rsid w:val="003A2617"/>
    <w:rsid w:val="003A31E5"/>
    <w:rsid w:val="003A37E2"/>
    <w:rsid w:val="003A3E0F"/>
    <w:rsid w:val="003A4309"/>
    <w:rsid w:val="003A4776"/>
    <w:rsid w:val="003A48B4"/>
    <w:rsid w:val="003A54D4"/>
    <w:rsid w:val="003A5BE8"/>
    <w:rsid w:val="003A7302"/>
    <w:rsid w:val="003B062A"/>
    <w:rsid w:val="003B1D5C"/>
    <w:rsid w:val="003B2024"/>
    <w:rsid w:val="003B3A32"/>
    <w:rsid w:val="003B3C27"/>
    <w:rsid w:val="003B41A8"/>
    <w:rsid w:val="003B4338"/>
    <w:rsid w:val="003B4475"/>
    <w:rsid w:val="003B482B"/>
    <w:rsid w:val="003B6385"/>
    <w:rsid w:val="003B6A72"/>
    <w:rsid w:val="003B6F47"/>
    <w:rsid w:val="003B6F78"/>
    <w:rsid w:val="003B7167"/>
    <w:rsid w:val="003B7F77"/>
    <w:rsid w:val="003C0554"/>
    <w:rsid w:val="003C25D3"/>
    <w:rsid w:val="003C28D3"/>
    <w:rsid w:val="003C29C7"/>
    <w:rsid w:val="003C2E50"/>
    <w:rsid w:val="003C3163"/>
    <w:rsid w:val="003C435C"/>
    <w:rsid w:val="003C435F"/>
    <w:rsid w:val="003C59A8"/>
    <w:rsid w:val="003C5E25"/>
    <w:rsid w:val="003C6509"/>
    <w:rsid w:val="003C689B"/>
    <w:rsid w:val="003C6D71"/>
    <w:rsid w:val="003D04CA"/>
    <w:rsid w:val="003D0BA7"/>
    <w:rsid w:val="003D1954"/>
    <w:rsid w:val="003D2847"/>
    <w:rsid w:val="003D2CB5"/>
    <w:rsid w:val="003D2E84"/>
    <w:rsid w:val="003D339E"/>
    <w:rsid w:val="003D3A56"/>
    <w:rsid w:val="003D3B46"/>
    <w:rsid w:val="003D3CC1"/>
    <w:rsid w:val="003D4257"/>
    <w:rsid w:val="003D4401"/>
    <w:rsid w:val="003D6A35"/>
    <w:rsid w:val="003D75BF"/>
    <w:rsid w:val="003D79D8"/>
    <w:rsid w:val="003D7CB6"/>
    <w:rsid w:val="003E0CDD"/>
    <w:rsid w:val="003E22B7"/>
    <w:rsid w:val="003E34EE"/>
    <w:rsid w:val="003E38B0"/>
    <w:rsid w:val="003E3DF9"/>
    <w:rsid w:val="003E4AC3"/>
    <w:rsid w:val="003E4D87"/>
    <w:rsid w:val="003E5C6B"/>
    <w:rsid w:val="003E627E"/>
    <w:rsid w:val="003E6326"/>
    <w:rsid w:val="003E7176"/>
    <w:rsid w:val="003E7C21"/>
    <w:rsid w:val="003F0201"/>
    <w:rsid w:val="003F042F"/>
    <w:rsid w:val="003F0673"/>
    <w:rsid w:val="003F1F74"/>
    <w:rsid w:val="003F2F12"/>
    <w:rsid w:val="003F32EB"/>
    <w:rsid w:val="003F3728"/>
    <w:rsid w:val="003F3B74"/>
    <w:rsid w:val="003F560E"/>
    <w:rsid w:val="003F5DF6"/>
    <w:rsid w:val="003F71F2"/>
    <w:rsid w:val="004004C9"/>
    <w:rsid w:val="00400BB2"/>
    <w:rsid w:val="004014EB"/>
    <w:rsid w:val="00404A68"/>
    <w:rsid w:val="00404A96"/>
    <w:rsid w:val="00405098"/>
    <w:rsid w:val="00405199"/>
    <w:rsid w:val="0040564C"/>
    <w:rsid w:val="0040573C"/>
    <w:rsid w:val="00405A2E"/>
    <w:rsid w:val="004063A7"/>
    <w:rsid w:val="00406828"/>
    <w:rsid w:val="00406ED2"/>
    <w:rsid w:val="0040793B"/>
    <w:rsid w:val="004100C9"/>
    <w:rsid w:val="0041083B"/>
    <w:rsid w:val="00411183"/>
    <w:rsid w:val="00411312"/>
    <w:rsid w:val="00411328"/>
    <w:rsid w:val="004113E2"/>
    <w:rsid w:val="00411425"/>
    <w:rsid w:val="004117AE"/>
    <w:rsid w:val="00411FCF"/>
    <w:rsid w:val="00412057"/>
    <w:rsid w:val="004123E4"/>
    <w:rsid w:val="00412750"/>
    <w:rsid w:val="00412D2E"/>
    <w:rsid w:val="0041348A"/>
    <w:rsid w:val="00413D41"/>
    <w:rsid w:val="004140BC"/>
    <w:rsid w:val="00414378"/>
    <w:rsid w:val="00414575"/>
    <w:rsid w:val="00414615"/>
    <w:rsid w:val="00414D3B"/>
    <w:rsid w:val="004153D0"/>
    <w:rsid w:val="004156C7"/>
    <w:rsid w:val="00415FD6"/>
    <w:rsid w:val="00416762"/>
    <w:rsid w:val="00416EAC"/>
    <w:rsid w:val="0041722C"/>
    <w:rsid w:val="00417AB4"/>
    <w:rsid w:val="00420B4A"/>
    <w:rsid w:val="00420F55"/>
    <w:rsid w:val="0042105A"/>
    <w:rsid w:val="00421351"/>
    <w:rsid w:val="004214B6"/>
    <w:rsid w:val="00422237"/>
    <w:rsid w:val="004236A4"/>
    <w:rsid w:val="00423AE3"/>
    <w:rsid w:val="00424EF3"/>
    <w:rsid w:val="00426EC8"/>
    <w:rsid w:val="00427BF6"/>
    <w:rsid w:val="00427CB8"/>
    <w:rsid w:val="00427F3D"/>
    <w:rsid w:val="0043005F"/>
    <w:rsid w:val="004304AE"/>
    <w:rsid w:val="00430850"/>
    <w:rsid w:val="00430A47"/>
    <w:rsid w:val="00430B36"/>
    <w:rsid w:val="00431754"/>
    <w:rsid w:val="00431BB4"/>
    <w:rsid w:val="00432118"/>
    <w:rsid w:val="00432937"/>
    <w:rsid w:val="00432BA8"/>
    <w:rsid w:val="00432F59"/>
    <w:rsid w:val="004331BB"/>
    <w:rsid w:val="00434241"/>
    <w:rsid w:val="004342C6"/>
    <w:rsid w:val="0043454B"/>
    <w:rsid w:val="0043599B"/>
    <w:rsid w:val="004364D0"/>
    <w:rsid w:val="00436555"/>
    <w:rsid w:val="00440557"/>
    <w:rsid w:val="00440F91"/>
    <w:rsid w:val="00441098"/>
    <w:rsid w:val="00443BF5"/>
    <w:rsid w:val="00445265"/>
    <w:rsid w:val="00445798"/>
    <w:rsid w:val="0044617F"/>
    <w:rsid w:val="004468EE"/>
    <w:rsid w:val="00446F7F"/>
    <w:rsid w:val="004479A4"/>
    <w:rsid w:val="004503B9"/>
    <w:rsid w:val="0045082F"/>
    <w:rsid w:val="00450C8E"/>
    <w:rsid w:val="00450F26"/>
    <w:rsid w:val="00451079"/>
    <w:rsid w:val="00451608"/>
    <w:rsid w:val="004518B5"/>
    <w:rsid w:val="00451B13"/>
    <w:rsid w:val="0045202B"/>
    <w:rsid w:val="00452AB1"/>
    <w:rsid w:val="00452CFF"/>
    <w:rsid w:val="0045322D"/>
    <w:rsid w:val="0045375F"/>
    <w:rsid w:val="00453FE7"/>
    <w:rsid w:val="00454063"/>
    <w:rsid w:val="004552C5"/>
    <w:rsid w:val="00455419"/>
    <w:rsid w:val="004557FB"/>
    <w:rsid w:val="004559CE"/>
    <w:rsid w:val="00455A90"/>
    <w:rsid w:val="00455A99"/>
    <w:rsid w:val="00455ECE"/>
    <w:rsid w:val="0045629A"/>
    <w:rsid w:val="004563F0"/>
    <w:rsid w:val="00456A6B"/>
    <w:rsid w:val="00456CAE"/>
    <w:rsid w:val="00460070"/>
    <w:rsid w:val="004607CB"/>
    <w:rsid w:val="00460BBE"/>
    <w:rsid w:val="00461EB2"/>
    <w:rsid w:val="00462A58"/>
    <w:rsid w:val="00463A94"/>
    <w:rsid w:val="00463F15"/>
    <w:rsid w:val="00463FBD"/>
    <w:rsid w:val="00465436"/>
    <w:rsid w:val="00466221"/>
    <w:rsid w:val="0046764E"/>
    <w:rsid w:val="00470658"/>
    <w:rsid w:val="00470798"/>
    <w:rsid w:val="004707AF"/>
    <w:rsid w:val="00470D90"/>
    <w:rsid w:val="00471760"/>
    <w:rsid w:val="00471915"/>
    <w:rsid w:val="004721DC"/>
    <w:rsid w:val="00472349"/>
    <w:rsid w:val="00472908"/>
    <w:rsid w:val="00472CA0"/>
    <w:rsid w:val="00473496"/>
    <w:rsid w:val="00473716"/>
    <w:rsid w:val="00473CD7"/>
    <w:rsid w:val="004740BD"/>
    <w:rsid w:val="0047493D"/>
    <w:rsid w:val="00474CDB"/>
    <w:rsid w:val="0047521B"/>
    <w:rsid w:val="00475B4E"/>
    <w:rsid w:val="00475B7B"/>
    <w:rsid w:val="00475F42"/>
    <w:rsid w:val="00475F4D"/>
    <w:rsid w:val="00475F4F"/>
    <w:rsid w:val="004763E6"/>
    <w:rsid w:val="00476F09"/>
    <w:rsid w:val="0047700C"/>
    <w:rsid w:val="00477525"/>
    <w:rsid w:val="0047757F"/>
    <w:rsid w:val="004775E9"/>
    <w:rsid w:val="004776D9"/>
    <w:rsid w:val="00480C5B"/>
    <w:rsid w:val="004814D6"/>
    <w:rsid w:val="00481F5C"/>
    <w:rsid w:val="004821D9"/>
    <w:rsid w:val="00482AD1"/>
    <w:rsid w:val="00483049"/>
    <w:rsid w:val="004833E7"/>
    <w:rsid w:val="004848D7"/>
    <w:rsid w:val="00484EB6"/>
    <w:rsid w:val="00485C2D"/>
    <w:rsid w:val="00485DCC"/>
    <w:rsid w:val="004869DE"/>
    <w:rsid w:val="00486E8A"/>
    <w:rsid w:val="00487127"/>
    <w:rsid w:val="004873EF"/>
    <w:rsid w:val="00487951"/>
    <w:rsid w:val="0049056A"/>
    <w:rsid w:val="004915BC"/>
    <w:rsid w:val="00491A67"/>
    <w:rsid w:val="0049235F"/>
    <w:rsid w:val="00492DD4"/>
    <w:rsid w:val="00492FCB"/>
    <w:rsid w:val="004938D1"/>
    <w:rsid w:val="00493979"/>
    <w:rsid w:val="004940CD"/>
    <w:rsid w:val="00494EF5"/>
    <w:rsid w:val="004951A8"/>
    <w:rsid w:val="004957F9"/>
    <w:rsid w:val="004964DA"/>
    <w:rsid w:val="00496A3E"/>
    <w:rsid w:val="00496F39"/>
    <w:rsid w:val="004973BC"/>
    <w:rsid w:val="004A0234"/>
    <w:rsid w:val="004A040F"/>
    <w:rsid w:val="004A077D"/>
    <w:rsid w:val="004A0980"/>
    <w:rsid w:val="004A1040"/>
    <w:rsid w:val="004A14D8"/>
    <w:rsid w:val="004A19E1"/>
    <w:rsid w:val="004A22AB"/>
    <w:rsid w:val="004A26D2"/>
    <w:rsid w:val="004A2E8A"/>
    <w:rsid w:val="004A38A8"/>
    <w:rsid w:val="004A3ACA"/>
    <w:rsid w:val="004A4490"/>
    <w:rsid w:val="004A4F8E"/>
    <w:rsid w:val="004A5036"/>
    <w:rsid w:val="004A54D2"/>
    <w:rsid w:val="004A76EB"/>
    <w:rsid w:val="004A7BC2"/>
    <w:rsid w:val="004A7E4D"/>
    <w:rsid w:val="004B0E82"/>
    <w:rsid w:val="004B19E1"/>
    <w:rsid w:val="004B310A"/>
    <w:rsid w:val="004B3116"/>
    <w:rsid w:val="004B4D64"/>
    <w:rsid w:val="004B4F79"/>
    <w:rsid w:val="004B6603"/>
    <w:rsid w:val="004B682A"/>
    <w:rsid w:val="004B691A"/>
    <w:rsid w:val="004B7379"/>
    <w:rsid w:val="004B7904"/>
    <w:rsid w:val="004B7993"/>
    <w:rsid w:val="004B7997"/>
    <w:rsid w:val="004C03C7"/>
    <w:rsid w:val="004C03EB"/>
    <w:rsid w:val="004C103B"/>
    <w:rsid w:val="004C165D"/>
    <w:rsid w:val="004C195E"/>
    <w:rsid w:val="004C1CE9"/>
    <w:rsid w:val="004C248E"/>
    <w:rsid w:val="004C2496"/>
    <w:rsid w:val="004C2E53"/>
    <w:rsid w:val="004C45C1"/>
    <w:rsid w:val="004C4B32"/>
    <w:rsid w:val="004C50D0"/>
    <w:rsid w:val="004C526D"/>
    <w:rsid w:val="004C5747"/>
    <w:rsid w:val="004C6844"/>
    <w:rsid w:val="004C696F"/>
    <w:rsid w:val="004C6A00"/>
    <w:rsid w:val="004C71A1"/>
    <w:rsid w:val="004C71B7"/>
    <w:rsid w:val="004D105A"/>
    <w:rsid w:val="004D1924"/>
    <w:rsid w:val="004D1D2A"/>
    <w:rsid w:val="004D27FC"/>
    <w:rsid w:val="004D35DA"/>
    <w:rsid w:val="004D405D"/>
    <w:rsid w:val="004D4272"/>
    <w:rsid w:val="004D45CE"/>
    <w:rsid w:val="004D528F"/>
    <w:rsid w:val="004D6A4D"/>
    <w:rsid w:val="004D6AD0"/>
    <w:rsid w:val="004D6B6D"/>
    <w:rsid w:val="004D70B1"/>
    <w:rsid w:val="004E0276"/>
    <w:rsid w:val="004E0457"/>
    <w:rsid w:val="004E092B"/>
    <w:rsid w:val="004E1232"/>
    <w:rsid w:val="004E15DA"/>
    <w:rsid w:val="004E231A"/>
    <w:rsid w:val="004E24F8"/>
    <w:rsid w:val="004E2CB8"/>
    <w:rsid w:val="004E36CB"/>
    <w:rsid w:val="004E4C45"/>
    <w:rsid w:val="004E4C48"/>
    <w:rsid w:val="004E6464"/>
    <w:rsid w:val="004E64EB"/>
    <w:rsid w:val="004E694B"/>
    <w:rsid w:val="004E731B"/>
    <w:rsid w:val="004E792B"/>
    <w:rsid w:val="004F03FD"/>
    <w:rsid w:val="004F1030"/>
    <w:rsid w:val="004F1164"/>
    <w:rsid w:val="004F194C"/>
    <w:rsid w:val="004F1A1B"/>
    <w:rsid w:val="004F1D01"/>
    <w:rsid w:val="004F1F64"/>
    <w:rsid w:val="004F21F1"/>
    <w:rsid w:val="004F223D"/>
    <w:rsid w:val="004F3171"/>
    <w:rsid w:val="004F31FE"/>
    <w:rsid w:val="004F44A6"/>
    <w:rsid w:val="004F45D5"/>
    <w:rsid w:val="004F4836"/>
    <w:rsid w:val="004F5032"/>
    <w:rsid w:val="004F512C"/>
    <w:rsid w:val="004F532D"/>
    <w:rsid w:val="004F7024"/>
    <w:rsid w:val="004F7AD1"/>
    <w:rsid w:val="00500961"/>
    <w:rsid w:val="00500A14"/>
    <w:rsid w:val="00500FD7"/>
    <w:rsid w:val="00500FEF"/>
    <w:rsid w:val="00501238"/>
    <w:rsid w:val="00501449"/>
    <w:rsid w:val="005014AF"/>
    <w:rsid w:val="005014CA"/>
    <w:rsid w:val="00501AF9"/>
    <w:rsid w:val="00501CF9"/>
    <w:rsid w:val="00501E13"/>
    <w:rsid w:val="0050211C"/>
    <w:rsid w:val="00502756"/>
    <w:rsid w:val="00502F9A"/>
    <w:rsid w:val="005032C5"/>
    <w:rsid w:val="00503432"/>
    <w:rsid w:val="0050485C"/>
    <w:rsid w:val="00505174"/>
    <w:rsid w:val="00505420"/>
    <w:rsid w:val="00505AAA"/>
    <w:rsid w:val="00506031"/>
    <w:rsid w:val="00506BC6"/>
    <w:rsid w:val="00506C4E"/>
    <w:rsid w:val="00506D61"/>
    <w:rsid w:val="00507AE3"/>
    <w:rsid w:val="0051070D"/>
    <w:rsid w:val="0051092B"/>
    <w:rsid w:val="00510BAC"/>
    <w:rsid w:val="00511C2B"/>
    <w:rsid w:val="00513E01"/>
    <w:rsid w:val="00514E7E"/>
    <w:rsid w:val="00515807"/>
    <w:rsid w:val="00515FCA"/>
    <w:rsid w:val="0051609D"/>
    <w:rsid w:val="0051652C"/>
    <w:rsid w:val="005166F4"/>
    <w:rsid w:val="00516785"/>
    <w:rsid w:val="00516793"/>
    <w:rsid w:val="00517677"/>
    <w:rsid w:val="00517961"/>
    <w:rsid w:val="005209AB"/>
    <w:rsid w:val="005210DC"/>
    <w:rsid w:val="005214B5"/>
    <w:rsid w:val="00523422"/>
    <w:rsid w:val="00523C22"/>
    <w:rsid w:val="0052419D"/>
    <w:rsid w:val="005241DB"/>
    <w:rsid w:val="005247F1"/>
    <w:rsid w:val="00524F8F"/>
    <w:rsid w:val="00525DA7"/>
    <w:rsid w:val="00525E88"/>
    <w:rsid w:val="0052625C"/>
    <w:rsid w:val="0052638C"/>
    <w:rsid w:val="00526AFB"/>
    <w:rsid w:val="00526EDF"/>
    <w:rsid w:val="00527DE5"/>
    <w:rsid w:val="005301F8"/>
    <w:rsid w:val="005302F5"/>
    <w:rsid w:val="0053065C"/>
    <w:rsid w:val="005312FC"/>
    <w:rsid w:val="0053136B"/>
    <w:rsid w:val="005324C0"/>
    <w:rsid w:val="00532C4B"/>
    <w:rsid w:val="00535FC0"/>
    <w:rsid w:val="0053603D"/>
    <w:rsid w:val="005372CE"/>
    <w:rsid w:val="00537304"/>
    <w:rsid w:val="0053765E"/>
    <w:rsid w:val="005378B1"/>
    <w:rsid w:val="00540655"/>
    <w:rsid w:val="005409A4"/>
    <w:rsid w:val="00540D94"/>
    <w:rsid w:val="005416D0"/>
    <w:rsid w:val="00541CED"/>
    <w:rsid w:val="00541EE9"/>
    <w:rsid w:val="00542748"/>
    <w:rsid w:val="00542AEF"/>
    <w:rsid w:val="005430D0"/>
    <w:rsid w:val="00543126"/>
    <w:rsid w:val="005434CC"/>
    <w:rsid w:val="00543906"/>
    <w:rsid w:val="00543EED"/>
    <w:rsid w:val="005447A0"/>
    <w:rsid w:val="00544D6D"/>
    <w:rsid w:val="005457C7"/>
    <w:rsid w:val="00545B52"/>
    <w:rsid w:val="00545ED1"/>
    <w:rsid w:val="005479EA"/>
    <w:rsid w:val="00550B2B"/>
    <w:rsid w:val="005515B2"/>
    <w:rsid w:val="005517C5"/>
    <w:rsid w:val="00551FD4"/>
    <w:rsid w:val="00552756"/>
    <w:rsid w:val="0055275C"/>
    <w:rsid w:val="00552AE1"/>
    <w:rsid w:val="0055425D"/>
    <w:rsid w:val="00554559"/>
    <w:rsid w:val="00554C7F"/>
    <w:rsid w:val="00555079"/>
    <w:rsid w:val="00555D14"/>
    <w:rsid w:val="00556494"/>
    <w:rsid w:val="00556AAA"/>
    <w:rsid w:val="00556B0D"/>
    <w:rsid w:val="00556FDF"/>
    <w:rsid w:val="005576F2"/>
    <w:rsid w:val="005607FD"/>
    <w:rsid w:val="00562A37"/>
    <w:rsid w:val="00562B54"/>
    <w:rsid w:val="00562E02"/>
    <w:rsid w:val="00562E19"/>
    <w:rsid w:val="0056307B"/>
    <w:rsid w:val="00563A64"/>
    <w:rsid w:val="00564872"/>
    <w:rsid w:val="005650CA"/>
    <w:rsid w:val="00565298"/>
    <w:rsid w:val="00565364"/>
    <w:rsid w:val="00566091"/>
    <w:rsid w:val="005661F6"/>
    <w:rsid w:val="00566949"/>
    <w:rsid w:val="00566AD3"/>
    <w:rsid w:val="00567261"/>
    <w:rsid w:val="005674CF"/>
    <w:rsid w:val="00570291"/>
    <w:rsid w:val="00570400"/>
    <w:rsid w:val="00570EDB"/>
    <w:rsid w:val="0057175E"/>
    <w:rsid w:val="00572176"/>
    <w:rsid w:val="005725BE"/>
    <w:rsid w:val="00572785"/>
    <w:rsid w:val="00572B58"/>
    <w:rsid w:val="00573344"/>
    <w:rsid w:val="005740BD"/>
    <w:rsid w:val="005741AB"/>
    <w:rsid w:val="005746DB"/>
    <w:rsid w:val="00574A62"/>
    <w:rsid w:val="00575B35"/>
    <w:rsid w:val="00575EE9"/>
    <w:rsid w:val="00576D5B"/>
    <w:rsid w:val="00576F50"/>
    <w:rsid w:val="00577584"/>
    <w:rsid w:val="00577C59"/>
    <w:rsid w:val="0058016E"/>
    <w:rsid w:val="00580422"/>
    <w:rsid w:val="00580877"/>
    <w:rsid w:val="00580E47"/>
    <w:rsid w:val="00580F24"/>
    <w:rsid w:val="005811A7"/>
    <w:rsid w:val="00581BF1"/>
    <w:rsid w:val="00583349"/>
    <w:rsid w:val="00583538"/>
    <w:rsid w:val="005835C7"/>
    <w:rsid w:val="00584054"/>
    <w:rsid w:val="00584423"/>
    <w:rsid w:val="00584702"/>
    <w:rsid w:val="00584E6F"/>
    <w:rsid w:val="00585254"/>
    <w:rsid w:val="005868DE"/>
    <w:rsid w:val="00586BE3"/>
    <w:rsid w:val="00586CB6"/>
    <w:rsid w:val="00587697"/>
    <w:rsid w:val="00587935"/>
    <w:rsid w:val="005903C3"/>
    <w:rsid w:val="00590918"/>
    <w:rsid w:val="00591A02"/>
    <w:rsid w:val="00592082"/>
    <w:rsid w:val="005926ED"/>
    <w:rsid w:val="0059287A"/>
    <w:rsid w:val="00592D99"/>
    <w:rsid w:val="00592DD9"/>
    <w:rsid w:val="00593652"/>
    <w:rsid w:val="005941DE"/>
    <w:rsid w:val="00594F8E"/>
    <w:rsid w:val="0059529F"/>
    <w:rsid w:val="005954E1"/>
    <w:rsid w:val="00595547"/>
    <w:rsid w:val="005971BF"/>
    <w:rsid w:val="005A052F"/>
    <w:rsid w:val="005A1D63"/>
    <w:rsid w:val="005A2818"/>
    <w:rsid w:val="005A283B"/>
    <w:rsid w:val="005A2D10"/>
    <w:rsid w:val="005A2D7B"/>
    <w:rsid w:val="005A2E5D"/>
    <w:rsid w:val="005A35C6"/>
    <w:rsid w:val="005A35D8"/>
    <w:rsid w:val="005A457F"/>
    <w:rsid w:val="005A53A6"/>
    <w:rsid w:val="005A5588"/>
    <w:rsid w:val="005A5682"/>
    <w:rsid w:val="005A73BD"/>
    <w:rsid w:val="005A746F"/>
    <w:rsid w:val="005A7491"/>
    <w:rsid w:val="005A7A22"/>
    <w:rsid w:val="005B05B4"/>
    <w:rsid w:val="005B093B"/>
    <w:rsid w:val="005B0A80"/>
    <w:rsid w:val="005B0E08"/>
    <w:rsid w:val="005B114C"/>
    <w:rsid w:val="005B2156"/>
    <w:rsid w:val="005B23A8"/>
    <w:rsid w:val="005B2A5A"/>
    <w:rsid w:val="005B3344"/>
    <w:rsid w:val="005B3D01"/>
    <w:rsid w:val="005B3FB8"/>
    <w:rsid w:val="005B4CD8"/>
    <w:rsid w:val="005B6A17"/>
    <w:rsid w:val="005C04E4"/>
    <w:rsid w:val="005C07F1"/>
    <w:rsid w:val="005C13F7"/>
    <w:rsid w:val="005C2534"/>
    <w:rsid w:val="005C2F0A"/>
    <w:rsid w:val="005C3305"/>
    <w:rsid w:val="005C371F"/>
    <w:rsid w:val="005C3C36"/>
    <w:rsid w:val="005C3D60"/>
    <w:rsid w:val="005C4FEF"/>
    <w:rsid w:val="005C53B4"/>
    <w:rsid w:val="005C58C6"/>
    <w:rsid w:val="005C5A95"/>
    <w:rsid w:val="005C5D48"/>
    <w:rsid w:val="005C603B"/>
    <w:rsid w:val="005C7842"/>
    <w:rsid w:val="005D04BB"/>
    <w:rsid w:val="005D0C96"/>
    <w:rsid w:val="005D0E57"/>
    <w:rsid w:val="005D15B7"/>
    <w:rsid w:val="005D1754"/>
    <w:rsid w:val="005D17F7"/>
    <w:rsid w:val="005D4EC8"/>
    <w:rsid w:val="005D5264"/>
    <w:rsid w:val="005D76C0"/>
    <w:rsid w:val="005D76E2"/>
    <w:rsid w:val="005D779A"/>
    <w:rsid w:val="005E0613"/>
    <w:rsid w:val="005E2305"/>
    <w:rsid w:val="005E3624"/>
    <w:rsid w:val="005E366D"/>
    <w:rsid w:val="005E38DA"/>
    <w:rsid w:val="005E4004"/>
    <w:rsid w:val="005E4959"/>
    <w:rsid w:val="005E4B78"/>
    <w:rsid w:val="005E7C55"/>
    <w:rsid w:val="005F11C8"/>
    <w:rsid w:val="005F326C"/>
    <w:rsid w:val="005F3517"/>
    <w:rsid w:val="005F3845"/>
    <w:rsid w:val="005F3992"/>
    <w:rsid w:val="005F4545"/>
    <w:rsid w:val="005F4640"/>
    <w:rsid w:val="005F53D4"/>
    <w:rsid w:val="005F5403"/>
    <w:rsid w:val="005F57A9"/>
    <w:rsid w:val="005F76BC"/>
    <w:rsid w:val="00600DE3"/>
    <w:rsid w:val="0060156C"/>
    <w:rsid w:val="006015BE"/>
    <w:rsid w:val="006016A6"/>
    <w:rsid w:val="006017E7"/>
    <w:rsid w:val="00601EAD"/>
    <w:rsid w:val="00603CD8"/>
    <w:rsid w:val="006040B2"/>
    <w:rsid w:val="00604B37"/>
    <w:rsid w:val="00604CBB"/>
    <w:rsid w:val="00604F91"/>
    <w:rsid w:val="0060595B"/>
    <w:rsid w:val="00605AFD"/>
    <w:rsid w:val="0060648B"/>
    <w:rsid w:val="00606713"/>
    <w:rsid w:val="00606FD6"/>
    <w:rsid w:val="00607C46"/>
    <w:rsid w:val="00607C7C"/>
    <w:rsid w:val="006104A9"/>
    <w:rsid w:val="006106DE"/>
    <w:rsid w:val="006106FB"/>
    <w:rsid w:val="0061112F"/>
    <w:rsid w:val="00611BEE"/>
    <w:rsid w:val="006123D4"/>
    <w:rsid w:val="00613272"/>
    <w:rsid w:val="0061338E"/>
    <w:rsid w:val="0061424E"/>
    <w:rsid w:val="00614F09"/>
    <w:rsid w:val="006151CB"/>
    <w:rsid w:val="00617159"/>
    <w:rsid w:val="00617307"/>
    <w:rsid w:val="006175DA"/>
    <w:rsid w:val="00620173"/>
    <w:rsid w:val="006219C6"/>
    <w:rsid w:val="00621F72"/>
    <w:rsid w:val="00622ACA"/>
    <w:rsid w:val="006233E9"/>
    <w:rsid w:val="00623854"/>
    <w:rsid w:val="00623C67"/>
    <w:rsid w:val="00623F55"/>
    <w:rsid w:val="00624161"/>
    <w:rsid w:val="00624751"/>
    <w:rsid w:val="00624955"/>
    <w:rsid w:val="00624CED"/>
    <w:rsid w:val="00625D8D"/>
    <w:rsid w:val="00626497"/>
    <w:rsid w:val="006269F2"/>
    <w:rsid w:val="00626CA2"/>
    <w:rsid w:val="00627106"/>
    <w:rsid w:val="00627422"/>
    <w:rsid w:val="00627C6B"/>
    <w:rsid w:val="00630992"/>
    <w:rsid w:val="00630DC5"/>
    <w:rsid w:val="0063106C"/>
    <w:rsid w:val="00631D0B"/>
    <w:rsid w:val="0063494D"/>
    <w:rsid w:val="00634F1C"/>
    <w:rsid w:val="006355B0"/>
    <w:rsid w:val="006355E8"/>
    <w:rsid w:val="00635812"/>
    <w:rsid w:val="00636D0B"/>
    <w:rsid w:val="0063701F"/>
    <w:rsid w:val="00637BAB"/>
    <w:rsid w:val="00637C14"/>
    <w:rsid w:val="0064005E"/>
    <w:rsid w:val="006408DD"/>
    <w:rsid w:val="0064091D"/>
    <w:rsid w:val="00640D25"/>
    <w:rsid w:val="00641628"/>
    <w:rsid w:val="006418EF"/>
    <w:rsid w:val="00641FEE"/>
    <w:rsid w:val="00642942"/>
    <w:rsid w:val="0064321E"/>
    <w:rsid w:val="006466B4"/>
    <w:rsid w:val="006466C8"/>
    <w:rsid w:val="00646AA4"/>
    <w:rsid w:val="00646EEE"/>
    <w:rsid w:val="00646F5F"/>
    <w:rsid w:val="006473B2"/>
    <w:rsid w:val="00647819"/>
    <w:rsid w:val="0065078D"/>
    <w:rsid w:val="00651615"/>
    <w:rsid w:val="00651AF6"/>
    <w:rsid w:val="0065211D"/>
    <w:rsid w:val="00652C55"/>
    <w:rsid w:val="00652EBE"/>
    <w:rsid w:val="00652F2C"/>
    <w:rsid w:val="00653D6E"/>
    <w:rsid w:val="00654571"/>
    <w:rsid w:val="006545A9"/>
    <w:rsid w:val="006559BC"/>
    <w:rsid w:val="00656356"/>
    <w:rsid w:val="00656E6F"/>
    <w:rsid w:val="00657712"/>
    <w:rsid w:val="006578CD"/>
    <w:rsid w:val="00657BA8"/>
    <w:rsid w:val="006600E2"/>
    <w:rsid w:val="0066022A"/>
    <w:rsid w:val="00661BF0"/>
    <w:rsid w:val="00662226"/>
    <w:rsid w:val="00662675"/>
    <w:rsid w:val="006627B4"/>
    <w:rsid w:val="00662A7D"/>
    <w:rsid w:val="006630E4"/>
    <w:rsid w:val="00663B2D"/>
    <w:rsid w:val="00663DAB"/>
    <w:rsid w:val="00663E83"/>
    <w:rsid w:val="00665E5A"/>
    <w:rsid w:val="006661C3"/>
    <w:rsid w:val="006668B4"/>
    <w:rsid w:val="00666D80"/>
    <w:rsid w:val="0066708B"/>
    <w:rsid w:val="006674D4"/>
    <w:rsid w:val="00670650"/>
    <w:rsid w:val="00670F31"/>
    <w:rsid w:val="00672087"/>
    <w:rsid w:val="00673B26"/>
    <w:rsid w:val="00673F87"/>
    <w:rsid w:val="0067405D"/>
    <w:rsid w:val="00675318"/>
    <w:rsid w:val="006755BF"/>
    <w:rsid w:val="006755D3"/>
    <w:rsid w:val="00676BD8"/>
    <w:rsid w:val="00676C70"/>
    <w:rsid w:val="006777DA"/>
    <w:rsid w:val="006802E3"/>
    <w:rsid w:val="0068054B"/>
    <w:rsid w:val="00680650"/>
    <w:rsid w:val="00680718"/>
    <w:rsid w:val="0068073F"/>
    <w:rsid w:val="00680F0A"/>
    <w:rsid w:val="00682D9A"/>
    <w:rsid w:val="00682DBF"/>
    <w:rsid w:val="00683AE2"/>
    <w:rsid w:val="00686165"/>
    <w:rsid w:val="006866B8"/>
    <w:rsid w:val="00690599"/>
    <w:rsid w:val="00691399"/>
    <w:rsid w:val="00691CB5"/>
    <w:rsid w:val="00691D7E"/>
    <w:rsid w:val="0069207E"/>
    <w:rsid w:val="0069287C"/>
    <w:rsid w:val="00692C32"/>
    <w:rsid w:val="00693095"/>
    <w:rsid w:val="00693EB1"/>
    <w:rsid w:val="00693FB2"/>
    <w:rsid w:val="00694DE9"/>
    <w:rsid w:val="00694E85"/>
    <w:rsid w:val="00694EB6"/>
    <w:rsid w:val="00695152"/>
    <w:rsid w:val="00695724"/>
    <w:rsid w:val="006963D5"/>
    <w:rsid w:val="006966DA"/>
    <w:rsid w:val="00696878"/>
    <w:rsid w:val="00696CD4"/>
    <w:rsid w:val="006A0033"/>
    <w:rsid w:val="006A0454"/>
    <w:rsid w:val="006A0A14"/>
    <w:rsid w:val="006A1468"/>
    <w:rsid w:val="006A27E5"/>
    <w:rsid w:val="006A2A69"/>
    <w:rsid w:val="006A3031"/>
    <w:rsid w:val="006A362E"/>
    <w:rsid w:val="006A588B"/>
    <w:rsid w:val="006A64FB"/>
    <w:rsid w:val="006A679C"/>
    <w:rsid w:val="006A6E4A"/>
    <w:rsid w:val="006A6EE1"/>
    <w:rsid w:val="006B10DB"/>
    <w:rsid w:val="006B116F"/>
    <w:rsid w:val="006B14DE"/>
    <w:rsid w:val="006B243A"/>
    <w:rsid w:val="006B277E"/>
    <w:rsid w:val="006B49D4"/>
    <w:rsid w:val="006B4DE0"/>
    <w:rsid w:val="006B52F3"/>
    <w:rsid w:val="006B5B7C"/>
    <w:rsid w:val="006B5E7C"/>
    <w:rsid w:val="006B5ECC"/>
    <w:rsid w:val="006B6DAD"/>
    <w:rsid w:val="006B7556"/>
    <w:rsid w:val="006B7C15"/>
    <w:rsid w:val="006B7EFE"/>
    <w:rsid w:val="006C017E"/>
    <w:rsid w:val="006C084C"/>
    <w:rsid w:val="006C0B6F"/>
    <w:rsid w:val="006C0C20"/>
    <w:rsid w:val="006C1F93"/>
    <w:rsid w:val="006C30F1"/>
    <w:rsid w:val="006C3805"/>
    <w:rsid w:val="006C3BB6"/>
    <w:rsid w:val="006C4E09"/>
    <w:rsid w:val="006C586D"/>
    <w:rsid w:val="006C645D"/>
    <w:rsid w:val="006C6913"/>
    <w:rsid w:val="006C6A1E"/>
    <w:rsid w:val="006C7896"/>
    <w:rsid w:val="006D0240"/>
    <w:rsid w:val="006D0D23"/>
    <w:rsid w:val="006D13FD"/>
    <w:rsid w:val="006D19C6"/>
    <w:rsid w:val="006D1D6D"/>
    <w:rsid w:val="006D1EF3"/>
    <w:rsid w:val="006D1F42"/>
    <w:rsid w:val="006D2057"/>
    <w:rsid w:val="006D2511"/>
    <w:rsid w:val="006D25C0"/>
    <w:rsid w:val="006D31C2"/>
    <w:rsid w:val="006D42C7"/>
    <w:rsid w:val="006D42F8"/>
    <w:rsid w:val="006D4392"/>
    <w:rsid w:val="006D551D"/>
    <w:rsid w:val="006D6294"/>
    <w:rsid w:val="006D68D8"/>
    <w:rsid w:val="006D6C8A"/>
    <w:rsid w:val="006D6EC7"/>
    <w:rsid w:val="006D7CD5"/>
    <w:rsid w:val="006E0E3C"/>
    <w:rsid w:val="006E16CB"/>
    <w:rsid w:val="006E1B60"/>
    <w:rsid w:val="006E2B9E"/>
    <w:rsid w:val="006E2E89"/>
    <w:rsid w:val="006E3CAE"/>
    <w:rsid w:val="006E3CC3"/>
    <w:rsid w:val="006E49B1"/>
    <w:rsid w:val="006E6B61"/>
    <w:rsid w:val="006E7B1D"/>
    <w:rsid w:val="006E7CE5"/>
    <w:rsid w:val="006F09EB"/>
    <w:rsid w:val="006F1389"/>
    <w:rsid w:val="006F2587"/>
    <w:rsid w:val="006F2928"/>
    <w:rsid w:val="006F2BA8"/>
    <w:rsid w:val="006F334B"/>
    <w:rsid w:val="006F551C"/>
    <w:rsid w:val="006F58EF"/>
    <w:rsid w:val="006F656C"/>
    <w:rsid w:val="006F77D4"/>
    <w:rsid w:val="007015BA"/>
    <w:rsid w:val="0070178C"/>
    <w:rsid w:val="00701FD0"/>
    <w:rsid w:val="0070201B"/>
    <w:rsid w:val="00702A33"/>
    <w:rsid w:val="00702FF2"/>
    <w:rsid w:val="007042DE"/>
    <w:rsid w:val="00705D79"/>
    <w:rsid w:val="00706215"/>
    <w:rsid w:val="00706A33"/>
    <w:rsid w:val="00706A5B"/>
    <w:rsid w:val="00706EDC"/>
    <w:rsid w:val="00707014"/>
    <w:rsid w:val="0070708E"/>
    <w:rsid w:val="00707D05"/>
    <w:rsid w:val="00710DA8"/>
    <w:rsid w:val="00710E13"/>
    <w:rsid w:val="00711ED7"/>
    <w:rsid w:val="00712383"/>
    <w:rsid w:val="00712F39"/>
    <w:rsid w:val="0071317A"/>
    <w:rsid w:val="00713F41"/>
    <w:rsid w:val="00714083"/>
    <w:rsid w:val="007155FC"/>
    <w:rsid w:val="0071596B"/>
    <w:rsid w:val="00716476"/>
    <w:rsid w:val="00717445"/>
    <w:rsid w:val="00717A1A"/>
    <w:rsid w:val="00717DAC"/>
    <w:rsid w:val="0072046F"/>
    <w:rsid w:val="00720BF2"/>
    <w:rsid w:val="00721B6C"/>
    <w:rsid w:val="0072253C"/>
    <w:rsid w:val="0072315E"/>
    <w:rsid w:val="007236D4"/>
    <w:rsid w:val="00723E3F"/>
    <w:rsid w:val="00724546"/>
    <w:rsid w:val="007251C6"/>
    <w:rsid w:val="007257EB"/>
    <w:rsid w:val="007264B5"/>
    <w:rsid w:val="00726E2B"/>
    <w:rsid w:val="007279C6"/>
    <w:rsid w:val="00730B05"/>
    <w:rsid w:val="00731409"/>
    <w:rsid w:val="007315D8"/>
    <w:rsid w:val="00731AD0"/>
    <w:rsid w:val="00731DAA"/>
    <w:rsid w:val="00733BEB"/>
    <w:rsid w:val="00733DCA"/>
    <w:rsid w:val="00733F00"/>
    <w:rsid w:val="007346BB"/>
    <w:rsid w:val="007347D5"/>
    <w:rsid w:val="00735454"/>
    <w:rsid w:val="00735DC1"/>
    <w:rsid w:val="0073605B"/>
    <w:rsid w:val="00736747"/>
    <w:rsid w:val="00736B16"/>
    <w:rsid w:val="00736B1F"/>
    <w:rsid w:val="00736C26"/>
    <w:rsid w:val="007378B3"/>
    <w:rsid w:val="00737B4A"/>
    <w:rsid w:val="00737F5C"/>
    <w:rsid w:val="007408CB"/>
    <w:rsid w:val="0074179E"/>
    <w:rsid w:val="00741C37"/>
    <w:rsid w:val="00742344"/>
    <w:rsid w:val="00744615"/>
    <w:rsid w:val="007451D2"/>
    <w:rsid w:val="00745345"/>
    <w:rsid w:val="00745A87"/>
    <w:rsid w:val="00747101"/>
    <w:rsid w:val="007472B4"/>
    <w:rsid w:val="00747706"/>
    <w:rsid w:val="0074792D"/>
    <w:rsid w:val="00751D52"/>
    <w:rsid w:val="007542E2"/>
    <w:rsid w:val="00754E49"/>
    <w:rsid w:val="00754EB3"/>
    <w:rsid w:val="00755041"/>
    <w:rsid w:val="0075608C"/>
    <w:rsid w:val="0075637F"/>
    <w:rsid w:val="00757816"/>
    <w:rsid w:val="00757A00"/>
    <w:rsid w:val="00760D8E"/>
    <w:rsid w:val="00761C12"/>
    <w:rsid w:val="00762E42"/>
    <w:rsid w:val="007636FB"/>
    <w:rsid w:val="00763941"/>
    <w:rsid w:val="007645D4"/>
    <w:rsid w:val="00765B98"/>
    <w:rsid w:val="00766066"/>
    <w:rsid w:val="00767ADF"/>
    <w:rsid w:val="00767DF5"/>
    <w:rsid w:val="00767F0E"/>
    <w:rsid w:val="007700CE"/>
    <w:rsid w:val="00770EFB"/>
    <w:rsid w:val="00770F42"/>
    <w:rsid w:val="00772196"/>
    <w:rsid w:val="0077328D"/>
    <w:rsid w:val="007739DC"/>
    <w:rsid w:val="00773BB5"/>
    <w:rsid w:val="00774053"/>
    <w:rsid w:val="00774810"/>
    <w:rsid w:val="007749C4"/>
    <w:rsid w:val="00774BFA"/>
    <w:rsid w:val="00775003"/>
    <w:rsid w:val="007756DF"/>
    <w:rsid w:val="00775702"/>
    <w:rsid w:val="0077580D"/>
    <w:rsid w:val="007758B3"/>
    <w:rsid w:val="00775ABE"/>
    <w:rsid w:val="007766DE"/>
    <w:rsid w:val="00777197"/>
    <w:rsid w:val="007774B4"/>
    <w:rsid w:val="00777EDF"/>
    <w:rsid w:val="00780AF0"/>
    <w:rsid w:val="0078209B"/>
    <w:rsid w:val="00782E25"/>
    <w:rsid w:val="007838FF"/>
    <w:rsid w:val="00783A54"/>
    <w:rsid w:val="00783DEE"/>
    <w:rsid w:val="007846EF"/>
    <w:rsid w:val="00784E61"/>
    <w:rsid w:val="0078509F"/>
    <w:rsid w:val="00785A74"/>
    <w:rsid w:val="00786E8A"/>
    <w:rsid w:val="007876FF"/>
    <w:rsid w:val="0078792E"/>
    <w:rsid w:val="007905E2"/>
    <w:rsid w:val="00790662"/>
    <w:rsid w:val="00790AC3"/>
    <w:rsid w:val="0079106A"/>
    <w:rsid w:val="00791518"/>
    <w:rsid w:val="00791A51"/>
    <w:rsid w:val="00792238"/>
    <w:rsid w:val="0079231B"/>
    <w:rsid w:val="0079362B"/>
    <w:rsid w:val="00793761"/>
    <w:rsid w:val="00794499"/>
    <w:rsid w:val="007947CD"/>
    <w:rsid w:val="00795C92"/>
    <w:rsid w:val="007965E4"/>
    <w:rsid w:val="00796D00"/>
    <w:rsid w:val="00796D2F"/>
    <w:rsid w:val="00796FB2"/>
    <w:rsid w:val="00797411"/>
    <w:rsid w:val="00797BC9"/>
    <w:rsid w:val="00797FDB"/>
    <w:rsid w:val="007A0463"/>
    <w:rsid w:val="007A0BDD"/>
    <w:rsid w:val="007A1AAB"/>
    <w:rsid w:val="007A2D4A"/>
    <w:rsid w:val="007A33B9"/>
    <w:rsid w:val="007A362A"/>
    <w:rsid w:val="007A38DC"/>
    <w:rsid w:val="007A467A"/>
    <w:rsid w:val="007A4FA5"/>
    <w:rsid w:val="007A51B7"/>
    <w:rsid w:val="007A5784"/>
    <w:rsid w:val="007A593D"/>
    <w:rsid w:val="007A5BF4"/>
    <w:rsid w:val="007A6318"/>
    <w:rsid w:val="007A7078"/>
    <w:rsid w:val="007A777C"/>
    <w:rsid w:val="007A7EA3"/>
    <w:rsid w:val="007B0ACB"/>
    <w:rsid w:val="007B0D2D"/>
    <w:rsid w:val="007B10B9"/>
    <w:rsid w:val="007B120B"/>
    <w:rsid w:val="007B1E21"/>
    <w:rsid w:val="007B2404"/>
    <w:rsid w:val="007B3B79"/>
    <w:rsid w:val="007B40C0"/>
    <w:rsid w:val="007B45CF"/>
    <w:rsid w:val="007B50BB"/>
    <w:rsid w:val="007B51B9"/>
    <w:rsid w:val="007B6040"/>
    <w:rsid w:val="007B6156"/>
    <w:rsid w:val="007B74BB"/>
    <w:rsid w:val="007B7A94"/>
    <w:rsid w:val="007C110B"/>
    <w:rsid w:val="007C13FF"/>
    <w:rsid w:val="007C259E"/>
    <w:rsid w:val="007C27A1"/>
    <w:rsid w:val="007C29BA"/>
    <w:rsid w:val="007C2A48"/>
    <w:rsid w:val="007C3180"/>
    <w:rsid w:val="007C3EDF"/>
    <w:rsid w:val="007C5074"/>
    <w:rsid w:val="007C5919"/>
    <w:rsid w:val="007C5F9B"/>
    <w:rsid w:val="007C649D"/>
    <w:rsid w:val="007C7B86"/>
    <w:rsid w:val="007D0082"/>
    <w:rsid w:val="007D05DA"/>
    <w:rsid w:val="007D2309"/>
    <w:rsid w:val="007D2416"/>
    <w:rsid w:val="007D30CE"/>
    <w:rsid w:val="007D3987"/>
    <w:rsid w:val="007D4337"/>
    <w:rsid w:val="007D4755"/>
    <w:rsid w:val="007D4C4B"/>
    <w:rsid w:val="007D5271"/>
    <w:rsid w:val="007D5282"/>
    <w:rsid w:val="007D5931"/>
    <w:rsid w:val="007D5AA6"/>
    <w:rsid w:val="007D5EF1"/>
    <w:rsid w:val="007D6896"/>
    <w:rsid w:val="007D6AFA"/>
    <w:rsid w:val="007D7675"/>
    <w:rsid w:val="007E01C9"/>
    <w:rsid w:val="007E14D3"/>
    <w:rsid w:val="007E2AB9"/>
    <w:rsid w:val="007E304C"/>
    <w:rsid w:val="007E4B0E"/>
    <w:rsid w:val="007E5F89"/>
    <w:rsid w:val="007E6456"/>
    <w:rsid w:val="007E6C47"/>
    <w:rsid w:val="007E75B8"/>
    <w:rsid w:val="007F1635"/>
    <w:rsid w:val="007F190C"/>
    <w:rsid w:val="007F2539"/>
    <w:rsid w:val="007F31B8"/>
    <w:rsid w:val="007F32B3"/>
    <w:rsid w:val="007F3B05"/>
    <w:rsid w:val="007F3CD2"/>
    <w:rsid w:val="007F41DB"/>
    <w:rsid w:val="007F42E9"/>
    <w:rsid w:val="007F43DE"/>
    <w:rsid w:val="007F4C4B"/>
    <w:rsid w:val="007F66DC"/>
    <w:rsid w:val="007F7923"/>
    <w:rsid w:val="00800726"/>
    <w:rsid w:val="00800766"/>
    <w:rsid w:val="00801524"/>
    <w:rsid w:val="008018A5"/>
    <w:rsid w:val="00802213"/>
    <w:rsid w:val="00802CA7"/>
    <w:rsid w:val="00802E9A"/>
    <w:rsid w:val="008038EF"/>
    <w:rsid w:val="00803EE9"/>
    <w:rsid w:val="008041E1"/>
    <w:rsid w:val="008043EA"/>
    <w:rsid w:val="008047DA"/>
    <w:rsid w:val="00805677"/>
    <w:rsid w:val="008066FF"/>
    <w:rsid w:val="00806F29"/>
    <w:rsid w:val="00807105"/>
    <w:rsid w:val="00807F18"/>
    <w:rsid w:val="00810371"/>
    <w:rsid w:val="00810747"/>
    <w:rsid w:val="00811230"/>
    <w:rsid w:val="0081133F"/>
    <w:rsid w:val="00812FDB"/>
    <w:rsid w:val="00813009"/>
    <w:rsid w:val="008133DE"/>
    <w:rsid w:val="0081466F"/>
    <w:rsid w:val="00814687"/>
    <w:rsid w:val="00814DB3"/>
    <w:rsid w:val="008156F0"/>
    <w:rsid w:val="00816930"/>
    <w:rsid w:val="00816C15"/>
    <w:rsid w:val="0081707D"/>
    <w:rsid w:val="0081727B"/>
    <w:rsid w:val="0081730F"/>
    <w:rsid w:val="00817842"/>
    <w:rsid w:val="00820F57"/>
    <w:rsid w:val="00821998"/>
    <w:rsid w:val="00822EB0"/>
    <w:rsid w:val="00823A66"/>
    <w:rsid w:val="00824750"/>
    <w:rsid w:val="00824DA3"/>
    <w:rsid w:val="008258C4"/>
    <w:rsid w:val="00826018"/>
    <w:rsid w:val="00826124"/>
    <w:rsid w:val="00830667"/>
    <w:rsid w:val="008308D2"/>
    <w:rsid w:val="00831123"/>
    <w:rsid w:val="00833125"/>
    <w:rsid w:val="0083366C"/>
    <w:rsid w:val="00834243"/>
    <w:rsid w:val="008345BF"/>
    <w:rsid w:val="008348A6"/>
    <w:rsid w:val="0083581D"/>
    <w:rsid w:val="008361B4"/>
    <w:rsid w:val="00836747"/>
    <w:rsid w:val="008367A5"/>
    <w:rsid w:val="00836DB1"/>
    <w:rsid w:val="00836DF5"/>
    <w:rsid w:val="0083744B"/>
    <w:rsid w:val="008377C6"/>
    <w:rsid w:val="00840259"/>
    <w:rsid w:val="00840347"/>
    <w:rsid w:val="008406B3"/>
    <w:rsid w:val="00841DAD"/>
    <w:rsid w:val="0084249A"/>
    <w:rsid w:val="00843401"/>
    <w:rsid w:val="00843B0E"/>
    <w:rsid w:val="00843EA2"/>
    <w:rsid w:val="00844272"/>
    <w:rsid w:val="0084427D"/>
    <w:rsid w:val="008448AC"/>
    <w:rsid w:val="008455F4"/>
    <w:rsid w:val="0084603E"/>
    <w:rsid w:val="008474A2"/>
    <w:rsid w:val="00847842"/>
    <w:rsid w:val="00850762"/>
    <w:rsid w:val="0085167F"/>
    <w:rsid w:val="008516F1"/>
    <w:rsid w:val="008526C3"/>
    <w:rsid w:val="00852B03"/>
    <w:rsid w:val="0085493A"/>
    <w:rsid w:val="00854F69"/>
    <w:rsid w:val="00855328"/>
    <w:rsid w:val="008553CA"/>
    <w:rsid w:val="00855618"/>
    <w:rsid w:val="00855CBA"/>
    <w:rsid w:val="008565E7"/>
    <w:rsid w:val="008571AD"/>
    <w:rsid w:val="00857969"/>
    <w:rsid w:val="00857EA4"/>
    <w:rsid w:val="00862A34"/>
    <w:rsid w:val="00863080"/>
    <w:rsid w:val="00863144"/>
    <w:rsid w:val="00863774"/>
    <w:rsid w:val="008643BB"/>
    <w:rsid w:val="00866D22"/>
    <w:rsid w:val="00867AEF"/>
    <w:rsid w:val="008703CA"/>
    <w:rsid w:val="008719FE"/>
    <w:rsid w:val="00871A06"/>
    <w:rsid w:val="008727F5"/>
    <w:rsid w:val="00872ABC"/>
    <w:rsid w:val="00872BA7"/>
    <w:rsid w:val="008730C0"/>
    <w:rsid w:val="00873597"/>
    <w:rsid w:val="00874346"/>
    <w:rsid w:val="008758B3"/>
    <w:rsid w:val="00875CA9"/>
    <w:rsid w:val="008760BA"/>
    <w:rsid w:val="008761E7"/>
    <w:rsid w:val="00876EE6"/>
    <w:rsid w:val="00877BB1"/>
    <w:rsid w:val="008801B8"/>
    <w:rsid w:val="00880A32"/>
    <w:rsid w:val="00881B30"/>
    <w:rsid w:val="008822C9"/>
    <w:rsid w:val="00882894"/>
    <w:rsid w:val="00882DB6"/>
    <w:rsid w:val="00882F4F"/>
    <w:rsid w:val="00884498"/>
    <w:rsid w:val="00884771"/>
    <w:rsid w:val="0088479A"/>
    <w:rsid w:val="00885596"/>
    <w:rsid w:val="00885F58"/>
    <w:rsid w:val="00886AEE"/>
    <w:rsid w:val="008873C1"/>
    <w:rsid w:val="00891BB2"/>
    <w:rsid w:val="00894C17"/>
    <w:rsid w:val="008951E4"/>
    <w:rsid w:val="00896453"/>
    <w:rsid w:val="00896830"/>
    <w:rsid w:val="008976E6"/>
    <w:rsid w:val="008A040C"/>
    <w:rsid w:val="008A05FE"/>
    <w:rsid w:val="008A10EA"/>
    <w:rsid w:val="008A1187"/>
    <w:rsid w:val="008A1B38"/>
    <w:rsid w:val="008A1F92"/>
    <w:rsid w:val="008A24FB"/>
    <w:rsid w:val="008A321E"/>
    <w:rsid w:val="008A3547"/>
    <w:rsid w:val="008A35C3"/>
    <w:rsid w:val="008A4258"/>
    <w:rsid w:val="008A51BB"/>
    <w:rsid w:val="008A5C71"/>
    <w:rsid w:val="008A6252"/>
    <w:rsid w:val="008A640F"/>
    <w:rsid w:val="008A70A8"/>
    <w:rsid w:val="008A7D68"/>
    <w:rsid w:val="008B0634"/>
    <w:rsid w:val="008B1499"/>
    <w:rsid w:val="008B26B9"/>
    <w:rsid w:val="008B43CE"/>
    <w:rsid w:val="008B4936"/>
    <w:rsid w:val="008B4BDB"/>
    <w:rsid w:val="008B52AD"/>
    <w:rsid w:val="008B581F"/>
    <w:rsid w:val="008B5DEA"/>
    <w:rsid w:val="008B61E6"/>
    <w:rsid w:val="008B6B47"/>
    <w:rsid w:val="008B7B62"/>
    <w:rsid w:val="008C0D0B"/>
    <w:rsid w:val="008C1FCA"/>
    <w:rsid w:val="008C218F"/>
    <w:rsid w:val="008C3936"/>
    <w:rsid w:val="008C4E1A"/>
    <w:rsid w:val="008C57C5"/>
    <w:rsid w:val="008C67FA"/>
    <w:rsid w:val="008D0172"/>
    <w:rsid w:val="008D0663"/>
    <w:rsid w:val="008D0CAA"/>
    <w:rsid w:val="008D0D6B"/>
    <w:rsid w:val="008D0FEB"/>
    <w:rsid w:val="008D1631"/>
    <w:rsid w:val="008D1705"/>
    <w:rsid w:val="008D18E0"/>
    <w:rsid w:val="008D1AD2"/>
    <w:rsid w:val="008D1D3E"/>
    <w:rsid w:val="008D1F83"/>
    <w:rsid w:val="008D339F"/>
    <w:rsid w:val="008D3E7A"/>
    <w:rsid w:val="008D4100"/>
    <w:rsid w:val="008D4372"/>
    <w:rsid w:val="008D56A1"/>
    <w:rsid w:val="008D5790"/>
    <w:rsid w:val="008D58B5"/>
    <w:rsid w:val="008D5D24"/>
    <w:rsid w:val="008D73AE"/>
    <w:rsid w:val="008D7F38"/>
    <w:rsid w:val="008E16F3"/>
    <w:rsid w:val="008E1C12"/>
    <w:rsid w:val="008E2471"/>
    <w:rsid w:val="008E248B"/>
    <w:rsid w:val="008E281B"/>
    <w:rsid w:val="008E31E6"/>
    <w:rsid w:val="008E3251"/>
    <w:rsid w:val="008E4729"/>
    <w:rsid w:val="008E486B"/>
    <w:rsid w:val="008E49F6"/>
    <w:rsid w:val="008E569B"/>
    <w:rsid w:val="008E5827"/>
    <w:rsid w:val="008E5F65"/>
    <w:rsid w:val="008E6292"/>
    <w:rsid w:val="008E6EDA"/>
    <w:rsid w:val="008E78D0"/>
    <w:rsid w:val="008E78D9"/>
    <w:rsid w:val="008E7D6E"/>
    <w:rsid w:val="008F14B1"/>
    <w:rsid w:val="008F17AB"/>
    <w:rsid w:val="008F2AB5"/>
    <w:rsid w:val="008F36D9"/>
    <w:rsid w:val="008F3E0A"/>
    <w:rsid w:val="008F41B2"/>
    <w:rsid w:val="008F4BA2"/>
    <w:rsid w:val="008F5F84"/>
    <w:rsid w:val="008F7355"/>
    <w:rsid w:val="009006FE"/>
    <w:rsid w:val="00900EDB"/>
    <w:rsid w:val="0090218C"/>
    <w:rsid w:val="00902577"/>
    <w:rsid w:val="009037E9"/>
    <w:rsid w:val="00903916"/>
    <w:rsid w:val="00903FCD"/>
    <w:rsid w:val="009042BE"/>
    <w:rsid w:val="009055D3"/>
    <w:rsid w:val="009063A3"/>
    <w:rsid w:val="00906C51"/>
    <w:rsid w:val="009101D6"/>
    <w:rsid w:val="0091166B"/>
    <w:rsid w:val="00911F3B"/>
    <w:rsid w:val="00911F56"/>
    <w:rsid w:val="00912084"/>
    <w:rsid w:val="00912FB0"/>
    <w:rsid w:val="00913ABA"/>
    <w:rsid w:val="00913C78"/>
    <w:rsid w:val="00913D28"/>
    <w:rsid w:val="00914307"/>
    <w:rsid w:val="0091455D"/>
    <w:rsid w:val="00914DB4"/>
    <w:rsid w:val="00915245"/>
    <w:rsid w:val="0091596B"/>
    <w:rsid w:val="00915A3B"/>
    <w:rsid w:val="00915D3B"/>
    <w:rsid w:val="00915DB9"/>
    <w:rsid w:val="00917E3F"/>
    <w:rsid w:val="00917F9F"/>
    <w:rsid w:val="00920496"/>
    <w:rsid w:val="00921906"/>
    <w:rsid w:val="009222C3"/>
    <w:rsid w:val="00922404"/>
    <w:rsid w:val="00922B38"/>
    <w:rsid w:val="009235AF"/>
    <w:rsid w:val="00923987"/>
    <w:rsid w:val="00923BFA"/>
    <w:rsid w:val="00923E73"/>
    <w:rsid w:val="00924E92"/>
    <w:rsid w:val="00925AA5"/>
    <w:rsid w:val="00925C8B"/>
    <w:rsid w:val="00925D75"/>
    <w:rsid w:val="0092739C"/>
    <w:rsid w:val="009274A1"/>
    <w:rsid w:val="009278F4"/>
    <w:rsid w:val="00927FCC"/>
    <w:rsid w:val="009311A7"/>
    <w:rsid w:val="009312E8"/>
    <w:rsid w:val="00931668"/>
    <w:rsid w:val="009330F5"/>
    <w:rsid w:val="009331A9"/>
    <w:rsid w:val="00933B42"/>
    <w:rsid w:val="00934140"/>
    <w:rsid w:val="00934726"/>
    <w:rsid w:val="0093472D"/>
    <w:rsid w:val="009357C0"/>
    <w:rsid w:val="00935DC6"/>
    <w:rsid w:val="0093617C"/>
    <w:rsid w:val="00937854"/>
    <w:rsid w:val="0094004F"/>
    <w:rsid w:val="0094019D"/>
    <w:rsid w:val="00940290"/>
    <w:rsid w:val="009405F4"/>
    <w:rsid w:val="009407E8"/>
    <w:rsid w:val="00941026"/>
    <w:rsid w:val="009411DD"/>
    <w:rsid w:val="00941478"/>
    <w:rsid w:val="009418A0"/>
    <w:rsid w:val="009426FD"/>
    <w:rsid w:val="00942C11"/>
    <w:rsid w:val="00942F3A"/>
    <w:rsid w:val="00946B58"/>
    <w:rsid w:val="00946DA4"/>
    <w:rsid w:val="00947182"/>
    <w:rsid w:val="009475D5"/>
    <w:rsid w:val="00947D71"/>
    <w:rsid w:val="00950F39"/>
    <w:rsid w:val="009512A4"/>
    <w:rsid w:val="0095182D"/>
    <w:rsid w:val="00951B1E"/>
    <w:rsid w:val="00951D14"/>
    <w:rsid w:val="0095218F"/>
    <w:rsid w:val="0095264F"/>
    <w:rsid w:val="00952856"/>
    <w:rsid w:val="00952D67"/>
    <w:rsid w:val="00952F39"/>
    <w:rsid w:val="00953B1E"/>
    <w:rsid w:val="009541C9"/>
    <w:rsid w:val="00954A1D"/>
    <w:rsid w:val="00954AC4"/>
    <w:rsid w:val="009558E9"/>
    <w:rsid w:val="00955F4D"/>
    <w:rsid w:val="00956470"/>
    <w:rsid w:val="00956722"/>
    <w:rsid w:val="00956AC0"/>
    <w:rsid w:val="00957E8C"/>
    <w:rsid w:val="009604EE"/>
    <w:rsid w:val="00960A1A"/>
    <w:rsid w:val="00960B2E"/>
    <w:rsid w:val="00960DD8"/>
    <w:rsid w:val="009613F4"/>
    <w:rsid w:val="00961DFD"/>
    <w:rsid w:val="00961E92"/>
    <w:rsid w:val="00962496"/>
    <w:rsid w:val="0096264E"/>
    <w:rsid w:val="009628B4"/>
    <w:rsid w:val="00962997"/>
    <w:rsid w:val="00962E99"/>
    <w:rsid w:val="00962EF1"/>
    <w:rsid w:val="00963BAE"/>
    <w:rsid w:val="00963E1A"/>
    <w:rsid w:val="00963E8D"/>
    <w:rsid w:val="00963EEB"/>
    <w:rsid w:val="00964874"/>
    <w:rsid w:val="00964B1A"/>
    <w:rsid w:val="00964C77"/>
    <w:rsid w:val="00965A0E"/>
    <w:rsid w:val="00965D99"/>
    <w:rsid w:val="009660A4"/>
    <w:rsid w:val="0096652C"/>
    <w:rsid w:val="009668CA"/>
    <w:rsid w:val="0096692D"/>
    <w:rsid w:val="009705E1"/>
    <w:rsid w:val="009706F6"/>
    <w:rsid w:val="0097136F"/>
    <w:rsid w:val="009715DC"/>
    <w:rsid w:val="009732EC"/>
    <w:rsid w:val="00975170"/>
    <w:rsid w:val="009753F7"/>
    <w:rsid w:val="00977328"/>
    <w:rsid w:val="0097737A"/>
    <w:rsid w:val="00977CA4"/>
    <w:rsid w:val="009800BE"/>
    <w:rsid w:val="009810D0"/>
    <w:rsid w:val="00981C4D"/>
    <w:rsid w:val="00981DCA"/>
    <w:rsid w:val="00981DFF"/>
    <w:rsid w:val="009821CE"/>
    <w:rsid w:val="009832BD"/>
    <w:rsid w:val="00983F55"/>
    <w:rsid w:val="009852CF"/>
    <w:rsid w:val="0098583E"/>
    <w:rsid w:val="00985AD3"/>
    <w:rsid w:val="00985F06"/>
    <w:rsid w:val="009865B2"/>
    <w:rsid w:val="00986B0B"/>
    <w:rsid w:val="00986B23"/>
    <w:rsid w:val="00987E2D"/>
    <w:rsid w:val="0099040A"/>
    <w:rsid w:val="009907C4"/>
    <w:rsid w:val="00990A8B"/>
    <w:rsid w:val="00992041"/>
    <w:rsid w:val="009926CA"/>
    <w:rsid w:val="009927E5"/>
    <w:rsid w:val="0099337A"/>
    <w:rsid w:val="0099337B"/>
    <w:rsid w:val="00993CBF"/>
    <w:rsid w:val="00994622"/>
    <w:rsid w:val="00995425"/>
    <w:rsid w:val="00995629"/>
    <w:rsid w:val="009959A9"/>
    <w:rsid w:val="00996402"/>
    <w:rsid w:val="009976D8"/>
    <w:rsid w:val="00997931"/>
    <w:rsid w:val="00997F81"/>
    <w:rsid w:val="009A0116"/>
    <w:rsid w:val="009A0FB7"/>
    <w:rsid w:val="009A143F"/>
    <w:rsid w:val="009A17FA"/>
    <w:rsid w:val="009A2474"/>
    <w:rsid w:val="009A27E0"/>
    <w:rsid w:val="009A2911"/>
    <w:rsid w:val="009A3AC9"/>
    <w:rsid w:val="009A48D3"/>
    <w:rsid w:val="009A5304"/>
    <w:rsid w:val="009A5A36"/>
    <w:rsid w:val="009A5E5B"/>
    <w:rsid w:val="009A658F"/>
    <w:rsid w:val="009A6651"/>
    <w:rsid w:val="009A668A"/>
    <w:rsid w:val="009A676F"/>
    <w:rsid w:val="009A7EC0"/>
    <w:rsid w:val="009B1A65"/>
    <w:rsid w:val="009B28E1"/>
    <w:rsid w:val="009B2BD0"/>
    <w:rsid w:val="009B386D"/>
    <w:rsid w:val="009B415F"/>
    <w:rsid w:val="009B6275"/>
    <w:rsid w:val="009B6C81"/>
    <w:rsid w:val="009B760D"/>
    <w:rsid w:val="009B79C0"/>
    <w:rsid w:val="009C2252"/>
    <w:rsid w:val="009C28D4"/>
    <w:rsid w:val="009C3B8E"/>
    <w:rsid w:val="009C3D67"/>
    <w:rsid w:val="009C4503"/>
    <w:rsid w:val="009C5061"/>
    <w:rsid w:val="009C5D95"/>
    <w:rsid w:val="009C61BA"/>
    <w:rsid w:val="009C6612"/>
    <w:rsid w:val="009C77C8"/>
    <w:rsid w:val="009C7A2E"/>
    <w:rsid w:val="009D059B"/>
    <w:rsid w:val="009D0658"/>
    <w:rsid w:val="009D2608"/>
    <w:rsid w:val="009D27DB"/>
    <w:rsid w:val="009D2C30"/>
    <w:rsid w:val="009D2F42"/>
    <w:rsid w:val="009D3C48"/>
    <w:rsid w:val="009D45C4"/>
    <w:rsid w:val="009D664A"/>
    <w:rsid w:val="009E08A6"/>
    <w:rsid w:val="009E0928"/>
    <w:rsid w:val="009E1BBF"/>
    <w:rsid w:val="009E1EF1"/>
    <w:rsid w:val="009E2105"/>
    <w:rsid w:val="009E2571"/>
    <w:rsid w:val="009E2DFE"/>
    <w:rsid w:val="009E3192"/>
    <w:rsid w:val="009E3343"/>
    <w:rsid w:val="009E3890"/>
    <w:rsid w:val="009E4F33"/>
    <w:rsid w:val="009E55A7"/>
    <w:rsid w:val="009E56C3"/>
    <w:rsid w:val="009E5910"/>
    <w:rsid w:val="009E59BC"/>
    <w:rsid w:val="009E5B18"/>
    <w:rsid w:val="009E5E25"/>
    <w:rsid w:val="009E617A"/>
    <w:rsid w:val="009E67F0"/>
    <w:rsid w:val="009E6A7E"/>
    <w:rsid w:val="009E6DE9"/>
    <w:rsid w:val="009E7161"/>
    <w:rsid w:val="009E76FB"/>
    <w:rsid w:val="009E7AEE"/>
    <w:rsid w:val="009F007A"/>
    <w:rsid w:val="009F0124"/>
    <w:rsid w:val="009F041B"/>
    <w:rsid w:val="009F0479"/>
    <w:rsid w:val="009F0DF1"/>
    <w:rsid w:val="009F0FE9"/>
    <w:rsid w:val="009F116E"/>
    <w:rsid w:val="009F192A"/>
    <w:rsid w:val="009F28AE"/>
    <w:rsid w:val="009F2943"/>
    <w:rsid w:val="009F3F54"/>
    <w:rsid w:val="009F506E"/>
    <w:rsid w:val="009F54FA"/>
    <w:rsid w:val="009F66D4"/>
    <w:rsid w:val="009F6BB5"/>
    <w:rsid w:val="009F74B7"/>
    <w:rsid w:val="009F7CAF"/>
    <w:rsid w:val="009F7CDF"/>
    <w:rsid w:val="009F7E0F"/>
    <w:rsid w:val="00A00EEE"/>
    <w:rsid w:val="00A0184E"/>
    <w:rsid w:val="00A0188A"/>
    <w:rsid w:val="00A01A7E"/>
    <w:rsid w:val="00A01EF5"/>
    <w:rsid w:val="00A02C1C"/>
    <w:rsid w:val="00A0304F"/>
    <w:rsid w:val="00A0363C"/>
    <w:rsid w:val="00A03B6D"/>
    <w:rsid w:val="00A03BE6"/>
    <w:rsid w:val="00A03E58"/>
    <w:rsid w:val="00A0547A"/>
    <w:rsid w:val="00A06464"/>
    <w:rsid w:val="00A06923"/>
    <w:rsid w:val="00A06A63"/>
    <w:rsid w:val="00A07272"/>
    <w:rsid w:val="00A07CC3"/>
    <w:rsid w:val="00A11535"/>
    <w:rsid w:val="00A11BDD"/>
    <w:rsid w:val="00A12589"/>
    <w:rsid w:val="00A13062"/>
    <w:rsid w:val="00A13A11"/>
    <w:rsid w:val="00A13A51"/>
    <w:rsid w:val="00A15231"/>
    <w:rsid w:val="00A152CC"/>
    <w:rsid w:val="00A15D21"/>
    <w:rsid w:val="00A16001"/>
    <w:rsid w:val="00A162EB"/>
    <w:rsid w:val="00A16CDE"/>
    <w:rsid w:val="00A16E03"/>
    <w:rsid w:val="00A17758"/>
    <w:rsid w:val="00A204EA"/>
    <w:rsid w:val="00A206B4"/>
    <w:rsid w:val="00A2179B"/>
    <w:rsid w:val="00A2195B"/>
    <w:rsid w:val="00A224DA"/>
    <w:rsid w:val="00A22512"/>
    <w:rsid w:val="00A22D43"/>
    <w:rsid w:val="00A242EA"/>
    <w:rsid w:val="00A260CD"/>
    <w:rsid w:val="00A265D9"/>
    <w:rsid w:val="00A26E7B"/>
    <w:rsid w:val="00A27A99"/>
    <w:rsid w:val="00A27DFB"/>
    <w:rsid w:val="00A31EFB"/>
    <w:rsid w:val="00A32B89"/>
    <w:rsid w:val="00A33942"/>
    <w:rsid w:val="00A33F8D"/>
    <w:rsid w:val="00A34B7E"/>
    <w:rsid w:val="00A3500C"/>
    <w:rsid w:val="00A352B3"/>
    <w:rsid w:val="00A35782"/>
    <w:rsid w:val="00A35B4A"/>
    <w:rsid w:val="00A3749B"/>
    <w:rsid w:val="00A37B19"/>
    <w:rsid w:val="00A4031C"/>
    <w:rsid w:val="00A40FF7"/>
    <w:rsid w:val="00A4126C"/>
    <w:rsid w:val="00A4148B"/>
    <w:rsid w:val="00A41663"/>
    <w:rsid w:val="00A446C8"/>
    <w:rsid w:val="00A44C7C"/>
    <w:rsid w:val="00A44C85"/>
    <w:rsid w:val="00A46058"/>
    <w:rsid w:val="00A5028B"/>
    <w:rsid w:val="00A5079B"/>
    <w:rsid w:val="00A5099C"/>
    <w:rsid w:val="00A50C46"/>
    <w:rsid w:val="00A52176"/>
    <w:rsid w:val="00A5228F"/>
    <w:rsid w:val="00A52C97"/>
    <w:rsid w:val="00A53C2E"/>
    <w:rsid w:val="00A53F3B"/>
    <w:rsid w:val="00A542DD"/>
    <w:rsid w:val="00A54D6B"/>
    <w:rsid w:val="00A5518E"/>
    <w:rsid w:val="00A55B93"/>
    <w:rsid w:val="00A56476"/>
    <w:rsid w:val="00A57AB1"/>
    <w:rsid w:val="00A609FF"/>
    <w:rsid w:val="00A60CAF"/>
    <w:rsid w:val="00A60EF9"/>
    <w:rsid w:val="00A61368"/>
    <w:rsid w:val="00A61704"/>
    <w:rsid w:val="00A61A3F"/>
    <w:rsid w:val="00A61B34"/>
    <w:rsid w:val="00A61DAA"/>
    <w:rsid w:val="00A623CA"/>
    <w:rsid w:val="00A62DBD"/>
    <w:rsid w:val="00A62E42"/>
    <w:rsid w:val="00A6499F"/>
    <w:rsid w:val="00A64A71"/>
    <w:rsid w:val="00A64D3D"/>
    <w:rsid w:val="00A65102"/>
    <w:rsid w:val="00A65199"/>
    <w:rsid w:val="00A652B8"/>
    <w:rsid w:val="00A6555F"/>
    <w:rsid w:val="00A662CF"/>
    <w:rsid w:val="00A66E04"/>
    <w:rsid w:val="00A66E81"/>
    <w:rsid w:val="00A6703F"/>
    <w:rsid w:val="00A67B69"/>
    <w:rsid w:val="00A67CB2"/>
    <w:rsid w:val="00A70329"/>
    <w:rsid w:val="00A70BD0"/>
    <w:rsid w:val="00A7140F"/>
    <w:rsid w:val="00A71EA5"/>
    <w:rsid w:val="00A728D0"/>
    <w:rsid w:val="00A7426F"/>
    <w:rsid w:val="00A74522"/>
    <w:rsid w:val="00A7582E"/>
    <w:rsid w:val="00A76B1A"/>
    <w:rsid w:val="00A7791B"/>
    <w:rsid w:val="00A77E62"/>
    <w:rsid w:val="00A80736"/>
    <w:rsid w:val="00A81668"/>
    <w:rsid w:val="00A82619"/>
    <w:rsid w:val="00A82EAB"/>
    <w:rsid w:val="00A832E8"/>
    <w:rsid w:val="00A83CDE"/>
    <w:rsid w:val="00A84645"/>
    <w:rsid w:val="00A8490A"/>
    <w:rsid w:val="00A84E5D"/>
    <w:rsid w:val="00A85A08"/>
    <w:rsid w:val="00A85D6A"/>
    <w:rsid w:val="00A861FF"/>
    <w:rsid w:val="00A87191"/>
    <w:rsid w:val="00A90740"/>
    <w:rsid w:val="00A907D3"/>
    <w:rsid w:val="00A91185"/>
    <w:rsid w:val="00A932AA"/>
    <w:rsid w:val="00A94EB7"/>
    <w:rsid w:val="00A9579A"/>
    <w:rsid w:val="00A95EF4"/>
    <w:rsid w:val="00A95FBB"/>
    <w:rsid w:val="00A96D3F"/>
    <w:rsid w:val="00A9720D"/>
    <w:rsid w:val="00A976E6"/>
    <w:rsid w:val="00A97934"/>
    <w:rsid w:val="00AA03A8"/>
    <w:rsid w:val="00AA0CDE"/>
    <w:rsid w:val="00AA1D29"/>
    <w:rsid w:val="00AA1F8A"/>
    <w:rsid w:val="00AA20B5"/>
    <w:rsid w:val="00AA2ED2"/>
    <w:rsid w:val="00AA31F6"/>
    <w:rsid w:val="00AA33B8"/>
    <w:rsid w:val="00AA3A8D"/>
    <w:rsid w:val="00AA3ED5"/>
    <w:rsid w:val="00AA400B"/>
    <w:rsid w:val="00AA42F2"/>
    <w:rsid w:val="00AA4F77"/>
    <w:rsid w:val="00AA507D"/>
    <w:rsid w:val="00AA5137"/>
    <w:rsid w:val="00AA5340"/>
    <w:rsid w:val="00AA5834"/>
    <w:rsid w:val="00AA5943"/>
    <w:rsid w:val="00AA69C2"/>
    <w:rsid w:val="00AA70A8"/>
    <w:rsid w:val="00AA7252"/>
    <w:rsid w:val="00AA7293"/>
    <w:rsid w:val="00AB03AA"/>
    <w:rsid w:val="00AB0416"/>
    <w:rsid w:val="00AB0A7A"/>
    <w:rsid w:val="00AB0C4F"/>
    <w:rsid w:val="00AB1DBD"/>
    <w:rsid w:val="00AB2BFC"/>
    <w:rsid w:val="00AB3E52"/>
    <w:rsid w:val="00AB5D30"/>
    <w:rsid w:val="00AB5FD8"/>
    <w:rsid w:val="00AB6791"/>
    <w:rsid w:val="00AB67D3"/>
    <w:rsid w:val="00AC0E37"/>
    <w:rsid w:val="00AC0EF1"/>
    <w:rsid w:val="00AC1501"/>
    <w:rsid w:val="00AC165F"/>
    <w:rsid w:val="00AC1662"/>
    <w:rsid w:val="00AC1819"/>
    <w:rsid w:val="00AC2418"/>
    <w:rsid w:val="00AC33EB"/>
    <w:rsid w:val="00AC3E84"/>
    <w:rsid w:val="00AC4AAA"/>
    <w:rsid w:val="00AC5081"/>
    <w:rsid w:val="00AC5DF8"/>
    <w:rsid w:val="00AC72D3"/>
    <w:rsid w:val="00AC72F2"/>
    <w:rsid w:val="00AC7437"/>
    <w:rsid w:val="00AD0D2B"/>
    <w:rsid w:val="00AD1656"/>
    <w:rsid w:val="00AD24FF"/>
    <w:rsid w:val="00AD2925"/>
    <w:rsid w:val="00AD3225"/>
    <w:rsid w:val="00AD377E"/>
    <w:rsid w:val="00AD3A3E"/>
    <w:rsid w:val="00AD4BDB"/>
    <w:rsid w:val="00AD5963"/>
    <w:rsid w:val="00AD5F51"/>
    <w:rsid w:val="00AD60BC"/>
    <w:rsid w:val="00AD6834"/>
    <w:rsid w:val="00AD6F3C"/>
    <w:rsid w:val="00AD7331"/>
    <w:rsid w:val="00AD772C"/>
    <w:rsid w:val="00AE09CD"/>
    <w:rsid w:val="00AE2D95"/>
    <w:rsid w:val="00AE2F90"/>
    <w:rsid w:val="00AE3876"/>
    <w:rsid w:val="00AE4C61"/>
    <w:rsid w:val="00AE4FC2"/>
    <w:rsid w:val="00AE518C"/>
    <w:rsid w:val="00AE5426"/>
    <w:rsid w:val="00AE5800"/>
    <w:rsid w:val="00AE5A3B"/>
    <w:rsid w:val="00AE5ED7"/>
    <w:rsid w:val="00AE6B44"/>
    <w:rsid w:val="00AE6F85"/>
    <w:rsid w:val="00AE7B63"/>
    <w:rsid w:val="00AF03D0"/>
    <w:rsid w:val="00AF080B"/>
    <w:rsid w:val="00AF08D9"/>
    <w:rsid w:val="00AF0BA2"/>
    <w:rsid w:val="00AF0FD6"/>
    <w:rsid w:val="00AF1123"/>
    <w:rsid w:val="00AF1970"/>
    <w:rsid w:val="00AF1AC9"/>
    <w:rsid w:val="00AF1E42"/>
    <w:rsid w:val="00AF20E0"/>
    <w:rsid w:val="00AF2299"/>
    <w:rsid w:val="00AF2B2A"/>
    <w:rsid w:val="00AF2E7D"/>
    <w:rsid w:val="00AF32A4"/>
    <w:rsid w:val="00AF3937"/>
    <w:rsid w:val="00AF3BD8"/>
    <w:rsid w:val="00AF429B"/>
    <w:rsid w:val="00AF5981"/>
    <w:rsid w:val="00AF5B92"/>
    <w:rsid w:val="00AF6E43"/>
    <w:rsid w:val="00B00865"/>
    <w:rsid w:val="00B02106"/>
    <w:rsid w:val="00B02461"/>
    <w:rsid w:val="00B0291B"/>
    <w:rsid w:val="00B02EBD"/>
    <w:rsid w:val="00B03989"/>
    <w:rsid w:val="00B03BCE"/>
    <w:rsid w:val="00B0462F"/>
    <w:rsid w:val="00B0538E"/>
    <w:rsid w:val="00B05944"/>
    <w:rsid w:val="00B0648E"/>
    <w:rsid w:val="00B067F7"/>
    <w:rsid w:val="00B06B17"/>
    <w:rsid w:val="00B07810"/>
    <w:rsid w:val="00B1072C"/>
    <w:rsid w:val="00B1084F"/>
    <w:rsid w:val="00B11B82"/>
    <w:rsid w:val="00B12F9F"/>
    <w:rsid w:val="00B132FA"/>
    <w:rsid w:val="00B143B9"/>
    <w:rsid w:val="00B151BC"/>
    <w:rsid w:val="00B16179"/>
    <w:rsid w:val="00B167BC"/>
    <w:rsid w:val="00B16B56"/>
    <w:rsid w:val="00B170A3"/>
    <w:rsid w:val="00B20397"/>
    <w:rsid w:val="00B21206"/>
    <w:rsid w:val="00B21AE1"/>
    <w:rsid w:val="00B22F9B"/>
    <w:rsid w:val="00B23589"/>
    <w:rsid w:val="00B2389B"/>
    <w:rsid w:val="00B2390A"/>
    <w:rsid w:val="00B23EC2"/>
    <w:rsid w:val="00B24731"/>
    <w:rsid w:val="00B25172"/>
    <w:rsid w:val="00B2517D"/>
    <w:rsid w:val="00B252D9"/>
    <w:rsid w:val="00B2530B"/>
    <w:rsid w:val="00B2531F"/>
    <w:rsid w:val="00B2590B"/>
    <w:rsid w:val="00B25E36"/>
    <w:rsid w:val="00B26036"/>
    <w:rsid w:val="00B26633"/>
    <w:rsid w:val="00B26DA3"/>
    <w:rsid w:val="00B30B2B"/>
    <w:rsid w:val="00B30BE5"/>
    <w:rsid w:val="00B30F0A"/>
    <w:rsid w:val="00B3149D"/>
    <w:rsid w:val="00B31920"/>
    <w:rsid w:val="00B31BD4"/>
    <w:rsid w:val="00B32ABC"/>
    <w:rsid w:val="00B33990"/>
    <w:rsid w:val="00B33F69"/>
    <w:rsid w:val="00B343E5"/>
    <w:rsid w:val="00B3563B"/>
    <w:rsid w:val="00B35CCC"/>
    <w:rsid w:val="00B361CE"/>
    <w:rsid w:val="00B36B29"/>
    <w:rsid w:val="00B36DC0"/>
    <w:rsid w:val="00B3720D"/>
    <w:rsid w:val="00B37B73"/>
    <w:rsid w:val="00B40817"/>
    <w:rsid w:val="00B40964"/>
    <w:rsid w:val="00B4097C"/>
    <w:rsid w:val="00B40E8B"/>
    <w:rsid w:val="00B412BD"/>
    <w:rsid w:val="00B42A42"/>
    <w:rsid w:val="00B43339"/>
    <w:rsid w:val="00B43563"/>
    <w:rsid w:val="00B43905"/>
    <w:rsid w:val="00B44A2A"/>
    <w:rsid w:val="00B44F21"/>
    <w:rsid w:val="00B456D5"/>
    <w:rsid w:val="00B4650E"/>
    <w:rsid w:val="00B4686A"/>
    <w:rsid w:val="00B468F6"/>
    <w:rsid w:val="00B47692"/>
    <w:rsid w:val="00B477B8"/>
    <w:rsid w:val="00B47A69"/>
    <w:rsid w:val="00B47D07"/>
    <w:rsid w:val="00B47F53"/>
    <w:rsid w:val="00B50261"/>
    <w:rsid w:val="00B50B6F"/>
    <w:rsid w:val="00B510C2"/>
    <w:rsid w:val="00B53792"/>
    <w:rsid w:val="00B53FD4"/>
    <w:rsid w:val="00B552E9"/>
    <w:rsid w:val="00B567F8"/>
    <w:rsid w:val="00B57466"/>
    <w:rsid w:val="00B5777D"/>
    <w:rsid w:val="00B600A3"/>
    <w:rsid w:val="00B60F02"/>
    <w:rsid w:val="00B61A05"/>
    <w:rsid w:val="00B61B37"/>
    <w:rsid w:val="00B6242C"/>
    <w:rsid w:val="00B63748"/>
    <w:rsid w:val="00B6470D"/>
    <w:rsid w:val="00B6493A"/>
    <w:rsid w:val="00B64BFC"/>
    <w:rsid w:val="00B65585"/>
    <w:rsid w:val="00B6584E"/>
    <w:rsid w:val="00B66183"/>
    <w:rsid w:val="00B66C60"/>
    <w:rsid w:val="00B67B3B"/>
    <w:rsid w:val="00B67C9D"/>
    <w:rsid w:val="00B70260"/>
    <w:rsid w:val="00B709BD"/>
    <w:rsid w:val="00B71602"/>
    <w:rsid w:val="00B71B68"/>
    <w:rsid w:val="00B72B97"/>
    <w:rsid w:val="00B72CA6"/>
    <w:rsid w:val="00B73A5A"/>
    <w:rsid w:val="00B748D0"/>
    <w:rsid w:val="00B74E7E"/>
    <w:rsid w:val="00B76839"/>
    <w:rsid w:val="00B76871"/>
    <w:rsid w:val="00B7700C"/>
    <w:rsid w:val="00B770FF"/>
    <w:rsid w:val="00B77AC9"/>
    <w:rsid w:val="00B8058C"/>
    <w:rsid w:val="00B81D50"/>
    <w:rsid w:val="00B82EA3"/>
    <w:rsid w:val="00B82EF9"/>
    <w:rsid w:val="00B83109"/>
    <w:rsid w:val="00B8354D"/>
    <w:rsid w:val="00B83B58"/>
    <w:rsid w:val="00B840F3"/>
    <w:rsid w:val="00B84497"/>
    <w:rsid w:val="00B849E6"/>
    <w:rsid w:val="00B84A93"/>
    <w:rsid w:val="00B84F72"/>
    <w:rsid w:val="00B85F47"/>
    <w:rsid w:val="00B873FC"/>
    <w:rsid w:val="00B87889"/>
    <w:rsid w:val="00B87927"/>
    <w:rsid w:val="00B87B51"/>
    <w:rsid w:val="00B9014D"/>
    <w:rsid w:val="00B9041E"/>
    <w:rsid w:val="00B9127F"/>
    <w:rsid w:val="00B91A8F"/>
    <w:rsid w:val="00B92619"/>
    <w:rsid w:val="00B93B8B"/>
    <w:rsid w:val="00B93D48"/>
    <w:rsid w:val="00B947E7"/>
    <w:rsid w:val="00B96992"/>
    <w:rsid w:val="00B97438"/>
    <w:rsid w:val="00B978C8"/>
    <w:rsid w:val="00BA09BE"/>
    <w:rsid w:val="00BA2027"/>
    <w:rsid w:val="00BA208D"/>
    <w:rsid w:val="00BA326D"/>
    <w:rsid w:val="00BA3AE7"/>
    <w:rsid w:val="00BA3B7D"/>
    <w:rsid w:val="00BA4041"/>
    <w:rsid w:val="00BA59A0"/>
    <w:rsid w:val="00BA639D"/>
    <w:rsid w:val="00BA731D"/>
    <w:rsid w:val="00BA7F5A"/>
    <w:rsid w:val="00BB036A"/>
    <w:rsid w:val="00BB0690"/>
    <w:rsid w:val="00BB092D"/>
    <w:rsid w:val="00BB0D27"/>
    <w:rsid w:val="00BB0FCC"/>
    <w:rsid w:val="00BB1354"/>
    <w:rsid w:val="00BB1B3E"/>
    <w:rsid w:val="00BB1DE8"/>
    <w:rsid w:val="00BB1E61"/>
    <w:rsid w:val="00BB24B0"/>
    <w:rsid w:val="00BB2607"/>
    <w:rsid w:val="00BB2E51"/>
    <w:rsid w:val="00BB33DF"/>
    <w:rsid w:val="00BB4152"/>
    <w:rsid w:val="00BB44BB"/>
    <w:rsid w:val="00BB4819"/>
    <w:rsid w:val="00BB679B"/>
    <w:rsid w:val="00BB68F4"/>
    <w:rsid w:val="00BB6D39"/>
    <w:rsid w:val="00BB6F4B"/>
    <w:rsid w:val="00BB6FDA"/>
    <w:rsid w:val="00BB7C44"/>
    <w:rsid w:val="00BC0EDE"/>
    <w:rsid w:val="00BC1264"/>
    <w:rsid w:val="00BC1DF0"/>
    <w:rsid w:val="00BC1FF9"/>
    <w:rsid w:val="00BC2236"/>
    <w:rsid w:val="00BC24E3"/>
    <w:rsid w:val="00BC254E"/>
    <w:rsid w:val="00BC2A93"/>
    <w:rsid w:val="00BC2A97"/>
    <w:rsid w:val="00BC320A"/>
    <w:rsid w:val="00BC3C2E"/>
    <w:rsid w:val="00BC3FE6"/>
    <w:rsid w:val="00BC47A3"/>
    <w:rsid w:val="00BC4DB5"/>
    <w:rsid w:val="00BC5311"/>
    <w:rsid w:val="00BC5420"/>
    <w:rsid w:val="00BC5593"/>
    <w:rsid w:val="00BD07E5"/>
    <w:rsid w:val="00BD0C79"/>
    <w:rsid w:val="00BD11A0"/>
    <w:rsid w:val="00BD1404"/>
    <w:rsid w:val="00BD1906"/>
    <w:rsid w:val="00BD1BB1"/>
    <w:rsid w:val="00BD211F"/>
    <w:rsid w:val="00BD2E13"/>
    <w:rsid w:val="00BD2FD7"/>
    <w:rsid w:val="00BD3586"/>
    <w:rsid w:val="00BD3705"/>
    <w:rsid w:val="00BD41D8"/>
    <w:rsid w:val="00BD4390"/>
    <w:rsid w:val="00BD5350"/>
    <w:rsid w:val="00BD5650"/>
    <w:rsid w:val="00BD56E5"/>
    <w:rsid w:val="00BD59A0"/>
    <w:rsid w:val="00BD5B04"/>
    <w:rsid w:val="00BD5B0E"/>
    <w:rsid w:val="00BD668A"/>
    <w:rsid w:val="00BD7DAE"/>
    <w:rsid w:val="00BE004F"/>
    <w:rsid w:val="00BE01B0"/>
    <w:rsid w:val="00BE2319"/>
    <w:rsid w:val="00BE2D06"/>
    <w:rsid w:val="00BE305F"/>
    <w:rsid w:val="00BE3228"/>
    <w:rsid w:val="00BE48AC"/>
    <w:rsid w:val="00BE5946"/>
    <w:rsid w:val="00BE618C"/>
    <w:rsid w:val="00BE61C2"/>
    <w:rsid w:val="00BF0248"/>
    <w:rsid w:val="00BF0598"/>
    <w:rsid w:val="00BF0FEF"/>
    <w:rsid w:val="00BF189B"/>
    <w:rsid w:val="00BF20EC"/>
    <w:rsid w:val="00BF2DB5"/>
    <w:rsid w:val="00BF30DA"/>
    <w:rsid w:val="00BF33DF"/>
    <w:rsid w:val="00BF4282"/>
    <w:rsid w:val="00BF4CCB"/>
    <w:rsid w:val="00BF5408"/>
    <w:rsid w:val="00BF5DEF"/>
    <w:rsid w:val="00BF5FCB"/>
    <w:rsid w:val="00BF6A8A"/>
    <w:rsid w:val="00BF6F3C"/>
    <w:rsid w:val="00BF7834"/>
    <w:rsid w:val="00BF7B05"/>
    <w:rsid w:val="00C001D3"/>
    <w:rsid w:val="00C00285"/>
    <w:rsid w:val="00C002A2"/>
    <w:rsid w:val="00C00830"/>
    <w:rsid w:val="00C00851"/>
    <w:rsid w:val="00C008F7"/>
    <w:rsid w:val="00C011F9"/>
    <w:rsid w:val="00C012CB"/>
    <w:rsid w:val="00C01F6C"/>
    <w:rsid w:val="00C02955"/>
    <w:rsid w:val="00C02E45"/>
    <w:rsid w:val="00C03296"/>
    <w:rsid w:val="00C03B89"/>
    <w:rsid w:val="00C04D26"/>
    <w:rsid w:val="00C04FF7"/>
    <w:rsid w:val="00C05797"/>
    <w:rsid w:val="00C05E23"/>
    <w:rsid w:val="00C063D4"/>
    <w:rsid w:val="00C064B9"/>
    <w:rsid w:val="00C06B82"/>
    <w:rsid w:val="00C0715E"/>
    <w:rsid w:val="00C07938"/>
    <w:rsid w:val="00C127F1"/>
    <w:rsid w:val="00C12916"/>
    <w:rsid w:val="00C12E34"/>
    <w:rsid w:val="00C13182"/>
    <w:rsid w:val="00C13C5A"/>
    <w:rsid w:val="00C15726"/>
    <w:rsid w:val="00C16074"/>
    <w:rsid w:val="00C17486"/>
    <w:rsid w:val="00C209B9"/>
    <w:rsid w:val="00C21D6A"/>
    <w:rsid w:val="00C22023"/>
    <w:rsid w:val="00C224CA"/>
    <w:rsid w:val="00C2287E"/>
    <w:rsid w:val="00C233DD"/>
    <w:rsid w:val="00C23677"/>
    <w:rsid w:val="00C239C7"/>
    <w:rsid w:val="00C23A30"/>
    <w:rsid w:val="00C23E52"/>
    <w:rsid w:val="00C25EF0"/>
    <w:rsid w:val="00C26170"/>
    <w:rsid w:val="00C26B46"/>
    <w:rsid w:val="00C27722"/>
    <w:rsid w:val="00C30297"/>
    <w:rsid w:val="00C30649"/>
    <w:rsid w:val="00C319F1"/>
    <w:rsid w:val="00C32353"/>
    <w:rsid w:val="00C3313C"/>
    <w:rsid w:val="00C33B45"/>
    <w:rsid w:val="00C33E01"/>
    <w:rsid w:val="00C34EF2"/>
    <w:rsid w:val="00C34F0E"/>
    <w:rsid w:val="00C3539F"/>
    <w:rsid w:val="00C35420"/>
    <w:rsid w:val="00C3552C"/>
    <w:rsid w:val="00C361DA"/>
    <w:rsid w:val="00C3638D"/>
    <w:rsid w:val="00C36CDC"/>
    <w:rsid w:val="00C37115"/>
    <w:rsid w:val="00C37D1F"/>
    <w:rsid w:val="00C40592"/>
    <w:rsid w:val="00C407F2"/>
    <w:rsid w:val="00C40F52"/>
    <w:rsid w:val="00C41CC1"/>
    <w:rsid w:val="00C41F2A"/>
    <w:rsid w:val="00C43A85"/>
    <w:rsid w:val="00C44409"/>
    <w:rsid w:val="00C451BF"/>
    <w:rsid w:val="00C456CD"/>
    <w:rsid w:val="00C45E0C"/>
    <w:rsid w:val="00C46EAF"/>
    <w:rsid w:val="00C4764F"/>
    <w:rsid w:val="00C477E7"/>
    <w:rsid w:val="00C518BB"/>
    <w:rsid w:val="00C523F9"/>
    <w:rsid w:val="00C536ED"/>
    <w:rsid w:val="00C54E4E"/>
    <w:rsid w:val="00C54EAD"/>
    <w:rsid w:val="00C558DC"/>
    <w:rsid w:val="00C55F77"/>
    <w:rsid w:val="00C56244"/>
    <w:rsid w:val="00C56270"/>
    <w:rsid w:val="00C568A4"/>
    <w:rsid w:val="00C57ACC"/>
    <w:rsid w:val="00C60C83"/>
    <w:rsid w:val="00C621D0"/>
    <w:rsid w:val="00C62334"/>
    <w:rsid w:val="00C62F11"/>
    <w:rsid w:val="00C63049"/>
    <w:rsid w:val="00C638B8"/>
    <w:rsid w:val="00C63901"/>
    <w:rsid w:val="00C63EAD"/>
    <w:rsid w:val="00C64065"/>
    <w:rsid w:val="00C6473E"/>
    <w:rsid w:val="00C647F9"/>
    <w:rsid w:val="00C64C75"/>
    <w:rsid w:val="00C64E14"/>
    <w:rsid w:val="00C65CDF"/>
    <w:rsid w:val="00C663AB"/>
    <w:rsid w:val="00C67AE0"/>
    <w:rsid w:val="00C70381"/>
    <w:rsid w:val="00C705E4"/>
    <w:rsid w:val="00C71FAA"/>
    <w:rsid w:val="00C7299C"/>
    <w:rsid w:val="00C729D7"/>
    <w:rsid w:val="00C730B5"/>
    <w:rsid w:val="00C73290"/>
    <w:rsid w:val="00C74ABD"/>
    <w:rsid w:val="00C77074"/>
    <w:rsid w:val="00C812F2"/>
    <w:rsid w:val="00C820A6"/>
    <w:rsid w:val="00C824AB"/>
    <w:rsid w:val="00C824B5"/>
    <w:rsid w:val="00C82500"/>
    <w:rsid w:val="00C84736"/>
    <w:rsid w:val="00C8493E"/>
    <w:rsid w:val="00C84C91"/>
    <w:rsid w:val="00C85314"/>
    <w:rsid w:val="00C856ED"/>
    <w:rsid w:val="00C857B3"/>
    <w:rsid w:val="00C857EC"/>
    <w:rsid w:val="00C85ADF"/>
    <w:rsid w:val="00C85DA3"/>
    <w:rsid w:val="00C85E55"/>
    <w:rsid w:val="00C8680A"/>
    <w:rsid w:val="00C86CBE"/>
    <w:rsid w:val="00C87C80"/>
    <w:rsid w:val="00C9025F"/>
    <w:rsid w:val="00C906FB"/>
    <w:rsid w:val="00C9145C"/>
    <w:rsid w:val="00C9178D"/>
    <w:rsid w:val="00C920F3"/>
    <w:rsid w:val="00C92630"/>
    <w:rsid w:val="00C927F5"/>
    <w:rsid w:val="00C92FB3"/>
    <w:rsid w:val="00C9333C"/>
    <w:rsid w:val="00C93391"/>
    <w:rsid w:val="00C93756"/>
    <w:rsid w:val="00C938AB"/>
    <w:rsid w:val="00C93DC4"/>
    <w:rsid w:val="00C93F9B"/>
    <w:rsid w:val="00C94140"/>
    <w:rsid w:val="00C94C81"/>
    <w:rsid w:val="00C967C6"/>
    <w:rsid w:val="00C97233"/>
    <w:rsid w:val="00CA1188"/>
    <w:rsid w:val="00CA1294"/>
    <w:rsid w:val="00CA1627"/>
    <w:rsid w:val="00CA24D4"/>
    <w:rsid w:val="00CA323F"/>
    <w:rsid w:val="00CA32C1"/>
    <w:rsid w:val="00CA36B7"/>
    <w:rsid w:val="00CA46D6"/>
    <w:rsid w:val="00CA4BC0"/>
    <w:rsid w:val="00CA5ABE"/>
    <w:rsid w:val="00CB0540"/>
    <w:rsid w:val="00CB0B46"/>
    <w:rsid w:val="00CB0FCF"/>
    <w:rsid w:val="00CB1381"/>
    <w:rsid w:val="00CB159D"/>
    <w:rsid w:val="00CB19B3"/>
    <w:rsid w:val="00CB1E8C"/>
    <w:rsid w:val="00CB2092"/>
    <w:rsid w:val="00CB2906"/>
    <w:rsid w:val="00CB3C1A"/>
    <w:rsid w:val="00CB3DE5"/>
    <w:rsid w:val="00CB4D8A"/>
    <w:rsid w:val="00CB53FA"/>
    <w:rsid w:val="00CB5576"/>
    <w:rsid w:val="00CB593D"/>
    <w:rsid w:val="00CB5B29"/>
    <w:rsid w:val="00CB5E49"/>
    <w:rsid w:val="00CB6ACC"/>
    <w:rsid w:val="00CB6D2A"/>
    <w:rsid w:val="00CB78B9"/>
    <w:rsid w:val="00CB7BC5"/>
    <w:rsid w:val="00CB7BFB"/>
    <w:rsid w:val="00CB7EC3"/>
    <w:rsid w:val="00CC062D"/>
    <w:rsid w:val="00CC0CFA"/>
    <w:rsid w:val="00CC140F"/>
    <w:rsid w:val="00CC16B6"/>
    <w:rsid w:val="00CC1FEC"/>
    <w:rsid w:val="00CC2DB1"/>
    <w:rsid w:val="00CC3515"/>
    <w:rsid w:val="00CC3546"/>
    <w:rsid w:val="00CC3F6C"/>
    <w:rsid w:val="00CC4124"/>
    <w:rsid w:val="00CC4528"/>
    <w:rsid w:val="00CC4AAE"/>
    <w:rsid w:val="00CC4C93"/>
    <w:rsid w:val="00CC559D"/>
    <w:rsid w:val="00CC5C59"/>
    <w:rsid w:val="00CC63CC"/>
    <w:rsid w:val="00CC73D4"/>
    <w:rsid w:val="00CC73D6"/>
    <w:rsid w:val="00CC7483"/>
    <w:rsid w:val="00CC7634"/>
    <w:rsid w:val="00CC7A0A"/>
    <w:rsid w:val="00CC7F64"/>
    <w:rsid w:val="00CC7FCE"/>
    <w:rsid w:val="00CD0886"/>
    <w:rsid w:val="00CD0DA1"/>
    <w:rsid w:val="00CD2E89"/>
    <w:rsid w:val="00CD3121"/>
    <w:rsid w:val="00CD4BFE"/>
    <w:rsid w:val="00CD5252"/>
    <w:rsid w:val="00CD54C6"/>
    <w:rsid w:val="00CD654B"/>
    <w:rsid w:val="00CD65D3"/>
    <w:rsid w:val="00CD6BD4"/>
    <w:rsid w:val="00CD768A"/>
    <w:rsid w:val="00CD7D9E"/>
    <w:rsid w:val="00CE223E"/>
    <w:rsid w:val="00CE23C2"/>
    <w:rsid w:val="00CE264C"/>
    <w:rsid w:val="00CE30F6"/>
    <w:rsid w:val="00CE3A9E"/>
    <w:rsid w:val="00CE3CC7"/>
    <w:rsid w:val="00CE3D01"/>
    <w:rsid w:val="00CE4303"/>
    <w:rsid w:val="00CE5421"/>
    <w:rsid w:val="00CE5B0C"/>
    <w:rsid w:val="00CE5B20"/>
    <w:rsid w:val="00CE5D6E"/>
    <w:rsid w:val="00CE645F"/>
    <w:rsid w:val="00CE6977"/>
    <w:rsid w:val="00CE76AA"/>
    <w:rsid w:val="00CE7991"/>
    <w:rsid w:val="00CE7B0F"/>
    <w:rsid w:val="00CF00CF"/>
    <w:rsid w:val="00CF00F1"/>
    <w:rsid w:val="00CF065B"/>
    <w:rsid w:val="00CF06BC"/>
    <w:rsid w:val="00CF0E14"/>
    <w:rsid w:val="00CF111F"/>
    <w:rsid w:val="00CF1784"/>
    <w:rsid w:val="00CF1E8D"/>
    <w:rsid w:val="00CF34B7"/>
    <w:rsid w:val="00CF3E57"/>
    <w:rsid w:val="00CF3FB2"/>
    <w:rsid w:val="00CF5D8D"/>
    <w:rsid w:val="00CF653E"/>
    <w:rsid w:val="00CF6BAC"/>
    <w:rsid w:val="00CF6F05"/>
    <w:rsid w:val="00CF7051"/>
    <w:rsid w:val="00CF75EF"/>
    <w:rsid w:val="00D00271"/>
    <w:rsid w:val="00D00ADC"/>
    <w:rsid w:val="00D01597"/>
    <w:rsid w:val="00D01EB3"/>
    <w:rsid w:val="00D02457"/>
    <w:rsid w:val="00D0298D"/>
    <w:rsid w:val="00D02E9F"/>
    <w:rsid w:val="00D02FAF"/>
    <w:rsid w:val="00D031B1"/>
    <w:rsid w:val="00D03B02"/>
    <w:rsid w:val="00D04F4C"/>
    <w:rsid w:val="00D05431"/>
    <w:rsid w:val="00D05643"/>
    <w:rsid w:val="00D05941"/>
    <w:rsid w:val="00D05CF5"/>
    <w:rsid w:val="00D0693B"/>
    <w:rsid w:val="00D06A21"/>
    <w:rsid w:val="00D11034"/>
    <w:rsid w:val="00D11123"/>
    <w:rsid w:val="00D12E72"/>
    <w:rsid w:val="00D13152"/>
    <w:rsid w:val="00D141CE"/>
    <w:rsid w:val="00D145F5"/>
    <w:rsid w:val="00D14C7C"/>
    <w:rsid w:val="00D14D34"/>
    <w:rsid w:val="00D14D35"/>
    <w:rsid w:val="00D15080"/>
    <w:rsid w:val="00D16443"/>
    <w:rsid w:val="00D17E58"/>
    <w:rsid w:val="00D17F25"/>
    <w:rsid w:val="00D213E7"/>
    <w:rsid w:val="00D226A7"/>
    <w:rsid w:val="00D22881"/>
    <w:rsid w:val="00D22CAB"/>
    <w:rsid w:val="00D2329B"/>
    <w:rsid w:val="00D237A2"/>
    <w:rsid w:val="00D239CC"/>
    <w:rsid w:val="00D23ECA"/>
    <w:rsid w:val="00D24641"/>
    <w:rsid w:val="00D2488F"/>
    <w:rsid w:val="00D24FBE"/>
    <w:rsid w:val="00D252FC"/>
    <w:rsid w:val="00D25EF8"/>
    <w:rsid w:val="00D26491"/>
    <w:rsid w:val="00D2695C"/>
    <w:rsid w:val="00D26E18"/>
    <w:rsid w:val="00D270C5"/>
    <w:rsid w:val="00D2735B"/>
    <w:rsid w:val="00D30268"/>
    <w:rsid w:val="00D3035F"/>
    <w:rsid w:val="00D3060B"/>
    <w:rsid w:val="00D30B4C"/>
    <w:rsid w:val="00D30BA6"/>
    <w:rsid w:val="00D30C26"/>
    <w:rsid w:val="00D310E8"/>
    <w:rsid w:val="00D31AEC"/>
    <w:rsid w:val="00D32362"/>
    <w:rsid w:val="00D327F5"/>
    <w:rsid w:val="00D33C9F"/>
    <w:rsid w:val="00D3508B"/>
    <w:rsid w:val="00D353D1"/>
    <w:rsid w:val="00D355F0"/>
    <w:rsid w:val="00D35764"/>
    <w:rsid w:val="00D35CE4"/>
    <w:rsid w:val="00D35E87"/>
    <w:rsid w:val="00D36805"/>
    <w:rsid w:val="00D36A08"/>
    <w:rsid w:val="00D400C6"/>
    <w:rsid w:val="00D40328"/>
    <w:rsid w:val="00D405C7"/>
    <w:rsid w:val="00D41985"/>
    <w:rsid w:val="00D428B6"/>
    <w:rsid w:val="00D42BDC"/>
    <w:rsid w:val="00D4313F"/>
    <w:rsid w:val="00D4485D"/>
    <w:rsid w:val="00D44A6F"/>
    <w:rsid w:val="00D44A98"/>
    <w:rsid w:val="00D45123"/>
    <w:rsid w:val="00D45AF8"/>
    <w:rsid w:val="00D46579"/>
    <w:rsid w:val="00D46637"/>
    <w:rsid w:val="00D46B9C"/>
    <w:rsid w:val="00D46CF7"/>
    <w:rsid w:val="00D47076"/>
    <w:rsid w:val="00D50137"/>
    <w:rsid w:val="00D50265"/>
    <w:rsid w:val="00D51C05"/>
    <w:rsid w:val="00D52C3A"/>
    <w:rsid w:val="00D53218"/>
    <w:rsid w:val="00D53504"/>
    <w:rsid w:val="00D5362E"/>
    <w:rsid w:val="00D539D4"/>
    <w:rsid w:val="00D53D6B"/>
    <w:rsid w:val="00D54027"/>
    <w:rsid w:val="00D5557E"/>
    <w:rsid w:val="00D5575D"/>
    <w:rsid w:val="00D55C22"/>
    <w:rsid w:val="00D562A1"/>
    <w:rsid w:val="00D562DB"/>
    <w:rsid w:val="00D56EE0"/>
    <w:rsid w:val="00D56F9D"/>
    <w:rsid w:val="00D57307"/>
    <w:rsid w:val="00D60003"/>
    <w:rsid w:val="00D601F7"/>
    <w:rsid w:val="00D636AE"/>
    <w:rsid w:val="00D64307"/>
    <w:rsid w:val="00D64742"/>
    <w:rsid w:val="00D64F71"/>
    <w:rsid w:val="00D65122"/>
    <w:rsid w:val="00D65DC8"/>
    <w:rsid w:val="00D660C1"/>
    <w:rsid w:val="00D663E2"/>
    <w:rsid w:val="00D669AE"/>
    <w:rsid w:val="00D66A0B"/>
    <w:rsid w:val="00D676D5"/>
    <w:rsid w:val="00D72D25"/>
    <w:rsid w:val="00D73696"/>
    <w:rsid w:val="00D73A92"/>
    <w:rsid w:val="00D73F0E"/>
    <w:rsid w:val="00D73F7D"/>
    <w:rsid w:val="00D73FEA"/>
    <w:rsid w:val="00D75CCC"/>
    <w:rsid w:val="00D760EE"/>
    <w:rsid w:val="00D7646B"/>
    <w:rsid w:val="00D764EE"/>
    <w:rsid w:val="00D7689D"/>
    <w:rsid w:val="00D771B2"/>
    <w:rsid w:val="00D7757D"/>
    <w:rsid w:val="00D77AE6"/>
    <w:rsid w:val="00D77BFE"/>
    <w:rsid w:val="00D81425"/>
    <w:rsid w:val="00D819B4"/>
    <w:rsid w:val="00D81E58"/>
    <w:rsid w:val="00D82B13"/>
    <w:rsid w:val="00D82EC6"/>
    <w:rsid w:val="00D83BD9"/>
    <w:rsid w:val="00D8507F"/>
    <w:rsid w:val="00D85EC0"/>
    <w:rsid w:val="00D8602A"/>
    <w:rsid w:val="00D868FA"/>
    <w:rsid w:val="00D86A96"/>
    <w:rsid w:val="00D9013D"/>
    <w:rsid w:val="00D907CC"/>
    <w:rsid w:val="00D91561"/>
    <w:rsid w:val="00D91B10"/>
    <w:rsid w:val="00D92108"/>
    <w:rsid w:val="00D939E1"/>
    <w:rsid w:val="00D93CDC"/>
    <w:rsid w:val="00D94496"/>
    <w:rsid w:val="00D94773"/>
    <w:rsid w:val="00D94B74"/>
    <w:rsid w:val="00D95065"/>
    <w:rsid w:val="00D951EB"/>
    <w:rsid w:val="00D952E0"/>
    <w:rsid w:val="00D95FB9"/>
    <w:rsid w:val="00D95FE0"/>
    <w:rsid w:val="00D969DE"/>
    <w:rsid w:val="00DA0213"/>
    <w:rsid w:val="00DA1B64"/>
    <w:rsid w:val="00DA2D7F"/>
    <w:rsid w:val="00DA2E55"/>
    <w:rsid w:val="00DA332F"/>
    <w:rsid w:val="00DA3AA1"/>
    <w:rsid w:val="00DA4294"/>
    <w:rsid w:val="00DA4796"/>
    <w:rsid w:val="00DA60F2"/>
    <w:rsid w:val="00DA686B"/>
    <w:rsid w:val="00DA6DF1"/>
    <w:rsid w:val="00DA7A96"/>
    <w:rsid w:val="00DB0D53"/>
    <w:rsid w:val="00DB1886"/>
    <w:rsid w:val="00DB2254"/>
    <w:rsid w:val="00DB4B07"/>
    <w:rsid w:val="00DB5045"/>
    <w:rsid w:val="00DB55AA"/>
    <w:rsid w:val="00DB5E9E"/>
    <w:rsid w:val="00DB7956"/>
    <w:rsid w:val="00DB7D20"/>
    <w:rsid w:val="00DB7EAA"/>
    <w:rsid w:val="00DB7F09"/>
    <w:rsid w:val="00DB7F68"/>
    <w:rsid w:val="00DC00E8"/>
    <w:rsid w:val="00DC06D8"/>
    <w:rsid w:val="00DC12BB"/>
    <w:rsid w:val="00DC1793"/>
    <w:rsid w:val="00DC2072"/>
    <w:rsid w:val="00DC24C2"/>
    <w:rsid w:val="00DC3205"/>
    <w:rsid w:val="00DC345F"/>
    <w:rsid w:val="00DC3F37"/>
    <w:rsid w:val="00DC4513"/>
    <w:rsid w:val="00DC4A30"/>
    <w:rsid w:val="00DC4BBF"/>
    <w:rsid w:val="00DC5509"/>
    <w:rsid w:val="00DC6719"/>
    <w:rsid w:val="00DC67EA"/>
    <w:rsid w:val="00DD0A9B"/>
    <w:rsid w:val="00DD20CB"/>
    <w:rsid w:val="00DD3126"/>
    <w:rsid w:val="00DD41A7"/>
    <w:rsid w:val="00DD4EE1"/>
    <w:rsid w:val="00DD535F"/>
    <w:rsid w:val="00DD587E"/>
    <w:rsid w:val="00DD7D84"/>
    <w:rsid w:val="00DE00C1"/>
    <w:rsid w:val="00DE06C0"/>
    <w:rsid w:val="00DE0AF1"/>
    <w:rsid w:val="00DE0D30"/>
    <w:rsid w:val="00DE0F98"/>
    <w:rsid w:val="00DE100A"/>
    <w:rsid w:val="00DE11FA"/>
    <w:rsid w:val="00DE1334"/>
    <w:rsid w:val="00DE14FD"/>
    <w:rsid w:val="00DE166C"/>
    <w:rsid w:val="00DE1935"/>
    <w:rsid w:val="00DE1EDE"/>
    <w:rsid w:val="00DE21CB"/>
    <w:rsid w:val="00DE2CD2"/>
    <w:rsid w:val="00DE3B4D"/>
    <w:rsid w:val="00DE3E3B"/>
    <w:rsid w:val="00DE44B9"/>
    <w:rsid w:val="00DE4C28"/>
    <w:rsid w:val="00DE53BD"/>
    <w:rsid w:val="00DE64BF"/>
    <w:rsid w:val="00DE7548"/>
    <w:rsid w:val="00DF0733"/>
    <w:rsid w:val="00DF0E45"/>
    <w:rsid w:val="00DF1134"/>
    <w:rsid w:val="00DF1275"/>
    <w:rsid w:val="00DF16BF"/>
    <w:rsid w:val="00DF1EFC"/>
    <w:rsid w:val="00DF2D3D"/>
    <w:rsid w:val="00DF5C75"/>
    <w:rsid w:val="00DF6673"/>
    <w:rsid w:val="00DF6A33"/>
    <w:rsid w:val="00DF7255"/>
    <w:rsid w:val="00DF77A6"/>
    <w:rsid w:val="00E0006E"/>
    <w:rsid w:val="00E0079D"/>
    <w:rsid w:val="00E00C8C"/>
    <w:rsid w:val="00E00DCC"/>
    <w:rsid w:val="00E01AD9"/>
    <w:rsid w:val="00E01C80"/>
    <w:rsid w:val="00E02EBA"/>
    <w:rsid w:val="00E03133"/>
    <w:rsid w:val="00E03412"/>
    <w:rsid w:val="00E03460"/>
    <w:rsid w:val="00E03EDF"/>
    <w:rsid w:val="00E04162"/>
    <w:rsid w:val="00E055CC"/>
    <w:rsid w:val="00E05F83"/>
    <w:rsid w:val="00E069C8"/>
    <w:rsid w:val="00E07131"/>
    <w:rsid w:val="00E100AB"/>
    <w:rsid w:val="00E1082F"/>
    <w:rsid w:val="00E10D39"/>
    <w:rsid w:val="00E1136B"/>
    <w:rsid w:val="00E12D7F"/>
    <w:rsid w:val="00E132EB"/>
    <w:rsid w:val="00E13E90"/>
    <w:rsid w:val="00E13EA7"/>
    <w:rsid w:val="00E143D4"/>
    <w:rsid w:val="00E146B8"/>
    <w:rsid w:val="00E16335"/>
    <w:rsid w:val="00E16386"/>
    <w:rsid w:val="00E16BEB"/>
    <w:rsid w:val="00E172ED"/>
    <w:rsid w:val="00E20842"/>
    <w:rsid w:val="00E20EAF"/>
    <w:rsid w:val="00E218B2"/>
    <w:rsid w:val="00E219EB"/>
    <w:rsid w:val="00E228CC"/>
    <w:rsid w:val="00E22D51"/>
    <w:rsid w:val="00E23C31"/>
    <w:rsid w:val="00E24147"/>
    <w:rsid w:val="00E24361"/>
    <w:rsid w:val="00E25260"/>
    <w:rsid w:val="00E2577F"/>
    <w:rsid w:val="00E257F9"/>
    <w:rsid w:val="00E25B3E"/>
    <w:rsid w:val="00E2633A"/>
    <w:rsid w:val="00E27B98"/>
    <w:rsid w:val="00E3251C"/>
    <w:rsid w:val="00E32745"/>
    <w:rsid w:val="00E341AE"/>
    <w:rsid w:val="00E346E3"/>
    <w:rsid w:val="00E347FA"/>
    <w:rsid w:val="00E349DD"/>
    <w:rsid w:val="00E355A5"/>
    <w:rsid w:val="00E35E65"/>
    <w:rsid w:val="00E35FA1"/>
    <w:rsid w:val="00E36CF5"/>
    <w:rsid w:val="00E36E0A"/>
    <w:rsid w:val="00E36E7C"/>
    <w:rsid w:val="00E4030E"/>
    <w:rsid w:val="00E409FA"/>
    <w:rsid w:val="00E40AEF"/>
    <w:rsid w:val="00E41488"/>
    <w:rsid w:val="00E4268B"/>
    <w:rsid w:val="00E43A89"/>
    <w:rsid w:val="00E4446A"/>
    <w:rsid w:val="00E457B4"/>
    <w:rsid w:val="00E470E9"/>
    <w:rsid w:val="00E504CE"/>
    <w:rsid w:val="00E5050C"/>
    <w:rsid w:val="00E50938"/>
    <w:rsid w:val="00E50C7F"/>
    <w:rsid w:val="00E50DB2"/>
    <w:rsid w:val="00E50E7C"/>
    <w:rsid w:val="00E51545"/>
    <w:rsid w:val="00E51D95"/>
    <w:rsid w:val="00E5208A"/>
    <w:rsid w:val="00E52AA1"/>
    <w:rsid w:val="00E52E91"/>
    <w:rsid w:val="00E5302B"/>
    <w:rsid w:val="00E53FF4"/>
    <w:rsid w:val="00E54157"/>
    <w:rsid w:val="00E5524C"/>
    <w:rsid w:val="00E55326"/>
    <w:rsid w:val="00E554DB"/>
    <w:rsid w:val="00E55711"/>
    <w:rsid w:val="00E56803"/>
    <w:rsid w:val="00E600C0"/>
    <w:rsid w:val="00E60170"/>
    <w:rsid w:val="00E60EEC"/>
    <w:rsid w:val="00E6182E"/>
    <w:rsid w:val="00E621E5"/>
    <w:rsid w:val="00E62319"/>
    <w:rsid w:val="00E62714"/>
    <w:rsid w:val="00E62A31"/>
    <w:rsid w:val="00E62A52"/>
    <w:rsid w:val="00E62DDD"/>
    <w:rsid w:val="00E63474"/>
    <w:rsid w:val="00E64479"/>
    <w:rsid w:val="00E64BD2"/>
    <w:rsid w:val="00E64F30"/>
    <w:rsid w:val="00E672C1"/>
    <w:rsid w:val="00E67420"/>
    <w:rsid w:val="00E67B10"/>
    <w:rsid w:val="00E70364"/>
    <w:rsid w:val="00E70D01"/>
    <w:rsid w:val="00E711D7"/>
    <w:rsid w:val="00E71247"/>
    <w:rsid w:val="00E712A1"/>
    <w:rsid w:val="00E712C9"/>
    <w:rsid w:val="00E71692"/>
    <w:rsid w:val="00E71AB6"/>
    <w:rsid w:val="00E74913"/>
    <w:rsid w:val="00E74B87"/>
    <w:rsid w:val="00E74CB2"/>
    <w:rsid w:val="00E7586E"/>
    <w:rsid w:val="00E75AD2"/>
    <w:rsid w:val="00E76950"/>
    <w:rsid w:val="00E775A3"/>
    <w:rsid w:val="00E77C78"/>
    <w:rsid w:val="00E77C89"/>
    <w:rsid w:val="00E8049A"/>
    <w:rsid w:val="00E80A08"/>
    <w:rsid w:val="00E80B33"/>
    <w:rsid w:val="00E80E1A"/>
    <w:rsid w:val="00E8139E"/>
    <w:rsid w:val="00E81A40"/>
    <w:rsid w:val="00E8253A"/>
    <w:rsid w:val="00E82676"/>
    <w:rsid w:val="00E82A80"/>
    <w:rsid w:val="00E82DC9"/>
    <w:rsid w:val="00E83CED"/>
    <w:rsid w:val="00E845B6"/>
    <w:rsid w:val="00E8525A"/>
    <w:rsid w:val="00E902B0"/>
    <w:rsid w:val="00E902E8"/>
    <w:rsid w:val="00E90436"/>
    <w:rsid w:val="00E91CE8"/>
    <w:rsid w:val="00E937ED"/>
    <w:rsid w:val="00E93D1D"/>
    <w:rsid w:val="00E93E15"/>
    <w:rsid w:val="00E9445E"/>
    <w:rsid w:val="00E94BB7"/>
    <w:rsid w:val="00E95156"/>
    <w:rsid w:val="00E954E7"/>
    <w:rsid w:val="00E955A1"/>
    <w:rsid w:val="00E95A48"/>
    <w:rsid w:val="00E96286"/>
    <w:rsid w:val="00E97624"/>
    <w:rsid w:val="00E9793F"/>
    <w:rsid w:val="00EA0DA2"/>
    <w:rsid w:val="00EA1D12"/>
    <w:rsid w:val="00EA1DCC"/>
    <w:rsid w:val="00EA214A"/>
    <w:rsid w:val="00EA265D"/>
    <w:rsid w:val="00EA30D1"/>
    <w:rsid w:val="00EA3E61"/>
    <w:rsid w:val="00EA597A"/>
    <w:rsid w:val="00EA6D68"/>
    <w:rsid w:val="00EA7103"/>
    <w:rsid w:val="00EA77C6"/>
    <w:rsid w:val="00EB030F"/>
    <w:rsid w:val="00EB03C3"/>
    <w:rsid w:val="00EB07BD"/>
    <w:rsid w:val="00EB1B39"/>
    <w:rsid w:val="00EB214F"/>
    <w:rsid w:val="00EB222D"/>
    <w:rsid w:val="00EB233D"/>
    <w:rsid w:val="00EB26D4"/>
    <w:rsid w:val="00EB2953"/>
    <w:rsid w:val="00EB42AA"/>
    <w:rsid w:val="00EB465F"/>
    <w:rsid w:val="00EB4A8B"/>
    <w:rsid w:val="00EB4ACE"/>
    <w:rsid w:val="00EB4ED9"/>
    <w:rsid w:val="00EB514A"/>
    <w:rsid w:val="00EB51D4"/>
    <w:rsid w:val="00EB54E2"/>
    <w:rsid w:val="00EB5B92"/>
    <w:rsid w:val="00EB5FDA"/>
    <w:rsid w:val="00EB69DA"/>
    <w:rsid w:val="00EB6D7A"/>
    <w:rsid w:val="00EB77C0"/>
    <w:rsid w:val="00EC1926"/>
    <w:rsid w:val="00EC2AC0"/>
    <w:rsid w:val="00EC31D7"/>
    <w:rsid w:val="00EC3853"/>
    <w:rsid w:val="00EC396E"/>
    <w:rsid w:val="00EC4BC7"/>
    <w:rsid w:val="00EC55D9"/>
    <w:rsid w:val="00EC5604"/>
    <w:rsid w:val="00EC58DB"/>
    <w:rsid w:val="00EC6B16"/>
    <w:rsid w:val="00EC792F"/>
    <w:rsid w:val="00ED135D"/>
    <w:rsid w:val="00ED14FB"/>
    <w:rsid w:val="00ED1D34"/>
    <w:rsid w:val="00ED3CE4"/>
    <w:rsid w:val="00ED3F0F"/>
    <w:rsid w:val="00ED4004"/>
    <w:rsid w:val="00ED4CD9"/>
    <w:rsid w:val="00ED54BF"/>
    <w:rsid w:val="00ED6609"/>
    <w:rsid w:val="00ED739B"/>
    <w:rsid w:val="00ED7F90"/>
    <w:rsid w:val="00EE09A8"/>
    <w:rsid w:val="00EE2024"/>
    <w:rsid w:val="00EE2A8F"/>
    <w:rsid w:val="00EE2F8B"/>
    <w:rsid w:val="00EE3583"/>
    <w:rsid w:val="00EE35B0"/>
    <w:rsid w:val="00EE40D8"/>
    <w:rsid w:val="00EE53A3"/>
    <w:rsid w:val="00EE5734"/>
    <w:rsid w:val="00EE5FC0"/>
    <w:rsid w:val="00EE677F"/>
    <w:rsid w:val="00EE74E2"/>
    <w:rsid w:val="00EF0132"/>
    <w:rsid w:val="00EF06A4"/>
    <w:rsid w:val="00EF0F59"/>
    <w:rsid w:val="00EF1219"/>
    <w:rsid w:val="00EF1338"/>
    <w:rsid w:val="00EF16E2"/>
    <w:rsid w:val="00EF2459"/>
    <w:rsid w:val="00EF2C5D"/>
    <w:rsid w:val="00EF2FBF"/>
    <w:rsid w:val="00EF3169"/>
    <w:rsid w:val="00EF3E64"/>
    <w:rsid w:val="00EF4A03"/>
    <w:rsid w:val="00EF4AA5"/>
    <w:rsid w:val="00EF5574"/>
    <w:rsid w:val="00EF5643"/>
    <w:rsid w:val="00EF6180"/>
    <w:rsid w:val="00EF699A"/>
    <w:rsid w:val="00EF6A66"/>
    <w:rsid w:val="00EF7A4B"/>
    <w:rsid w:val="00EF7CBF"/>
    <w:rsid w:val="00EF7F0D"/>
    <w:rsid w:val="00EF7FF8"/>
    <w:rsid w:val="00F0082D"/>
    <w:rsid w:val="00F00A41"/>
    <w:rsid w:val="00F01604"/>
    <w:rsid w:val="00F03049"/>
    <w:rsid w:val="00F048E6"/>
    <w:rsid w:val="00F04B0D"/>
    <w:rsid w:val="00F05440"/>
    <w:rsid w:val="00F05663"/>
    <w:rsid w:val="00F05A95"/>
    <w:rsid w:val="00F05B66"/>
    <w:rsid w:val="00F06571"/>
    <w:rsid w:val="00F075D7"/>
    <w:rsid w:val="00F07C90"/>
    <w:rsid w:val="00F10260"/>
    <w:rsid w:val="00F1030D"/>
    <w:rsid w:val="00F10BE6"/>
    <w:rsid w:val="00F10F04"/>
    <w:rsid w:val="00F10F13"/>
    <w:rsid w:val="00F1118D"/>
    <w:rsid w:val="00F1302F"/>
    <w:rsid w:val="00F14291"/>
    <w:rsid w:val="00F142AD"/>
    <w:rsid w:val="00F14404"/>
    <w:rsid w:val="00F14479"/>
    <w:rsid w:val="00F146C0"/>
    <w:rsid w:val="00F148EA"/>
    <w:rsid w:val="00F14AC5"/>
    <w:rsid w:val="00F1524E"/>
    <w:rsid w:val="00F1770D"/>
    <w:rsid w:val="00F20469"/>
    <w:rsid w:val="00F21588"/>
    <w:rsid w:val="00F21E16"/>
    <w:rsid w:val="00F224B4"/>
    <w:rsid w:val="00F22811"/>
    <w:rsid w:val="00F2303C"/>
    <w:rsid w:val="00F235C5"/>
    <w:rsid w:val="00F23930"/>
    <w:rsid w:val="00F24D13"/>
    <w:rsid w:val="00F2508B"/>
    <w:rsid w:val="00F2590B"/>
    <w:rsid w:val="00F26B79"/>
    <w:rsid w:val="00F27289"/>
    <w:rsid w:val="00F27328"/>
    <w:rsid w:val="00F27D4E"/>
    <w:rsid w:val="00F30832"/>
    <w:rsid w:val="00F30AE4"/>
    <w:rsid w:val="00F32B2D"/>
    <w:rsid w:val="00F334A6"/>
    <w:rsid w:val="00F33C3B"/>
    <w:rsid w:val="00F34053"/>
    <w:rsid w:val="00F34546"/>
    <w:rsid w:val="00F347A4"/>
    <w:rsid w:val="00F34FA9"/>
    <w:rsid w:val="00F351B5"/>
    <w:rsid w:val="00F35EA8"/>
    <w:rsid w:val="00F368A7"/>
    <w:rsid w:val="00F36EC0"/>
    <w:rsid w:val="00F372B1"/>
    <w:rsid w:val="00F374B3"/>
    <w:rsid w:val="00F37829"/>
    <w:rsid w:val="00F37B6D"/>
    <w:rsid w:val="00F409BD"/>
    <w:rsid w:val="00F426B4"/>
    <w:rsid w:val="00F42728"/>
    <w:rsid w:val="00F4329C"/>
    <w:rsid w:val="00F43B6E"/>
    <w:rsid w:val="00F45079"/>
    <w:rsid w:val="00F450A7"/>
    <w:rsid w:val="00F460C1"/>
    <w:rsid w:val="00F465A7"/>
    <w:rsid w:val="00F46D1B"/>
    <w:rsid w:val="00F4743E"/>
    <w:rsid w:val="00F47758"/>
    <w:rsid w:val="00F478E7"/>
    <w:rsid w:val="00F47931"/>
    <w:rsid w:val="00F47BC2"/>
    <w:rsid w:val="00F47E5F"/>
    <w:rsid w:val="00F503CF"/>
    <w:rsid w:val="00F51A5C"/>
    <w:rsid w:val="00F51CB9"/>
    <w:rsid w:val="00F5239D"/>
    <w:rsid w:val="00F528D3"/>
    <w:rsid w:val="00F55359"/>
    <w:rsid w:val="00F55534"/>
    <w:rsid w:val="00F5568F"/>
    <w:rsid w:val="00F556AB"/>
    <w:rsid w:val="00F5609C"/>
    <w:rsid w:val="00F56104"/>
    <w:rsid w:val="00F56386"/>
    <w:rsid w:val="00F56829"/>
    <w:rsid w:val="00F56870"/>
    <w:rsid w:val="00F56B34"/>
    <w:rsid w:val="00F56B81"/>
    <w:rsid w:val="00F56EE1"/>
    <w:rsid w:val="00F57583"/>
    <w:rsid w:val="00F60786"/>
    <w:rsid w:val="00F60A11"/>
    <w:rsid w:val="00F60B4F"/>
    <w:rsid w:val="00F60C28"/>
    <w:rsid w:val="00F612D5"/>
    <w:rsid w:val="00F62F8A"/>
    <w:rsid w:val="00F6307F"/>
    <w:rsid w:val="00F6359E"/>
    <w:rsid w:val="00F63688"/>
    <w:rsid w:val="00F64C31"/>
    <w:rsid w:val="00F65180"/>
    <w:rsid w:val="00F659B6"/>
    <w:rsid w:val="00F66B9F"/>
    <w:rsid w:val="00F66D24"/>
    <w:rsid w:val="00F707A0"/>
    <w:rsid w:val="00F716E7"/>
    <w:rsid w:val="00F71A0E"/>
    <w:rsid w:val="00F7388F"/>
    <w:rsid w:val="00F7465D"/>
    <w:rsid w:val="00F754DA"/>
    <w:rsid w:val="00F760D2"/>
    <w:rsid w:val="00F76322"/>
    <w:rsid w:val="00F765D5"/>
    <w:rsid w:val="00F7695F"/>
    <w:rsid w:val="00F76BB1"/>
    <w:rsid w:val="00F774B8"/>
    <w:rsid w:val="00F77F80"/>
    <w:rsid w:val="00F8002F"/>
    <w:rsid w:val="00F80E6B"/>
    <w:rsid w:val="00F816ED"/>
    <w:rsid w:val="00F817F5"/>
    <w:rsid w:val="00F8206A"/>
    <w:rsid w:val="00F82BC2"/>
    <w:rsid w:val="00F82C8A"/>
    <w:rsid w:val="00F836F6"/>
    <w:rsid w:val="00F8378D"/>
    <w:rsid w:val="00F83C81"/>
    <w:rsid w:val="00F83DD7"/>
    <w:rsid w:val="00F862FA"/>
    <w:rsid w:val="00F86E1D"/>
    <w:rsid w:val="00F87AA9"/>
    <w:rsid w:val="00F90ADF"/>
    <w:rsid w:val="00F90DCD"/>
    <w:rsid w:val="00F91696"/>
    <w:rsid w:val="00F92279"/>
    <w:rsid w:val="00F93F7B"/>
    <w:rsid w:val="00F9572B"/>
    <w:rsid w:val="00F962C1"/>
    <w:rsid w:val="00F96651"/>
    <w:rsid w:val="00F9764F"/>
    <w:rsid w:val="00FA010A"/>
    <w:rsid w:val="00FA0360"/>
    <w:rsid w:val="00FA0D53"/>
    <w:rsid w:val="00FA14AE"/>
    <w:rsid w:val="00FA1575"/>
    <w:rsid w:val="00FA1576"/>
    <w:rsid w:val="00FA1E11"/>
    <w:rsid w:val="00FA3F9A"/>
    <w:rsid w:val="00FA50F0"/>
    <w:rsid w:val="00FA57C9"/>
    <w:rsid w:val="00FA628E"/>
    <w:rsid w:val="00FA699A"/>
    <w:rsid w:val="00FA6BBC"/>
    <w:rsid w:val="00FA6F52"/>
    <w:rsid w:val="00FA75F3"/>
    <w:rsid w:val="00FB075E"/>
    <w:rsid w:val="00FB2C89"/>
    <w:rsid w:val="00FB3113"/>
    <w:rsid w:val="00FB3836"/>
    <w:rsid w:val="00FB3DF6"/>
    <w:rsid w:val="00FB3FD2"/>
    <w:rsid w:val="00FB4307"/>
    <w:rsid w:val="00FB4A82"/>
    <w:rsid w:val="00FB5859"/>
    <w:rsid w:val="00FB63E8"/>
    <w:rsid w:val="00FB64AA"/>
    <w:rsid w:val="00FB79B6"/>
    <w:rsid w:val="00FB7A0A"/>
    <w:rsid w:val="00FB7A1B"/>
    <w:rsid w:val="00FC005D"/>
    <w:rsid w:val="00FC02C8"/>
    <w:rsid w:val="00FC0EA0"/>
    <w:rsid w:val="00FC1148"/>
    <w:rsid w:val="00FC1B6D"/>
    <w:rsid w:val="00FC24C0"/>
    <w:rsid w:val="00FC2888"/>
    <w:rsid w:val="00FC2E1D"/>
    <w:rsid w:val="00FC4FBC"/>
    <w:rsid w:val="00FC6ADA"/>
    <w:rsid w:val="00FD0283"/>
    <w:rsid w:val="00FD0C10"/>
    <w:rsid w:val="00FD0EB9"/>
    <w:rsid w:val="00FD0F6C"/>
    <w:rsid w:val="00FD163F"/>
    <w:rsid w:val="00FD1640"/>
    <w:rsid w:val="00FD17E0"/>
    <w:rsid w:val="00FD18E6"/>
    <w:rsid w:val="00FD286B"/>
    <w:rsid w:val="00FD4007"/>
    <w:rsid w:val="00FD461D"/>
    <w:rsid w:val="00FD517D"/>
    <w:rsid w:val="00FD524A"/>
    <w:rsid w:val="00FD5B84"/>
    <w:rsid w:val="00FD665C"/>
    <w:rsid w:val="00FD6E4D"/>
    <w:rsid w:val="00FD7DCF"/>
    <w:rsid w:val="00FD7E05"/>
    <w:rsid w:val="00FE34BD"/>
    <w:rsid w:val="00FE3E60"/>
    <w:rsid w:val="00FE40AD"/>
    <w:rsid w:val="00FE4780"/>
    <w:rsid w:val="00FE4788"/>
    <w:rsid w:val="00FE5214"/>
    <w:rsid w:val="00FE52DD"/>
    <w:rsid w:val="00FE5564"/>
    <w:rsid w:val="00FE5753"/>
    <w:rsid w:val="00FE578A"/>
    <w:rsid w:val="00FE5BEB"/>
    <w:rsid w:val="00FE7364"/>
    <w:rsid w:val="00FE780B"/>
    <w:rsid w:val="00FE79AF"/>
    <w:rsid w:val="00FE7B11"/>
    <w:rsid w:val="00FF037E"/>
    <w:rsid w:val="00FF1107"/>
    <w:rsid w:val="00FF202D"/>
    <w:rsid w:val="00FF2668"/>
    <w:rsid w:val="00FF29C3"/>
    <w:rsid w:val="00FF2C36"/>
    <w:rsid w:val="00FF32D4"/>
    <w:rsid w:val="00FF335B"/>
    <w:rsid w:val="00FF4252"/>
    <w:rsid w:val="00FF48A6"/>
    <w:rsid w:val="00FF5123"/>
    <w:rsid w:val="00FF571A"/>
    <w:rsid w:val="00FF5D6E"/>
    <w:rsid w:val="00FF5F53"/>
    <w:rsid w:val="00FF6132"/>
    <w:rsid w:val="00FF6E5A"/>
    <w:rsid w:val="00FF7145"/>
    <w:rsid w:val="00FF77F6"/>
    <w:rsid w:val="00FF79B4"/>
    <w:rsid w:val="053421F3"/>
    <w:rsid w:val="08182D95"/>
    <w:rsid w:val="0A9D59A6"/>
    <w:rsid w:val="0C46FFFE"/>
    <w:rsid w:val="0FF15447"/>
    <w:rsid w:val="110A3266"/>
    <w:rsid w:val="15AE005C"/>
    <w:rsid w:val="162135CC"/>
    <w:rsid w:val="166D7AD9"/>
    <w:rsid w:val="18A01B06"/>
    <w:rsid w:val="22A4F714"/>
    <w:rsid w:val="298A281A"/>
    <w:rsid w:val="2B15A022"/>
    <w:rsid w:val="2EDDA81F"/>
    <w:rsid w:val="2F097647"/>
    <w:rsid w:val="34E6DF90"/>
    <w:rsid w:val="3551999E"/>
    <w:rsid w:val="3C3D833A"/>
    <w:rsid w:val="3DC02E58"/>
    <w:rsid w:val="400967BA"/>
    <w:rsid w:val="41AB42E5"/>
    <w:rsid w:val="434DE3F0"/>
    <w:rsid w:val="44EE2444"/>
    <w:rsid w:val="480D42C5"/>
    <w:rsid w:val="48B8A53C"/>
    <w:rsid w:val="490044A9"/>
    <w:rsid w:val="52DD5848"/>
    <w:rsid w:val="551DCF47"/>
    <w:rsid w:val="56F89956"/>
    <w:rsid w:val="58167DCC"/>
    <w:rsid w:val="5C0EC210"/>
    <w:rsid w:val="5C7EC1B5"/>
    <w:rsid w:val="6030BFC7"/>
    <w:rsid w:val="61A49E1B"/>
    <w:rsid w:val="64C4C547"/>
    <w:rsid w:val="671C1B61"/>
    <w:rsid w:val="6727F50B"/>
    <w:rsid w:val="67E5CCA8"/>
    <w:rsid w:val="724928E6"/>
    <w:rsid w:val="726CD4ED"/>
    <w:rsid w:val="74AE6028"/>
    <w:rsid w:val="75305BF3"/>
    <w:rsid w:val="79DDFB87"/>
    <w:rsid w:val="7DAD171C"/>
    <w:rsid w:val="7F90496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99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4"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3EA"/>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8043EA"/>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8043EA"/>
    <w:pPr>
      <w:spacing w:before="360" w:line="460" w:lineRule="exact"/>
      <w:outlineLvl w:val="1"/>
    </w:pPr>
    <w:rPr>
      <w:bCs w:val="0"/>
      <w:iCs/>
      <w:color w:val="2C384A"/>
      <w:sz w:val="36"/>
      <w:szCs w:val="28"/>
    </w:rPr>
  </w:style>
  <w:style w:type="paragraph" w:styleId="Heading3">
    <w:name w:val="heading 3"/>
    <w:basedOn w:val="HeadingBase"/>
    <w:next w:val="Normal"/>
    <w:link w:val="Heading3Char"/>
    <w:qFormat/>
    <w:rsid w:val="008043EA"/>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8043EA"/>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uiPriority w:val="4"/>
    <w:qFormat/>
    <w:rsid w:val="008043EA"/>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qFormat/>
    <w:rsid w:val="008043EA"/>
    <w:pPr>
      <w:spacing w:before="120" w:after="0" w:line="276" w:lineRule="auto"/>
      <w:outlineLvl w:val="5"/>
    </w:pPr>
    <w:rPr>
      <w:rFonts w:ascii="Calibri Light" w:hAnsi="Calibri Light"/>
      <w:bCs w:val="0"/>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43EA"/>
    <w:rPr>
      <w:rFonts w:ascii="Calibri" w:eastAsia="Times New Roman" w:hAnsi="Calibri" w:cs="Arial"/>
      <w:b/>
      <w:color w:val="5D779D" w:themeColor="accent3"/>
      <w:kern w:val="32"/>
      <w:sz w:val="44"/>
      <w:szCs w:val="36"/>
      <w:lang w:eastAsia="en-AU"/>
    </w:rPr>
  </w:style>
  <w:style w:type="character" w:customStyle="1" w:styleId="Heading2Char">
    <w:name w:val="Heading 2 Char"/>
    <w:basedOn w:val="DefaultParagraphFont"/>
    <w:link w:val="Heading2"/>
    <w:rsid w:val="008043EA"/>
    <w:rPr>
      <w:rFonts w:ascii="Calibri" w:eastAsia="Times New Roman" w:hAnsi="Calibri" w:cs="Arial"/>
      <w:iCs/>
      <w:color w:val="2C384A"/>
      <w:kern w:val="32"/>
      <w:sz w:val="36"/>
      <w:szCs w:val="28"/>
      <w:lang w:eastAsia="en-AU"/>
    </w:rPr>
  </w:style>
  <w:style w:type="character" w:customStyle="1" w:styleId="Heading3Char">
    <w:name w:val="Heading 3 Char"/>
    <w:basedOn w:val="DefaultParagraphFont"/>
    <w:link w:val="Heading3"/>
    <w:rsid w:val="008043EA"/>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8043EA"/>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uiPriority w:val="4"/>
    <w:rsid w:val="008043EA"/>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8043EA"/>
    <w:rPr>
      <w:rFonts w:ascii="Calibri Light" w:eastAsia="Times New Roman" w:hAnsi="Calibri Light" w:cs="Arial"/>
      <w:color w:val="000000" w:themeColor="text1"/>
      <w:kern w:val="32"/>
      <w:lang w:eastAsia="en-AU"/>
    </w:rPr>
  </w:style>
  <w:style w:type="paragraph" w:customStyle="1" w:styleId="ChartGraphic">
    <w:name w:val="Chart Graphic"/>
    <w:basedOn w:val="Normal"/>
    <w:next w:val="Normal"/>
    <w:rsid w:val="008043EA"/>
    <w:pPr>
      <w:keepNext/>
      <w:spacing w:before="0" w:after="0"/>
      <w:jc w:val="center"/>
    </w:pPr>
    <w:rPr>
      <w:color w:val="004A7F"/>
      <w:sz w:val="20"/>
    </w:rPr>
  </w:style>
  <w:style w:type="paragraph" w:customStyle="1" w:styleId="AlphaParagraph">
    <w:name w:val="Alpha Paragraph"/>
    <w:basedOn w:val="Normal"/>
    <w:qFormat/>
    <w:rsid w:val="008043EA"/>
    <w:pPr>
      <w:numPr>
        <w:ilvl w:val="1"/>
        <w:numId w:val="12"/>
      </w:numPr>
      <w:spacing w:before="0"/>
    </w:pPr>
  </w:style>
  <w:style w:type="table" w:styleId="TableGridLight">
    <w:name w:val="Grid Table Light"/>
    <w:basedOn w:val="TableNormal"/>
    <w:uiPriority w:val="40"/>
    <w:rsid w:val="00313D7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xHeading">
    <w:name w:val="Box Heading"/>
    <w:basedOn w:val="Normal"/>
    <w:next w:val="Normal"/>
    <w:qFormat/>
    <w:rsid w:val="006016A6"/>
    <w:pPr>
      <w:keepNext/>
      <w:spacing w:before="240"/>
    </w:pPr>
    <w:rPr>
      <w:b/>
      <w:color w:val="2C384A" w:themeColor="accent1"/>
      <w:sz w:val="28"/>
      <w:szCs w:val="26"/>
    </w:rPr>
  </w:style>
  <w:style w:type="paragraph" w:customStyle="1" w:styleId="BoxText">
    <w:name w:val="Box Text"/>
    <w:basedOn w:val="Normal"/>
    <w:link w:val="BoxTextChar"/>
    <w:rsid w:val="008043EA"/>
  </w:style>
  <w:style w:type="paragraph" w:customStyle="1" w:styleId="Bullet">
    <w:name w:val="Bullet"/>
    <w:aliases w:val="b"/>
    <w:basedOn w:val="Normal"/>
    <w:link w:val="BulletChar"/>
    <w:qFormat/>
    <w:rsid w:val="008043EA"/>
    <w:pPr>
      <w:numPr>
        <w:numId w:val="6"/>
      </w:numPr>
      <w:tabs>
        <w:tab w:val="left" w:pos="720"/>
      </w:tabs>
      <w:spacing w:after="0" w:line="276" w:lineRule="auto"/>
    </w:pPr>
  </w:style>
  <w:style w:type="paragraph" w:customStyle="1" w:styleId="ChartandTableFootnoteAlpha">
    <w:name w:val="Chart and Table Footnote Alpha"/>
    <w:rsid w:val="008043EA"/>
    <w:pPr>
      <w:numPr>
        <w:numId w:val="8"/>
      </w:numPr>
      <w:spacing w:after="0" w:line="240" w:lineRule="auto"/>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qFormat/>
    <w:rsid w:val="008043EA"/>
    <w:pPr>
      <w:jc w:val="center"/>
    </w:pPr>
  </w:style>
  <w:style w:type="paragraph" w:customStyle="1" w:styleId="ChartorTableNote">
    <w:name w:val="Chart or Table Note"/>
    <w:next w:val="Normal"/>
    <w:qFormat/>
    <w:rsid w:val="008043EA"/>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8043EA"/>
    <w:pPr>
      <w:jc w:val="center"/>
    </w:pPr>
    <w:rPr>
      <w:b w:val="0"/>
      <w:bCs/>
    </w:rPr>
  </w:style>
  <w:style w:type="paragraph" w:customStyle="1" w:styleId="ReportDate">
    <w:name w:val="Report Date"/>
    <w:basedOn w:val="Normal"/>
    <w:link w:val="ReportDateChar"/>
    <w:rsid w:val="00082FC2"/>
    <w:pPr>
      <w:keepNext/>
      <w:spacing w:before="0" w:after="360"/>
    </w:pPr>
    <w:rPr>
      <w:color w:val="2C384A" w:themeColor="accent1"/>
      <w:sz w:val="32"/>
    </w:rPr>
  </w:style>
  <w:style w:type="paragraph" w:customStyle="1" w:styleId="Dash">
    <w:name w:val="Dash"/>
    <w:basedOn w:val="Normal"/>
    <w:link w:val="DashChar"/>
    <w:qFormat/>
    <w:rsid w:val="008043EA"/>
    <w:pPr>
      <w:numPr>
        <w:ilvl w:val="1"/>
        <w:numId w:val="17"/>
      </w:numPr>
      <w:spacing w:before="0"/>
    </w:pPr>
  </w:style>
  <w:style w:type="paragraph" w:customStyle="1" w:styleId="DoubleDot">
    <w:name w:val="Double Dot"/>
    <w:basedOn w:val="Normal"/>
    <w:link w:val="DoubleDotChar"/>
    <w:qFormat/>
    <w:rsid w:val="008043EA"/>
    <w:pPr>
      <w:numPr>
        <w:ilvl w:val="2"/>
        <w:numId w:val="17"/>
      </w:numPr>
      <w:spacing w:before="0"/>
    </w:pPr>
  </w:style>
  <w:style w:type="paragraph" w:customStyle="1" w:styleId="TableMainHeading">
    <w:name w:val="Table Main Heading"/>
    <w:basedOn w:val="Heading3"/>
    <w:next w:val="Normal"/>
    <w:qFormat/>
    <w:rsid w:val="008043EA"/>
    <w:pPr>
      <w:spacing w:before="120"/>
    </w:pPr>
    <w:rPr>
      <w:b w:val="0"/>
      <w:sz w:val="26"/>
    </w:rPr>
  </w:style>
  <w:style w:type="paragraph" w:customStyle="1" w:styleId="FooterEven">
    <w:name w:val="Footer Even"/>
    <w:basedOn w:val="Footer"/>
    <w:rsid w:val="00E81A40"/>
    <w:pPr>
      <w:tabs>
        <w:tab w:val="clear" w:pos="9072"/>
      </w:tabs>
      <w:jc w:val="left"/>
    </w:pPr>
  </w:style>
  <w:style w:type="paragraph" w:customStyle="1" w:styleId="FooterOdd">
    <w:name w:val="Footer Odd"/>
    <w:basedOn w:val="Footer"/>
    <w:rsid w:val="00E81A40"/>
    <w:pPr>
      <w:tabs>
        <w:tab w:val="clear" w:pos="9072"/>
      </w:tabs>
    </w:pPr>
    <w:rPr>
      <w:noProof w:val="0"/>
    </w:rPr>
  </w:style>
  <w:style w:type="character" w:styleId="Hyperlink">
    <w:name w:val="Hyperlink"/>
    <w:basedOn w:val="DefaultParagraphFont"/>
    <w:uiPriority w:val="99"/>
    <w:rsid w:val="00823A66"/>
    <w:rPr>
      <w:color w:val="3A6FAF"/>
      <w:u w:val="single"/>
    </w:rPr>
  </w:style>
  <w:style w:type="paragraph" w:customStyle="1" w:styleId="OutlineNumbered1">
    <w:name w:val="Outline Numbered 1"/>
    <w:basedOn w:val="Normal"/>
    <w:link w:val="OutlineNumbered1Char"/>
    <w:rsid w:val="008043EA"/>
    <w:pPr>
      <w:numPr>
        <w:numId w:val="11"/>
      </w:numPr>
      <w:spacing w:before="0"/>
    </w:pPr>
  </w:style>
  <w:style w:type="paragraph" w:customStyle="1" w:styleId="OneLevelNumberedParagraph">
    <w:name w:val="One Level Numbered Paragraph"/>
    <w:basedOn w:val="Normal"/>
    <w:rsid w:val="008043EA"/>
    <w:pPr>
      <w:numPr>
        <w:numId w:val="10"/>
      </w:numPr>
      <w:tabs>
        <w:tab w:val="clear" w:pos="284"/>
        <w:tab w:val="num" w:pos="360"/>
      </w:tabs>
      <w:spacing w:before="0"/>
      <w:ind w:left="0" w:firstLine="0"/>
    </w:pPr>
  </w:style>
  <w:style w:type="paragraph" w:customStyle="1" w:styleId="OutlineNumbered2">
    <w:name w:val="Outline Numbered 2"/>
    <w:basedOn w:val="Normal"/>
    <w:rsid w:val="008043EA"/>
    <w:pPr>
      <w:numPr>
        <w:ilvl w:val="1"/>
        <w:numId w:val="11"/>
      </w:numPr>
      <w:spacing w:before="0"/>
    </w:pPr>
  </w:style>
  <w:style w:type="paragraph" w:customStyle="1" w:styleId="OutlineNumbered3">
    <w:name w:val="Outline Numbered 3"/>
    <w:basedOn w:val="Normal"/>
    <w:rsid w:val="008043EA"/>
    <w:pPr>
      <w:numPr>
        <w:ilvl w:val="2"/>
        <w:numId w:val="11"/>
      </w:numPr>
      <w:spacing w:before="0"/>
    </w:pPr>
  </w:style>
  <w:style w:type="paragraph" w:customStyle="1" w:styleId="SingleParagraph">
    <w:name w:val="Single Paragraph"/>
    <w:basedOn w:val="Normal"/>
    <w:link w:val="SingleParagraphChar"/>
    <w:rsid w:val="008043EA"/>
    <w:pPr>
      <w:spacing w:before="0" w:after="0"/>
    </w:pPr>
  </w:style>
  <w:style w:type="paragraph" w:customStyle="1" w:styleId="TableSecondHeading">
    <w:name w:val="Table Second Heading"/>
    <w:basedOn w:val="Normal"/>
    <w:next w:val="Normal"/>
    <w:rsid w:val="008043EA"/>
    <w:pPr>
      <w:keepNext/>
      <w:spacing w:before="0" w:after="20"/>
    </w:pPr>
    <w:rPr>
      <w:b/>
      <w:color w:val="004A7F"/>
    </w:rPr>
  </w:style>
  <w:style w:type="paragraph" w:customStyle="1" w:styleId="TableColumnHeadingCentred">
    <w:name w:val="Table Column Heading Centred"/>
    <w:basedOn w:val="TableTextLeft"/>
    <w:rsid w:val="00AB6791"/>
    <w:pPr>
      <w:jc w:val="center"/>
    </w:pPr>
    <w:rPr>
      <w:b/>
      <w:color w:val="2C384A" w:themeColor="accent1"/>
      <w:sz w:val="20"/>
    </w:rPr>
  </w:style>
  <w:style w:type="paragraph" w:customStyle="1" w:styleId="TableColumnHeadingLeft">
    <w:name w:val="Table Column Heading Left"/>
    <w:basedOn w:val="TableTextLeft"/>
    <w:rsid w:val="00AB6791"/>
    <w:rPr>
      <w:b/>
      <w:color w:val="2C384A" w:themeColor="accent1"/>
      <w:sz w:val="20"/>
    </w:rPr>
  </w:style>
  <w:style w:type="paragraph" w:customStyle="1" w:styleId="TableColumnHeadingRight">
    <w:name w:val="Table Column Heading Right"/>
    <w:basedOn w:val="TableTextLeft"/>
    <w:rsid w:val="00AB6791"/>
    <w:pPr>
      <w:jc w:val="right"/>
    </w:pPr>
    <w:rPr>
      <w:b/>
      <w:color w:val="2C384A" w:themeColor="accent1"/>
      <w:sz w:val="20"/>
    </w:rPr>
  </w:style>
  <w:style w:type="table" w:styleId="TableGrid">
    <w:name w:val="Table Grid"/>
    <w:basedOn w:val="TableNormal"/>
    <w:uiPriority w:val="59"/>
    <w:rsid w:val="00AB6791"/>
    <w:pPr>
      <w:spacing w:before="40" w:after="40" w:line="240" w:lineRule="auto"/>
    </w:pPr>
    <w:rPr>
      <w:rFonts w:ascii="Calibri Light" w:eastAsia="Times New Roman" w:hAnsi="Calibri Light" w:cs="Times New Roman"/>
      <w:sz w:val="20"/>
      <w:szCs w:val="20"/>
      <w:lang w:eastAsia="en-AU"/>
    </w:rPr>
    <w:tblPr/>
    <w:tcPr>
      <w:shd w:val="clear" w:color="auto" w:fill="auto"/>
    </w:tcPr>
    <w:tblStylePr w:type="firstRow">
      <w:pPr>
        <w:wordWrap/>
        <w:spacing w:beforeLines="40" w:before="40" w:beforeAutospacing="0" w:afterLines="40" w:after="40" w:afterAutospacing="0" w:line="240" w:lineRule="auto"/>
        <w:jc w:val="left"/>
      </w:pPr>
      <w:rPr>
        <w:rFonts w:ascii="Calibri Light" w:hAnsi="Calibri Light"/>
        <w:b/>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8043EA"/>
    <w:pPr>
      <w:jc w:val="center"/>
    </w:pPr>
  </w:style>
  <w:style w:type="paragraph" w:customStyle="1" w:styleId="TableTextLeft">
    <w:name w:val="Table Text Left"/>
    <w:basedOn w:val="TableTextRight"/>
    <w:rsid w:val="008043EA"/>
    <w:pPr>
      <w:jc w:val="left"/>
    </w:pPr>
  </w:style>
  <w:style w:type="paragraph" w:customStyle="1" w:styleId="TableTextRight">
    <w:name w:val="Table Text Right"/>
    <w:basedOn w:val="Normal"/>
    <w:rsid w:val="008043EA"/>
    <w:pPr>
      <w:spacing w:before="40" w:after="40"/>
      <w:jc w:val="right"/>
    </w:pPr>
    <w:rPr>
      <w:color w:val="000000"/>
      <w:sz w:val="18"/>
    </w:rPr>
  </w:style>
  <w:style w:type="paragraph" w:styleId="TOC1">
    <w:name w:val="toc 1"/>
    <w:basedOn w:val="Normal"/>
    <w:next w:val="Normal"/>
    <w:uiPriority w:val="39"/>
    <w:qFormat/>
    <w:rsid w:val="008043EA"/>
    <w:pPr>
      <w:keepNext/>
      <w:tabs>
        <w:tab w:val="right" w:leader="dot" w:pos="9072"/>
      </w:tabs>
      <w:spacing w:before="180" w:after="0"/>
      <w:ind w:right="-2"/>
    </w:pPr>
    <w:rPr>
      <w:b/>
      <w:noProof/>
      <w:color w:val="002C4A"/>
      <w:szCs w:val="22"/>
    </w:rPr>
  </w:style>
  <w:style w:type="paragraph" w:styleId="TOC2">
    <w:name w:val="toc 2"/>
    <w:basedOn w:val="Normal"/>
    <w:next w:val="Normal"/>
    <w:uiPriority w:val="39"/>
    <w:qFormat/>
    <w:rsid w:val="008043EA"/>
    <w:pPr>
      <w:keepNext/>
      <w:tabs>
        <w:tab w:val="right" w:leader="dot" w:pos="9072"/>
      </w:tabs>
      <w:spacing w:before="40" w:after="20"/>
      <w:ind w:right="-2"/>
    </w:pPr>
    <w:rPr>
      <w:noProof/>
      <w:color w:val="004A7F"/>
    </w:rPr>
  </w:style>
  <w:style w:type="paragraph" w:styleId="TOC3">
    <w:name w:val="toc 3"/>
    <w:basedOn w:val="Normal"/>
    <w:next w:val="Normal"/>
    <w:uiPriority w:val="39"/>
    <w:qFormat/>
    <w:rsid w:val="008043EA"/>
    <w:pPr>
      <w:tabs>
        <w:tab w:val="right" w:leader="dot" w:pos="9072"/>
      </w:tabs>
      <w:spacing w:before="20" w:after="0"/>
      <w:ind w:left="284" w:right="-2"/>
    </w:pPr>
    <w:rPr>
      <w:rFonts w:cs="Calibri"/>
      <w:noProof/>
    </w:rPr>
  </w:style>
  <w:style w:type="numbering" w:customStyle="1" w:styleId="OutlineList">
    <w:name w:val="OutlineList"/>
    <w:uiPriority w:val="99"/>
    <w:rsid w:val="008043EA"/>
    <w:pPr>
      <w:numPr>
        <w:numId w:val="4"/>
      </w:numPr>
    </w:pPr>
  </w:style>
  <w:style w:type="numbering" w:customStyle="1" w:styleId="BulletedList">
    <w:name w:val="Bulleted List"/>
    <w:uiPriority w:val="99"/>
    <w:rsid w:val="008043EA"/>
    <w:pPr>
      <w:numPr>
        <w:numId w:val="1"/>
      </w:numPr>
    </w:pPr>
  </w:style>
  <w:style w:type="numbering" w:customStyle="1" w:styleId="BoxBulletedList">
    <w:name w:val="Box Bulleted List"/>
    <w:uiPriority w:val="99"/>
    <w:rsid w:val="008043EA"/>
    <w:pPr>
      <w:numPr>
        <w:numId w:val="2"/>
      </w:numPr>
    </w:pPr>
  </w:style>
  <w:style w:type="numbering" w:customStyle="1" w:styleId="OneLevelList">
    <w:name w:val="OneLevelList"/>
    <w:uiPriority w:val="99"/>
    <w:rsid w:val="008043EA"/>
    <w:pPr>
      <w:numPr>
        <w:numId w:val="3"/>
      </w:numPr>
    </w:pPr>
  </w:style>
  <w:style w:type="numbering" w:customStyle="1" w:styleId="ChartandTableFootnoteAlphaList">
    <w:name w:val="ChartandTableFootnoteAlphaList"/>
    <w:uiPriority w:val="99"/>
    <w:rsid w:val="008043EA"/>
    <w:pPr>
      <w:numPr>
        <w:numId w:val="5"/>
      </w:numPr>
    </w:pPr>
  </w:style>
  <w:style w:type="paragraph" w:customStyle="1" w:styleId="Heading1Numbered">
    <w:name w:val="Heading 1 Numbered"/>
    <w:basedOn w:val="Heading1"/>
    <w:next w:val="Normal"/>
    <w:rsid w:val="008043EA"/>
    <w:pPr>
      <w:numPr>
        <w:numId w:val="9"/>
      </w:numPr>
    </w:pPr>
  </w:style>
  <w:style w:type="character" w:customStyle="1" w:styleId="SingleParagraphChar">
    <w:name w:val="Single Paragraph Char"/>
    <w:basedOn w:val="DefaultParagraphFont"/>
    <w:link w:val="SingleParagraph"/>
    <w:rsid w:val="008043EA"/>
    <w:rPr>
      <w:rFonts w:ascii="Calibri Light" w:eastAsia="Times New Roman" w:hAnsi="Calibri Light" w:cs="Times New Roman"/>
      <w:szCs w:val="20"/>
      <w:lang w:eastAsia="en-AU"/>
    </w:rPr>
  </w:style>
  <w:style w:type="paragraph" w:customStyle="1" w:styleId="Heading2Numbered">
    <w:name w:val="Heading 2 Numbered"/>
    <w:basedOn w:val="Heading2"/>
    <w:next w:val="Normal"/>
    <w:rsid w:val="008043EA"/>
    <w:pPr>
      <w:numPr>
        <w:ilvl w:val="1"/>
        <w:numId w:val="9"/>
      </w:numPr>
    </w:pPr>
  </w:style>
  <w:style w:type="paragraph" w:customStyle="1" w:styleId="Heading3Numbered">
    <w:name w:val="Heading 3 Numbered"/>
    <w:basedOn w:val="Heading3"/>
    <w:qFormat/>
    <w:rsid w:val="008043EA"/>
    <w:pPr>
      <w:numPr>
        <w:ilvl w:val="2"/>
        <w:numId w:val="9"/>
      </w:numPr>
    </w:pPr>
  </w:style>
  <w:style w:type="paragraph" w:styleId="Title">
    <w:name w:val="Title"/>
    <w:basedOn w:val="Normal"/>
    <w:next w:val="Normal"/>
    <w:link w:val="TitleChar"/>
    <w:uiPriority w:val="10"/>
    <w:qFormat/>
    <w:rsid w:val="00082FC2"/>
    <w:pPr>
      <w:spacing w:before="0"/>
      <w:contextualSpacing/>
    </w:pPr>
    <w:rPr>
      <w:rFonts w:eastAsiaTheme="majorEastAsia" w:cstheme="majorBidi"/>
      <w:b/>
      <w:color w:val="2C384A" w:themeColor="accent1"/>
      <w:spacing w:val="5"/>
      <w:kern w:val="28"/>
      <w:sz w:val="72"/>
      <w:szCs w:val="52"/>
    </w:rPr>
  </w:style>
  <w:style w:type="character" w:customStyle="1" w:styleId="TitleChar">
    <w:name w:val="Title Char"/>
    <w:basedOn w:val="DefaultParagraphFont"/>
    <w:link w:val="Title"/>
    <w:uiPriority w:val="10"/>
    <w:rsid w:val="00082FC2"/>
    <w:rPr>
      <w:rFonts w:ascii="Calibri Light" w:eastAsiaTheme="majorEastAsia" w:hAnsi="Calibri Light" w:cstheme="majorBidi"/>
      <w:b/>
      <w:color w:val="2C384A" w:themeColor="accent1"/>
      <w:spacing w:val="5"/>
      <w:kern w:val="28"/>
      <w:sz w:val="72"/>
      <w:szCs w:val="52"/>
      <w:lang w:eastAsia="en-AU"/>
    </w:rPr>
  </w:style>
  <w:style w:type="paragraph" w:styleId="Subtitle">
    <w:name w:val="Subtitle"/>
    <w:basedOn w:val="Normal"/>
    <w:next w:val="Normal"/>
    <w:link w:val="SubtitleChar"/>
    <w:uiPriority w:val="11"/>
    <w:qFormat/>
    <w:rsid w:val="00082FC2"/>
    <w:pPr>
      <w:numPr>
        <w:ilvl w:val="1"/>
      </w:numPr>
      <w:spacing w:after="360"/>
    </w:pPr>
    <w:rPr>
      <w:rFonts w:eastAsiaTheme="majorEastAsia" w:cstheme="majorBidi"/>
      <w:iCs/>
      <w:color w:val="5D779D" w:themeColor="accent3"/>
      <w:sz w:val="44"/>
      <w:szCs w:val="44"/>
    </w:rPr>
  </w:style>
  <w:style w:type="character" w:customStyle="1" w:styleId="SubtitleChar">
    <w:name w:val="Subtitle Char"/>
    <w:basedOn w:val="DefaultParagraphFont"/>
    <w:link w:val="Subtitle"/>
    <w:uiPriority w:val="11"/>
    <w:rsid w:val="00082FC2"/>
    <w:rPr>
      <w:rFonts w:ascii="Calibri Light" w:eastAsiaTheme="majorEastAsia" w:hAnsi="Calibri Light" w:cstheme="majorBidi"/>
      <w:iCs/>
      <w:color w:val="5D779D" w:themeColor="accent3"/>
      <w:sz w:val="44"/>
      <w:szCs w:val="44"/>
      <w:lang w:eastAsia="en-AU"/>
    </w:rPr>
  </w:style>
  <w:style w:type="character" w:styleId="SubtleEmphasis">
    <w:name w:val="Subtle Emphasis"/>
    <w:basedOn w:val="DefaultParagraphFont"/>
    <w:uiPriority w:val="19"/>
    <w:qFormat/>
    <w:rsid w:val="008043EA"/>
    <w:rPr>
      <w:i/>
      <w:iCs/>
      <w:color w:val="808080" w:themeColor="text1" w:themeTint="7F"/>
    </w:rPr>
  </w:style>
  <w:style w:type="paragraph" w:styleId="Header">
    <w:name w:val="header"/>
    <w:basedOn w:val="Normal"/>
    <w:link w:val="HeaderChar"/>
    <w:uiPriority w:val="99"/>
    <w:unhideWhenUsed/>
    <w:rsid w:val="008043EA"/>
    <w:pPr>
      <w:keepNext/>
      <w:spacing w:before="0" w:after="0"/>
      <w:jc w:val="right"/>
    </w:pPr>
    <w:rPr>
      <w:color w:val="004A7F"/>
      <w:sz w:val="20"/>
    </w:rPr>
  </w:style>
  <w:style w:type="character" w:customStyle="1" w:styleId="HeaderChar">
    <w:name w:val="Header Char"/>
    <w:basedOn w:val="DefaultParagraphFont"/>
    <w:link w:val="Header"/>
    <w:uiPriority w:val="99"/>
    <w:rsid w:val="008043EA"/>
    <w:rPr>
      <w:rFonts w:ascii="Calibri Light" w:eastAsia="Times New Roman" w:hAnsi="Calibri Light" w:cs="Times New Roman"/>
      <w:color w:val="004A7F"/>
      <w:sz w:val="20"/>
      <w:szCs w:val="20"/>
      <w:lang w:eastAsia="en-AU"/>
    </w:rPr>
  </w:style>
  <w:style w:type="character" w:styleId="PlaceholderText">
    <w:name w:val="Placeholder Text"/>
    <w:basedOn w:val="DefaultParagraphFont"/>
    <w:uiPriority w:val="99"/>
    <w:semiHidden/>
    <w:rsid w:val="008043EA"/>
    <w:rPr>
      <w:color w:val="808080"/>
    </w:rPr>
  </w:style>
  <w:style w:type="paragraph" w:customStyle="1" w:styleId="HeadingBase">
    <w:name w:val="Heading Base"/>
    <w:qFormat/>
    <w:rsid w:val="008043EA"/>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082FC2"/>
    <w:rPr>
      <w:rFonts w:ascii="Calibri Light" w:eastAsia="Times New Roman" w:hAnsi="Calibri Light" w:cs="Times New Roman"/>
      <w:color w:val="2C384A" w:themeColor="accent1"/>
      <w:sz w:val="32"/>
      <w:szCs w:val="20"/>
      <w:lang w:eastAsia="en-AU"/>
    </w:rPr>
  </w:style>
  <w:style w:type="paragraph" w:customStyle="1" w:styleId="TableTextIndented">
    <w:name w:val="Table Text Indented"/>
    <w:basedOn w:val="TableTextLeft"/>
    <w:qFormat/>
    <w:rsid w:val="008043EA"/>
    <w:pPr>
      <w:ind w:left="284"/>
    </w:pPr>
  </w:style>
  <w:style w:type="paragraph" w:customStyle="1" w:styleId="TableHeadingContinued">
    <w:name w:val="Table Heading Continued"/>
    <w:basedOn w:val="TableMainHeading"/>
    <w:next w:val="TableGraphic"/>
    <w:qFormat/>
    <w:rsid w:val="008043EA"/>
  </w:style>
  <w:style w:type="paragraph" w:customStyle="1" w:styleId="TableGraphic">
    <w:name w:val="Table Graphic"/>
    <w:basedOn w:val="HeadingBase"/>
    <w:next w:val="Normal"/>
    <w:qFormat/>
    <w:rsid w:val="008043EA"/>
    <w:pPr>
      <w:spacing w:after="0"/>
    </w:pPr>
  </w:style>
  <w:style w:type="character" w:styleId="FootnoteReference">
    <w:name w:val="footnote reference"/>
    <w:basedOn w:val="DefaultParagraphFont"/>
    <w:uiPriority w:val="99"/>
    <w:qFormat/>
    <w:rsid w:val="008043EA"/>
    <w:rPr>
      <w:sz w:val="18"/>
    </w:rPr>
  </w:style>
  <w:style w:type="paragraph" w:styleId="FootnoteText">
    <w:name w:val="footnote text"/>
    <w:basedOn w:val="Normal"/>
    <w:link w:val="FootnoteTextChar"/>
    <w:uiPriority w:val="99"/>
    <w:rsid w:val="008043EA"/>
    <w:pPr>
      <w:spacing w:before="0" w:after="0"/>
      <w:ind w:left="397" w:hanging="397"/>
    </w:pPr>
    <w:rPr>
      <w:sz w:val="20"/>
    </w:rPr>
  </w:style>
  <w:style w:type="character" w:customStyle="1" w:styleId="FootnoteTextChar">
    <w:name w:val="Footnote Text Char"/>
    <w:basedOn w:val="DefaultParagraphFont"/>
    <w:link w:val="FootnoteText"/>
    <w:uiPriority w:val="99"/>
    <w:rsid w:val="008043EA"/>
    <w:rPr>
      <w:rFonts w:ascii="Calibri Light" w:eastAsia="Times New Roman" w:hAnsi="Calibri Light" w:cs="Times New Roman"/>
      <w:sz w:val="20"/>
      <w:szCs w:val="20"/>
      <w:lang w:eastAsia="en-AU"/>
    </w:rPr>
  </w:style>
  <w:style w:type="paragraph" w:customStyle="1" w:styleId="Heading3noTOC">
    <w:name w:val="Heading 3 no TOC"/>
    <w:basedOn w:val="Heading3"/>
    <w:qFormat/>
    <w:rsid w:val="00257AEE"/>
    <w:rPr>
      <w:rFonts w:cs="Calibri"/>
    </w:rPr>
  </w:style>
  <w:style w:type="paragraph" w:styleId="BalloonText">
    <w:name w:val="Balloon Text"/>
    <w:basedOn w:val="Normal"/>
    <w:link w:val="BalloonTextChar"/>
    <w:uiPriority w:val="99"/>
    <w:semiHidden/>
    <w:unhideWhenUsed/>
    <w:rsid w:val="008043E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3EA"/>
    <w:rPr>
      <w:rFonts w:ascii="Tahoma" w:eastAsia="Times New Roman" w:hAnsi="Tahoma" w:cs="Tahoma"/>
      <w:sz w:val="16"/>
      <w:szCs w:val="16"/>
      <w:lang w:eastAsia="en-AU"/>
    </w:rPr>
  </w:style>
  <w:style w:type="character" w:customStyle="1" w:styleId="BulletChar">
    <w:name w:val="Bullet Char"/>
    <w:aliases w:val="b Char"/>
    <w:basedOn w:val="DefaultParagraphFont"/>
    <w:link w:val="Bullet"/>
    <w:locked/>
    <w:rsid w:val="008043EA"/>
    <w:rPr>
      <w:rFonts w:ascii="Calibri Light" w:eastAsia="Times New Roman" w:hAnsi="Calibri Light" w:cs="Times New Roman"/>
      <w:szCs w:val="20"/>
      <w:lang w:eastAsia="en-AU"/>
    </w:rPr>
  </w:style>
  <w:style w:type="paragraph" w:customStyle="1" w:styleId="Boxbullet">
    <w:name w:val="Box bullet"/>
    <w:basedOn w:val="Bullet"/>
    <w:rsid w:val="008043EA"/>
    <w:pPr>
      <w:tabs>
        <w:tab w:val="num" w:pos="284"/>
      </w:tabs>
      <w:spacing w:before="60"/>
      <w:ind w:left="170" w:hanging="170"/>
    </w:pPr>
    <w:rPr>
      <w:color w:val="0D0D0D" w:themeColor="text1" w:themeTint="F2"/>
    </w:rPr>
  </w:style>
  <w:style w:type="character" w:customStyle="1" w:styleId="DashChar">
    <w:name w:val="Dash Char"/>
    <w:basedOn w:val="DefaultParagraphFont"/>
    <w:link w:val="Dash"/>
    <w:locked/>
    <w:rsid w:val="008043EA"/>
    <w:rPr>
      <w:rFonts w:ascii="Calibri Light" w:eastAsia="Times New Roman" w:hAnsi="Calibri Light" w:cs="Times New Roman"/>
      <w:szCs w:val="20"/>
      <w:lang w:eastAsia="en-AU"/>
    </w:rPr>
  </w:style>
  <w:style w:type="paragraph" w:customStyle="1" w:styleId="Boxdash">
    <w:name w:val="Box dash"/>
    <w:basedOn w:val="Dash"/>
    <w:rsid w:val="008043EA"/>
    <w:pPr>
      <w:tabs>
        <w:tab w:val="clear" w:pos="567"/>
        <w:tab w:val="num" w:pos="1040"/>
      </w:tabs>
      <w:spacing w:before="60" w:after="0" w:line="276" w:lineRule="auto"/>
      <w:ind w:left="454" w:hanging="170"/>
    </w:pPr>
    <w:rPr>
      <w:rFonts w:eastAsiaTheme="minorHAnsi"/>
      <w:color w:val="0D0D0D" w:themeColor="text1" w:themeTint="F2"/>
      <w:lang w:eastAsia="en-US"/>
    </w:rPr>
  </w:style>
  <w:style w:type="character" w:customStyle="1" w:styleId="DoubleDotChar">
    <w:name w:val="Double Dot Char"/>
    <w:basedOn w:val="DefaultParagraphFont"/>
    <w:link w:val="DoubleDot"/>
    <w:locked/>
    <w:rsid w:val="008043EA"/>
    <w:rPr>
      <w:rFonts w:ascii="Calibri Light" w:eastAsia="Times New Roman" w:hAnsi="Calibri Light" w:cs="Times New Roman"/>
      <w:szCs w:val="20"/>
      <w:lang w:eastAsia="en-AU"/>
    </w:rPr>
  </w:style>
  <w:style w:type="paragraph" w:customStyle="1" w:styleId="Boxdoubledot">
    <w:name w:val="Box double dot"/>
    <w:basedOn w:val="DoubleDot"/>
    <w:rsid w:val="008043EA"/>
    <w:pPr>
      <w:tabs>
        <w:tab w:val="clear" w:pos="850"/>
        <w:tab w:val="left" w:pos="567"/>
        <w:tab w:val="num" w:pos="1560"/>
      </w:tabs>
      <w:spacing w:before="60" w:after="0" w:line="276" w:lineRule="auto"/>
      <w:ind w:left="567" w:hanging="142"/>
    </w:pPr>
    <w:rPr>
      <w:rFonts w:eastAsiaTheme="minorHAnsi"/>
      <w:color w:val="0D0D0D" w:themeColor="text1" w:themeTint="F2"/>
      <w:lang w:eastAsia="en-US"/>
    </w:rPr>
  </w:style>
  <w:style w:type="character" w:customStyle="1" w:styleId="BoxTextChar">
    <w:name w:val="Box Text Char"/>
    <w:basedOn w:val="DefaultParagraphFont"/>
    <w:link w:val="BoxText"/>
    <w:locked/>
    <w:rsid w:val="008043EA"/>
    <w:rPr>
      <w:rFonts w:ascii="Calibri Light" w:eastAsia="Times New Roman" w:hAnsi="Calibri Light" w:cs="Times New Roman"/>
      <w:szCs w:val="20"/>
      <w:lang w:eastAsia="en-AU"/>
    </w:rPr>
  </w:style>
  <w:style w:type="character" w:styleId="Strong">
    <w:name w:val="Strong"/>
    <w:basedOn w:val="DefaultParagraphFont"/>
    <w:rsid w:val="00555D14"/>
    <w:rPr>
      <w:b/>
      <w:bCs/>
    </w:rPr>
  </w:style>
  <w:style w:type="paragraph" w:customStyle="1" w:styleId="Instructions">
    <w:name w:val="Instructions"/>
    <w:basedOn w:val="Normal"/>
    <w:uiPriority w:val="1"/>
    <w:rsid w:val="00555D14"/>
    <w:pPr>
      <w:shd w:val="clear" w:color="auto" w:fill="FFFF00"/>
      <w:ind w:left="170" w:hanging="170"/>
    </w:pPr>
    <w:rPr>
      <w:rFonts w:asciiTheme="minorHAnsi" w:hAnsiTheme="minorHAnsi"/>
      <w:sz w:val="20"/>
      <w:szCs w:val="24"/>
    </w:rPr>
  </w:style>
  <w:style w:type="character" w:styleId="UnresolvedMention">
    <w:name w:val="Unresolved Mention"/>
    <w:basedOn w:val="DefaultParagraphFont"/>
    <w:uiPriority w:val="99"/>
    <w:semiHidden/>
    <w:unhideWhenUsed/>
    <w:rsid w:val="00F347A4"/>
    <w:rPr>
      <w:color w:val="605E5C"/>
      <w:shd w:val="clear" w:color="auto" w:fill="E1DFDD"/>
    </w:rPr>
  </w:style>
  <w:style w:type="paragraph" w:styleId="Footer">
    <w:name w:val="footer"/>
    <w:basedOn w:val="Normal"/>
    <w:link w:val="FooterChar"/>
    <w:unhideWhenUsed/>
    <w:rsid w:val="00E13E90"/>
    <w:pPr>
      <w:keepNext/>
      <w:tabs>
        <w:tab w:val="center" w:pos="9072"/>
      </w:tabs>
      <w:spacing w:before="0" w:after="0"/>
      <w:jc w:val="right"/>
    </w:pPr>
    <w:rPr>
      <w:noProof/>
      <w:color w:val="2C384A" w:themeColor="accent1"/>
      <w:sz w:val="20"/>
    </w:rPr>
  </w:style>
  <w:style w:type="character" w:customStyle="1" w:styleId="FooterChar">
    <w:name w:val="Footer Char"/>
    <w:basedOn w:val="DefaultParagraphFont"/>
    <w:link w:val="Footer"/>
    <w:rsid w:val="00E13E90"/>
    <w:rPr>
      <w:rFonts w:ascii="Calibri Light" w:eastAsia="Times New Roman" w:hAnsi="Calibri Light" w:cs="Times New Roman"/>
      <w:noProof/>
      <w:color w:val="2C384A" w:themeColor="accent1"/>
      <w:sz w:val="20"/>
      <w:szCs w:val="20"/>
      <w:lang w:eastAsia="en-AU"/>
    </w:rPr>
  </w:style>
  <w:style w:type="paragraph" w:customStyle="1" w:styleId="BoxBullet0">
    <w:name w:val="Box Bullet"/>
    <w:basedOn w:val="Normal"/>
    <w:rsid w:val="00762E42"/>
    <w:pPr>
      <w:tabs>
        <w:tab w:val="num" w:pos="283"/>
      </w:tabs>
      <w:spacing w:before="0"/>
      <w:ind w:left="284" w:hanging="284"/>
    </w:pPr>
    <w:rPr>
      <w:rFonts w:ascii="Calibri" w:hAnsi="Calibri"/>
    </w:rPr>
  </w:style>
  <w:style w:type="paragraph" w:customStyle="1" w:styleId="BoxDash0">
    <w:name w:val="Box Dash"/>
    <w:basedOn w:val="Normal"/>
    <w:rsid w:val="00762E42"/>
    <w:pPr>
      <w:tabs>
        <w:tab w:val="num" w:pos="567"/>
      </w:tabs>
      <w:spacing w:before="0"/>
      <w:ind w:left="568" w:hanging="284"/>
    </w:pPr>
    <w:rPr>
      <w:rFonts w:ascii="Calibri" w:hAnsi="Calibri"/>
    </w:rPr>
  </w:style>
  <w:style w:type="paragraph" w:customStyle="1" w:styleId="BoxDoubleDot0">
    <w:name w:val="Box Double Dot"/>
    <w:basedOn w:val="Normal"/>
    <w:rsid w:val="00762E42"/>
    <w:pPr>
      <w:tabs>
        <w:tab w:val="num" w:pos="850"/>
      </w:tabs>
      <w:spacing w:before="0"/>
      <w:ind w:left="851" w:hanging="284"/>
    </w:pPr>
    <w:rPr>
      <w:rFonts w:ascii="Calibri" w:hAnsi="Calibri"/>
    </w:rPr>
  </w:style>
  <w:style w:type="paragraph" w:customStyle="1" w:styleId="Romannumeral">
    <w:name w:val="Roman numeral"/>
    <w:basedOn w:val="Normal"/>
    <w:rsid w:val="00762E42"/>
    <w:pPr>
      <w:tabs>
        <w:tab w:val="left" w:pos="851"/>
      </w:tabs>
      <w:spacing w:before="0"/>
      <w:ind w:left="851" w:hanging="851"/>
    </w:pPr>
    <w:rPr>
      <w:rFonts w:ascii="Calibri" w:hAnsi="Calibri"/>
    </w:rPr>
  </w:style>
  <w:style w:type="paragraph" w:customStyle="1" w:styleId="Crest">
    <w:name w:val="Crest"/>
    <w:basedOn w:val="Header"/>
    <w:rsid w:val="00762E42"/>
    <w:pPr>
      <w:spacing w:after="480"/>
      <w:jc w:val="center"/>
    </w:pPr>
    <w:rPr>
      <w:rFonts w:ascii="Calibri" w:hAnsi="Calibri"/>
      <w:color w:val="000000" w:themeColor="text1"/>
    </w:rPr>
  </w:style>
  <w:style w:type="paragraph" w:customStyle="1" w:styleId="Disclaimer">
    <w:name w:val="Disclaimer"/>
    <w:basedOn w:val="ReportDate"/>
    <w:rsid w:val="00762E42"/>
    <w:pPr>
      <w:spacing w:after="1800"/>
      <w:ind w:right="142"/>
    </w:pPr>
    <w:rPr>
      <w:rFonts w:ascii="Century Gothic" w:hAnsi="Century Gothic"/>
      <w:b/>
      <w:bCs/>
      <w:color w:val="5F5F5F" w:themeColor="text2"/>
      <w:sz w:val="22"/>
    </w:rPr>
  </w:style>
  <w:style w:type="paragraph" w:customStyle="1" w:styleId="NotesHeading">
    <w:name w:val="Notes Heading"/>
    <w:basedOn w:val="Normal"/>
    <w:rsid w:val="00762E42"/>
    <w:pPr>
      <w:keepNext/>
      <w:spacing w:before="240" w:after="360"/>
      <w:jc w:val="center"/>
    </w:pPr>
    <w:rPr>
      <w:rFonts w:ascii="Century Gothic" w:hAnsi="Century Gothic"/>
      <w:smallCaps/>
      <w:color w:val="5F5F5F" w:themeColor="text2"/>
      <w:sz w:val="36"/>
      <w:szCs w:val="36"/>
    </w:rPr>
  </w:style>
  <w:style w:type="paragraph" w:customStyle="1" w:styleId="Divider">
    <w:name w:val="Divider"/>
    <w:basedOn w:val="ReportDate"/>
    <w:qFormat/>
    <w:rsid w:val="00762E42"/>
    <w:pPr>
      <w:spacing w:after="1800"/>
    </w:pPr>
    <w:rPr>
      <w:rFonts w:ascii="Rockwell" w:hAnsi="Rockwell"/>
      <w:color w:val="FFFFFF" w:themeColor="background1"/>
      <w:sz w:val="24"/>
    </w:rPr>
  </w:style>
  <w:style w:type="character" w:customStyle="1" w:styleId="FramedFooter">
    <w:name w:val="Framed Footer"/>
    <w:rsid w:val="00762E42"/>
    <w:rPr>
      <w:rFonts w:ascii="Arial" w:hAnsi="Arial"/>
      <w:color w:val="004A7F"/>
      <w:sz w:val="18"/>
    </w:rPr>
  </w:style>
  <w:style w:type="character" w:customStyle="1" w:styleId="FramedHeader">
    <w:name w:val="Framed Header"/>
    <w:basedOn w:val="DefaultParagraphFont"/>
    <w:rsid w:val="00762E42"/>
    <w:rPr>
      <w:rFonts w:ascii="Arial" w:hAnsi="Arial"/>
      <w:dstrike w:val="0"/>
      <w:color w:val="auto"/>
      <w:sz w:val="18"/>
      <w:vertAlign w:val="baseline"/>
    </w:rPr>
  </w:style>
  <w:style w:type="paragraph" w:customStyle="1" w:styleId="AppendixHeading">
    <w:name w:val="Appendix Heading"/>
    <w:basedOn w:val="Normal"/>
    <w:next w:val="Normal"/>
    <w:rsid w:val="00762E42"/>
    <w:pPr>
      <w:keepNext/>
      <w:spacing w:before="720" w:after="360"/>
    </w:pPr>
    <w:rPr>
      <w:rFonts w:ascii="Arial Bold" w:hAnsi="Arial Bold"/>
      <w:b/>
      <w:smallCaps/>
      <w:color w:val="004A7F"/>
      <w:sz w:val="36"/>
      <w:szCs w:val="36"/>
    </w:rPr>
  </w:style>
  <w:style w:type="paragraph" w:styleId="ListParagraph">
    <w:name w:val="List Paragraph"/>
    <w:aliases w:val="Bulletr List Paragraph,FooterText,L,List Paragraph1,List Paragraph11,List Paragraph2,List Paragraph21,Listeafsnit1,NFP GP Bulleted List,Paragraphe de liste1,Parágrafo da Lista1,Párrafo de lista1,Recommendation,numbered,リスト段落1,列出段落,列出段落1"/>
    <w:basedOn w:val="Normal"/>
    <w:link w:val="ListParagraphChar"/>
    <w:uiPriority w:val="34"/>
    <w:qFormat/>
    <w:rsid w:val="00762E42"/>
    <w:pPr>
      <w:spacing w:before="0" w:after="240" w:line="280" w:lineRule="exact"/>
      <w:ind w:left="720"/>
      <w:jc w:val="both"/>
    </w:pPr>
    <w:rPr>
      <w:rFonts w:ascii="Book Antiqua" w:hAnsi="Book Antiqua"/>
      <w:color w:val="000000"/>
    </w:rPr>
  </w:style>
  <w:style w:type="character" w:customStyle="1" w:styleId="OutlineNumbered1Char">
    <w:name w:val="Outline Numbered 1 Char"/>
    <w:basedOn w:val="FootnoteTextChar"/>
    <w:link w:val="OutlineNumbered1"/>
    <w:locked/>
    <w:rsid w:val="00762E42"/>
    <w:rPr>
      <w:rFonts w:ascii="Calibri Light" w:eastAsia="Times New Roman" w:hAnsi="Calibri Light" w:cs="Times New Roman"/>
      <w:sz w:val="20"/>
      <w:szCs w:val="20"/>
      <w:lang w:eastAsia="en-AU"/>
    </w:rPr>
  </w:style>
  <w:style w:type="paragraph" w:customStyle="1" w:styleId="Charttablenotenumbers">
    <w:name w:val="Chart table note numbers"/>
    <w:basedOn w:val="ListParagraph"/>
    <w:qFormat/>
    <w:rsid w:val="00762E42"/>
    <w:pPr>
      <w:spacing w:after="0" w:line="240" w:lineRule="auto"/>
      <w:ind w:hanging="360"/>
    </w:pPr>
    <w:rPr>
      <w:rFonts w:cs="Arial"/>
      <w:sz w:val="18"/>
      <w:szCs w:val="18"/>
    </w:rPr>
  </w:style>
  <w:style w:type="numbering" w:customStyle="1" w:styleId="Outlinenumbering">
    <w:name w:val="Outline numbering"/>
    <w:uiPriority w:val="99"/>
    <w:rsid w:val="00762E42"/>
    <w:pPr>
      <w:numPr>
        <w:numId w:val="13"/>
      </w:numPr>
    </w:pPr>
  </w:style>
  <w:style w:type="character" w:styleId="CommentReference">
    <w:name w:val="annotation reference"/>
    <w:basedOn w:val="DefaultParagraphFont"/>
    <w:uiPriority w:val="99"/>
    <w:semiHidden/>
    <w:unhideWhenUsed/>
    <w:rsid w:val="00762E42"/>
    <w:rPr>
      <w:sz w:val="16"/>
      <w:szCs w:val="16"/>
    </w:rPr>
  </w:style>
  <w:style w:type="paragraph" w:styleId="CommentText">
    <w:name w:val="annotation text"/>
    <w:basedOn w:val="Normal"/>
    <w:link w:val="CommentTextChar"/>
    <w:uiPriority w:val="99"/>
    <w:unhideWhenUsed/>
    <w:rsid w:val="00762E42"/>
    <w:rPr>
      <w:rFonts w:ascii="Calibri" w:hAnsi="Calibri"/>
      <w:sz w:val="20"/>
    </w:rPr>
  </w:style>
  <w:style w:type="character" w:customStyle="1" w:styleId="CommentTextChar">
    <w:name w:val="Comment Text Char"/>
    <w:basedOn w:val="DefaultParagraphFont"/>
    <w:link w:val="CommentText"/>
    <w:uiPriority w:val="99"/>
    <w:rsid w:val="00762E42"/>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762E42"/>
    <w:rPr>
      <w:b/>
      <w:bCs/>
    </w:rPr>
  </w:style>
  <w:style w:type="character" w:customStyle="1" w:styleId="CommentSubjectChar">
    <w:name w:val="Comment Subject Char"/>
    <w:basedOn w:val="CommentTextChar"/>
    <w:link w:val="CommentSubject"/>
    <w:uiPriority w:val="99"/>
    <w:semiHidden/>
    <w:rsid w:val="00762E42"/>
    <w:rPr>
      <w:rFonts w:ascii="Calibri" w:eastAsia="Times New Roman" w:hAnsi="Calibri" w:cs="Times New Roman"/>
      <w:b/>
      <w:bCs/>
      <w:sz w:val="20"/>
      <w:szCs w:val="20"/>
      <w:lang w:eastAsia="en-AU"/>
    </w:rPr>
  </w:style>
  <w:style w:type="paragraph" w:styleId="Revision">
    <w:name w:val="Revision"/>
    <w:hidden/>
    <w:uiPriority w:val="99"/>
    <w:semiHidden/>
    <w:rsid w:val="00762E42"/>
    <w:pPr>
      <w:spacing w:after="0" w:line="240" w:lineRule="auto"/>
    </w:pPr>
    <w:rPr>
      <w:rFonts w:ascii="Calibri" w:eastAsia="Times New Roman" w:hAnsi="Calibri" w:cs="Times New Roman"/>
      <w:szCs w:val="20"/>
      <w:lang w:eastAsia="en-AU"/>
    </w:rPr>
  </w:style>
  <w:style w:type="paragraph" w:customStyle="1" w:styleId="subsection">
    <w:name w:val="subsection"/>
    <w:basedOn w:val="Normal"/>
    <w:rsid w:val="00762E42"/>
    <w:pPr>
      <w:spacing w:before="100" w:beforeAutospacing="1" w:after="100" w:afterAutospacing="1"/>
    </w:pPr>
    <w:rPr>
      <w:rFonts w:ascii="Times New Roman" w:hAnsi="Times New Roman"/>
      <w:sz w:val="24"/>
      <w:szCs w:val="24"/>
    </w:rPr>
  </w:style>
  <w:style w:type="paragraph" w:customStyle="1" w:styleId="paragraph">
    <w:name w:val="paragraph"/>
    <w:basedOn w:val="Normal"/>
    <w:rsid w:val="00762E42"/>
    <w:pPr>
      <w:spacing w:before="100" w:beforeAutospacing="1" w:after="100" w:afterAutospacing="1"/>
    </w:pPr>
    <w:rPr>
      <w:rFonts w:ascii="Times New Roman" w:hAnsi="Times New Roman"/>
      <w:sz w:val="24"/>
      <w:szCs w:val="24"/>
    </w:rPr>
  </w:style>
  <w:style w:type="paragraph" w:customStyle="1" w:styleId="paragraphsub">
    <w:name w:val="paragraphsub"/>
    <w:basedOn w:val="Normal"/>
    <w:rsid w:val="00762E42"/>
    <w:pPr>
      <w:spacing w:before="100" w:beforeAutospacing="1" w:after="100" w:afterAutospacing="1"/>
    </w:pPr>
    <w:rPr>
      <w:rFonts w:ascii="Times New Roman" w:hAnsi="Times New Roman"/>
      <w:sz w:val="24"/>
      <w:szCs w:val="24"/>
    </w:rPr>
  </w:style>
  <w:style w:type="paragraph" w:customStyle="1" w:styleId="Default">
    <w:name w:val="Default"/>
    <w:rsid w:val="00762E42"/>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762E42"/>
    <w:rPr>
      <w:color w:val="844D9E" w:themeColor="followedHyperlink"/>
      <w:u w:val="single"/>
    </w:rPr>
  </w:style>
  <w:style w:type="character" w:customStyle="1" w:styleId="ListParagraphChar">
    <w:name w:val="List Paragraph Char"/>
    <w:aliases w:val="Bulletr List Paragraph Char,FooterText Char,L Char,List Paragraph1 Char,List Paragraph11 Char,List Paragraph2 Char,List Paragraph21 Char,Listeafsnit1 Char,NFP GP Bulleted List Char,Paragraphe de liste1 Char,Parágrafo da Lista1 Char"/>
    <w:basedOn w:val="DefaultParagraphFont"/>
    <w:link w:val="ListParagraph"/>
    <w:uiPriority w:val="17"/>
    <w:locked/>
    <w:rsid w:val="00762E42"/>
    <w:rPr>
      <w:rFonts w:ascii="Book Antiqua" w:eastAsia="Times New Roman" w:hAnsi="Book Antiqua" w:cs="Times New Roman"/>
      <w:color w:val="000000"/>
      <w:szCs w:val="20"/>
      <w:lang w:eastAsia="en-AU"/>
    </w:rPr>
  </w:style>
  <w:style w:type="character" w:styleId="Mention">
    <w:name w:val="Mention"/>
    <w:basedOn w:val="DefaultParagraphFont"/>
    <w:uiPriority w:val="99"/>
    <w:unhideWhenUsed/>
    <w:rsid w:val="005B6A17"/>
    <w:rPr>
      <w:color w:val="2B579A"/>
      <w:shd w:val="clear" w:color="auto" w:fill="E1DFDD"/>
    </w:rPr>
  </w:style>
  <w:style w:type="character" w:customStyle="1" w:styleId="normaltextrun">
    <w:name w:val="normaltextrun"/>
    <w:basedOn w:val="DefaultParagraphFont"/>
    <w:rsid w:val="00BB092D"/>
  </w:style>
  <w:style w:type="table" w:styleId="GridTable1Light-Accent4">
    <w:name w:val="Grid Table 1 Light Accent 4"/>
    <w:basedOn w:val="TableNormal"/>
    <w:uiPriority w:val="46"/>
    <w:rsid w:val="00037C2A"/>
    <w:pPr>
      <w:spacing w:after="0" w:line="240" w:lineRule="auto"/>
      <w:jc w:val="both"/>
    </w:pPr>
    <w:rPr>
      <w:rFonts w:ascii="Arial" w:hAnsi="Arial"/>
      <w:color w:val="000000"/>
      <w:kern w:val="2"/>
      <w14:ligatures w14:val="standardContextual"/>
    </w:rPr>
    <w:tblPr>
      <w:tblStyleRowBandSize w:val="1"/>
      <w:tblStyleColBandSize w:val="1"/>
      <w:tblBorders>
        <w:top w:val="single" w:sz="4" w:space="0" w:color="DFF9EB" w:themeColor="accent4" w:themeTint="66"/>
        <w:left w:val="single" w:sz="4" w:space="0" w:color="DFF9EB" w:themeColor="accent4" w:themeTint="66"/>
        <w:bottom w:val="single" w:sz="4" w:space="0" w:color="DFF9EB" w:themeColor="accent4" w:themeTint="66"/>
        <w:right w:val="single" w:sz="4" w:space="0" w:color="DFF9EB" w:themeColor="accent4" w:themeTint="66"/>
        <w:insideH w:val="single" w:sz="4" w:space="0" w:color="DFF9EB" w:themeColor="accent4" w:themeTint="66"/>
        <w:insideV w:val="single" w:sz="4" w:space="0" w:color="DFF9EB" w:themeColor="accent4" w:themeTint="66"/>
      </w:tblBorders>
    </w:tblPr>
    <w:tblStylePr w:type="firstRow">
      <w:rPr>
        <w:b/>
        <w:bCs/>
      </w:rPr>
      <w:tblPr/>
      <w:tcPr>
        <w:tcBorders>
          <w:bottom w:val="single" w:sz="12" w:space="0" w:color="D0F6E2" w:themeColor="accent4" w:themeTint="99"/>
        </w:tcBorders>
      </w:tcPr>
    </w:tblStylePr>
    <w:tblStylePr w:type="lastRow">
      <w:rPr>
        <w:b/>
        <w:bCs/>
      </w:rPr>
      <w:tblPr/>
      <w:tcPr>
        <w:tcBorders>
          <w:top w:val="double" w:sz="2" w:space="0" w:color="D0F6E2" w:themeColor="accent4" w:themeTint="99"/>
        </w:tcBorders>
      </w:tcPr>
    </w:tblStylePr>
    <w:tblStylePr w:type="firstCol">
      <w:rPr>
        <w:b/>
        <w:bCs/>
      </w:rPr>
    </w:tblStylePr>
    <w:tblStylePr w:type="lastCol">
      <w:rPr>
        <w:b/>
        <w:bCs/>
      </w:rPr>
    </w:tblStylePr>
  </w:style>
  <w:style w:type="table" w:customStyle="1" w:styleId="PlainTable21">
    <w:name w:val="Plain Table 21"/>
    <w:basedOn w:val="TableNormal"/>
    <w:next w:val="PlainTable2"/>
    <w:uiPriority w:val="42"/>
    <w:locked/>
    <w:rsid w:val="00801524"/>
    <w:pPr>
      <w:spacing w:after="0" w:line="240" w:lineRule="auto"/>
      <w:jc w:val="both"/>
    </w:pPr>
    <w:rPr>
      <w:rFonts w:ascii="Arial" w:hAnsi="Arial"/>
      <w:color w:val="000000"/>
      <w:kern w:val="2"/>
      <w14:ligatures w14:val="standardContextua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80152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2">
    <w:name w:val="Plain Table 22"/>
    <w:basedOn w:val="TableNormal"/>
    <w:next w:val="PlainTable2"/>
    <w:uiPriority w:val="42"/>
    <w:locked/>
    <w:rsid w:val="00801524"/>
    <w:pPr>
      <w:spacing w:after="0" w:line="240" w:lineRule="auto"/>
      <w:jc w:val="both"/>
    </w:pPr>
    <w:rPr>
      <w:rFonts w:ascii="Arial" w:hAnsi="Arial"/>
      <w:color w:val="000000"/>
      <w:kern w:val="2"/>
      <w14:ligatures w14:val="standardContextua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11">
    <w:name w:val="Plain Table 11"/>
    <w:basedOn w:val="TableNormal"/>
    <w:next w:val="PlainTable1"/>
    <w:uiPriority w:val="41"/>
    <w:locked/>
    <w:rsid w:val="00305AEE"/>
    <w:pPr>
      <w:spacing w:after="0" w:line="240" w:lineRule="auto"/>
      <w:jc w:val="both"/>
    </w:pPr>
    <w:rPr>
      <w:rFonts w:ascii="Arial" w:hAnsi="Arial"/>
      <w:color w:val="000000"/>
      <w:kern w:val="2"/>
      <w14:ligatures w14:val="standardContextual"/>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41"/>
    <w:rsid w:val="00305AE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Hidden1">
    <w:name w:val="Hidden1"/>
    <w:basedOn w:val="TableNormal"/>
    <w:next w:val="TableGridLight"/>
    <w:uiPriority w:val="40"/>
    <w:locked/>
    <w:rsid w:val="00082FE3"/>
    <w:pPr>
      <w:spacing w:after="240" w:line="240" w:lineRule="auto"/>
      <w:jc w:val="both"/>
    </w:pPr>
    <w:rPr>
      <w:rFonts w:ascii="Arial" w:hAnsi="Arial"/>
      <w:color w:val="000000"/>
      <w:kern w:val="2"/>
      <w14:ligatures w14:val="standardContextual"/>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72693">
      <w:bodyDiv w:val="1"/>
      <w:marLeft w:val="0"/>
      <w:marRight w:val="0"/>
      <w:marTop w:val="0"/>
      <w:marBottom w:val="0"/>
      <w:divBdr>
        <w:top w:val="none" w:sz="0" w:space="0" w:color="auto"/>
        <w:left w:val="none" w:sz="0" w:space="0" w:color="auto"/>
        <w:bottom w:val="none" w:sz="0" w:space="0" w:color="auto"/>
        <w:right w:val="none" w:sz="0" w:space="0" w:color="auto"/>
      </w:divBdr>
    </w:div>
    <w:div w:id="216740532">
      <w:bodyDiv w:val="1"/>
      <w:marLeft w:val="0"/>
      <w:marRight w:val="0"/>
      <w:marTop w:val="0"/>
      <w:marBottom w:val="0"/>
      <w:divBdr>
        <w:top w:val="none" w:sz="0" w:space="0" w:color="auto"/>
        <w:left w:val="none" w:sz="0" w:space="0" w:color="auto"/>
        <w:bottom w:val="none" w:sz="0" w:space="0" w:color="auto"/>
        <w:right w:val="none" w:sz="0" w:space="0" w:color="auto"/>
      </w:divBdr>
    </w:div>
    <w:div w:id="291449512">
      <w:bodyDiv w:val="1"/>
      <w:marLeft w:val="0"/>
      <w:marRight w:val="0"/>
      <w:marTop w:val="0"/>
      <w:marBottom w:val="0"/>
      <w:divBdr>
        <w:top w:val="none" w:sz="0" w:space="0" w:color="auto"/>
        <w:left w:val="none" w:sz="0" w:space="0" w:color="auto"/>
        <w:bottom w:val="none" w:sz="0" w:space="0" w:color="auto"/>
        <w:right w:val="none" w:sz="0" w:space="0" w:color="auto"/>
      </w:divBdr>
    </w:div>
    <w:div w:id="463892321">
      <w:bodyDiv w:val="1"/>
      <w:marLeft w:val="0"/>
      <w:marRight w:val="0"/>
      <w:marTop w:val="0"/>
      <w:marBottom w:val="0"/>
      <w:divBdr>
        <w:top w:val="none" w:sz="0" w:space="0" w:color="auto"/>
        <w:left w:val="none" w:sz="0" w:space="0" w:color="auto"/>
        <w:bottom w:val="none" w:sz="0" w:space="0" w:color="auto"/>
        <w:right w:val="none" w:sz="0" w:space="0" w:color="auto"/>
      </w:divBdr>
    </w:div>
    <w:div w:id="637148028">
      <w:bodyDiv w:val="1"/>
      <w:marLeft w:val="0"/>
      <w:marRight w:val="0"/>
      <w:marTop w:val="0"/>
      <w:marBottom w:val="0"/>
      <w:divBdr>
        <w:top w:val="none" w:sz="0" w:space="0" w:color="auto"/>
        <w:left w:val="none" w:sz="0" w:space="0" w:color="auto"/>
        <w:bottom w:val="none" w:sz="0" w:space="0" w:color="auto"/>
        <w:right w:val="none" w:sz="0" w:space="0" w:color="auto"/>
      </w:divBdr>
    </w:div>
    <w:div w:id="826703596">
      <w:bodyDiv w:val="1"/>
      <w:marLeft w:val="0"/>
      <w:marRight w:val="0"/>
      <w:marTop w:val="0"/>
      <w:marBottom w:val="0"/>
      <w:divBdr>
        <w:top w:val="none" w:sz="0" w:space="0" w:color="auto"/>
        <w:left w:val="none" w:sz="0" w:space="0" w:color="auto"/>
        <w:bottom w:val="none" w:sz="0" w:space="0" w:color="auto"/>
        <w:right w:val="none" w:sz="0" w:space="0" w:color="auto"/>
      </w:divBdr>
    </w:div>
    <w:div w:id="969942989">
      <w:bodyDiv w:val="1"/>
      <w:marLeft w:val="0"/>
      <w:marRight w:val="0"/>
      <w:marTop w:val="0"/>
      <w:marBottom w:val="0"/>
      <w:divBdr>
        <w:top w:val="none" w:sz="0" w:space="0" w:color="auto"/>
        <w:left w:val="none" w:sz="0" w:space="0" w:color="auto"/>
        <w:bottom w:val="none" w:sz="0" w:space="0" w:color="auto"/>
        <w:right w:val="none" w:sz="0" w:space="0" w:color="auto"/>
      </w:divBdr>
    </w:div>
    <w:div w:id="1216159658">
      <w:bodyDiv w:val="1"/>
      <w:marLeft w:val="0"/>
      <w:marRight w:val="0"/>
      <w:marTop w:val="0"/>
      <w:marBottom w:val="0"/>
      <w:divBdr>
        <w:top w:val="none" w:sz="0" w:space="0" w:color="auto"/>
        <w:left w:val="none" w:sz="0" w:space="0" w:color="auto"/>
        <w:bottom w:val="none" w:sz="0" w:space="0" w:color="auto"/>
        <w:right w:val="none" w:sz="0" w:space="0" w:color="auto"/>
      </w:divBdr>
    </w:div>
    <w:div w:id="1289123447">
      <w:bodyDiv w:val="1"/>
      <w:marLeft w:val="0"/>
      <w:marRight w:val="0"/>
      <w:marTop w:val="0"/>
      <w:marBottom w:val="0"/>
      <w:divBdr>
        <w:top w:val="none" w:sz="0" w:space="0" w:color="auto"/>
        <w:left w:val="none" w:sz="0" w:space="0" w:color="auto"/>
        <w:bottom w:val="none" w:sz="0" w:space="0" w:color="auto"/>
        <w:right w:val="none" w:sz="0" w:space="0" w:color="auto"/>
      </w:divBdr>
      <w:divsChild>
        <w:div w:id="606159271">
          <w:marLeft w:val="0"/>
          <w:marRight w:val="0"/>
          <w:marTop w:val="0"/>
          <w:marBottom w:val="0"/>
          <w:divBdr>
            <w:top w:val="none" w:sz="0" w:space="0" w:color="auto"/>
            <w:left w:val="none" w:sz="0" w:space="0" w:color="auto"/>
            <w:bottom w:val="none" w:sz="0" w:space="0" w:color="auto"/>
            <w:right w:val="none" w:sz="0" w:space="0" w:color="auto"/>
          </w:divBdr>
        </w:div>
        <w:div w:id="1871794884">
          <w:marLeft w:val="0"/>
          <w:marRight w:val="0"/>
          <w:marTop w:val="0"/>
          <w:marBottom w:val="0"/>
          <w:divBdr>
            <w:top w:val="none" w:sz="0" w:space="0" w:color="auto"/>
            <w:left w:val="none" w:sz="0" w:space="0" w:color="auto"/>
            <w:bottom w:val="none" w:sz="0" w:space="0" w:color="auto"/>
            <w:right w:val="none" w:sz="0" w:space="0" w:color="auto"/>
          </w:divBdr>
          <w:divsChild>
            <w:div w:id="105270847">
              <w:marLeft w:val="0"/>
              <w:marRight w:val="0"/>
              <w:marTop w:val="0"/>
              <w:marBottom w:val="0"/>
              <w:divBdr>
                <w:top w:val="none" w:sz="0" w:space="0" w:color="auto"/>
                <w:left w:val="none" w:sz="0" w:space="0" w:color="auto"/>
                <w:bottom w:val="none" w:sz="0" w:space="0" w:color="auto"/>
                <w:right w:val="none" w:sz="0" w:space="0" w:color="auto"/>
              </w:divBdr>
            </w:div>
            <w:div w:id="47645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259341">
      <w:bodyDiv w:val="1"/>
      <w:marLeft w:val="0"/>
      <w:marRight w:val="0"/>
      <w:marTop w:val="0"/>
      <w:marBottom w:val="0"/>
      <w:divBdr>
        <w:top w:val="none" w:sz="0" w:space="0" w:color="auto"/>
        <w:left w:val="none" w:sz="0" w:space="0" w:color="auto"/>
        <w:bottom w:val="none" w:sz="0" w:space="0" w:color="auto"/>
        <w:right w:val="none" w:sz="0" w:space="0" w:color="auto"/>
      </w:divBdr>
    </w:div>
    <w:div w:id="1593513305">
      <w:bodyDiv w:val="1"/>
      <w:marLeft w:val="0"/>
      <w:marRight w:val="0"/>
      <w:marTop w:val="0"/>
      <w:marBottom w:val="0"/>
      <w:divBdr>
        <w:top w:val="none" w:sz="0" w:space="0" w:color="auto"/>
        <w:left w:val="none" w:sz="0" w:space="0" w:color="auto"/>
        <w:bottom w:val="none" w:sz="0" w:space="0" w:color="auto"/>
        <w:right w:val="none" w:sz="0" w:space="0" w:color="auto"/>
      </w:divBdr>
    </w:div>
    <w:div w:id="1669358309">
      <w:bodyDiv w:val="1"/>
      <w:marLeft w:val="0"/>
      <w:marRight w:val="0"/>
      <w:marTop w:val="0"/>
      <w:marBottom w:val="0"/>
      <w:divBdr>
        <w:top w:val="none" w:sz="0" w:space="0" w:color="auto"/>
        <w:left w:val="none" w:sz="0" w:space="0" w:color="auto"/>
        <w:bottom w:val="none" w:sz="0" w:space="0" w:color="auto"/>
        <w:right w:val="none" w:sz="0" w:space="0" w:color="auto"/>
      </w:divBdr>
    </w:div>
    <w:div w:id="1704476905">
      <w:bodyDiv w:val="1"/>
      <w:marLeft w:val="0"/>
      <w:marRight w:val="0"/>
      <w:marTop w:val="0"/>
      <w:marBottom w:val="0"/>
      <w:divBdr>
        <w:top w:val="none" w:sz="0" w:space="0" w:color="auto"/>
        <w:left w:val="none" w:sz="0" w:space="0" w:color="auto"/>
        <w:bottom w:val="none" w:sz="0" w:space="0" w:color="auto"/>
        <w:right w:val="none" w:sz="0" w:space="0" w:color="auto"/>
      </w:divBdr>
    </w:div>
    <w:div w:id="1786188583">
      <w:bodyDiv w:val="1"/>
      <w:marLeft w:val="0"/>
      <w:marRight w:val="0"/>
      <w:marTop w:val="0"/>
      <w:marBottom w:val="0"/>
      <w:divBdr>
        <w:top w:val="none" w:sz="0" w:space="0" w:color="auto"/>
        <w:left w:val="none" w:sz="0" w:space="0" w:color="auto"/>
        <w:bottom w:val="none" w:sz="0" w:space="0" w:color="auto"/>
        <w:right w:val="none" w:sz="0" w:space="0" w:color="auto"/>
      </w:divBdr>
    </w:div>
    <w:div w:id="1791433734">
      <w:bodyDiv w:val="1"/>
      <w:marLeft w:val="0"/>
      <w:marRight w:val="0"/>
      <w:marTop w:val="0"/>
      <w:marBottom w:val="0"/>
      <w:divBdr>
        <w:top w:val="none" w:sz="0" w:space="0" w:color="auto"/>
        <w:left w:val="none" w:sz="0" w:space="0" w:color="auto"/>
        <w:bottom w:val="none" w:sz="0" w:space="0" w:color="auto"/>
        <w:right w:val="none" w:sz="0" w:space="0" w:color="auto"/>
      </w:divBdr>
    </w:div>
    <w:div w:id="2113626108">
      <w:bodyDiv w:val="1"/>
      <w:marLeft w:val="0"/>
      <w:marRight w:val="0"/>
      <w:marTop w:val="0"/>
      <w:marBottom w:val="0"/>
      <w:divBdr>
        <w:top w:val="none" w:sz="0" w:space="0" w:color="auto"/>
        <w:left w:val="none" w:sz="0" w:space="0" w:color="auto"/>
        <w:bottom w:val="none" w:sz="0" w:space="0" w:color="auto"/>
        <w:right w:val="none" w:sz="0" w:space="0" w:color="auto"/>
      </w:divBdr>
    </w:div>
    <w:div w:id="211505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reativecommons.org/licenses/by/3.0/au/legalcode" TargetMode="External"/><Relationship Id="rId18" Type="http://schemas.openxmlformats.org/officeDocument/2006/relationships/header" Target="header3.xml"/><Relationship Id="rId26" Type="http://schemas.openxmlformats.org/officeDocument/2006/relationships/footer" Target="footer7.xml"/><Relationship Id="rId39" Type="http://schemas.openxmlformats.org/officeDocument/2006/relationships/theme" Target="theme/theme1.xml"/><Relationship Id="rId21" Type="http://schemas.openxmlformats.org/officeDocument/2006/relationships/footer" Target="footer4.xml"/><Relationship Id="rId34" Type="http://schemas.openxmlformats.org/officeDocument/2006/relationships/footer" Target="footer9.xml"/><Relationship Id="rId7" Type="http://schemas.openxmlformats.org/officeDocument/2006/relationships/image" Target="media/image1.png"/><Relationship Id="rId12" Type="http://schemas.openxmlformats.org/officeDocument/2006/relationships/hyperlink" Target="http://creativecommons.org/licenses/by/3.0/au/deed.en" TargetMode="External"/><Relationship Id="rId17" Type="http://schemas.openxmlformats.org/officeDocument/2006/relationships/hyperlink" Target="mailto:media@treasury.gov.au" TargetMode="External"/><Relationship Id="rId25" Type="http://schemas.openxmlformats.org/officeDocument/2006/relationships/header" Target="header6.xml"/><Relationship Id="rId33" Type="http://schemas.openxmlformats.org/officeDocument/2006/relationships/footer" Target="footer8.xml"/><Relationship Id="rId38"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http://www.pmc.gov.au/government/commonwealth-coat-arms" TargetMode="External"/><Relationship Id="rId20" Type="http://schemas.openxmlformats.org/officeDocument/2006/relationships/footer" Target="footer3.xml"/><Relationship Id="rId29"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6.xml"/><Relationship Id="rId32" Type="http://schemas.openxmlformats.org/officeDocument/2006/relationships/header" Target="header8.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creativecommons.org/licenses/by/3.0/au/deed.en" TargetMode="External"/><Relationship Id="rId23" Type="http://schemas.openxmlformats.org/officeDocument/2006/relationships/footer" Target="footer5.xml"/><Relationship Id="rId28" Type="http://schemas.openxmlformats.org/officeDocument/2006/relationships/hyperlink" Target="http://www.budget.gov.au" TargetMode="External"/><Relationship Id="rId36" Type="http://schemas.openxmlformats.org/officeDocument/2006/relationships/footer" Target="footer10.xml"/><Relationship Id="rId10" Type="http://schemas.openxmlformats.org/officeDocument/2006/relationships/header" Target="header2.xml"/><Relationship Id="rId19" Type="http://schemas.openxmlformats.org/officeDocument/2006/relationships/header" Target="header4.xml"/><Relationship Id="rId31"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wmf"/><Relationship Id="rId22" Type="http://schemas.openxmlformats.org/officeDocument/2006/relationships/header" Target="header5.xml"/><Relationship Id="rId27" Type="http://schemas.openxmlformats.org/officeDocument/2006/relationships/hyperlink" Target="mailto:Supervisorylevies@treasury.gov.au" TargetMode="External"/><Relationship Id="rId30" Type="http://schemas.openxmlformats.org/officeDocument/2006/relationships/image" Target="media/image6.png"/><Relationship Id="rId35" Type="http://schemas.openxmlformats.org/officeDocument/2006/relationships/header" Target="header9.xml"/><Relationship Id="rId8" Type="http://schemas.openxmlformats.org/officeDocument/2006/relationships/header" Target="header1.xml"/><Relationship Id="rId3" Type="http://schemas.openxmlformats.org/officeDocument/2006/relationships/settings" Target="settings.xml"/></Relationships>
</file>

<file path=word/_rels/footer6.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footer9.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footnotes.xml.rels><?xml version="1.0" encoding="UTF-8" standalone="yes"?>
<Relationships xmlns="http://schemas.openxmlformats.org/package/2006/relationships"><Relationship Id="rId2" Type="http://schemas.openxmlformats.org/officeDocument/2006/relationships/hyperlink" Target="https://www.apra.gov.au/apra-corporate-plan-2024-25" TargetMode="External"/><Relationship Id="rId1" Type="http://schemas.openxmlformats.org/officeDocument/2006/relationships/hyperlink" Target="https://www.apra.gov.au/statement-of-expectations" TargetMode="External"/></Relationships>
</file>

<file path=word/_rels/header8.xml.rels><?xml version="1.0" encoding="UTF-8" standalone="yes"?>
<Relationships xmlns="http://schemas.openxmlformats.org/package/2006/relationships"><Relationship Id="rId1"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21D4DE5C31499C9239BE382D448380"/>
        <w:category>
          <w:name w:val="General"/>
          <w:gallery w:val="placeholder"/>
        </w:category>
        <w:types>
          <w:type w:val="bbPlcHdr"/>
        </w:types>
        <w:behaviors>
          <w:behavior w:val="content"/>
        </w:behaviors>
        <w:guid w:val="{05041F0F-4416-4042-85E7-EF3553144D57}"/>
      </w:docPartPr>
      <w:docPartBody>
        <w:p w:rsidR="00954A1D" w:rsidRDefault="00954A1D">
          <w:pPr>
            <w:pStyle w:val="EA21D4DE5C31499C9239BE382D448380"/>
          </w:pPr>
          <w:r w:rsidRPr="00225CD2">
            <w:rPr>
              <w:rStyle w:val="PlaceholderText"/>
            </w:rPr>
            <w:t>Click here to enter a date.</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A00BB" w:rsidRDefault="00FA00BB">
      <w:pPr>
        <w:spacing w:after="0" w:line="240" w:lineRule="auto"/>
      </w:pPr>
      <w:r>
        <w:separator/>
      </w:r>
    </w:p>
  </w:endnote>
  <w:endnote w:type="continuationSeparator" w:id="0">
    <w:p w:rsidR="00FA00BB" w:rsidRDefault="00FA00BB">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Arial Bold">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A00BB" w:rsidRDefault="00FA00BB">
      <w:pPr>
        <w:spacing w:after="0" w:line="240" w:lineRule="auto"/>
      </w:pPr>
      <w:r>
        <w:separator/>
      </w:r>
    </w:p>
  </w:footnote>
  <w:footnote w:type="continuationSeparator" w:id="0">
    <w:p w:rsidR="00FA00BB" w:rsidRDefault="00FA00BB">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08D"/>
    <w:rsid w:val="00042A77"/>
    <w:rsid w:val="000441F4"/>
    <w:rsid w:val="000520A6"/>
    <w:rsid w:val="0005795A"/>
    <w:rsid w:val="00082837"/>
    <w:rsid w:val="000A65EB"/>
    <w:rsid w:val="000E3103"/>
    <w:rsid w:val="000E4DD6"/>
    <w:rsid w:val="000E6013"/>
    <w:rsid w:val="000F767C"/>
    <w:rsid w:val="00144EB4"/>
    <w:rsid w:val="00145D71"/>
    <w:rsid w:val="00164C90"/>
    <w:rsid w:val="00194381"/>
    <w:rsid w:val="001B0C49"/>
    <w:rsid w:val="001C5292"/>
    <w:rsid w:val="0029446C"/>
    <w:rsid w:val="002B41EB"/>
    <w:rsid w:val="002C6732"/>
    <w:rsid w:val="002E4C33"/>
    <w:rsid w:val="002F5D1F"/>
    <w:rsid w:val="00300DE0"/>
    <w:rsid w:val="00334944"/>
    <w:rsid w:val="00344B9D"/>
    <w:rsid w:val="00373B94"/>
    <w:rsid w:val="00381BE8"/>
    <w:rsid w:val="00392C6B"/>
    <w:rsid w:val="003B0D45"/>
    <w:rsid w:val="003C6BAF"/>
    <w:rsid w:val="004069B8"/>
    <w:rsid w:val="00431EE8"/>
    <w:rsid w:val="00487232"/>
    <w:rsid w:val="00487A47"/>
    <w:rsid w:val="0049317D"/>
    <w:rsid w:val="004A0E1E"/>
    <w:rsid w:val="004A14F0"/>
    <w:rsid w:val="004F0C18"/>
    <w:rsid w:val="004F512C"/>
    <w:rsid w:val="005376B9"/>
    <w:rsid w:val="00555A6A"/>
    <w:rsid w:val="005703C9"/>
    <w:rsid w:val="00572744"/>
    <w:rsid w:val="005A5588"/>
    <w:rsid w:val="005C2534"/>
    <w:rsid w:val="005E4004"/>
    <w:rsid w:val="005E7C55"/>
    <w:rsid w:val="005F0CDD"/>
    <w:rsid w:val="006269C3"/>
    <w:rsid w:val="0063494D"/>
    <w:rsid w:val="006B4DE0"/>
    <w:rsid w:val="006C30F1"/>
    <w:rsid w:val="006C3832"/>
    <w:rsid w:val="00723648"/>
    <w:rsid w:val="00723E3F"/>
    <w:rsid w:val="007244D2"/>
    <w:rsid w:val="00726D41"/>
    <w:rsid w:val="00773359"/>
    <w:rsid w:val="007B1914"/>
    <w:rsid w:val="007B2404"/>
    <w:rsid w:val="007E140E"/>
    <w:rsid w:val="007F1B70"/>
    <w:rsid w:val="00805198"/>
    <w:rsid w:val="008258C4"/>
    <w:rsid w:val="00825C3E"/>
    <w:rsid w:val="008363DC"/>
    <w:rsid w:val="0083771D"/>
    <w:rsid w:val="008466DF"/>
    <w:rsid w:val="008767CB"/>
    <w:rsid w:val="008770DC"/>
    <w:rsid w:val="008828AB"/>
    <w:rsid w:val="008A3547"/>
    <w:rsid w:val="008B43CE"/>
    <w:rsid w:val="008C36AF"/>
    <w:rsid w:val="008D0CAA"/>
    <w:rsid w:val="008D0D6B"/>
    <w:rsid w:val="008D5CB6"/>
    <w:rsid w:val="008F17AB"/>
    <w:rsid w:val="008F62F0"/>
    <w:rsid w:val="00951FF3"/>
    <w:rsid w:val="00954A1D"/>
    <w:rsid w:val="00973D88"/>
    <w:rsid w:val="009D6BF3"/>
    <w:rsid w:val="00A60CAF"/>
    <w:rsid w:val="00A72458"/>
    <w:rsid w:val="00AD73B1"/>
    <w:rsid w:val="00AD772C"/>
    <w:rsid w:val="00AF4E25"/>
    <w:rsid w:val="00B668D5"/>
    <w:rsid w:val="00B92C0F"/>
    <w:rsid w:val="00BA208D"/>
    <w:rsid w:val="00BC169B"/>
    <w:rsid w:val="00BD3586"/>
    <w:rsid w:val="00BF30DA"/>
    <w:rsid w:val="00C37115"/>
    <w:rsid w:val="00C508FA"/>
    <w:rsid w:val="00C63049"/>
    <w:rsid w:val="00C7161C"/>
    <w:rsid w:val="00C730FB"/>
    <w:rsid w:val="00C76140"/>
    <w:rsid w:val="00CB4DB8"/>
    <w:rsid w:val="00CC68F1"/>
    <w:rsid w:val="00CF065B"/>
    <w:rsid w:val="00D31C01"/>
    <w:rsid w:val="00D42BDC"/>
    <w:rsid w:val="00D85211"/>
    <w:rsid w:val="00DC4878"/>
    <w:rsid w:val="00EB42A4"/>
    <w:rsid w:val="00EC1A6A"/>
    <w:rsid w:val="00F05A95"/>
    <w:rsid w:val="00F322CC"/>
    <w:rsid w:val="00F41391"/>
    <w:rsid w:val="00F45C44"/>
    <w:rsid w:val="00F707A0"/>
    <w:rsid w:val="00FA00BB"/>
    <w:rsid w:val="00FD29C0"/>
    <w:rsid w:val="00FF5123"/>
    <w:rsid w:val="00FF613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3E23AE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A21D4DE5C31499C9239BE382D448380">
    <w:name w:val="EA21D4DE5C31499C9239BE382D44838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SY Corporat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6568</Words>
  <Characters>37310</Characters>
  <Application>Microsoft Office Word</Application>
  <DocSecurity>0</DocSecurity>
  <Lines>1492</Lines>
  <Paragraphs>1253</Paragraphs>
  <ScaleCrop>false</ScaleCrop>
  <HeadingPairs>
    <vt:vector size="2" baseType="variant">
      <vt:variant>
        <vt:lpstr>Title</vt:lpstr>
      </vt:variant>
      <vt:variant>
        <vt:i4>1</vt:i4>
      </vt:variant>
    </vt:vector>
  </HeadingPairs>
  <TitlesOfParts>
    <vt:vector size="1" baseType="lpstr">
      <vt:lpstr>Discussion paper: Proposed Financial Institutions Supervisory Levies for 2025–26</vt:lpstr>
    </vt:vector>
  </TitlesOfParts>
  <Company/>
  <LinksUpToDate>false</LinksUpToDate>
  <CharactersWithSpaces>42625</CharactersWithSpaces>
  <SharedDoc>false</SharedDoc>
  <HLinks>
    <vt:vector size="204" baseType="variant">
      <vt:variant>
        <vt:i4>5374022</vt:i4>
      </vt:variant>
      <vt:variant>
        <vt:i4>171</vt:i4>
      </vt:variant>
      <vt:variant>
        <vt:i4>0</vt:i4>
      </vt:variant>
      <vt:variant>
        <vt:i4>5</vt:i4>
      </vt:variant>
      <vt:variant>
        <vt:lpwstr>http://www.budget.gov.au/</vt:lpwstr>
      </vt:variant>
      <vt:variant>
        <vt:lpwstr/>
      </vt:variant>
      <vt:variant>
        <vt:i4>1638525</vt:i4>
      </vt:variant>
      <vt:variant>
        <vt:i4>168</vt:i4>
      </vt:variant>
      <vt:variant>
        <vt:i4>0</vt:i4>
      </vt:variant>
      <vt:variant>
        <vt:i4>5</vt:i4>
      </vt:variant>
      <vt:variant>
        <vt:lpwstr>mailto:Supervisorylevies@treasury.gov.au</vt:lpwstr>
      </vt:variant>
      <vt:variant>
        <vt:lpwstr/>
      </vt:variant>
      <vt:variant>
        <vt:i4>1572917</vt:i4>
      </vt:variant>
      <vt:variant>
        <vt:i4>161</vt:i4>
      </vt:variant>
      <vt:variant>
        <vt:i4>0</vt:i4>
      </vt:variant>
      <vt:variant>
        <vt:i4>5</vt:i4>
      </vt:variant>
      <vt:variant>
        <vt:lpwstr/>
      </vt:variant>
      <vt:variant>
        <vt:lpwstr>_Toc192616761</vt:lpwstr>
      </vt:variant>
      <vt:variant>
        <vt:i4>1572917</vt:i4>
      </vt:variant>
      <vt:variant>
        <vt:i4>155</vt:i4>
      </vt:variant>
      <vt:variant>
        <vt:i4>0</vt:i4>
      </vt:variant>
      <vt:variant>
        <vt:i4>5</vt:i4>
      </vt:variant>
      <vt:variant>
        <vt:lpwstr/>
      </vt:variant>
      <vt:variant>
        <vt:lpwstr>_Toc192616760</vt:lpwstr>
      </vt:variant>
      <vt:variant>
        <vt:i4>1769525</vt:i4>
      </vt:variant>
      <vt:variant>
        <vt:i4>149</vt:i4>
      </vt:variant>
      <vt:variant>
        <vt:i4>0</vt:i4>
      </vt:variant>
      <vt:variant>
        <vt:i4>5</vt:i4>
      </vt:variant>
      <vt:variant>
        <vt:lpwstr/>
      </vt:variant>
      <vt:variant>
        <vt:lpwstr>_Toc192616759</vt:lpwstr>
      </vt:variant>
      <vt:variant>
        <vt:i4>1769525</vt:i4>
      </vt:variant>
      <vt:variant>
        <vt:i4>143</vt:i4>
      </vt:variant>
      <vt:variant>
        <vt:i4>0</vt:i4>
      </vt:variant>
      <vt:variant>
        <vt:i4>5</vt:i4>
      </vt:variant>
      <vt:variant>
        <vt:lpwstr/>
      </vt:variant>
      <vt:variant>
        <vt:lpwstr>_Toc192616757</vt:lpwstr>
      </vt:variant>
      <vt:variant>
        <vt:i4>1769525</vt:i4>
      </vt:variant>
      <vt:variant>
        <vt:i4>137</vt:i4>
      </vt:variant>
      <vt:variant>
        <vt:i4>0</vt:i4>
      </vt:variant>
      <vt:variant>
        <vt:i4>5</vt:i4>
      </vt:variant>
      <vt:variant>
        <vt:lpwstr/>
      </vt:variant>
      <vt:variant>
        <vt:lpwstr>_Toc192616756</vt:lpwstr>
      </vt:variant>
      <vt:variant>
        <vt:i4>1769525</vt:i4>
      </vt:variant>
      <vt:variant>
        <vt:i4>131</vt:i4>
      </vt:variant>
      <vt:variant>
        <vt:i4>0</vt:i4>
      </vt:variant>
      <vt:variant>
        <vt:i4>5</vt:i4>
      </vt:variant>
      <vt:variant>
        <vt:lpwstr/>
      </vt:variant>
      <vt:variant>
        <vt:lpwstr>_Toc192616755</vt:lpwstr>
      </vt:variant>
      <vt:variant>
        <vt:i4>1769525</vt:i4>
      </vt:variant>
      <vt:variant>
        <vt:i4>125</vt:i4>
      </vt:variant>
      <vt:variant>
        <vt:i4>0</vt:i4>
      </vt:variant>
      <vt:variant>
        <vt:i4>5</vt:i4>
      </vt:variant>
      <vt:variant>
        <vt:lpwstr/>
      </vt:variant>
      <vt:variant>
        <vt:lpwstr>_Toc192616754</vt:lpwstr>
      </vt:variant>
      <vt:variant>
        <vt:i4>1769525</vt:i4>
      </vt:variant>
      <vt:variant>
        <vt:i4>119</vt:i4>
      </vt:variant>
      <vt:variant>
        <vt:i4>0</vt:i4>
      </vt:variant>
      <vt:variant>
        <vt:i4>5</vt:i4>
      </vt:variant>
      <vt:variant>
        <vt:lpwstr/>
      </vt:variant>
      <vt:variant>
        <vt:lpwstr>_Toc192616753</vt:lpwstr>
      </vt:variant>
      <vt:variant>
        <vt:i4>1769525</vt:i4>
      </vt:variant>
      <vt:variant>
        <vt:i4>113</vt:i4>
      </vt:variant>
      <vt:variant>
        <vt:i4>0</vt:i4>
      </vt:variant>
      <vt:variant>
        <vt:i4>5</vt:i4>
      </vt:variant>
      <vt:variant>
        <vt:lpwstr/>
      </vt:variant>
      <vt:variant>
        <vt:lpwstr>_Toc192616751</vt:lpwstr>
      </vt:variant>
      <vt:variant>
        <vt:i4>1703989</vt:i4>
      </vt:variant>
      <vt:variant>
        <vt:i4>107</vt:i4>
      </vt:variant>
      <vt:variant>
        <vt:i4>0</vt:i4>
      </vt:variant>
      <vt:variant>
        <vt:i4>5</vt:i4>
      </vt:variant>
      <vt:variant>
        <vt:lpwstr/>
      </vt:variant>
      <vt:variant>
        <vt:lpwstr>_Toc192616749</vt:lpwstr>
      </vt:variant>
      <vt:variant>
        <vt:i4>1703989</vt:i4>
      </vt:variant>
      <vt:variant>
        <vt:i4>101</vt:i4>
      </vt:variant>
      <vt:variant>
        <vt:i4>0</vt:i4>
      </vt:variant>
      <vt:variant>
        <vt:i4>5</vt:i4>
      </vt:variant>
      <vt:variant>
        <vt:lpwstr/>
      </vt:variant>
      <vt:variant>
        <vt:lpwstr>_Toc192616747</vt:lpwstr>
      </vt:variant>
      <vt:variant>
        <vt:i4>1703989</vt:i4>
      </vt:variant>
      <vt:variant>
        <vt:i4>95</vt:i4>
      </vt:variant>
      <vt:variant>
        <vt:i4>0</vt:i4>
      </vt:variant>
      <vt:variant>
        <vt:i4>5</vt:i4>
      </vt:variant>
      <vt:variant>
        <vt:lpwstr/>
      </vt:variant>
      <vt:variant>
        <vt:lpwstr>_Toc192616745</vt:lpwstr>
      </vt:variant>
      <vt:variant>
        <vt:i4>1703989</vt:i4>
      </vt:variant>
      <vt:variant>
        <vt:i4>89</vt:i4>
      </vt:variant>
      <vt:variant>
        <vt:i4>0</vt:i4>
      </vt:variant>
      <vt:variant>
        <vt:i4>5</vt:i4>
      </vt:variant>
      <vt:variant>
        <vt:lpwstr/>
      </vt:variant>
      <vt:variant>
        <vt:lpwstr>_Toc192616744</vt:lpwstr>
      </vt:variant>
      <vt:variant>
        <vt:i4>1703989</vt:i4>
      </vt:variant>
      <vt:variant>
        <vt:i4>83</vt:i4>
      </vt:variant>
      <vt:variant>
        <vt:i4>0</vt:i4>
      </vt:variant>
      <vt:variant>
        <vt:i4>5</vt:i4>
      </vt:variant>
      <vt:variant>
        <vt:lpwstr/>
      </vt:variant>
      <vt:variant>
        <vt:lpwstr>_Toc192616743</vt:lpwstr>
      </vt:variant>
      <vt:variant>
        <vt:i4>1703989</vt:i4>
      </vt:variant>
      <vt:variant>
        <vt:i4>77</vt:i4>
      </vt:variant>
      <vt:variant>
        <vt:i4>0</vt:i4>
      </vt:variant>
      <vt:variant>
        <vt:i4>5</vt:i4>
      </vt:variant>
      <vt:variant>
        <vt:lpwstr/>
      </vt:variant>
      <vt:variant>
        <vt:lpwstr>_Toc192616742</vt:lpwstr>
      </vt:variant>
      <vt:variant>
        <vt:i4>1703989</vt:i4>
      </vt:variant>
      <vt:variant>
        <vt:i4>71</vt:i4>
      </vt:variant>
      <vt:variant>
        <vt:i4>0</vt:i4>
      </vt:variant>
      <vt:variant>
        <vt:i4>5</vt:i4>
      </vt:variant>
      <vt:variant>
        <vt:lpwstr/>
      </vt:variant>
      <vt:variant>
        <vt:lpwstr>_Toc192616740</vt:lpwstr>
      </vt:variant>
      <vt:variant>
        <vt:i4>1900597</vt:i4>
      </vt:variant>
      <vt:variant>
        <vt:i4>65</vt:i4>
      </vt:variant>
      <vt:variant>
        <vt:i4>0</vt:i4>
      </vt:variant>
      <vt:variant>
        <vt:i4>5</vt:i4>
      </vt:variant>
      <vt:variant>
        <vt:lpwstr/>
      </vt:variant>
      <vt:variant>
        <vt:lpwstr>_Toc192616737</vt:lpwstr>
      </vt:variant>
      <vt:variant>
        <vt:i4>1900597</vt:i4>
      </vt:variant>
      <vt:variant>
        <vt:i4>59</vt:i4>
      </vt:variant>
      <vt:variant>
        <vt:i4>0</vt:i4>
      </vt:variant>
      <vt:variant>
        <vt:i4>5</vt:i4>
      </vt:variant>
      <vt:variant>
        <vt:lpwstr/>
      </vt:variant>
      <vt:variant>
        <vt:lpwstr>_Toc192616735</vt:lpwstr>
      </vt:variant>
      <vt:variant>
        <vt:i4>1900597</vt:i4>
      </vt:variant>
      <vt:variant>
        <vt:i4>53</vt:i4>
      </vt:variant>
      <vt:variant>
        <vt:i4>0</vt:i4>
      </vt:variant>
      <vt:variant>
        <vt:i4>5</vt:i4>
      </vt:variant>
      <vt:variant>
        <vt:lpwstr/>
      </vt:variant>
      <vt:variant>
        <vt:lpwstr>_Toc192616734</vt:lpwstr>
      </vt:variant>
      <vt:variant>
        <vt:i4>1900597</vt:i4>
      </vt:variant>
      <vt:variant>
        <vt:i4>47</vt:i4>
      </vt:variant>
      <vt:variant>
        <vt:i4>0</vt:i4>
      </vt:variant>
      <vt:variant>
        <vt:i4>5</vt:i4>
      </vt:variant>
      <vt:variant>
        <vt:lpwstr/>
      </vt:variant>
      <vt:variant>
        <vt:lpwstr>_Toc192616733</vt:lpwstr>
      </vt:variant>
      <vt:variant>
        <vt:i4>1900597</vt:i4>
      </vt:variant>
      <vt:variant>
        <vt:i4>41</vt:i4>
      </vt:variant>
      <vt:variant>
        <vt:i4>0</vt:i4>
      </vt:variant>
      <vt:variant>
        <vt:i4>5</vt:i4>
      </vt:variant>
      <vt:variant>
        <vt:lpwstr/>
      </vt:variant>
      <vt:variant>
        <vt:lpwstr>_Toc192616732</vt:lpwstr>
      </vt:variant>
      <vt:variant>
        <vt:i4>1900597</vt:i4>
      </vt:variant>
      <vt:variant>
        <vt:i4>35</vt:i4>
      </vt:variant>
      <vt:variant>
        <vt:i4>0</vt:i4>
      </vt:variant>
      <vt:variant>
        <vt:i4>5</vt:i4>
      </vt:variant>
      <vt:variant>
        <vt:lpwstr/>
      </vt:variant>
      <vt:variant>
        <vt:lpwstr>_Toc192616731</vt:lpwstr>
      </vt:variant>
      <vt:variant>
        <vt:i4>1900597</vt:i4>
      </vt:variant>
      <vt:variant>
        <vt:i4>29</vt:i4>
      </vt:variant>
      <vt:variant>
        <vt:i4>0</vt:i4>
      </vt:variant>
      <vt:variant>
        <vt:i4>5</vt:i4>
      </vt:variant>
      <vt:variant>
        <vt:lpwstr/>
      </vt:variant>
      <vt:variant>
        <vt:lpwstr>_Toc192616730</vt:lpwstr>
      </vt:variant>
      <vt:variant>
        <vt:i4>1835061</vt:i4>
      </vt:variant>
      <vt:variant>
        <vt:i4>23</vt:i4>
      </vt:variant>
      <vt:variant>
        <vt:i4>0</vt:i4>
      </vt:variant>
      <vt:variant>
        <vt:i4>5</vt:i4>
      </vt:variant>
      <vt:variant>
        <vt:lpwstr/>
      </vt:variant>
      <vt:variant>
        <vt:lpwstr>_Toc192616729</vt:lpwstr>
      </vt:variant>
      <vt:variant>
        <vt:i4>1835061</vt:i4>
      </vt:variant>
      <vt:variant>
        <vt:i4>17</vt:i4>
      </vt:variant>
      <vt:variant>
        <vt:i4>0</vt:i4>
      </vt:variant>
      <vt:variant>
        <vt:i4>5</vt:i4>
      </vt:variant>
      <vt:variant>
        <vt:lpwstr/>
      </vt:variant>
      <vt:variant>
        <vt:lpwstr>_Toc192616728</vt:lpwstr>
      </vt:variant>
      <vt:variant>
        <vt:i4>105</vt:i4>
      </vt:variant>
      <vt:variant>
        <vt:i4>12</vt:i4>
      </vt:variant>
      <vt:variant>
        <vt:i4>0</vt:i4>
      </vt:variant>
      <vt:variant>
        <vt:i4>5</vt:i4>
      </vt:variant>
      <vt:variant>
        <vt:lpwstr>mailto:media@treasury.gov.au</vt:lpwstr>
      </vt:variant>
      <vt:variant>
        <vt:lpwstr/>
      </vt:variant>
      <vt:variant>
        <vt:i4>2818104</vt:i4>
      </vt:variant>
      <vt:variant>
        <vt:i4>9</vt:i4>
      </vt:variant>
      <vt:variant>
        <vt:i4>0</vt:i4>
      </vt:variant>
      <vt:variant>
        <vt:i4>5</vt:i4>
      </vt:variant>
      <vt:variant>
        <vt:lpwstr>http://www.pmc.gov.au/government/commonwealth-coat-arms</vt:lpwstr>
      </vt:variant>
      <vt:variant>
        <vt:lpwstr/>
      </vt:variant>
      <vt:variant>
        <vt:i4>5111827</vt:i4>
      </vt:variant>
      <vt:variant>
        <vt:i4>6</vt:i4>
      </vt:variant>
      <vt:variant>
        <vt:i4>0</vt:i4>
      </vt:variant>
      <vt:variant>
        <vt:i4>5</vt:i4>
      </vt:variant>
      <vt:variant>
        <vt:lpwstr>http://creativecommons.org/licenses/by/3.0/au/deed.en</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ariant>
        <vt:i4>6750316</vt:i4>
      </vt:variant>
      <vt:variant>
        <vt:i4>3</vt:i4>
      </vt:variant>
      <vt:variant>
        <vt:i4>0</vt:i4>
      </vt:variant>
      <vt:variant>
        <vt:i4>5</vt:i4>
      </vt:variant>
      <vt:variant>
        <vt:lpwstr>https://www.apra.gov.au/apra-corporate-plan-2024-25</vt:lpwstr>
      </vt:variant>
      <vt:variant>
        <vt:lpwstr/>
      </vt:variant>
      <vt:variant>
        <vt:i4>6160415</vt:i4>
      </vt:variant>
      <vt:variant>
        <vt:i4>0</vt:i4>
      </vt:variant>
      <vt:variant>
        <vt:i4>0</vt:i4>
      </vt:variant>
      <vt:variant>
        <vt:i4>5</vt:i4>
      </vt:variant>
      <vt:variant>
        <vt:lpwstr>https://www.apra.gov.au/statement-of-expectations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paper: Proposed Financial Institutions Supervisory Levies for 2025–26</dc:title>
  <dc:subject/>
  <dc:creator>Treasury</dc:creator>
  <cp:keywords/>
  <cp:lastModifiedBy/>
  <cp:revision>1</cp:revision>
  <dcterms:created xsi:type="dcterms:W3CDTF">2025-03-24T04:35:00Z</dcterms:created>
  <dcterms:modified xsi:type="dcterms:W3CDTF">2025-03-24T04:37:00Z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2025-03-24T04:37:17Z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161cc090-86e4-47af-8ee6-5106870de48c</vt:lpwstr>
  </property>
  <property fmtid="{D5CDD505-2E9C-101B-9397-08002B2CF9AE}" pid="8" name="MSIP_Label_4f932d64-9ab1-4d9b-81d2-a3a8b82dd47d_ContentBits">
    <vt:lpwstr>0</vt:lpwstr>
  </property>
</Properties>
</file>