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7FB8" w14:textId="7F596EB1" w:rsidR="00986A46" w:rsidRPr="006E76BE" w:rsidRDefault="00721731" w:rsidP="000375BB">
      <w:pPr>
        <w:pStyle w:val="Factsheettitle"/>
        <w:spacing w:before="1440" w:after="480"/>
      </w:pPr>
      <w:r>
        <w:t xml:space="preserve">Advice through Superannuation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501E3D6A" w14:textId="77777777" w:rsidTr="00FC2E34">
        <w:tc>
          <w:tcPr>
            <w:tcW w:w="8498" w:type="dxa"/>
            <w:shd w:val="clear" w:color="auto" w:fill="auto"/>
          </w:tcPr>
          <w:p w14:paraId="4B567DA0" w14:textId="3ED8917F" w:rsidR="00721731" w:rsidRPr="00B6204E" w:rsidRDefault="00B6204E" w:rsidP="00721731">
            <w:pPr>
              <w:pStyle w:val="Introtext"/>
              <w:rPr>
                <w:sz w:val="24"/>
                <w:szCs w:val="24"/>
              </w:rPr>
            </w:pPr>
            <w:r w:rsidRPr="00B6204E">
              <w:rPr>
                <w:sz w:val="24"/>
                <w:szCs w:val="24"/>
              </w:rPr>
              <w:t>Additional c</w:t>
            </w:r>
            <w:r w:rsidR="00CC16A3" w:rsidRPr="00B6204E">
              <w:rPr>
                <w:sz w:val="24"/>
                <w:szCs w:val="24"/>
              </w:rPr>
              <w:t>onsultation</w:t>
            </w:r>
            <w:r w:rsidR="00E63AA9" w:rsidRPr="00B6204E">
              <w:rPr>
                <w:sz w:val="24"/>
                <w:szCs w:val="24"/>
              </w:rPr>
              <w:t xml:space="preserve"> </w:t>
            </w:r>
            <w:r w:rsidR="00B15638" w:rsidRPr="00B6204E">
              <w:rPr>
                <w:sz w:val="24"/>
                <w:szCs w:val="24"/>
              </w:rPr>
              <w:t xml:space="preserve">to support </w:t>
            </w:r>
            <w:r>
              <w:rPr>
                <w:sz w:val="24"/>
                <w:szCs w:val="24"/>
              </w:rPr>
              <w:t>t</w:t>
            </w:r>
            <w:r w:rsidRPr="00B6204E">
              <w:rPr>
                <w:sz w:val="24"/>
                <w:szCs w:val="24"/>
              </w:rPr>
              <w:t>he ‘Advice Through Superannuation’ exposure draft legislation.</w:t>
            </w:r>
          </w:p>
        </w:tc>
      </w:tr>
    </w:tbl>
    <w:p w14:paraId="3326E0A1" w14:textId="52674E19" w:rsidR="00952F2F" w:rsidRDefault="00173E92" w:rsidP="00AF3000">
      <w:pPr>
        <w:pStyle w:val="Heading2"/>
      </w:pPr>
      <w:r>
        <w:t>Purpose of consultation</w:t>
      </w:r>
    </w:p>
    <w:p w14:paraId="512768A9" w14:textId="1823939B" w:rsidR="00FE2369" w:rsidRPr="00D766FF" w:rsidRDefault="00173E92" w:rsidP="00FE2369">
      <w:pPr>
        <w:rPr>
          <w:szCs w:val="22"/>
        </w:rPr>
      </w:pPr>
      <w:r w:rsidRPr="00D766FF">
        <w:rPr>
          <w:szCs w:val="22"/>
        </w:rPr>
        <w:t xml:space="preserve">The ‘Advice Through Superannuation’ exposure draft legislation (exposure draft) amends the </w:t>
      </w:r>
      <w:r w:rsidRPr="00CC75CA">
        <w:rPr>
          <w:i/>
          <w:szCs w:val="22"/>
        </w:rPr>
        <w:t>Superannuation Industry (Supervision) Act 1993</w:t>
      </w:r>
      <w:r w:rsidRPr="00D766FF">
        <w:rPr>
          <w:szCs w:val="22"/>
        </w:rPr>
        <w:t xml:space="preserve"> (SIS Act) to clarify the scope of the prohibition on trustees collectively charging their members for personal advice. </w:t>
      </w:r>
      <w:r w:rsidR="00FE2369">
        <w:rPr>
          <w:szCs w:val="22"/>
        </w:rPr>
        <w:t>Specifically, t</w:t>
      </w:r>
      <w:r w:rsidR="00FE2369" w:rsidRPr="00D766FF">
        <w:rPr>
          <w:szCs w:val="22"/>
        </w:rPr>
        <w:t>he exposure draft allows for the creation of regulations which clarify the range of advice that can be collectively charged to members</w:t>
      </w:r>
      <w:r w:rsidR="009A6C7F">
        <w:rPr>
          <w:szCs w:val="22"/>
        </w:rPr>
        <w:t>, as</w:t>
      </w:r>
      <w:r w:rsidR="009A6C7F" w:rsidRPr="009A6C7F">
        <w:rPr>
          <w:szCs w:val="22"/>
        </w:rPr>
        <w:t xml:space="preserve"> long as they don’t fall within the circumstances covered by any of s.99F(1)(c)(i), (c)(iii) or (c)(iv)</w:t>
      </w:r>
      <w:r w:rsidR="00AC6094">
        <w:rPr>
          <w:szCs w:val="22"/>
        </w:rPr>
        <w:t xml:space="preserve"> of the SIS Act</w:t>
      </w:r>
      <w:r w:rsidR="009A6C7F" w:rsidRPr="009A6C7F">
        <w:rPr>
          <w:szCs w:val="22"/>
        </w:rPr>
        <w:t>.</w:t>
      </w:r>
    </w:p>
    <w:p w14:paraId="40EF579C" w14:textId="6E2090DC" w:rsidR="00173E92" w:rsidRPr="00D766FF" w:rsidRDefault="00173E92" w:rsidP="00173E92">
      <w:pPr>
        <w:rPr>
          <w:szCs w:val="22"/>
        </w:rPr>
      </w:pPr>
      <w:r w:rsidRPr="00D766FF">
        <w:rPr>
          <w:szCs w:val="22"/>
        </w:rPr>
        <w:t xml:space="preserve">The intent of </w:t>
      </w:r>
      <w:r w:rsidR="00815218">
        <w:rPr>
          <w:szCs w:val="22"/>
        </w:rPr>
        <w:t xml:space="preserve">the amendments </w:t>
      </w:r>
      <w:r w:rsidRPr="00D766FF">
        <w:rPr>
          <w:szCs w:val="22"/>
        </w:rPr>
        <w:t>is to allow</w:t>
      </w:r>
      <w:r w:rsidR="00C07176">
        <w:rPr>
          <w:szCs w:val="22"/>
        </w:rPr>
        <w:t xml:space="preserve"> superannuation</w:t>
      </w:r>
      <w:r w:rsidRPr="00D766FF">
        <w:rPr>
          <w:szCs w:val="22"/>
        </w:rPr>
        <w:t xml:space="preserve"> funds greater flexibility to provide their members with simple and cost-effective advice about retirement, in addition to the collectively charged advice they already provide.</w:t>
      </w:r>
    </w:p>
    <w:p w14:paraId="2E1FA2CD" w14:textId="21A417C4" w:rsidR="00BB5639" w:rsidRDefault="00721731" w:rsidP="00721731">
      <w:pPr>
        <w:rPr>
          <w:szCs w:val="22"/>
        </w:rPr>
      </w:pPr>
      <w:r w:rsidRPr="00D766FF">
        <w:rPr>
          <w:szCs w:val="22"/>
        </w:rPr>
        <w:t>To support consultation on the exposure draft, the Government is releasing draft lists</w:t>
      </w:r>
      <w:r w:rsidR="002F60F8">
        <w:rPr>
          <w:szCs w:val="22"/>
        </w:rPr>
        <w:t xml:space="preserve"> for stakeholder feedback</w:t>
      </w:r>
      <w:r w:rsidRPr="00D766FF">
        <w:rPr>
          <w:szCs w:val="22"/>
        </w:rPr>
        <w:t xml:space="preserve"> that will be used to inform the drafting of new provisions </w:t>
      </w:r>
      <w:r w:rsidR="008E13B5">
        <w:rPr>
          <w:szCs w:val="22"/>
        </w:rPr>
        <w:t>in the</w:t>
      </w:r>
      <w:r w:rsidRPr="00D766FF">
        <w:rPr>
          <w:szCs w:val="22"/>
        </w:rPr>
        <w:t xml:space="preserve"> </w:t>
      </w:r>
      <w:r w:rsidRPr="00D766FF">
        <w:rPr>
          <w:i/>
          <w:iCs/>
          <w:szCs w:val="22"/>
        </w:rPr>
        <w:t xml:space="preserve">Superannuation Industry (Supervision) Regulations 1994 </w:t>
      </w:r>
      <w:r w:rsidRPr="00D766FF">
        <w:rPr>
          <w:szCs w:val="22"/>
        </w:rPr>
        <w:t xml:space="preserve">(SIS Regulations). </w:t>
      </w:r>
    </w:p>
    <w:p w14:paraId="7C767AE8" w14:textId="1D7B15BC" w:rsidR="00326D92" w:rsidRDefault="001870F3" w:rsidP="000A3F57">
      <w:pPr>
        <w:pStyle w:val="Heading2"/>
      </w:pPr>
      <w:r>
        <w:t xml:space="preserve">Structure of the regulations </w:t>
      </w:r>
    </w:p>
    <w:p w14:paraId="0EB55E9A" w14:textId="769E2C10" w:rsidR="00721731" w:rsidRDefault="00721731" w:rsidP="00721731">
      <w:r>
        <w:t>The three lists that will be included in the regulations will cover:</w:t>
      </w:r>
    </w:p>
    <w:p w14:paraId="5EFB0266" w14:textId="77777777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 xml:space="preserve">advice taken to relate to a financial product that is a beneficial interest (“the allowed topics list”); </w:t>
      </w:r>
    </w:p>
    <w:p w14:paraId="5E97F5B2" w14:textId="77777777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 xml:space="preserve">kinds of circumstances that may be considered when providing advice on the allowed topics list (the “allowed circumstances list”); and  </w:t>
      </w:r>
    </w:p>
    <w:p w14:paraId="06B9840F" w14:textId="77777777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>advice taken to relate to financial product that is not a beneficial interest (the “disallowed topics list”).</w:t>
      </w:r>
    </w:p>
    <w:p w14:paraId="160BF77D" w14:textId="766A020E" w:rsidR="00721731" w:rsidRDefault="00721731" w:rsidP="00721731">
      <w:r>
        <w:t>The lists have been designed to provide greater clarity and surety to trustees</w:t>
      </w:r>
      <w:r w:rsidR="00AE7041">
        <w:t xml:space="preserve"> regarding the types of personal advice for which they can collectively charge</w:t>
      </w:r>
      <w:r>
        <w:t>.</w:t>
      </w:r>
      <w:r w:rsidR="00AE7041">
        <w:t xml:space="preserve"> However, the lists </w:t>
      </w:r>
      <w:r w:rsidR="00C70720">
        <w:t>are not intended to be exhaustive.</w:t>
      </w:r>
      <w:r>
        <w:t xml:space="preserve"> Where a topic or circumstance is not specified in the regulations, trustees are expected to exercise their judgement in relation to their existing </w:t>
      </w:r>
      <w:r w:rsidR="00B24E61">
        <w:t>legislative obligations</w:t>
      </w:r>
      <w:r w:rsidR="00D46835">
        <w:t>,</w:t>
      </w:r>
      <w:r w:rsidR="00B24E61">
        <w:t xml:space="preserve"> such as </w:t>
      </w:r>
      <w:r>
        <w:t xml:space="preserve">the Sole Purpose Test. </w:t>
      </w:r>
    </w:p>
    <w:p w14:paraId="64222730" w14:textId="77777777" w:rsidR="00721731" w:rsidRDefault="00721731" w:rsidP="00721731">
      <w:r>
        <w:t xml:space="preserve">For clarity, the lists do not supersede the existing requirements trustees must abide by when collectively charging for personal advice, including:   </w:t>
      </w:r>
    </w:p>
    <w:p w14:paraId="0D463FCC" w14:textId="314C0C1E" w:rsidR="00721731" w:rsidRDefault="003E46E7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 xml:space="preserve">existing </w:t>
      </w:r>
      <w:r w:rsidR="00721731">
        <w:t xml:space="preserve">restrictions on collective charging in section 99F of the SIS Act; </w:t>
      </w:r>
    </w:p>
    <w:p w14:paraId="5B0A230A" w14:textId="3388FF93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 xml:space="preserve">the </w:t>
      </w:r>
      <w:r w:rsidR="00177AA6">
        <w:t>B</w:t>
      </w:r>
      <w:r>
        <w:t xml:space="preserve">est </w:t>
      </w:r>
      <w:r w:rsidR="00177AA6">
        <w:t>F</w:t>
      </w:r>
      <w:r>
        <w:t xml:space="preserve">inancial </w:t>
      </w:r>
      <w:r w:rsidR="00177AA6">
        <w:t>I</w:t>
      </w:r>
      <w:r>
        <w:t xml:space="preserve">nterests </w:t>
      </w:r>
      <w:r w:rsidR="00177AA6">
        <w:t>D</w:t>
      </w:r>
      <w:r>
        <w:t xml:space="preserve">uty; </w:t>
      </w:r>
    </w:p>
    <w:p w14:paraId="2EEF1DBC" w14:textId="77777777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lastRenderedPageBreak/>
        <w:t>the Sole Purpose Test; and</w:t>
      </w:r>
    </w:p>
    <w:p w14:paraId="26548CBD" w14:textId="762DAD65" w:rsidR="00721731" w:rsidRDefault="00721731" w:rsidP="00721731">
      <w:pPr>
        <w:pStyle w:val="ListParagraph"/>
        <w:numPr>
          <w:ilvl w:val="0"/>
          <w:numId w:val="10"/>
        </w:numPr>
        <w:spacing w:before="0" w:after="160" w:line="259" w:lineRule="auto"/>
      </w:pPr>
      <w:r>
        <w:t>the requirement to share costs in a fair and reasonable manner across members of the fund, as set out in r</w:t>
      </w:r>
      <w:r w:rsidR="3CDED770">
        <w:t>egulation</w:t>
      </w:r>
      <w:r>
        <w:t xml:space="preserve"> 5.02 of the SIS Regulations.</w:t>
      </w:r>
      <w:r w:rsidRPr="00B86083">
        <w:t xml:space="preserve"> </w:t>
      </w:r>
    </w:p>
    <w:p w14:paraId="1C7CE72B" w14:textId="734F21AE" w:rsidR="004D0912" w:rsidRPr="004D0912" w:rsidRDefault="00DD149F" w:rsidP="004D0912">
      <w:pPr>
        <w:pStyle w:val="Heading2"/>
      </w:pPr>
      <w:r>
        <w:t>Requested feedback</w:t>
      </w:r>
    </w:p>
    <w:p w14:paraId="14A80787" w14:textId="77777777" w:rsidR="00721731" w:rsidRDefault="00721731" w:rsidP="00721731">
      <w:r>
        <w:t>In addition to feedback on the exposure draft legislation, Treasury is seeking feedback on:</w:t>
      </w:r>
    </w:p>
    <w:p w14:paraId="0D3589DB" w14:textId="77777777" w:rsidR="00721731" w:rsidRPr="005F4E7B" w:rsidRDefault="00721731" w:rsidP="00721731">
      <w:pPr>
        <w:pStyle w:val="Bullet"/>
        <w:tabs>
          <w:tab w:val="num" w:pos="520"/>
          <w:tab w:val="left" w:pos="720"/>
        </w:tabs>
        <w:spacing w:before="120" w:after="0"/>
        <w:rPr>
          <w:rFonts w:cs="Calibri Light"/>
        </w:rPr>
      </w:pPr>
      <w:r w:rsidRPr="005F4E7B">
        <w:rPr>
          <w:rFonts w:cs="Calibri Light"/>
        </w:rPr>
        <w:t xml:space="preserve">whether the lists as drafted will provide sufficient clarity to collectively charge advice for simple advice about retirement; and </w:t>
      </w:r>
    </w:p>
    <w:p w14:paraId="59F658CB" w14:textId="77777777" w:rsidR="00721731" w:rsidRPr="005F4E7B" w:rsidRDefault="00721731" w:rsidP="00721731">
      <w:pPr>
        <w:pStyle w:val="Bullet"/>
        <w:tabs>
          <w:tab w:val="num" w:pos="520"/>
          <w:tab w:val="left" w:pos="720"/>
        </w:tabs>
        <w:spacing w:before="120"/>
        <w:ind w:left="522" w:hanging="522"/>
        <w:rPr>
          <w:rFonts w:cs="Calibri Light"/>
        </w:rPr>
      </w:pPr>
      <w:r w:rsidRPr="005F4E7B">
        <w:rPr>
          <w:rFonts w:cs="Calibri Light"/>
        </w:rPr>
        <w:t xml:space="preserve">whether there are items that should be included, removed, or rephrased. </w:t>
      </w:r>
    </w:p>
    <w:p w14:paraId="61373E53" w14:textId="0B6EF791" w:rsidR="005F4E7B" w:rsidRPr="00824131" w:rsidRDefault="00721731" w:rsidP="00721731">
      <w:r>
        <w:t>Your feedback will inform drafting of the regulations</w:t>
      </w:r>
      <w:r w:rsidR="00EF72DC">
        <w:t xml:space="preserve"> </w:t>
      </w:r>
      <w:r>
        <w:t xml:space="preserve">noting there will also be a further opportunity to consult formally, when the regulations are drafted. </w:t>
      </w:r>
    </w:p>
    <w:p w14:paraId="3C4EA3BF" w14:textId="4A75A5C1" w:rsidR="00326D92" w:rsidRPr="004D0912" w:rsidRDefault="00B15BEA" w:rsidP="000A3F57">
      <w:pPr>
        <w:pStyle w:val="Heading2"/>
      </w:pPr>
      <w:r>
        <w:t xml:space="preserve">Proposed </w:t>
      </w:r>
      <w:r w:rsidR="000A3F57" w:rsidRPr="004D0912">
        <w:t>lists</w:t>
      </w:r>
      <w:r w:rsidR="009C7675">
        <w:t xml:space="preserve"> </w:t>
      </w:r>
    </w:p>
    <w:p w14:paraId="7375AE1F" w14:textId="60240741" w:rsidR="00721731" w:rsidRPr="00965397" w:rsidRDefault="00721731" w:rsidP="004D0912">
      <w:pPr>
        <w:pStyle w:val="Heading3"/>
        <w:rPr>
          <w:b w:val="0"/>
          <w:bCs/>
          <w:u w:val="single"/>
        </w:rPr>
      </w:pPr>
      <w:r>
        <w:rPr>
          <w:bCs/>
          <w:u w:val="single"/>
        </w:rPr>
        <w:t xml:space="preserve">Allowed topics list </w:t>
      </w:r>
    </w:p>
    <w:p w14:paraId="042511FA" w14:textId="24794894" w:rsidR="00102786" w:rsidRDefault="00102786" w:rsidP="00721731">
      <w:r>
        <w:t xml:space="preserve">The list below </w:t>
      </w:r>
      <w:r w:rsidR="00D579E6">
        <w:t>cover</w:t>
      </w:r>
      <w:r w:rsidR="00E17BCF">
        <w:t>s</w:t>
      </w:r>
      <w:r w:rsidR="00D579E6">
        <w:t xml:space="preserve"> </w:t>
      </w:r>
      <w:r>
        <w:t xml:space="preserve">specific topics </w:t>
      </w:r>
      <w:r w:rsidR="00E17BCF">
        <w:t xml:space="preserve">that </w:t>
      </w:r>
      <w:r w:rsidR="003D79CD">
        <w:t xml:space="preserve">relate </w:t>
      </w:r>
      <w:r w:rsidR="009F5F59">
        <w:t>to</w:t>
      </w:r>
      <w:r w:rsidR="003D79CD">
        <w:t xml:space="preserve"> </w:t>
      </w:r>
      <w:r>
        <w:t>a</w:t>
      </w:r>
      <w:r w:rsidR="00C14268">
        <w:t xml:space="preserve"> member’s interest in the fund for the purpose of providing </w:t>
      </w:r>
      <w:r>
        <w:t>collectively charged advice.</w:t>
      </w:r>
    </w:p>
    <w:p w14:paraId="04A5CE35" w14:textId="67FD041B" w:rsidR="00721731" w:rsidRDefault="00DB7CDC" w:rsidP="00721731">
      <w:r>
        <w:t>Specifically</w:t>
      </w:r>
      <w:r w:rsidR="00027467">
        <w:t>, s</w:t>
      </w:r>
      <w:r w:rsidR="00721731">
        <w:t xml:space="preserve">ection 99F(1A) of the exposure draft amendments to the SIS Act would provide that advice is </w:t>
      </w:r>
      <w:r w:rsidR="00721731" w:rsidRPr="00AD7712">
        <w:t>taken to relate to a financial product that is a beneficial interest of a kind mentioned in that subparagraph if the advice is given in circumstances prescribed by the regulations for the purposes of this subsection.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7"/>
        <w:gridCol w:w="4257"/>
      </w:tblGrid>
      <w:tr w:rsidR="00721731" w14:paraId="6ACD13F1" w14:textId="77777777" w:rsidTr="00102786">
        <w:tc>
          <w:tcPr>
            <w:tcW w:w="4237" w:type="dxa"/>
          </w:tcPr>
          <w:p w14:paraId="41344167" w14:textId="77777777" w:rsidR="00721731" w:rsidRPr="008269A0" w:rsidRDefault="00721731">
            <w:pPr>
              <w:jc w:val="center"/>
              <w:rPr>
                <w:b/>
                <w:bCs/>
              </w:rPr>
            </w:pPr>
            <w:r w:rsidRPr="008269A0">
              <w:rPr>
                <w:b/>
                <w:bCs/>
              </w:rPr>
              <w:t>Topic</w:t>
            </w:r>
          </w:p>
        </w:tc>
        <w:tc>
          <w:tcPr>
            <w:tcW w:w="4257" w:type="dxa"/>
          </w:tcPr>
          <w:p w14:paraId="0CBDDCD2" w14:textId="77777777" w:rsidR="00721731" w:rsidRPr="008269A0" w:rsidRDefault="00721731">
            <w:pPr>
              <w:jc w:val="center"/>
              <w:rPr>
                <w:b/>
                <w:bCs/>
              </w:rPr>
            </w:pPr>
            <w:r w:rsidRPr="008269A0">
              <w:rPr>
                <w:b/>
                <w:bCs/>
              </w:rPr>
              <w:t>Example</w:t>
            </w:r>
            <w:r>
              <w:rPr>
                <w:b/>
                <w:bCs/>
              </w:rPr>
              <w:t>s of intended coverage</w:t>
            </w:r>
          </w:p>
        </w:tc>
      </w:tr>
      <w:tr w:rsidR="00721731" w14:paraId="451AB7F5" w14:textId="77777777" w:rsidTr="00102786">
        <w:tc>
          <w:tcPr>
            <w:tcW w:w="4237" w:type="dxa"/>
          </w:tcPr>
          <w:p w14:paraId="5882F278" w14:textId="2562300F" w:rsidR="00721731" w:rsidRDefault="00EC32D6">
            <w:r>
              <w:t>Superannuation</w:t>
            </w:r>
            <w:r w:rsidR="00721731">
              <w:t xml:space="preserve"> contributions</w:t>
            </w:r>
          </w:p>
        </w:tc>
        <w:tc>
          <w:tcPr>
            <w:tcW w:w="4257" w:type="dxa"/>
          </w:tcPr>
          <w:p w14:paraId="329CD16B" w14:textId="7E81D74C" w:rsidR="00721731" w:rsidRDefault="00721731">
            <w:r>
              <w:t>Advice about making concessional/non-concessional contributions, spousal contribution or splitting and other relevant contribution options such as work test, downsizer, salary sacrifice.</w:t>
            </w:r>
          </w:p>
        </w:tc>
      </w:tr>
      <w:tr w:rsidR="00721731" w14:paraId="477C29E1" w14:textId="77777777" w:rsidTr="00102786">
        <w:tc>
          <w:tcPr>
            <w:tcW w:w="4237" w:type="dxa"/>
          </w:tcPr>
          <w:p w14:paraId="2D1013C9" w14:textId="77777777" w:rsidR="00721731" w:rsidRDefault="00721731">
            <w:r>
              <w:t>Investment options</w:t>
            </w:r>
          </w:p>
        </w:tc>
        <w:tc>
          <w:tcPr>
            <w:tcW w:w="4257" w:type="dxa"/>
          </w:tcPr>
          <w:p w14:paraId="5CD3E16E" w14:textId="77777777" w:rsidR="00721731" w:rsidRDefault="00721731">
            <w:r>
              <w:t>Advice regarding changing investment options within the fund based on characteristics or goals of the member.</w:t>
            </w:r>
          </w:p>
        </w:tc>
      </w:tr>
      <w:tr w:rsidR="00721731" w14:paraId="3D11400F" w14:textId="77777777" w:rsidTr="00102786">
        <w:tc>
          <w:tcPr>
            <w:tcW w:w="4237" w:type="dxa"/>
          </w:tcPr>
          <w:p w14:paraId="015F6C51" w14:textId="77777777" w:rsidR="00721731" w:rsidRDefault="00721731">
            <w:r>
              <w:t>Insurance held through superannuation</w:t>
            </w:r>
          </w:p>
        </w:tc>
        <w:tc>
          <w:tcPr>
            <w:tcW w:w="4257" w:type="dxa"/>
          </w:tcPr>
          <w:p w14:paraId="44CB0F28" w14:textId="030C3FF8" w:rsidR="00721731" w:rsidRDefault="00721731">
            <w:r>
              <w:t xml:space="preserve">Advice </w:t>
            </w:r>
            <w:r w:rsidR="001A447A">
              <w:t>on</w:t>
            </w:r>
            <w:r>
              <w:rPr>
                <w:lang w:val="en-US"/>
              </w:rPr>
              <w:t xml:space="preserve"> the extent of cover provided and different types of cover available</w:t>
            </w:r>
            <w:r w:rsidR="00C04C27">
              <w:rPr>
                <w:lang w:val="en-US"/>
              </w:rPr>
              <w:t xml:space="preserve"> through the member’s superannuation fund</w:t>
            </w:r>
            <w:r w:rsidRPr="00A328E8">
              <w:rPr>
                <w:lang w:val="en-US"/>
              </w:rPr>
              <w:t>.</w:t>
            </w:r>
          </w:p>
        </w:tc>
      </w:tr>
      <w:tr w:rsidR="00721731" w14:paraId="13C4E71D" w14:textId="77777777" w:rsidTr="00102786">
        <w:tc>
          <w:tcPr>
            <w:tcW w:w="4237" w:type="dxa"/>
          </w:tcPr>
          <w:p w14:paraId="59D34C2D" w14:textId="77777777" w:rsidR="00721731" w:rsidRDefault="00721731">
            <w:r>
              <w:t xml:space="preserve">Retirement income </w:t>
            </w:r>
          </w:p>
        </w:tc>
        <w:tc>
          <w:tcPr>
            <w:tcW w:w="4257" w:type="dxa"/>
          </w:tcPr>
          <w:p w14:paraId="1A1E3430" w14:textId="02F622F1" w:rsidR="00721731" w:rsidRDefault="00721731">
            <w:r>
              <w:t>Advice about planning for retirement</w:t>
            </w:r>
            <w:r w:rsidR="00BC477E">
              <w:t xml:space="preserve"> through superannuation</w:t>
            </w:r>
            <w:r>
              <w:t>; transition to retirement products; retirement income solutions including products, drawdown strategies,</w:t>
            </w:r>
            <w:r w:rsidDel="007A72E7">
              <w:t xml:space="preserve"> </w:t>
            </w:r>
            <w:r>
              <w:t>lump sum withdrawals, and longevity protection.</w:t>
            </w:r>
          </w:p>
        </w:tc>
      </w:tr>
    </w:tbl>
    <w:p w14:paraId="03E2F691" w14:textId="51CFD3A6" w:rsidR="00721731" w:rsidRDefault="004966D7" w:rsidP="004966D7">
      <w:pPr>
        <w:tabs>
          <w:tab w:val="left" w:pos="7568"/>
        </w:tabs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3519C08A" w14:textId="77777777" w:rsidR="00721731" w:rsidRPr="004D0912" w:rsidRDefault="00721731" w:rsidP="004D0912">
      <w:pPr>
        <w:pStyle w:val="Heading3"/>
        <w:rPr>
          <w:bCs/>
          <w:u w:val="single"/>
        </w:rPr>
      </w:pPr>
      <w:r>
        <w:rPr>
          <w:bCs/>
          <w:u w:val="single"/>
        </w:rPr>
        <w:lastRenderedPageBreak/>
        <w:t xml:space="preserve">Allowed circumstances list </w:t>
      </w:r>
    </w:p>
    <w:p w14:paraId="5B405C3F" w14:textId="79548E7A" w:rsidR="00C365E7" w:rsidRDefault="00C365E7" w:rsidP="00C365E7">
      <w:r>
        <w:t xml:space="preserve">The </w:t>
      </w:r>
      <w:r w:rsidR="00B020C9">
        <w:t xml:space="preserve">list below </w:t>
      </w:r>
      <w:r w:rsidR="00334147">
        <w:t xml:space="preserve">covers the </w:t>
      </w:r>
      <w:r>
        <w:t xml:space="preserve">broader personal circumstances that a trustee may consider when providing members with collectively charged advice.  </w:t>
      </w:r>
    </w:p>
    <w:p w14:paraId="6F16ADA1" w14:textId="6632BB0F" w:rsidR="00EE5114" w:rsidRDefault="00EE5114" w:rsidP="00721731">
      <w:r>
        <w:t xml:space="preserve">Circumstances may be information </w:t>
      </w:r>
      <w:r w:rsidRPr="003402D6">
        <w:t>required</w:t>
      </w:r>
      <w:r>
        <w:t xml:space="preserve"> or relevant </w:t>
      </w:r>
      <w:r w:rsidRPr="003402D6">
        <w:t xml:space="preserve">to </w:t>
      </w:r>
      <w:r>
        <w:t xml:space="preserve">understanding the member’s objectives, financial situation and needs within superannuation. However, the circumstances considered </w:t>
      </w:r>
      <w:r w:rsidRPr="003402D6">
        <w:t>cannot be the primary subject of personal advice</w:t>
      </w:r>
      <w:r w:rsidR="00476897">
        <w:t xml:space="preserve"> that is collectively charged</w:t>
      </w:r>
      <w:r>
        <w:t xml:space="preserve">. </w:t>
      </w:r>
    </w:p>
    <w:p w14:paraId="37FC39E3" w14:textId="1A6D0BFD" w:rsidR="00721731" w:rsidRDefault="009E3D71" w:rsidP="00721731">
      <w:r>
        <w:t>Specifically</w:t>
      </w:r>
      <w:r w:rsidR="00D30BE0">
        <w:t>, p</w:t>
      </w:r>
      <w:r w:rsidR="00721731">
        <w:t xml:space="preserve">roposed section 99F(1C) of the exposure draft amendments to the SIS Act explains that regulations can prescribe circumstances relating to </w:t>
      </w:r>
      <w:r w:rsidR="008D1B52">
        <w:t xml:space="preserve">the </w:t>
      </w:r>
      <w:r w:rsidR="00721731">
        <w:t>topic of the advice; the person to whom the advice is provided</w:t>
      </w:r>
      <w:r w:rsidR="00A07C35">
        <w:t>;</w:t>
      </w:r>
      <w:r w:rsidR="00721731">
        <w:t xml:space="preserve"> or personal circumstances of that person that </w:t>
      </w:r>
      <w:r w:rsidR="008D1B52">
        <w:t xml:space="preserve">can be </w:t>
      </w:r>
      <w:r w:rsidR="00721731">
        <w:t xml:space="preserve">taken into account in providing the advice.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7"/>
        <w:gridCol w:w="4257"/>
      </w:tblGrid>
      <w:tr w:rsidR="00721731" w14:paraId="6FEA501C" w14:textId="77777777" w:rsidTr="00EE5114">
        <w:tc>
          <w:tcPr>
            <w:tcW w:w="4237" w:type="dxa"/>
          </w:tcPr>
          <w:p w14:paraId="18854559" w14:textId="7636EA19" w:rsidR="00721731" w:rsidRPr="008269A0" w:rsidRDefault="009F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Circumstances </w:t>
            </w:r>
            <w:r w:rsidR="00D36A99">
              <w:rPr>
                <w:b/>
                <w:bCs/>
              </w:rPr>
              <w:t>which can be c</w:t>
            </w:r>
            <w:r w:rsidR="00721731">
              <w:rPr>
                <w:b/>
                <w:bCs/>
              </w:rPr>
              <w:t>onsider</w:t>
            </w:r>
            <w:r w:rsidR="00D36A99">
              <w:rPr>
                <w:b/>
                <w:bCs/>
              </w:rPr>
              <w:t>ed</w:t>
            </w:r>
            <w:r w:rsidR="00721731">
              <w:rPr>
                <w:b/>
                <w:bCs/>
              </w:rPr>
              <w:t xml:space="preserve"> </w:t>
            </w:r>
          </w:p>
        </w:tc>
        <w:tc>
          <w:tcPr>
            <w:tcW w:w="4257" w:type="dxa"/>
          </w:tcPr>
          <w:p w14:paraId="4BC2169D" w14:textId="77777777" w:rsidR="00721731" w:rsidRPr="008269A0" w:rsidRDefault="00721731">
            <w:pPr>
              <w:jc w:val="center"/>
              <w:rPr>
                <w:b/>
                <w:bCs/>
              </w:rPr>
            </w:pPr>
            <w:r w:rsidRPr="008269A0">
              <w:rPr>
                <w:b/>
                <w:bCs/>
              </w:rPr>
              <w:t>Example</w:t>
            </w:r>
            <w:r>
              <w:rPr>
                <w:b/>
                <w:bCs/>
              </w:rPr>
              <w:t>s of intended coverage</w:t>
            </w:r>
          </w:p>
        </w:tc>
      </w:tr>
      <w:tr w:rsidR="00721731" w14:paraId="48C93DE7" w14:textId="77777777" w:rsidTr="00EE5114">
        <w:tc>
          <w:tcPr>
            <w:tcW w:w="4237" w:type="dxa"/>
            <w:vAlign w:val="center"/>
          </w:tcPr>
          <w:p w14:paraId="0B104287" w14:textId="77777777" w:rsidR="00721731" w:rsidRPr="00C56227" w:rsidRDefault="00721731">
            <w:r w:rsidRPr="00C56227">
              <w:rPr>
                <w:rFonts w:cstheme="minorHAnsi"/>
              </w:rPr>
              <w:t>Cashflow and income</w:t>
            </w:r>
            <w:r>
              <w:rPr>
                <w:rFonts w:cstheme="minorHAnsi"/>
              </w:rPr>
              <w:t xml:space="preserve"> of the member’s household </w:t>
            </w:r>
          </w:p>
        </w:tc>
        <w:tc>
          <w:tcPr>
            <w:tcW w:w="4257" w:type="dxa"/>
            <w:vAlign w:val="center"/>
          </w:tcPr>
          <w:p w14:paraId="09D4EE5E" w14:textId="27904D21" w:rsidR="00721731" w:rsidRPr="00C56227" w:rsidRDefault="00721731">
            <w:r>
              <w:rPr>
                <w:rFonts w:cstheme="minorHAnsi"/>
              </w:rPr>
              <w:t>Collecting c</w:t>
            </w:r>
            <w:r w:rsidRPr="00C56227">
              <w:rPr>
                <w:rFonts w:cstheme="minorHAnsi"/>
              </w:rPr>
              <w:t>ashflow and income</w:t>
            </w:r>
            <w:r>
              <w:rPr>
                <w:rFonts w:cstheme="minorHAnsi"/>
              </w:rPr>
              <w:t xml:space="preserve"> information to inform advice on the adequacy of </w:t>
            </w:r>
            <w:r w:rsidR="007B5E04">
              <w:rPr>
                <w:rFonts w:cstheme="minorHAnsi"/>
              </w:rPr>
              <w:t xml:space="preserve">superannuation </w:t>
            </w:r>
            <w:r>
              <w:rPr>
                <w:rFonts w:cstheme="minorHAnsi"/>
              </w:rPr>
              <w:t>income in retirement or to assist in product choice.</w:t>
            </w:r>
          </w:p>
        </w:tc>
      </w:tr>
      <w:tr w:rsidR="00721731" w14:paraId="20D54537" w14:textId="77777777" w:rsidTr="00EE5114">
        <w:tc>
          <w:tcPr>
            <w:tcW w:w="4237" w:type="dxa"/>
            <w:vAlign w:val="center"/>
          </w:tcPr>
          <w:p w14:paraId="6B5891C5" w14:textId="4323C2AE" w:rsidR="00721731" w:rsidRPr="00C56227" w:rsidRDefault="00721731">
            <w:r w:rsidRPr="00C56227">
              <w:rPr>
                <w:rFonts w:cstheme="minorHAnsi"/>
              </w:rPr>
              <w:t>Assets and interests held outside of super</w:t>
            </w:r>
            <w:r>
              <w:rPr>
                <w:rFonts w:cstheme="minorHAnsi"/>
              </w:rPr>
              <w:t xml:space="preserve"> </w:t>
            </w:r>
            <w:r w:rsidR="005617E3">
              <w:rPr>
                <w:rFonts w:cstheme="minorHAnsi"/>
              </w:rPr>
              <w:t>by</w:t>
            </w:r>
            <w:r>
              <w:rPr>
                <w:rFonts w:cstheme="minorHAnsi"/>
              </w:rPr>
              <w:t xml:space="preserve"> the member’s household</w:t>
            </w:r>
          </w:p>
        </w:tc>
        <w:tc>
          <w:tcPr>
            <w:tcW w:w="4257" w:type="dxa"/>
            <w:vAlign w:val="center"/>
          </w:tcPr>
          <w:p w14:paraId="3FDD1E04" w14:textId="77777777" w:rsidR="00721731" w:rsidRPr="00C56227" w:rsidRDefault="00721731">
            <w:r w:rsidRPr="00C56227">
              <w:rPr>
                <w:rFonts w:cstheme="minorHAnsi"/>
              </w:rPr>
              <w:t>Property; cash; insurance; securities.</w:t>
            </w:r>
          </w:p>
        </w:tc>
      </w:tr>
      <w:tr w:rsidR="00721731" w14:paraId="51079BB9" w14:textId="77777777" w:rsidTr="00EE5114">
        <w:tc>
          <w:tcPr>
            <w:tcW w:w="4237" w:type="dxa"/>
            <w:vAlign w:val="center"/>
          </w:tcPr>
          <w:p w14:paraId="30CD0694" w14:textId="6EB22C34" w:rsidR="00721731" w:rsidRPr="00C56227" w:rsidRDefault="00721731">
            <w:r w:rsidRPr="00C56227">
              <w:rPr>
                <w:rFonts w:cstheme="minorHAnsi"/>
              </w:rPr>
              <w:t>Financial position of the</w:t>
            </w:r>
            <w:r w:rsidR="00CB2240">
              <w:rPr>
                <w:rFonts w:cstheme="minorHAnsi"/>
              </w:rPr>
              <w:t xml:space="preserve"> member’s</w:t>
            </w:r>
            <w:r w:rsidRPr="00C56227">
              <w:rPr>
                <w:rFonts w:cstheme="minorHAnsi"/>
              </w:rPr>
              <w:t xml:space="preserve"> spouse</w:t>
            </w:r>
          </w:p>
        </w:tc>
        <w:tc>
          <w:tcPr>
            <w:tcW w:w="4257" w:type="dxa"/>
            <w:vAlign w:val="center"/>
          </w:tcPr>
          <w:p w14:paraId="44822D10" w14:textId="77777777" w:rsidR="00721731" w:rsidRPr="00C56227" w:rsidRDefault="00721731">
            <w:r w:rsidRPr="00C56227">
              <w:t>Spouse income; spouse superannuation; spouse eligibility for government services</w:t>
            </w:r>
            <w:r>
              <w:t xml:space="preserve">; spouse assets and debts. </w:t>
            </w:r>
          </w:p>
        </w:tc>
      </w:tr>
      <w:tr w:rsidR="00721731" w14:paraId="0773872E" w14:textId="77777777" w:rsidTr="00EE5114">
        <w:tc>
          <w:tcPr>
            <w:tcW w:w="4237" w:type="dxa"/>
            <w:vAlign w:val="center"/>
          </w:tcPr>
          <w:p w14:paraId="2BEDEB0A" w14:textId="77777777" w:rsidR="00721731" w:rsidRPr="00C56227" w:rsidRDefault="00721731">
            <w:pPr>
              <w:rPr>
                <w:rFonts w:cstheme="minorHAnsi"/>
              </w:rPr>
            </w:pPr>
            <w:r w:rsidRPr="00C56227">
              <w:rPr>
                <w:rFonts w:cstheme="minorHAnsi"/>
              </w:rPr>
              <w:t>Debts and liabilities</w:t>
            </w:r>
            <w:r>
              <w:rPr>
                <w:rFonts w:cstheme="minorHAnsi"/>
              </w:rPr>
              <w:t xml:space="preserve"> of the member’s household</w:t>
            </w:r>
          </w:p>
        </w:tc>
        <w:tc>
          <w:tcPr>
            <w:tcW w:w="4257" w:type="dxa"/>
            <w:vAlign w:val="center"/>
          </w:tcPr>
          <w:p w14:paraId="615EA883" w14:textId="77777777" w:rsidR="00721731" w:rsidRPr="00C56227" w:rsidRDefault="00721731">
            <w:pPr>
              <w:rPr>
                <w:rFonts w:cstheme="minorHAnsi"/>
              </w:rPr>
            </w:pPr>
            <w:r w:rsidRPr="00C56227">
              <w:rPr>
                <w:rFonts w:cstheme="minorHAnsi"/>
              </w:rPr>
              <w:t>Mortgage; loans.</w:t>
            </w:r>
          </w:p>
        </w:tc>
      </w:tr>
      <w:tr w:rsidR="00721731" w14:paraId="5AAE66F6" w14:textId="77777777" w:rsidTr="00EE5114">
        <w:tc>
          <w:tcPr>
            <w:tcW w:w="4237" w:type="dxa"/>
            <w:vAlign w:val="center"/>
          </w:tcPr>
          <w:p w14:paraId="76159E2A" w14:textId="77777777" w:rsidR="00721731" w:rsidRPr="00C56227" w:rsidRDefault="00721731">
            <w:pPr>
              <w:rPr>
                <w:rFonts w:cstheme="minorHAnsi"/>
              </w:rPr>
            </w:pPr>
            <w:r w:rsidRPr="00C56227">
              <w:rPr>
                <w:rFonts w:cstheme="minorHAnsi"/>
              </w:rPr>
              <w:t>Eligibility for government services</w:t>
            </w:r>
          </w:p>
        </w:tc>
        <w:tc>
          <w:tcPr>
            <w:tcW w:w="4257" w:type="dxa"/>
            <w:vAlign w:val="center"/>
          </w:tcPr>
          <w:p w14:paraId="3661A2C6" w14:textId="77777777" w:rsidR="00721731" w:rsidRPr="00C56227" w:rsidRDefault="00721731">
            <w:pPr>
              <w:rPr>
                <w:rFonts w:cstheme="minorHAnsi"/>
              </w:rPr>
            </w:pPr>
            <w:r>
              <w:rPr>
                <w:rFonts w:cstheme="minorHAnsi"/>
              </w:rPr>
              <w:t>Eligibility for A</w:t>
            </w:r>
            <w:r w:rsidRPr="00C56227">
              <w:rPr>
                <w:rFonts w:cstheme="minorHAnsi"/>
              </w:rPr>
              <w:t xml:space="preserve">ge </w:t>
            </w:r>
            <w:r>
              <w:rPr>
                <w:rFonts w:cstheme="minorHAnsi"/>
              </w:rPr>
              <w:t>P</w:t>
            </w:r>
            <w:r w:rsidRPr="00C56227">
              <w:rPr>
                <w:rFonts w:cstheme="minorHAnsi"/>
              </w:rPr>
              <w:t>ension</w:t>
            </w:r>
            <w:r>
              <w:rPr>
                <w:rFonts w:cstheme="minorHAnsi"/>
              </w:rPr>
              <w:t>, C</w:t>
            </w:r>
            <w:r w:rsidRPr="00C56227">
              <w:rPr>
                <w:rFonts w:cstheme="minorHAnsi"/>
              </w:rPr>
              <w:t xml:space="preserve">arers </w:t>
            </w:r>
            <w:r>
              <w:rPr>
                <w:rFonts w:cstheme="minorHAnsi"/>
              </w:rPr>
              <w:t>A</w:t>
            </w:r>
            <w:r w:rsidRPr="00C56227">
              <w:rPr>
                <w:rFonts w:cstheme="minorHAnsi"/>
              </w:rPr>
              <w:t>llowance</w:t>
            </w:r>
            <w:r>
              <w:rPr>
                <w:rFonts w:cstheme="minorHAnsi"/>
              </w:rPr>
              <w:t xml:space="preserve"> or other </w:t>
            </w:r>
            <w:r w:rsidRPr="00C56227">
              <w:rPr>
                <w:rFonts w:cstheme="minorHAnsi"/>
              </w:rPr>
              <w:t>government support payments</w:t>
            </w:r>
            <w:r>
              <w:rPr>
                <w:rFonts w:cstheme="minorHAnsi"/>
              </w:rPr>
              <w:t xml:space="preserve"> or </w:t>
            </w:r>
            <w:r w:rsidRPr="00C56227">
              <w:rPr>
                <w:rFonts w:cstheme="minorHAnsi"/>
              </w:rPr>
              <w:t>support services.</w:t>
            </w:r>
          </w:p>
        </w:tc>
      </w:tr>
    </w:tbl>
    <w:p w14:paraId="6CD4E50D" w14:textId="77777777" w:rsidR="00721731" w:rsidRPr="004D0912" w:rsidRDefault="00721731" w:rsidP="004D0912">
      <w:pPr>
        <w:pStyle w:val="Heading3"/>
        <w:rPr>
          <w:bCs/>
          <w:u w:val="single"/>
        </w:rPr>
      </w:pPr>
      <w:r w:rsidRPr="004D0912">
        <w:rPr>
          <w:bCs/>
          <w:u w:val="single"/>
        </w:rPr>
        <w:t xml:space="preserve">Disallowed topics list </w:t>
      </w:r>
      <w:r w:rsidRPr="00965397">
        <w:rPr>
          <w:bCs/>
          <w:u w:val="single"/>
        </w:rPr>
        <w:t xml:space="preserve"> </w:t>
      </w:r>
    </w:p>
    <w:p w14:paraId="3017B6FD" w14:textId="6F7A1039" w:rsidR="000B14E7" w:rsidRDefault="00033085" w:rsidP="000B14E7">
      <w:r>
        <w:t>The list below</w:t>
      </w:r>
      <w:r w:rsidR="000B14E7">
        <w:t xml:space="preserve"> covers specific topics that </w:t>
      </w:r>
      <w:r w:rsidR="00F276B3">
        <w:t xml:space="preserve">do not </w:t>
      </w:r>
      <w:r w:rsidR="000B14E7">
        <w:t xml:space="preserve">relate </w:t>
      </w:r>
      <w:r w:rsidR="00F276B3">
        <w:t xml:space="preserve">to </w:t>
      </w:r>
      <w:r w:rsidR="000B14E7">
        <w:t>a member’s interest in the fund for the purpose of providing collectively charged advice.</w:t>
      </w:r>
      <w:r w:rsidR="00441737">
        <w:t xml:space="preserve"> </w:t>
      </w:r>
      <w:r w:rsidR="00F56771">
        <w:t>Trustees</w:t>
      </w:r>
      <w:r w:rsidR="00441737">
        <w:t xml:space="preserve"> would not be able to collectively charge for advice on these topics.</w:t>
      </w:r>
    </w:p>
    <w:p w14:paraId="3E6415FD" w14:textId="62A93249" w:rsidR="00721731" w:rsidRPr="00227684" w:rsidRDefault="00030992" w:rsidP="00721731">
      <w:r>
        <w:t>Specifically</w:t>
      </w:r>
      <w:r w:rsidR="00546E94">
        <w:t>, p</w:t>
      </w:r>
      <w:r w:rsidR="00721731">
        <w:t xml:space="preserve">roposed section 99F(1B) of the exposure draft amendments to the SIS Act would provide that </w:t>
      </w:r>
      <w:r w:rsidR="00721731" w:rsidRPr="00227684">
        <w:t>advice is taken to relate to a financial product that is not a beneficial interest of a kind mentioned in that subparagraph if the advice is given in circumstances prescribed by the regulations for the purposes of this subsection.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21731" w14:paraId="3919D3C2" w14:textId="77777777" w:rsidTr="00033085">
        <w:tc>
          <w:tcPr>
            <w:tcW w:w="4247" w:type="dxa"/>
          </w:tcPr>
          <w:p w14:paraId="10A7AB2B" w14:textId="77777777" w:rsidR="00721731" w:rsidRPr="008269A0" w:rsidRDefault="00721731">
            <w:pPr>
              <w:jc w:val="center"/>
              <w:rPr>
                <w:b/>
                <w:bCs/>
              </w:rPr>
            </w:pPr>
            <w:r w:rsidRPr="008269A0">
              <w:rPr>
                <w:b/>
                <w:bCs/>
              </w:rPr>
              <w:t>Topic</w:t>
            </w:r>
          </w:p>
        </w:tc>
        <w:tc>
          <w:tcPr>
            <w:tcW w:w="4247" w:type="dxa"/>
          </w:tcPr>
          <w:p w14:paraId="0B5E3B69" w14:textId="77777777" w:rsidR="00721731" w:rsidRPr="008269A0" w:rsidRDefault="00721731">
            <w:pPr>
              <w:jc w:val="center"/>
              <w:rPr>
                <w:b/>
                <w:bCs/>
              </w:rPr>
            </w:pPr>
            <w:r w:rsidRPr="008269A0">
              <w:rPr>
                <w:b/>
                <w:bCs/>
              </w:rPr>
              <w:t>Example</w:t>
            </w:r>
            <w:r>
              <w:rPr>
                <w:b/>
                <w:bCs/>
              </w:rPr>
              <w:t>s</w:t>
            </w:r>
          </w:p>
        </w:tc>
      </w:tr>
      <w:tr w:rsidR="00721731" w14:paraId="3C6E5F4E" w14:textId="77777777" w:rsidTr="00033085">
        <w:tc>
          <w:tcPr>
            <w:tcW w:w="4247" w:type="dxa"/>
            <w:vAlign w:val="center"/>
          </w:tcPr>
          <w:p w14:paraId="2EDD7E30" w14:textId="7B5E690A" w:rsidR="00721731" w:rsidRPr="008378CE" w:rsidRDefault="0016552A">
            <w:r>
              <w:rPr>
                <w:rFonts w:cstheme="minorHAnsi"/>
              </w:rPr>
              <w:t>Purchase or disposal of a</w:t>
            </w:r>
            <w:r w:rsidR="00721731" w:rsidRPr="008378CE">
              <w:rPr>
                <w:rFonts w:cstheme="minorHAnsi"/>
              </w:rPr>
              <w:t xml:space="preserve">ssets </w:t>
            </w:r>
            <w:r w:rsidR="00B5517C">
              <w:rPr>
                <w:rFonts w:cstheme="minorHAnsi"/>
              </w:rPr>
              <w:t>held outside of superannuation</w:t>
            </w:r>
          </w:p>
        </w:tc>
        <w:tc>
          <w:tcPr>
            <w:tcW w:w="4247" w:type="dxa"/>
            <w:vAlign w:val="center"/>
          </w:tcPr>
          <w:p w14:paraId="023EC092" w14:textId="02ECCA65" w:rsidR="00721731" w:rsidRPr="008378CE" w:rsidRDefault="001802C2">
            <w:r>
              <w:rPr>
                <w:rFonts w:cstheme="minorHAnsi"/>
              </w:rPr>
              <w:t>Advice on p</w:t>
            </w:r>
            <w:r w:rsidR="00721731" w:rsidRPr="008378CE">
              <w:rPr>
                <w:rFonts w:cstheme="minorHAnsi"/>
              </w:rPr>
              <w:t>roperty</w:t>
            </w:r>
            <w:r w:rsidR="00F73161">
              <w:rPr>
                <w:rFonts w:cstheme="minorHAnsi"/>
              </w:rPr>
              <w:t>, businesses,</w:t>
            </w:r>
            <w:r w:rsidR="00BB6B46">
              <w:rPr>
                <w:rFonts w:cstheme="minorHAnsi"/>
              </w:rPr>
              <w:t xml:space="preserve"> </w:t>
            </w:r>
            <w:r w:rsidR="00822881">
              <w:rPr>
                <w:rFonts w:cstheme="minorHAnsi"/>
              </w:rPr>
              <w:t xml:space="preserve">or other personal assets </w:t>
            </w:r>
            <w:r w:rsidR="00BB6B46">
              <w:rPr>
                <w:rFonts w:cstheme="minorHAnsi"/>
              </w:rPr>
              <w:t>held by the member’s household</w:t>
            </w:r>
            <w:r w:rsidR="00721731">
              <w:rPr>
                <w:rFonts w:cstheme="minorHAnsi"/>
              </w:rPr>
              <w:t>.</w:t>
            </w:r>
            <w:r w:rsidR="00721731" w:rsidRPr="008378CE">
              <w:rPr>
                <w:rFonts w:cstheme="minorHAnsi"/>
              </w:rPr>
              <w:t xml:space="preserve"> </w:t>
            </w:r>
          </w:p>
        </w:tc>
      </w:tr>
      <w:tr w:rsidR="0088427E" w14:paraId="2F9256F0" w14:textId="77777777" w:rsidTr="00033085">
        <w:tc>
          <w:tcPr>
            <w:tcW w:w="4247" w:type="dxa"/>
            <w:vAlign w:val="center"/>
          </w:tcPr>
          <w:p w14:paraId="50B79F92" w14:textId="0CD4B37D" w:rsidR="0088427E" w:rsidRDefault="00932546" w:rsidP="008842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Purchase or disposal of f</w:t>
            </w:r>
            <w:r w:rsidR="0088427E">
              <w:rPr>
                <w:rFonts w:cstheme="minorHAnsi"/>
              </w:rPr>
              <w:t xml:space="preserve">inancial </w:t>
            </w:r>
            <w:r w:rsidR="0088427E" w:rsidRPr="008378CE">
              <w:rPr>
                <w:rFonts w:cstheme="minorHAnsi"/>
              </w:rPr>
              <w:t xml:space="preserve">products held outside </w:t>
            </w:r>
            <w:r w:rsidR="0088427E">
              <w:rPr>
                <w:rFonts w:cstheme="minorHAnsi"/>
              </w:rPr>
              <w:t>of superannuation.</w:t>
            </w:r>
            <w:r w:rsidR="0088427E" w:rsidRPr="008378CE">
              <w:rPr>
                <w:rFonts w:cstheme="minorHAnsi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2F717B42" w14:textId="5D017697" w:rsidR="0088427E" w:rsidRDefault="00EE7A77" w:rsidP="0088427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8427E" w:rsidRPr="008378CE">
              <w:rPr>
                <w:rFonts w:cstheme="minorHAnsi"/>
              </w:rPr>
              <w:t>nsurance</w:t>
            </w:r>
            <w:r w:rsidR="000D090D">
              <w:rPr>
                <w:rFonts w:cstheme="minorHAnsi"/>
              </w:rPr>
              <w:t xml:space="preserve"> held outside of superannuation</w:t>
            </w:r>
            <w:r w:rsidR="0088427E" w:rsidRPr="008378CE">
              <w:rPr>
                <w:rFonts w:cstheme="minorHAnsi"/>
              </w:rPr>
              <w:t xml:space="preserve">; Managed Investment Schemes; </w:t>
            </w:r>
            <w:r w:rsidR="0088427E">
              <w:rPr>
                <w:rFonts w:cstheme="minorHAnsi"/>
              </w:rPr>
              <w:t>i</w:t>
            </w:r>
            <w:r w:rsidR="0088427E" w:rsidRPr="008378CE">
              <w:rPr>
                <w:rFonts w:cstheme="minorHAnsi"/>
              </w:rPr>
              <w:t>nterest in a self-managed super fund; banking products</w:t>
            </w:r>
            <w:r w:rsidR="0088427E">
              <w:rPr>
                <w:rFonts w:cstheme="minorHAnsi"/>
              </w:rPr>
              <w:t>; personal loans</w:t>
            </w:r>
            <w:r w:rsidR="00FC52E1">
              <w:rPr>
                <w:rFonts w:cstheme="minorHAnsi"/>
              </w:rPr>
              <w:t>; commodities; derivatives</w:t>
            </w:r>
            <w:r w:rsidR="00984DA2">
              <w:rPr>
                <w:rFonts w:cstheme="minorHAnsi"/>
              </w:rPr>
              <w:t>; securities</w:t>
            </w:r>
            <w:r w:rsidR="00AC77F3">
              <w:rPr>
                <w:rFonts w:cstheme="minorHAnsi"/>
              </w:rPr>
              <w:t>; foreign exchange</w:t>
            </w:r>
            <w:r w:rsidR="0088427E" w:rsidRPr="008378CE">
              <w:rPr>
                <w:rFonts w:cstheme="minorHAnsi"/>
              </w:rPr>
              <w:t>.</w:t>
            </w:r>
          </w:p>
        </w:tc>
      </w:tr>
      <w:tr w:rsidR="0088427E" w14:paraId="10857536" w14:textId="77777777" w:rsidTr="00033085">
        <w:tc>
          <w:tcPr>
            <w:tcW w:w="4247" w:type="dxa"/>
            <w:vAlign w:val="center"/>
          </w:tcPr>
          <w:p w14:paraId="1B25CF9F" w14:textId="0E0A5EDB" w:rsidR="0088427E" w:rsidRPr="008378CE" w:rsidRDefault="00A155FF" w:rsidP="0088427E">
            <w:pPr>
              <w:rPr>
                <w:rFonts w:cstheme="minorHAnsi"/>
              </w:rPr>
            </w:pPr>
            <w:r>
              <w:rPr>
                <w:rFonts w:cstheme="minorHAnsi"/>
              </w:rPr>
              <w:t>Holistic</w:t>
            </w:r>
            <w:r w:rsidR="0088427E">
              <w:rPr>
                <w:rFonts w:cstheme="minorHAnsi"/>
              </w:rPr>
              <w:t xml:space="preserve"> f</w:t>
            </w:r>
            <w:r w:rsidR="0088427E" w:rsidRPr="008378CE">
              <w:rPr>
                <w:rFonts w:cstheme="minorHAnsi"/>
              </w:rPr>
              <w:t xml:space="preserve">inancial </w:t>
            </w:r>
            <w:r w:rsidR="0088427E">
              <w:rPr>
                <w:rFonts w:cstheme="minorHAnsi"/>
              </w:rPr>
              <w:t>planning</w:t>
            </w:r>
          </w:p>
        </w:tc>
        <w:tc>
          <w:tcPr>
            <w:tcW w:w="4247" w:type="dxa"/>
            <w:vAlign w:val="center"/>
          </w:tcPr>
          <w:p w14:paraId="149AC508" w14:textId="63FE655E" w:rsidR="0088427E" w:rsidRPr="008378CE" w:rsidRDefault="0088427E" w:rsidP="0088427E">
            <w:pPr>
              <w:rPr>
                <w:rFonts w:cstheme="minorHAnsi"/>
              </w:rPr>
            </w:pPr>
            <w:r w:rsidRPr="008378CE">
              <w:rPr>
                <w:rFonts w:cstheme="minorHAnsi"/>
              </w:rPr>
              <w:t>Advice about wealth creation</w:t>
            </w:r>
            <w:r>
              <w:rPr>
                <w:rFonts w:cstheme="minorHAnsi"/>
              </w:rPr>
              <w:t xml:space="preserve"> outside of superannuation; cash-flow management; debt repayment.</w:t>
            </w:r>
          </w:p>
        </w:tc>
      </w:tr>
      <w:tr w:rsidR="0088427E" w14:paraId="39635DF8" w14:textId="77777777" w:rsidTr="00033085">
        <w:tc>
          <w:tcPr>
            <w:tcW w:w="4247" w:type="dxa"/>
            <w:vAlign w:val="center"/>
          </w:tcPr>
          <w:p w14:paraId="05D28C09" w14:textId="75502B78" w:rsidR="0088427E" w:rsidRPr="008378CE" w:rsidRDefault="0088427E" w:rsidP="0088427E">
            <w:r w:rsidRPr="008378CE">
              <w:rPr>
                <w:rFonts w:cstheme="minorHAnsi"/>
              </w:rPr>
              <w:t>Estate</w:t>
            </w:r>
            <w:r>
              <w:rPr>
                <w:rFonts w:cstheme="minorHAnsi"/>
              </w:rPr>
              <w:t xml:space="preserve"> and tax</w:t>
            </w:r>
            <w:r w:rsidRPr="008378CE">
              <w:rPr>
                <w:rFonts w:cstheme="minorHAnsi"/>
              </w:rPr>
              <w:t xml:space="preserve"> planning </w:t>
            </w:r>
          </w:p>
        </w:tc>
        <w:tc>
          <w:tcPr>
            <w:tcW w:w="4247" w:type="dxa"/>
            <w:vAlign w:val="center"/>
          </w:tcPr>
          <w:p w14:paraId="0B764335" w14:textId="248C7410" w:rsidR="0088427E" w:rsidRDefault="0088427E" w:rsidP="0088427E">
            <w:pPr>
              <w:rPr>
                <w:rFonts w:cstheme="minorHAnsi"/>
              </w:rPr>
            </w:pPr>
            <w:r w:rsidRPr="008378CE">
              <w:rPr>
                <w:rFonts w:cstheme="minorHAnsi"/>
              </w:rPr>
              <w:t xml:space="preserve">Advice </w:t>
            </w:r>
            <w:r w:rsidRPr="008378CE" w:rsidDel="00D14244">
              <w:rPr>
                <w:rFonts w:cstheme="minorHAnsi"/>
              </w:rPr>
              <w:t>concern</w:t>
            </w:r>
            <w:r w:rsidDel="00D14244">
              <w:rPr>
                <w:rFonts w:cstheme="minorHAnsi"/>
              </w:rPr>
              <w:t>ing</w:t>
            </w:r>
            <w:r w:rsidRPr="008378CE">
              <w:rPr>
                <w:rFonts w:cstheme="minorHAnsi"/>
              </w:rPr>
              <w:t xml:space="preserve"> </w:t>
            </w:r>
            <w:r w:rsidRPr="002304A1">
              <w:rPr>
                <w:rFonts w:cstheme="minorHAnsi"/>
              </w:rPr>
              <w:t>minimising tax liabilities</w:t>
            </w:r>
            <w:r w:rsidRPr="002304A1" w:rsidDel="00834CFE">
              <w:rPr>
                <w:rFonts w:cstheme="minorHAnsi"/>
              </w:rPr>
              <w:t xml:space="preserve"> </w:t>
            </w:r>
            <w:r w:rsidR="00834CFE">
              <w:rPr>
                <w:rFonts w:cstheme="minorHAnsi"/>
              </w:rPr>
              <w:t xml:space="preserve">on </w:t>
            </w:r>
            <w:r w:rsidRPr="002304A1">
              <w:rPr>
                <w:rFonts w:cstheme="minorHAnsi"/>
              </w:rPr>
              <w:t>non-superannuation assets</w:t>
            </w:r>
            <w:r w:rsidR="000912D9">
              <w:rPr>
                <w:rFonts w:cstheme="minorHAnsi"/>
              </w:rPr>
              <w:t xml:space="preserve"> such </w:t>
            </w:r>
            <w:r w:rsidR="0098027F">
              <w:rPr>
                <w:rFonts w:cstheme="minorHAnsi"/>
              </w:rPr>
              <w:t xml:space="preserve">as the </w:t>
            </w:r>
            <w:r w:rsidR="000912D9">
              <w:rPr>
                <w:rFonts w:cstheme="minorHAnsi"/>
              </w:rPr>
              <w:t xml:space="preserve">use of </w:t>
            </w:r>
            <w:r w:rsidR="00CA533E">
              <w:rPr>
                <w:rFonts w:cstheme="minorHAnsi"/>
              </w:rPr>
              <w:t xml:space="preserve">family </w:t>
            </w:r>
            <w:r w:rsidR="000912D9">
              <w:rPr>
                <w:rFonts w:cstheme="minorHAnsi"/>
              </w:rPr>
              <w:t>trusts</w:t>
            </w:r>
            <w:r w:rsidR="00212328">
              <w:rPr>
                <w:rFonts w:cstheme="minorHAnsi"/>
              </w:rPr>
              <w:t xml:space="preserve"> or compan</w:t>
            </w:r>
            <w:r w:rsidR="0098027F">
              <w:rPr>
                <w:rFonts w:cstheme="minorHAnsi"/>
              </w:rPr>
              <w:t>y structures</w:t>
            </w:r>
            <w:r w:rsidR="00F5730C">
              <w:rPr>
                <w:rFonts w:cstheme="minorHAnsi"/>
              </w:rPr>
              <w:t>;</w:t>
            </w:r>
            <w:r w:rsidR="00834CFE">
              <w:rPr>
                <w:rFonts w:cstheme="minorHAnsi"/>
              </w:rPr>
              <w:t xml:space="preserve"> </w:t>
            </w:r>
            <w:r w:rsidR="008532B4">
              <w:rPr>
                <w:rFonts w:cstheme="minorHAnsi"/>
              </w:rPr>
              <w:t>tax deductions</w:t>
            </w:r>
            <w:r w:rsidR="00ED2252">
              <w:rPr>
                <w:rFonts w:cstheme="minorHAnsi"/>
              </w:rPr>
              <w:t xml:space="preserve"> and offsets</w:t>
            </w:r>
            <w:r w:rsidR="0098027F">
              <w:rPr>
                <w:rFonts w:cstheme="minorHAnsi"/>
              </w:rPr>
              <w:t>.</w:t>
            </w:r>
            <w:r w:rsidR="00F5730C">
              <w:rPr>
                <w:rFonts w:cstheme="minorHAnsi"/>
              </w:rPr>
              <w:t xml:space="preserve"> </w:t>
            </w:r>
          </w:p>
          <w:p w14:paraId="29122D5F" w14:textId="647F874B" w:rsidR="0088427E" w:rsidRPr="00636F84" w:rsidRDefault="0088427E" w:rsidP="0088427E">
            <w:pPr>
              <w:rPr>
                <w:rFonts w:cs="Arial"/>
                <w:lang w:val="en-US"/>
              </w:rPr>
            </w:pPr>
            <w:r w:rsidRPr="009905CA">
              <w:rPr>
                <w:rFonts w:cstheme="minorHAnsi"/>
              </w:rPr>
              <w:t>Note: Information on superannuation beneficiary nominations is not financial advice.</w:t>
            </w:r>
            <w:r>
              <w:rPr>
                <w:rFonts w:cs="Arial"/>
                <w:lang w:val="en-US"/>
              </w:rPr>
              <w:t xml:space="preserve">  </w:t>
            </w:r>
          </w:p>
        </w:tc>
      </w:tr>
    </w:tbl>
    <w:p w14:paraId="7E26823F" w14:textId="77777777" w:rsidR="00E813BB" w:rsidRPr="00E813BB" w:rsidRDefault="00E813BB" w:rsidP="00E813BB"/>
    <w:p w14:paraId="3BCC3126" w14:textId="77777777" w:rsidR="00E81A92" w:rsidRDefault="00E81A92" w:rsidP="00E813BB">
      <w:pPr>
        <w:pStyle w:val="NoSpacing"/>
      </w:pPr>
    </w:p>
    <w:p w14:paraId="23865845" w14:textId="77777777" w:rsidR="00DE74EC" w:rsidRDefault="00DE74EC" w:rsidP="008F2212"/>
    <w:p w14:paraId="73F52442" w14:textId="77777777" w:rsidR="00DE74EC" w:rsidRDefault="00DE74EC" w:rsidP="008F2212"/>
    <w:p w14:paraId="1E7CE5F9" w14:textId="77777777" w:rsidR="00DE74EC" w:rsidRPr="00045C24" w:rsidRDefault="00DE74EC" w:rsidP="008F2212"/>
    <w:sectPr w:rsidR="00DE74EC" w:rsidRPr="00045C24" w:rsidSect="00300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9A32" w14:textId="77777777" w:rsidR="00396E60" w:rsidRDefault="00396E60" w:rsidP="00886BC4">
      <w:r>
        <w:separator/>
      </w:r>
    </w:p>
    <w:p w14:paraId="352E1E2C" w14:textId="77777777" w:rsidR="00396E60" w:rsidRDefault="00396E60"/>
    <w:p w14:paraId="454845B1" w14:textId="77777777" w:rsidR="00396E60" w:rsidRDefault="00396E60"/>
  </w:endnote>
  <w:endnote w:type="continuationSeparator" w:id="0">
    <w:p w14:paraId="0B552F01" w14:textId="77777777" w:rsidR="00396E60" w:rsidRDefault="00396E60" w:rsidP="00886BC4">
      <w:r>
        <w:continuationSeparator/>
      </w:r>
    </w:p>
    <w:p w14:paraId="5DF8F9A7" w14:textId="77777777" w:rsidR="00396E60" w:rsidRDefault="00396E60"/>
    <w:p w14:paraId="338E5B2A" w14:textId="77777777" w:rsidR="00396E60" w:rsidRDefault="00396E60"/>
  </w:endnote>
  <w:endnote w:type="continuationNotice" w:id="1">
    <w:p w14:paraId="417A54A0" w14:textId="77777777" w:rsidR="00396E60" w:rsidRDefault="00396E60"/>
    <w:p w14:paraId="0D0D5379" w14:textId="77777777" w:rsidR="00396E60" w:rsidRDefault="00396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00EF" w14:textId="75CDD18B" w:rsidR="005F4E7B" w:rsidRDefault="005F4E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3ECAE4A" wp14:editId="53B53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82093270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79773" w14:textId="17F9FC28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E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CAE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5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45779773" w14:textId="17F9FC28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E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256748" w14:textId="77777777" w:rsidR="00820EE1" w:rsidRDefault="00820E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8CA2" w14:textId="194550EA" w:rsidR="00A15DB7" w:rsidRPr="00E81A92" w:rsidRDefault="005F4E7B" w:rsidP="00E81A92">
    <w:pPr>
      <w:pStyle w:val="Footer"/>
      <w:jc w:val="right"/>
    </w:pPr>
    <w:r>
      <w:rPr>
        <w:noProof/>
        <w:position w:val="-10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F93E5DF" wp14:editId="4C3A0405">
              <wp:simplePos x="10763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9839667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DD4F7" w14:textId="1BCBCA82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3E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5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+kDgIAABw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fT91v4PmhEM5GPftLV93WHrDfHhiDheMc6Bo&#10;wyMeUkFfUzhblLTgfvzNH/ORd4xS0qNgampQ0ZSobwb3EbU1GW4ydskoPudljnFz0HeAMizwRVie&#10;TPS6oCZTOtAvKOdVLIQhZjiWq+luMu/CqFx8DlysVikJZWRZ2Jit5RE60hW5fB5emLNnwgNu6gEm&#10;NbHqFe9jbrzp7eoQkP20lEjtSOSZcZRgWuv5uUSN//qfsq6PevkT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qOvfpA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50DDD4F7" w14:textId="1BCBCA82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81A92" w:rsidRPr="00AC3B66">
      <w:rPr>
        <w:noProof/>
        <w:position w:val="-10"/>
      </w:rPr>
      <w:drawing>
        <wp:inline distT="0" distB="0" distL="0" distR="0" wp14:anchorId="19B9B917" wp14:editId="04FE657A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A92">
      <w:tab/>
    </w:r>
    <w:r w:rsidR="004966D7">
      <w:t xml:space="preserve">                                                                                                                                       </w:t>
    </w:r>
    <w:r w:rsidR="00E81A92">
      <w:t xml:space="preserve">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  <w:p w14:paraId="4B7FDB36" w14:textId="77777777" w:rsidR="00820EE1" w:rsidRDefault="00820E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EDE" w14:textId="1F968811" w:rsidR="00300C95" w:rsidRPr="00E81A92" w:rsidRDefault="005F4E7B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>
      <w:rPr>
        <w:noProof/>
        <w:position w:val="-10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89904FD" wp14:editId="2D268D44">
              <wp:simplePos x="10763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5111551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46EC2" w14:textId="122146AC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904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3D846EC2" w14:textId="122146AC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81A92" w:rsidRPr="00AC3B66">
      <w:rPr>
        <w:noProof/>
        <w:position w:val="-10"/>
      </w:rPr>
      <w:drawing>
        <wp:inline distT="0" distB="0" distL="0" distR="0" wp14:anchorId="53FEE68D" wp14:editId="74DF9FFD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A92">
      <w:tab/>
    </w:r>
    <w:r w:rsidR="001A00F6">
      <w:t xml:space="preserve">                 </w:t>
    </w:r>
    <w:r w:rsidR="00E81A92">
      <w:t xml:space="preserve">| </w:t>
    </w:r>
    <w:r w:rsidR="00E81A92" w:rsidRPr="00565A52">
      <w:t xml:space="preserve">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F46A" w14:textId="77777777" w:rsidR="00396E60" w:rsidRDefault="00396E60" w:rsidP="00886BC4">
      <w:r>
        <w:separator/>
      </w:r>
    </w:p>
    <w:p w14:paraId="2BA34620" w14:textId="77777777" w:rsidR="00396E60" w:rsidRDefault="00396E60"/>
    <w:p w14:paraId="31C5F545" w14:textId="77777777" w:rsidR="00396E60" w:rsidRDefault="00396E60"/>
  </w:footnote>
  <w:footnote w:type="continuationSeparator" w:id="0">
    <w:p w14:paraId="66A8FE5E" w14:textId="77777777" w:rsidR="00396E60" w:rsidRDefault="00396E60" w:rsidP="00886BC4">
      <w:r>
        <w:continuationSeparator/>
      </w:r>
    </w:p>
    <w:p w14:paraId="7C335335" w14:textId="77777777" w:rsidR="00396E60" w:rsidRDefault="00396E60"/>
    <w:p w14:paraId="580C0A25" w14:textId="77777777" w:rsidR="00396E60" w:rsidRDefault="00396E60"/>
  </w:footnote>
  <w:footnote w:type="continuationNotice" w:id="1">
    <w:p w14:paraId="2724209F" w14:textId="77777777" w:rsidR="00396E60" w:rsidRDefault="00396E60"/>
    <w:p w14:paraId="30044729" w14:textId="77777777" w:rsidR="00396E60" w:rsidRDefault="00396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A89A" w14:textId="55BFCFD7" w:rsidR="005F4E7B" w:rsidRDefault="005F4E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A954C83" wp14:editId="52B072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5576820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648CF" w14:textId="67A3EE89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F4E7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54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118648CF" w14:textId="67A3EE89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F4E7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BBE7E8" w14:textId="77777777" w:rsidR="00820EE1" w:rsidRDefault="00820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8DF" w14:textId="00C0C542" w:rsidR="006D3EE7" w:rsidRPr="007F53C0" w:rsidRDefault="005F4E7B" w:rsidP="007F53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492D913" wp14:editId="42F988D4">
              <wp:simplePos x="10763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6120379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B48E1" w14:textId="4BAB48F9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2D9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5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7E1B48E1" w14:textId="4BAB48F9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2E34">
      <w:rPr>
        <w:noProof/>
      </w:rPr>
      <w:drawing>
        <wp:anchor distT="0" distB="0" distL="114300" distR="114300" simplePos="0" relativeHeight="251660295" behindDoc="1" locked="0" layoutInCell="1" allowOverlap="1" wp14:anchorId="1F0ECBB3" wp14:editId="15A9449B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dec="http://schemas.microsoft.com/office/drawing/2017/decorative"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EE3">
      <w:fldChar w:fldCharType="begin"/>
    </w:r>
    <w:r w:rsidR="00D21EE3">
      <w:instrText xml:space="preserve"> STYLEREF  "Fact sheet title"  \* MERGEFORMAT </w:instrText>
    </w:r>
    <w:r w:rsidR="00D21EE3">
      <w:fldChar w:fldCharType="separate"/>
    </w:r>
    <w:r w:rsidR="00D21EE3">
      <w:rPr>
        <w:noProof/>
      </w:rPr>
      <w:t>Advice through Superannuation</w:t>
    </w:r>
    <w:r w:rsidR="00D21EE3">
      <w:rPr>
        <w:noProof/>
      </w:rPr>
      <w:fldChar w:fldCharType="end"/>
    </w:r>
  </w:p>
  <w:p w14:paraId="08B2CB45" w14:textId="77777777" w:rsidR="00820EE1" w:rsidRDefault="00820E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9147" w14:textId="10B663D1" w:rsidR="00300C95" w:rsidRDefault="008F566E" w:rsidP="008F566E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E879CB0" wp14:editId="1A05294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545323558" name="Picture 5453235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E7B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1D1B17" wp14:editId="0991D0FC">
              <wp:simplePos x="10763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7792224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FAD1C" w14:textId="1952DA34" w:rsidR="005F4E7B" w:rsidRPr="005F4E7B" w:rsidRDefault="005F4E7B" w:rsidP="005F4E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D1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5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388FAD1C" w14:textId="1952DA34" w:rsidR="005F4E7B" w:rsidRPr="005F4E7B" w:rsidRDefault="005F4E7B" w:rsidP="005F4E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EB42F5" w14:textId="77777777" w:rsidR="00820EE1" w:rsidRDefault="00820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97CAC96A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5336DB1"/>
    <w:multiLevelType w:val="hybridMultilevel"/>
    <w:tmpl w:val="A53EAE3A"/>
    <w:lvl w:ilvl="0" w:tplc="4260B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FE56F3B2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2"/>
  </w:num>
  <w:num w:numId="2" w16cid:durableId="96337980">
    <w:abstractNumId w:val="8"/>
  </w:num>
  <w:num w:numId="3" w16cid:durableId="1889341095">
    <w:abstractNumId w:val="6"/>
  </w:num>
  <w:num w:numId="4" w16cid:durableId="216212289">
    <w:abstractNumId w:val="7"/>
  </w:num>
  <w:num w:numId="5" w16cid:durableId="2008171716">
    <w:abstractNumId w:val="3"/>
  </w:num>
  <w:num w:numId="6" w16cid:durableId="1880582053">
    <w:abstractNumId w:val="0"/>
  </w:num>
  <w:num w:numId="7" w16cid:durableId="12786359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1"/>
  </w:num>
  <w:num w:numId="9" w16cid:durableId="690108307">
    <w:abstractNumId w:val="4"/>
  </w:num>
  <w:num w:numId="10" w16cid:durableId="855267394">
    <w:abstractNumId w:val="5"/>
  </w:num>
  <w:num w:numId="11" w16cid:durableId="929967896">
    <w:abstractNumId w:val="4"/>
  </w:num>
  <w:num w:numId="12" w16cid:durableId="1338724949">
    <w:abstractNumId w:val="4"/>
  </w:num>
  <w:num w:numId="13" w16cid:durableId="91424594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21731"/>
    <w:rsid w:val="00001654"/>
    <w:rsid w:val="000017C7"/>
    <w:rsid w:val="00002790"/>
    <w:rsid w:val="000033B5"/>
    <w:rsid w:val="00003984"/>
    <w:rsid w:val="000052D5"/>
    <w:rsid w:val="000075CA"/>
    <w:rsid w:val="00010A28"/>
    <w:rsid w:val="0001168B"/>
    <w:rsid w:val="00012FF0"/>
    <w:rsid w:val="00014D0B"/>
    <w:rsid w:val="00016670"/>
    <w:rsid w:val="00016B66"/>
    <w:rsid w:val="00016B6C"/>
    <w:rsid w:val="00017E14"/>
    <w:rsid w:val="0002151A"/>
    <w:rsid w:val="00021C1F"/>
    <w:rsid w:val="000222AC"/>
    <w:rsid w:val="0002256E"/>
    <w:rsid w:val="00022F4A"/>
    <w:rsid w:val="00025458"/>
    <w:rsid w:val="00027467"/>
    <w:rsid w:val="0003023A"/>
    <w:rsid w:val="00030992"/>
    <w:rsid w:val="00031C43"/>
    <w:rsid w:val="00033085"/>
    <w:rsid w:val="00033942"/>
    <w:rsid w:val="000370FC"/>
    <w:rsid w:val="000375BB"/>
    <w:rsid w:val="0004098D"/>
    <w:rsid w:val="00041E97"/>
    <w:rsid w:val="000421F9"/>
    <w:rsid w:val="00044B92"/>
    <w:rsid w:val="00045C24"/>
    <w:rsid w:val="00050FE8"/>
    <w:rsid w:val="000519E0"/>
    <w:rsid w:val="0005451F"/>
    <w:rsid w:val="00055E32"/>
    <w:rsid w:val="00056284"/>
    <w:rsid w:val="0006085B"/>
    <w:rsid w:val="00060C76"/>
    <w:rsid w:val="00062130"/>
    <w:rsid w:val="00064039"/>
    <w:rsid w:val="0006433E"/>
    <w:rsid w:val="00064837"/>
    <w:rsid w:val="00067E65"/>
    <w:rsid w:val="000753CE"/>
    <w:rsid w:val="00075FAE"/>
    <w:rsid w:val="000762BC"/>
    <w:rsid w:val="00081F0E"/>
    <w:rsid w:val="00084386"/>
    <w:rsid w:val="0008594C"/>
    <w:rsid w:val="000912D9"/>
    <w:rsid w:val="00091650"/>
    <w:rsid w:val="0009318B"/>
    <w:rsid w:val="00095B39"/>
    <w:rsid w:val="00095D2F"/>
    <w:rsid w:val="000965AA"/>
    <w:rsid w:val="00096877"/>
    <w:rsid w:val="000A3888"/>
    <w:rsid w:val="000A3F57"/>
    <w:rsid w:val="000A4D2D"/>
    <w:rsid w:val="000B14E7"/>
    <w:rsid w:val="000B1EC3"/>
    <w:rsid w:val="000B2771"/>
    <w:rsid w:val="000B3C90"/>
    <w:rsid w:val="000B484B"/>
    <w:rsid w:val="000B4FC9"/>
    <w:rsid w:val="000B6258"/>
    <w:rsid w:val="000C02C9"/>
    <w:rsid w:val="000C0942"/>
    <w:rsid w:val="000C0B4F"/>
    <w:rsid w:val="000C145D"/>
    <w:rsid w:val="000C16F7"/>
    <w:rsid w:val="000C350B"/>
    <w:rsid w:val="000C3B98"/>
    <w:rsid w:val="000C5CE7"/>
    <w:rsid w:val="000D04EE"/>
    <w:rsid w:val="000D08CE"/>
    <w:rsid w:val="000D090D"/>
    <w:rsid w:val="000D0F18"/>
    <w:rsid w:val="000D2E3E"/>
    <w:rsid w:val="000D33F2"/>
    <w:rsid w:val="000D7D2F"/>
    <w:rsid w:val="000E1075"/>
    <w:rsid w:val="000E18B9"/>
    <w:rsid w:val="000E324C"/>
    <w:rsid w:val="000E6F1A"/>
    <w:rsid w:val="000F1783"/>
    <w:rsid w:val="000F227A"/>
    <w:rsid w:val="000F2493"/>
    <w:rsid w:val="000F2562"/>
    <w:rsid w:val="000F2754"/>
    <w:rsid w:val="000F33C9"/>
    <w:rsid w:val="000F5CAF"/>
    <w:rsid w:val="000F6BF2"/>
    <w:rsid w:val="000F7346"/>
    <w:rsid w:val="00100032"/>
    <w:rsid w:val="00102238"/>
    <w:rsid w:val="00102786"/>
    <w:rsid w:val="00102E80"/>
    <w:rsid w:val="00105E30"/>
    <w:rsid w:val="00105EBE"/>
    <w:rsid w:val="00107A0B"/>
    <w:rsid w:val="00113290"/>
    <w:rsid w:val="0011381E"/>
    <w:rsid w:val="00114187"/>
    <w:rsid w:val="00114392"/>
    <w:rsid w:val="001145FD"/>
    <w:rsid w:val="00115B2E"/>
    <w:rsid w:val="0011628E"/>
    <w:rsid w:val="001218A5"/>
    <w:rsid w:val="001230A9"/>
    <w:rsid w:val="00123290"/>
    <w:rsid w:val="001233F0"/>
    <w:rsid w:val="00130986"/>
    <w:rsid w:val="001352EA"/>
    <w:rsid w:val="00135818"/>
    <w:rsid w:val="00135F5C"/>
    <w:rsid w:val="001363E7"/>
    <w:rsid w:val="001376CC"/>
    <w:rsid w:val="001377EA"/>
    <w:rsid w:val="00140697"/>
    <w:rsid w:val="0014178A"/>
    <w:rsid w:val="0014245E"/>
    <w:rsid w:val="001429FC"/>
    <w:rsid w:val="00142DE2"/>
    <w:rsid w:val="00143270"/>
    <w:rsid w:val="00144B84"/>
    <w:rsid w:val="00146610"/>
    <w:rsid w:val="001472C2"/>
    <w:rsid w:val="00150A01"/>
    <w:rsid w:val="00151E50"/>
    <w:rsid w:val="00153B2F"/>
    <w:rsid w:val="0015652F"/>
    <w:rsid w:val="00160082"/>
    <w:rsid w:val="00161389"/>
    <w:rsid w:val="001622A7"/>
    <w:rsid w:val="00163CDA"/>
    <w:rsid w:val="001643D9"/>
    <w:rsid w:val="0016552A"/>
    <w:rsid w:val="001665E2"/>
    <w:rsid w:val="00166A45"/>
    <w:rsid w:val="00172846"/>
    <w:rsid w:val="00172B01"/>
    <w:rsid w:val="00172D3D"/>
    <w:rsid w:val="0017315C"/>
    <w:rsid w:val="00173E92"/>
    <w:rsid w:val="00174954"/>
    <w:rsid w:val="0017523C"/>
    <w:rsid w:val="00177AA6"/>
    <w:rsid w:val="001802C2"/>
    <w:rsid w:val="001809E6"/>
    <w:rsid w:val="00182411"/>
    <w:rsid w:val="00182C73"/>
    <w:rsid w:val="00182E9E"/>
    <w:rsid w:val="00183846"/>
    <w:rsid w:val="00183B51"/>
    <w:rsid w:val="00183DBC"/>
    <w:rsid w:val="00183F40"/>
    <w:rsid w:val="00184F93"/>
    <w:rsid w:val="00185514"/>
    <w:rsid w:val="001870F3"/>
    <w:rsid w:val="001903B3"/>
    <w:rsid w:val="00190D7B"/>
    <w:rsid w:val="001914F2"/>
    <w:rsid w:val="00192367"/>
    <w:rsid w:val="001929D8"/>
    <w:rsid w:val="00192FFE"/>
    <w:rsid w:val="001940E6"/>
    <w:rsid w:val="001967C6"/>
    <w:rsid w:val="00197414"/>
    <w:rsid w:val="001979D3"/>
    <w:rsid w:val="001A00F6"/>
    <w:rsid w:val="001A0122"/>
    <w:rsid w:val="001A15E6"/>
    <w:rsid w:val="001A39A0"/>
    <w:rsid w:val="001A447A"/>
    <w:rsid w:val="001A4E50"/>
    <w:rsid w:val="001A5085"/>
    <w:rsid w:val="001A5155"/>
    <w:rsid w:val="001A51B6"/>
    <w:rsid w:val="001A5DCC"/>
    <w:rsid w:val="001B0841"/>
    <w:rsid w:val="001B1F87"/>
    <w:rsid w:val="001B3A29"/>
    <w:rsid w:val="001B3BB8"/>
    <w:rsid w:val="001B4706"/>
    <w:rsid w:val="001B5308"/>
    <w:rsid w:val="001B540E"/>
    <w:rsid w:val="001B6AEB"/>
    <w:rsid w:val="001B6D0F"/>
    <w:rsid w:val="001B737C"/>
    <w:rsid w:val="001B7F73"/>
    <w:rsid w:val="001C13C5"/>
    <w:rsid w:val="001C5117"/>
    <w:rsid w:val="001C6A97"/>
    <w:rsid w:val="001C71F3"/>
    <w:rsid w:val="001C78AE"/>
    <w:rsid w:val="001D15AB"/>
    <w:rsid w:val="001D45A4"/>
    <w:rsid w:val="001D497E"/>
    <w:rsid w:val="001D4E86"/>
    <w:rsid w:val="001D562C"/>
    <w:rsid w:val="001E3612"/>
    <w:rsid w:val="001E3B56"/>
    <w:rsid w:val="001E5623"/>
    <w:rsid w:val="001E5A10"/>
    <w:rsid w:val="001E683F"/>
    <w:rsid w:val="001E6DC2"/>
    <w:rsid w:val="001E7840"/>
    <w:rsid w:val="001E7CF5"/>
    <w:rsid w:val="001F0B2E"/>
    <w:rsid w:val="001F50DA"/>
    <w:rsid w:val="001F6688"/>
    <w:rsid w:val="001F7FE2"/>
    <w:rsid w:val="00203245"/>
    <w:rsid w:val="00205D76"/>
    <w:rsid w:val="00205F44"/>
    <w:rsid w:val="00206F07"/>
    <w:rsid w:val="00207641"/>
    <w:rsid w:val="002105F8"/>
    <w:rsid w:val="002106FE"/>
    <w:rsid w:val="00212328"/>
    <w:rsid w:val="0021246F"/>
    <w:rsid w:val="00212985"/>
    <w:rsid w:val="00215EE7"/>
    <w:rsid w:val="0021639F"/>
    <w:rsid w:val="002222FF"/>
    <w:rsid w:val="0022367E"/>
    <w:rsid w:val="00223D87"/>
    <w:rsid w:val="00225FDF"/>
    <w:rsid w:val="002268AB"/>
    <w:rsid w:val="00226CE5"/>
    <w:rsid w:val="00226F00"/>
    <w:rsid w:val="0022749C"/>
    <w:rsid w:val="00227C77"/>
    <w:rsid w:val="00232025"/>
    <w:rsid w:val="00233887"/>
    <w:rsid w:val="00233A88"/>
    <w:rsid w:val="00236205"/>
    <w:rsid w:val="00241B9A"/>
    <w:rsid w:val="0024226F"/>
    <w:rsid w:val="00242848"/>
    <w:rsid w:val="00245342"/>
    <w:rsid w:val="002462BD"/>
    <w:rsid w:val="00247B35"/>
    <w:rsid w:val="00252C5A"/>
    <w:rsid w:val="00253E01"/>
    <w:rsid w:val="00260712"/>
    <w:rsid w:val="002616E3"/>
    <w:rsid w:val="00261959"/>
    <w:rsid w:val="00263339"/>
    <w:rsid w:val="002639F0"/>
    <w:rsid w:val="00266E8E"/>
    <w:rsid w:val="00272C2C"/>
    <w:rsid w:val="00274BD5"/>
    <w:rsid w:val="00276927"/>
    <w:rsid w:val="002769CE"/>
    <w:rsid w:val="00276C92"/>
    <w:rsid w:val="002775DB"/>
    <w:rsid w:val="002809F6"/>
    <w:rsid w:val="00283303"/>
    <w:rsid w:val="00287F32"/>
    <w:rsid w:val="00290354"/>
    <w:rsid w:val="0029134D"/>
    <w:rsid w:val="00291CB8"/>
    <w:rsid w:val="00292D2D"/>
    <w:rsid w:val="00295B59"/>
    <w:rsid w:val="002961CF"/>
    <w:rsid w:val="002963A8"/>
    <w:rsid w:val="002976EC"/>
    <w:rsid w:val="002978C8"/>
    <w:rsid w:val="002A0B32"/>
    <w:rsid w:val="002A0FCD"/>
    <w:rsid w:val="002A1036"/>
    <w:rsid w:val="002A2DB3"/>
    <w:rsid w:val="002A33F3"/>
    <w:rsid w:val="002A38E8"/>
    <w:rsid w:val="002A4B83"/>
    <w:rsid w:val="002A5251"/>
    <w:rsid w:val="002A6430"/>
    <w:rsid w:val="002A79C5"/>
    <w:rsid w:val="002B21BD"/>
    <w:rsid w:val="002B68F9"/>
    <w:rsid w:val="002C07F1"/>
    <w:rsid w:val="002C2249"/>
    <w:rsid w:val="002C26D9"/>
    <w:rsid w:val="002C28E1"/>
    <w:rsid w:val="002C2B75"/>
    <w:rsid w:val="002C475C"/>
    <w:rsid w:val="002D3743"/>
    <w:rsid w:val="002D49D1"/>
    <w:rsid w:val="002E21C7"/>
    <w:rsid w:val="002E359F"/>
    <w:rsid w:val="002E5946"/>
    <w:rsid w:val="002F07C2"/>
    <w:rsid w:val="002F21D4"/>
    <w:rsid w:val="002F2F1A"/>
    <w:rsid w:val="002F2FD0"/>
    <w:rsid w:val="002F37E9"/>
    <w:rsid w:val="002F3D60"/>
    <w:rsid w:val="002F417B"/>
    <w:rsid w:val="002F60F8"/>
    <w:rsid w:val="002F6189"/>
    <w:rsid w:val="002F63BC"/>
    <w:rsid w:val="002F6ADC"/>
    <w:rsid w:val="00300623"/>
    <w:rsid w:val="00300C95"/>
    <w:rsid w:val="003011B6"/>
    <w:rsid w:val="003048AC"/>
    <w:rsid w:val="003054A8"/>
    <w:rsid w:val="003063EF"/>
    <w:rsid w:val="00306770"/>
    <w:rsid w:val="00307DA3"/>
    <w:rsid w:val="00315CF1"/>
    <w:rsid w:val="003168AD"/>
    <w:rsid w:val="00316E28"/>
    <w:rsid w:val="0032125A"/>
    <w:rsid w:val="003216E6"/>
    <w:rsid w:val="00322131"/>
    <w:rsid w:val="003253FB"/>
    <w:rsid w:val="00326D92"/>
    <w:rsid w:val="00327D31"/>
    <w:rsid w:val="003305CA"/>
    <w:rsid w:val="00334147"/>
    <w:rsid w:val="003377B0"/>
    <w:rsid w:val="0034064A"/>
    <w:rsid w:val="003411CF"/>
    <w:rsid w:val="00341730"/>
    <w:rsid w:val="00342924"/>
    <w:rsid w:val="00342E12"/>
    <w:rsid w:val="00343738"/>
    <w:rsid w:val="0034539E"/>
    <w:rsid w:val="0034564D"/>
    <w:rsid w:val="00345DDA"/>
    <w:rsid w:val="00345F4C"/>
    <w:rsid w:val="00350947"/>
    <w:rsid w:val="00350B3A"/>
    <w:rsid w:val="00353390"/>
    <w:rsid w:val="00353544"/>
    <w:rsid w:val="003548ED"/>
    <w:rsid w:val="003548FE"/>
    <w:rsid w:val="003559AE"/>
    <w:rsid w:val="0035687D"/>
    <w:rsid w:val="00357842"/>
    <w:rsid w:val="00360A52"/>
    <w:rsid w:val="00360AE0"/>
    <w:rsid w:val="00360F79"/>
    <w:rsid w:val="003652C1"/>
    <w:rsid w:val="00367D49"/>
    <w:rsid w:val="003709E9"/>
    <w:rsid w:val="00372AC1"/>
    <w:rsid w:val="00374A43"/>
    <w:rsid w:val="00375E77"/>
    <w:rsid w:val="00375FFB"/>
    <w:rsid w:val="003778DC"/>
    <w:rsid w:val="00377CA8"/>
    <w:rsid w:val="003802F4"/>
    <w:rsid w:val="00382116"/>
    <w:rsid w:val="003831AB"/>
    <w:rsid w:val="00383934"/>
    <w:rsid w:val="00384DEA"/>
    <w:rsid w:val="00384F1B"/>
    <w:rsid w:val="003854FD"/>
    <w:rsid w:val="00386D92"/>
    <w:rsid w:val="003904F4"/>
    <w:rsid w:val="003905E9"/>
    <w:rsid w:val="00390C06"/>
    <w:rsid w:val="00393637"/>
    <w:rsid w:val="0039527A"/>
    <w:rsid w:val="00396E60"/>
    <w:rsid w:val="003A29D2"/>
    <w:rsid w:val="003A63D1"/>
    <w:rsid w:val="003A6661"/>
    <w:rsid w:val="003B0DE0"/>
    <w:rsid w:val="003B1315"/>
    <w:rsid w:val="003B1C7A"/>
    <w:rsid w:val="003B64B6"/>
    <w:rsid w:val="003B6A88"/>
    <w:rsid w:val="003C047D"/>
    <w:rsid w:val="003C4F86"/>
    <w:rsid w:val="003C789B"/>
    <w:rsid w:val="003D005C"/>
    <w:rsid w:val="003D090F"/>
    <w:rsid w:val="003D51E3"/>
    <w:rsid w:val="003D79CD"/>
    <w:rsid w:val="003E26C5"/>
    <w:rsid w:val="003E357A"/>
    <w:rsid w:val="003E46E7"/>
    <w:rsid w:val="003E7C41"/>
    <w:rsid w:val="003E7EDB"/>
    <w:rsid w:val="003F0B42"/>
    <w:rsid w:val="003F1C8A"/>
    <w:rsid w:val="003F2E2F"/>
    <w:rsid w:val="003F424B"/>
    <w:rsid w:val="003F5F96"/>
    <w:rsid w:val="003F7919"/>
    <w:rsid w:val="004032CE"/>
    <w:rsid w:val="00403B30"/>
    <w:rsid w:val="00407A78"/>
    <w:rsid w:val="0041043F"/>
    <w:rsid w:val="00411A90"/>
    <w:rsid w:val="00411ADC"/>
    <w:rsid w:val="004125F2"/>
    <w:rsid w:val="00413A2D"/>
    <w:rsid w:val="0041688C"/>
    <w:rsid w:val="00425E05"/>
    <w:rsid w:val="0042612C"/>
    <w:rsid w:val="004275A9"/>
    <w:rsid w:val="00432057"/>
    <w:rsid w:val="004352EA"/>
    <w:rsid w:val="00441737"/>
    <w:rsid w:val="00442C7E"/>
    <w:rsid w:val="00442CF0"/>
    <w:rsid w:val="00443438"/>
    <w:rsid w:val="004438E9"/>
    <w:rsid w:val="00443F12"/>
    <w:rsid w:val="00443FD6"/>
    <w:rsid w:val="004453D6"/>
    <w:rsid w:val="00445B05"/>
    <w:rsid w:val="00450505"/>
    <w:rsid w:val="00450CCE"/>
    <w:rsid w:val="00450F07"/>
    <w:rsid w:val="00451501"/>
    <w:rsid w:val="004542B7"/>
    <w:rsid w:val="004546DC"/>
    <w:rsid w:val="00454904"/>
    <w:rsid w:val="00455FCD"/>
    <w:rsid w:val="004563ED"/>
    <w:rsid w:val="004567B5"/>
    <w:rsid w:val="00456903"/>
    <w:rsid w:val="00460D0A"/>
    <w:rsid w:val="004635E1"/>
    <w:rsid w:val="00463D4E"/>
    <w:rsid w:val="00467994"/>
    <w:rsid w:val="00467BC8"/>
    <w:rsid w:val="00470BA0"/>
    <w:rsid w:val="0047130C"/>
    <w:rsid w:val="00472A15"/>
    <w:rsid w:val="00474770"/>
    <w:rsid w:val="0047507F"/>
    <w:rsid w:val="00476897"/>
    <w:rsid w:val="00477439"/>
    <w:rsid w:val="004774DD"/>
    <w:rsid w:val="00485A3D"/>
    <w:rsid w:val="00486B7C"/>
    <w:rsid w:val="004879ED"/>
    <w:rsid w:val="00487AAA"/>
    <w:rsid w:val="00490288"/>
    <w:rsid w:val="00490C62"/>
    <w:rsid w:val="00496135"/>
    <w:rsid w:val="004966D7"/>
    <w:rsid w:val="0049673E"/>
    <w:rsid w:val="004967AA"/>
    <w:rsid w:val="00496C34"/>
    <w:rsid w:val="004A0874"/>
    <w:rsid w:val="004A1659"/>
    <w:rsid w:val="004A1C8D"/>
    <w:rsid w:val="004A200A"/>
    <w:rsid w:val="004A2AFD"/>
    <w:rsid w:val="004A37EA"/>
    <w:rsid w:val="004A4424"/>
    <w:rsid w:val="004A59B5"/>
    <w:rsid w:val="004A7522"/>
    <w:rsid w:val="004B08DC"/>
    <w:rsid w:val="004B1F82"/>
    <w:rsid w:val="004B2641"/>
    <w:rsid w:val="004B5471"/>
    <w:rsid w:val="004B56B0"/>
    <w:rsid w:val="004C0A02"/>
    <w:rsid w:val="004C2AA4"/>
    <w:rsid w:val="004C5917"/>
    <w:rsid w:val="004C5E48"/>
    <w:rsid w:val="004D0778"/>
    <w:rsid w:val="004D0912"/>
    <w:rsid w:val="004D6BC0"/>
    <w:rsid w:val="004D75F6"/>
    <w:rsid w:val="004E1DF9"/>
    <w:rsid w:val="004E424B"/>
    <w:rsid w:val="004E62FB"/>
    <w:rsid w:val="004E69C4"/>
    <w:rsid w:val="004E71FE"/>
    <w:rsid w:val="004F0AED"/>
    <w:rsid w:val="004F24D0"/>
    <w:rsid w:val="004F2CF6"/>
    <w:rsid w:val="004F456F"/>
    <w:rsid w:val="004F671D"/>
    <w:rsid w:val="004F72EB"/>
    <w:rsid w:val="004F759A"/>
    <w:rsid w:val="00502E10"/>
    <w:rsid w:val="00505009"/>
    <w:rsid w:val="005068E2"/>
    <w:rsid w:val="00506BF4"/>
    <w:rsid w:val="00507097"/>
    <w:rsid w:val="0050750A"/>
    <w:rsid w:val="00510A84"/>
    <w:rsid w:val="00511597"/>
    <w:rsid w:val="0051193A"/>
    <w:rsid w:val="00512C82"/>
    <w:rsid w:val="00513015"/>
    <w:rsid w:val="00514658"/>
    <w:rsid w:val="00515A68"/>
    <w:rsid w:val="0051600D"/>
    <w:rsid w:val="00516FB2"/>
    <w:rsid w:val="00517C7D"/>
    <w:rsid w:val="0052104B"/>
    <w:rsid w:val="00521DCA"/>
    <w:rsid w:val="005245E0"/>
    <w:rsid w:val="00524DCE"/>
    <w:rsid w:val="00525050"/>
    <w:rsid w:val="00525D3B"/>
    <w:rsid w:val="0053110F"/>
    <w:rsid w:val="0053203A"/>
    <w:rsid w:val="00533FEF"/>
    <w:rsid w:val="00535C81"/>
    <w:rsid w:val="005400FC"/>
    <w:rsid w:val="00543327"/>
    <w:rsid w:val="005442D1"/>
    <w:rsid w:val="005456BA"/>
    <w:rsid w:val="005458C1"/>
    <w:rsid w:val="00546D8E"/>
    <w:rsid w:val="00546E94"/>
    <w:rsid w:val="00546FDD"/>
    <w:rsid w:val="00550642"/>
    <w:rsid w:val="00551340"/>
    <w:rsid w:val="00551D4C"/>
    <w:rsid w:val="005566D8"/>
    <w:rsid w:val="00556C5F"/>
    <w:rsid w:val="00556D2E"/>
    <w:rsid w:val="005604E8"/>
    <w:rsid w:val="005606FD"/>
    <w:rsid w:val="005617E3"/>
    <w:rsid w:val="00565A52"/>
    <w:rsid w:val="00566AD8"/>
    <w:rsid w:val="00570B86"/>
    <w:rsid w:val="00572DD8"/>
    <w:rsid w:val="005732EB"/>
    <w:rsid w:val="0057523E"/>
    <w:rsid w:val="005771B7"/>
    <w:rsid w:val="005803BF"/>
    <w:rsid w:val="00581E43"/>
    <w:rsid w:val="00582FAD"/>
    <w:rsid w:val="00583746"/>
    <w:rsid w:val="00585F7E"/>
    <w:rsid w:val="00590105"/>
    <w:rsid w:val="005908AF"/>
    <w:rsid w:val="00590A34"/>
    <w:rsid w:val="0059198B"/>
    <w:rsid w:val="00592CEC"/>
    <w:rsid w:val="00594ABF"/>
    <w:rsid w:val="00595003"/>
    <w:rsid w:val="00595223"/>
    <w:rsid w:val="00595B35"/>
    <w:rsid w:val="005A11E6"/>
    <w:rsid w:val="005A2484"/>
    <w:rsid w:val="005A2A4D"/>
    <w:rsid w:val="005A6A61"/>
    <w:rsid w:val="005A7377"/>
    <w:rsid w:val="005B0968"/>
    <w:rsid w:val="005B207E"/>
    <w:rsid w:val="005B2484"/>
    <w:rsid w:val="005B3373"/>
    <w:rsid w:val="005B3871"/>
    <w:rsid w:val="005B659D"/>
    <w:rsid w:val="005B6B98"/>
    <w:rsid w:val="005C1326"/>
    <w:rsid w:val="005C13F5"/>
    <w:rsid w:val="005C1F0B"/>
    <w:rsid w:val="005C2958"/>
    <w:rsid w:val="005C3527"/>
    <w:rsid w:val="005C4B02"/>
    <w:rsid w:val="005C5C99"/>
    <w:rsid w:val="005C615E"/>
    <w:rsid w:val="005C681B"/>
    <w:rsid w:val="005D0D35"/>
    <w:rsid w:val="005D142C"/>
    <w:rsid w:val="005D24B5"/>
    <w:rsid w:val="005D2FC0"/>
    <w:rsid w:val="005D3E9C"/>
    <w:rsid w:val="005D555D"/>
    <w:rsid w:val="005D6017"/>
    <w:rsid w:val="005E043E"/>
    <w:rsid w:val="005E177A"/>
    <w:rsid w:val="005E1C5B"/>
    <w:rsid w:val="005E62D6"/>
    <w:rsid w:val="005F08DB"/>
    <w:rsid w:val="005F0FBF"/>
    <w:rsid w:val="005F2871"/>
    <w:rsid w:val="005F2A19"/>
    <w:rsid w:val="005F2E4C"/>
    <w:rsid w:val="005F3E6A"/>
    <w:rsid w:val="005F4898"/>
    <w:rsid w:val="005F4E7B"/>
    <w:rsid w:val="005F5DC4"/>
    <w:rsid w:val="005F6BF0"/>
    <w:rsid w:val="005F6CD8"/>
    <w:rsid w:val="005F78D5"/>
    <w:rsid w:val="006014A0"/>
    <w:rsid w:val="00601E42"/>
    <w:rsid w:val="006021FE"/>
    <w:rsid w:val="00604843"/>
    <w:rsid w:val="00610C28"/>
    <w:rsid w:val="00612F89"/>
    <w:rsid w:val="006140E7"/>
    <w:rsid w:val="00614971"/>
    <w:rsid w:val="0061586B"/>
    <w:rsid w:val="00621A9C"/>
    <w:rsid w:val="00623BF1"/>
    <w:rsid w:val="006259DF"/>
    <w:rsid w:val="00627218"/>
    <w:rsid w:val="00627B58"/>
    <w:rsid w:val="00632D4D"/>
    <w:rsid w:val="00633DD8"/>
    <w:rsid w:val="00634F9F"/>
    <w:rsid w:val="006355D1"/>
    <w:rsid w:val="00635DD4"/>
    <w:rsid w:val="00636DD2"/>
    <w:rsid w:val="00637577"/>
    <w:rsid w:val="00637692"/>
    <w:rsid w:val="00641A50"/>
    <w:rsid w:val="00642CFB"/>
    <w:rsid w:val="00644166"/>
    <w:rsid w:val="00644C4D"/>
    <w:rsid w:val="0064521E"/>
    <w:rsid w:val="0064704A"/>
    <w:rsid w:val="00647D22"/>
    <w:rsid w:val="00652E62"/>
    <w:rsid w:val="00655580"/>
    <w:rsid w:val="00655AE8"/>
    <w:rsid w:val="00656AF2"/>
    <w:rsid w:val="00657CCF"/>
    <w:rsid w:val="006608BB"/>
    <w:rsid w:val="00660FC2"/>
    <w:rsid w:val="006630B8"/>
    <w:rsid w:val="00671793"/>
    <w:rsid w:val="006718E5"/>
    <w:rsid w:val="00672B08"/>
    <w:rsid w:val="00673CF4"/>
    <w:rsid w:val="00676775"/>
    <w:rsid w:val="006773AE"/>
    <w:rsid w:val="00680060"/>
    <w:rsid w:val="006814E5"/>
    <w:rsid w:val="00684B56"/>
    <w:rsid w:val="00684F5A"/>
    <w:rsid w:val="006916AD"/>
    <w:rsid w:val="00691EF2"/>
    <w:rsid w:val="00692508"/>
    <w:rsid w:val="00694B4F"/>
    <w:rsid w:val="0069581F"/>
    <w:rsid w:val="00696365"/>
    <w:rsid w:val="006A118D"/>
    <w:rsid w:val="006A17D9"/>
    <w:rsid w:val="006A3758"/>
    <w:rsid w:val="006A3972"/>
    <w:rsid w:val="006A48F9"/>
    <w:rsid w:val="006A69AE"/>
    <w:rsid w:val="006A712A"/>
    <w:rsid w:val="006A712D"/>
    <w:rsid w:val="006A7853"/>
    <w:rsid w:val="006B29EE"/>
    <w:rsid w:val="006B3366"/>
    <w:rsid w:val="006B399C"/>
    <w:rsid w:val="006B60AC"/>
    <w:rsid w:val="006C2E09"/>
    <w:rsid w:val="006C4A15"/>
    <w:rsid w:val="006C7984"/>
    <w:rsid w:val="006D260D"/>
    <w:rsid w:val="006D27A6"/>
    <w:rsid w:val="006D3265"/>
    <w:rsid w:val="006D3EE7"/>
    <w:rsid w:val="006D4A29"/>
    <w:rsid w:val="006D4DCA"/>
    <w:rsid w:val="006D5609"/>
    <w:rsid w:val="006D6960"/>
    <w:rsid w:val="006D7793"/>
    <w:rsid w:val="006E101D"/>
    <w:rsid w:val="006E1E1C"/>
    <w:rsid w:val="006E3512"/>
    <w:rsid w:val="006E3C20"/>
    <w:rsid w:val="006E6B1A"/>
    <w:rsid w:val="006E6DED"/>
    <w:rsid w:val="006E6F8C"/>
    <w:rsid w:val="006E76BE"/>
    <w:rsid w:val="006F0918"/>
    <w:rsid w:val="006F1AD2"/>
    <w:rsid w:val="006F1BEF"/>
    <w:rsid w:val="006F37A3"/>
    <w:rsid w:val="006F56A2"/>
    <w:rsid w:val="006F6E04"/>
    <w:rsid w:val="006F7E3D"/>
    <w:rsid w:val="006F7F9E"/>
    <w:rsid w:val="00701B57"/>
    <w:rsid w:val="00701DB6"/>
    <w:rsid w:val="0070356E"/>
    <w:rsid w:val="0070501C"/>
    <w:rsid w:val="00705AD6"/>
    <w:rsid w:val="0070764A"/>
    <w:rsid w:val="0071322C"/>
    <w:rsid w:val="00714BB4"/>
    <w:rsid w:val="00714F25"/>
    <w:rsid w:val="00715FB6"/>
    <w:rsid w:val="00717216"/>
    <w:rsid w:val="00717DEE"/>
    <w:rsid w:val="00720CEB"/>
    <w:rsid w:val="00721731"/>
    <w:rsid w:val="00722F56"/>
    <w:rsid w:val="007233FC"/>
    <w:rsid w:val="00726450"/>
    <w:rsid w:val="00726732"/>
    <w:rsid w:val="00727995"/>
    <w:rsid w:val="00730C12"/>
    <w:rsid w:val="007333DB"/>
    <w:rsid w:val="007343B8"/>
    <w:rsid w:val="007343CC"/>
    <w:rsid w:val="00735307"/>
    <w:rsid w:val="00736715"/>
    <w:rsid w:val="0074010F"/>
    <w:rsid w:val="00741CD3"/>
    <w:rsid w:val="00741EB1"/>
    <w:rsid w:val="007442A8"/>
    <w:rsid w:val="00745F12"/>
    <w:rsid w:val="007471F4"/>
    <w:rsid w:val="00750393"/>
    <w:rsid w:val="007503CD"/>
    <w:rsid w:val="007505D3"/>
    <w:rsid w:val="0075411F"/>
    <w:rsid w:val="00756180"/>
    <w:rsid w:val="007562A0"/>
    <w:rsid w:val="007600FA"/>
    <w:rsid w:val="0076093D"/>
    <w:rsid w:val="00761DA0"/>
    <w:rsid w:val="007622D7"/>
    <w:rsid w:val="00764129"/>
    <w:rsid w:val="00764BED"/>
    <w:rsid w:val="00770F11"/>
    <w:rsid w:val="00780920"/>
    <w:rsid w:val="00781841"/>
    <w:rsid w:val="007823B1"/>
    <w:rsid w:val="007825F2"/>
    <w:rsid w:val="007835F8"/>
    <w:rsid w:val="0078370D"/>
    <w:rsid w:val="00783DB0"/>
    <w:rsid w:val="007845C0"/>
    <w:rsid w:val="00784A3C"/>
    <w:rsid w:val="007850F4"/>
    <w:rsid w:val="0078799B"/>
    <w:rsid w:val="00787FAA"/>
    <w:rsid w:val="00793BD7"/>
    <w:rsid w:val="0079466D"/>
    <w:rsid w:val="00796FD1"/>
    <w:rsid w:val="007A0D40"/>
    <w:rsid w:val="007A1F8D"/>
    <w:rsid w:val="007A2172"/>
    <w:rsid w:val="007A4195"/>
    <w:rsid w:val="007A4D93"/>
    <w:rsid w:val="007A5E6D"/>
    <w:rsid w:val="007A6E4D"/>
    <w:rsid w:val="007B0F03"/>
    <w:rsid w:val="007B1814"/>
    <w:rsid w:val="007B2CA3"/>
    <w:rsid w:val="007B349E"/>
    <w:rsid w:val="007B4648"/>
    <w:rsid w:val="007B5B35"/>
    <w:rsid w:val="007B5E04"/>
    <w:rsid w:val="007B6953"/>
    <w:rsid w:val="007B7784"/>
    <w:rsid w:val="007C01F6"/>
    <w:rsid w:val="007C0874"/>
    <w:rsid w:val="007C1094"/>
    <w:rsid w:val="007C25AB"/>
    <w:rsid w:val="007C2623"/>
    <w:rsid w:val="007C3CD0"/>
    <w:rsid w:val="007C4B7F"/>
    <w:rsid w:val="007C6EE4"/>
    <w:rsid w:val="007C6F17"/>
    <w:rsid w:val="007D039C"/>
    <w:rsid w:val="007D2C05"/>
    <w:rsid w:val="007D4EB7"/>
    <w:rsid w:val="007D6087"/>
    <w:rsid w:val="007D6F47"/>
    <w:rsid w:val="007E013D"/>
    <w:rsid w:val="007E0975"/>
    <w:rsid w:val="007E1664"/>
    <w:rsid w:val="007E262E"/>
    <w:rsid w:val="007E36E4"/>
    <w:rsid w:val="007E4B1C"/>
    <w:rsid w:val="007E5E07"/>
    <w:rsid w:val="007E6030"/>
    <w:rsid w:val="007E6C66"/>
    <w:rsid w:val="007E7046"/>
    <w:rsid w:val="007E7282"/>
    <w:rsid w:val="007F4892"/>
    <w:rsid w:val="007F53C0"/>
    <w:rsid w:val="007F5D26"/>
    <w:rsid w:val="007F60D7"/>
    <w:rsid w:val="007F61E3"/>
    <w:rsid w:val="007F694F"/>
    <w:rsid w:val="008004D4"/>
    <w:rsid w:val="0080561E"/>
    <w:rsid w:val="008071B6"/>
    <w:rsid w:val="0081021A"/>
    <w:rsid w:val="00810E5A"/>
    <w:rsid w:val="00811C3F"/>
    <w:rsid w:val="008124CB"/>
    <w:rsid w:val="0081388C"/>
    <w:rsid w:val="008138D4"/>
    <w:rsid w:val="008139FB"/>
    <w:rsid w:val="00815218"/>
    <w:rsid w:val="00816AD0"/>
    <w:rsid w:val="00820EE1"/>
    <w:rsid w:val="00821D05"/>
    <w:rsid w:val="00821F7D"/>
    <w:rsid w:val="00822881"/>
    <w:rsid w:val="00824131"/>
    <w:rsid w:val="008259B1"/>
    <w:rsid w:val="008305EC"/>
    <w:rsid w:val="00831D8A"/>
    <w:rsid w:val="00833318"/>
    <w:rsid w:val="00833CE1"/>
    <w:rsid w:val="00834CFE"/>
    <w:rsid w:val="00837FCA"/>
    <w:rsid w:val="00840F74"/>
    <w:rsid w:val="008416D4"/>
    <w:rsid w:val="00844A84"/>
    <w:rsid w:val="00844BF7"/>
    <w:rsid w:val="00845B33"/>
    <w:rsid w:val="008470A5"/>
    <w:rsid w:val="0084755C"/>
    <w:rsid w:val="00847719"/>
    <w:rsid w:val="00851843"/>
    <w:rsid w:val="008524DE"/>
    <w:rsid w:val="008532B4"/>
    <w:rsid w:val="00855096"/>
    <w:rsid w:val="00856976"/>
    <w:rsid w:val="00856B59"/>
    <w:rsid w:val="0086031F"/>
    <w:rsid w:val="008616B9"/>
    <w:rsid w:val="008631EB"/>
    <w:rsid w:val="00863732"/>
    <w:rsid w:val="00864580"/>
    <w:rsid w:val="00864822"/>
    <w:rsid w:val="00865794"/>
    <w:rsid w:val="00867F16"/>
    <w:rsid w:val="00870259"/>
    <w:rsid w:val="0087062F"/>
    <w:rsid w:val="008717B8"/>
    <w:rsid w:val="008757A5"/>
    <w:rsid w:val="00876839"/>
    <w:rsid w:val="00877F2C"/>
    <w:rsid w:val="0088055D"/>
    <w:rsid w:val="0088159C"/>
    <w:rsid w:val="0088173F"/>
    <w:rsid w:val="00881EB5"/>
    <w:rsid w:val="0088211A"/>
    <w:rsid w:val="0088427E"/>
    <w:rsid w:val="00884F56"/>
    <w:rsid w:val="008854F6"/>
    <w:rsid w:val="00886667"/>
    <w:rsid w:val="00886BC4"/>
    <w:rsid w:val="00894419"/>
    <w:rsid w:val="00896846"/>
    <w:rsid w:val="008972E4"/>
    <w:rsid w:val="00897952"/>
    <w:rsid w:val="008A02F3"/>
    <w:rsid w:val="008A1C1D"/>
    <w:rsid w:val="008A24F2"/>
    <w:rsid w:val="008A3845"/>
    <w:rsid w:val="008A418B"/>
    <w:rsid w:val="008A48CA"/>
    <w:rsid w:val="008A4D2E"/>
    <w:rsid w:val="008A6BC0"/>
    <w:rsid w:val="008B2938"/>
    <w:rsid w:val="008B395C"/>
    <w:rsid w:val="008B39F1"/>
    <w:rsid w:val="008B5273"/>
    <w:rsid w:val="008B70DC"/>
    <w:rsid w:val="008B722A"/>
    <w:rsid w:val="008B7870"/>
    <w:rsid w:val="008C47B0"/>
    <w:rsid w:val="008C5773"/>
    <w:rsid w:val="008C67A3"/>
    <w:rsid w:val="008D0CA6"/>
    <w:rsid w:val="008D1B52"/>
    <w:rsid w:val="008D1EB2"/>
    <w:rsid w:val="008D4CD0"/>
    <w:rsid w:val="008D5358"/>
    <w:rsid w:val="008D76D7"/>
    <w:rsid w:val="008E0180"/>
    <w:rsid w:val="008E04BD"/>
    <w:rsid w:val="008E0BE2"/>
    <w:rsid w:val="008E13B5"/>
    <w:rsid w:val="008E2A5F"/>
    <w:rsid w:val="008E35A5"/>
    <w:rsid w:val="008E419E"/>
    <w:rsid w:val="008E4D33"/>
    <w:rsid w:val="008E5239"/>
    <w:rsid w:val="008E557E"/>
    <w:rsid w:val="008E6659"/>
    <w:rsid w:val="008E7BE7"/>
    <w:rsid w:val="008E7E4C"/>
    <w:rsid w:val="008F0B15"/>
    <w:rsid w:val="008F1AA6"/>
    <w:rsid w:val="008F1E1C"/>
    <w:rsid w:val="008F2212"/>
    <w:rsid w:val="008F3B1C"/>
    <w:rsid w:val="008F566E"/>
    <w:rsid w:val="008F5BC0"/>
    <w:rsid w:val="008F73C8"/>
    <w:rsid w:val="008F7E69"/>
    <w:rsid w:val="00901F5B"/>
    <w:rsid w:val="00902B93"/>
    <w:rsid w:val="00903786"/>
    <w:rsid w:val="00903AB2"/>
    <w:rsid w:val="00905F29"/>
    <w:rsid w:val="009061F2"/>
    <w:rsid w:val="009062BB"/>
    <w:rsid w:val="0090719E"/>
    <w:rsid w:val="009109AA"/>
    <w:rsid w:val="00913F30"/>
    <w:rsid w:val="009150CB"/>
    <w:rsid w:val="00916457"/>
    <w:rsid w:val="0091682B"/>
    <w:rsid w:val="0091718F"/>
    <w:rsid w:val="00917264"/>
    <w:rsid w:val="009202E5"/>
    <w:rsid w:val="00924028"/>
    <w:rsid w:val="00926879"/>
    <w:rsid w:val="009275E3"/>
    <w:rsid w:val="0093087C"/>
    <w:rsid w:val="00932546"/>
    <w:rsid w:val="00933C8C"/>
    <w:rsid w:val="009364A7"/>
    <w:rsid w:val="009367F6"/>
    <w:rsid w:val="0093703E"/>
    <w:rsid w:val="0093741D"/>
    <w:rsid w:val="00937849"/>
    <w:rsid w:val="00942CB3"/>
    <w:rsid w:val="00943E04"/>
    <w:rsid w:val="00944174"/>
    <w:rsid w:val="00944CEC"/>
    <w:rsid w:val="009461D9"/>
    <w:rsid w:val="00946AD6"/>
    <w:rsid w:val="0094761F"/>
    <w:rsid w:val="009503B0"/>
    <w:rsid w:val="00950AFE"/>
    <w:rsid w:val="00951652"/>
    <w:rsid w:val="0095195B"/>
    <w:rsid w:val="00951F0B"/>
    <w:rsid w:val="00952F2F"/>
    <w:rsid w:val="0095378E"/>
    <w:rsid w:val="00955A78"/>
    <w:rsid w:val="00956C63"/>
    <w:rsid w:val="00963037"/>
    <w:rsid w:val="00965827"/>
    <w:rsid w:val="00965C4B"/>
    <w:rsid w:val="00967594"/>
    <w:rsid w:val="00975304"/>
    <w:rsid w:val="009757BB"/>
    <w:rsid w:val="0098027F"/>
    <w:rsid w:val="0098151F"/>
    <w:rsid w:val="00984DA2"/>
    <w:rsid w:val="00984FC3"/>
    <w:rsid w:val="00986A46"/>
    <w:rsid w:val="009905CA"/>
    <w:rsid w:val="009906A6"/>
    <w:rsid w:val="00992ADC"/>
    <w:rsid w:val="009A238F"/>
    <w:rsid w:val="009A402F"/>
    <w:rsid w:val="009A603C"/>
    <w:rsid w:val="009A6C7F"/>
    <w:rsid w:val="009A6D32"/>
    <w:rsid w:val="009A71C4"/>
    <w:rsid w:val="009B055C"/>
    <w:rsid w:val="009B15EC"/>
    <w:rsid w:val="009B1781"/>
    <w:rsid w:val="009B2546"/>
    <w:rsid w:val="009B464D"/>
    <w:rsid w:val="009B5F1B"/>
    <w:rsid w:val="009B6DA6"/>
    <w:rsid w:val="009B777F"/>
    <w:rsid w:val="009C0AB3"/>
    <w:rsid w:val="009C1DFF"/>
    <w:rsid w:val="009C1F90"/>
    <w:rsid w:val="009C66A3"/>
    <w:rsid w:val="009C7675"/>
    <w:rsid w:val="009D04C4"/>
    <w:rsid w:val="009D2DA9"/>
    <w:rsid w:val="009D53B0"/>
    <w:rsid w:val="009D5DA4"/>
    <w:rsid w:val="009D616A"/>
    <w:rsid w:val="009D7BBE"/>
    <w:rsid w:val="009E0AC5"/>
    <w:rsid w:val="009E0BBF"/>
    <w:rsid w:val="009E3D71"/>
    <w:rsid w:val="009E6061"/>
    <w:rsid w:val="009E61C1"/>
    <w:rsid w:val="009F3602"/>
    <w:rsid w:val="009F5413"/>
    <w:rsid w:val="009F5F59"/>
    <w:rsid w:val="009F62C6"/>
    <w:rsid w:val="009F6D2D"/>
    <w:rsid w:val="009F7A70"/>
    <w:rsid w:val="009F7D5F"/>
    <w:rsid w:val="00A01086"/>
    <w:rsid w:val="00A019A1"/>
    <w:rsid w:val="00A0451D"/>
    <w:rsid w:val="00A05E57"/>
    <w:rsid w:val="00A07C35"/>
    <w:rsid w:val="00A1000D"/>
    <w:rsid w:val="00A1120D"/>
    <w:rsid w:val="00A11A57"/>
    <w:rsid w:val="00A1236B"/>
    <w:rsid w:val="00A13187"/>
    <w:rsid w:val="00A13CB3"/>
    <w:rsid w:val="00A13D16"/>
    <w:rsid w:val="00A13F0D"/>
    <w:rsid w:val="00A155FF"/>
    <w:rsid w:val="00A15DB7"/>
    <w:rsid w:val="00A17503"/>
    <w:rsid w:val="00A176A7"/>
    <w:rsid w:val="00A20562"/>
    <w:rsid w:val="00A215B3"/>
    <w:rsid w:val="00A24D20"/>
    <w:rsid w:val="00A24E06"/>
    <w:rsid w:val="00A30C7F"/>
    <w:rsid w:val="00A32C4E"/>
    <w:rsid w:val="00A3452B"/>
    <w:rsid w:val="00A367D4"/>
    <w:rsid w:val="00A40B4C"/>
    <w:rsid w:val="00A442A3"/>
    <w:rsid w:val="00A447D5"/>
    <w:rsid w:val="00A45198"/>
    <w:rsid w:val="00A45423"/>
    <w:rsid w:val="00A46A9A"/>
    <w:rsid w:val="00A50111"/>
    <w:rsid w:val="00A52C22"/>
    <w:rsid w:val="00A56AAB"/>
    <w:rsid w:val="00A60022"/>
    <w:rsid w:val="00A60380"/>
    <w:rsid w:val="00A61B76"/>
    <w:rsid w:val="00A633E0"/>
    <w:rsid w:val="00A64E0D"/>
    <w:rsid w:val="00A6514E"/>
    <w:rsid w:val="00A72C9D"/>
    <w:rsid w:val="00A72E5C"/>
    <w:rsid w:val="00A734E5"/>
    <w:rsid w:val="00A73C97"/>
    <w:rsid w:val="00A8449C"/>
    <w:rsid w:val="00A84C3C"/>
    <w:rsid w:val="00A870D5"/>
    <w:rsid w:val="00A87F4B"/>
    <w:rsid w:val="00A909A3"/>
    <w:rsid w:val="00A91BD2"/>
    <w:rsid w:val="00A9298F"/>
    <w:rsid w:val="00A940BE"/>
    <w:rsid w:val="00A9516E"/>
    <w:rsid w:val="00A95962"/>
    <w:rsid w:val="00A96316"/>
    <w:rsid w:val="00A9658A"/>
    <w:rsid w:val="00A970ED"/>
    <w:rsid w:val="00AA1347"/>
    <w:rsid w:val="00AA3383"/>
    <w:rsid w:val="00AA553F"/>
    <w:rsid w:val="00AA77B0"/>
    <w:rsid w:val="00AA7CFF"/>
    <w:rsid w:val="00AB3D33"/>
    <w:rsid w:val="00AB5656"/>
    <w:rsid w:val="00AC009A"/>
    <w:rsid w:val="00AC1070"/>
    <w:rsid w:val="00AC1B27"/>
    <w:rsid w:val="00AC1BA8"/>
    <w:rsid w:val="00AC3728"/>
    <w:rsid w:val="00AC4C62"/>
    <w:rsid w:val="00AC6094"/>
    <w:rsid w:val="00AC60D4"/>
    <w:rsid w:val="00AC66BC"/>
    <w:rsid w:val="00AC77F3"/>
    <w:rsid w:val="00AC7EC0"/>
    <w:rsid w:val="00AD588D"/>
    <w:rsid w:val="00AE0240"/>
    <w:rsid w:val="00AE39EE"/>
    <w:rsid w:val="00AE495A"/>
    <w:rsid w:val="00AE53E5"/>
    <w:rsid w:val="00AE6112"/>
    <w:rsid w:val="00AE6AB9"/>
    <w:rsid w:val="00AE6BFF"/>
    <w:rsid w:val="00AE7041"/>
    <w:rsid w:val="00AE7345"/>
    <w:rsid w:val="00AE79B5"/>
    <w:rsid w:val="00AE7AE5"/>
    <w:rsid w:val="00AF097F"/>
    <w:rsid w:val="00AF1303"/>
    <w:rsid w:val="00AF271E"/>
    <w:rsid w:val="00AF3000"/>
    <w:rsid w:val="00AF66D7"/>
    <w:rsid w:val="00AF7989"/>
    <w:rsid w:val="00B0127B"/>
    <w:rsid w:val="00B02052"/>
    <w:rsid w:val="00B020C9"/>
    <w:rsid w:val="00B02481"/>
    <w:rsid w:val="00B0303C"/>
    <w:rsid w:val="00B047A7"/>
    <w:rsid w:val="00B047CF"/>
    <w:rsid w:val="00B04860"/>
    <w:rsid w:val="00B04EAC"/>
    <w:rsid w:val="00B05C08"/>
    <w:rsid w:val="00B0676C"/>
    <w:rsid w:val="00B07D0A"/>
    <w:rsid w:val="00B129C3"/>
    <w:rsid w:val="00B135B3"/>
    <w:rsid w:val="00B14E0B"/>
    <w:rsid w:val="00B150A4"/>
    <w:rsid w:val="00B15638"/>
    <w:rsid w:val="00B15B56"/>
    <w:rsid w:val="00B15BEA"/>
    <w:rsid w:val="00B22700"/>
    <w:rsid w:val="00B24C1C"/>
    <w:rsid w:val="00B24E61"/>
    <w:rsid w:val="00B25A73"/>
    <w:rsid w:val="00B302CA"/>
    <w:rsid w:val="00B32830"/>
    <w:rsid w:val="00B36BB1"/>
    <w:rsid w:val="00B404B7"/>
    <w:rsid w:val="00B42FAF"/>
    <w:rsid w:val="00B44BBF"/>
    <w:rsid w:val="00B46102"/>
    <w:rsid w:val="00B50FEA"/>
    <w:rsid w:val="00B51175"/>
    <w:rsid w:val="00B511ED"/>
    <w:rsid w:val="00B53908"/>
    <w:rsid w:val="00B5397C"/>
    <w:rsid w:val="00B54FA9"/>
    <w:rsid w:val="00B5517C"/>
    <w:rsid w:val="00B57B0B"/>
    <w:rsid w:val="00B6085F"/>
    <w:rsid w:val="00B6204E"/>
    <w:rsid w:val="00B6334A"/>
    <w:rsid w:val="00B64308"/>
    <w:rsid w:val="00B679A9"/>
    <w:rsid w:val="00B70953"/>
    <w:rsid w:val="00B71F74"/>
    <w:rsid w:val="00B72A8E"/>
    <w:rsid w:val="00B735CF"/>
    <w:rsid w:val="00B73C23"/>
    <w:rsid w:val="00B75FA1"/>
    <w:rsid w:val="00B761CE"/>
    <w:rsid w:val="00B76D36"/>
    <w:rsid w:val="00B771FF"/>
    <w:rsid w:val="00B775BB"/>
    <w:rsid w:val="00B82C45"/>
    <w:rsid w:val="00B83F35"/>
    <w:rsid w:val="00B85A11"/>
    <w:rsid w:val="00B90781"/>
    <w:rsid w:val="00B91AC5"/>
    <w:rsid w:val="00B942B5"/>
    <w:rsid w:val="00B969E1"/>
    <w:rsid w:val="00B97128"/>
    <w:rsid w:val="00BA007C"/>
    <w:rsid w:val="00BA054F"/>
    <w:rsid w:val="00BA0B02"/>
    <w:rsid w:val="00BA123B"/>
    <w:rsid w:val="00BA26B3"/>
    <w:rsid w:val="00BA3721"/>
    <w:rsid w:val="00BA6100"/>
    <w:rsid w:val="00BA629E"/>
    <w:rsid w:val="00BA7010"/>
    <w:rsid w:val="00BA7802"/>
    <w:rsid w:val="00BA7989"/>
    <w:rsid w:val="00BB059B"/>
    <w:rsid w:val="00BB4B21"/>
    <w:rsid w:val="00BB5639"/>
    <w:rsid w:val="00BB5FB7"/>
    <w:rsid w:val="00BB6B46"/>
    <w:rsid w:val="00BB7D8D"/>
    <w:rsid w:val="00BC01B5"/>
    <w:rsid w:val="00BC1471"/>
    <w:rsid w:val="00BC3FD7"/>
    <w:rsid w:val="00BC477E"/>
    <w:rsid w:val="00BC5551"/>
    <w:rsid w:val="00BC5899"/>
    <w:rsid w:val="00BC73B9"/>
    <w:rsid w:val="00BC74CD"/>
    <w:rsid w:val="00BC7D2A"/>
    <w:rsid w:val="00BD054D"/>
    <w:rsid w:val="00BD0C4D"/>
    <w:rsid w:val="00BD18F3"/>
    <w:rsid w:val="00BD1959"/>
    <w:rsid w:val="00BD210B"/>
    <w:rsid w:val="00BD348C"/>
    <w:rsid w:val="00BD376E"/>
    <w:rsid w:val="00BD3C26"/>
    <w:rsid w:val="00BD4F58"/>
    <w:rsid w:val="00BD53BE"/>
    <w:rsid w:val="00BD6F9A"/>
    <w:rsid w:val="00BD7276"/>
    <w:rsid w:val="00BD7EA0"/>
    <w:rsid w:val="00BE2210"/>
    <w:rsid w:val="00BE5AC7"/>
    <w:rsid w:val="00BE6804"/>
    <w:rsid w:val="00BF173F"/>
    <w:rsid w:val="00BF3E58"/>
    <w:rsid w:val="00BF4A8E"/>
    <w:rsid w:val="00BF5717"/>
    <w:rsid w:val="00BF73E4"/>
    <w:rsid w:val="00BF75D8"/>
    <w:rsid w:val="00C02B39"/>
    <w:rsid w:val="00C02E0E"/>
    <w:rsid w:val="00C04C27"/>
    <w:rsid w:val="00C06131"/>
    <w:rsid w:val="00C0628D"/>
    <w:rsid w:val="00C07176"/>
    <w:rsid w:val="00C10455"/>
    <w:rsid w:val="00C1138D"/>
    <w:rsid w:val="00C117AF"/>
    <w:rsid w:val="00C14268"/>
    <w:rsid w:val="00C14975"/>
    <w:rsid w:val="00C16C28"/>
    <w:rsid w:val="00C17574"/>
    <w:rsid w:val="00C21543"/>
    <w:rsid w:val="00C23C8C"/>
    <w:rsid w:val="00C23F94"/>
    <w:rsid w:val="00C25323"/>
    <w:rsid w:val="00C3042D"/>
    <w:rsid w:val="00C3185E"/>
    <w:rsid w:val="00C33A71"/>
    <w:rsid w:val="00C362B7"/>
    <w:rsid w:val="00C365E7"/>
    <w:rsid w:val="00C3693F"/>
    <w:rsid w:val="00C37A6A"/>
    <w:rsid w:val="00C37DC9"/>
    <w:rsid w:val="00C4286F"/>
    <w:rsid w:val="00C436B8"/>
    <w:rsid w:val="00C443D7"/>
    <w:rsid w:val="00C44D3C"/>
    <w:rsid w:val="00C522D4"/>
    <w:rsid w:val="00C53937"/>
    <w:rsid w:val="00C5544E"/>
    <w:rsid w:val="00C5773D"/>
    <w:rsid w:val="00C600A2"/>
    <w:rsid w:val="00C60634"/>
    <w:rsid w:val="00C6159B"/>
    <w:rsid w:val="00C620FD"/>
    <w:rsid w:val="00C639E4"/>
    <w:rsid w:val="00C70720"/>
    <w:rsid w:val="00C70EE9"/>
    <w:rsid w:val="00C71949"/>
    <w:rsid w:val="00C71CED"/>
    <w:rsid w:val="00C778C6"/>
    <w:rsid w:val="00C77D33"/>
    <w:rsid w:val="00C80C62"/>
    <w:rsid w:val="00C8120F"/>
    <w:rsid w:val="00C82A8A"/>
    <w:rsid w:val="00C837C0"/>
    <w:rsid w:val="00C84443"/>
    <w:rsid w:val="00C861B8"/>
    <w:rsid w:val="00C8634C"/>
    <w:rsid w:val="00C87AE6"/>
    <w:rsid w:val="00C9395C"/>
    <w:rsid w:val="00C93BB5"/>
    <w:rsid w:val="00C93DE9"/>
    <w:rsid w:val="00C94C1A"/>
    <w:rsid w:val="00C9583D"/>
    <w:rsid w:val="00C97D05"/>
    <w:rsid w:val="00CA168B"/>
    <w:rsid w:val="00CA2721"/>
    <w:rsid w:val="00CA4694"/>
    <w:rsid w:val="00CA4B24"/>
    <w:rsid w:val="00CA533E"/>
    <w:rsid w:val="00CB032B"/>
    <w:rsid w:val="00CB0554"/>
    <w:rsid w:val="00CB2240"/>
    <w:rsid w:val="00CB4AED"/>
    <w:rsid w:val="00CB4F3B"/>
    <w:rsid w:val="00CB514D"/>
    <w:rsid w:val="00CB6FE2"/>
    <w:rsid w:val="00CB71A6"/>
    <w:rsid w:val="00CC0361"/>
    <w:rsid w:val="00CC1136"/>
    <w:rsid w:val="00CC16A3"/>
    <w:rsid w:val="00CC2528"/>
    <w:rsid w:val="00CC31CD"/>
    <w:rsid w:val="00CC4127"/>
    <w:rsid w:val="00CC43F4"/>
    <w:rsid w:val="00CC4E1A"/>
    <w:rsid w:val="00CC5606"/>
    <w:rsid w:val="00CC75CA"/>
    <w:rsid w:val="00CC7C0A"/>
    <w:rsid w:val="00CD02A5"/>
    <w:rsid w:val="00CD25E3"/>
    <w:rsid w:val="00CD3103"/>
    <w:rsid w:val="00CD353A"/>
    <w:rsid w:val="00CD5640"/>
    <w:rsid w:val="00CD5CFE"/>
    <w:rsid w:val="00CD65F3"/>
    <w:rsid w:val="00CD7F0B"/>
    <w:rsid w:val="00CE0172"/>
    <w:rsid w:val="00CE1D80"/>
    <w:rsid w:val="00CE2F50"/>
    <w:rsid w:val="00CE3CB4"/>
    <w:rsid w:val="00CE492F"/>
    <w:rsid w:val="00CE59ED"/>
    <w:rsid w:val="00CE685C"/>
    <w:rsid w:val="00CF0C72"/>
    <w:rsid w:val="00CF1EA3"/>
    <w:rsid w:val="00CF5A2D"/>
    <w:rsid w:val="00D03106"/>
    <w:rsid w:val="00D03933"/>
    <w:rsid w:val="00D03AB1"/>
    <w:rsid w:val="00D044DC"/>
    <w:rsid w:val="00D05A02"/>
    <w:rsid w:val="00D071EB"/>
    <w:rsid w:val="00D0725D"/>
    <w:rsid w:val="00D11F38"/>
    <w:rsid w:val="00D11F49"/>
    <w:rsid w:val="00D14244"/>
    <w:rsid w:val="00D16939"/>
    <w:rsid w:val="00D17467"/>
    <w:rsid w:val="00D17469"/>
    <w:rsid w:val="00D2150F"/>
    <w:rsid w:val="00D215DF"/>
    <w:rsid w:val="00D21A5B"/>
    <w:rsid w:val="00D21EE3"/>
    <w:rsid w:val="00D24691"/>
    <w:rsid w:val="00D24E60"/>
    <w:rsid w:val="00D252B3"/>
    <w:rsid w:val="00D3002C"/>
    <w:rsid w:val="00D30BE0"/>
    <w:rsid w:val="00D31B96"/>
    <w:rsid w:val="00D321E3"/>
    <w:rsid w:val="00D32370"/>
    <w:rsid w:val="00D339E2"/>
    <w:rsid w:val="00D33E3B"/>
    <w:rsid w:val="00D360B2"/>
    <w:rsid w:val="00D36A99"/>
    <w:rsid w:val="00D377E2"/>
    <w:rsid w:val="00D37AC2"/>
    <w:rsid w:val="00D40AA4"/>
    <w:rsid w:val="00D40B85"/>
    <w:rsid w:val="00D4261B"/>
    <w:rsid w:val="00D42D50"/>
    <w:rsid w:val="00D42E55"/>
    <w:rsid w:val="00D43CC0"/>
    <w:rsid w:val="00D444CD"/>
    <w:rsid w:val="00D46460"/>
    <w:rsid w:val="00D46835"/>
    <w:rsid w:val="00D514ED"/>
    <w:rsid w:val="00D535AC"/>
    <w:rsid w:val="00D547CE"/>
    <w:rsid w:val="00D54EEE"/>
    <w:rsid w:val="00D555C7"/>
    <w:rsid w:val="00D566F4"/>
    <w:rsid w:val="00D56829"/>
    <w:rsid w:val="00D56EEA"/>
    <w:rsid w:val="00D5795E"/>
    <w:rsid w:val="00D579E6"/>
    <w:rsid w:val="00D60855"/>
    <w:rsid w:val="00D6108C"/>
    <w:rsid w:val="00D621F5"/>
    <w:rsid w:val="00D63D50"/>
    <w:rsid w:val="00D64255"/>
    <w:rsid w:val="00D655C7"/>
    <w:rsid w:val="00D6618C"/>
    <w:rsid w:val="00D6767E"/>
    <w:rsid w:val="00D7325B"/>
    <w:rsid w:val="00D73ED3"/>
    <w:rsid w:val="00D76288"/>
    <w:rsid w:val="00D766FF"/>
    <w:rsid w:val="00D77EC6"/>
    <w:rsid w:val="00D80BD4"/>
    <w:rsid w:val="00D81D04"/>
    <w:rsid w:val="00D81EE9"/>
    <w:rsid w:val="00D81F86"/>
    <w:rsid w:val="00D83375"/>
    <w:rsid w:val="00D83C6C"/>
    <w:rsid w:val="00D84327"/>
    <w:rsid w:val="00D84CAB"/>
    <w:rsid w:val="00D86AF9"/>
    <w:rsid w:val="00D90D8A"/>
    <w:rsid w:val="00D914D5"/>
    <w:rsid w:val="00D915DD"/>
    <w:rsid w:val="00D935D8"/>
    <w:rsid w:val="00D96553"/>
    <w:rsid w:val="00DA04A6"/>
    <w:rsid w:val="00DA4570"/>
    <w:rsid w:val="00DA5AC9"/>
    <w:rsid w:val="00DB2D9E"/>
    <w:rsid w:val="00DB434A"/>
    <w:rsid w:val="00DB5E0E"/>
    <w:rsid w:val="00DB7CDC"/>
    <w:rsid w:val="00DB7E9D"/>
    <w:rsid w:val="00DC075C"/>
    <w:rsid w:val="00DC08CF"/>
    <w:rsid w:val="00DC5A55"/>
    <w:rsid w:val="00DC6780"/>
    <w:rsid w:val="00DC6FBB"/>
    <w:rsid w:val="00DD149F"/>
    <w:rsid w:val="00DD1888"/>
    <w:rsid w:val="00DD5A0D"/>
    <w:rsid w:val="00DD5BDB"/>
    <w:rsid w:val="00DD5D38"/>
    <w:rsid w:val="00DD744B"/>
    <w:rsid w:val="00DE05FE"/>
    <w:rsid w:val="00DE1328"/>
    <w:rsid w:val="00DE4700"/>
    <w:rsid w:val="00DE5EE8"/>
    <w:rsid w:val="00DE74EC"/>
    <w:rsid w:val="00DF05EF"/>
    <w:rsid w:val="00DF0B01"/>
    <w:rsid w:val="00DF1EE9"/>
    <w:rsid w:val="00DF2DE3"/>
    <w:rsid w:val="00DF2E5C"/>
    <w:rsid w:val="00DF3DA8"/>
    <w:rsid w:val="00DF56B6"/>
    <w:rsid w:val="00DF57E4"/>
    <w:rsid w:val="00DF5A1B"/>
    <w:rsid w:val="00DF5A46"/>
    <w:rsid w:val="00DF6189"/>
    <w:rsid w:val="00E004CF"/>
    <w:rsid w:val="00E005CA"/>
    <w:rsid w:val="00E10B5B"/>
    <w:rsid w:val="00E11105"/>
    <w:rsid w:val="00E1280F"/>
    <w:rsid w:val="00E13351"/>
    <w:rsid w:val="00E14A49"/>
    <w:rsid w:val="00E16939"/>
    <w:rsid w:val="00E1766A"/>
    <w:rsid w:val="00E17BCF"/>
    <w:rsid w:val="00E217CB"/>
    <w:rsid w:val="00E267E6"/>
    <w:rsid w:val="00E308B3"/>
    <w:rsid w:val="00E320A6"/>
    <w:rsid w:val="00E324CA"/>
    <w:rsid w:val="00E338D5"/>
    <w:rsid w:val="00E33A4F"/>
    <w:rsid w:val="00E34501"/>
    <w:rsid w:val="00E35B8F"/>
    <w:rsid w:val="00E40078"/>
    <w:rsid w:val="00E40E0A"/>
    <w:rsid w:val="00E43026"/>
    <w:rsid w:val="00E4461B"/>
    <w:rsid w:val="00E4520C"/>
    <w:rsid w:val="00E4561D"/>
    <w:rsid w:val="00E46CA6"/>
    <w:rsid w:val="00E501C3"/>
    <w:rsid w:val="00E551F5"/>
    <w:rsid w:val="00E55203"/>
    <w:rsid w:val="00E617BF"/>
    <w:rsid w:val="00E61DA1"/>
    <w:rsid w:val="00E62B01"/>
    <w:rsid w:val="00E6394B"/>
    <w:rsid w:val="00E63AA9"/>
    <w:rsid w:val="00E6430A"/>
    <w:rsid w:val="00E64B67"/>
    <w:rsid w:val="00E65668"/>
    <w:rsid w:val="00E65AE0"/>
    <w:rsid w:val="00E65C20"/>
    <w:rsid w:val="00E669CD"/>
    <w:rsid w:val="00E67580"/>
    <w:rsid w:val="00E701AB"/>
    <w:rsid w:val="00E70A2C"/>
    <w:rsid w:val="00E76651"/>
    <w:rsid w:val="00E77D2A"/>
    <w:rsid w:val="00E8044F"/>
    <w:rsid w:val="00E80CAC"/>
    <w:rsid w:val="00E813BB"/>
    <w:rsid w:val="00E81A73"/>
    <w:rsid w:val="00E81A92"/>
    <w:rsid w:val="00E825DA"/>
    <w:rsid w:val="00E83A1D"/>
    <w:rsid w:val="00E842A6"/>
    <w:rsid w:val="00E847A7"/>
    <w:rsid w:val="00E84DD4"/>
    <w:rsid w:val="00E8509F"/>
    <w:rsid w:val="00E85FF2"/>
    <w:rsid w:val="00E86CBA"/>
    <w:rsid w:val="00E90E39"/>
    <w:rsid w:val="00E92B26"/>
    <w:rsid w:val="00E93C25"/>
    <w:rsid w:val="00E96E0C"/>
    <w:rsid w:val="00EA5304"/>
    <w:rsid w:val="00EA5D8D"/>
    <w:rsid w:val="00EA5F21"/>
    <w:rsid w:val="00EA688E"/>
    <w:rsid w:val="00EB1557"/>
    <w:rsid w:val="00EC2A56"/>
    <w:rsid w:val="00EC32D6"/>
    <w:rsid w:val="00EC4047"/>
    <w:rsid w:val="00EC501B"/>
    <w:rsid w:val="00EC5C0E"/>
    <w:rsid w:val="00EC6724"/>
    <w:rsid w:val="00EC6769"/>
    <w:rsid w:val="00EC7459"/>
    <w:rsid w:val="00ED2252"/>
    <w:rsid w:val="00ED235D"/>
    <w:rsid w:val="00ED3522"/>
    <w:rsid w:val="00ED583F"/>
    <w:rsid w:val="00ED7B29"/>
    <w:rsid w:val="00EE0586"/>
    <w:rsid w:val="00EE078F"/>
    <w:rsid w:val="00EE5114"/>
    <w:rsid w:val="00EE5273"/>
    <w:rsid w:val="00EE570F"/>
    <w:rsid w:val="00EE5F89"/>
    <w:rsid w:val="00EE720C"/>
    <w:rsid w:val="00EE723A"/>
    <w:rsid w:val="00EE7A77"/>
    <w:rsid w:val="00EF0AC2"/>
    <w:rsid w:val="00EF1B2D"/>
    <w:rsid w:val="00EF25B5"/>
    <w:rsid w:val="00EF355B"/>
    <w:rsid w:val="00EF3E7B"/>
    <w:rsid w:val="00EF590F"/>
    <w:rsid w:val="00EF5D26"/>
    <w:rsid w:val="00EF72DC"/>
    <w:rsid w:val="00F004F8"/>
    <w:rsid w:val="00F0196A"/>
    <w:rsid w:val="00F02013"/>
    <w:rsid w:val="00F05B01"/>
    <w:rsid w:val="00F05C7F"/>
    <w:rsid w:val="00F07B2D"/>
    <w:rsid w:val="00F11B0F"/>
    <w:rsid w:val="00F1288A"/>
    <w:rsid w:val="00F12997"/>
    <w:rsid w:val="00F13951"/>
    <w:rsid w:val="00F14F22"/>
    <w:rsid w:val="00F1543F"/>
    <w:rsid w:val="00F172EE"/>
    <w:rsid w:val="00F20269"/>
    <w:rsid w:val="00F21455"/>
    <w:rsid w:val="00F21D6B"/>
    <w:rsid w:val="00F225BD"/>
    <w:rsid w:val="00F22B11"/>
    <w:rsid w:val="00F22FC2"/>
    <w:rsid w:val="00F248B6"/>
    <w:rsid w:val="00F276B3"/>
    <w:rsid w:val="00F313CE"/>
    <w:rsid w:val="00F31637"/>
    <w:rsid w:val="00F33B9F"/>
    <w:rsid w:val="00F3429F"/>
    <w:rsid w:val="00F41932"/>
    <w:rsid w:val="00F43318"/>
    <w:rsid w:val="00F44C22"/>
    <w:rsid w:val="00F44EBB"/>
    <w:rsid w:val="00F46649"/>
    <w:rsid w:val="00F4789A"/>
    <w:rsid w:val="00F50F69"/>
    <w:rsid w:val="00F51C00"/>
    <w:rsid w:val="00F51FDE"/>
    <w:rsid w:val="00F543BF"/>
    <w:rsid w:val="00F56771"/>
    <w:rsid w:val="00F5730C"/>
    <w:rsid w:val="00F57590"/>
    <w:rsid w:val="00F57F95"/>
    <w:rsid w:val="00F6016E"/>
    <w:rsid w:val="00F61364"/>
    <w:rsid w:val="00F614C4"/>
    <w:rsid w:val="00F61E2F"/>
    <w:rsid w:val="00F624E2"/>
    <w:rsid w:val="00F63088"/>
    <w:rsid w:val="00F64DBD"/>
    <w:rsid w:val="00F6580E"/>
    <w:rsid w:val="00F677E4"/>
    <w:rsid w:val="00F705EB"/>
    <w:rsid w:val="00F7256C"/>
    <w:rsid w:val="00F72F04"/>
    <w:rsid w:val="00F73160"/>
    <w:rsid w:val="00F73161"/>
    <w:rsid w:val="00F74036"/>
    <w:rsid w:val="00F75A59"/>
    <w:rsid w:val="00F75B62"/>
    <w:rsid w:val="00F7650A"/>
    <w:rsid w:val="00F80390"/>
    <w:rsid w:val="00F81F75"/>
    <w:rsid w:val="00F84A4B"/>
    <w:rsid w:val="00F90365"/>
    <w:rsid w:val="00F90500"/>
    <w:rsid w:val="00F90901"/>
    <w:rsid w:val="00F91260"/>
    <w:rsid w:val="00F930AF"/>
    <w:rsid w:val="00F93F77"/>
    <w:rsid w:val="00F95DDF"/>
    <w:rsid w:val="00F96108"/>
    <w:rsid w:val="00FA132A"/>
    <w:rsid w:val="00FA2550"/>
    <w:rsid w:val="00FA25E5"/>
    <w:rsid w:val="00FA3AA7"/>
    <w:rsid w:val="00FA3CF9"/>
    <w:rsid w:val="00FA44E1"/>
    <w:rsid w:val="00FA4C3F"/>
    <w:rsid w:val="00FA548A"/>
    <w:rsid w:val="00FA61E9"/>
    <w:rsid w:val="00FA70A7"/>
    <w:rsid w:val="00FB0573"/>
    <w:rsid w:val="00FB41EB"/>
    <w:rsid w:val="00FB4E10"/>
    <w:rsid w:val="00FB5337"/>
    <w:rsid w:val="00FB7AEB"/>
    <w:rsid w:val="00FC2874"/>
    <w:rsid w:val="00FC2E34"/>
    <w:rsid w:val="00FC52E1"/>
    <w:rsid w:val="00FC540F"/>
    <w:rsid w:val="00FD06DF"/>
    <w:rsid w:val="00FD0A84"/>
    <w:rsid w:val="00FD0B4D"/>
    <w:rsid w:val="00FD29AB"/>
    <w:rsid w:val="00FD4A00"/>
    <w:rsid w:val="00FD4DFA"/>
    <w:rsid w:val="00FD709C"/>
    <w:rsid w:val="00FD75C8"/>
    <w:rsid w:val="00FE11D6"/>
    <w:rsid w:val="00FE16FC"/>
    <w:rsid w:val="00FE2369"/>
    <w:rsid w:val="00FE316C"/>
    <w:rsid w:val="00FE3680"/>
    <w:rsid w:val="00FF1455"/>
    <w:rsid w:val="00FF2714"/>
    <w:rsid w:val="00FF3FA3"/>
    <w:rsid w:val="00FF4459"/>
    <w:rsid w:val="00FF4A0A"/>
    <w:rsid w:val="251CD2D4"/>
    <w:rsid w:val="3CDE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74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84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003984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03984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03984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003984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003984"/>
    <w:pPr>
      <w:numPr>
        <w:ilvl w:val="1"/>
        <w:numId w:val="12"/>
      </w:numPr>
      <w:spacing w:before="0"/>
    </w:pPr>
  </w:style>
  <w:style w:type="character" w:customStyle="1" w:styleId="DashChar">
    <w:name w:val="Dash Char"/>
    <w:basedOn w:val="DefaultParagraphFont"/>
    <w:link w:val="Dash"/>
    <w:rsid w:val="00003984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003984"/>
    <w:pPr>
      <w:numPr>
        <w:ilvl w:val="2"/>
        <w:numId w:val="12"/>
      </w:numPr>
      <w:tabs>
        <w:tab w:val="clear" w:pos="850"/>
      </w:tabs>
      <w:spacing w:before="0"/>
    </w:pPr>
  </w:style>
  <w:style w:type="character" w:customStyle="1" w:styleId="DoubleDotChar">
    <w:name w:val="Double Dot Char"/>
    <w:basedOn w:val="DefaultParagraphFont"/>
    <w:link w:val="DoubleDot"/>
    <w:rsid w:val="00003984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03984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03984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03984"/>
    <w:rPr>
      <w:rFonts w:ascii="Calibri Light" w:eastAsia="Times New Roman" w:hAnsi="Calibri Light" w:cs="Arial"/>
      <w:color w:val="4D7861" w:themeColor="accent2"/>
      <w:kern w:val="32"/>
      <w:sz w:val="22"/>
      <w:szCs w:val="26"/>
      <w:lang w:eastAsia="en-AU"/>
    </w:rPr>
  </w:style>
  <w:style w:type="table" w:styleId="TableGrid">
    <w:name w:val="Table Grid"/>
    <w:basedOn w:val="TableNormal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003984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003984"/>
    <w:pPr>
      <w:numPr>
        <w:numId w:val="13"/>
      </w:numPr>
      <w:tabs>
        <w:tab w:val="clear" w:pos="520"/>
      </w:tabs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003984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003984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039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3984"/>
    <w:rPr>
      <w:rFonts w:ascii="Calibri Light" w:eastAsia="Times New Roman" w:hAnsi="Calibri Light"/>
      <w:sz w:val="22"/>
      <w:lang w:eastAsia="en-AU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003984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styleId="CommentReference">
    <w:name w:val="annotation reference"/>
    <w:basedOn w:val="DefaultParagraphFont"/>
    <w:semiHidden/>
    <w:unhideWhenUsed/>
    <w:rsid w:val="001838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38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3846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846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through Superannuation</vt:lpstr>
    </vt:vector>
  </TitlesOfParts>
  <Company>The Treasury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through Superannuation</dc:title>
  <dc:subject/>
  <dc:creator/>
  <cp:keywords/>
  <dc:description/>
  <cp:lastModifiedBy/>
  <cp:revision>1</cp:revision>
  <dcterms:created xsi:type="dcterms:W3CDTF">2025-03-21T05:00:00Z</dcterms:created>
  <dcterms:modified xsi:type="dcterms:W3CDTF">2025-03-21T05:01:00Z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2025-03-21T05:01:04Z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cef746ac-9bce-433b-89de-339b9c3cc527</vt:lpwstr>
  </property>
  <property fmtid="{D5CDD505-2E9C-101B-9397-08002B2CF9AE}" pid="8" name="MSIP_Label_4f932d64-9ab1-4d9b-81d2-a3a8b82dd47d_ContentBits">
    <vt:lpwstr>0</vt:lpwstr>
  </property>
</Properties>
</file>