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387011AC" w14:textId="75E22EDF" w:rsidR="00A652B8" w:rsidRPr="006D0240" w:rsidRDefault="00E67ADF" w:rsidP="008E6292">
          <w:r>
            <w:rPr>
              <w:noProof/>
              <w:lang w:eastAsia="zh-CN"/>
            </w:rPr>
            <w:drawing>
              <wp:anchor distT="0" distB="0" distL="114300" distR="114300" simplePos="0" relativeHeight="251658240" behindDoc="1" locked="0" layoutInCell="1" allowOverlap="1" wp14:anchorId="775FAAEB" wp14:editId="475EDC33">
                <wp:simplePos x="0" y="0"/>
                <wp:positionH relativeFrom="page">
                  <wp:align>center</wp:align>
                </wp:positionH>
                <wp:positionV relativeFrom="page">
                  <wp:align>center</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E62C96D" w14:textId="2AC90EA7" w:rsidR="00A652B8" w:rsidRPr="006D0240" w:rsidRDefault="00A652B8" w:rsidP="001D4EAA">
          <w:pPr>
            <w:pStyle w:val="Header"/>
            <w:spacing w:after="1320"/>
            <w:jc w:val="left"/>
          </w:pPr>
        </w:p>
        <w:p w14:paraId="6ED6418C" w14:textId="49818015" w:rsidR="00A652B8" w:rsidRPr="001D4EAA" w:rsidRDefault="00285924" w:rsidP="001D4EAA">
          <w:pPr>
            <w:pStyle w:val="Title"/>
          </w:pPr>
          <w:r>
            <w:t>Giving</w:t>
          </w:r>
          <w:r w:rsidR="001B40F6">
            <w:t xml:space="preserve"> fund reforms: distribution rate and smoothing</w:t>
          </w:r>
        </w:p>
        <w:p w14:paraId="2C9D87BB" w14:textId="407C269D" w:rsidR="00A652B8" w:rsidRPr="001D4EAA" w:rsidRDefault="00A652B8" w:rsidP="00082FC2">
          <w:pPr>
            <w:pStyle w:val="Subtitle"/>
            <w:spacing w:after="240"/>
          </w:pPr>
          <w:r>
            <w:t>Consultation paper</w:t>
          </w:r>
        </w:p>
        <w:p w14:paraId="12D17525" w14:textId="573F9E12" w:rsidR="00A652B8" w:rsidRPr="00E67ADF" w:rsidRDefault="00894189" w:rsidP="00E67ADF">
          <w:pPr>
            <w:pStyle w:val="ReportDate"/>
            <w:rPr>
              <w:rFonts w:ascii="Rockwell" w:hAnsi="Rockwell"/>
              <w:sz w:val="24"/>
            </w:rPr>
          </w:pPr>
          <w:r>
            <w:rPr>
              <w:rStyle w:val="ReportDateChar"/>
            </w:rPr>
            <w:t>June 2025</w:t>
          </w:r>
        </w:p>
        <w:p w14:paraId="4BCE830B" w14:textId="77777777" w:rsidR="00A652B8" w:rsidRDefault="00A652B8" w:rsidP="00775702">
          <w:pPr>
            <w:spacing w:after="1640"/>
          </w:pPr>
        </w:p>
        <w:p w14:paraId="4C8615A3" w14:textId="77777777" w:rsidR="00A652B8" w:rsidRDefault="00A652B8" w:rsidP="00775702">
          <w:pPr>
            <w:spacing w:after="1640"/>
          </w:pPr>
        </w:p>
        <w:p w14:paraId="4EF8E37C" w14:textId="77777777" w:rsidR="00A652B8" w:rsidRDefault="00A652B8">
          <w:pPr>
            <w:spacing w:before="0" w:after="160" w:line="259" w:lineRule="auto"/>
          </w:pPr>
          <w:r>
            <w:br w:type="page"/>
          </w:r>
        </w:p>
      </w:sdtContent>
    </w:sdt>
    <w:p w14:paraId="3D3BDAA6"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593B8BF9" w14:textId="138F5B41" w:rsidR="000E0B74" w:rsidRDefault="000E0B74" w:rsidP="000E0B74">
      <w:pPr>
        <w:spacing w:before="240"/>
      </w:pPr>
      <w:r w:rsidRPr="00661BF0">
        <w:lastRenderedPageBreak/>
        <w:t xml:space="preserve">© Commonwealth of Australia </w:t>
      </w:r>
      <w:r w:rsidRPr="00432C2B">
        <w:t>20</w:t>
      </w:r>
      <w:r w:rsidR="00EF2FBF" w:rsidRPr="00432C2B">
        <w:t>2</w:t>
      </w:r>
      <w:r w:rsidR="00432C2B" w:rsidRPr="00432C2B">
        <w:t>5</w:t>
      </w:r>
    </w:p>
    <w:p w14:paraId="5C75AA45"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creativecommons.org/licenses/by/4.0/legalcode</w:t>
        </w:r>
      </w:hyperlink>
      <w:r w:rsidRPr="00D65E0B">
        <w:rPr>
          <w:rFonts w:cstheme="minorHAnsi"/>
          <w:szCs w:val="22"/>
        </w:rPr>
        <w:t>.</w:t>
      </w:r>
    </w:p>
    <w:p w14:paraId="2911F89A" w14:textId="77777777" w:rsidR="000E0B74" w:rsidRDefault="000E0B74" w:rsidP="000E0B74">
      <w:pPr>
        <w:pStyle w:val="ChartGraphic"/>
        <w:jc w:val="left"/>
      </w:pPr>
      <w:r w:rsidRPr="00E56DFB">
        <w:rPr>
          <w:noProof/>
          <w:lang w:eastAsia="zh-CN"/>
        </w:rPr>
        <w:drawing>
          <wp:inline distT="0" distB="0" distL="0" distR="0" wp14:anchorId="3E4C04BB" wp14:editId="055E4C4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17AF620"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5540FCB8" w14:textId="77777777" w:rsidR="000E0B74" w:rsidRPr="00283EEA" w:rsidRDefault="000E0B74" w:rsidP="0031276E">
      <w:pPr>
        <w:spacing w:before="240"/>
        <w:rPr>
          <w:rStyle w:val="Strong"/>
        </w:rPr>
      </w:pPr>
      <w:r w:rsidRPr="00283EEA">
        <w:rPr>
          <w:rStyle w:val="Strong"/>
        </w:rPr>
        <w:t>Treasury material used ‘as supplied’.</w:t>
      </w:r>
    </w:p>
    <w:p w14:paraId="392C098B"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6976E625"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116812AE" w14:textId="77777777" w:rsidR="000E0B74" w:rsidRPr="00283EEA" w:rsidRDefault="000E0B74" w:rsidP="000E0B74">
      <w:pPr>
        <w:spacing w:before="240"/>
        <w:rPr>
          <w:rStyle w:val="Strong"/>
        </w:rPr>
      </w:pPr>
      <w:r w:rsidRPr="00283EEA">
        <w:rPr>
          <w:rStyle w:val="Strong"/>
        </w:rPr>
        <w:t>Derivative material</w:t>
      </w:r>
    </w:p>
    <w:p w14:paraId="60A14CA4"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7060898"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2D8480F8" w14:textId="77777777" w:rsidR="000E0B74" w:rsidRPr="00283EEA" w:rsidRDefault="000E0B74" w:rsidP="000E0B74">
      <w:pPr>
        <w:spacing w:before="240"/>
        <w:rPr>
          <w:rStyle w:val="Strong"/>
        </w:rPr>
      </w:pPr>
      <w:r w:rsidRPr="00283EEA">
        <w:rPr>
          <w:rStyle w:val="Strong"/>
        </w:rPr>
        <w:t>Use of the Coat of Arms</w:t>
      </w:r>
    </w:p>
    <w:p w14:paraId="4F546416"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73909075" w14:textId="77777777" w:rsidR="000E0B74" w:rsidRPr="00283EEA" w:rsidRDefault="000E0B74" w:rsidP="000E0B74">
      <w:pPr>
        <w:spacing w:before="240"/>
        <w:rPr>
          <w:rStyle w:val="Strong"/>
        </w:rPr>
      </w:pPr>
      <w:r w:rsidRPr="00283EEA">
        <w:rPr>
          <w:rStyle w:val="Strong"/>
        </w:rPr>
        <w:t>Other uses</w:t>
      </w:r>
    </w:p>
    <w:p w14:paraId="0C02CAFF" w14:textId="77777777" w:rsidR="000E0B74" w:rsidRPr="006627B4" w:rsidRDefault="000E0B74" w:rsidP="000E0B74">
      <w:r>
        <w:t>E</w:t>
      </w:r>
      <w:r w:rsidRPr="006627B4">
        <w:t>nquiries regarding this licence and any other use of this document are welcome at:</w:t>
      </w:r>
    </w:p>
    <w:p w14:paraId="62326117"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41C3A1FF"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092A8A08" w14:textId="77777777" w:rsidR="00746881" w:rsidRPr="00746881" w:rsidRDefault="00746881" w:rsidP="00746881"/>
    <w:p w14:paraId="3FFE18F1"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120FACB2" w14:textId="77777777" w:rsidR="000E0B74" w:rsidRPr="00354FBB" w:rsidRDefault="000E0B74" w:rsidP="00354FBB">
      <w:pPr>
        <w:pStyle w:val="Heading1"/>
      </w:pPr>
      <w:bookmarkStart w:id="0" w:name="_Toc200002563"/>
      <w:r w:rsidRPr="00354FBB">
        <w:lastRenderedPageBreak/>
        <w:t>Contents</w:t>
      </w:r>
      <w:bookmarkEnd w:id="0"/>
    </w:p>
    <w:p w14:paraId="17E2D121" w14:textId="03191270" w:rsidR="0072032A"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200002563" w:history="1">
        <w:r w:rsidR="0072032A" w:rsidRPr="00226F35">
          <w:rPr>
            <w:rStyle w:val="Hyperlink"/>
          </w:rPr>
          <w:t>Contents</w:t>
        </w:r>
        <w:r w:rsidR="0072032A">
          <w:rPr>
            <w:webHidden/>
          </w:rPr>
          <w:tab/>
        </w:r>
        <w:r w:rsidR="0072032A">
          <w:rPr>
            <w:webHidden/>
          </w:rPr>
          <w:fldChar w:fldCharType="begin"/>
        </w:r>
        <w:r w:rsidR="0072032A">
          <w:rPr>
            <w:webHidden/>
          </w:rPr>
          <w:instrText xml:space="preserve"> PAGEREF _Toc200002563 \h </w:instrText>
        </w:r>
        <w:r w:rsidR="0072032A">
          <w:rPr>
            <w:webHidden/>
          </w:rPr>
        </w:r>
        <w:r w:rsidR="0072032A">
          <w:rPr>
            <w:webHidden/>
          </w:rPr>
          <w:fldChar w:fldCharType="separate"/>
        </w:r>
        <w:r w:rsidR="0072032A">
          <w:rPr>
            <w:webHidden/>
          </w:rPr>
          <w:t>ii</w:t>
        </w:r>
        <w:r w:rsidR="0072032A">
          <w:rPr>
            <w:webHidden/>
          </w:rPr>
          <w:fldChar w:fldCharType="end"/>
        </w:r>
      </w:hyperlink>
    </w:p>
    <w:p w14:paraId="737D9190" w14:textId="7386372B" w:rsidR="0072032A" w:rsidRDefault="00E97313">
      <w:pPr>
        <w:pStyle w:val="TOC1"/>
        <w:rPr>
          <w:rFonts w:asciiTheme="minorHAnsi" w:eastAsiaTheme="minorEastAsia" w:hAnsiTheme="minorHAnsi" w:cstheme="minorBidi"/>
          <w:b w:val="0"/>
          <w:color w:val="auto"/>
          <w:kern w:val="2"/>
          <w:sz w:val="24"/>
          <w:szCs w:val="24"/>
          <w14:ligatures w14:val="standardContextual"/>
        </w:rPr>
      </w:pPr>
      <w:hyperlink w:anchor="_Toc200002564" w:history="1">
        <w:r w:rsidR="0072032A" w:rsidRPr="00226F35">
          <w:rPr>
            <w:rStyle w:val="Hyperlink"/>
          </w:rPr>
          <w:t>Consultation Process</w:t>
        </w:r>
        <w:r w:rsidR="0072032A">
          <w:rPr>
            <w:webHidden/>
          </w:rPr>
          <w:tab/>
        </w:r>
        <w:r w:rsidR="0072032A">
          <w:rPr>
            <w:webHidden/>
          </w:rPr>
          <w:fldChar w:fldCharType="begin"/>
        </w:r>
        <w:r w:rsidR="0072032A">
          <w:rPr>
            <w:webHidden/>
          </w:rPr>
          <w:instrText xml:space="preserve"> PAGEREF _Toc200002564 \h </w:instrText>
        </w:r>
        <w:r w:rsidR="0072032A">
          <w:rPr>
            <w:webHidden/>
          </w:rPr>
        </w:r>
        <w:r w:rsidR="0072032A">
          <w:rPr>
            <w:webHidden/>
          </w:rPr>
          <w:fldChar w:fldCharType="separate"/>
        </w:r>
        <w:r w:rsidR="0072032A">
          <w:rPr>
            <w:webHidden/>
          </w:rPr>
          <w:t>1</w:t>
        </w:r>
        <w:r w:rsidR="0072032A">
          <w:rPr>
            <w:webHidden/>
          </w:rPr>
          <w:fldChar w:fldCharType="end"/>
        </w:r>
      </w:hyperlink>
    </w:p>
    <w:p w14:paraId="33463275" w14:textId="4B6746DE" w:rsidR="0072032A" w:rsidRDefault="00E97313">
      <w:pPr>
        <w:pStyle w:val="TOC2"/>
        <w:rPr>
          <w:rFonts w:asciiTheme="minorHAnsi" w:eastAsiaTheme="minorEastAsia" w:hAnsiTheme="minorHAnsi" w:cstheme="minorBidi"/>
          <w:color w:val="auto"/>
          <w:kern w:val="2"/>
          <w:sz w:val="24"/>
          <w:szCs w:val="24"/>
          <w14:ligatures w14:val="standardContextual"/>
        </w:rPr>
      </w:pPr>
      <w:hyperlink w:anchor="_Toc200002565" w:history="1">
        <w:r w:rsidR="0072032A" w:rsidRPr="00226F35">
          <w:rPr>
            <w:rStyle w:val="Hyperlink"/>
          </w:rPr>
          <w:t>Request for feedback and comments</w:t>
        </w:r>
        <w:r w:rsidR="0072032A">
          <w:rPr>
            <w:webHidden/>
          </w:rPr>
          <w:tab/>
        </w:r>
        <w:r w:rsidR="0072032A">
          <w:rPr>
            <w:webHidden/>
          </w:rPr>
          <w:fldChar w:fldCharType="begin"/>
        </w:r>
        <w:r w:rsidR="0072032A">
          <w:rPr>
            <w:webHidden/>
          </w:rPr>
          <w:instrText xml:space="preserve"> PAGEREF _Toc200002565 \h </w:instrText>
        </w:r>
        <w:r w:rsidR="0072032A">
          <w:rPr>
            <w:webHidden/>
          </w:rPr>
        </w:r>
        <w:r w:rsidR="0072032A">
          <w:rPr>
            <w:webHidden/>
          </w:rPr>
          <w:fldChar w:fldCharType="separate"/>
        </w:r>
        <w:r w:rsidR="0072032A">
          <w:rPr>
            <w:webHidden/>
          </w:rPr>
          <w:t>1</w:t>
        </w:r>
        <w:r w:rsidR="0072032A">
          <w:rPr>
            <w:webHidden/>
          </w:rPr>
          <w:fldChar w:fldCharType="end"/>
        </w:r>
      </w:hyperlink>
    </w:p>
    <w:p w14:paraId="270A70C5" w14:textId="0A0D2523" w:rsidR="0072032A" w:rsidRDefault="00E97313">
      <w:pPr>
        <w:pStyle w:val="TOC1"/>
        <w:rPr>
          <w:rFonts w:asciiTheme="minorHAnsi" w:eastAsiaTheme="minorEastAsia" w:hAnsiTheme="minorHAnsi" w:cstheme="minorBidi"/>
          <w:b w:val="0"/>
          <w:color w:val="auto"/>
          <w:kern w:val="2"/>
          <w:sz w:val="24"/>
          <w:szCs w:val="24"/>
          <w14:ligatures w14:val="standardContextual"/>
        </w:rPr>
      </w:pPr>
      <w:hyperlink w:anchor="_Toc200002566" w:history="1">
        <w:r w:rsidR="0072032A" w:rsidRPr="00226F35">
          <w:rPr>
            <w:rStyle w:val="Hyperlink"/>
          </w:rPr>
          <w:t>Giving fund reform: distribution rate and smoothing</w:t>
        </w:r>
        <w:r w:rsidR="0072032A">
          <w:rPr>
            <w:webHidden/>
          </w:rPr>
          <w:tab/>
        </w:r>
        <w:r w:rsidR="0072032A">
          <w:rPr>
            <w:webHidden/>
          </w:rPr>
          <w:fldChar w:fldCharType="begin"/>
        </w:r>
        <w:r w:rsidR="0072032A">
          <w:rPr>
            <w:webHidden/>
          </w:rPr>
          <w:instrText xml:space="preserve"> PAGEREF _Toc200002566 \h </w:instrText>
        </w:r>
        <w:r w:rsidR="0072032A">
          <w:rPr>
            <w:webHidden/>
          </w:rPr>
        </w:r>
        <w:r w:rsidR="0072032A">
          <w:rPr>
            <w:webHidden/>
          </w:rPr>
          <w:fldChar w:fldCharType="separate"/>
        </w:r>
        <w:r w:rsidR="0072032A">
          <w:rPr>
            <w:webHidden/>
          </w:rPr>
          <w:t>2</w:t>
        </w:r>
        <w:r w:rsidR="0072032A">
          <w:rPr>
            <w:webHidden/>
          </w:rPr>
          <w:fldChar w:fldCharType="end"/>
        </w:r>
      </w:hyperlink>
    </w:p>
    <w:p w14:paraId="56950D3B" w14:textId="071BD82F" w:rsidR="0072032A" w:rsidRDefault="00E97313">
      <w:pPr>
        <w:pStyle w:val="TOC2"/>
        <w:rPr>
          <w:rFonts w:asciiTheme="minorHAnsi" w:eastAsiaTheme="minorEastAsia" w:hAnsiTheme="minorHAnsi" w:cstheme="minorBidi"/>
          <w:color w:val="auto"/>
          <w:kern w:val="2"/>
          <w:sz w:val="24"/>
          <w:szCs w:val="24"/>
          <w14:ligatures w14:val="standardContextual"/>
        </w:rPr>
      </w:pPr>
      <w:hyperlink w:anchor="_Toc200002567" w:history="1">
        <w:r w:rsidR="0072032A" w:rsidRPr="00226F35">
          <w:rPr>
            <w:rStyle w:val="Hyperlink"/>
          </w:rPr>
          <w:t>Background</w:t>
        </w:r>
        <w:r w:rsidR="0072032A">
          <w:rPr>
            <w:webHidden/>
          </w:rPr>
          <w:tab/>
        </w:r>
        <w:r w:rsidR="0072032A">
          <w:rPr>
            <w:webHidden/>
          </w:rPr>
          <w:fldChar w:fldCharType="begin"/>
        </w:r>
        <w:r w:rsidR="0072032A">
          <w:rPr>
            <w:webHidden/>
          </w:rPr>
          <w:instrText xml:space="preserve"> PAGEREF _Toc200002567 \h </w:instrText>
        </w:r>
        <w:r w:rsidR="0072032A">
          <w:rPr>
            <w:webHidden/>
          </w:rPr>
        </w:r>
        <w:r w:rsidR="0072032A">
          <w:rPr>
            <w:webHidden/>
          </w:rPr>
          <w:fldChar w:fldCharType="separate"/>
        </w:r>
        <w:r w:rsidR="0072032A">
          <w:rPr>
            <w:webHidden/>
          </w:rPr>
          <w:t>2</w:t>
        </w:r>
        <w:r w:rsidR="0072032A">
          <w:rPr>
            <w:webHidden/>
          </w:rPr>
          <w:fldChar w:fldCharType="end"/>
        </w:r>
      </w:hyperlink>
    </w:p>
    <w:p w14:paraId="2F297E34" w14:textId="1821F4C2" w:rsidR="0072032A" w:rsidRDefault="00E97313">
      <w:pPr>
        <w:pStyle w:val="TOC2"/>
        <w:rPr>
          <w:rFonts w:asciiTheme="minorHAnsi" w:eastAsiaTheme="minorEastAsia" w:hAnsiTheme="minorHAnsi" w:cstheme="minorBidi"/>
          <w:color w:val="auto"/>
          <w:kern w:val="2"/>
          <w:sz w:val="24"/>
          <w:szCs w:val="24"/>
          <w14:ligatures w14:val="standardContextual"/>
        </w:rPr>
      </w:pPr>
      <w:hyperlink w:anchor="_Toc200002568" w:history="1">
        <w:r w:rsidR="0072032A" w:rsidRPr="00226F35">
          <w:rPr>
            <w:rStyle w:val="Hyperlink"/>
          </w:rPr>
          <w:t>Purpose</w:t>
        </w:r>
        <w:r w:rsidR="0072032A">
          <w:rPr>
            <w:webHidden/>
          </w:rPr>
          <w:tab/>
        </w:r>
        <w:r w:rsidR="0072032A">
          <w:rPr>
            <w:webHidden/>
          </w:rPr>
          <w:fldChar w:fldCharType="begin"/>
        </w:r>
        <w:r w:rsidR="0072032A">
          <w:rPr>
            <w:webHidden/>
          </w:rPr>
          <w:instrText xml:space="preserve"> PAGEREF _Toc200002568 \h </w:instrText>
        </w:r>
        <w:r w:rsidR="0072032A">
          <w:rPr>
            <w:webHidden/>
          </w:rPr>
        </w:r>
        <w:r w:rsidR="0072032A">
          <w:rPr>
            <w:webHidden/>
          </w:rPr>
          <w:fldChar w:fldCharType="separate"/>
        </w:r>
        <w:r w:rsidR="0072032A">
          <w:rPr>
            <w:webHidden/>
          </w:rPr>
          <w:t>2</w:t>
        </w:r>
        <w:r w:rsidR="0072032A">
          <w:rPr>
            <w:webHidden/>
          </w:rPr>
          <w:fldChar w:fldCharType="end"/>
        </w:r>
      </w:hyperlink>
    </w:p>
    <w:p w14:paraId="65DB6EB3" w14:textId="2E9C2744" w:rsidR="0072032A" w:rsidRDefault="00E97313">
      <w:pPr>
        <w:pStyle w:val="TOC2"/>
        <w:rPr>
          <w:rFonts w:asciiTheme="minorHAnsi" w:eastAsiaTheme="minorEastAsia" w:hAnsiTheme="minorHAnsi" w:cstheme="minorBidi"/>
          <w:color w:val="auto"/>
          <w:kern w:val="2"/>
          <w:sz w:val="24"/>
          <w:szCs w:val="24"/>
          <w14:ligatures w14:val="standardContextual"/>
        </w:rPr>
      </w:pPr>
      <w:hyperlink w:anchor="_Toc200002569" w:history="1">
        <w:r w:rsidR="0072032A" w:rsidRPr="00226F35">
          <w:rPr>
            <w:rStyle w:val="Hyperlink"/>
          </w:rPr>
          <w:t>Issues for discussion</w:t>
        </w:r>
        <w:r w:rsidR="0072032A">
          <w:rPr>
            <w:webHidden/>
          </w:rPr>
          <w:tab/>
        </w:r>
        <w:r w:rsidR="0072032A">
          <w:rPr>
            <w:webHidden/>
          </w:rPr>
          <w:fldChar w:fldCharType="begin"/>
        </w:r>
        <w:r w:rsidR="0072032A">
          <w:rPr>
            <w:webHidden/>
          </w:rPr>
          <w:instrText xml:space="preserve"> PAGEREF _Toc200002569 \h </w:instrText>
        </w:r>
        <w:r w:rsidR="0072032A">
          <w:rPr>
            <w:webHidden/>
          </w:rPr>
        </w:r>
        <w:r w:rsidR="0072032A">
          <w:rPr>
            <w:webHidden/>
          </w:rPr>
          <w:fldChar w:fldCharType="separate"/>
        </w:r>
        <w:r w:rsidR="0072032A">
          <w:rPr>
            <w:webHidden/>
          </w:rPr>
          <w:t>3</w:t>
        </w:r>
        <w:r w:rsidR="0072032A">
          <w:rPr>
            <w:webHidden/>
          </w:rPr>
          <w:fldChar w:fldCharType="end"/>
        </w:r>
      </w:hyperlink>
    </w:p>
    <w:p w14:paraId="2E32B2C1" w14:textId="0DCD7607" w:rsidR="0072032A" w:rsidRDefault="00E97313">
      <w:pPr>
        <w:pStyle w:val="TOC3"/>
        <w:rPr>
          <w:rFonts w:asciiTheme="minorHAnsi" w:eastAsiaTheme="minorEastAsia" w:hAnsiTheme="minorHAnsi" w:cstheme="minorBidi"/>
          <w:kern w:val="2"/>
          <w:sz w:val="24"/>
          <w:szCs w:val="24"/>
          <w14:ligatures w14:val="standardContextual"/>
        </w:rPr>
      </w:pPr>
      <w:hyperlink w:anchor="_Toc200002570" w:history="1">
        <w:r w:rsidR="0072032A" w:rsidRPr="00226F35">
          <w:rPr>
            <w:rStyle w:val="Hyperlink"/>
          </w:rPr>
          <w:t>Principles for setting the distribution rate for giving funds</w:t>
        </w:r>
        <w:r w:rsidR="0072032A">
          <w:rPr>
            <w:webHidden/>
          </w:rPr>
          <w:tab/>
        </w:r>
        <w:r w:rsidR="0072032A">
          <w:rPr>
            <w:webHidden/>
          </w:rPr>
          <w:fldChar w:fldCharType="begin"/>
        </w:r>
        <w:r w:rsidR="0072032A">
          <w:rPr>
            <w:webHidden/>
          </w:rPr>
          <w:instrText xml:space="preserve"> PAGEREF _Toc200002570 \h </w:instrText>
        </w:r>
        <w:r w:rsidR="0072032A">
          <w:rPr>
            <w:webHidden/>
          </w:rPr>
        </w:r>
        <w:r w:rsidR="0072032A">
          <w:rPr>
            <w:webHidden/>
          </w:rPr>
          <w:fldChar w:fldCharType="separate"/>
        </w:r>
        <w:r w:rsidR="0072032A">
          <w:rPr>
            <w:webHidden/>
          </w:rPr>
          <w:t>3</w:t>
        </w:r>
        <w:r w:rsidR="0072032A">
          <w:rPr>
            <w:webHidden/>
          </w:rPr>
          <w:fldChar w:fldCharType="end"/>
        </w:r>
      </w:hyperlink>
    </w:p>
    <w:p w14:paraId="6A0054E7" w14:textId="74E03AD5" w:rsidR="0072032A" w:rsidRDefault="00E97313">
      <w:pPr>
        <w:pStyle w:val="TOC3"/>
        <w:rPr>
          <w:rFonts w:asciiTheme="minorHAnsi" w:eastAsiaTheme="minorEastAsia" w:hAnsiTheme="minorHAnsi" w:cstheme="minorBidi"/>
          <w:kern w:val="2"/>
          <w:sz w:val="24"/>
          <w:szCs w:val="24"/>
          <w14:ligatures w14:val="standardContextual"/>
        </w:rPr>
      </w:pPr>
      <w:hyperlink w:anchor="_Toc200002571" w:history="1">
        <w:r w:rsidR="0072032A" w:rsidRPr="00226F35">
          <w:rPr>
            <w:rStyle w:val="Hyperlink"/>
          </w:rPr>
          <w:t>Practical considerations for setting the minimum annual distribution rate</w:t>
        </w:r>
        <w:r w:rsidR="0072032A">
          <w:rPr>
            <w:webHidden/>
          </w:rPr>
          <w:tab/>
        </w:r>
        <w:r w:rsidR="0072032A">
          <w:rPr>
            <w:webHidden/>
          </w:rPr>
          <w:fldChar w:fldCharType="begin"/>
        </w:r>
        <w:r w:rsidR="0072032A">
          <w:rPr>
            <w:webHidden/>
          </w:rPr>
          <w:instrText xml:space="preserve"> PAGEREF _Toc200002571 \h </w:instrText>
        </w:r>
        <w:r w:rsidR="0072032A">
          <w:rPr>
            <w:webHidden/>
          </w:rPr>
        </w:r>
        <w:r w:rsidR="0072032A">
          <w:rPr>
            <w:webHidden/>
          </w:rPr>
          <w:fldChar w:fldCharType="separate"/>
        </w:r>
        <w:r w:rsidR="0072032A">
          <w:rPr>
            <w:webHidden/>
          </w:rPr>
          <w:t>4</w:t>
        </w:r>
        <w:r w:rsidR="0072032A">
          <w:rPr>
            <w:webHidden/>
          </w:rPr>
          <w:fldChar w:fldCharType="end"/>
        </w:r>
      </w:hyperlink>
    </w:p>
    <w:p w14:paraId="459E70AC" w14:textId="4BA41EDF" w:rsidR="0072032A" w:rsidRDefault="00E97313">
      <w:pPr>
        <w:pStyle w:val="TOC3"/>
        <w:rPr>
          <w:rFonts w:asciiTheme="minorHAnsi" w:eastAsiaTheme="minorEastAsia" w:hAnsiTheme="minorHAnsi" w:cstheme="minorBidi"/>
          <w:kern w:val="2"/>
          <w:sz w:val="24"/>
          <w:szCs w:val="24"/>
          <w14:ligatures w14:val="standardContextual"/>
        </w:rPr>
      </w:pPr>
      <w:hyperlink w:anchor="_Toc200002576" w:history="1">
        <w:r w:rsidR="0072032A" w:rsidRPr="00226F35">
          <w:rPr>
            <w:rStyle w:val="Hyperlink"/>
          </w:rPr>
          <w:t>Principles for smoothing distributions</w:t>
        </w:r>
        <w:r w:rsidR="0072032A">
          <w:rPr>
            <w:webHidden/>
          </w:rPr>
          <w:tab/>
        </w:r>
        <w:r w:rsidR="0072032A">
          <w:rPr>
            <w:webHidden/>
          </w:rPr>
          <w:fldChar w:fldCharType="begin"/>
        </w:r>
        <w:r w:rsidR="0072032A">
          <w:rPr>
            <w:webHidden/>
          </w:rPr>
          <w:instrText xml:space="preserve"> PAGEREF _Toc200002576 \h </w:instrText>
        </w:r>
        <w:r w:rsidR="0072032A">
          <w:rPr>
            <w:webHidden/>
          </w:rPr>
        </w:r>
        <w:r w:rsidR="0072032A">
          <w:rPr>
            <w:webHidden/>
          </w:rPr>
          <w:fldChar w:fldCharType="separate"/>
        </w:r>
        <w:r w:rsidR="0072032A">
          <w:rPr>
            <w:webHidden/>
          </w:rPr>
          <w:t>7</w:t>
        </w:r>
        <w:r w:rsidR="0072032A">
          <w:rPr>
            <w:webHidden/>
          </w:rPr>
          <w:fldChar w:fldCharType="end"/>
        </w:r>
      </w:hyperlink>
    </w:p>
    <w:p w14:paraId="6A553F50" w14:textId="19B921C1" w:rsidR="0072032A" w:rsidRDefault="00E97313">
      <w:pPr>
        <w:pStyle w:val="TOC2"/>
        <w:rPr>
          <w:rFonts w:asciiTheme="minorHAnsi" w:eastAsiaTheme="minorEastAsia" w:hAnsiTheme="minorHAnsi" w:cstheme="minorBidi"/>
          <w:color w:val="auto"/>
          <w:kern w:val="2"/>
          <w:sz w:val="24"/>
          <w:szCs w:val="24"/>
          <w14:ligatures w14:val="standardContextual"/>
        </w:rPr>
      </w:pPr>
      <w:hyperlink w:anchor="_Toc200002577" w:history="1">
        <w:r w:rsidR="0072032A" w:rsidRPr="00226F35">
          <w:rPr>
            <w:rStyle w:val="Hyperlink"/>
          </w:rPr>
          <w:t>Appendix: the hypothetical giving fund</w:t>
        </w:r>
        <w:r w:rsidR="0072032A">
          <w:rPr>
            <w:webHidden/>
          </w:rPr>
          <w:tab/>
        </w:r>
        <w:r w:rsidR="0072032A">
          <w:rPr>
            <w:webHidden/>
          </w:rPr>
          <w:fldChar w:fldCharType="begin"/>
        </w:r>
        <w:r w:rsidR="0072032A">
          <w:rPr>
            <w:webHidden/>
          </w:rPr>
          <w:instrText xml:space="preserve"> PAGEREF _Toc200002577 \h </w:instrText>
        </w:r>
        <w:r w:rsidR="0072032A">
          <w:rPr>
            <w:webHidden/>
          </w:rPr>
        </w:r>
        <w:r w:rsidR="0072032A">
          <w:rPr>
            <w:webHidden/>
          </w:rPr>
          <w:fldChar w:fldCharType="separate"/>
        </w:r>
        <w:r w:rsidR="0072032A">
          <w:rPr>
            <w:webHidden/>
          </w:rPr>
          <w:t>10</w:t>
        </w:r>
        <w:r w:rsidR="0072032A">
          <w:rPr>
            <w:webHidden/>
          </w:rPr>
          <w:fldChar w:fldCharType="end"/>
        </w:r>
      </w:hyperlink>
    </w:p>
    <w:p w14:paraId="7704243D" w14:textId="03C47631" w:rsidR="00F35F47" w:rsidRPr="00597280" w:rsidRDefault="00257AEE" w:rsidP="00597280">
      <w:pPr>
        <w:pStyle w:val="SingleParagraph"/>
        <w:tabs>
          <w:tab w:val="right" w:leader="dot" w:pos="9072"/>
        </w:tabs>
        <w:ind w:right="-2"/>
        <w:rPr>
          <w:noProof/>
          <w:color w:val="004A7F"/>
          <w:szCs w:val="22"/>
        </w:rPr>
        <w:sectPr w:rsidR="00F35F47" w:rsidRPr="00597280"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74EF2B52" w14:textId="77777777" w:rsidR="000E0B74" w:rsidRDefault="000E0B74" w:rsidP="00354FBB">
      <w:pPr>
        <w:pStyle w:val="Heading1"/>
      </w:pPr>
      <w:bookmarkStart w:id="1" w:name="_Toc200002564"/>
      <w:bookmarkStart w:id="2" w:name="_Toc432067103"/>
      <w:r>
        <w:lastRenderedPageBreak/>
        <w:t>Consultation Process</w:t>
      </w:r>
      <w:bookmarkEnd w:id="1"/>
    </w:p>
    <w:p w14:paraId="165DF00A" w14:textId="77777777" w:rsidR="000E0B74" w:rsidRDefault="000E0B74" w:rsidP="000E0B74">
      <w:pPr>
        <w:pStyle w:val="Heading2"/>
      </w:pPr>
      <w:bookmarkStart w:id="3" w:name="_Toc200002565"/>
      <w:r>
        <w:t>Request for feedback and comments</w:t>
      </w:r>
      <w:bookmarkEnd w:id="3"/>
    </w:p>
    <w:p w14:paraId="6042EEB0" w14:textId="5B6D9F94" w:rsidR="00BB4C6A" w:rsidRDefault="00BB4C6A" w:rsidP="00BB4C6A">
      <w:r>
        <w:t>Interested parties are invited to lodge a written submission addressing the discussion questions which can be found through the paper.</w:t>
      </w:r>
    </w:p>
    <w:p w14:paraId="5FA3E31B" w14:textId="3A03F18D" w:rsidR="00BB4C6A" w:rsidRDefault="00BB4C6A" w:rsidP="00BB4C6A">
      <w:r>
        <w:t>Electronic lodgement is preferred. For accessibility reasons, please submit responses sent via email in a Word or RTF format. An additional PDF version may also be submitted.</w:t>
      </w:r>
      <w:r w:rsidR="002F2D19">
        <w:t xml:space="preserve"> Submissions may be made through the Treasury website or </w:t>
      </w:r>
      <w:r w:rsidR="002719AD">
        <w:t xml:space="preserve">by email or post </w:t>
      </w:r>
      <w:r w:rsidR="00DE3137">
        <w:t>using the details below.</w:t>
      </w:r>
    </w:p>
    <w:p w14:paraId="2CCE5DDD" w14:textId="7A3C295F" w:rsidR="000E0B74" w:rsidRDefault="00BB4C6A" w:rsidP="00BB4C6A">
      <w:r>
        <w:t xml:space="preserve">If you would like part of your submission to remain in confidence, you should provide this information marked as such in a separate attachment. A request made under the </w:t>
      </w:r>
      <w:r w:rsidRPr="00BB4C6A">
        <w:rPr>
          <w:i/>
          <w:iCs/>
        </w:rPr>
        <w:t>Freedom of Information Act</w:t>
      </w:r>
      <w:r>
        <w:rPr>
          <w:i/>
          <w:iCs/>
        </w:rPr>
        <w:t> </w:t>
      </w:r>
      <w:r w:rsidRPr="00BB4C6A">
        <w:rPr>
          <w:i/>
          <w:iCs/>
        </w:rPr>
        <w:t>1982</w:t>
      </w:r>
      <w:r>
        <w:t xml:space="preserve"> (Cth) for a submission marked ‘confidential’ to be made available will be determined in accordance with that Act.</w:t>
      </w:r>
    </w:p>
    <w:p w14:paraId="03F3C3E7"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0E0B74" w:rsidRPr="00B85F47" w14:paraId="003898BB"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tcPr>
          <w:p w14:paraId="39AF1583" w14:textId="77777777" w:rsidR="000E0B74" w:rsidRPr="00B85F47" w:rsidRDefault="000E0B74" w:rsidP="0017089D">
            <w:pPr>
              <w:spacing w:before="96" w:after="96"/>
              <w:rPr>
                <w:sz w:val="22"/>
                <w:szCs w:val="22"/>
              </w:rPr>
            </w:pPr>
            <w:r w:rsidRPr="00B85F47">
              <w:rPr>
                <w:sz w:val="22"/>
                <w:szCs w:val="22"/>
              </w:rPr>
              <w:t>Email</w:t>
            </w:r>
          </w:p>
        </w:tc>
        <w:tc>
          <w:tcPr>
            <w:tcW w:w="7553" w:type="dxa"/>
          </w:tcPr>
          <w:p w14:paraId="0CD91CF5" w14:textId="6108AFAB" w:rsidR="000E0B74" w:rsidRPr="00432C2B" w:rsidRDefault="00432C2B" w:rsidP="00516785">
            <w:pPr>
              <w:spacing w:before="96" w:after="96"/>
              <w:rPr>
                <w:sz w:val="22"/>
                <w:szCs w:val="22"/>
              </w:rPr>
            </w:pPr>
            <w:r w:rsidRPr="00432C2B">
              <w:rPr>
                <w:rFonts w:cs="Arial"/>
                <w:sz w:val="22"/>
                <w:szCs w:val="22"/>
              </w:rPr>
              <w:t>charit</w:t>
            </w:r>
            <w:r w:rsidR="00894189">
              <w:rPr>
                <w:rFonts w:cs="Arial"/>
                <w:sz w:val="22"/>
                <w:szCs w:val="22"/>
              </w:rPr>
              <w:t>ies</w:t>
            </w:r>
            <w:r w:rsidRPr="00432C2B">
              <w:rPr>
                <w:rFonts w:cs="Arial"/>
                <w:sz w:val="22"/>
                <w:szCs w:val="22"/>
              </w:rPr>
              <w:t>consultation@treasury.gov.au</w:t>
            </w:r>
          </w:p>
        </w:tc>
      </w:tr>
      <w:tr w:rsidR="000E0B74" w:rsidRPr="00B85F47" w14:paraId="692A031D" w14:textId="77777777" w:rsidTr="002C2082">
        <w:tc>
          <w:tcPr>
            <w:tcW w:w="1517" w:type="dxa"/>
          </w:tcPr>
          <w:p w14:paraId="1647FA7B" w14:textId="77777777" w:rsidR="008D7F38" w:rsidRPr="00432C2B" w:rsidRDefault="000E0B74" w:rsidP="0017089D">
            <w:pPr>
              <w:rPr>
                <w:sz w:val="22"/>
                <w:szCs w:val="22"/>
              </w:rPr>
            </w:pPr>
            <w:r w:rsidRPr="00432C2B">
              <w:rPr>
                <w:sz w:val="22"/>
                <w:szCs w:val="22"/>
              </w:rPr>
              <w:t>Mail</w:t>
            </w:r>
          </w:p>
        </w:tc>
        <w:tc>
          <w:tcPr>
            <w:tcW w:w="7553" w:type="dxa"/>
          </w:tcPr>
          <w:p w14:paraId="6260EB2B" w14:textId="6EE3D183" w:rsidR="000E0B74" w:rsidRPr="00432C2B" w:rsidRDefault="00432C2B" w:rsidP="0017089D">
            <w:pPr>
              <w:pStyle w:val="SingleParagraph"/>
              <w:rPr>
                <w:rFonts w:cs="Arial"/>
                <w:sz w:val="22"/>
                <w:szCs w:val="22"/>
              </w:rPr>
            </w:pPr>
            <w:r w:rsidRPr="00432C2B">
              <w:rPr>
                <w:rFonts w:cs="Arial"/>
                <w:sz w:val="22"/>
                <w:szCs w:val="22"/>
              </w:rPr>
              <w:t>Director, Not-for-profits Unit</w:t>
            </w:r>
          </w:p>
          <w:p w14:paraId="3B2AB874" w14:textId="7F1CBB43" w:rsidR="000E0B74" w:rsidRPr="00432C2B" w:rsidRDefault="00432C2B" w:rsidP="0017089D">
            <w:pPr>
              <w:pStyle w:val="SingleParagraph"/>
              <w:rPr>
                <w:rFonts w:cs="Arial"/>
                <w:sz w:val="22"/>
                <w:szCs w:val="22"/>
              </w:rPr>
            </w:pPr>
            <w:r w:rsidRPr="00432C2B">
              <w:rPr>
                <w:rFonts w:cs="Arial"/>
                <w:sz w:val="22"/>
                <w:szCs w:val="22"/>
              </w:rPr>
              <w:t>Personal and Indirect Tax and Charities Division</w:t>
            </w:r>
          </w:p>
          <w:p w14:paraId="70F31267" w14:textId="77777777" w:rsidR="000E0B74" w:rsidRPr="00432C2B" w:rsidRDefault="000E0B74" w:rsidP="0017089D">
            <w:pPr>
              <w:pStyle w:val="SingleParagraph"/>
              <w:rPr>
                <w:rFonts w:cs="Arial"/>
                <w:sz w:val="22"/>
                <w:szCs w:val="22"/>
              </w:rPr>
            </w:pPr>
            <w:r w:rsidRPr="00432C2B">
              <w:rPr>
                <w:rFonts w:cs="Arial"/>
                <w:sz w:val="22"/>
                <w:szCs w:val="22"/>
              </w:rPr>
              <w:t>The Treasury</w:t>
            </w:r>
          </w:p>
          <w:p w14:paraId="3815F892" w14:textId="77777777" w:rsidR="000E0B74" w:rsidRPr="00432C2B" w:rsidRDefault="000E0B74" w:rsidP="0017089D">
            <w:pPr>
              <w:pStyle w:val="SingleParagraph"/>
              <w:rPr>
                <w:rFonts w:cs="Arial"/>
                <w:sz w:val="22"/>
                <w:szCs w:val="22"/>
              </w:rPr>
            </w:pPr>
            <w:r w:rsidRPr="00432C2B">
              <w:rPr>
                <w:rFonts w:cs="Arial"/>
                <w:sz w:val="22"/>
                <w:szCs w:val="22"/>
              </w:rPr>
              <w:t>Langton Crescent</w:t>
            </w:r>
          </w:p>
          <w:p w14:paraId="3DEDDC52" w14:textId="6181651B" w:rsidR="000E0B74" w:rsidRPr="00432C2B" w:rsidRDefault="000E0B74" w:rsidP="0017089D">
            <w:pPr>
              <w:pStyle w:val="SingleParagraph"/>
              <w:rPr>
                <w:sz w:val="22"/>
                <w:szCs w:val="22"/>
              </w:rPr>
            </w:pPr>
            <w:r w:rsidRPr="00432C2B">
              <w:rPr>
                <w:sz w:val="22"/>
                <w:szCs w:val="22"/>
              </w:rPr>
              <w:t>PARKES </w:t>
            </w:r>
            <w:r w:rsidR="00590485">
              <w:rPr>
                <w:sz w:val="22"/>
                <w:szCs w:val="22"/>
              </w:rPr>
              <w:t xml:space="preserve"> </w:t>
            </w:r>
            <w:r w:rsidRPr="00432C2B">
              <w:rPr>
                <w:sz w:val="22"/>
                <w:szCs w:val="22"/>
              </w:rPr>
              <w:t>ACT </w:t>
            </w:r>
            <w:r w:rsidR="00590485">
              <w:rPr>
                <w:sz w:val="22"/>
                <w:szCs w:val="22"/>
              </w:rPr>
              <w:t xml:space="preserve"> </w:t>
            </w:r>
            <w:r w:rsidRPr="00432C2B">
              <w:rPr>
                <w:sz w:val="22"/>
                <w:szCs w:val="22"/>
              </w:rPr>
              <w:t>2600</w:t>
            </w:r>
          </w:p>
        </w:tc>
      </w:tr>
      <w:tr w:rsidR="000E0B74" w:rsidRPr="00B85F47" w14:paraId="071FFFE3" w14:textId="77777777" w:rsidTr="002C2082">
        <w:tc>
          <w:tcPr>
            <w:tcW w:w="1517" w:type="dxa"/>
          </w:tcPr>
          <w:p w14:paraId="0BC65AC3" w14:textId="77777777" w:rsidR="000E0B74" w:rsidRPr="00B85F47" w:rsidRDefault="000E0B74" w:rsidP="0017089D">
            <w:pPr>
              <w:rPr>
                <w:sz w:val="22"/>
                <w:szCs w:val="22"/>
              </w:rPr>
            </w:pPr>
            <w:r w:rsidRPr="00B85F47">
              <w:rPr>
                <w:sz w:val="22"/>
                <w:szCs w:val="22"/>
              </w:rPr>
              <w:t>Enquiries</w:t>
            </w:r>
          </w:p>
        </w:tc>
        <w:tc>
          <w:tcPr>
            <w:tcW w:w="7553" w:type="dxa"/>
          </w:tcPr>
          <w:p w14:paraId="53949B8B" w14:textId="5CF96CE6" w:rsidR="000E0B74" w:rsidRPr="00B85F47" w:rsidRDefault="000E0B74" w:rsidP="0017089D">
            <w:pPr>
              <w:rPr>
                <w:sz w:val="22"/>
                <w:szCs w:val="22"/>
              </w:rPr>
            </w:pPr>
            <w:r w:rsidRPr="00B85F47">
              <w:rPr>
                <w:rFonts w:cs="Arial"/>
                <w:sz w:val="22"/>
                <w:szCs w:val="22"/>
              </w:rPr>
              <w:t>Enquiries can be initially directed t</w:t>
            </w:r>
            <w:r w:rsidRPr="00432C2B">
              <w:rPr>
                <w:rFonts w:cs="Arial"/>
                <w:sz w:val="22"/>
                <w:szCs w:val="22"/>
              </w:rPr>
              <w:t xml:space="preserve">o </w:t>
            </w:r>
            <w:r w:rsidR="00432C2B" w:rsidRPr="00432C2B">
              <w:rPr>
                <w:rFonts w:cs="Arial"/>
                <w:sz w:val="22"/>
                <w:szCs w:val="22"/>
              </w:rPr>
              <w:t>charit</w:t>
            </w:r>
            <w:r w:rsidR="00104D61">
              <w:rPr>
                <w:rFonts w:cs="Arial"/>
                <w:sz w:val="22"/>
                <w:szCs w:val="22"/>
              </w:rPr>
              <w:t>ies</w:t>
            </w:r>
            <w:r w:rsidR="00432C2B" w:rsidRPr="00432C2B">
              <w:rPr>
                <w:rFonts w:cs="Arial"/>
                <w:sz w:val="22"/>
                <w:szCs w:val="22"/>
              </w:rPr>
              <w:t>consultation@treasury.gov.au</w:t>
            </w:r>
          </w:p>
        </w:tc>
      </w:tr>
      <w:bookmarkEnd w:id="2"/>
    </w:tbl>
    <w:p w14:paraId="177F3654" w14:textId="77777777" w:rsidR="00E10D39" w:rsidRDefault="00E10D39" w:rsidP="002C2082">
      <w:pPr>
        <w:pStyle w:val="SingleParagraph"/>
      </w:pPr>
    </w:p>
    <w:p w14:paraId="3E734E37" w14:textId="1CFFB6C0" w:rsidR="00E10D39" w:rsidRDefault="00A16E03" w:rsidP="00D0797D">
      <w:r>
        <w:t>The principles outlined in this paper have not received Government approval and are not yet law. As a consequence, this paper is merely a guide as to how the principles might operate.</w:t>
      </w:r>
      <w:r w:rsidR="00E10D39">
        <w:br w:type="page"/>
      </w:r>
    </w:p>
    <w:p w14:paraId="688C6F8A" w14:textId="3FCE5258" w:rsidR="000E0B74" w:rsidRDefault="00285924" w:rsidP="00354FBB">
      <w:pPr>
        <w:pStyle w:val="Heading1"/>
      </w:pPr>
      <w:bookmarkStart w:id="4" w:name="_Toc200002566"/>
      <w:r>
        <w:lastRenderedPageBreak/>
        <w:t>Giving</w:t>
      </w:r>
      <w:r w:rsidR="001B40F6">
        <w:t xml:space="preserve"> fund reform: distribution rate and smoothing</w:t>
      </w:r>
      <w:bookmarkEnd w:id="4"/>
    </w:p>
    <w:p w14:paraId="6E9FFFFC" w14:textId="49D8D79E" w:rsidR="000E0B74" w:rsidRDefault="000E0B74" w:rsidP="008043EA">
      <w:pPr>
        <w:pStyle w:val="Heading2"/>
      </w:pPr>
      <w:bookmarkStart w:id="5" w:name="_Toc306887371"/>
      <w:bookmarkStart w:id="6" w:name="_Toc432064635"/>
      <w:bookmarkStart w:id="7" w:name="_Toc200002567"/>
      <w:r>
        <w:t>Background</w:t>
      </w:r>
      <w:bookmarkEnd w:id="5"/>
      <w:bookmarkEnd w:id="6"/>
      <w:bookmarkEnd w:id="7"/>
    </w:p>
    <w:p w14:paraId="6B033641" w14:textId="2DBFE423" w:rsidR="00255185" w:rsidRDefault="00255185" w:rsidP="00E10D39">
      <w:r>
        <w:t>A</w:t>
      </w:r>
      <w:r w:rsidR="000E646A">
        <w:t xml:space="preserve"> giving</w:t>
      </w:r>
      <w:r>
        <w:t xml:space="preserve"> fund</w:t>
      </w:r>
      <w:r w:rsidR="00D95882">
        <w:t xml:space="preserve"> – </w:t>
      </w:r>
      <w:r w:rsidR="00B227C9">
        <w:t>currently described in tax law as an ancillary fund –</w:t>
      </w:r>
      <w:r>
        <w:t xml:space="preserve"> is a trust set up and maintained solely for the purpose of providing money, property or benefits to deductible gift recipients (DGRs). Although a</w:t>
      </w:r>
      <w:r w:rsidR="00B227C9">
        <w:t xml:space="preserve"> giving </w:t>
      </w:r>
      <w:r>
        <w:t>fund is also a DGR, it does not undertake its own charitable work. Instead, it acts as an intermediary between donors and DGRs that do undertake such work.</w:t>
      </w:r>
      <w:r>
        <w:rPr>
          <w:rStyle w:val="FootnoteReference"/>
        </w:rPr>
        <w:footnoteReference w:id="2"/>
      </w:r>
    </w:p>
    <w:p w14:paraId="4131E44C" w14:textId="3AB5DB60" w:rsidR="009A7022" w:rsidRDefault="009A7022" w:rsidP="00255185">
      <w:r>
        <w:t xml:space="preserve">Two types of </w:t>
      </w:r>
      <w:r w:rsidR="00B227C9">
        <w:t xml:space="preserve">giving </w:t>
      </w:r>
      <w:r>
        <w:t xml:space="preserve">fund exist, private </w:t>
      </w:r>
      <w:r w:rsidR="008B564A">
        <w:t>giving</w:t>
      </w:r>
      <w:r>
        <w:t xml:space="preserve"> funds</w:t>
      </w:r>
      <w:r w:rsidR="009E1817">
        <w:t xml:space="preserve"> (PGFs)</w:t>
      </w:r>
      <w:r>
        <w:t xml:space="preserve"> and public </w:t>
      </w:r>
      <w:r w:rsidR="008B564A">
        <w:t>giving</w:t>
      </w:r>
      <w:r>
        <w:t xml:space="preserve"> funds</w:t>
      </w:r>
      <w:r w:rsidR="009E1817">
        <w:t xml:space="preserve"> (PuGFs)</w:t>
      </w:r>
      <w:r>
        <w:t>.</w:t>
      </w:r>
      <w:r w:rsidR="008B564A">
        <w:rPr>
          <w:rStyle w:val="FootnoteReference"/>
        </w:rPr>
        <w:footnoteReference w:id="3"/>
      </w:r>
      <w:r>
        <w:t xml:space="preserve"> </w:t>
      </w:r>
      <w:r w:rsidR="007B59AA">
        <w:t>PuGF</w:t>
      </w:r>
      <w:r>
        <w:t xml:space="preserve">s must ask for donations from the public. </w:t>
      </w:r>
      <w:r w:rsidR="007B59AA">
        <w:t>PGFs</w:t>
      </w:r>
      <w:r>
        <w:t xml:space="preserve"> are restricted in their ability to receive donations from people other than their founders or relatives, associates and employees of the founders.</w:t>
      </w:r>
      <w:r w:rsidR="009012A9">
        <w:t xml:space="preserve"> As at 3 March 2025, </w:t>
      </w:r>
      <w:r w:rsidR="00702971">
        <w:t xml:space="preserve">3,707 </w:t>
      </w:r>
      <w:r w:rsidR="00B227C9">
        <w:t>giving</w:t>
      </w:r>
      <w:r w:rsidR="00702971">
        <w:t xml:space="preserve"> funds exist: </w:t>
      </w:r>
      <w:r w:rsidR="00AB1BFF">
        <w:t>2,292</w:t>
      </w:r>
      <w:r w:rsidR="00CD7A49">
        <w:t> </w:t>
      </w:r>
      <w:r w:rsidR="007B59AA">
        <w:t>PGFs</w:t>
      </w:r>
      <w:r w:rsidR="00AB1BFF">
        <w:t xml:space="preserve"> and </w:t>
      </w:r>
      <w:r w:rsidR="00CD7A49">
        <w:t>1,415 </w:t>
      </w:r>
      <w:r w:rsidR="007B59AA">
        <w:t>PuGF</w:t>
      </w:r>
      <w:r w:rsidR="00CD7A49">
        <w:t>s.</w:t>
      </w:r>
    </w:p>
    <w:p w14:paraId="71177BF4" w14:textId="43825324" w:rsidR="00A26EFA" w:rsidRDefault="00B227C9" w:rsidP="008038A7">
      <w:r>
        <w:t>Giving</w:t>
      </w:r>
      <w:r w:rsidR="00255185">
        <w:t xml:space="preserve"> funds encourage philanthropy by allowing donors to receive an upfront income tax deduction for gifts that are distributed over time to item 1 DGRs. </w:t>
      </w:r>
      <w:r w:rsidR="008038A7">
        <w:t xml:space="preserve">To ensure </w:t>
      </w:r>
      <w:r>
        <w:t>giving</w:t>
      </w:r>
      <w:r w:rsidR="008038A7">
        <w:t xml:space="preserve"> funds meet their philanthropic goal, guidelines made under the </w:t>
      </w:r>
      <w:r w:rsidR="008038A7" w:rsidRPr="008038A7">
        <w:rPr>
          <w:i/>
          <w:iCs/>
        </w:rPr>
        <w:t>Taxation Administration Act</w:t>
      </w:r>
      <w:r w:rsidR="008038A7">
        <w:rPr>
          <w:i/>
          <w:iCs/>
        </w:rPr>
        <w:t> </w:t>
      </w:r>
      <w:r w:rsidR="008038A7" w:rsidRPr="008038A7">
        <w:rPr>
          <w:i/>
          <w:iCs/>
        </w:rPr>
        <w:t>1953</w:t>
      </w:r>
      <w:r w:rsidR="008038A7">
        <w:t xml:space="preserve"> require funds to make a minimum distribution each financial year to item 1 DGRs. </w:t>
      </w:r>
      <w:r w:rsidR="00A26EFA">
        <w:t xml:space="preserve">A distribution </w:t>
      </w:r>
      <w:r w:rsidR="00381A1C">
        <w:t>is the provision of money, property or benefits such as concessional loans and loan guarantees.</w:t>
      </w:r>
    </w:p>
    <w:p w14:paraId="2F6ECB74" w14:textId="1C4C4F25" w:rsidR="00BB4C6A" w:rsidRDefault="008038A7" w:rsidP="008038A7">
      <w:r>
        <w:t xml:space="preserve">For </w:t>
      </w:r>
      <w:r w:rsidR="007B59AA">
        <w:t>PuGF</w:t>
      </w:r>
      <w:r>
        <w:t>s the minimum distribution is $8,800 or 4</w:t>
      </w:r>
      <w:r w:rsidR="00D57590">
        <w:t> </w:t>
      </w:r>
      <w:r>
        <w:t xml:space="preserve">per cent of the fund’s net asset value at the end of the previous year, whichever is greater. For </w:t>
      </w:r>
      <w:r w:rsidR="007B59AA">
        <w:t>PGFs</w:t>
      </w:r>
      <w:r>
        <w:t xml:space="preserve"> the minimum distribution is the greater of $11,000 or 5</w:t>
      </w:r>
      <w:r w:rsidR="00D57590">
        <w:t> </w:t>
      </w:r>
      <w:r>
        <w:t>per cent of the fund’s net asset value.</w:t>
      </w:r>
      <w:r w:rsidR="00F8344F">
        <w:t xml:space="preserve"> </w:t>
      </w:r>
      <w:r w:rsidR="007B59AA">
        <w:t>PuGF</w:t>
      </w:r>
      <w:r w:rsidR="004268D4" w:rsidRPr="004268D4">
        <w:t xml:space="preserve">s are not required to make the minimum distribution in the year of establishment, nor in the following four years. </w:t>
      </w:r>
      <w:r w:rsidR="007B59AA">
        <w:t>PGFs</w:t>
      </w:r>
      <w:r w:rsidR="004268D4" w:rsidRPr="004268D4">
        <w:t xml:space="preserve"> are not required to make the minimum distribution in the year of establishment.</w:t>
      </w:r>
    </w:p>
    <w:p w14:paraId="3EA8A55E" w14:textId="77777777" w:rsidR="000E0B74" w:rsidRDefault="000E0B74" w:rsidP="000E0B74">
      <w:pPr>
        <w:pStyle w:val="Heading2"/>
      </w:pPr>
      <w:bookmarkStart w:id="8" w:name="_Toc306887372"/>
      <w:bookmarkStart w:id="9" w:name="_Toc432064636"/>
      <w:bookmarkStart w:id="10" w:name="_Toc200002568"/>
      <w:r>
        <w:t>Purpose</w:t>
      </w:r>
      <w:bookmarkEnd w:id="8"/>
      <w:bookmarkEnd w:id="9"/>
      <w:bookmarkEnd w:id="10"/>
    </w:p>
    <w:p w14:paraId="2FEC181A" w14:textId="3A78A592" w:rsidR="00255185" w:rsidRDefault="00255185" w:rsidP="00255185">
      <w:r>
        <w:t>On 5 December 2024, the government announced</w:t>
      </w:r>
      <w:r w:rsidRPr="005F7F74">
        <w:rPr>
          <w:rStyle w:val="FootnoteReference"/>
        </w:rPr>
        <w:footnoteReference w:id="4"/>
      </w:r>
      <w:r>
        <w:t xml:space="preserve"> it would improve the support provided to charities through </w:t>
      </w:r>
      <w:r w:rsidR="00B227C9">
        <w:t>giving</w:t>
      </w:r>
      <w:r>
        <w:t xml:space="preserve"> funds by:</w:t>
      </w:r>
    </w:p>
    <w:p w14:paraId="416D4AE6" w14:textId="46A426DC" w:rsidR="00255185" w:rsidRDefault="00255185" w:rsidP="003754FD">
      <w:pPr>
        <w:pStyle w:val="Bullet"/>
      </w:pPr>
      <w:r>
        <w:t xml:space="preserve">aligning </w:t>
      </w:r>
      <w:r w:rsidR="003754FD">
        <w:t xml:space="preserve">and increasing </w:t>
      </w:r>
      <w:r>
        <w:t>the minimum annual distribution rate for public and private funds,</w:t>
      </w:r>
    </w:p>
    <w:p w14:paraId="18DF41C8" w14:textId="164B52DB" w:rsidR="00255185" w:rsidRDefault="00255185" w:rsidP="00255185">
      <w:pPr>
        <w:pStyle w:val="Bullet"/>
      </w:pPr>
      <w:r>
        <w:t xml:space="preserve">allowing funds to smooth </w:t>
      </w:r>
      <w:r w:rsidR="00BD5730">
        <w:t xml:space="preserve">their minimum </w:t>
      </w:r>
      <w:r>
        <w:t xml:space="preserve">annual distributions over three years, and </w:t>
      </w:r>
    </w:p>
    <w:p w14:paraId="47EB6288" w14:textId="4020A1DA" w:rsidR="00255185" w:rsidRDefault="00255185" w:rsidP="00255185">
      <w:pPr>
        <w:pStyle w:val="Bullet"/>
      </w:pPr>
      <w:r>
        <w:t xml:space="preserve">renaming ancillary funds </w:t>
      </w:r>
      <w:r w:rsidR="001127C9">
        <w:t xml:space="preserve">in the tax law </w:t>
      </w:r>
      <w:r>
        <w:t>to giving funds to reflect their role in giving to charities.</w:t>
      </w:r>
    </w:p>
    <w:p w14:paraId="405A1A3E" w14:textId="69577617" w:rsidR="006F285D" w:rsidRDefault="00B5576A" w:rsidP="00255185">
      <w:r>
        <w:t>The increased distribution rate will not apply for five years after amendments are made to the ministerial guidelines.</w:t>
      </w:r>
      <w:r w:rsidR="00CD25B8">
        <w:t xml:space="preserve"> This allows funds to adjust their investment strategy, if necessary, </w:t>
      </w:r>
      <w:r w:rsidR="00A453A1">
        <w:t>in response to the new rate.</w:t>
      </w:r>
    </w:p>
    <w:p w14:paraId="66DCCEA1" w14:textId="23C7BAE8" w:rsidR="000E0B74" w:rsidRDefault="00255185" w:rsidP="00255185">
      <w:r>
        <w:lastRenderedPageBreak/>
        <w:t>These changes respond to recommendation</w:t>
      </w:r>
      <w:r w:rsidR="00FA14F6">
        <w:t>s</w:t>
      </w:r>
      <w:r>
        <w:t xml:space="preserve"> 8.1 </w:t>
      </w:r>
      <w:r w:rsidR="00FA14F6">
        <w:t xml:space="preserve">and 8.2 </w:t>
      </w:r>
      <w:r>
        <w:t xml:space="preserve">of the Productivity Commission’s </w:t>
      </w:r>
      <w:r>
        <w:rPr>
          <w:i/>
          <w:iCs/>
        </w:rPr>
        <w:t>Future foundations for giving</w:t>
      </w:r>
      <w:r>
        <w:t xml:space="preserve"> report.</w:t>
      </w:r>
      <w:r>
        <w:rPr>
          <w:rStyle w:val="FootnoteReference"/>
        </w:rPr>
        <w:footnoteReference w:id="5"/>
      </w:r>
      <w:r w:rsidR="00ED7DA9">
        <w:t xml:space="preserve"> </w:t>
      </w:r>
      <w:r w:rsidR="00D12191">
        <w:t>They will maximise the benefit</w:t>
      </w:r>
      <w:r w:rsidR="0041186F">
        <w:t xml:space="preserve">s available to item 1 DGRs they support in return for the </w:t>
      </w:r>
      <w:r w:rsidR="003706DB">
        <w:t>tax benefit received by the donor.</w:t>
      </w:r>
    </w:p>
    <w:p w14:paraId="4A1D3CE1" w14:textId="132F5B28" w:rsidR="005F36E2" w:rsidRDefault="005F36E2" w:rsidP="00255185">
      <w:r>
        <w:t xml:space="preserve">The government seeks feedback on </w:t>
      </w:r>
      <w:r w:rsidR="00042CA6">
        <w:t>a suitable value</w:t>
      </w:r>
      <w:r w:rsidR="00537488">
        <w:t xml:space="preserve"> for the</w:t>
      </w:r>
      <w:r w:rsidR="00DF3B06">
        <w:t xml:space="preserve"> minimum distribution rate and the principles that will apply to </w:t>
      </w:r>
      <w:r w:rsidR="00537488">
        <w:t xml:space="preserve">distribution smoothing. </w:t>
      </w:r>
    </w:p>
    <w:p w14:paraId="1E24F99D" w14:textId="0085B086" w:rsidR="006679D2" w:rsidRDefault="000E0B74" w:rsidP="00757D2E">
      <w:pPr>
        <w:pStyle w:val="Heading2"/>
      </w:pPr>
      <w:bookmarkStart w:id="11" w:name="_Toc306887373"/>
      <w:bookmarkStart w:id="12" w:name="_Toc432064637"/>
      <w:bookmarkStart w:id="13" w:name="_Toc200002569"/>
      <w:r>
        <w:t>Issues for discussion</w:t>
      </w:r>
      <w:bookmarkEnd w:id="11"/>
      <w:bookmarkEnd w:id="12"/>
      <w:bookmarkEnd w:id="13"/>
    </w:p>
    <w:p w14:paraId="7A34C0FA" w14:textId="3B3037D6" w:rsidR="00757D2E" w:rsidRDefault="00757D2E" w:rsidP="00757D2E">
      <w:pPr>
        <w:pStyle w:val="Heading3"/>
      </w:pPr>
      <w:bookmarkStart w:id="14" w:name="_Toc200002570"/>
      <w:r>
        <w:t xml:space="preserve">Principles for </w:t>
      </w:r>
      <w:r w:rsidR="00EA4DB9">
        <w:t xml:space="preserve">setting the distribution rate for </w:t>
      </w:r>
      <w:r w:rsidR="001127C9">
        <w:t>giving</w:t>
      </w:r>
      <w:r w:rsidR="00EA1D91">
        <w:t xml:space="preserve"> funds</w:t>
      </w:r>
      <w:bookmarkEnd w:id="14"/>
    </w:p>
    <w:p w14:paraId="2E438966" w14:textId="24324F53" w:rsidR="00EA1D91" w:rsidRDefault="00EA1D91" w:rsidP="00EA1D91">
      <w:r>
        <w:t xml:space="preserve">The Productivity Commission </w:t>
      </w:r>
      <w:r w:rsidR="00903B8D">
        <w:t xml:space="preserve">set out </w:t>
      </w:r>
      <w:r w:rsidR="00822AD3">
        <w:t xml:space="preserve">three principles </w:t>
      </w:r>
      <w:r w:rsidR="00C10850">
        <w:t>for consideration when deciding the minimum annual distribution</w:t>
      </w:r>
      <w:r w:rsidR="00314280">
        <w:t xml:space="preserve"> rate</w:t>
      </w:r>
      <w:r w:rsidR="00C10850">
        <w:t>:</w:t>
      </w:r>
    </w:p>
    <w:p w14:paraId="376F2528" w14:textId="2E34A7DD" w:rsidR="006735F4" w:rsidRDefault="0093430C" w:rsidP="006735F4">
      <w:pPr>
        <w:pStyle w:val="Bullet"/>
      </w:pPr>
      <w:r>
        <w:t>T</w:t>
      </w:r>
      <w:r w:rsidR="006A729A">
        <w:t xml:space="preserve">he purpose of </w:t>
      </w:r>
      <w:r w:rsidR="001127C9">
        <w:t>giving</w:t>
      </w:r>
      <w:r w:rsidR="006A729A">
        <w:t xml:space="preserve"> funds is </w:t>
      </w:r>
      <w:r w:rsidR="00E871DE">
        <w:t>charitable</w:t>
      </w:r>
      <w:r>
        <w:t xml:space="preserve">. </w:t>
      </w:r>
      <w:r w:rsidR="0018122A">
        <w:t>Investments are made to maximise the benefits available to item 1 DGRs, not to maximise investment returns</w:t>
      </w:r>
      <w:r w:rsidR="00600188">
        <w:t>.</w:t>
      </w:r>
    </w:p>
    <w:p w14:paraId="079542F7" w14:textId="311498D7" w:rsidR="006A729A" w:rsidRDefault="005805E0" w:rsidP="006735F4">
      <w:pPr>
        <w:pStyle w:val="Bullet"/>
      </w:pPr>
      <w:r>
        <w:t>There should be n</w:t>
      </w:r>
      <w:r w:rsidR="00B07EC3">
        <w:t>o</w:t>
      </w:r>
      <w:r w:rsidR="00357DF8">
        <w:t xml:space="preserve"> guarantee that funds can</w:t>
      </w:r>
      <w:r w:rsidR="005979F3">
        <w:t xml:space="preserve"> exist</w:t>
      </w:r>
      <w:r w:rsidR="00357DF8">
        <w:t xml:space="preserve"> </w:t>
      </w:r>
      <w:r w:rsidR="00E871DE">
        <w:t>in perpetuity</w:t>
      </w:r>
      <w:r w:rsidR="002A3B77">
        <w:t xml:space="preserve"> in the absence of additional gifts</w:t>
      </w:r>
      <w:r w:rsidR="00B93BA0">
        <w:t xml:space="preserve"> to the fund. However, the distribution rate should not be set so high that it encourages high</w:t>
      </w:r>
      <w:r w:rsidR="00B93BA0">
        <w:noBreakHyphen/>
        <w:t>risk investment strategies</w:t>
      </w:r>
      <w:r w:rsidR="00FF66AC">
        <w:t xml:space="preserve"> by trustees seeking to </w:t>
      </w:r>
      <w:r w:rsidR="0030094E">
        <w:t xml:space="preserve">maintain </w:t>
      </w:r>
      <w:r w:rsidR="00155CDC">
        <w:t>the value of a</w:t>
      </w:r>
      <w:r w:rsidR="0030094E">
        <w:t xml:space="preserve"> fund.</w:t>
      </w:r>
    </w:p>
    <w:p w14:paraId="46DED771" w14:textId="77777777" w:rsidR="00D0007E" w:rsidRDefault="0030094E" w:rsidP="00AA0137">
      <w:pPr>
        <w:pStyle w:val="Bullet"/>
      </w:pPr>
      <w:r>
        <w:t>Distributions should reflect the funding needs of item 1 DGRs</w:t>
      </w:r>
      <w:r w:rsidR="00DB4E17">
        <w:t>, which will include short</w:t>
      </w:r>
      <w:r w:rsidR="00DB4E17">
        <w:noBreakHyphen/>
        <w:t>term as well as longer</w:t>
      </w:r>
      <w:r w:rsidR="00DB4E17">
        <w:noBreakHyphen/>
        <w:t>term requirements</w:t>
      </w:r>
      <w:r w:rsidR="003D1160">
        <w:t>.</w:t>
      </w:r>
    </w:p>
    <w:p w14:paraId="24C80F3D" w14:textId="6BB39DAE" w:rsidR="007D7382" w:rsidRDefault="00D0007E" w:rsidP="00D0007E">
      <w:r>
        <w:rPr>
          <w:noProof/>
        </w:rPr>
        <w:t>T</w:t>
      </w:r>
      <w:r w:rsidR="007D7382">
        <w:rPr>
          <w:noProof/>
        </w:rPr>
        <w:t xml:space="preserve">he Commission </w:t>
      </w:r>
      <w:r w:rsidR="00314280">
        <w:rPr>
          <w:noProof/>
        </w:rPr>
        <w:t>did not give a preferred minimum annual distribution rate</w:t>
      </w:r>
      <w:r>
        <w:rPr>
          <w:noProof/>
        </w:rPr>
        <w:t xml:space="preserve">. Instead, it suggested a rate </w:t>
      </w:r>
      <w:r w:rsidR="00FA32F7">
        <w:rPr>
          <w:noProof/>
        </w:rPr>
        <w:t>between 5 and 8 per cent is appropriate.</w:t>
      </w:r>
      <w:r w:rsidR="00D146EC">
        <w:rPr>
          <w:noProof/>
        </w:rPr>
        <w:t xml:space="preserve"> It </w:t>
      </w:r>
      <w:r w:rsidR="00CE2AD8">
        <w:rPr>
          <w:noProof/>
        </w:rPr>
        <w:t>recommend</w:t>
      </w:r>
      <w:r w:rsidR="00CE7C14">
        <w:rPr>
          <w:noProof/>
        </w:rPr>
        <w:t>ed</w:t>
      </w:r>
      <w:r w:rsidR="00CE2AD8">
        <w:rPr>
          <w:noProof/>
        </w:rPr>
        <w:t xml:space="preserve"> </w:t>
      </w:r>
      <w:r w:rsidR="001303ED">
        <w:rPr>
          <w:noProof/>
        </w:rPr>
        <w:t xml:space="preserve">aligning </w:t>
      </w:r>
      <w:r w:rsidR="00CE2AD8">
        <w:rPr>
          <w:noProof/>
        </w:rPr>
        <w:t xml:space="preserve">the distribution rate for </w:t>
      </w:r>
      <w:r w:rsidR="007B59AA">
        <w:rPr>
          <w:noProof/>
        </w:rPr>
        <w:t>PGFs</w:t>
      </w:r>
      <w:r w:rsidR="00CE2AD8">
        <w:rPr>
          <w:noProof/>
        </w:rPr>
        <w:t xml:space="preserve"> and </w:t>
      </w:r>
      <w:r w:rsidR="007B59AA">
        <w:rPr>
          <w:noProof/>
        </w:rPr>
        <w:t>PuGF</w:t>
      </w:r>
      <w:r w:rsidR="00CE2AD8">
        <w:rPr>
          <w:noProof/>
        </w:rPr>
        <w:t>S</w:t>
      </w:r>
      <w:r w:rsidR="0015214D">
        <w:rPr>
          <w:noProof/>
        </w:rPr>
        <w:t xml:space="preserve"> and providing five years notice</w:t>
      </w:r>
      <w:r w:rsidR="000D2097">
        <w:rPr>
          <w:noProof/>
        </w:rPr>
        <w:t xml:space="preserve"> before any new distribution rate </w:t>
      </w:r>
      <w:r w:rsidR="00CD0AD6">
        <w:rPr>
          <w:noProof/>
        </w:rPr>
        <w:t>applies.</w:t>
      </w:r>
    </w:p>
    <w:p w14:paraId="1F09353A" w14:textId="35DF2C93" w:rsidR="00DA306C" w:rsidRDefault="00EA4661" w:rsidP="00AA0137">
      <w:pPr>
        <w:rPr>
          <w:noProof/>
        </w:rPr>
      </w:pPr>
      <w:r>
        <w:rPr>
          <w:noProof/>
        </w:rPr>
        <w:t xml:space="preserve">The government broadly agrees with the </w:t>
      </w:r>
      <w:r w:rsidR="007D6BDB">
        <w:rPr>
          <w:noProof/>
        </w:rPr>
        <w:t>Commission’s principles</w:t>
      </w:r>
      <w:r w:rsidR="00FA32F7">
        <w:rPr>
          <w:noProof/>
        </w:rPr>
        <w:t xml:space="preserve"> and suggested range of rates.</w:t>
      </w:r>
    </w:p>
    <w:p w14:paraId="5D9BCD63" w14:textId="12965712" w:rsidR="00BE2481" w:rsidRDefault="00BE2481" w:rsidP="00AA0137">
      <w:pPr>
        <w:rPr>
          <w:noProof/>
        </w:rPr>
      </w:pPr>
      <w:r>
        <w:rPr>
          <w:noProof/>
        </w:rPr>
        <w:t>However, the governm</w:t>
      </w:r>
      <w:r w:rsidR="00DC5735">
        <w:rPr>
          <w:noProof/>
        </w:rPr>
        <w:t xml:space="preserve">ent also </w:t>
      </w:r>
      <w:r w:rsidR="00223E03">
        <w:rPr>
          <w:noProof/>
        </w:rPr>
        <w:t xml:space="preserve">notes </w:t>
      </w:r>
      <w:r w:rsidR="001127C9">
        <w:rPr>
          <w:noProof/>
        </w:rPr>
        <w:t>giving</w:t>
      </w:r>
      <w:r w:rsidR="00223E03">
        <w:rPr>
          <w:noProof/>
        </w:rPr>
        <w:t xml:space="preserve"> funds </w:t>
      </w:r>
      <w:r w:rsidR="007D7382">
        <w:rPr>
          <w:noProof/>
        </w:rPr>
        <w:t>exist</w:t>
      </w:r>
      <w:r w:rsidR="00223E03">
        <w:rPr>
          <w:noProof/>
        </w:rPr>
        <w:t xml:space="preserve"> to encourage philanthropy. </w:t>
      </w:r>
      <w:r w:rsidR="00CC06C2">
        <w:rPr>
          <w:noProof/>
        </w:rPr>
        <w:t>If a donor is discouraged from creating a</w:t>
      </w:r>
      <w:r w:rsidR="00DB13A7">
        <w:rPr>
          <w:noProof/>
        </w:rPr>
        <w:t xml:space="preserve"> giving</w:t>
      </w:r>
      <w:r w:rsidR="00CC06C2">
        <w:rPr>
          <w:noProof/>
        </w:rPr>
        <w:t xml:space="preserve"> fund, there is no guarantee that the donor would simply donate </w:t>
      </w:r>
      <w:r w:rsidR="00C24E08">
        <w:rPr>
          <w:noProof/>
        </w:rPr>
        <w:t xml:space="preserve">the same amount </w:t>
      </w:r>
      <w:r w:rsidR="00CC06C2">
        <w:rPr>
          <w:noProof/>
        </w:rPr>
        <w:t>directly to item 1 DGRs</w:t>
      </w:r>
      <w:r w:rsidR="009260EF">
        <w:rPr>
          <w:noProof/>
        </w:rPr>
        <w:t xml:space="preserve">. </w:t>
      </w:r>
      <w:r w:rsidR="00223E03">
        <w:rPr>
          <w:noProof/>
        </w:rPr>
        <w:t xml:space="preserve">In setting the </w:t>
      </w:r>
      <w:r w:rsidR="00FA32F7">
        <w:rPr>
          <w:noProof/>
        </w:rPr>
        <w:t xml:space="preserve">minimum annual </w:t>
      </w:r>
      <w:r w:rsidR="00223E03">
        <w:rPr>
          <w:noProof/>
        </w:rPr>
        <w:t>distribution rate</w:t>
      </w:r>
      <w:r w:rsidR="00FA32F7">
        <w:rPr>
          <w:noProof/>
        </w:rPr>
        <w:t xml:space="preserve">, the </w:t>
      </w:r>
      <w:r w:rsidR="009260EF">
        <w:rPr>
          <w:noProof/>
        </w:rPr>
        <w:t xml:space="preserve">government seeks to strike a balance between maximising benefits to DGRs and encouraging </w:t>
      </w:r>
      <w:r w:rsidR="00C24E08">
        <w:rPr>
          <w:noProof/>
        </w:rPr>
        <w:t xml:space="preserve">new </w:t>
      </w:r>
      <w:r w:rsidR="00DB13A7">
        <w:rPr>
          <w:noProof/>
        </w:rPr>
        <w:t>giving</w:t>
      </w:r>
      <w:r w:rsidR="006F285D">
        <w:rPr>
          <w:noProof/>
        </w:rPr>
        <w:t xml:space="preserve"> </w:t>
      </w:r>
      <w:r w:rsidR="00C24E08">
        <w:rPr>
          <w:noProof/>
        </w:rPr>
        <w:t>funds.</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5906BE" w14:paraId="79EB1F7C" w14:textId="77777777" w:rsidTr="00D0797D">
        <w:tc>
          <w:tcPr>
            <w:tcW w:w="5000" w:type="pct"/>
            <w:shd w:val="clear" w:color="auto" w:fill="EEEEEE" w:themeFill="background2"/>
          </w:tcPr>
          <w:p w14:paraId="6454902C" w14:textId="2A7A4761" w:rsidR="005906BE" w:rsidRPr="000D1284" w:rsidRDefault="005906BE" w:rsidP="000D1284">
            <w:pPr>
              <w:pStyle w:val="BoxHeading"/>
            </w:pPr>
            <w:r>
              <w:lastRenderedPageBreak/>
              <w:t>Question</w:t>
            </w:r>
            <w:r w:rsidR="00034194">
              <w:t>s</w:t>
            </w:r>
          </w:p>
          <w:p w14:paraId="13A1E660" w14:textId="1C7F3190" w:rsidR="00454AA0" w:rsidRPr="00214F06" w:rsidRDefault="00454AA0" w:rsidP="000379D3">
            <w:pPr>
              <w:pStyle w:val="OutlineNumbered1"/>
            </w:pPr>
            <w:r w:rsidRPr="00214F06">
              <w:t xml:space="preserve">Are these considerations appropriate </w:t>
            </w:r>
            <w:r w:rsidR="0085487D" w:rsidRPr="00214F06">
              <w:t>in setting the minimum annual distribution rate?</w:t>
            </w:r>
          </w:p>
          <w:p w14:paraId="2169EFBE" w14:textId="4B72CE43" w:rsidR="00CD0AD6" w:rsidRPr="00214F06" w:rsidRDefault="00CD0AD6" w:rsidP="000379D3">
            <w:pPr>
              <w:pStyle w:val="OutlineNumbered1"/>
            </w:pPr>
            <w:r w:rsidRPr="00214F06">
              <w:t>Should the five</w:t>
            </w:r>
            <w:r w:rsidRPr="00214F06">
              <w:noBreakHyphen/>
              <w:t xml:space="preserve">year </w:t>
            </w:r>
            <w:r w:rsidR="007F6908" w:rsidRPr="00214F06">
              <w:t xml:space="preserve">transition period apply only to </w:t>
            </w:r>
            <w:r w:rsidR="00DB13A7">
              <w:t xml:space="preserve">giving </w:t>
            </w:r>
            <w:r w:rsidR="007F6908" w:rsidRPr="00214F06">
              <w:t>funds that exist at the time the distribution rate changes, or to a</w:t>
            </w:r>
            <w:r w:rsidR="001779DD" w:rsidRPr="00214F06">
              <w:t>l</w:t>
            </w:r>
            <w:r w:rsidR="007F6908" w:rsidRPr="00214F06">
              <w:t xml:space="preserve">l </w:t>
            </w:r>
            <w:r w:rsidR="00DB13A7">
              <w:t>giving</w:t>
            </w:r>
            <w:r w:rsidR="007F6908" w:rsidRPr="00214F06">
              <w:t xml:space="preserve"> funds?</w:t>
            </w:r>
          </w:p>
          <w:p w14:paraId="1B2BC9D8" w14:textId="48CC5EBD" w:rsidR="005906BE" w:rsidRPr="000D1284" w:rsidRDefault="00323C8C" w:rsidP="005906BE">
            <w:pPr>
              <w:pStyle w:val="OutlineNumbered1"/>
            </w:pPr>
            <w:r>
              <w:t xml:space="preserve">What other considerations, if any, </w:t>
            </w:r>
            <w:r w:rsidR="00A971BC">
              <w:t xml:space="preserve">should </w:t>
            </w:r>
            <w:r w:rsidR="00A51D8B">
              <w:t>the government consider in setting the</w:t>
            </w:r>
            <w:r w:rsidR="0085487D">
              <w:t xml:space="preserve"> minimum</w:t>
            </w:r>
            <w:r w:rsidR="00A51D8B">
              <w:t xml:space="preserve"> </w:t>
            </w:r>
            <w:r w:rsidR="0085487D">
              <w:t xml:space="preserve">annual </w:t>
            </w:r>
            <w:r w:rsidR="00A51D8B">
              <w:t>distribution rate?</w:t>
            </w:r>
          </w:p>
        </w:tc>
      </w:tr>
    </w:tbl>
    <w:p w14:paraId="77AB3788" w14:textId="15852AEA" w:rsidR="00F11E6E" w:rsidRDefault="00F11E6E" w:rsidP="00F11E6E">
      <w:r>
        <w:t xml:space="preserve">When </w:t>
      </w:r>
      <w:r w:rsidR="00DB13A7">
        <w:t>giving</w:t>
      </w:r>
      <w:r>
        <w:t xml:space="preserve"> funds were established in </w:t>
      </w:r>
      <w:r w:rsidR="007C317A">
        <w:t xml:space="preserve">the tax </w:t>
      </w:r>
      <w:r>
        <w:t>law in their current form, a principle was that the benefit to item 1 DGRs should be greater than if the government had provided, by way of grant, a benefit to DGRs equivalent to the revenue foregone through the donor’s tax deduction.</w:t>
      </w:r>
      <w:r w:rsidR="00A15BF3">
        <w:rPr>
          <w:rStyle w:val="FootnoteReference"/>
        </w:rPr>
        <w:footnoteReference w:id="6"/>
      </w:r>
    </w:p>
    <w:p w14:paraId="2E37835C" w14:textId="70F6EA19" w:rsidR="003A4978" w:rsidRDefault="003A4978" w:rsidP="003A4978">
      <w:r>
        <w:t>If a gift is made directly to an item 1 DGR, the up-front monetary benefit to the DGR is greater than the value of the tax deduction to the donor. Further, the initial benefit is received by the DGR</w:t>
      </w:r>
      <w:r w:rsidR="00EF048E">
        <w:t xml:space="preserve"> at around the same time as the donor receives the benefit of the tax deduction.</w:t>
      </w:r>
    </w:p>
    <w:p w14:paraId="22B739E3" w14:textId="7BB2BCB1" w:rsidR="003A4978" w:rsidRDefault="003A4978" w:rsidP="003A4978">
      <w:r>
        <w:t>When a gift is made to a</w:t>
      </w:r>
      <w:r w:rsidR="00DB13A7">
        <w:t xml:space="preserve"> giving</w:t>
      </w:r>
      <w:r>
        <w:t xml:space="preserve"> fund, the donor receives the benefit of the tax deduction </w:t>
      </w:r>
      <w:r w:rsidR="003A537E">
        <w:t>for</w:t>
      </w:r>
      <w:r>
        <w:t xml:space="preserve"> the income year in which the gift is made. </w:t>
      </w:r>
      <w:r w:rsidR="002B0064">
        <w:t xml:space="preserve">DGRs receive </w:t>
      </w:r>
      <w:r w:rsidR="00514A80">
        <w:t>a benefit later</w:t>
      </w:r>
      <w:r w:rsidR="00D17ACA">
        <w:t>. I</w:t>
      </w:r>
      <w:r w:rsidR="00514A80">
        <w:t>t might be some years before the value of distributions received by DGRs exceeds the value of the tax deduction received by the donor.</w:t>
      </w:r>
      <w:r w:rsidR="00CB6C63">
        <w:t xml:space="preserve"> The Productivity Commission noted this as one factor </w:t>
      </w:r>
      <w:r w:rsidR="001103A3">
        <w:t>to consider when setting the distribution rate.</w:t>
      </w:r>
      <w:r w:rsidR="00744C0E">
        <w:t xml:space="preserve"> A more detailed analysis of </w:t>
      </w:r>
      <w:r w:rsidR="00C227E1">
        <w:t>the value of donations according to time preferences of DGRs</w:t>
      </w:r>
      <w:r w:rsidR="00DD1C11">
        <w:t>, and how this is affected by the distribution rate,</w:t>
      </w:r>
      <w:r w:rsidR="00C6521C">
        <w:t xml:space="preserve"> is set out below. </w:t>
      </w:r>
    </w:p>
    <w:p w14:paraId="18D38E8B" w14:textId="073D2212" w:rsidR="00960237" w:rsidRDefault="00960237" w:rsidP="00960237">
      <w:pPr>
        <w:pStyle w:val="Heading3"/>
      </w:pPr>
      <w:bookmarkStart w:id="15" w:name="_Toc200002571"/>
      <w:r>
        <w:t xml:space="preserve">Practical considerations for </w:t>
      </w:r>
      <w:r w:rsidR="008B1B95">
        <w:t xml:space="preserve">setting the </w:t>
      </w:r>
      <w:r w:rsidR="00482C78">
        <w:t xml:space="preserve">minimum annual </w:t>
      </w:r>
      <w:r w:rsidR="008B1B95">
        <w:t>distribution rate</w:t>
      </w:r>
      <w:bookmarkEnd w:id="15"/>
    </w:p>
    <w:p w14:paraId="08191C84" w14:textId="619EC974" w:rsidR="00DF587F" w:rsidRDefault="002B0DE6" w:rsidP="008B1B95">
      <w:pPr>
        <w:rPr>
          <w:noProof/>
        </w:rPr>
      </w:pPr>
      <w:r>
        <w:rPr>
          <w:noProof/>
        </w:rPr>
        <w:t xml:space="preserve">Increasing the minimum distribution rate could affect more </w:t>
      </w:r>
      <w:r w:rsidR="007B59AA">
        <w:rPr>
          <w:noProof/>
        </w:rPr>
        <w:t>PGFs</w:t>
      </w:r>
      <w:r>
        <w:rPr>
          <w:noProof/>
        </w:rPr>
        <w:t xml:space="preserve"> than </w:t>
      </w:r>
      <w:r w:rsidR="007B59AA">
        <w:rPr>
          <w:noProof/>
        </w:rPr>
        <w:t>PuGF</w:t>
      </w:r>
      <w:r>
        <w:rPr>
          <w:noProof/>
        </w:rPr>
        <w:t xml:space="preserve">s. </w:t>
      </w:r>
      <w:r w:rsidR="00354364">
        <w:rPr>
          <w:noProof/>
        </w:rPr>
        <w:t xml:space="preserve">Not only do more </w:t>
      </w:r>
      <w:r w:rsidR="007B59AA">
        <w:rPr>
          <w:noProof/>
        </w:rPr>
        <w:t>PGFs</w:t>
      </w:r>
      <w:r w:rsidR="00354364">
        <w:rPr>
          <w:noProof/>
        </w:rPr>
        <w:t xml:space="preserve"> exist, </w:t>
      </w:r>
      <w:r w:rsidR="00075EC7">
        <w:rPr>
          <w:noProof/>
        </w:rPr>
        <w:t>Productivity Commission analysis of ATO data shows</w:t>
      </w:r>
      <w:r w:rsidR="002B64C5">
        <w:rPr>
          <w:noProof/>
        </w:rPr>
        <w:t>, for 2020</w:t>
      </w:r>
      <w:r w:rsidR="002B64C5">
        <w:rPr>
          <w:noProof/>
        </w:rPr>
        <w:noBreakHyphen/>
        <w:t>21,</w:t>
      </w:r>
      <w:r w:rsidR="00075EC7">
        <w:rPr>
          <w:noProof/>
        </w:rPr>
        <w:t xml:space="preserve"> </w:t>
      </w:r>
      <w:r w:rsidR="007B0FB6">
        <w:rPr>
          <w:noProof/>
        </w:rPr>
        <w:t xml:space="preserve">the majority of </w:t>
      </w:r>
      <w:r w:rsidR="007B59AA">
        <w:rPr>
          <w:noProof/>
        </w:rPr>
        <w:t>PuGF</w:t>
      </w:r>
      <w:r w:rsidR="00E26589">
        <w:rPr>
          <w:noProof/>
        </w:rPr>
        <w:t>s distribute</w:t>
      </w:r>
      <w:r w:rsidR="002B64C5">
        <w:rPr>
          <w:noProof/>
        </w:rPr>
        <w:t>d</w:t>
      </w:r>
      <w:r w:rsidR="00E26589">
        <w:rPr>
          <w:noProof/>
        </w:rPr>
        <w:t xml:space="preserve"> </w:t>
      </w:r>
      <w:r w:rsidR="00DD5914">
        <w:rPr>
          <w:noProof/>
        </w:rPr>
        <w:t xml:space="preserve">well </w:t>
      </w:r>
      <w:r w:rsidR="00E26589">
        <w:rPr>
          <w:noProof/>
        </w:rPr>
        <w:t xml:space="preserve">above </w:t>
      </w:r>
      <w:r w:rsidR="00DB368A">
        <w:rPr>
          <w:noProof/>
        </w:rPr>
        <w:t xml:space="preserve">the minimum required. </w:t>
      </w:r>
      <w:r w:rsidR="008E5A2D">
        <w:rPr>
          <w:noProof/>
        </w:rPr>
        <w:t xml:space="preserve">In contrast, </w:t>
      </w:r>
      <w:r w:rsidR="00E17893">
        <w:rPr>
          <w:noProof/>
        </w:rPr>
        <w:t>a majority of</w:t>
      </w:r>
      <w:r w:rsidR="00DB368A">
        <w:rPr>
          <w:noProof/>
        </w:rPr>
        <w:t xml:space="preserve"> </w:t>
      </w:r>
      <w:r w:rsidR="007B59AA">
        <w:rPr>
          <w:noProof/>
        </w:rPr>
        <w:t>PGFs</w:t>
      </w:r>
      <w:r w:rsidR="00DB368A">
        <w:rPr>
          <w:noProof/>
        </w:rPr>
        <w:t xml:space="preserve"> distribute</w:t>
      </w:r>
      <w:r w:rsidR="002B64C5">
        <w:rPr>
          <w:noProof/>
        </w:rPr>
        <w:t>d</w:t>
      </w:r>
      <w:r w:rsidR="00DB368A">
        <w:rPr>
          <w:noProof/>
        </w:rPr>
        <w:t xml:space="preserve"> </w:t>
      </w:r>
      <w:r w:rsidR="00E17893">
        <w:rPr>
          <w:noProof/>
        </w:rPr>
        <w:t xml:space="preserve">around or below </w:t>
      </w:r>
      <w:r w:rsidR="00DB368A">
        <w:rPr>
          <w:noProof/>
        </w:rPr>
        <w:t>the minimum required</w:t>
      </w:r>
      <w:r w:rsidR="00FD2CD8">
        <w:rPr>
          <w:noProof/>
        </w:rPr>
        <w:t xml:space="preserve">, although a quarter </w:t>
      </w:r>
      <w:r w:rsidR="0092458B">
        <w:rPr>
          <w:noProof/>
        </w:rPr>
        <w:t>are distributing at rates above 10 per cent</w:t>
      </w:r>
      <w:r w:rsidR="00DD5914">
        <w:rPr>
          <w:noProof/>
        </w:rPr>
        <w:t xml:space="preserve">. </w:t>
      </w:r>
      <w:r w:rsidR="009D2AD4">
        <w:rPr>
          <w:noProof/>
        </w:rPr>
        <w:t>Chart 1</w:t>
      </w:r>
      <w:r w:rsidR="00DD5914">
        <w:rPr>
          <w:noProof/>
        </w:rPr>
        <w:t xml:space="preserve"> shows the</w:t>
      </w:r>
      <w:r w:rsidR="006B3D62">
        <w:rPr>
          <w:noProof/>
        </w:rPr>
        <w:t xml:space="preserve"> results of the</w:t>
      </w:r>
      <w:r w:rsidR="00DD5914">
        <w:rPr>
          <w:noProof/>
        </w:rPr>
        <w:t xml:space="preserve"> Productivity Commission</w:t>
      </w:r>
      <w:r w:rsidR="006B3D62">
        <w:rPr>
          <w:noProof/>
        </w:rPr>
        <w:t>’s</w:t>
      </w:r>
      <w:r w:rsidR="00DD5914">
        <w:rPr>
          <w:noProof/>
        </w:rPr>
        <w:t xml:space="preserve"> analysis</w:t>
      </w:r>
      <w:r w:rsidR="0092458B">
        <w:rPr>
          <w:noProof/>
        </w:rPr>
        <w:t>.</w:t>
      </w:r>
    </w:p>
    <w:p w14:paraId="42A57273" w14:textId="51031177" w:rsidR="002F46A6" w:rsidRDefault="002F46A6" w:rsidP="00DE60D7">
      <w:pPr>
        <w:pStyle w:val="ChartMainHeading"/>
        <w:rPr>
          <w:noProof/>
        </w:rPr>
      </w:pPr>
      <w:bookmarkStart w:id="16" w:name="_Toc200002572"/>
      <w:r>
        <w:rPr>
          <w:noProof/>
        </w:rPr>
        <w:lastRenderedPageBreak/>
        <w:t xml:space="preserve">Chart 1: </w:t>
      </w:r>
      <w:r w:rsidR="00B22935">
        <w:rPr>
          <w:noProof/>
        </w:rPr>
        <w:t xml:space="preserve">Percentage of </w:t>
      </w:r>
      <w:r w:rsidR="00D815ED">
        <w:rPr>
          <w:noProof/>
        </w:rPr>
        <w:t>giving</w:t>
      </w:r>
      <w:r w:rsidR="00B22935">
        <w:rPr>
          <w:noProof/>
        </w:rPr>
        <w:t xml:space="preserve"> funds making distributions </w:t>
      </w:r>
      <w:r w:rsidR="00AB5A85">
        <w:rPr>
          <w:noProof/>
        </w:rPr>
        <w:t>at various distributions rates 2020</w:t>
      </w:r>
      <w:r w:rsidR="00AB5A85">
        <w:rPr>
          <w:noProof/>
        </w:rPr>
        <w:noBreakHyphen/>
        <w:t>21</w:t>
      </w:r>
      <w:bookmarkEnd w:id="16"/>
    </w:p>
    <w:tbl>
      <w:tblPr>
        <w:tblW w:w="5000" w:type="pct"/>
        <w:tblLook w:val="01E0" w:firstRow="1" w:lastRow="1" w:firstColumn="1" w:lastColumn="1" w:noHBand="0" w:noVBand="0"/>
      </w:tblPr>
      <w:tblGrid>
        <w:gridCol w:w="4442"/>
        <w:gridCol w:w="4628"/>
      </w:tblGrid>
      <w:tr w:rsidR="00AB21E9" w14:paraId="09D9F131" w14:textId="77777777" w:rsidTr="006755BF">
        <w:trPr>
          <w:cantSplit/>
          <w:trHeight w:val="4536"/>
        </w:trPr>
        <w:tc>
          <w:tcPr>
            <w:tcW w:w="2500" w:type="pct"/>
          </w:tcPr>
          <w:p w14:paraId="3F0979AF" w14:textId="716BCA37" w:rsidR="00AB21E9" w:rsidRDefault="00AB21E9" w:rsidP="00531BCB">
            <w:pPr>
              <w:pStyle w:val="ChartGraphic"/>
            </w:pPr>
            <w:r>
              <w:br w:type="page"/>
            </w:r>
            <w:r w:rsidR="006B0C8E">
              <w:rPr>
                <w:noProof/>
              </w:rPr>
              <w:drawing>
                <wp:inline distT="0" distB="0" distL="0" distR="0" wp14:anchorId="4C379BBA" wp14:editId="45A857F3">
                  <wp:extent cx="2752725" cy="2883535"/>
                  <wp:effectExtent l="0" t="0" r="9525" b="0"/>
                  <wp:docPr id="305168878" name="Picture 3" descr="This chart shows the percentage of private ancillary funds making annual distributions at various rates in 2020-21. Twenty five per cent of private funds made distributions above 10 per cent while 49 per cent made distributions between 5 and 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68878" name="Picture 3" descr="This chart shows the percentage of private ancillary funds making annual distributions at various rates in 2020-21. Twenty five per cent of private funds made distributions above 10 per cent while 49 per cent made distributions between 5 and 6 per c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2883535"/>
                          </a:xfrm>
                          <a:prstGeom prst="rect">
                            <a:avLst/>
                          </a:prstGeom>
                          <a:noFill/>
                        </pic:spPr>
                      </pic:pic>
                    </a:graphicData>
                  </a:graphic>
                </wp:inline>
              </w:drawing>
            </w:r>
          </w:p>
        </w:tc>
        <w:tc>
          <w:tcPr>
            <w:tcW w:w="2500" w:type="pct"/>
          </w:tcPr>
          <w:p w14:paraId="698E0EC8" w14:textId="16FB1911" w:rsidR="00531BCB" w:rsidRPr="00531BCB" w:rsidRDefault="00531BCB" w:rsidP="00531BCB">
            <w:pPr>
              <w:pStyle w:val="ChartGraphic"/>
            </w:pPr>
            <w:r>
              <w:rPr>
                <w:noProof/>
              </w:rPr>
              <w:drawing>
                <wp:inline distT="0" distB="0" distL="0" distR="0" wp14:anchorId="2B73691A" wp14:editId="3BBE1BFF">
                  <wp:extent cx="2883535" cy="2883535"/>
                  <wp:effectExtent l="0" t="0" r="0" b="0"/>
                  <wp:docPr id="1430297473" name="Picture 4" descr="This chart shows the percentage of public ancillary funds making annual distributions at various rates in 2020-21. Forty nine per cent of public funds made distributions above 10 per cent while 17 per cent made distributions of between 4 and 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97473" name="Picture 4" descr="This chart shows the percentage of public ancillary funds making annual distributions at various rates in 2020-21. Forty nine per cent of public funds made distributions above 10 per cent while 17 per cent made distributions of between 4 and 5 per c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bl>
    <w:p w14:paraId="7C1E9F50" w14:textId="422D1C68" w:rsidR="00AB5A85" w:rsidRDefault="00AB5A85" w:rsidP="00DE60D7">
      <w:pPr>
        <w:pStyle w:val="ChartorTableNote"/>
      </w:pPr>
      <w:r>
        <w:t xml:space="preserve">Source: Productivity Commission </w:t>
      </w:r>
      <w:r>
        <w:rPr>
          <w:i/>
          <w:iCs/>
        </w:rPr>
        <w:t xml:space="preserve">Future foundations for giving </w:t>
      </w:r>
      <w:r>
        <w:t>report</w:t>
      </w:r>
      <w:r>
        <w:rPr>
          <w:i/>
          <w:iCs/>
        </w:rPr>
        <w:t>.</w:t>
      </w:r>
    </w:p>
    <w:p w14:paraId="4576FF9B" w14:textId="6DBEE16C" w:rsidR="00CD78B3" w:rsidRDefault="00CF117E" w:rsidP="008B1B95">
      <w:pPr>
        <w:rPr>
          <w:noProof/>
        </w:rPr>
      </w:pPr>
      <w:r>
        <w:rPr>
          <w:noProof/>
        </w:rPr>
        <w:t xml:space="preserve">Given the likely </w:t>
      </w:r>
      <w:r w:rsidR="00CD2D9B">
        <w:rPr>
          <w:noProof/>
        </w:rPr>
        <w:t xml:space="preserve">greater effect on </w:t>
      </w:r>
      <w:r w:rsidR="007B59AA">
        <w:rPr>
          <w:noProof/>
        </w:rPr>
        <w:t>PGFs</w:t>
      </w:r>
      <w:r w:rsidR="00D10D8F">
        <w:rPr>
          <w:noProof/>
        </w:rPr>
        <w:t>, this</w:t>
      </w:r>
      <w:r w:rsidR="001B327C">
        <w:rPr>
          <w:noProof/>
        </w:rPr>
        <w:t xml:space="preserve"> </w:t>
      </w:r>
      <w:r w:rsidR="00A8116F">
        <w:rPr>
          <w:noProof/>
        </w:rPr>
        <w:t xml:space="preserve">section considers </w:t>
      </w:r>
      <w:r w:rsidR="00163B1C">
        <w:rPr>
          <w:noProof/>
        </w:rPr>
        <w:t xml:space="preserve">how an increase in </w:t>
      </w:r>
      <w:r w:rsidR="00D10D8F">
        <w:rPr>
          <w:noProof/>
        </w:rPr>
        <w:t xml:space="preserve">the minimum </w:t>
      </w:r>
      <w:r w:rsidR="00163B1C">
        <w:rPr>
          <w:noProof/>
        </w:rPr>
        <w:t xml:space="preserve">rate would affect the operation of a hypothetical </w:t>
      </w:r>
      <w:r w:rsidR="007B59AA">
        <w:rPr>
          <w:noProof/>
        </w:rPr>
        <w:t>PGF</w:t>
      </w:r>
      <w:r w:rsidR="00163B1C">
        <w:rPr>
          <w:noProof/>
        </w:rPr>
        <w:t xml:space="preserve">. The </w:t>
      </w:r>
      <w:r w:rsidR="007B59AA">
        <w:rPr>
          <w:noProof/>
        </w:rPr>
        <w:t>PGF</w:t>
      </w:r>
      <w:r w:rsidR="00163B1C">
        <w:rPr>
          <w:noProof/>
        </w:rPr>
        <w:t xml:space="preserve"> is </w:t>
      </w:r>
      <w:r w:rsidR="00AE2FCB">
        <w:rPr>
          <w:noProof/>
        </w:rPr>
        <w:t>seeded with a gift of $1 million</w:t>
      </w:r>
      <w:r w:rsidR="002C7DCC">
        <w:rPr>
          <w:noProof/>
        </w:rPr>
        <w:t xml:space="preserve"> in </w:t>
      </w:r>
      <w:r w:rsidR="000730D4">
        <w:rPr>
          <w:noProof/>
        </w:rPr>
        <w:t>1979</w:t>
      </w:r>
      <w:r w:rsidR="000730D4">
        <w:rPr>
          <w:noProof/>
        </w:rPr>
        <w:noBreakHyphen/>
      </w:r>
      <w:r w:rsidR="002C7DCC">
        <w:rPr>
          <w:noProof/>
        </w:rPr>
        <w:t>1980</w:t>
      </w:r>
      <w:r w:rsidR="00C75753">
        <w:rPr>
          <w:noProof/>
        </w:rPr>
        <w:t xml:space="preserve"> and recev</w:t>
      </w:r>
      <w:r w:rsidR="00163B1C">
        <w:rPr>
          <w:noProof/>
        </w:rPr>
        <w:t>es</w:t>
      </w:r>
      <w:r w:rsidR="00C75753">
        <w:rPr>
          <w:noProof/>
        </w:rPr>
        <w:t xml:space="preserve"> no subsequent gifts.</w:t>
      </w:r>
    </w:p>
    <w:p w14:paraId="2FC0FDBD" w14:textId="57BC52FB" w:rsidR="00151674" w:rsidRDefault="004C041F" w:rsidP="008B1B95">
      <w:pPr>
        <w:rPr>
          <w:noProof/>
        </w:rPr>
      </w:pPr>
      <w:r w:rsidRPr="004C041F">
        <w:rPr>
          <w:noProof/>
        </w:rPr>
        <w:t>While the concept of a</w:t>
      </w:r>
      <w:r w:rsidR="00D815ED">
        <w:rPr>
          <w:noProof/>
        </w:rPr>
        <w:t xml:space="preserve"> giving</w:t>
      </w:r>
      <w:r w:rsidRPr="004C041F">
        <w:rPr>
          <w:noProof/>
        </w:rPr>
        <w:t xml:space="preserve"> fund did not exist in 19</w:t>
      </w:r>
      <w:r w:rsidR="00163B1C">
        <w:rPr>
          <w:noProof/>
        </w:rPr>
        <w:t>79</w:t>
      </w:r>
      <w:r w:rsidR="00163B1C">
        <w:rPr>
          <w:noProof/>
        </w:rPr>
        <w:noBreakHyphen/>
      </w:r>
      <w:r w:rsidRPr="004C041F">
        <w:rPr>
          <w:noProof/>
        </w:rPr>
        <w:t>80, this</w:t>
      </w:r>
      <w:r w:rsidR="00370D5F">
        <w:rPr>
          <w:noProof/>
        </w:rPr>
        <w:t xml:space="preserve"> financial</w:t>
      </w:r>
      <w:r w:rsidRPr="004C041F">
        <w:rPr>
          <w:noProof/>
        </w:rPr>
        <w:t xml:space="preserve"> year has been chosen to enable a long</w:t>
      </w:r>
      <w:r>
        <w:rPr>
          <w:noProof/>
        </w:rPr>
        <w:t>er</w:t>
      </w:r>
      <w:r>
        <w:rPr>
          <w:noProof/>
        </w:rPr>
        <w:noBreakHyphen/>
      </w:r>
      <w:r w:rsidRPr="004C041F">
        <w:rPr>
          <w:noProof/>
        </w:rPr>
        <w:t xml:space="preserve">term evaluation of </w:t>
      </w:r>
      <w:r w:rsidR="000962C1">
        <w:rPr>
          <w:noProof/>
        </w:rPr>
        <w:t>giving</w:t>
      </w:r>
      <w:r w:rsidRPr="004C041F">
        <w:rPr>
          <w:noProof/>
        </w:rPr>
        <w:t xml:space="preserve"> fund growth and distributions using </w:t>
      </w:r>
      <w:r w:rsidR="006A0DDC">
        <w:rPr>
          <w:noProof/>
        </w:rPr>
        <w:t>real</w:t>
      </w:r>
      <w:r w:rsidR="006A0DDC">
        <w:rPr>
          <w:noProof/>
        </w:rPr>
        <w:noBreakHyphen/>
        <w:t>world</w:t>
      </w:r>
      <w:r w:rsidRPr="004C041F">
        <w:rPr>
          <w:noProof/>
        </w:rPr>
        <w:t xml:space="preserve"> rates of return</w:t>
      </w:r>
      <w:r w:rsidR="006A673E">
        <w:rPr>
          <w:noProof/>
        </w:rPr>
        <w:t xml:space="preserve"> on investment</w:t>
      </w:r>
      <w:r w:rsidRPr="004C041F">
        <w:rPr>
          <w:noProof/>
        </w:rPr>
        <w:t>.</w:t>
      </w:r>
      <w:r>
        <w:rPr>
          <w:noProof/>
        </w:rPr>
        <w:t xml:space="preserve"> It </w:t>
      </w:r>
      <w:r w:rsidR="006A673E">
        <w:rPr>
          <w:noProof/>
        </w:rPr>
        <w:t>i</w:t>
      </w:r>
      <w:r>
        <w:rPr>
          <w:noProof/>
        </w:rPr>
        <w:t xml:space="preserve">ncludes </w:t>
      </w:r>
      <w:r w:rsidR="00B0655F">
        <w:rPr>
          <w:noProof/>
        </w:rPr>
        <w:t xml:space="preserve">the effect of changes in economic conditions, such as the </w:t>
      </w:r>
      <w:r w:rsidR="000730D4" w:rsidRPr="00996A4D">
        <w:rPr>
          <w:noProof/>
        </w:rPr>
        <w:t>1982</w:t>
      </w:r>
      <w:r w:rsidR="00996A4D" w:rsidRPr="00996A4D">
        <w:rPr>
          <w:noProof/>
        </w:rPr>
        <w:noBreakHyphen/>
        <w:t>83</w:t>
      </w:r>
      <w:r w:rsidR="000730D4" w:rsidRPr="00996A4D">
        <w:rPr>
          <w:noProof/>
        </w:rPr>
        <w:t xml:space="preserve"> and 1990</w:t>
      </w:r>
      <w:r w:rsidR="00996A4D" w:rsidRPr="00996A4D">
        <w:rPr>
          <w:noProof/>
        </w:rPr>
        <w:noBreakHyphen/>
        <w:t>91</w:t>
      </w:r>
      <w:r w:rsidR="00996A4D">
        <w:rPr>
          <w:noProof/>
        </w:rPr>
        <w:t xml:space="preserve"> </w:t>
      </w:r>
      <w:r w:rsidR="000730D4">
        <w:rPr>
          <w:noProof/>
        </w:rPr>
        <w:t xml:space="preserve">recessions, the </w:t>
      </w:r>
      <w:r w:rsidR="002E4591">
        <w:rPr>
          <w:noProof/>
        </w:rPr>
        <w:t>2008</w:t>
      </w:r>
      <w:r w:rsidR="002E4591">
        <w:rPr>
          <w:noProof/>
        </w:rPr>
        <w:noBreakHyphen/>
        <w:t xml:space="preserve">09 </w:t>
      </w:r>
      <w:r w:rsidR="000730D4">
        <w:rPr>
          <w:noProof/>
        </w:rPr>
        <w:t>global financial crisis</w:t>
      </w:r>
      <w:r w:rsidR="00B0655F">
        <w:rPr>
          <w:noProof/>
        </w:rPr>
        <w:t xml:space="preserve"> and the COVID</w:t>
      </w:r>
      <w:r w:rsidR="00B0655F">
        <w:rPr>
          <w:noProof/>
        </w:rPr>
        <w:noBreakHyphen/>
        <w:t>19 pandemic.</w:t>
      </w:r>
    </w:p>
    <w:p w14:paraId="418E823A" w14:textId="08DA1FE6" w:rsidR="0029198D" w:rsidRDefault="00B63AF9" w:rsidP="008B1B95">
      <w:pPr>
        <w:rPr>
          <w:noProof/>
        </w:rPr>
      </w:pPr>
      <w:r>
        <w:rPr>
          <w:noProof/>
        </w:rPr>
        <w:t>The appendix provides further detail</w:t>
      </w:r>
      <w:r w:rsidR="00151674">
        <w:rPr>
          <w:noProof/>
        </w:rPr>
        <w:t xml:space="preserve"> on the assumptions </w:t>
      </w:r>
      <w:r w:rsidR="00B0655F">
        <w:rPr>
          <w:noProof/>
        </w:rPr>
        <w:t>behind</w:t>
      </w:r>
      <w:r w:rsidR="00151674">
        <w:rPr>
          <w:noProof/>
        </w:rPr>
        <w:t xml:space="preserve"> this fund</w:t>
      </w:r>
      <w:r w:rsidR="006A0DDC">
        <w:rPr>
          <w:noProof/>
        </w:rPr>
        <w:t>, including its asset allocation</w:t>
      </w:r>
      <w:r w:rsidR="00300AE6">
        <w:rPr>
          <w:noProof/>
        </w:rPr>
        <w:t xml:space="preserve"> and rates of return.</w:t>
      </w:r>
    </w:p>
    <w:p w14:paraId="11A5F4AE" w14:textId="7E41F4C3" w:rsidR="00721282" w:rsidRDefault="00AF4503" w:rsidP="00221F6E">
      <w:pPr>
        <w:rPr>
          <w:noProof/>
        </w:rPr>
      </w:pPr>
      <w:r>
        <w:rPr>
          <w:noProof/>
        </w:rPr>
        <w:t>Chart </w:t>
      </w:r>
      <w:r w:rsidR="00163B1C">
        <w:rPr>
          <w:noProof/>
        </w:rPr>
        <w:t>2</w:t>
      </w:r>
      <w:r>
        <w:rPr>
          <w:noProof/>
        </w:rPr>
        <w:t xml:space="preserve"> shows</w:t>
      </w:r>
      <w:r w:rsidR="009411D8">
        <w:rPr>
          <w:noProof/>
        </w:rPr>
        <w:t xml:space="preserve">, in </w:t>
      </w:r>
      <w:r w:rsidR="00386920">
        <w:rPr>
          <w:noProof/>
        </w:rPr>
        <w:t>constant 19</w:t>
      </w:r>
      <w:r w:rsidR="00563600">
        <w:rPr>
          <w:noProof/>
        </w:rPr>
        <w:t>79-80</w:t>
      </w:r>
      <w:r w:rsidR="00386920">
        <w:rPr>
          <w:noProof/>
        </w:rPr>
        <w:t xml:space="preserve"> dollars</w:t>
      </w:r>
      <w:r w:rsidR="00570B9B">
        <w:rPr>
          <w:noProof/>
        </w:rPr>
        <w:t>,</w:t>
      </w:r>
      <w:r w:rsidR="009411D8">
        <w:rPr>
          <w:noProof/>
        </w:rPr>
        <w:t xml:space="preserve"> the cumulative distributions made by this fund, and changes in its asset value, for </w:t>
      </w:r>
      <w:r w:rsidR="00B91ABC">
        <w:rPr>
          <w:noProof/>
        </w:rPr>
        <w:t xml:space="preserve">the </w:t>
      </w:r>
      <w:r w:rsidR="00D26A7C">
        <w:rPr>
          <w:noProof/>
        </w:rPr>
        <w:t>current minimum ditribution rate of 5 per cent and higher rates of</w:t>
      </w:r>
      <w:r w:rsidR="009411D8">
        <w:rPr>
          <w:noProof/>
        </w:rPr>
        <w:t xml:space="preserve"> 6, 7 and 8 per cent</w:t>
      </w:r>
      <w:r w:rsidR="00221F6E">
        <w:rPr>
          <w:noProof/>
        </w:rPr>
        <w:t>.</w:t>
      </w:r>
    </w:p>
    <w:p w14:paraId="7EA389C4" w14:textId="11D742F8" w:rsidR="002F46A6" w:rsidRDefault="002F46A6" w:rsidP="002F46A6">
      <w:pPr>
        <w:pStyle w:val="ChartMainHeading"/>
        <w:rPr>
          <w:noProof/>
        </w:rPr>
      </w:pPr>
      <w:bookmarkStart w:id="17" w:name="_Toc200002573"/>
      <w:r>
        <w:rPr>
          <w:noProof/>
        </w:rPr>
        <w:lastRenderedPageBreak/>
        <w:t xml:space="preserve">Chart 2: </w:t>
      </w:r>
      <w:r w:rsidR="00D815ED">
        <w:rPr>
          <w:noProof/>
        </w:rPr>
        <w:t>Giving</w:t>
      </w:r>
      <w:r w:rsidRPr="002F46A6">
        <w:rPr>
          <w:noProof/>
        </w:rPr>
        <w:t xml:space="preserve"> fund asset value at June 30 and cumulative value of distributions made in constant 1979-80 dollars</w:t>
      </w:r>
      <w:bookmarkEnd w:id="17"/>
    </w:p>
    <w:p w14:paraId="19CB4184" w14:textId="6ED587B0" w:rsidR="002F46A6" w:rsidRPr="002F46A6" w:rsidRDefault="00EC0DD7" w:rsidP="003B5AE1">
      <w:pPr>
        <w:jc w:val="center"/>
      </w:pPr>
      <w:r>
        <w:rPr>
          <w:noProof/>
        </w:rPr>
        <w:drawing>
          <wp:inline distT="0" distB="0" distL="0" distR="0" wp14:anchorId="7153BDB3" wp14:editId="192FD477">
            <wp:extent cx="5584190" cy="3286125"/>
            <wp:effectExtent l="0" t="0" r="0" b="0"/>
            <wp:docPr id="1150847750" name="Picture 21" descr="This chart shows the changes in asset value and cumulative distributions over 24 years for a hypothetical giving fund. Data is shown for annual distribute rates of 5, 6, 7 and 8 per cent. Values are in constant 1979-80 dollars. The long-term asset value and value of cumulative distribution are maximised with the 5 per cent dis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47750" name="Picture 21" descr="This chart shows the changes in asset value and cumulative distributions over 24 years for a hypothetical giving fund. Data is shown for annual distribute rates of 5, 6, 7 and 8 per cent. Values are in constant 1979-80 dollars. The long-term asset value and value of cumulative distribution are maximised with the 5 per cent distribution ra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4190" cy="3286125"/>
                    </a:xfrm>
                    <a:prstGeom prst="rect">
                      <a:avLst/>
                    </a:prstGeom>
                    <a:noFill/>
                  </pic:spPr>
                </pic:pic>
              </a:graphicData>
            </a:graphic>
          </wp:inline>
        </w:drawing>
      </w:r>
    </w:p>
    <w:p w14:paraId="222B4C2C" w14:textId="12B7787A" w:rsidR="00EB726A" w:rsidRDefault="007E2D0B" w:rsidP="008B1B95">
      <w:pPr>
        <w:rPr>
          <w:noProof/>
        </w:rPr>
      </w:pPr>
      <w:r>
        <w:rPr>
          <w:noProof/>
        </w:rPr>
        <w:t xml:space="preserve">The </w:t>
      </w:r>
      <w:r w:rsidR="00D11ABA">
        <w:rPr>
          <w:noProof/>
        </w:rPr>
        <w:t>higher distribution rates see aggregate distributions</w:t>
      </w:r>
      <w:r>
        <w:rPr>
          <w:noProof/>
        </w:rPr>
        <w:t xml:space="preserve"> to DGRs maximised over the short term. In the longer term, distributions are maximised when the distribution rate is set at</w:t>
      </w:r>
      <w:r w:rsidR="00024C4C">
        <w:rPr>
          <w:noProof/>
        </w:rPr>
        <w:t xml:space="preserve"> its current rate of</w:t>
      </w:r>
      <w:r>
        <w:rPr>
          <w:noProof/>
        </w:rPr>
        <w:t xml:space="preserve"> 5 per cent. The 5 per cent distribution rate </w:t>
      </w:r>
      <w:r w:rsidR="00255434">
        <w:rPr>
          <w:noProof/>
        </w:rPr>
        <w:t>is also the only scenario in which the real value of the intial $1 million gift is retained</w:t>
      </w:r>
      <w:r w:rsidR="00B73F1C">
        <w:rPr>
          <w:noProof/>
        </w:rPr>
        <w:t>, if perpetual operation of a fund is considered important</w:t>
      </w:r>
      <w:r w:rsidR="00255434">
        <w:rPr>
          <w:noProof/>
        </w:rPr>
        <w:t>. This suggests benefts to DGRs in the future are also maximised with the lowest distribution rate.</w:t>
      </w:r>
    </w:p>
    <w:p w14:paraId="01F10072" w14:textId="3A70BC04" w:rsidR="004A3D86" w:rsidRDefault="004A3D86" w:rsidP="008B1B95">
      <w:pPr>
        <w:rPr>
          <w:noProof/>
        </w:rPr>
      </w:pPr>
      <w:r>
        <w:rPr>
          <w:noProof/>
        </w:rPr>
        <w:t>Using the current highest marginal</w:t>
      </w:r>
      <w:r w:rsidR="007D754C">
        <w:rPr>
          <w:noProof/>
        </w:rPr>
        <w:t xml:space="preserve"> personal income</w:t>
      </w:r>
      <w:r>
        <w:rPr>
          <w:noProof/>
        </w:rPr>
        <w:t xml:space="preserve"> tax rate</w:t>
      </w:r>
      <w:r w:rsidR="00CF377E">
        <w:rPr>
          <w:noProof/>
        </w:rPr>
        <w:t xml:space="preserve"> of 47 percent (inclusive of the Medicare levy)</w:t>
      </w:r>
      <w:r w:rsidR="00310224">
        <w:rPr>
          <w:rStyle w:val="FootnoteReference"/>
          <w:noProof/>
        </w:rPr>
        <w:footnoteReference w:id="7"/>
      </w:r>
      <w:r w:rsidR="00CF377E">
        <w:rPr>
          <w:noProof/>
        </w:rPr>
        <w:t>, the benefit of the</w:t>
      </w:r>
      <w:r w:rsidR="00936661">
        <w:rPr>
          <w:noProof/>
        </w:rPr>
        <w:t xml:space="preserve"> $470,000</w:t>
      </w:r>
      <w:r w:rsidR="00CF377E">
        <w:rPr>
          <w:noProof/>
        </w:rPr>
        <w:t xml:space="preserve"> tax deduction to the donor is distributed to </w:t>
      </w:r>
      <w:r w:rsidR="005E1794">
        <w:rPr>
          <w:noProof/>
        </w:rPr>
        <w:t xml:space="preserve">DGRs within seven to nine years. This time will be shorter where the donor faces a lower marginal tax rate. </w:t>
      </w:r>
    </w:p>
    <w:p w14:paraId="489ADB42" w14:textId="39AEE1DA" w:rsidR="000804DE" w:rsidRDefault="00B10556" w:rsidP="008B1B95">
      <w:pPr>
        <w:rPr>
          <w:noProof/>
        </w:rPr>
      </w:pPr>
      <w:r>
        <w:rPr>
          <w:noProof/>
        </w:rPr>
        <w:t>However, loo</w:t>
      </w:r>
      <w:r w:rsidR="001B64B6">
        <w:rPr>
          <w:noProof/>
        </w:rPr>
        <w:t xml:space="preserve">king at the real value of </w:t>
      </w:r>
      <w:r w:rsidR="00892979">
        <w:rPr>
          <w:noProof/>
        </w:rPr>
        <w:t>fund value and distributions</w:t>
      </w:r>
      <w:r w:rsidR="00F576E2">
        <w:rPr>
          <w:noProof/>
        </w:rPr>
        <w:t xml:space="preserve"> ignores the opportunity cost to DGRs of having </w:t>
      </w:r>
      <w:r w:rsidR="00F11963">
        <w:rPr>
          <w:noProof/>
        </w:rPr>
        <w:t xml:space="preserve">assets in </w:t>
      </w:r>
      <w:r w:rsidR="00E86C5D">
        <w:rPr>
          <w:noProof/>
        </w:rPr>
        <w:t>giving</w:t>
      </w:r>
      <w:r w:rsidR="00F11963">
        <w:rPr>
          <w:noProof/>
        </w:rPr>
        <w:t xml:space="preserve"> funds rather than </w:t>
      </w:r>
      <w:r w:rsidR="001864E4">
        <w:rPr>
          <w:noProof/>
        </w:rPr>
        <w:t>with DGRs to use for their purposes.</w:t>
      </w:r>
      <w:r w:rsidR="000804DE">
        <w:rPr>
          <w:noProof/>
        </w:rPr>
        <w:t xml:space="preserve"> Some DGRs prefer </w:t>
      </w:r>
      <w:r w:rsidR="00430A79">
        <w:rPr>
          <w:noProof/>
        </w:rPr>
        <w:t xml:space="preserve">to receive </w:t>
      </w:r>
      <w:r w:rsidR="000E3305">
        <w:rPr>
          <w:noProof/>
        </w:rPr>
        <w:t xml:space="preserve">larger </w:t>
      </w:r>
      <w:r w:rsidR="00430A79">
        <w:rPr>
          <w:noProof/>
        </w:rPr>
        <w:t xml:space="preserve">distributions from </w:t>
      </w:r>
      <w:r w:rsidR="00E86C5D">
        <w:rPr>
          <w:noProof/>
        </w:rPr>
        <w:t>giving</w:t>
      </w:r>
      <w:r w:rsidR="00430A79">
        <w:rPr>
          <w:noProof/>
        </w:rPr>
        <w:t xml:space="preserve"> funds </w:t>
      </w:r>
      <w:r w:rsidR="00065382">
        <w:rPr>
          <w:noProof/>
        </w:rPr>
        <w:t xml:space="preserve">to allow them to </w:t>
      </w:r>
      <w:r w:rsidR="00863692">
        <w:rPr>
          <w:noProof/>
        </w:rPr>
        <w:t xml:space="preserve">perform activities </w:t>
      </w:r>
      <w:r w:rsidR="00EC25BB">
        <w:rPr>
          <w:noProof/>
        </w:rPr>
        <w:t>now. Other DGRs</w:t>
      </w:r>
      <w:r w:rsidR="00BD7143">
        <w:rPr>
          <w:noProof/>
        </w:rPr>
        <w:t>, including those yet to be established,</w:t>
      </w:r>
      <w:r w:rsidR="00EC25BB">
        <w:rPr>
          <w:noProof/>
        </w:rPr>
        <w:t xml:space="preserve"> </w:t>
      </w:r>
      <w:r w:rsidR="0056297F">
        <w:rPr>
          <w:noProof/>
        </w:rPr>
        <w:t xml:space="preserve">might prefer </w:t>
      </w:r>
      <w:r w:rsidR="00A35E3F">
        <w:rPr>
          <w:noProof/>
        </w:rPr>
        <w:t>giving</w:t>
      </w:r>
      <w:r w:rsidR="00B30542">
        <w:rPr>
          <w:noProof/>
        </w:rPr>
        <w:t xml:space="preserve"> funds build or maintain a corpus to provide certainity of funding in the future. </w:t>
      </w:r>
      <w:r w:rsidR="00B86345">
        <w:rPr>
          <w:noProof/>
        </w:rPr>
        <w:t xml:space="preserve">Still others will </w:t>
      </w:r>
      <w:r w:rsidR="00E204C2">
        <w:rPr>
          <w:noProof/>
        </w:rPr>
        <w:t>prefer a mix of immediate and long</w:t>
      </w:r>
      <w:r w:rsidR="00E204C2">
        <w:rPr>
          <w:noProof/>
        </w:rPr>
        <w:noBreakHyphen/>
        <w:t>term funding.</w:t>
      </w:r>
    </w:p>
    <w:p w14:paraId="7F1D5514" w14:textId="65EE8921" w:rsidR="002F05CB" w:rsidRDefault="00FB0C79" w:rsidP="008B1B95">
      <w:pPr>
        <w:rPr>
          <w:noProof/>
        </w:rPr>
      </w:pPr>
      <w:r>
        <w:rPr>
          <w:noProof/>
        </w:rPr>
        <w:t>C</w:t>
      </w:r>
      <w:r w:rsidR="00B07E8B">
        <w:rPr>
          <w:noProof/>
        </w:rPr>
        <w:t xml:space="preserve">ommunity preferences </w:t>
      </w:r>
      <w:r w:rsidR="00527E8F">
        <w:rPr>
          <w:noProof/>
        </w:rPr>
        <w:t>on the distribution of benefits now</w:t>
      </w:r>
      <w:r w:rsidR="00C045D8">
        <w:rPr>
          <w:noProof/>
        </w:rPr>
        <w:t>, in return for the don</w:t>
      </w:r>
      <w:r w:rsidR="000C140A">
        <w:rPr>
          <w:noProof/>
        </w:rPr>
        <w:t>o</w:t>
      </w:r>
      <w:r w:rsidR="00C045D8">
        <w:rPr>
          <w:noProof/>
        </w:rPr>
        <w:t>r’s tax deduction,</w:t>
      </w:r>
      <w:r w:rsidR="00527E8F">
        <w:rPr>
          <w:noProof/>
        </w:rPr>
        <w:t xml:space="preserve"> versus building a corpus for later distribution</w:t>
      </w:r>
      <w:r w:rsidR="00C045D8">
        <w:rPr>
          <w:noProof/>
        </w:rPr>
        <w:t xml:space="preserve"> will similarly vary</w:t>
      </w:r>
      <w:r w:rsidR="00527E8F">
        <w:rPr>
          <w:noProof/>
        </w:rPr>
        <w:t>.</w:t>
      </w:r>
    </w:p>
    <w:p w14:paraId="2F360D13" w14:textId="332625C7" w:rsidR="00721282" w:rsidRDefault="008F431B" w:rsidP="008B1B95">
      <w:pPr>
        <w:rPr>
          <w:noProof/>
        </w:rPr>
      </w:pPr>
      <w:r>
        <w:rPr>
          <w:noProof/>
        </w:rPr>
        <w:t xml:space="preserve">Using discount rates allows </w:t>
      </w:r>
      <w:r w:rsidR="00C8450F">
        <w:rPr>
          <w:noProof/>
        </w:rPr>
        <w:t xml:space="preserve">analysis of the value of </w:t>
      </w:r>
      <w:r w:rsidR="00E41EAF">
        <w:rPr>
          <w:noProof/>
        </w:rPr>
        <w:t xml:space="preserve">distributions that takes into account </w:t>
      </w:r>
      <w:r w:rsidR="00E47C6A">
        <w:rPr>
          <w:noProof/>
        </w:rPr>
        <w:t>these time preferenc</w:t>
      </w:r>
      <w:r w:rsidR="00E47C50">
        <w:rPr>
          <w:noProof/>
        </w:rPr>
        <w:t xml:space="preserve">es. </w:t>
      </w:r>
      <w:r w:rsidR="00D104C6" w:rsidRPr="00D104C6">
        <w:rPr>
          <w:noProof/>
        </w:rPr>
        <w:t xml:space="preserve"> </w:t>
      </w:r>
      <w:r w:rsidR="00D104C6">
        <w:rPr>
          <w:noProof/>
        </w:rPr>
        <w:t xml:space="preserve">With any such analysis, the choice of discount rate is important. </w:t>
      </w:r>
      <w:r w:rsidR="00015788">
        <w:rPr>
          <w:noProof/>
        </w:rPr>
        <w:t>The</w:t>
      </w:r>
      <w:r w:rsidR="002D5B22">
        <w:rPr>
          <w:noProof/>
        </w:rPr>
        <w:t xml:space="preserve"> larger</w:t>
      </w:r>
      <w:r w:rsidR="00015788">
        <w:rPr>
          <w:noProof/>
        </w:rPr>
        <w:t xml:space="preserve"> the discount rate</w:t>
      </w:r>
      <w:r w:rsidR="002D5B22">
        <w:rPr>
          <w:noProof/>
        </w:rPr>
        <w:t xml:space="preserve">, the higher the value is placed on </w:t>
      </w:r>
      <w:r w:rsidR="00A35E3F">
        <w:rPr>
          <w:noProof/>
        </w:rPr>
        <w:t>giving</w:t>
      </w:r>
      <w:r w:rsidR="00895434">
        <w:rPr>
          <w:noProof/>
        </w:rPr>
        <w:t xml:space="preserve"> funds making distributions now.</w:t>
      </w:r>
      <w:r w:rsidR="00CB0D85">
        <w:rPr>
          <w:noProof/>
        </w:rPr>
        <w:t xml:space="preserve"> </w:t>
      </w:r>
      <w:r w:rsidR="00CB0D85" w:rsidRPr="00CA45F2">
        <w:t>To be clear, the discount rate</w:t>
      </w:r>
      <w:r w:rsidR="00165F8C" w:rsidRPr="00CA45F2">
        <w:t>s explored below are for analytical purposes only</w:t>
      </w:r>
      <w:r w:rsidR="008B2751" w:rsidRPr="00CA45F2">
        <w:t xml:space="preserve"> and will not be applied to real-world minimum </w:t>
      </w:r>
      <w:r w:rsidR="00091906" w:rsidRPr="00CA45F2">
        <w:rPr>
          <w:noProof/>
        </w:rPr>
        <w:t>distribution rates.</w:t>
      </w:r>
      <w:r w:rsidR="00091906">
        <w:rPr>
          <w:noProof/>
        </w:rPr>
        <w:t xml:space="preserve"> </w:t>
      </w:r>
    </w:p>
    <w:p w14:paraId="0B4ECF91" w14:textId="044D640A" w:rsidR="003F22B8" w:rsidRDefault="003F22B8" w:rsidP="008B1B95">
      <w:pPr>
        <w:rPr>
          <w:noProof/>
        </w:rPr>
      </w:pPr>
      <w:r>
        <w:rPr>
          <w:noProof/>
        </w:rPr>
        <w:lastRenderedPageBreak/>
        <w:t>In its philanthropy report, the Productivity Commission suggests</w:t>
      </w:r>
      <w:r w:rsidR="00EF0915">
        <w:rPr>
          <w:noProof/>
        </w:rPr>
        <w:t xml:space="preserve"> use of </w:t>
      </w:r>
      <w:r w:rsidR="00622BB0">
        <w:rPr>
          <w:noProof/>
        </w:rPr>
        <w:t xml:space="preserve">the </w:t>
      </w:r>
      <w:r w:rsidR="00EF0915">
        <w:rPr>
          <w:noProof/>
        </w:rPr>
        <w:t>social discount rate</w:t>
      </w:r>
      <w:r w:rsidR="00C24EAD">
        <w:rPr>
          <w:rStyle w:val="FootnoteReference"/>
          <w:noProof/>
        </w:rPr>
        <w:footnoteReference w:id="8"/>
      </w:r>
      <w:r w:rsidR="006D12B5">
        <w:rPr>
          <w:noProof/>
        </w:rPr>
        <w:t>.</w:t>
      </w:r>
      <w:r w:rsidR="00622BB0">
        <w:rPr>
          <w:noProof/>
        </w:rPr>
        <w:t xml:space="preserve"> </w:t>
      </w:r>
      <w:r w:rsidR="006D12B5">
        <w:rPr>
          <w:noProof/>
        </w:rPr>
        <w:t>It further</w:t>
      </w:r>
      <w:r w:rsidR="00622BB0">
        <w:rPr>
          <w:noProof/>
        </w:rPr>
        <w:t xml:space="preserve"> noted disagreement</w:t>
      </w:r>
      <w:r w:rsidR="006D12B5">
        <w:rPr>
          <w:noProof/>
        </w:rPr>
        <w:t xml:space="preserve"> exists</w:t>
      </w:r>
      <w:r w:rsidR="00622BB0">
        <w:rPr>
          <w:noProof/>
        </w:rPr>
        <w:t xml:space="preserve"> on what </w:t>
      </w:r>
      <w:r w:rsidR="006D12B5">
        <w:rPr>
          <w:noProof/>
        </w:rPr>
        <w:t>this rate is</w:t>
      </w:r>
      <w:r w:rsidR="000E5E31">
        <w:rPr>
          <w:noProof/>
        </w:rPr>
        <w:t>.</w:t>
      </w:r>
      <w:r w:rsidR="00AD2692">
        <w:rPr>
          <w:noProof/>
        </w:rPr>
        <w:t xml:space="preserve"> </w:t>
      </w:r>
      <w:r w:rsidR="000E5E31">
        <w:rPr>
          <w:noProof/>
        </w:rPr>
        <w:t>A</w:t>
      </w:r>
      <w:r w:rsidR="009F17DA">
        <w:rPr>
          <w:noProof/>
        </w:rPr>
        <w:t xml:space="preserve"> 2010</w:t>
      </w:r>
      <w:r w:rsidR="00760223">
        <w:rPr>
          <w:noProof/>
        </w:rPr>
        <w:t xml:space="preserve"> Productivity Commission research paper </w:t>
      </w:r>
      <w:r w:rsidR="00AD2692">
        <w:rPr>
          <w:noProof/>
        </w:rPr>
        <w:t>suggest</w:t>
      </w:r>
      <w:r w:rsidR="000E5E31">
        <w:rPr>
          <w:noProof/>
        </w:rPr>
        <w:t>s</w:t>
      </w:r>
      <w:r w:rsidR="00AD2692">
        <w:rPr>
          <w:noProof/>
        </w:rPr>
        <w:t xml:space="preserve"> a real social discount rate of 8 per cent, but other</w:t>
      </w:r>
      <w:r w:rsidR="009F17DA">
        <w:rPr>
          <w:noProof/>
        </w:rPr>
        <w:t xml:space="preserve"> sources</w:t>
      </w:r>
      <w:r w:rsidR="00AD2692">
        <w:rPr>
          <w:noProof/>
        </w:rPr>
        <w:t xml:space="preserve"> </w:t>
      </w:r>
      <w:r w:rsidR="000E5E31">
        <w:rPr>
          <w:noProof/>
        </w:rPr>
        <w:t>cited in the philanthropy report</w:t>
      </w:r>
      <w:r w:rsidR="0041626E">
        <w:rPr>
          <w:noProof/>
        </w:rPr>
        <w:t xml:space="preserve"> prefer</w:t>
      </w:r>
      <w:r w:rsidR="00AD2692">
        <w:rPr>
          <w:noProof/>
        </w:rPr>
        <w:t xml:space="preserve"> </w:t>
      </w:r>
      <w:r w:rsidR="003F4E33">
        <w:rPr>
          <w:noProof/>
        </w:rPr>
        <w:t xml:space="preserve">real </w:t>
      </w:r>
      <w:r w:rsidR="00AD2692">
        <w:rPr>
          <w:noProof/>
        </w:rPr>
        <w:t>rates between 4 per cent and 15 per cent.</w:t>
      </w:r>
    </w:p>
    <w:p w14:paraId="2E301013" w14:textId="7C851373" w:rsidR="001C714B" w:rsidRDefault="001C714B" w:rsidP="008B1B95">
      <w:pPr>
        <w:rPr>
          <w:noProof/>
        </w:rPr>
      </w:pPr>
      <w:r>
        <w:rPr>
          <w:noProof/>
        </w:rPr>
        <w:t>Chart </w:t>
      </w:r>
      <w:r w:rsidR="00DA11E2">
        <w:rPr>
          <w:noProof/>
        </w:rPr>
        <w:t>3</w:t>
      </w:r>
      <w:r>
        <w:rPr>
          <w:noProof/>
        </w:rPr>
        <w:t xml:space="preserve"> </w:t>
      </w:r>
      <w:r w:rsidR="00CD2D00">
        <w:rPr>
          <w:noProof/>
        </w:rPr>
        <w:t>replicates Chart </w:t>
      </w:r>
      <w:r w:rsidR="00DA11E2">
        <w:rPr>
          <w:noProof/>
        </w:rPr>
        <w:t>2</w:t>
      </w:r>
      <w:r w:rsidR="00CD2D00">
        <w:rPr>
          <w:noProof/>
        </w:rPr>
        <w:t>, but with a real dis</w:t>
      </w:r>
      <w:r w:rsidR="00356950">
        <w:rPr>
          <w:noProof/>
        </w:rPr>
        <w:t xml:space="preserve">count rate of 8 per cent applied to distributions and </w:t>
      </w:r>
      <w:r w:rsidR="006C3314">
        <w:rPr>
          <w:noProof/>
        </w:rPr>
        <w:t xml:space="preserve">asset values. </w:t>
      </w:r>
      <w:r w:rsidR="000C4FF3">
        <w:rPr>
          <w:noProof/>
        </w:rPr>
        <w:t>T</w:t>
      </w:r>
      <w:r w:rsidR="00DF1929">
        <w:rPr>
          <w:noProof/>
        </w:rPr>
        <w:t xml:space="preserve">he </w:t>
      </w:r>
      <w:r w:rsidR="000C4FF3">
        <w:rPr>
          <w:noProof/>
        </w:rPr>
        <w:t xml:space="preserve">benefit to DGRs is maximised with a minimum annual distribution rate of 8 per cent. </w:t>
      </w:r>
      <w:r w:rsidR="006167F6">
        <w:rPr>
          <w:noProof/>
        </w:rPr>
        <w:t>B</w:t>
      </w:r>
      <w:r w:rsidR="000C4FF3">
        <w:rPr>
          <w:noProof/>
        </w:rPr>
        <w:t xml:space="preserve">ecause </w:t>
      </w:r>
      <w:r w:rsidR="008D07F9">
        <w:rPr>
          <w:noProof/>
        </w:rPr>
        <w:t xml:space="preserve">the discounted value of </w:t>
      </w:r>
      <w:r w:rsidR="006167F6">
        <w:rPr>
          <w:noProof/>
        </w:rPr>
        <w:t>fund assets</w:t>
      </w:r>
      <w:r w:rsidR="008D07F9">
        <w:rPr>
          <w:noProof/>
        </w:rPr>
        <w:t xml:space="preserve"> is much lowe</w:t>
      </w:r>
      <w:r w:rsidR="0006602A">
        <w:rPr>
          <w:noProof/>
        </w:rPr>
        <w:t>r in the future</w:t>
      </w:r>
      <w:r w:rsidR="00EE336F">
        <w:rPr>
          <w:noProof/>
        </w:rPr>
        <w:t>, t</w:t>
      </w:r>
      <w:r w:rsidR="006167F6">
        <w:rPr>
          <w:noProof/>
        </w:rPr>
        <w:t>h</w:t>
      </w:r>
      <w:r w:rsidR="00EE336F">
        <w:rPr>
          <w:noProof/>
        </w:rPr>
        <w:t>e benefit of preserving assets is negated.</w:t>
      </w:r>
    </w:p>
    <w:p w14:paraId="1A67794F" w14:textId="33A37F91" w:rsidR="00D72B37" w:rsidRDefault="00D72B37" w:rsidP="00DE60D7">
      <w:pPr>
        <w:pStyle w:val="ChartMainHeading"/>
        <w:rPr>
          <w:noProof/>
        </w:rPr>
      </w:pPr>
      <w:bookmarkStart w:id="18" w:name="_Toc200002574"/>
      <w:r>
        <w:rPr>
          <w:noProof/>
        </w:rPr>
        <w:t xml:space="preserve">Chart 3: </w:t>
      </w:r>
      <w:r w:rsidR="00A35E3F">
        <w:rPr>
          <w:noProof/>
        </w:rPr>
        <w:t>Giving</w:t>
      </w:r>
      <w:r w:rsidRPr="00D72B37">
        <w:rPr>
          <w:noProof/>
        </w:rPr>
        <w:t xml:space="preserve"> fund asset value at June 30 and cumulative value of distributions made with 8 per cent real discount rate applied</w:t>
      </w:r>
      <w:bookmarkEnd w:id="18"/>
    </w:p>
    <w:p w14:paraId="2D7BA1F9" w14:textId="64BAE46B" w:rsidR="00AE4849" w:rsidRDefault="00D379A7" w:rsidP="00AE4849">
      <w:pPr>
        <w:pStyle w:val="ChartGraphic"/>
      </w:pPr>
      <w:r>
        <w:rPr>
          <w:noProof/>
        </w:rPr>
        <w:drawing>
          <wp:inline distT="0" distB="0" distL="0" distR="0" wp14:anchorId="7C67F053" wp14:editId="50E93E74">
            <wp:extent cx="5584190" cy="3255645"/>
            <wp:effectExtent l="0" t="0" r="0" b="0"/>
            <wp:docPr id="1079299962" name="Picture 20" descr="This chart shows the changes in asset value and cumulative distributions over 24 years for a hypothetical giving fund. Data is shown for annual distribute rates of 5, 6, 7 and 8 per cent. A real discount rate of 8 per cent is applied. The long-term asset value and value of cumulative distributions are maximised with the 8 per cent annual dis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9962" name="Picture 20" descr="This chart shows the changes in asset value and cumulative distributions over 24 years for a hypothetical giving fund. Data is shown for annual distribute rates of 5, 6, 7 and 8 per cent. A real discount rate of 8 per cent is applied. The long-term asset value and value of cumulative distributions are maximised with the 8 per cent annual distribution r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4190" cy="3255645"/>
                    </a:xfrm>
                    <a:prstGeom prst="rect">
                      <a:avLst/>
                    </a:prstGeom>
                    <a:noFill/>
                  </pic:spPr>
                </pic:pic>
              </a:graphicData>
            </a:graphic>
          </wp:inline>
        </w:drawing>
      </w:r>
    </w:p>
    <w:p w14:paraId="33E1C12A" w14:textId="30568687" w:rsidR="00C815C2" w:rsidRDefault="00C815C2" w:rsidP="00C815C2">
      <w:pPr>
        <w:rPr>
          <w:noProof/>
        </w:rPr>
      </w:pPr>
      <w:r>
        <w:rPr>
          <w:noProof/>
        </w:rPr>
        <w:t xml:space="preserve">With </w:t>
      </w:r>
      <w:r w:rsidR="006D1E63">
        <w:rPr>
          <w:noProof/>
        </w:rPr>
        <w:t>26,285</w:t>
      </w:r>
      <w:r>
        <w:rPr>
          <w:noProof/>
        </w:rPr>
        <w:t xml:space="preserve"> item 1 DGRs</w:t>
      </w:r>
      <w:r>
        <w:rPr>
          <w:rStyle w:val="FootnoteReference"/>
          <w:noProof/>
        </w:rPr>
        <w:footnoteReference w:id="9"/>
      </w:r>
      <w:r>
        <w:rPr>
          <w:noProof/>
        </w:rPr>
        <w:t xml:space="preserve"> eligible to receive distributions from </w:t>
      </w:r>
      <w:r w:rsidR="004A0E5E">
        <w:rPr>
          <w:noProof/>
        </w:rPr>
        <w:t>giving</w:t>
      </w:r>
      <w:r>
        <w:rPr>
          <w:noProof/>
        </w:rPr>
        <w:t xml:space="preserve"> funds,the choice of a discount rate will not reflect the preferences of all DGRs.</w:t>
      </w:r>
      <w:r w:rsidR="004A0E5E">
        <w:rPr>
          <w:noProof/>
        </w:rPr>
        <w:t xml:space="preserve"> </w:t>
      </w:r>
      <w:r>
        <w:rPr>
          <w:noProof/>
        </w:rPr>
        <w:t>To illustrate how differing preferences – and thus discount rates – influence the calculated value of benefits provided to DGRs, Chart 4 replicate</w:t>
      </w:r>
      <w:r w:rsidR="00547DE3">
        <w:rPr>
          <w:noProof/>
        </w:rPr>
        <w:t>s</w:t>
      </w:r>
      <w:r>
        <w:rPr>
          <w:noProof/>
        </w:rPr>
        <w:t xml:space="preserve"> Chart 3 but using </w:t>
      </w:r>
      <w:r w:rsidR="00332921">
        <w:rPr>
          <w:noProof/>
        </w:rPr>
        <w:t>real discount rates of 4 and 15 per cent</w:t>
      </w:r>
      <w:r>
        <w:rPr>
          <w:noProof/>
        </w:rPr>
        <w:t xml:space="preserve">. </w:t>
      </w:r>
    </w:p>
    <w:p w14:paraId="76BC29BE" w14:textId="051F74AD" w:rsidR="00C815C2" w:rsidRDefault="00C815C2" w:rsidP="00C815C2">
      <w:pPr>
        <w:rPr>
          <w:noProof/>
        </w:rPr>
      </w:pPr>
      <w:r>
        <w:rPr>
          <w:noProof/>
        </w:rPr>
        <w:t xml:space="preserve">With a real discount rate of 4 per cent, the value of distributions to DGRs for all distribution rates converges in the </w:t>
      </w:r>
      <w:r w:rsidR="00426E9C">
        <w:rPr>
          <w:noProof/>
        </w:rPr>
        <w:t>time period considered in this analysis</w:t>
      </w:r>
      <w:r>
        <w:rPr>
          <w:noProof/>
        </w:rPr>
        <w:t>. The benefit of the higher distribution rate is more pronounced for a 15 per cent real discount rate. When the discount rate is higher, the value of the donor’s tax deduction is distributed to DGRs sooner when the distribution rate is higher.</w:t>
      </w:r>
    </w:p>
    <w:p w14:paraId="4F44A902" w14:textId="0B803623" w:rsidR="0027101D" w:rsidRDefault="0027101D" w:rsidP="0027101D">
      <w:pPr>
        <w:pStyle w:val="ChartMainHeading"/>
      </w:pPr>
      <w:bookmarkStart w:id="19" w:name="_Toc200002575"/>
      <w:r>
        <w:t xml:space="preserve">Chart 4: </w:t>
      </w:r>
      <w:r w:rsidR="004A0E5E">
        <w:t>Giving</w:t>
      </w:r>
      <w:r w:rsidRPr="008D2B8D">
        <w:t xml:space="preserve"> fund asset value at June 30 and cumulative value of distributions made with </w:t>
      </w:r>
      <w:r>
        <w:t>4</w:t>
      </w:r>
      <w:r w:rsidRPr="008D2B8D">
        <w:t xml:space="preserve"> per cent</w:t>
      </w:r>
      <w:r w:rsidR="00374B10">
        <w:t xml:space="preserve"> (LHS) and 15 per cent (RHS)</w:t>
      </w:r>
      <w:r w:rsidRPr="008D2B8D">
        <w:t xml:space="preserve"> real discount rate</w:t>
      </w:r>
      <w:r w:rsidR="00374B10">
        <w:t>s</w:t>
      </w:r>
      <w:r w:rsidRPr="008D2B8D">
        <w:t xml:space="preserve"> applied</w:t>
      </w:r>
      <w:bookmarkEnd w:id="19"/>
    </w:p>
    <w:tbl>
      <w:tblPr>
        <w:tblW w:w="5000" w:type="pct"/>
        <w:tblLook w:val="01E0" w:firstRow="1" w:lastRow="1" w:firstColumn="1" w:lastColumn="1" w:noHBand="0" w:noVBand="0"/>
      </w:tblPr>
      <w:tblGrid>
        <w:gridCol w:w="4535"/>
        <w:gridCol w:w="4535"/>
      </w:tblGrid>
      <w:tr w:rsidR="00052A40" w14:paraId="7AF269E3" w14:textId="77777777" w:rsidTr="006755BF">
        <w:trPr>
          <w:cantSplit/>
          <w:trHeight w:val="4536"/>
        </w:trPr>
        <w:tc>
          <w:tcPr>
            <w:tcW w:w="2500" w:type="pct"/>
          </w:tcPr>
          <w:p w14:paraId="47C46E1F" w14:textId="7FD0FC34" w:rsidR="00052A40" w:rsidRDefault="00052A40" w:rsidP="007B59AA">
            <w:pPr>
              <w:pStyle w:val="ChartGraphic"/>
            </w:pPr>
            <w:r>
              <w:br w:type="page"/>
            </w:r>
            <w:r>
              <w:rPr>
                <w:noProof/>
              </w:rPr>
              <w:drawing>
                <wp:inline distT="0" distB="0" distL="0" distR="0" wp14:anchorId="38911020" wp14:editId="7D75891E">
                  <wp:extent cx="2883535" cy="2883535"/>
                  <wp:effectExtent l="0" t="0" r="0" b="0"/>
                  <wp:docPr id="1079068529" name="Picture 15" descr="This chart shows the changes in asset value and cumulative distributions over 24 years for a hypothetical giving fund. Data is shown for annual distribute rates of 5, 6, 7 and 8 per cent. A real discount rate of 4 per cent is applied. Cumulative distributions for all annual distribution rates converge in the longer-term. Asset value in the long-term is maximised for the 5 per cent annual dis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68529" name="Picture 15" descr="This chart shows the changes in asset value and cumulative distributions over 24 years for a hypothetical giving fund. Data is shown for annual distribute rates of 5, 6, 7 and 8 per cent. A real discount rate of 4 per cent is applied. Cumulative distributions for all annual distribution rates converge in the longer-term. Asset value in the long-term is maximised for the 5 per cent annual distribution r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c>
          <w:tcPr>
            <w:tcW w:w="2500" w:type="pct"/>
          </w:tcPr>
          <w:p w14:paraId="55C17D58" w14:textId="5E89E252" w:rsidR="00052A40" w:rsidRDefault="0006676F" w:rsidP="007B59AA">
            <w:pPr>
              <w:pStyle w:val="ChartGraphic"/>
            </w:pPr>
            <w:r>
              <w:rPr>
                <w:noProof/>
              </w:rPr>
              <w:drawing>
                <wp:inline distT="0" distB="0" distL="0" distR="0" wp14:anchorId="0FAFDF15" wp14:editId="7D24C687">
                  <wp:extent cx="2883535" cy="2883535"/>
                  <wp:effectExtent l="0" t="0" r="0" b="0"/>
                  <wp:docPr id="802291422" name="Picture 16" descr="This chart shows the changes in asset value and cumulative distributions over 24 years for a hypothetical giving fund. Data is shown for annual distribute rates of 5, 6, 7 and 8 per cent. A real discount rate of 15 per cent is applied. The long-term asset value converges to zero in the longer-term for all distribution rates. The cumulative value of distributions is maximised with the 8 per cent annual distribu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91422" name="Picture 16" descr="This chart shows the changes in asset value and cumulative distributions over 24 years for a hypothetical giving fund. Data is shown for annual distribute rates of 5, 6, 7 and 8 per cent. A real discount rate of 15 per cent is applied. The long-term asset value converges to zero in the longer-term for all distribution rates. The cumulative value of distributions is maximised with the 8 per cent annual distribution ra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3535" cy="2883535"/>
                          </a:xfrm>
                          <a:prstGeom prst="rect">
                            <a:avLst/>
                          </a:prstGeom>
                          <a:noFill/>
                        </pic:spPr>
                      </pic:pic>
                    </a:graphicData>
                  </a:graphic>
                </wp:inline>
              </w:drawing>
            </w:r>
          </w:p>
        </w:tc>
      </w:tr>
      <w:tr w:rsidR="00FB2A80" w14:paraId="477BF512" w14:textId="77777777" w:rsidTr="00FB2A80">
        <w:trPr>
          <w:cantSplit/>
        </w:trPr>
        <w:tc>
          <w:tcPr>
            <w:tcW w:w="5000" w:type="pct"/>
            <w:gridSpan w:val="2"/>
          </w:tcPr>
          <w:p w14:paraId="43DB19DC" w14:textId="55BFBB9A" w:rsidR="00FB2A80" w:rsidRDefault="00871C58" w:rsidP="007B59AA">
            <w:pPr>
              <w:pStyle w:val="ChartGraphic"/>
              <w:rPr>
                <w:noProof/>
              </w:rPr>
            </w:pPr>
            <w:r>
              <w:rPr>
                <w:noProof/>
              </w:rPr>
              <w:drawing>
                <wp:inline distT="0" distB="0" distL="0" distR="0" wp14:anchorId="2A6B511B" wp14:editId="2654C437">
                  <wp:extent cx="3993515" cy="658495"/>
                  <wp:effectExtent l="0" t="0" r="0" b="0"/>
                  <wp:docPr id="3470487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4878" name="Picture 1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3515" cy="658495"/>
                          </a:xfrm>
                          <a:prstGeom prst="rect">
                            <a:avLst/>
                          </a:prstGeom>
                          <a:noFill/>
                        </pic:spPr>
                      </pic:pic>
                    </a:graphicData>
                  </a:graphic>
                </wp:inline>
              </w:drawing>
            </w:r>
          </w:p>
        </w:tc>
      </w:tr>
    </w:tbl>
    <w:p w14:paraId="5DC0C327" w14:textId="77777777" w:rsidR="00A951F6" w:rsidRPr="00A951F6" w:rsidRDefault="00A951F6" w:rsidP="00A951F6"/>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950D1" w14:paraId="4F704196" w14:textId="77777777" w:rsidTr="00D0797D">
        <w:tc>
          <w:tcPr>
            <w:tcW w:w="5000" w:type="pct"/>
            <w:shd w:val="clear" w:color="auto" w:fill="EEEEEE" w:themeFill="background2"/>
          </w:tcPr>
          <w:p w14:paraId="6F02E402" w14:textId="6B051384" w:rsidR="002950D1" w:rsidRPr="000D1284" w:rsidRDefault="002950D1" w:rsidP="000D1284">
            <w:pPr>
              <w:pStyle w:val="BoxHeading"/>
            </w:pPr>
            <w:r>
              <w:t>Questions</w:t>
            </w:r>
          </w:p>
          <w:p w14:paraId="35CFBBC0" w14:textId="224C88ED" w:rsidR="002950D1" w:rsidRDefault="002950D1" w:rsidP="002950D1">
            <w:pPr>
              <w:pStyle w:val="OutlineNumbered1"/>
            </w:pPr>
            <w:r>
              <w:t xml:space="preserve">In setting the minimum annual distribution rate, </w:t>
            </w:r>
            <w:r w:rsidR="00541284">
              <w:t xml:space="preserve">is it appropriate to </w:t>
            </w:r>
            <w:r w:rsidR="00834652">
              <w:t>consider</w:t>
            </w:r>
            <w:r w:rsidR="00541284">
              <w:t xml:space="preserve"> the time preferences of </w:t>
            </w:r>
            <w:r w:rsidR="00EA5E61">
              <w:t>DGRs</w:t>
            </w:r>
            <w:r w:rsidR="002D6579">
              <w:t xml:space="preserve"> and the community</w:t>
            </w:r>
            <w:r w:rsidR="00834652">
              <w:t>?</w:t>
            </w:r>
          </w:p>
          <w:p w14:paraId="2A4DB95B" w14:textId="2E323A62" w:rsidR="00B9639D" w:rsidRDefault="00C81669" w:rsidP="00B9639D">
            <w:pPr>
              <w:pStyle w:val="OutlineNumbered1"/>
            </w:pPr>
            <w:r>
              <w:t xml:space="preserve">Is your preference for DGRs to receive distributions </w:t>
            </w:r>
            <w:r w:rsidR="00A2098E">
              <w:t>sooner (implying use of a higher discount rate)</w:t>
            </w:r>
            <w:r w:rsidR="00A249B7">
              <w:t>, later (</w:t>
            </w:r>
            <w:r w:rsidR="006316A8">
              <w:t>a lower discount rate) or no preferenc</w:t>
            </w:r>
            <w:r w:rsidR="00FA7D71">
              <w:t>e?</w:t>
            </w:r>
          </w:p>
          <w:p w14:paraId="08794DA1" w14:textId="77777777" w:rsidR="00EB0828" w:rsidRDefault="00CA56E3" w:rsidP="002950D1">
            <w:pPr>
              <w:pStyle w:val="OutlineNumbered1"/>
            </w:pPr>
            <w:r>
              <w:t xml:space="preserve">To what extent should the wishes of donors </w:t>
            </w:r>
            <w:r w:rsidR="00CD2E79">
              <w:t xml:space="preserve">to </w:t>
            </w:r>
            <w:r w:rsidR="00F67AD1">
              <w:t xml:space="preserve">operate a fund in perpetuity </w:t>
            </w:r>
            <w:r w:rsidR="00BA4FB1">
              <w:t>be balanced against</w:t>
            </w:r>
            <w:r w:rsidR="00B9639D">
              <w:t xml:space="preserve"> </w:t>
            </w:r>
            <w:r w:rsidR="00834652">
              <w:t>preferences of DGRs?</w:t>
            </w:r>
          </w:p>
          <w:p w14:paraId="2725DF30" w14:textId="28637919" w:rsidR="00651471" w:rsidRDefault="00651471" w:rsidP="002950D1">
            <w:pPr>
              <w:pStyle w:val="OutlineNumbered1"/>
            </w:pPr>
            <w:r>
              <w:t xml:space="preserve">Do you have a view on how increasing the distribution rate would affect the willingness of </w:t>
            </w:r>
            <w:r w:rsidR="008F54DF">
              <w:t xml:space="preserve">donors to set up </w:t>
            </w:r>
            <w:r w:rsidR="004A0E5E">
              <w:t>giving</w:t>
            </w:r>
            <w:r w:rsidR="008F54DF">
              <w:t xml:space="preserve"> funds?</w:t>
            </w:r>
          </w:p>
          <w:p w14:paraId="5CF21DDB" w14:textId="30CE189C" w:rsidR="008B2E93" w:rsidRPr="000D1284" w:rsidRDefault="008B2E93" w:rsidP="002950D1">
            <w:pPr>
              <w:pStyle w:val="OutlineNumbered1"/>
            </w:pPr>
            <w:r w:rsidRPr="00647870">
              <w:t>Given all considerations, do you have a view on what the appropriate minimum annual distribution rate should be?</w:t>
            </w:r>
          </w:p>
        </w:tc>
      </w:tr>
    </w:tbl>
    <w:p w14:paraId="1B01596F" w14:textId="1B369DEC" w:rsidR="00952671" w:rsidRDefault="00952671" w:rsidP="00952671">
      <w:pPr>
        <w:pStyle w:val="Heading3"/>
      </w:pPr>
      <w:bookmarkStart w:id="20" w:name="_Toc200002576"/>
      <w:r>
        <w:t xml:space="preserve">Principles for </w:t>
      </w:r>
      <w:r w:rsidR="003F1A05">
        <w:t>smoothing distributions</w:t>
      </w:r>
      <w:bookmarkEnd w:id="20"/>
    </w:p>
    <w:p w14:paraId="2D34E6AD" w14:textId="1D822B40" w:rsidR="00DC13AF" w:rsidRDefault="0060659C" w:rsidP="008361B4">
      <w:r>
        <w:t xml:space="preserve">The government has agreed to allow </w:t>
      </w:r>
      <w:r w:rsidR="004A0E5E">
        <w:t>giving</w:t>
      </w:r>
      <w:r>
        <w:t xml:space="preserve"> funds</w:t>
      </w:r>
      <w:r w:rsidR="009E3CFD">
        <w:t xml:space="preserve"> to smooth distributions over a three</w:t>
      </w:r>
      <w:r w:rsidR="00AF04F0">
        <w:noBreakHyphen/>
      </w:r>
      <w:r w:rsidR="009E3CFD">
        <w:t>year period.</w:t>
      </w:r>
      <w:r w:rsidR="009B613E">
        <w:t xml:space="preserve"> Under smoothing, a </w:t>
      </w:r>
      <w:r w:rsidR="004A0E5E">
        <w:t>giving</w:t>
      </w:r>
      <w:r w:rsidR="009B613E">
        <w:t xml:space="preserve"> fu</w:t>
      </w:r>
      <w:r w:rsidR="00F34DA2">
        <w:t xml:space="preserve">nd’s obligation is to make distributions across the three years </w:t>
      </w:r>
      <w:r w:rsidR="00E1098E">
        <w:t>whose value is equal to the sum of the minimum distributions calculated for each year in the period.</w:t>
      </w:r>
    </w:p>
    <w:p w14:paraId="62DF76AF" w14:textId="61041354" w:rsidR="008A7022" w:rsidRDefault="00907B7C" w:rsidP="008361B4">
      <w:r>
        <w:t xml:space="preserve">For example, suppose </w:t>
      </w:r>
      <w:r w:rsidR="005E0E1C">
        <w:t xml:space="preserve">the value of a </w:t>
      </w:r>
      <w:r w:rsidR="004A0E5E">
        <w:t>giving</w:t>
      </w:r>
      <w:r w:rsidR="005E0E1C">
        <w:t xml:space="preserve"> fund’s minimum distributions were $100,000 in year one, $120,000 in year two and $100,000 in year three. </w:t>
      </w:r>
      <w:r w:rsidR="008A180D">
        <w:t>A</w:t>
      </w:r>
      <w:r w:rsidR="00FD62EF">
        <w:t xml:space="preserve"> giving</w:t>
      </w:r>
      <w:r w:rsidR="008A180D">
        <w:t xml:space="preserve"> fund could meet its requirement by distributing $300,000 in one year and $</w:t>
      </w:r>
      <w:r w:rsidR="00106478">
        <w:t>1</w:t>
      </w:r>
      <w:r w:rsidR="008A180D">
        <w:t xml:space="preserve">0,000 </w:t>
      </w:r>
      <w:r w:rsidR="00106478">
        <w:t>in each of the</w:t>
      </w:r>
      <w:r w:rsidR="008A180D">
        <w:t xml:space="preserve"> other two years.</w:t>
      </w:r>
    </w:p>
    <w:p w14:paraId="1BCD3590" w14:textId="0180E990" w:rsidR="00473687" w:rsidRDefault="00473687" w:rsidP="008361B4">
      <w:r>
        <w:t>This allows funds the flexibility to meet the funding needs of DGRs with, for example, infrastructure projects</w:t>
      </w:r>
      <w:r w:rsidR="009D6D48">
        <w:t xml:space="preserve"> or </w:t>
      </w:r>
      <w:r w:rsidR="00B0176F">
        <w:t>social investment programs</w:t>
      </w:r>
      <w:r w:rsidR="0038574C">
        <w:t>.</w:t>
      </w:r>
    </w:p>
    <w:p w14:paraId="0C30A81D" w14:textId="352C0F5B" w:rsidR="009328EA" w:rsidRDefault="0038574C" w:rsidP="009328EA">
      <w:r>
        <w:t xml:space="preserve">To </w:t>
      </w:r>
      <w:r w:rsidR="008506D8">
        <w:t xml:space="preserve">ensure deductible gifts </w:t>
      </w:r>
      <w:r w:rsidR="00281CCB">
        <w:t xml:space="preserve">held in </w:t>
      </w:r>
      <w:r w:rsidR="00FD62EF">
        <w:t>giving</w:t>
      </w:r>
      <w:r w:rsidR="00281CCB">
        <w:t xml:space="preserve"> funds </w:t>
      </w:r>
      <w:r w:rsidR="0088398F">
        <w:t xml:space="preserve">continue to flow to DGRs, </w:t>
      </w:r>
      <w:r w:rsidR="009328EA">
        <w:t xml:space="preserve">the government proposes </w:t>
      </w:r>
      <w:r w:rsidR="00E77846">
        <w:t>adhering to</w:t>
      </w:r>
      <w:r w:rsidR="009328EA">
        <w:t xml:space="preserve"> the following principles</w:t>
      </w:r>
      <w:r w:rsidR="00E77846" w:rsidRPr="00E77846">
        <w:t xml:space="preserve"> </w:t>
      </w:r>
      <w:r w:rsidR="00E77846">
        <w:t>when amending the guidelines to allow smoothing</w:t>
      </w:r>
      <w:r w:rsidR="009328EA">
        <w:t>:</w:t>
      </w:r>
    </w:p>
    <w:p w14:paraId="4577012F" w14:textId="69A0F06C" w:rsidR="00AD7FA8" w:rsidRDefault="00AA0137" w:rsidP="009328EA">
      <w:pPr>
        <w:pStyle w:val="Bullet"/>
      </w:pPr>
      <w:r>
        <w:t>S</w:t>
      </w:r>
      <w:r w:rsidR="00E507B4">
        <w:t>moothing may occur only over discrete three-year periods</w:t>
      </w:r>
      <w:r>
        <w:t>.</w:t>
      </w:r>
      <w:r w:rsidR="009328EA">
        <w:t xml:space="preserve"> The guidelines will not allow rolling periods.</w:t>
      </w:r>
    </w:p>
    <w:p w14:paraId="0CC186DE" w14:textId="7568A19D" w:rsidR="00082FC2" w:rsidRDefault="00506B1A" w:rsidP="00A10F88">
      <w:pPr>
        <w:pStyle w:val="Dash"/>
      </w:pPr>
      <w:r>
        <w:t>If</w:t>
      </w:r>
      <w:r w:rsidR="00D22462">
        <w:t xml:space="preserve"> rolling three-year periods are allowed, a large distribution in one year could </w:t>
      </w:r>
      <w:r w:rsidR="00A10F88">
        <w:t xml:space="preserve">offset lower distributions in more than two other years. </w:t>
      </w:r>
      <w:r w:rsidR="00420283">
        <w:t xml:space="preserve">Item 1 </w:t>
      </w:r>
      <w:r w:rsidR="00A10F88">
        <w:t xml:space="preserve">DGRs might then receive less funding than they would </w:t>
      </w:r>
      <w:r w:rsidR="00272133">
        <w:t>h</w:t>
      </w:r>
      <w:r w:rsidR="00A10F88">
        <w:t xml:space="preserve">ave if the </w:t>
      </w:r>
      <w:r w:rsidR="00FD62EF">
        <w:t>giving</w:t>
      </w:r>
      <w:r w:rsidR="00A10F88">
        <w:t xml:space="preserve"> fund had m</w:t>
      </w:r>
      <w:r w:rsidR="00272133">
        <w:t>ade</w:t>
      </w:r>
      <w:r w:rsidR="00A10F88">
        <w:t xml:space="preserve"> </w:t>
      </w:r>
      <w:r w:rsidR="00272133">
        <w:t>the</w:t>
      </w:r>
      <w:r w:rsidR="00A10F88">
        <w:t xml:space="preserve"> minimum </w:t>
      </w:r>
      <w:r w:rsidR="00272133">
        <w:t>distribution</w:t>
      </w:r>
      <w:r w:rsidR="00A10F88">
        <w:t xml:space="preserve"> each year.</w:t>
      </w:r>
    </w:p>
    <w:p w14:paraId="03F66570" w14:textId="7681E27F" w:rsidR="00B17CE2" w:rsidRDefault="00B17CE2" w:rsidP="00A10F88">
      <w:pPr>
        <w:pStyle w:val="Dash"/>
      </w:pPr>
      <w:r>
        <w:t>Over the three</w:t>
      </w:r>
      <w:r>
        <w:noBreakHyphen/>
        <w:t>year period, a fund may distribute more than the minimum required.</w:t>
      </w:r>
      <w:r w:rsidR="005830E6">
        <w:t xml:space="preserve"> Any</w:t>
      </w:r>
      <w:r w:rsidR="00E513AC">
        <w:t xml:space="preserve"> </w:t>
      </w:r>
      <w:r w:rsidR="002A6512">
        <w:t xml:space="preserve">distribution </w:t>
      </w:r>
      <w:r w:rsidR="008E4F17">
        <w:t xml:space="preserve">over and above the minimum may not be used to </w:t>
      </w:r>
      <w:r w:rsidR="005E3C9A">
        <w:t xml:space="preserve">offset a below minimum distribution </w:t>
      </w:r>
      <w:r w:rsidR="00DA6C2B">
        <w:t>outside the period.</w:t>
      </w:r>
    </w:p>
    <w:p w14:paraId="72E5858F" w14:textId="4F1E8DE5" w:rsidR="00F562C3" w:rsidRDefault="006D6119" w:rsidP="00A10F88">
      <w:pPr>
        <w:pStyle w:val="Bullet"/>
      </w:pPr>
      <w:r>
        <w:t>The minimum distribution calculated for each year in the</w:t>
      </w:r>
      <w:r w:rsidR="004E2733">
        <w:t xml:space="preserve"> smoothing</w:t>
      </w:r>
      <w:r>
        <w:t xml:space="preserve"> period will use </w:t>
      </w:r>
      <w:r w:rsidR="0087305A">
        <w:t xml:space="preserve">the minimum annual distribution rate specified in the </w:t>
      </w:r>
      <w:r w:rsidR="0029079F">
        <w:t>giving</w:t>
      </w:r>
      <w:r w:rsidR="0087305A">
        <w:t xml:space="preserve"> fund guidelines. There will be no ability to seek </w:t>
      </w:r>
      <w:r w:rsidR="00805627">
        <w:t>a reduction in the minimum distribution rate for any year of the smoothing period.</w:t>
      </w:r>
    </w:p>
    <w:p w14:paraId="00E2B2F0" w14:textId="13DBD0CA" w:rsidR="00A10F88" w:rsidRDefault="004674B6" w:rsidP="00A10F88">
      <w:pPr>
        <w:pStyle w:val="Bullet"/>
      </w:pPr>
      <w:r>
        <w:t xml:space="preserve">In </w:t>
      </w:r>
      <w:r w:rsidR="00272133">
        <w:t>deciding</w:t>
      </w:r>
      <w:r>
        <w:t xml:space="preserve"> whether a fund has met its distribution requirement, </w:t>
      </w:r>
      <w:r w:rsidR="00F20A46">
        <w:t>nominal values of minimum annual distributions and distributions made will be used.</w:t>
      </w:r>
    </w:p>
    <w:p w14:paraId="7F142922" w14:textId="2B7BB709" w:rsidR="002D4D94" w:rsidRDefault="002D4D94" w:rsidP="002D4D94">
      <w:pPr>
        <w:pStyle w:val="Dash"/>
      </w:pPr>
      <w:r>
        <w:t>This approach is administratively simpler</w:t>
      </w:r>
      <w:r w:rsidR="00272133">
        <w:t xml:space="preserve"> than if</w:t>
      </w:r>
      <w:r w:rsidR="00876AB2">
        <w:t xml:space="preserve"> real and/or</w:t>
      </w:r>
      <w:r w:rsidR="00272133">
        <w:t xml:space="preserve"> </w:t>
      </w:r>
      <w:r w:rsidR="00420283">
        <w:t>discounted values are used.</w:t>
      </w:r>
    </w:p>
    <w:p w14:paraId="3CEDBDF2" w14:textId="58EDD009" w:rsidR="006A33D1" w:rsidRDefault="006A33D1" w:rsidP="006A33D1">
      <w:pPr>
        <w:pStyle w:val="Bullet"/>
      </w:pPr>
      <w:r>
        <w:t>A</w:t>
      </w:r>
      <w:r w:rsidR="0029079F">
        <w:t xml:space="preserve"> giving</w:t>
      </w:r>
      <w:r>
        <w:t xml:space="preserve"> fund will not need approval from the Commissioner of Taxation </w:t>
      </w:r>
      <w:r w:rsidR="0075098F">
        <w:t xml:space="preserve">to smooth distributions. </w:t>
      </w:r>
      <w:r w:rsidR="00084822">
        <w:t xml:space="preserve">However, </w:t>
      </w:r>
      <w:r w:rsidR="002C5B38">
        <w:t>it</w:t>
      </w:r>
      <w:r w:rsidR="00F9170D">
        <w:t xml:space="preserve"> will need to inform the Commissioner</w:t>
      </w:r>
      <w:r w:rsidR="00E46957">
        <w:t xml:space="preserve"> before or</w:t>
      </w:r>
      <w:r w:rsidR="00F9170D">
        <w:t xml:space="preserve"> in the first year of the </w:t>
      </w:r>
      <w:r w:rsidR="00084822">
        <w:t>period of its intentio</w:t>
      </w:r>
      <w:r w:rsidR="00876AB2">
        <w:t>n</w:t>
      </w:r>
      <w:r w:rsidR="00084822">
        <w:t xml:space="preserve"> and the reasons for smoothing distributions.</w:t>
      </w:r>
    </w:p>
    <w:p w14:paraId="4119184D" w14:textId="049F4850" w:rsidR="00084822" w:rsidRDefault="0008532B" w:rsidP="00084822">
      <w:pPr>
        <w:pStyle w:val="Dash"/>
      </w:pPr>
      <w:r>
        <w:t xml:space="preserve">This </w:t>
      </w:r>
      <w:r w:rsidR="00EC5FE3">
        <w:t xml:space="preserve">approach reduces administration costs while ensuring the Commissioner may </w:t>
      </w:r>
      <w:r w:rsidR="00EA4661">
        <w:t>accurately assess</w:t>
      </w:r>
      <w:r w:rsidR="00EC5FE3">
        <w:t xml:space="preserve"> a fund’s compliance with the </w:t>
      </w:r>
      <w:r w:rsidR="008359B0">
        <w:t>guidelines.</w:t>
      </w:r>
      <w:r>
        <w:t xml:space="preserve"> </w:t>
      </w:r>
    </w:p>
    <w:p w14:paraId="5283DAE0" w14:textId="62CAA0C9" w:rsidR="003C4BBD" w:rsidRDefault="00E556FF" w:rsidP="006A33D1">
      <w:pPr>
        <w:pStyle w:val="Bullet"/>
      </w:pPr>
      <w:r>
        <w:t>At the end of the smoothing period, t</w:t>
      </w:r>
      <w:r w:rsidR="003C4BBD">
        <w:t xml:space="preserve">he Commissioner will have the power to direct a fund to rectify </w:t>
      </w:r>
      <w:r w:rsidR="00E01C2F">
        <w:t xml:space="preserve">any </w:t>
      </w:r>
      <w:r w:rsidR="003C4BBD">
        <w:t>shortfall in distributions.</w:t>
      </w:r>
      <w:r w:rsidR="005476EE">
        <w:t xml:space="preserve"> The Commissioner will be able to impose administrative penalties on the trustee of a fund if the trustee does not rectify the shortfall.</w:t>
      </w:r>
    </w:p>
    <w:p w14:paraId="6F929C1A" w14:textId="0A1AECB0" w:rsidR="00796A5B" w:rsidRDefault="00E01C2F" w:rsidP="00E01C2F">
      <w:pPr>
        <w:pStyle w:val="Dash"/>
      </w:pPr>
      <w:r>
        <w:t>This is consistent with the Commissioner’s existing ability to direct a</w:t>
      </w:r>
      <w:r w:rsidR="0029079F">
        <w:t xml:space="preserve"> giving</w:t>
      </w:r>
      <w:r>
        <w:t xml:space="preserve"> fund to rectify a shortfall in its annual distribution.</w:t>
      </w:r>
    </w:p>
    <w:p w14:paraId="46B613DF" w14:textId="77777777" w:rsidR="004F6F46" w:rsidRDefault="004F6F46"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F6F46" w14:paraId="69CD56FB" w14:textId="77777777" w:rsidTr="00B010D9">
        <w:tc>
          <w:tcPr>
            <w:tcW w:w="5000" w:type="pct"/>
            <w:shd w:val="clear" w:color="auto" w:fill="EEEEEE" w:themeFill="background2"/>
          </w:tcPr>
          <w:p w14:paraId="52251B71" w14:textId="675D0281" w:rsidR="004F6F46" w:rsidRPr="000D1284" w:rsidRDefault="004F6F46" w:rsidP="00E02E4D">
            <w:pPr>
              <w:pStyle w:val="BoxHeading"/>
            </w:pPr>
            <w:r>
              <w:t>Questions</w:t>
            </w:r>
          </w:p>
          <w:p w14:paraId="17889730" w14:textId="77777777" w:rsidR="004F6F46" w:rsidRDefault="004F6F46" w:rsidP="00E02E4D">
            <w:pPr>
              <w:pStyle w:val="OutlineNumbered1"/>
              <w:ind w:left="522" w:hanging="522"/>
            </w:pPr>
            <w:r>
              <w:t xml:space="preserve">Are these principles reasonable? </w:t>
            </w:r>
            <w:r w:rsidR="006A33D1">
              <w:t>If you don’t agree with one or more of them, please provide reasons.</w:t>
            </w:r>
          </w:p>
          <w:p w14:paraId="0163291B" w14:textId="18CB1832" w:rsidR="005F7915" w:rsidRDefault="005F7915" w:rsidP="00E02E4D">
            <w:pPr>
              <w:pStyle w:val="OutlineNumbered1"/>
            </w:pPr>
            <w:r>
              <w:t xml:space="preserve">Should the Commissioner of Taxation have the ability, following notification </w:t>
            </w:r>
            <w:r w:rsidR="00592852">
              <w:t>by a</w:t>
            </w:r>
            <w:r w:rsidR="008102E9">
              <w:t xml:space="preserve"> giving </w:t>
            </w:r>
            <w:r w:rsidR="00592852">
              <w:t xml:space="preserve">fund of its intention to </w:t>
            </w:r>
            <w:r w:rsidR="00CA31C0">
              <w:t>smooth distributions, to direct the fund to instead make the required minimum distribution in each year?</w:t>
            </w:r>
            <w:r w:rsidR="00FE14EB">
              <w:t xml:space="preserve"> </w:t>
            </w:r>
            <w:r w:rsidR="008C4089">
              <w:t>(</w:t>
            </w:r>
            <w:r w:rsidR="0023664E">
              <w:t xml:space="preserve">A fund would be able to object to </w:t>
            </w:r>
            <w:r w:rsidR="00801DD9">
              <w:t>a direction.</w:t>
            </w:r>
            <w:r w:rsidR="008C4089">
              <w:t>)</w:t>
            </w:r>
          </w:p>
          <w:p w14:paraId="1D727954" w14:textId="57F6930C" w:rsidR="000B2BC1" w:rsidRDefault="000B2BC1" w:rsidP="00E02E4D">
            <w:pPr>
              <w:pStyle w:val="OutlineNumbered1"/>
            </w:pPr>
            <w:r>
              <w:t xml:space="preserve">If </w:t>
            </w:r>
            <w:r w:rsidR="00410229">
              <w:t>the Commissioner is given the power to direct a fund to</w:t>
            </w:r>
            <w:r w:rsidR="006F646B">
              <w:t xml:space="preserve"> instead</w:t>
            </w:r>
            <w:r w:rsidR="00410229">
              <w:t xml:space="preserve"> make the minimum </w:t>
            </w:r>
            <w:r w:rsidR="00EB6BBF">
              <w:t xml:space="preserve">annual </w:t>
            </w:r>
            <w:r w:rsidR="00410229">
              <w:t>distribution, what factors should the Commissioner be required to take into account before giv</w:t>
            </w:r>
            <w:r w:rsidR="00930D1D">
              <w:t>ing</w:t>
            </w:r>
            <w:r w:rsidR="00410229">
              <w:t xml:space="preserve"> the direction?</w:t>
            </w:r>
            <w:r w:rsidR="005019EF">
              <w:t xml:space="preserve"> Examples are the fund’s </w:t>
            </w:r>
            <w:r w:rsidR="006F646B">
              <w:t xml:space="preserve">reasons for smoothing, </w:t>
            </w:r>
            <w:r w:rsidR="005019EF">
              <w:t>past compliance with minimum distribution requirements</w:t>
            </w:r>
            <w:r w:rsidR="00716319">
              <w:t xml:space="preserve"> and </w:t>
            </w:r>
            <w:r w:rsidR="00692260">
              <w:t>the ability of the fund to m</w:t>
            </w:r>
            <w:r w:rsidR="00BC32B8">
              <w:t>ake</w:t>
            </w:r>
            <w:r w:rsidR="00692260">
              <w:t xml:space="preserve"> a </w:t>
            </w:r>
            <w:r w:rsidR="006C4DCB">
              <w:t>distribution larger than the minimum in a year.</w:t>
            </w:r>
          </w:p>
          <w:p w14:paraId="500F00E2" w14:textId="5F2649C3" w:rsidR="00B61EE0" w:rsidRDefault="00B61EE0" w:rsidP="00E02E4D">
            <w:pPr>
              <w:pStyle w:val="OutlineNumbered1"/>
            </w:pPr>
            <w:r>
              <w:t>Should a</w:t>
            </w:r>
            <w:r w:rsidR="008102E9">
              <w:t xml:space="preserve"> giving</w:t>
            </w:r>
            <w:r>
              <w:t xml:space="preserve"> fund be able to access distribution smoothing </w:t>
            </w:r>
            <w:r w:rsidR="00211DC0">
              <w:t>if it has never previously made a distribution?</w:t>
            </w:r>
            <w:r w:rsidR="002B19E7">
              <w:t xml:space="preserve"> </w:t>
            </w:r>
            <w:r w:rsidR="00B611DB">
              <w:t xml:space="preserve">For example, a </w:t>
            </w:r>
            <w:r w:rsidR="007B59AA">
              <w:t>PuGF</w:t>
            </w:r>
            <w:r w:rsidR="00B611DB">
              <w:t xml:space="preserve"> that</w:t>
            </w:r>
            <w:r w:rsidR="004F7B4B">
              <w:t xml:space="preserve"> is not required to and, in fact,</w:t>
            </w:r>
            <w:r w:rsidR="00B611DB">
              <w:t xml:space="preserve"> has not made a distribution in the four years following its establishment </w:t>
            </w:r>
            <w:r w:rsidR="004F7B4B">
              <w:t>might want to smooth distributions over the first three years in which it is required to make distributions.</w:t>
            </w:r>
          </w:p>
          <w:p w14:paraId="749A9830" w14:textId="009DADEF" w:rsidR="006A33D1" w:rsidRPr="000D1284" w:rsidRDefault="008F03C5" w:rsidP="00E02E4D">
            <w:pPr>
              <w:pStyle w:val="OutlineNumbered1"/>
            </w:pPr>
            <w:r>
              <w:t>Are there other principles for smoothing that should be reflected in the guidelines</w:t>
            </w:r>
            <w:r w:rsidR="00A72A51">
              <w:t>?</w:t>
            </w:r>
          </w:p>
        </w:tc>
      </w:tr>
    </w:tbl>
    <w:p w14:paraId="4F91FF4B" w14:textId="77777777" w:rsidR="00E37E1F" w:rsidRDefault="00E37E1F" w:rsidP="00B0655F">
      <w:pPr>
        <w:pStyle w:val="Heading2"/>
      </w:pPr>
      <w:r>
        <w:br w:type="page"/>
      </w:r>
    </w:p>
    <w:p w14:paraId="2ACE78CA" w14:textId="4560D184" w:rsidR="00853188" w:rsidRDefault="00B0655F" w:rsidP="00B0655F">
      <w:pPr>
        <w:pStyle w:val="Heading2"/>
      </w:pPr>
      <w:bookmarkStart w:id="21" w:name="_Toc200002577"/>
      <w:r>
        <w:t xml:space="preserve">Appendix: the hypothetical </w:t>
      </w:r>
      <w:r w:rsidR="008102E9">
        <w:t>giving</w:t>
      </w:r>
      <w:r>
        <w:t xml:space="preserve"> fund</w:t>
      </w:r>
      <w:bookmarkEnd w:id="21"/>
    </w:p>
    <w:p w14:paraId="74EC250D" w14:textId="097CA4E0" w:rsidR="00CC1F0E" w:rsidRDefault="00CC1F0E" w:rsidP="00CC1F0E">
      <w:r>
        <w:t xml:space="preserve">The hypothetical </w:t>
      </w:r>
      <w:r w:rsidR="007B59AA">
        <w:t>PGF</w:t>
      </w:r>
      <w:r w:rsidR="00E22FD3">
        <w:t xml:space="preserve"> </w:t>
      </w:r>
      <w:r>
        <w:t>discussed in this discussion paper has the following asset allocation:</w:t>
      </w:r>
    </w:p>
    <w:tbl>
      <w:tblPr>
        <w:tblW w:w="5000" w:type="pct"/>
        <w:tblLook w:val="01E0" w:firstRow="1" w:lastRow="1" w:firstColumn="1" w:lastColumn="1" w:noHBand="0" w:noVBand="0"/>
        <w:tblCaption w:val="Asset allocation for the hypothetical private ancillary fund"/>
        <w:tblDescription w:val="This table sets out the asset allocation for the hypothetical ancillary fund analysed in this discusion paper. The asset allocations are Australian shares 25 per cent, United States shares 20 per cent, other international shares 15 per cent, Australian property 20 per cent, Australian bonds 10 per cent, and cash 10 per cent."/>
      </w:tblPr>
      <w:tblGrid>
        <w:gridCol w:w="4535"/>
        <w:gridCol w:w="4535"/>
      </w:tblGrid>
      <w:tr w:rsidR="00CC1F0E" w14:paraId="585E11FC" w14:textId="77777777" w:rsidTr="002372A6">
        <w:trPr>
          <w:tblHeader/>
        </w:trPr>
        <w:tc>
          <w:tcPr>
            <w:tcW w:w="2500" w:type="pct"/>
            <w:shd w:val="clear" w:color="auto" w:fill="E5E5E5"/>
          </w:tcPr>
          <w:p w14:paraId="5B9BB27E" w14:textId="7FE0DB41" w:rsidR="00085DB9" w:rsidRDefault="00CC1F0E" w:rsidP="006C45C3">
            <w:pPr>
              <w:pStyle w:val="TableTextLeft"/>
            </w:pPr>
            <w:r>
              <w:br w:type="page"/>
              <w:t>Asset class</w:t>
            </w:r>
          </w:p>
        </w:tc>
        <w:tc>
          <w:tcPr>
            <w:tcW w:w="2500" w:type="pct"/>
            <w:shd w:val="clear" w:color="auto" w:fill="E5E5E5"/>
          </w:tcPr>
          <w:p w14:paraId="7F1B60D0" w14:textId="06562A6C" w:rsidR="00CC1F0E" w:rsidRDefault="00CC1F0E" w:rsidP="006C45C3">
            <w:pPr>
              <w:pStyle w:val="TableTextLeft"/>
            </w:pPr>
            <w:r>
              <w:t>Percentage allocation</w:t>
            </w:r>
          </w:p>
        </w:tc>
      </w:tr>
      <w:tr w:rsidR="00CC1F0E" w14:paraId="5A0B6B0A" w14:textId="77777777" w:rsidTr="002372A6">
        <w:tc>
          <w:tcPr>
            <w:tcW w:w="2500" w:type="pct"/>
          </w:tcPr>
          <w:p w14:paraId="2BE4C54B" w14:textId="22C0FB11" w:rsidR="00CC1F0E" w:rsidRDefault="00302F37" w:rsidP="006C45C3">
            <w:pPr>
              <w:pStyle w:val="TableTextLeft"/>
            </w:pPr>
            <w:r>
              <w:t>Australian shares</w:t>
            </w:r>
          </w:p>
        </w:tc>
        <w:tc>
          <w:tcPr>
            <w:tcW w:w="2500" w:type="pct"/>
          </w:tcPr>
          <w:p w14:paraId="0271926F" w14:textId="60498849" w:rsidR="00CC1F0E" w:rsidRDefault="00302F37" w:rsidP="006C45C3">
            <w:pPr>
              <w:pStyle w:val="TableTextLeft"/>
            </w:pPr>
            <w:r>
              <w:t>25</w:t>
            </w:r>
          </w:p>
        </w:tc>
      </w:tr>
      <w:tr w:rsidR="00302F37" w14:paraId="69A932D4" w14:textId="77777777" w:rsidTr="002372A6">
        <w:tc>
          <w:tcPr>
            <w:tcW w:w="2500" w:type="pct"/>
          </w:tcPr>
          <w:p w14:paraId="490CD2F8" w14:textId="2542AD10" w:rsidR="00302F37" w:rsidRDefault="00302F37" w:rsidP="006C45C3">
            <w:pPr>
              <w:pStyle w:val="TableTextLeft"/>
            </w:pPr>
            <w:r>
              <w:t>US shares</w:t>
            </w:r>
          </w:p>
        </w:tc>
        <w:tc>
          <w:tcPr>
            <w:tcW w:w="2500" w:type="pct"/>
          </w:tcPr>
          <w:p w14:paraId="0C0652F5" w14:textId="619EF63E" w:rsidR="00302F37" w:rsidRDefault="00302F37" w:rsidP="006C45C3">
            <w:pPr>
              <w:pStyle w:val="TableTextLeft"/>
            </w:pPr>
            <w:r>
              <w:t>20</w:t>
            </w:r>
          </w:p>
        </w:tc>
      </w:tr>
      <w:tr w:rsidR="00302F37" w14:paraId="158E29BA" w14:textId="77777777" w:rsidTr="002372A6">
        <w:tc>
          <w:tcPr>
            <w:tcW w:w="2500" w:type="pct"/>
          </w:tcPr>
          <w:p w14:paraId="2A152421" w14:textId="2A1D03E5" w:rsidR="00302F37" w:rsidRDefault="00302F37" w:rsidP="006C45C3">
            <w:pPr>
              <w:pStyle w:val="TableTextLeft"/>
            </w:pPr>
            <w:r>
              <w:t>Other international shares</w:t>
            </w:r>
          </w:p>
        </w:tc>
        <w:tc>
          <w:tcPr>
            <w:tcW w:w="2500" w:type="pct"/>
          </w:tcPr>
          <w:p w14:paraId="0817D68A" w14:textId="69D15A78" w:rsidR="00302F37" w:rsidRDefault="00302F37" w:rsidP="006C45C3">
            <w:pPr>
              <w:pStyle w:val="TableTextLeft"/>
            </w:pPr>
            <w:r>
              <w:t>15</w:t>
            </w:r>
          </w:p>
        </w:tc>
      </w:tr>
      <w:tr w:rsidR="00302F37" w14:paraId="2F2BC179" w14:textId="77777777" w:rsidTr="002372A6">
        <w:tc>
          <w:tcPr>
            <w:tcW w:w="2500" w:type="pct"/>
          </w:tcPr>
          <w:p w14:paraId="114C9C25" w14:textId="4DD1EF52" w:rsidR="00302F37" w:rsidRDefault="00302F37" w:rsidP="006C45C3">
            <w:pPr>
              <w:pStyle w:val="TableTextLeft"/>
            </w:pPr>
            <w:r>
              <w:t>Australian property</w:t>
            </w:r>
          </w:p>
        </w:tc>
        <w:tc>
          <w:tcPr>
            <w:tcW w:w="2500" w:type="pct"/>
          </w:tcPr>
          <w:p w14:paraId="430EF076" w14:textId="751566A5" w:rsidR="00302F37" w:rsidRDefault="009E3E5F" w:rsidP="006C45C3">
            <w:pPr>
              <w:pStyle w:val="TableTextLeft"/>
            </w:pPr>
            <w:r>
              <w:t>20</w:t>
            </w:r>
          </w:p>
        </w:tc>
      </w:tr>
      <w:tr w:rsidR="009E3E5F" w14:paraId="084F38B6" w14:textId="77777777" w:rsidTr="002372A6">
        <w:tc>
          <w:tcPr>
            <w:tcW w:w="2500" w:type="pct"/>
          </w:tcPr>
          <w:p w14:paraId="084B8858" w14:textId="4835DDB7" w:rsidR="009E3E5F" w:rsidRDefault="009E3E5F" w:rsidP="006C45C3">
            <w:pPr>
              <w:pStyle w:val="TableTextLeft"/>
            </w:pPr>
            <w:r>
              <w:t>Australian bonds</w:t>
            </w:r>
          </w:p>
        </w:tc>
        <w:tc>
          <w:tcPr>
            <w:tcW w:w="2500" w:type="pct"/>
          </w:tcPr>
          <w:p w14:paraId="54BA40A7" w14:textId="331A09AA" w:rsidR="009E3E5F" w:rsidRDefault="009E3E5F" w:rsidP="006C45C3">
            <w:pPr>
              <w:pStyle w:val="TableTextLeft"/>
            </w:pPr>
            <w:r>
              <w:t>10</w:t>
            </w:r>
          </w:p>
        </w:tc>
      </w:tr>
      <w:tr w:rsidR="009E3E5F" w14:paraId="52CC6F71" w14:textId="77777777" w:rsidTr="002372A6">
        <w:tc>
          <w:tcPr>
            <w:tcW w:w="2500" w:type="pct"/>
          </w:tcPr>
          <w:p w14:paraId="6515F3E3" w14:textId="1270563C" w:rsidR="009E3E5F" w:rsidRDefault="009E3E5F" w:rsidP="006C45C3">
            <w:pPr>
              <w:pStyle w:val="TableTextLeft"/>
            </w:pPr>
            <w:r>
              <w:t>Cash</w:t>
            </w:r>
          </w:p>
        </w:tc>
        <w:tc>
          <w:tcPr>
            <w:tcW w:w="2500" w:type="pct"/>
          </w:tcPr>
          <w:p w14:paraId="163A39E9" w14:textId="48C3B285" w:rsidR="009E3E5F" w:rsidRDefault="009E3E5F" w:rsidP="006C45C3">
            <w:pPr>
              <w:pStyle w:val="TableTextLeft"/>
            </w:pPr>
            <w:r>
              <w:t>10</w:t>
            </w:r>
          </w:p>
        </w:tc>
      </w:tr>
    </w:tbl>
    <w:p w14:paraId="5B22D8A2" w14:textId="0C2721F1" w:rsidR="00A736F9" w:rsidRDefault="001B1843" w:rsidP="00CC1F0E">
      <w:r>
        <w:t>It is assumed the fund makes</w:t>
      </w:r>
      <w:r w:rsidR="00085DB9">
        <w:t xml:space="preserve"> only</w:t>
      </w:r>
      <w:r>
        <w:t xml:space="preserve"> the minimum required annual distribution each year, </w:t>
      </w:r>
      <w:r w:rsidR="008009F1">
        <w:t xml:space="preserve">the distribution is cash or equivalents, </w:t>
      </w:r>
      <w:r>
        <w:t>and that the distribution is made on July 1 in the relevant financial year. This removes the distribution from the calculation of asset returns in that year.</w:t>
      </w:r>
      <w:r w:rsidR="00575B4D">
        <w:t xml:space="preserve"> The fund is assumed to have no liabilities.</w:t>
      </w:r>
    </w:p>
    <w:p w14:paraId="58031A34" w14:textId="79C20481" w:rsidR="000409DA" w:rsidRDefault="000409DA" w:rsidP="00CC1F0E">
      <w:r>
        <w:t xml:space="preserve">The value of each asset class is reduced by the </w:t>
      </w:r>
      <w:r w:rsidR="0020348A">
        <w:t xml:space="preserve">distribution percentage. Treasury acknowledges this scenario is artificial, in that in any given year </w:t>
      </w:r>
      <w:r w:rsidR="005F6ECF">
        <w:t xml:space="preserve">certain </w:t>
      </w:r>
      <w:r w:rsidR="0020348A">
        <w:t xml:space="preserve">assets </w:t>
      </w:r>
      <w:r w:rsidR="00465C14">
        <w:t>might</w:t>
      </w:r>
      <w:r w:rsidR="0020348A">
        <w:t xml:space="preserve"> not be liquidated to make the </w:t>
      </w:r>
      <w:r w:rsidR="005F6ECF">
        <w:t>fund’s distribution</w:t>
      </w:r>
      <w:r w:rsidR="0020348A">
        <w:t>.</w:t>
      </w:r>
    </w:p>
    <w:p w14:paraId="6A5B452A" w14:textId="7C3071D5" w:rsidR="0020348A" w:rsidRDefault="0020348A" w:rsidP="00CC1F0E">
      <w:r>
        <w:t xml:space="preserve">An administration fee of </w:t>
      </w:r>
      <w:r w:rsidR="0000145A">
        <w:t>1.056 per cent of asset value is deducted from the fund</w:t>
      </w:r>
      <w:r w:rsidR="00203EDB">
        <w:t>’</w:t>
      </w:r>
      <w:r w:rsidR="0000145A">
        <w:t>s assets each year. This value is the maximum administration fee permitted to be charged by a licensed trustee company when acting as trustee of a charitable trust</w:t>
      </w:r>
      <w:r w:rsidR="00DB1DB3">
        <w:t>. Real world administration fees might be lower.</w:t>
      </w:r>
      <w:r w:rsidR="00527F3B">
        <w:t xml:space="preserve"> </w:t>
      </w:r>
    </w:p>
    <w:p w14:paraId="6B9E98EB" w14:textId="07E78950" w:rsidR="00846D7E" w:rsidRDefault="00500D16" w:rsidP="00CC1F0E">
      <w:r>
        <w:t xml:space="preserve">The investment returns are calculated </w:t>
      </w:r>
      <w:r w:rsidR="001B1843">
        <w:t xml:space="preserve">from the annual percentage return as of June 30 </w:t>
      </w:r>
      <w:r w:rsidR="00091AC6">
        <w:t xml:space="preserve">taken from </w:t>
      </w:r>
      <w:r w:rsidR="00223348">
        <w:t xml:space="preserve">the </w:t>
      </w:r>
      <w:hyperlink r:id="rId25" w:history="1">
        <w:r w:rsidR="00223348" w:rsidRPr="00B90B8B">
          <w:rPr>
            <w:rStyle w:val="Hyperlink"/>
          </w:rPr>
          <w:t xml:space="preserve">Vanguard </w:t>
        </w:r>
        <w:r w:rsidR="00B90B8B" w:rsidRPr="00B90B8B">
          <w:rPr>
            <w:rStyle w:val="Hyperlink"/>
          </w:rPr>
          <w:t>Investments website</w:t>
        </w:r>
      </w:hyperlink>
      <w:r w:rsidR="00B90B8B">
        <w:t xml:space="preserve">, </w:t>
      </w:r>
      <w:r w:rsidR="00091AC6">
        <w:t xml:space="preserve">accessed </w:t>
      </w:r>
      <w:r>
        <w:t>29 January 2025.</w:t>
      </w:r>
      <w:r w:rsidR="00B90B8B">
        <w:rPr>
          <w:rStyle w:val="FootnoteReference"/>
        </w:rPr>
        <w:footnoteReference w:id="10"/>
      </w:r>
      <w:r w:rsidR="003C0FD3">
        <w:t xml:space="preserve"> Dividends are assumed to be reinvested.</w:t>
      </w:r>
    </w:p>
    <w:p w14:paraId="51059CA0" w14:textId="5DC8F2BA" w:rsidR="001B1843" w:rsidRDefault="00816E9E" w:rsidP="00CC1F0E">
      <w:r>
        <w:t xml:space="preserve">The analysis ignores the effect of </w:t>
      </w:r>
      <w:r w:rsidR="00D97E37">
        <w:t xml:space="preserve">refundable franking credits for </w:t>
      </w:r>
      <w:r w:rsidR="0072032A">
        <w:t>giving</w:t>
      </w:r>
      <w:r w:rsidR="00D97E37">
        <w:t xml:space="preserve"> funds that are charities.</w:t>
      </w:r>
    </w:p>
    <w:p w14:paraId="1261E231" w14:textId="2AEAED05" w:rsidR="00F47870" w:rsidRPr="00DF3F2D" w:rsidRDefault="00F47870" w:rsidP="00CC1F0E">
      <w:r>
        <w:t>Constant 1979</w:t>
      </w:r>
      <w:r>
        <w:noBreakHyphen/>
        <w:t xml:space="preserve">80 dollars calculation used </w:t>
      </w:r>
      <w:r w:rsidR="0075236C">
        <w:t>CPI data for the June quarter from</w:t>
      </w:r>
      <w:r w:rsidR="006B13F5">
        <w:t xml:space="preserve"> </w:t>
      </w:r>
      <w:r w:rsidR="00794731">
        <w:t xml:space="preserve">the </w:t>
      </w:r>
      <w:r w:rsidR="00C16CD7">
        <w:t xml:space="preserve">December 2024 quarter release of the </w:t>
      </w:r>
      <w:r w:rsidR="00794731">
        <w:t>data series</w:t>
      </w:r>
      <w:r w:rsidR="0075236C">
        <w:t xml:space="preserve"> </w:t>
      </w:r>
      <w:r w:rsidR="00DF3F2D">
        <w:rPr>
          <w:i/>
          <w:iCs/>
        </w:rPr>
        <w:t>Percentage change f</w:t>
      </w:r>
      <w:r w:rsidR="00B25F64">
        <w:rPr>
          <w:i/>
          <w:iCs/>
        </w:rPr>
        <w:t>ro</w:t>
      </w:r>
      <w:r w:rsidR="00DF3F2D">
        <w:rPr>
          <w:i/>
          <w:iCs/>
        </w:rPr>
        <w:t>m corresponding quarter of previous year</w:t>
      </w:r>
      <w:r w:rsidR="002C5371">
        <w:rPr>
          <w:i/>
          <w:iCs/>
        </w:rPr>
        <w:t>;</w:t>
      </w:r>
      <w:r w:rsidR="00DF3F2D">
        <w:rPr>
          <w:i/>
          <w:iCs/>
        </w:rPr>
        <w:t xml:space="preserve"> all groups</w:t>
      </w:r>
      <w:r w:rsidR="00794731">
        <w:rPr>
          <w:i/>
          <w:iCs/>
        </w:rPr>
        <w:t xml:space="preserve"> CPI</w:t>
      </w:r>
      <w:r w:rsidR="002C5371">
        <w:rPr>
          <w:i/>
          <w:iCs/>
        </w:rPr>
        <w:t>;</w:t>
      </w:r>
      <w:r w:rsidR="00DF3F2D">
        <w:rPr>
          <w:i/>
          <w:iCs/>
        </w:rPr>
        <w:t xml:space="preserve"> Australia</w:t>
      </w:r>
      <w:r w:rsidR="00AF7A2E">
        <w:t>.</w:t>
      </w:r>
      <w:r w:rsidR="00A22A56">
        <w:rPr>
          <w:rStyle w:val="FootnoteReference"/>
        </w:rPr>
        <w:footnoteReference w:id="11"/>
      </w:r>
    </w:p>
    <w:sectPr w:rsidR="00F47870" w:rsidRPr="00DF3F2D" w:rsidSect="002C2082">
      <w:headerReference w:type="even" r:id="rId26"/>
      <w:headerReference w:type="default" r:id="rId27"/>
      <w:footerReference w:type="even" r:id="rId28"/>
      <w:footerReference w:type="default" r:id="rId29"/>
      <w:headerReference w:type="first" r:id="rId30"/>
      <w:footerReference w:type="first" r:id="rId31"/>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06EA" w14:textId="77777777" w:rsidR="00AD1E03" w:rsidRDefault="00AD1E03">
      <w:pPr>
        <w:spacing w:before="0" w:after="0"/>
      </w:pPr>
      <w:r>
        <w:separator/>
      </w:r>
    </w:p>
  </w:endnote>
  <w:endnote w:type="continuationSeparator" w:id="0">
    <w:p w14:paraId="6999CB54" w14:textId="77777777" w:rsidR="00AD1E03" w:rsidRDefault="00AD1E03">
      <w:pPr>
        <w:spacing w:before="0" w:after="0"/>
      </w:pPr>
      <w:r>
        <w:continuationSeparator/>
      </w:r>
    </w:p>
  </w:endnote>
  <w:endnote w:type="continuationNotice" w:id="1">
    <w:p w14:paraId="2563730A" w14:textId="77777777" w:rsidR="00AD1E03" w:rsidRDefault="00AD1E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0341"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2D8" w14:textId="77777777" w:rsidR="009927E5" w:rsidRPr="008043EA" w:rsidRDefault="009927E5" w:rsidP="0009151A">
    <w:r w:rsidRPr="00742366">
      <w:rPr>
        <w:noProof/>
      </w:rPr>
      <w:drawing>
        <wp:anchor distT="0" distB="0" distL="114300" distR="114300" simplePos="0" relativeHeight="251658241" behindDoc="1" locked="1" layoutInCell="1" allowOverlap="1" wp14:anchorId="269163AC" wp14:editId="5CAD87E9">
          <wp:simplePos x="0" y="0"/>
          <wp:positionH relativeFrom="margin">
            <wp:posOffset>5459095</wp:posOffset>
          </wp:positionH>
          <wp:positionV relativeFrom="page">
            <wp:posOffset>3280410</wp:posOffset>
          </wp:positionV>
          <wp:extent cx="7574280" cy="1043940"/>
          <wp:effectExtent l="7620" t="0" r="0" b="0"/>
          <wp:wrapNone/>
          <wp:docPr id="1261037494" name="Picture 1261037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15585" name="Picture 206151558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DE8AACB" wp14:editId="1A7C7F2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313956336" name="Picture 1313956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70487" name="Picture 190177048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311EA2">
        <w:rPr>
          <w:noProof/>
        </w:rPr>
        <w:t>Using Treasury templates</w:t>
      </w:r>
    </w:fldSimple>
    <w:r>
      <w:t xml:space="preserve"> | </w:t>
    </w:r>
    <w:r>
      <w:fldChar w:fldCharType="begin"/>
    </w:r>
    <w:r>
      <w:instrText xml:space="preserve"> PAGE   \* MERGEFORMAT </w:instrText>
    </w:r>
    <w:r>
      <w:fldChar w:fldCharType="separate"/>
    </w:r>
    <w:r>
      <w:t>1</w:t>
    </w:r>
    <w:r>
      <w:fldChar w:fldCharType="end"/>
    </w:r>
  </w:p>
  <w:p w14:paraId="3B28C02C"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7E9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A9A" w14:textId="41EB4E31" w:rsidR="00E81A40" w:rsidRPr="00E13E90" w:rsidRDefault="00E81A40" w:rsidP="00E13E90">
    <w:pPr>
      <w:pStyle w:val="Footer"/>
    </w:pPr>
    <w:r w:rsidRPr="00742366">
      <w:drawing>
        <wp:anchor distT="0" distB="0" distL="114300" distR="114300" simplePos="0" relativeHeight="251658243" behindDoc="1" locked="1" layoutInCell="1" allowOverlap="1" wp14:anchorId="31C3C6F3" wp14:editId="3B9D237C">
          <wp:simplePos x="0" y="0"/>
          <wp:positionH relativeFrom="margin">
            <wp:posOffset>5459095</wp:posOffset>
          </wp:positionH>
          <wp:positionV relativeFrom="page">
            <wp:posOffset>3280410</wp:posOffset>
          </wp:positionV>
          <wp:extent cx="7574280" cy="1043940"/>
          <wp:effectExtent l="7620" t="0" r="0" b="0"/>
          <wp:wrapNone/>
          <wp:docPr id="1775619911" name="Picture 1775619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19911" name="Picture 17756199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6F4085" wp14:editId="614B3220">
          <wp:extent cx="1324800" cy="201600"/>
          <wp:effectExtent l="0" t="0" r="0" b="8255"/>
          <wp:docPr id="1327988821" name="Picture 1327988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88821" name="Picture 13279888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E97313">
        <w:t>Giving fund reform: distribution rate and smoothing</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252B"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3C4F" w14:textId="77777777" w:rsidR="00AD1E03" w:rsidRDefault="00AD1E03">
      <w:pPr>
        <w:spacing w:before="0" w:after="0"/>
      </w:pPr>
      <w:r>
        <w:separator/>
      </w:r>
    </w:p>
  </w:footnote>
  <w:footnote w:type="continuationSeparator" w:id="0">
    <w:p w14:paraId="2F08392B" w14:textId="77777777" w:rsidR="00AD1E03" w:rsidRDefault="00AD1E03">
      <w:pPr>
        <w:spacing w:before="0" w:after="0"/>
      </w:pPr>
      <w:r>
        <w:continuationSeparator/>
      </w:r>
    </w:p>
  </w:footnote>
  <w:footnote w:type="continuationNotice" w:id="1">
    <w:p w14:paraId="4FFB5805" w14:textId="77777777" w:rsidR="00AD1E03" w:rsidRDefault="00AD1E03">
      <w:pPr>
        <w:spacing w:before="0" w:after="0"/>
      </w:pPr>
    </w:p>
  </w:footnote>
  <w:footnote w:id="2">
    <w:p w14:paraId="11177A17" w14:textId="33363E3C" w:rsidR="00255185" w:rsidRPr="00255185" w:rsidRDefault="00255185">
      <w:pPr>
        <w:pStyle w:val="FootnoteText"/>
      </w:pPr>
      <w:r>
        <w:rPr>
          <w:rStyle w:val="FootnoteReference"/>
        </w:rPr>
        <w:footnoteRef/>
      </w:r>
      <w:r>
        <w:t xml:space="preserve"> </w:t>
      </w:r>
      <w:r w:rsidR="00D57590">
        <w:tab/>
      </w:r>
      <w:r>
        <w:t>The latter DGRs are known as ‘item 1’ DGRs as they are described in item 1 of the table at section 30</w:t>
      </w:r>
      <w:r>
        <w:noBreakHyphen/>
        <w:t xml:space="preserve">15 of the </w:t>
      </w:r>
      <w:r>
        <w:rPr>
          <w:i/>
          <w:iCs/>
        </w:rPr>
        <w:t>Income Tax Assessment Act 1997</w:t>
      </w:r>
      <w:r>
        <w:t xml:space="preserve">. For a similar reason, </w:t>
      </w:r>
      <w:r w:rsidR="001127C9">
        <w:t>giving</w:t>
      </w:r>
      <w:r>
        <w:t xml:space="preserve"> funds are known as ‘item 2’ DGRs.</w:t>
      </w:r>
    </w:p>
  </w:footnote>
  <w:footnote w:id="3">
    <w:p w14:paraId="2883FC87" w14:textId="29590A9D" w:rsidR="008B564A" w:rsidRDefault="008B564A">
      <w:pPr>
        <w:pStyle w:val="FootnoteText"/>
      </w:pPr>
      <w:r>
        <w:rPr>
          <w:rStyle w:val="FootnoteReference"/>
        </w:rPr>
        <w:footnoteRef/>
      </w:r>
      <w:r>
        <w:t xml:space="preserve"> </w:t>
      </w:r>
      <w:r>
        <w:tab/>
      </w:r>
      <w:r w:rsidR="00F6010D">
        <w:t xml:space="preserve">These are described </w:t>
      </w:r>
      <w:r w:rsidR="001E17F3">
        <w:t xml:space="preserve">in the tax law as public ancillary funds and private ancillary funds. The government plans to amend </w:t>
      </w:r>
      <w:r w:rsidR="00B3757C">
        <w:t>the names in the tax law.</w:t>
      </w:r>
      <w:r w:rsidR="001E17F3">
        <w:t xml:space="preserve"> </w:t>
      </w:r>
    </w:p>
  </w:footnote>
  <w:footnote w:id="4">
    <w:p w14:paraId="442B4B81" w14:textId="1C592255" w:rsidR="00255185" w:rsidRDefault="00255185" w:rsidP="00255185">
      <w:pPr>
        <w:pStyle w:val="FootnoteText"/>
      </w:pPr>
      <w:r>
        <w:rPr>
          <w:rStyle w:val="FootnoteReference"/>
        </w:rPr>
        <w:footnoteRef/>
      </w:r>
      <w:r>
        <w:t xml:space="preserve"> </w:t>
      </w:r>
      <w:r w:rsidR="00D57590">
        <w:tab/>
      </w:r>
      <w:r w:rsidR="009705E8">
        <w:t xml:space="preserve">The government’s announcement is </w:t>
      </w:r>
      <w:hyperlink r:id="rId1" w:history="1">
        <w:r w:rsidR="009705E8" w:rsidRPr="002F73CE">
          <w:rPr>
            <w:rStyle w:val="Hyperlink"/>
          </w:rPr>
          <w:t>available on the Treasury website</w:t>
        </w:r>
      </w:hyperlink>
      <w:r w:rsidR="009705E8">
        <w:t xml:space="preserve">. </w:t>
      </w:r>
    </w:p>
  </w:footnote>
  <w:footnote w:id="5">
    <w:p w14:paraId="4BFC6E00" w14:textId="22118B75" w:rsidR="00255185" w:rsidRDefault="00255185" w:rsidP="00255185">
      <w:pPr>
        <w:pStyle w:val="FootnoteText"/>
      </w:pPr>
      <w:r>
        <w:rPr>
          <w:rStyle w:val="FootnoteReference"/>
        </w:rPr>
        <w:footnoteRef/>
      </w:r>
      <w:r>
        <w:t xml:space="preserve"> </w:t>
      </w:r>
      <w:r w:rsidR="00D57590">
        <w:tab/>
      </w:r>
      <w:r w:rsidR="006A723A">
        <w:t xml:space="preserve">The </w:t>
      </w:r>
      <w:r w:rsidR="006A723A">
        <w:rPr>
          <w:i/>
          <w:iCs/>
        </w:rPr>
        <w:t xml:space="preserve">Future foundations for giving </w:t>
      </w:r>
      <w:r w:rsidR="006A723A">
        <w:t xml:space="preserve">report is </w:t>
      </w:r>
      <w:hyperlink r:id="rId2" w:history="1">
        <w:r w:rsidR="006A723A" w:rsidRPr="006A723A">
          <w:rPr>
            <w:rStyle w:val="Hyperlink"/>
          </w:rPr>
          <w:t>available on the Productivity Commission website</w:t>
        </w:r>
      </w:hyperlink>
      <w:r w:rsidR="006A723A">
        <w:t xml:space="preserve">. </w:t>
      </w:r>
    </w:p>
  </w:footnote>
  <w:footnote w:id="6">
    <w:p w14:paraId="6ED457B7" w14:textId="77A04695" w:rsidR="00A15BF3" w:rsidRDefault="00A15BF3">
      <w:pPr>
        <w:pStyle w:val="FootnoteText"/>
      </w:pPr>
      <w:r>
        <w:rPr>
          <w:rStyle w:val="FootnoteReference"/>
        </w:rPr>
        <w:footnoteRef/>
      </w:r>
      <w:r>
        <w:t xml:space="preserve"> </w:t>
      </w:r>
      <w:r>
        <w:tab/>
      </w:r>
      <w:r w:rsidR="002F73CE">
        <w:t xml:space="preserve">The principles </w:t>
      </w:r>
      <w:r w:rsidR="00C131C0">
        <w:t xml:space="preserve">for </w:t>
      </w:r>
      <w:r w:rsidR="00DB13A7">
        <w:t>giving</w:t>
      </w:r>
      <w:r w:rsidR="00C131C0">
        <w:t xml:space="preserve"> funds are set out in a</w:t>
      </w:r>
      <w:r w:rsidR="005C29FC">
        <w:t xml:space="preserve"> </w:t>
      </w:r>
      <w:hyperlink r:id="rId3" w:history="1">
        <w:r w:rsidR="00C131C0">
          <w:rPr>
            <w:rStyle w:val="Hyperlink"/>
          </w:rPr>
          <w:t>2008 discussion paper available on the Treasury website</w:t>
        </w:r>
      </w:hyperlink>
      <w:r w:rsidR="00ED221E">
        <w:t>.</w:t>
      </w:r>
      <w:r w:rsidR="003A537E">
        <w:t xml:space="preserve"> </w:t>
      </w:r>
    </w:p>
  </w:footnote>
  <w:footnote w:id="7">
    <w:p w14:paraId="50DD985B" w14:textId="022B43CA" w:rsidR="00310224" w:rsidRDefault="00310224">
      <w:pPr>
        <w:pStyle w:val="FootnoteText"/>
      </w:pPr>
      <w:r>
        <w:rPr>
          <w:rStyle w:val="FootnoteReference"/>
        </w:rPr>
        <w:footnoteRef/>
      </w:r>
      <w:r>
        <w:t xml:space="preserve"> </w:t>
      </w:r>
      <w:r>
        <w:tab/>
        <w:t>The highest marginal tax rate in 1979</w:t>
      </w:r>
      <w:r>
        <w:noBreakHyphen/>
        <w:t xml:space="preserve">80, the year the hypothetical fund was established, was 61.5 per cent. </w:t>
      </w:r>
      <w:r w:rsidR="002059B4">
        <w:t xml:space="preserve">As noted, the purpose of setting that year as the start date of the fund is to allow an analysis of real-world </w:t>
      </w:r>
      <w:r w:rsidR="00F11A18">
        <w:t xml:space="preserve">investment </w:t>
      </w:r>
      <w:r w:rsidR="002059B4">
        <w:t>returns, not the tax settings as they existed then.</w:t>
      </w:r>
    </w:p>
  </w:footnote>
  <w:footnote w:id="8">
    <w:p w14:paraId="418CE64D" w14:textId="76628B99" w:rsidR="00C24EAD" w:rsidRDefault="00C24EAD">
      <w:pPr>
        <w:pStyle w:val="FootnoteText"/>
      </w:pPr>
      <w:r>
        <w:rPr>
          <w:rStyle w:val="FootnoteReference"/>
        </w:rPr>
        <w:footnoteRef/>
      </w:r>
      <w:r>
        <w:t xml:space="preserve"> </w:t>
      </w:r>
      <w:r>
        <w:tab/>
      </w:r>
      <w:r w:rsidR="00FC086A">
        <w:rPr>
          <w:i/>
          <w:iCs/>
        </w:rPr>
        <w:t>Future foundations for giving</w:t>
      </w:r>
      <w:r>
        <w:t xml:space="preserve"> </w:t>
      </w:r>
      <w:r w:rsidR="00D856E1">
        <w:t xml:space="preserve">report, </w:t>
      </w:r>
      <w:r>
        <w:t>p</w:t>
      </w:r>
      <w:r w:rsidR="00D856E1">
        <w:t>age </w:t>
      </w:r>
      <w:r>
        <w:t>285</w:t>
      </w:r>
      <w:r w:rsidR="00FC086A">
        <w:t>.</w:t>
      </w:r>
    </w:p>
  </w:footnote>
  <w:footnote w:id="9">
    <w:p w14:paraId="2B9A54C9" w14:textId="5B0ABD7D" w:rsidR="00C815C2" w:rsidRDefault="00C815C2" w:rsidP="00C815C2">
      <w:pPr>
        <w:pStyle w:val="FootnoteText"/>
      </w:pPr>
      <w:r>
        <w:rPr>
          <w:rStyle w:val="FootnoteReference"/>
        </w:rPr>
        <w:footnoteRef/>
      </w:r>
      <w:r>
        <w:t xml:space="preserve"> </w:t>
      </w:r>
      <w:r>
        <w:tab/>
        <w:t xml:space="preserve">As at </w:t>
      </w:r>
      <w:r w:rsidR="006D1E63">
        <w:t>3 March 2025</w:t>
      </w:r>
      <w:r>
        <w:t>.</w:t>
      </w:r>
      <w:r w:rsidR="002507E2">
        <w:t xml:space="preserve"> This represents the total number of entities endorsed as a</w:t>
      </w:r>
      <w:r w:rsidR="00D450A3">
        <w:t>n item 1</w:t>
      </w:r>
      <w:r w:rsidR="002507E2">
        <w:t xml:space="preserve"> DGR</w:t>
      </w:r>
      <w:r w:rsidR="00DF283F">
        <w:t>, endorsed for the operation</w:t>
      </w:r>
      <w:r w:rsidR="00957C31">
        <w:t xml:space="preserve"> of</w:t>
      </w:r>
      <w:r w:rsidR="00DF283F">
        <w:t xml:space="preserve"> </w:t>
      </w:r>
      <w:r w:rsidR="00CF34FC">
        <w:t>one or more</w:t>
      </w:r>
      <w:r w:rsidR="00DF283F">
        <w:t xml:space="preserve"> fund</w:t>
      </w:r>
      <w:r w:rsidR="00CF34FC">
        <w:t>s</w:t>
      </w:r>
      <w:r w:rsidR="00495CBB">
        <w:t>, authorities or institutions</w:t>
      </w:r>
      <w:r w:rsidR="00DF283F">
        <w:t xml:space="preserve"> that</w:t>
      </w:r>
      <w:r w:rsidR="00D450A3">
        <w:t xml:space="preserve"> are item 1 DGRs</w:t>
      </w:r>
      <w:r w:rsidR="00DF283F">
        <w:t>, or both.</w:t>
      </w:r>
    </w:p>
  </w:footnote>
  <w:footnote w:id="10">
    <w:p w14:paraId="587CB524" w14:textId="30818CDA" w:rsidR="00B90B8B" w:rsidRDefault="00B90B8B">
      <w:pPr>
        <w:pStyle w:val="FootnoteText"/>
      </w:pPr>
      <w:r>
        <w:rPr>
          <w:rStyle w:val="FootnoteReference"/>
        </w:rPr>
        <w:footnoteRef/>
      </w:r>
      <w:r>
        <w:t xml:space="preserve"> </w:t>
      </w:r>
      <w:r>
        <w:tab/>
        <w:t>Treasury</w:t>
      </w:r>
      <w:r w:rsidR="009B3598">
        <w:t>’s use of this data does not imply endorsement.</w:t>
      </w:r>
    </w:p>
  </w:footnote>
  <w:footnote w:id="11">
    <w:p w14:paraId="3EDB3562" w14:textId="549DF9A3" w:rsidR="00A22A56" w:rsidRDefault="00A22A56">
      <w:pPr>
        <w:pStyle w:val="FootnoteText"/>
      </w:pPr>
      <w:r>
        <w:rPr>
          <w:rStyle w:val="FootnoteReference"/>
        </w:rPr>
        <w:footnoteRef/>
      </w:r>
      <w:r>
        <w:t xml:space="preserve"> </w:t>
      </w:r>
      <w:r>
        <w:tab/>
      </w:r>
      <w:r w:rsidR="005F48DC">
        <w:t xml:space="preserve">This data is available </w:t>
      </w:r>
      <w:r w:rsidR="00C935B8">
        <w:t xml:space="preserve">in </w:t>
      </w:r>
      <w:r w:rsidR="002C5371">
        <w:t>Tables 1 and 2</w:t>
      </w:r>
      <w:r w:rsidR="00C935B8">
        <w:t xml:space="preserve"> of the </w:t>
      </w:r>
      <w:hyperlink r:id="rId4" w:history="1">
        <w:r w:rsidR="00C16CD7">
          <w:rPr>
            <w:rStyle w:val="Hyperlink"/>
          </w:rPr>
          <w:t>CPI data downloads available on the Australian Bureau of Statistics website</w:t>
        </w:r>
      </w:hyperlink>
      <w:r w:rsidR="00C935B8">
        <w:t xml:space="preserve"> (</w:t>
      </w:r>
      <w:r>
        <w:t>accessed 10 February 2025</w:t>
      </w:r>
      <w:r w:rsidR="00C935B8">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D496"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55C1"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65AD"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4D75"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0AED3253" wp14:editId="55B1B313">
          <wp:simplePos x="0" y="0"/>
          <wp:positionH relativeFrom="page">
            <wp:align>center</wp:align>
          </wp:positionH>
          <wp:positionV relativeFrom="page">
            <wp:align>top</wp:align>
          </wp:positionV>
          <wp:extent cx="7570800" cy="1044000"/>
          <wp:effectExtent l="0" t="0" r="0" b="3810"/>
          <wp:wrapNone/>
          <wp:docPr id="2058225004" name="Picture 2058225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25004" name="Picture 205822500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93BE"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90F9D"/>
    <w:multiLevelType w:val="multilevel"/>
    <w:tmpl w:val="DE70F1A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0D2021"/>
    <w:multiLevelType w:val="multilevel"/>
    <w:tmpl w:val="72F8140E"/>
    <w:numStyleLink w:val="OutlineList"/>
  </w:abstractNum>
  <w:abstractNum w:abstractNumId="1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7"/>
  </w:num>
  <w:num w:numId="2" w16cid:durableId="1706755449">
    <w:abstractNumId w:val="0"/>
  </w:num>
  <w:num w:numId="3" w16cid:durableId="1834367553">
    <w:abstractNumId w:val="9"/>
  </w:num>
  <w:num w:numId="4" w16cid:durableId="223613474">
    <w:abstractNumId w:val="2"/>
  </w:num>
  <w:num w:numId="5" w16cid:durableId="1304890948">
    <w:abstractNumId w:val="4"/>
  </w:num>
  <w:num w:numId="6" w16cid:durableId="1304693621">
    <w:abstractNumId w:val="10"/>
  </w:num>
  <w:num w:numId="7" w16cid:durableId="729502405">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5"/>
  </w:num>
  <w:num w:numId="9" w16cid:durableId="285694570">
    <w:abstractNumId w:val="1"/>
  </w:num>
  <w:num w:numId="10" w16cid:durableId="1054505672">
    <w:abstractNumId w:val="6"/>
  </w:num>
  <w:num w:numId="11" w16cid:durableId="77561056">
    <w:abstractNumId w:val="12"/>
  </w:num>
  <w:num w:numId="12" w16cid:durableId="137580172">
    <w:abstractNumId w:val="10"/>
  </w:num>
  <w:num w:numId="13" w16cid:durableId="563218727">
    <w:abstractNumId w:val="6"/>
  </w:num>
  <w:num w:numId="14" w16cid:durableId="1777865357">
    <w:abstractNumId w:val="8"/>
  </w:num>
  <w:num w:numId="15" w16cid:durableId="2092387614">
    <w:abstractNumId w:val="6"/>
  </w:num>
  <w:num w:numId="16" w16cid:durableId="91628865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7"/>
  </w:num>
  <w:num w:numId="20" w16cid:durableId="1614626827">
    <w:abstractNumId w:val="7"/>
  </w:num>
  <w:num w:numId="21" w16cid:durableId="1256090870">
    <w:abstractNumId w:val="7"/>
  </w:num>
  <w:num w:numId="22" w16cid:durableId="1351105441">
    <w:abstractNumId w:val="7"/>
  </w:num>
  <w:num w:numId="23" w16cid:durableId="512577066">
    <w:abstractNumId w:val="7"/>
  </w:num>
  <w:num w:numId="24" w16cid:durableId="1491097783">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8"/>
  </w:num>
  <w:num w:numId="26" w16cid:durableId="423962289">
    <w:abstractNumId w:val="5"/>
  </w:num>
  <w:num w:numId="27" w16cid:durableId="124931374">
    <w:abstractNumId w:val="5"/>
  </w:num>
  <w:num w:numId="28" w16cid:durableId="1558320821">
    <w:abstractNumId w:val="5"/>
  </w:num>
  <w:num w:numId="29" w16cid:durableId="818570052">
    <w:abstractNumId w:val="4"/>
  </w:num>
  <w:num w:numId="30" w16cid:durableId="1594774963">
    <w:abstractNumId w:val="9"/>
  </w:num>
  <w:num w:numId="31" w16cid:durableId="860164240">
    <w:abstractNumId w:val="10"/>
  </w:num>
  <w:num w:numId="32" w16cid:durableId="1146824810">
    <w:abstractNumId w:val="10"/>
  </w:num>
  <w:num w:numId="33" w16cid:durableId="144929880">
    <w:abstractNumId w:val="10"/>
  </w:num>
  <w:num w:numId="34" w16cid:durableId="114908659">
    <w:abstractNumId w:val="2"/>
  </w:num>
  <w:num w:numId="35" w16cid:durableId="536553998">
    <w:abstractNumId w:val="6"/>
  </w:num>
  <w:num w:numId="36" w16cid:durableId="101865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A2"/>
    <w:rsid w:val="00000568"/>
    <w:rsid w:val="0000066F"/>
    <w:rsid w:val="00000C19"/>
    <w:rsid w:val="0000145A"/>
    <w:rsid w:val="000018AA"/>
    <w:rsid w:val="00001F26"/>
    <w:rsid w:val="00002E27"/>
    <w:rsid w:val="00003F7E"/>
    <w:rsid w:val="00004D42"/>
    <w:rsid w:val="000054C4"/>
    <w:rsid w:val="00005E46"/>
    <w:rsid w:val="000068DB"/>
    <w:rsid w:val="00006EF6"/>
    <w:rsid w:val="00011111"/>
    <w:rsid w:val="0001129E"/>
    <w:rsid w:val="000113BF"/>
    <w:rsid w:val="000114E9"/>
    <w:rsid w:val="00011725"/>
    <w:rsid w:val="00012C23"/>
    <w:rsid w:val="00012C62"/>
    <w:rsid w:val="000137F8"/>
    <w:rsid w:val="00013DC5"/>
    <w:rsid w:val="00015182"/>
    <w:rsid w:val="00015788"/>
    <w:rsid w:val="00020A3F"/>
    <w:rsid w:val="00021939"/>
    <w:rsid w:val="00021BE2"/>
    <w:rsid w:val="00022FDE"/>
    <w:rsid w:val="00024281"/>
    <w:rsid w:val="00024C4C"/>
    <w:rsid w:val="00024D09"/>
    <w:rsid w:val="0002544D"/>
    <w:rsid w:val="00025BF9"/>
    <w:rsid w:val="000265D3"/>
    <w:rsid w:val="00027323"/>
    <w:rsid w:val="00027FF1"/>
    <w:rsid w:val="00031A07"/>
    <w:rsid w:val="00032E82"/>
    <w:rsid w:val="000330F1"/>
    <w:rsid w:val="00034194"/>
    <w:rsid w:val="00035950"/>
    <w:rsid w:val="00037861"/>
    <w:rsid w:val="000379D3"/>
    <w:rsid w:val="000409DA"/>
    <w:rsid w:val="00041A8B"/>
    <w:rsid w:val="0004274D"/>
    <w:rsid w:val="00042CA6"/>
    <w:rsid w:val="00044C0A"/>
    <w:rsid w:val="00044D86"/>
    <w:rsid w:val="000456D9"/>
    <w:rsid w:val="00046556"/>
    <w:rsid w:val="000471B4"/>
    <w:rsid w:val="0005067A"/>
    <w:rsid w:val="00051B1C"/>
    <w:rsid w:val="00051D60"/>
    <w:rsid w:val="00052A40"/>
    <w:rsid w:val="0005591C"/>
    <w:rsid w:val="00055C58"/>
    <w:rsid w:val="00056880"/>
    <w:rsid w:val="00056FBD"/>
    <w:rsid w:val="00060062"/>
    <w:rsid w:val="00061664"/>
    <w:rsid w:val="00062BA6"/>
    <w:rsid w:val="00063453"/>
    <w:rsid w:val="00065382"/>
    <w:rsid w:val="00065695"/>
    <w:rsid w:val="00065E7D"/>
    <w:rsid w:val="0006602A"/>
    <w:rsid w:val="00066585"/>
    <w:rsid w:val="0006676F"/>
    <w:rsid w:val="000675D1"/>
    <w:rsid w:val="00070519"/>
    <w:rsid w:val="0007102C"/>
    <w:rsid w:val="0007227E"/>
    <w:rsid w:val="00072352"/>
    <w:rsid w:val="00072F63"/>
    <w:rsid w:val="00073080"/>
    <w:rsid w:val="000730D4"/>
    <w:rsid w:val="00073457"/>
    <w:rsid w:val="00073521"/>
    <w:rsid w:val="000752A8"/>
    <w:rsid w:val="00075AAB"/>
    <w:rsid w:val="00075EC7"/>
    <w:rsid w:val="00077006"/>
    <w:rsid w:val="000775DE"/>
    <w:rsid w:val="000804DE"/>
    <w:rsid w:val="000807A9"/>
    <w:rsid w:val="0008146B"/>
    <w:rsid w:val="00082FC2"/>
    <w:rsid w:val="00084320"/>
    <w:rsid w:val="00084763"/>
    <w:rsid w:val="00084822"/>
    <w:rsid w:val="0008532B"/>
    <w:rsid w:val="000858F2"/>
    <w:rsid w:val="00085B6A"/>
    <w:rsid w:val="00085DB9"/>
    <w:rsid w:val="00086FE2"/>
    <w:rsid w:val="00087804"/>
    <w:rsid w:val="00087FAF"/>
    <w:rsid w:val="00090567"/>
    <w:rsid w:val="000908AF"/>
    <w:rsid w:val="0009151A"/>
    <w:rsid w:val="00091906"/>
    <w:rsid w:val="0009199D"/>
    <w:rsid w:val="00091AC6"/>
    <w:rsid w:val="00094581"/>
    <w:rsid w:val="00094942"/>
    <w:rsid w:val="00094E4C"/>
    <w:rsid w:val="00095149"/>
    <w:rsid w:val="000951DF"/>
    <w:rsid w:val="00095F65"/>
    <w:rsid w:val="000962C1"/>
    <w:rsid w:val="00096962"/>
    <w:rsid w:val="00096A7E"/>
    <w:rsid w:val="000973DE"/>
    <w:rsid w:val="00097AED"/>
    <w:rsid w:val="00097CEA"/>
    <w:rsid w:val="000A04AD"/>
    <w:rsid w:val="000A0BFB"/>
    <w:rsid w:val="000A0C43"/>
    <w:rsid w:val="000A0D45"/>
    <w:rsid w:val="000A381F"/>
    <w:rsid w:val="000A4B55"/>
    <w:rsid w:val="000A6C74"/>
    <w:rsid w:val="000A7027"/>
    <w:rsid w:val="000B0E15"/>
    <w:rsid w:val="000B193C"/>
    <w:rsid w:val="000B20A3"/>
    <w:rsid w:val="000B2BB0"/>
    <w:rsid w:val="000B2BC1"/>
    <w:rsid w:val="000B4499"/>
    <w:rsid w:val="000B4C76"/>
    <w:rsid w:val="000C03B4"/>
    <w:rsid w:val="000C140A"/>
    <w:rsid w:val="000C1698"/>
    <w:rsid w:val="000C42C2"/>
    <w:rsid w:val="000C4FF3"/>
    <w:rsid w:val="000C545A"/>
    <w:rsid w:val="000C570C"/>
    <w:rsid w:val="000C5F40"/>
    <w:rsid w:val="000C632F"/>
    <w:rsid w:val="000D0593"/>
    <w:rsid w:val="000D1284"/>
    <w:rsid w:val="000D1817"/>
    <w:rsid w:val="000D2097"/>
    <w:rsid w:val="000D2777"/>
    <w:rsid w:val="000D47D4"/>
    <w:rsid w:val="000E0565"/>
    <w:rsid w:val="000E0B74"/>
    <w:rsid w:val="000E0C60"/>
    <w:rsid w:val="000E1051"/>
    <w:rsid w:val="000E3305"/>
    <w:rsid w:val="000E4EF6"/>
    <w:rsid w:val="000E56F3"/>
    <w:rsid w:val="000E5D19"/>
    <w:rsid w:val="000E5E31"/>
    <w:rsid w:val="000E646A"/>
    <w:rsid w:val="000E69EE"/>
    <w:rsid w:val="000E754C"/>
    <w:rsid w:val="000E76B2"/>
    <w:rsid w:val="000F0BF8"/>
    <w:rsid w:val="000F237F"/>
    <w:rsid w:val="000F2547"/>
    <w:rsid w:val="000F3CFE"/>
    <w:rsid w:val="000F5931"/>
    <w:rsid w:val="000F633B"/>
    <w:rsid w:val="000F7517"/>
    <w:rsid w:val="000F7A7C"/>
    <w:rsid w:val="000F7EB5"/>
    <w:rsid w:val="0010146B"/>
    <w:rsid w:val="00101DBB"/>
    <w:rsid w:val="00103D1A"/>
    <w:rsid w:val="00103FBE"/>
    <w:rsid w:val="00104864"/>
    <w:rsid w:val="00104D61"/>
    <w:rsid w:val="0010500F"/>
    <w:rsid w:val="001061FA"/>
    <w:rsid w:val="00106478"/>
    <w:rsid w:val="00106FCE"/>
    <w:rsid w:val="001103A3"/>
    <w:rsid w:val="001110C7"/>
    <w:rsid w:val="00112041"/>
    <w:rsid w:val="0011252D"/>
    <w:rsid w:val="001127C9"/>
    <w:rsid w:val="001167BD"/>
    <w:rsid w:val="00120137"/>
    <w:rsid w:val="0012176E"/>
    <w:rsid w:val="00125F85"/>
    <w:rsid w:val="0013022A"/>
    <w:rsid w:val="001303ED"/>
    <w:rsid w:val="00130965"/>
    <w:rsid w:val="00131A6C"/>
    <w:rsid w:val="001329EA"/>
    <w:rsid w:val="00135193"/>
    <w:rsid w:val="00136118"/>
    <w:rsid w:val="0014091C"/>
    <w:rsid w:val="00145D20"/>
    <w:rsid w:val="00147C27"/>
    <w:rsid w:val="00150ADE"/>
    <w:rsid w:val="00151674"/>
    <w:rsid w:val="00151784"/>
    <w:rsid w:val="0015214D"/>
    <w:rsid w:val="0015261A"/>
    <w:rsid w:val="00152A36"/>
    <w:rsid w:val="00152F3A"/>
    <w:rsid w:val="00155CDC"/>
    <w:rsid w:val="00156203"/>
    <w:rsid w:val="001606CF"/>
    <w:rsid w:val="0016128D"/>
    <w:rsid w:val="00161B6D"/>
    <w:rsid w:val="00161DB8"/>
    <w:rsid w:val="00163B1C"/>
    <w:rsid w:val="001656C0"/>
    <w:rsid w:val="00165F8C"/>
    <w:rsid w:val="001706EA"/>
    <w:rsid w:val="0017089D"/>
    <w:rsid w:val="0017126E"/>
    <w:rsid w:val="0017178D"/>
    <w:rsid w:val="00172872"/>
    <w:rsid w:val="00172BEE"/>
    <w:rsid w:val="00173A6B"/>
    <w:rsid w:val="001761C1"/>
    <w:rsid w:val="0017773E"/>
    <w:rsid w:val="001779DD"/>
    <w:rsid w:val="0018122A"/>
    <w:rsid w:val="001829BB"/>
    <w:rsid w:val="001834DA"/>
    <w:rsid w:val="001845D6"/>
    <w:rsid w:val="001864E4"/>
    <w:rsid w:val="001901E5"/>
    <w:rsid w:val="001908CA"/>
    <w:rsid w:val="00190B0D"/>
    <w:rsid w:val="0019101A"/>
    <w:rsid w:val="001923B9"/>
    <w:rsid w:val="001929D2"/>
    <w:rsid w:val="00195E50"/>
    <w:rsid w:val="00195E63"/>
    <w:rsid w:val="0019663C"/>
    <w:rsid w:val="00197690"/>
    <w:rsid w:val="00197A5D"/>
    <w:rsid w:val="00197EE1"/>
    <w:rsid w:val="001A73E7"/>
    <w:rsid w:val="001A7B26"/>
    <w:rsid w:val="001B0F83"/>
    <w:rsid w:val="001B1361"/>
    <w:rsid w:val="001B1843"/>
    <w:rsid w:val="001B327C"/>
    <w:rsid w:val="001B3330"/>
    <w:rsid w:val="001B40F6"/>
    <w:rsid w:val="001B4818"/>
    <w:rsid w:val="001B5D10"/>
    <w:rsid w:val="001B64B6"/>
    <w:rsid w:val="001B685D"/>
    <w:rsid w:val="001C0489"/>
    <w:rsid w:val="001C0880"/>
    <w:rsid w:val="001C158D"/>
    <w:rsid w:val="001C17E9"/>
    <w:rsid w:val="001C1E05"/>
    <w:rsid w:val="001C30E5"/>
    <w:rsid w:val="001C358D"/>
    <w:rsid w:val="001C4610"/>
    <w:rsid w:val="001C5BD7"/>
    <w:rsid w:val="001C5EFE"/>
    <w:rsid w:val="001C6033"/>
    <w:rsid w:val="001C6DCA"/>
    <w:rsid w:val="001C6DD3"/>
    <w:rsid w:val="001C714B"/>
    <w:rsid w:val="001C7456"/>
    <w:rsid w:val="001D040C"/>
    <w:rsid w:val="001D070B"/>
    <w:rsid w:val="001D30F4"/>
    <w:rsid w:val="001D3CF9"/>
    <w:rsid w:val="001D419E"/>
    <w:rsid w:val="001D4C98"/>
    <w:rsid w:val="001D4EAA"/>
    <w:rsid w:val="001D74EF"/>
    <w:rsid w:val="001D7BAA"/>
    <w:rsid w:val="001D7C57"/>
    <w:rsid w:val="001D7CE7"/>
    <w:rsid w:val="001E1662"/>
    <w:rsid w:val="001E17F3"/>
    <w:rsid w:val="001E27EF"/>
    <w:rsid w:val="001E646D"/>
    <w:rsid w:val="001E6706"/>
    <w:rsid w:val="001E6FDB"/>
    <w:rsid w:val="001E783B"/>
    <w:rsid w:val="001F0583"/>
    <w:rsid w:val="001F573B"/>
    <w:rsid w:val="001F72AF"/>
    <w:rsid w:val="0020008E"/>
    <w:rsid w:val="00200647"/>
    <w:rsid w:val="00200703"/>
    <w:rsid w:val="0020138D"/>
    <w:rsid w:val="00201C02"/>
    <w:rsid w:val="00203108"/>
    <w:rsid w:val="0020348A"/>
    <w:rsid w:val="00203EDB"/>
    <w:rsid w:val="002045EE"/>
    <w:rsid w:val="002058C4"/>
    <w:rsid w:val="002059B4"/>
    <w:rsid w:val="00205ACB"/>
    <w:rsid w:val="002112CE"/>
    <w:rsid w:val="002119E7"/>
    <w:rsid w:val="00211DC0"/>
    <w:rsid w:val="0021279C"/>
    <w:rsid w:val="00212AB2"/>
    <w:rsid w:val="00214F06"/>
    <w:rsid w:val="00215DD6"/>
    <w:rsid w:val="00216057"/>
    <w:rsid w:val="002160AE"/>
    <w:rsid w:val="00216363"/>
    <w:rsid w:val="00216BBE"/>
    <w:rsid w:val="0021745D"/>
    <w:rsid w:val="002177BB"/>
    <w:rsid w:val="002214A9"/>
    <w:rsid w:val="0022190E"/>
    <w:rsid w:val="00221F6E"/>
    <w:rsid w:val="0022216B"/>
    <w:rsid w:val="00223348"/>
    <w:rsid w:val="00223E03"/>
    <w:rsid w:val="00223E5E"/>
    <w:rsid w:val="0022629F"/>
    <w:rsid w:val="00231049"/>
    <w:rsid w:val="002314D2"/>
    <w:rsid w:val="0023343E"/>
    <w:rsid w:val="00234B35"/>
    <w:rsid w:val="00234BB0"/>
    <w:rsid w:val="0023664E"/>
    <w:rsid w:val="002372A6"/>
    <w:rsid w:val="00237BE9"/>
    <w:rsid w:val="00241887"/>
    <w:rsid w:val="00241C51"/>
    <w:rsid w:val="002424B9"/>
    <w:rsid w:val="00244B30"/>
    <w:rsid w:val="00244F78"/>
    <w:rsid w:val="002457FD"/>
    <w:rsid w:val="00247C7D"/>
    <w:rsid w:val="002507E2"/>
    <w:rsid w:val="00250A8E"/>
    <w:rsid w:val="00254A8C"/>
    <w:rsid w:val="00254E7B"/>
    <w:rsid w:val="00255185"/>
    <w:rsid w:val="00255434"/>
    <w:rsid w:val="002558B6"/>
    <w:rsid w:val="002570E9"/>
    <w:rsid w:val="00257AEE"/>
    <w:rsid w:val="00261052"/>
    <w:rsid w:val="00263B6C"/>
    <w:rsid w:val="002707D9"/>
    <w:rsid w:val="00270975"/>
    <w:rsid w:val="0027101D"/>
    <w:rsid w:val="002719AD"/>
    <w:rsid w:val="00271BF3"/>
    <w:rsid w:val="00272133"/>
    <w:rsid w:val="0027259D"/>
    <w:rsid w:val="0027263D"/>
    <w:rsid w:val="00272886"/>
    <w:rsid w:val="00274EB8"/>
    <w:rsid w:val="0027590B"/>
    <w:rsid w:val="0028101D"/>
    <w:rsid w:val="00281CCB"/>
    <w:rsid w:val="00283EEA"/>
    <w:rsid w:val="002841C8"/>
    <w:rsid w:val="00284687"/>
    <w:rsid w:val="00284BDA"/>
    <w:rsid w:val="00285924"/>
    <w:rsid w:val="00285969"/>
    <w:rsid w:val="00286139"/>
    <w:rsid w:val="00286229"/>
    <w:rsid w:val="002863DE"/>
    <w:rsid w:val="00286559"/>
    <w:rsid w:val="0029079F"/>
    <w:rsid w:val="0029198D"/>
    <w:rsid w:val="00291D8A"/>
    <w:rsid w:val="002921F6"/>
    <w:rsid w:val="00292D1D"/>
    <w:rsid w:val="00293A41"/>
    <w:rsid w:val="002940EC"/>
    <w:rsid w:val="002950D1"/>
    <w:rsid w:val="002965EC"/>
    <w:rsid w:val="002971A2"/>
    <w:rsid w:val="002A051F"/>
    <w:rsid w:val="002A0FA3"/>
    <w:rsid w:val="002A3B77"/>
    <w:rsid w:val="002A6102"/>
    <w:rsid w:val="002A6512"/>
    <w:rsid w:val="002B0064"/>
    <w:rsid w:val="002B024A"/>
    <w:rsid w:val="002B0DE6"/>
    <w:rsid w:val="002B1883"/>
    <w:rsid w:val="002B19E7"/>
    <w:rsid w:val="002B1D3D"/>
    <w:rsid w:val="002B20B4"/>
    <w:rsid w:val="002B2E06"/>
    <w:rsid w:val="002B3829"/>
    <w:rsid w:val="002B3B46"/>
    <w:rsid w:val="002B4D4D"/>
    <w:rsid w:val="002B4E11"/>
    <w:rsid w:val="002B5C39"/>
    <w:rsid w:val="002B64C5"/>
    <w:rsid w:val="002B66E7"/>
    <w:rsid w:val="002C2082"/>
    <w:rsid w:val="002C21BF"/>
    <w:rsid w:val="002C2F19"/>
    <w:rsid w:val="002C2FB6"/>
    <w:rsid w:val="002C480D"/>
    <w:rsid w:val="002C5371"/>
    <w:rsid w:val="002C53CC"/>
    <w:rsid w:val="002C593B"/>
    <w:rsid w:val="002C5B38"/>
    <w:rsid w:val="002C7DCC"/>
    <w:rsid w:val="002D12A0"/>
    <w:rsid w:val="002D1C5F"/>
    <w:rsid w:val="002D1F90"/>
    <w:rsid w:val="002D3015"/>
    <w:rsid w:val="002D3DE0"/>
    <w:rsid w:val="002D3E52"/>
    <w:rsid w:val="002D488F"/>
    <w:rsid w:val="002D4D94"/>
    <w:rsid w:val="002D5B22"/>
    <w:rsid w:val="002D6579"/>
    <w:rsid w:val="002E049A"/>
    <w:rsid w:val="002E1CD2"/>
    <w:rsid w:val="002E2866"/>
    <w:rsid w:val="002E2C49"/>
    <w:rsid w:val="002E4591"/>
    <w:rsid w:val="002E5F48"/>
    <w:rsid w:val="002E7C6B"/>
    <w:rsid w:val="002F05CB"/>
    <w:rsid w:val="002F0954"/>
    <w:rsid w:val="002F0C0C"/>
    <w:rsid w:val="002F2D19"/>
    <w:rsid w:val="002F46A6"/>
    <w:rsid w:val="002F4FDC"/>
    <w:rsid w:val="002F52B2"/>
    <w:rsid w:val="002F5A71"/>
    <w:rsid w:val="002F5C5E"/>
    <w:rsid w:val="002F617F"/>
    <w:rsid w:val="002F656B"/>
    <w:rsid w:val="002F6AA9"/>
    <w:rsid w:val="002F70A9"/>
    <w:rsid w:val="002F73CE"/>
    <w:rsid w:val="0030094E"/>
    <w:rsid w:val="00300AE6"/>
    <w:rsid w:val="00302F1D"/>
    <w:rsid w:val="00302F37"/>
    <w:rsid w:val="00303D6F"/>
    <w:rsid w:val="00306956"/>
    <w:rsid w:val="00307123"/>
    <w:rsid w:val="003075E1"/>
    <w:rsid w:val="003075EC"/>
    <w:rsid w:val="00310224"/>
    <w:rsid w:val="00310A50"/>
    <w:rsid w:val="003119CC"/>
    <w:rsid w:val="00311EA2"/>
    <w:rsid w:val="003122F4"/>
    <w:rsid w:val="0031276E"/>
    <w:rsid w:val="003130F3"/>
    <w:rsid w:val="00313D74"/>
    <w:rsid w:val="00314280"/>
    <w:rsid w:val="00315123"/>
    <w:rsid w:val="00315238"/>
    <w:rsid w:val="00315B23"/>
    <w:rsid w:val="00315C18"/>
    <w:rsid w:val="00320E4A"/>
    <w:rsid w:val="0032128F"/>
    <w:rsid w:val="00321799"/>
    <w:rsid w:val="00321E69"/>
    <w:rsid w:val="00323019"/>
    <w:rsid w:val="00323C8C"/>
    <w:rsid w:val="003249C4"/>
    <w:rsid w:val="00324D16"/>
    <w:rsid w:val="00325663"/>
    <w:rsid w:val="00325A61"/>
    <w:rsid w:val="0032671A"/>
    <w:rsid w:val="003268D5"/>
    <w:rsid w:val="00326E86"/>
    <w:rsid w:val="00327465"/>
    <w:rsid w:val="0032760C"/>
    <w:rsid w:val="00330488"/>
    <w:rsid w:val="00330789"/>
    <w:rsid w:val="003308D6"/>
    <w:rsid w:val="00330D2D"/>
    <w:rsid w:val="00332921"/>
    <w:rsid w:val="003338E0"/>
    <w:rsid w:val="003344E4"/>
    <w:rsid w:val="00334704"/>
    <w:rsid w:val="003353A7"/>
    <w:rsid w:val="0033640E"/>
    <w:rsid w:val="00336509"/>
    <w:rsid w:val="00337AF7"/>
    <w:rsid w:val="00337C0A"/>
    <w:rsid w:val="00337CD5"/>
    <w:rsid w:val="00340F85"/>
    <w:rsid w:val="00342322"/>
    <w:rsid w:val="00343C09"/>
    <w:rsid w:val="00344158"/>
    <w:rsid w:val="00344419"/>
    <w:rsid w:val="00344779"/>
    <w:rsid w:val="00344E3F"/>
    <w:rsid w:val="0034545A"/>
    <w:rsid w:val="00345AA9"/>
    <w:rsid w:val="003468BE"/>
    <w:rsid w:val="003476C5"/>
    <w:rsid w:val="003477F7"/>
    <w:rsid w:val="00347EE9"/>
    <w:rsid w:val="003506BB"/>
    <w:rsid w:val="0035274A"/>
    <w:rsid w:val="00354364"/>
    <w:rsid w:val="00354D27"/>
    <w:rsid w:val="00354FBB"/>
    <w:rsid w:val="00356950"/>
    <w:rsid w:val="00357C2B"/>
    <w:rsid w:val="00357DF8"/>
    <w:rsid w:val="003600EB"/>
    <w:rsid w:val="003630A9"/>
    <w:rsid w:val="00363130"/>
    <w:rsid w:val="003634C2"/>
    <w:rsid w:val="00363880"/>
    <w:rsid w:val="00363E3A"/>
    <w:rsid w:val="00363EC9"/>
    <w:rsid w:val="003652F8"/>
    <w:rsid w:val="0036572A"/>
    <w:rsid w:val="00367525"/>
    <w:rsid w:val="003676FA"/>
    <w:rsid w:val="003706DB"/>
    <w:rsid w:val="003709B1"/>
    <w:rsid w:val="00370D5F"/>
    <w:rsid w:val="0037172F"/>
    <w:rsid w:val="0037247C"/>
    <w:rsid w:val="003728B8"/>
    <w:rsid w:val="00373B58"/>
    <w:rsid w:val="00374B10"/>
    <w:rsid w:val="003754FD"/>
    <w:rsid w:val="00377F65"/>
    <w:rsid w:val="00380E33"/>
    <w:rsid w:val="00381A1C"/>
    <w:rsid w:val="003839F0"/>
    <w:rsid w:val="0038436D"/>
    <w:rsid w:val="0038574C"/>
    <w:rsid w:val="003858A6"/>
    <w:rsid w:val="003858F6"/>
    <w:rsid w:val="00385E5A"/>
    <w:rsid w:val="00386920"/>
    <w:rsid w:val="003874A8"/>
    <w:rsid w:val="00387855"/>
    <w:rsid w:val="00390F0A"/>
    <w:rsid w:val="003924AE"/>
    <w:rsid w:val="00392D27"/>
    <w:rsid w:val="00392DCC"/>
    <w:rsid w:val="00395306"/>
    <w:rsid w:val="003955BD"/>
    <w:rsid w:val="003973A5"/>
    <w:rsid w:val="0039779E"/>
    <w:rsid w:val="003A1273"/>
    <w:rsid w:val="003A199F"/>
    <w:rsid w:val="003A2D6D"/>
    <w:rsid w:val="003A2DC5"/>
    <w:rsid w:val="003A3271"/>
    <w:rsid w:val="003A4077"/>
    <w:rsid w:val="003A4752"/>
    <w:rsid w:val="003A4978"/>
    <w:rsid w:val="003A4C05"/>
    <w:rsid w:val="003A537E"/>
    <w:rsid w:val="003A5B5B"/>
    <w:rsid w:val="003A5F78"/>
    <w:rsid w:val="003A6D2A"/>
    <w:rsid w:val="003A78BF"/>
    <w:rsid w:val="003B1C7A"/>
    <w:rsid w:val="003B2312"/>
    <w:rsid w:val="003B2D21"/>
    <w:rsid w:val="003B33BA"/>
    <w:rsid w:val="003B59C2"/>
    <w:rsid w:val="003B5AE1"/>
    <w:rsid w:val="003C0FD3"/>
    <w:rsid w:val="003C2876"/>
    <w:rsid w:val="003C36EF"/>
    <w:rsid w:val="003C4018"/>
    <w:rsid w:val="003C435F"/>
    <w:rsid w:val="003C4BBD"/>
    <w:rsid w:val="003C4DCC"/>
    <w:rsid w:val="003C5E93"/>
    <w:rsid w:val="003C5F93"/>
    <w:rsid w:val="003D1160"/>
    <w:rsid w:val="003D1AC9"/>
    <w:rsid w:val="003D33A3"/>
    <w:rsid w:val="003D3643"/>
    <w:rsid w:val="003D4425"/>
    <w:rsid w:val="003D561E"/>
    <w:rsid w:val="003D5CFB"/>
    <w:rsid w:val="003D6743"/>
    <w:rsid w:val="003D699B"/>
    <w:rsid w:val="003E13B6"/>
    <w:rsid w:val="003E1669"/>
    <w:rsid w:val="003E233B"/>
    <w:rsid w:val="003E38B0"/>
    <w:rsid w:val="003E4AB7"/>
    <w:rsid w:val="003E4D87"/>
    <w:rsid w:val="003E4E28"/>
    <w:rsid w:val="003E610B"/>
    <w:rsid w:val="003E6EB0"/>
    <w:rsid w:val="003E71B7"/>
    <w:rsid w:val="003E7721"/>
    <w:rsid w:val="003E78E3"/>
    <w:rsid w:val="003F17F6"/>
    <w:rsid w:val="003F19FC"/>
    <w:rsid w:val="003F1A05"/>
    <w:rsid w:val="003F22B8"/>
    <w:rsid w:val="003F25BE"/>
    <w:rsid w:val="003F4E33"/>
    <w:rsid w:val="003F500C"/>
    <w:rsid w:val="003F51BE"/>
    <w:rsid w:val="003F56B9"/>
    <w:rsid w:val="003F71F2"/>
    <w:rsid w:val="00400088"/>
    <w:rsid w:val="004023FC"/>
    <w:rsid w:val="00402E65"/>
    <w:rsid w:val="00402F26"/>
    <w:rsid w:val="0040409F"/>
    <w:rsid w:val="0040606A"/>
    <w:rsid w:val="004074F1"/>
    <w:rsid w:val="00407C33"/>
    <w:rsid w:val="00410229"/>
    <w:rsid w:val="0041186F"/>
    <w:rsid w:val="00412B6B"/>
    <w:rsid w:val="00413EA0"/>
    <w:rsid w:val="004156C1"/>
    <w:rsid w:val="0041626E"/>
    <w:rsid w:val="00416762"/>
    <w:rsid w:val="004178A0"/>
    <w:rsid w:val="00417ACC"/>
    <w:rsid w:val="00420283"/>
    <w:rsid w:val="00421351"/>
    <w:rsid w:val="004268D4"/>
    <w:rsid w:val="00426E9C"/>
    <w:rsid w:val="00427821"/>
    <w:rsid w:val="004307A6"/>
    <w:rsid w:val="00430A79"/>
    <w:rsid w:val="00431011"/>
    <w:rsid w:val="00432238"/>
    <w:rsid w:val="00432B38"/>
    <w:rsid w:val="00432C2B"/>
    <w:rsid w:val="00434241"/>
    <w:rsid w:val="00434F47"/>
    <w:rsid w:val="00435001"/>
    <w:rsid w:val="0043560B"/>
    <w:rsid w:val="00436209"/>
    <w:rsid w:val="00436620"/>
    <w:rsid w:val="00437482"/>
    <w:rsid w:val="004411FF"/>
    <w:rsid w:val="00441ABF"/>
    <w:rsid w:val="00443931"/>
    <w:rsid w:val="00444313"/>
    <w:rsid w:val="00445265"/>
    <w:rsid w:val="00446BB4"/>
    <w:rsid w:val="00450696"/>
    <w:rsid w:val="004516A6"/>
    <w:rsid w:val="00451923"/>
    <w:rsid w:val="004520C7"/>
    <w:rsid w:val="00452190"/>
    <w:rsid w:val="0045375F"/>
    <w:rsid w:val="00454AA0"/>
    <w:rsid w:val="004559CE"/>
    <w:rsid w:val="00455CCD"/>
    <w:rsid w:val="00455D05"/>
    <w:rsid w:val="004563F0"/>
    <w:rsid w:val="00456A1C"/>
    <w:rsid w:val="004617DE"/>
    <w:rsid w:val="00462994"/>
    <w:rsid w:val="00463CA7"/>
    <w:rsid w:val="0046458D"/>
    <w:rsid w:val="0046492F"/>
    <w:rsid w:val="00465436"/>
    <w:rsid w:val="00465C14"/>
    <w:rsid w:val="00465E6B"/>
    <w:rsid w:val="00466E29"/>
    <w:rsid w:val="004674B6"/>
    <w:rsid w:val="00470124"/>
    <w:rsid w:val="00470EF2"/>
    <w:rsid w:val="00471798"/>
    <w:rsid w:val="0047263C"/>
    <w:rsid w:val="00473574"/>
    <w:rsid w:val="00473687"/>
    <w:rsid w:val="00475B7B"/>
    <w:rsid w:val="00475F4D"/>
    <w:rsid w:val="00477190"/>
    <w:rsid w:val="0047735E"/>
    <w:rsid w:val="00480ACE"/>
    <w:rsid w:val="00481C69"/>
    <w:rsid w:val="00482632"/>
    <w:rsid w:val="0048296A"/>
    <w:rsid w:val="00482AD1"/>
    <w:rsid w:val="00482C78"/>
    <w:rsid w:val="00483049"/>
    <w:rsid w:val="00484035"/>
    <w:rsid w:val="00484472"/>
    <w:rsid w:val="00484945"/>
    <w:rsid w:val="00487EAF"/>
    <w:rsid w:val="00487FCE"/>
    <w:rsid w:val="0049125B"/>
    <w:rsid w:val="00491817"/>
    <w:rsid w:val="00491CAC"/>
    <w:rsid w:val="00492FCB"/>
    <w:rsid w:val="004936CA"/>
    <w:rsid w:val="004938D1"/>
    <w:rsid w:val="004944E0"/>
    <w:rsid w:val="00494BFC"/>
    <w:rsid w:val="004951A8"/>
    <w:rsid w:val="00495CBB"/>
    <w:rsid w:val="00495F71"/>
    <w:rsid w:val="00496994"/>
    <w:rsid w:val="00496AD3"/>
    <w:rsid w:val="00497352"/>
    <w:rsid w:val="00497475"/>
    <w:rsid w:val="00497EA1"/>
    <w:rsid w:val="004A077D"/>
    <w:rsid w:val="004A0E5E"/>
    <w:rsid w:val="004A2501"/>
    <w:rsid w:val="004A31D0"/>
    <w:rsid w:val="004A323D"/>
    <w:rsid w:val="004A3D86"/>
    <w:rsid w:val="004A4164"/>
    <w:rsid w:val="004A570D"/>
    <w:rsid w:val="004A592A"/>
    <w:rsid w:val="004A7BC2"/>
    <w:rsid w:val="004B07E7"/>
    <w:rsid w:val="004B2341"/>
    <w:rsid w:val="004B52A6"/>
    <w:rsid w:val="004B748A"/>
    <w:rsid w:val="004C041F"/>
    <w:rsid w:val="004C075B"/>
    <w:rsid w:val="004C0DBF"/>
    <w:rsid w:val="004C1042"/>
    <w:rsid w:val="004C1897"/>
    <w:rsid w:val="004C1E75"/>
    <w:rsid w:val="004C37FA"/>
    <w:rsid w:val="004C3A74"/>
    <w:rsid w:val="004C43FB"/>
    <w:rsid w:val="004C4900"/>
    <w:rsid w:val="004C5391"/>
    <w:rsid w:val="004C6A8B"/>
    <w:rsid w:val="004C719F"/>
    <w:rsid w:val="004D04C1"/>
    <w:rsid w:val="004D0E72"/>
    <w:rsid w:val="004D3332"/>
    <w:rsid w:val="004D3F63"/>
    <w:rsid w:val="004D440B"/>
    <w:rsid w:val="004D4C05"/>
    <w:rsid w:val="004E11DB"/>
    <w:rsid w:val="004E2733"/>
    <w:rsid w:val="004E387D"/>
    <w:rsid w:val="004E53E9"/>
    <w:rsid w:val="004E5C17"/>
    <w:rsid w:val="004F005A"/>
    <w:rsid w:val="004F0634"/>
    <w:rsid w:val="004F1164"/>
    <w:rsid w:val="004F185F"/>
    <w:rsid w:val="004F2D6A"/>
    <w:rsid w:val="004F400F"/>
    <w:rsid w:val="004F4D28"/>
    <w:rsid w:val="004F6F46"/>
    <w:rsid w:val="004F7B4B"/>
    <w:rsid w:val="00500D16"/>
    <w:rsid w:val="00500DDC"/>
    <w:rsid w:val="00501309"/>
    <w:rsid w:val="005019EF"/>
    <w:rsid w:val="00503EA4"/>
    <w:rsid w:val="00504C6A"/>
    <w:rsid w:val="00506B1A"/>
    <w:rsid w:val="00510726"/>
    <w:rsid w:val="00514A80"/>
    <w:rsid w:val="00516785"/>
    <w:rsid w:val="0051702F"/>
    <w:rsid w:val="00520DB3"/>
    <w:rsid w:val="005215E6"/>
    <w:rsid w:val="00522FC7"/>
    <w:rsid w:val="00523194"/>
    <w:rsid w:val="00523B00"/>
    <w:rsid w:val="00523C37"/>
    <w:rsid w:val="0052419D"/>
    <w:rsid w:val="00524EFE"/>
    <w:rsid w:val="00524F21"/>
    <w:rsid w:val="00525B27"/>
    <w:rsid w:val="005276C2"/>
    <w:rsid w:val="00527E8F"/>
    <w:rsid w:val="00527F3B"/>
    <w:rsid w:val="00530035"/>
    <w:rsid w:val="005301F8"/>
    <w:rsid w:val="0053071E"/>
    <w:rsid w:val="00530F77"/>
    <w:rsid w:val="005312FC"/>
    <w:rsid w:val="005313E0"/>
    <w:rsid w:val="00531BCB"/>
    <w:rsid w:val="0053263D"/>
    <w:rsid w:val="00532CE8"/>
    <w:rsid w:val="00535056"/>
    <w:rsid w:val="0053603D"/>
    <w:rsid w:val="00536639"/>
    <w:rsid w:val="00537488"/>
    <w:rsid w:val="0054061C"/>
    <w:rsid w:val="00541284"/>
    <w:rsid w:val="00541E67"/>
    <w:rsid w:val="005439D6"/>
    <w:rsid w:val="005476EE"/>
    <w:rsid w:val="00547DE3"/>
    <w:rsid w:val="00554739"/>
    <w:rsid w:val="0055547C"/>
    <w:rsid w:val="00555D14"/>
    <w:rsid w:val="00555E14"/>
    <w:rsid w:val="005575CF"/>
    <w:rsid w:val="0056172A"/>
    <w:rsid w:val="00561DC1"/>
    <w:rsid w:val="005623EB"/>
    <w:rsid w:val="0056297F"/>
    <w:rsid w:val="00563600"/>
    <w:rsid w:val="0056451D"/>
    <w:rsid w:val="0056510C"/>
    <w:rsid w:val="005651FF"/>
    <w:rsid w:val="00566C1B"/>
    <w:rsid w:val="00567192"/>
    <w:rsid w:val="00570B9B"/>
    <w:rsid w:val="00571AC9"/>
    <w:rsid w:val="00574D79"/>
    <w:rsid w:val="005754A2"/>
    <w:rsid w:val="00575B4D"/>
    <w:rsid w:val="00576F73"/>
    <w:rsid w:val="005805E0"/>
    <w:rsid w:val="005817A1"/>
    <w:rsid w:val="00582500"/>
    <w:rsid w:val="005829BA"/>
    <w:rsid w:val="00582F0A"/>
    <w:rsid w:val="005830E6"/>
    <w:rsid w:val="00583C96"/>
    <w:rsid w:val="005854DD"/>
    <w:rsid w:val="00585C17"/>
    <w:rsid w:val="005868DE"/>
    <w:rsid w:val="00590485"/>
    <w:rsid w:val="005906BE"/>
    <w:rsid w:val="005912F0"/>
    <w:rsid w:val="0059158A"/>
    <w:rsid w:val="00591F60"/>
    <w:rsid w:val="00592500"/>
    <w:rsid w:val="00592852"/>
    <w:rsid w:val="00593589"/>
    <w:rsid w:val="005949F4"/>
    <w:rsid w:val="005950F0"/>
    <w:rsid w:val="00595295"/>
    <w:rsid w:val="0059530F"/>
    <w:rsid w:val="00596298"/>
    <w:rsid w:val="005963FE"/>
    <w:rsid w:val="00597114"/>
    <w:rsid w:val="00597280"/>
    <w:rsid w:val="005979F3"/>
    <w:rsid w:val="005A01D0"/>
    <w:rsid w:val="005A2112"/>
    <w:rsid w:val="005A2693"/>
    <w:rsid w:val="005A36B3"/>
    <w:rsid w:val="005A3896"/>
    <w:rsid w:val="005B2176"/>
    <w:rsid w:val="005B2F92"/>
    <w:rsid w:val="005B42DE"/>
    <w:rsid w:val="005B48A4"/>
    <w:rsid w:val="005B50CD"/>
    <w:rsid w:val="005B57F3"/>
    <w:rsid w:val="005B60BE"/>
    <w:rsid w:val="005B7553"/>
    <w:rsid w:val="005C008F"/>
    <w:rsid w:val="005C0FAB"/>
    <w:rsid w:val="005C202D"/>
    <w:rsid w:val="005C29FC"/>
    <w:rsid w:val="005C2E61"/>
    <w:rsid w:val="005C4492"/>
    <w:rsid w:val="005C7015"/>
    <w:rsid w:val="005C7F0D"/>
    <w:rsid w:val="005D2B8C"/>
    <w:rsid w:val="005D416D"/>
    <w:rsid w:val="005D4606"/>
    <w:rsid w:val="005D4F6D"/>
    <w:rsid w:val="005D6CEA"/>
    <w:rsid w:val="005D7593"/>
    <w:rsid w:val="005D76E2"/>
    <w:rsid w:val="005E09E4"/>
    <w:rsid w:val="005E0E1C"/>
    <w:rsid w:val="005E1794"/>
    <w:rsid w:val="005E25CD"/>
    <w:rsid w:val="005E366D"/>
    <w:rsid w:val="005E38F0"/>
    <w:rsid w:val="005E3C9A"/>
    <w:rsid w:val="005E41AB"/>
    <w:rsid w:val="005E41B1"/>
    <w:rsid w:val="005E6AD0"/>
    <w:rsid w:val="005E6B55"/>
    <w:rsid w:val="005F0A57"/>
    <w:rsid w:val="005F1D63"/>
    <w:rsid w:val="005F36E2"/>
    <w:rsid w:val="005F4021"/>
    <w:rsid w:val="005F48DC"/>
    <w:rsid w:val="005F5075"/>
    <w:rsid w:val="005F5B30"/>
    <w:rsid w:val="005F6ECF"/>
    <w:rsid w:val="005F7915"/>
    <w:rsid w:val="005F7A7F"/>
    <w:rsid w:val="005F7C01"/>
    <w:rsid w:val="005F7CC3"/>
    <w:rsid w:val="005F7F74"/>
    <w:rsid w:val="00600188"/>
    <w:rsid w:val="00600238"/>
    <w:rsid w:val="00600FF5"/>
    <w:rsid w:val="006016A6"/>
    <w:rsid w:val="00603AAF"/>
    <w:rsid w:val="00604569"/>
    <w:rsid w:val="0060481B"/>
    <w:rsid w:val="0060552D"/>
    <w:rsid w:val="0060595B"/>
    <w:rsid w:val="0060595C"/>
    <w:rsid w:val="00605AFD"/>
    <w:rsid w:val="0060659C"/>
    <w:rsid w:val="00607C7C"/>
    <w:rsid w:val="0061084E"/>
    <w:rsid w:val="00611F5D"/>
    <w:rsid w:val="006123D4"/>
    <w:rsid w:val="00612D8B"/>
    <w:rsid w:val="006167F6"/>
    <w:rsid w:val="006171C3"/>
    <w:rsid w:val="00617D23"/>
    <w:rsid w:val="00621FCF"/>
    <w:rsid w:val="00622BB0"/>
    <w:rsid w:val="00623737"/>
    <w:rsid w:val="00623E54"/>
    <w:rsid w:val="00624555"/>
    <w:rsid w:val="00624CED"/>
    <w:rsid w:val="00625A92"/>
    <w:rsid w:val="00626095"/>
    <w:rsid w:val="00626B06"/>
    <w:rsid w:val="00627241"/>
    <w:rsid w:val="00631422"/>
    <w:rsid w:val="006316A8"/>
    <w:rsid w:val="0063388A"/>
    <w:rsid w:val="006344D7"/>
    <w:rsid w:val="00634856"/>
    <w:rsid w:val="00636498"/>
    <w:rsid w:val="0063664D"/>
    <w:rsid w:val="006375EF"/>
    <w:rsid w:val="00637BAB"/>
    <w:rsid w:val="00637C14"/>
    <w:rsid w:val="00641F1E"/>
    <w:rsid w:val="006423A7"/>
    <w:rsid w:val="006430A3"/>
    <w:rsid w:val="00643497"/>
    <w:rsid w:val="00643CDE"/>
    <w:rsid w:val="0064704D"/>
    <w:rsid w:val="0064723B"/>
    <w:rsid w:val="006475A6"/>
    <w:rsid w:val="00647870"/>
    <w:rsid w:val="00651254"/>
    <w:rsid w:val="00651471"/>
    <w:rsid w:val="00652EB9"/>
    <w:rsid w:val="0065356F"/>
    <w:rsid w:val="00655CF3"/>
    <w:rsid w:val="00655D4E"/>
    <w:rsid w:val="00656356"/>
    <w:rsid w:val="00662FDF"/>
    <w:rsid w:val="00663222"/>
    <w:rsid w:val="00664402"/>
    <w:rsid w:val="00664B05"/>
    <w:rsid w:val="00664B82"/>
    <w:rsid w:val="006679D2"/>
    <w:rsid w:val="00670AE7"/>
    <w:rsid w:val="006735F4"/>
    <w:rsid w:val="00674CB3"/>
    <w:rsid w:val="00674D18"/>
    <w:rsid w:val="006755BF"/>
    <w:rsid w:val="00676460"/>
    <w:rsid w:val="00676774"/>
    <w:rsid w:val="00676777"/>
    <w:rsid w:val="00680DBC"/>
    <w:rsid w:val="0068322D"/>
    <w:rsid w:val="00683403"/>
    <w:rsid w:val="00683465"/>
    <w:rsid w:val="0068566B"/>
    <w:rsid w:val="00686165"/>
    <w:rsid w:val="00686447"/>
    <w:rsid w:val="006869D6"/>
    <w:rsid w:val="00686E15"/>
    <w:rsid w:val="00687EFA"/>
    <w:rsid w:val="00691046"/>
    <w:rsid w:val="00691CB5"/>
    <w:rsid w:val="00692260"/>
    <w:rsid w:val="00693050"/>
    <w:rsid w:val="00694459"/>
    <w:rsid w:val="00695407"/>
    <w:rsid w:val="00696B14"/>
    <w:rsid w:val="00697117"/>
    <w:rsid w:val="006A0432"/>
    <w:rsid w:val="006A0DDC"/>
    <w:rsid w:val="006A1C2F"/>
    <w:rsid w:val="006A1DB5"/>
    <w:rsid w:val="006A33D1"/>
    <w:rsid w:val="006A5BD9"/>
    <w:rsid w:val="006A673E"/>
    <w:rsid w:val="006A6DD2"/>
    <w:rsid w:val="006A6EE1"/>
    <w:rsid w:val="006A723A"/>
    <w:rsid w:val="006A729A"/>
    <w:rsid w:val="006B049A"/>
    <w:rsid w:val="006B0C8E"/>
    <w:rsid w:val="006B0D94"/>
    <w:rsid w:val="006B0E03"/>
    <w:rsid w:val="006B13F5"/>
    <w:rsid w:val="006B14D6"/>
    <w:rsid w:val="006B191F"/>
    <w:rsid w:val="006B3463"/>
    <w:rsid w:val="006B3D62"/>
    <w:rsid w:val="006B4425"/>
    <w:rsid w:val="006B5E7C"/>
    <w:rsid w:val="006B6D4D"/>
    <w:rsid w:val="006C0CE2"/>
    <w:rsid w:val="006C0F68"/>
    <w:rsid w:val="006C1498"/>
    <w:rsid w:val="006C2412"/>
    <w:rsid w:val="006C3314"/>
    <w:rsid w:val="006C39B5"/>
    <w:rsid w:val="006C45C3"/>
    <w:rsid w:val="006C49FE"/>
    <w:rsid w:val="006C4DCB"/>
    <w:rsid w:val="006C53C1"/>
    <w:rsid w:val="006C5EB8"/>
    <w:rsid w:val="006C5F7B"/>
    <w:rsid w:val="006C6244"/>
    <w:rsid w:val="006C645D"/>
    <w:rsid w:val="006D12B5"/>
    <w:rsid w:val="006D156D"/>
    <w:rsid w:val="006D1E63"/>
    <w:rsid w:val="006D42C7"/>
    <w:rsid w:val="006D5C18"/>
    <w:rsid w:val="006D5E68"/>
    <w:rsid w:val="006D6119"/>
    <w:rsid w:val="006D72AF"/>
    <w:rsid w:val="006D757D"/>
    <w:rsid w:val="006E0E3C"/>
    <w:rsid w:val="006E110D"/>
    <w:rsid w:val="006E12A8"/>
    <w:rsid w:val="006E17D1"/>
    <w:rsid w:val="006E23EE"/>
    <w:rsid w:val="006E3CC3"/>
    <w:rsid w:val="006E50CD"/>
    <w:rsid w:val="006E5865"/>
    <w:rsid w:val="006E672E"/>
    <w:rsid w:val="006E7955"/>
    <w:rsid w:val="006E7CC2"/>
    <w:rsid w:val="006E7D6F"/>
    <w:rsid w:val="006F08A3"/>
    <w:rsid w:val="006F0A75"/>
    <w:rsid w:val="006F1B83"/>
    <w:rsid w:val="006F2778"/>
    <w:rsid w:val="006F285D"/>
    <w:rsid w:val="006F3178"/>
    <w:rsid w:val="006F35B3"/>
    <w:rsid w:val="006F3DC4"/>
    <w:rsid w:val="006F4343"/>
    <w:rsid w:val="006F47F9"/>
    <w:rsid w:val="006F646B"/>
    <w:rsid w:val="006F6563"/>
    <w:rsid w:val="006F656C"/>
    <w:rsid w:val="006F65D5"/>
    <w:rsid w:val="006F7408"/>
    <w:rsid w:val="00700178"/>
    <w:rsid w:val="00700EFA"/>
    <w:rsid w:val="00702971"/>
    <w:rsid w:val="00704184"/>
    <w:rsid w:val="00707014"/>
    <w:rsid w:val="00707B11"/>
    <w:rsid w:val="00710E13"/>
    <w:rsid w:val="0071137D"/>
    <w:rsid w:val="007132CA"/>
    <w:rsid w:val="007136D1"/>
    <w:rsid w:val="00714648"/>
    <w:rsid w:val="00715560"/>
    <w:rsid w:val="00715C46"/>
    <w:rsid w:val="00716319"/>
    <w:rsid w:val="007172D3"/>
    <w:rsid w:val="00717C5A"/>
    <w:rsid w:val="00717DAC"/>
    <w:rsid w:val="0072032A"/>
    <w:rsid w:val="00720BF2"/>
    <w:rsid w:val="00721282"/>
    <w:rsid w:val="00722763"/>
    <w:rsid w:val="00722831"/>
    <w:rsid w:val="007242B8"/>
    <w:rsid w:val="007259C2"/>
    <w:rsid w:val="00726C4F"/>
    <w:rsid w:val="00726E97"/>
    <w:rsid w:val="00730F92"/>
    <w:rsid w:val="007313CD"/>
    <w:rsid w:val="00733F00"/>
    <w:rsid w:val="0073710D"/>
    <w:rsid w:val="00737347"/>
    <w:rsid w:val="00737B4A"/>
    <w:rsid w:val="00744C09"/>
    <w:rsid w:val="00744C0E"/>
    <w:rsid w:val="00745A87"/>
    <w:rsid w:val="00746881"/>
    <w:rsid w:val="007475C0"/>
    <w:rsid w:val="0075098F"/>
    <w:rsid w:val="00750E6C"/>
    <w:rsid w:val="0075126F"/>
    <w:rsid w:val="0075236C"/>
    <w:rsid w:val="0075298A"/>
    <w:rsid w:val="00752A59"/>
    <w:rsid w:val="00757816"/>
    <w:rsid w:val="00757D2E"/>
    <w:rsid w:val="00760223"/>
    <w:rsid w:val="007602DF"/>
    <w:rsid w:val="00762F8B"/>
    <w:rsid w:val="007653C7"/>
    <w:rsid w:val="00767263"/>
    <w:rsid w:val="00767CEF"/>
    <w:rsid w:val="00767FBA"/>
    <w:rsid w:val="007739DC"/>
    <w:rsid w:val="00775702"/>
    <w:rsid w:val="007760BC"/>
    <w:rsid w:val="00776148"/>
    <w:rsid w:val="00777944"/>
    <w:rsid w:val="007803CF"/>
    <w:rsid w:val="007805CA"/>
    <w:rsid w:val="00780BD4"/>
    <w:rsid w:val="00781AE4"/>
    <w:rsid w:val="0078279C"/>
    <w:rsid w:val="00784384"/>
    <w:rsid w:val="00784D27"/>
    <w:rsid w:val="0078509F"/>
    <w:rsid w:val="007854EA"/>
    <w:rsid w:val="007864D5"/>
    <w:rsid w:val="00790E7C"/>
    <w:rsid w:val="0079102E"/>
    <w:rsid w:val="0079255C"/>
    <w:rsid w:val="00792888"/>
    <w:rsid w:val="00794499"/>
    <w:rsid w:val="00794545"/>
    <w:rsid w:val="00794731"/>
    <w:rsid w:val="00794872"/>
    <w:rsid w:val="007956F3"/>
    <w:rsid w:val="007963E7"/>
    <w:rsid w:val="00796A5B"/>
    <w:rsid w:val="007A1364"/>
    <w:rsid w:val="007A1DAD"/>
    <w:rsid w:val="007A371D"/>
    <w:rsid w:val="007A5617"/>
    <w:rsid w:val="007A6CB5"/>
    <w:rsid w:val="007A7524"/>
    <w:rsid w:val="007B0523"/>
    <w:rsid w:val="007B0885"/>
    <w:rsid w:val="007B0974"/>
    <w:rsid w:val="007B0FB6"/>
    <w:rsid w:val="007B1C31"/>
    <w:rsid w:val="007B1CD3"/>
    <w:rsid w:val="007B3BE9"/>
    <w:rsid w:val="007B3C4F"/>
    <w:rsid w:val="007B423D"/>
    <w:rsid w:val="007B59AA"/>
    <w:rsid w:val="007B6546"/>
    <w:rsid w:val="007B6F34"/>
    <w:rsid w:val="007C1C15"/>
    <w:rsid w:val="007C317A"/>
    <w:rsid w:val="007C34FC"/>
    <w:rsid w:val="007C4278"/>
    <w:rsid w:val="007C51D4"/>
    <w:rsid w:val="007C5599"/>
    <w:rsid w:val="007C6871"/>
    <w:rsid w:val="007C73D3"/>
    <w:rsid w:val="007D033B"/>
    <w:rsid w:val="007D262D"/>
    <w:rsid w:val="007D5408"/>
    <w:rsid w:val="007D5AA6"/>
    <w:rsid w:val="007D6BDB"/>
    <w:rsid w:val="007D7382"/>
    <w:rsid w:val="007D754C"/>
    <w:rsid w:val="007D7DD6"/>
    <w:rsid w:val="007E05D9"/>
    <w:rsid w:val="007E1156"/>
    <w:rsid w:val="007E1D51"/>
    <w:rsid w:val="007E2AB9"/>
    <w:rsid w:val="007E2D0B"/>
    <w:rsid w:val="007E3792"/>
    <w:rsid w:val="007E63B9"/>
    <w:rsid w:val="007E6456"/>
    <w:rsid w:val="007E6B37"/>
    <w:rsid w:val="007E708E"/>
    <w:rsid w:val="007F0498"/>
    <w:rsid w:val="007F4007"/>
    <w:rsid w:val="007F6908"/>
    <w:rsid w:val="008009F1"/>
    <w:rsid w:val="00801DD9"/>
    <w:rsid w:val="00801EF2"/>
    <w:rsid w:val="00802813"/>
    <w:rsid w:val="0080317D"/>
    <w:rsid w:val="008038A7"/>
    <w:rsid w:val="00803924"/>
    <w:rsid w:val="00803F00"/>
    <w:rsid w:val="008043EA"/>
    <w:rsid w:val="00805627"/>
    <w:rsid w:val="00806B26"/>
    <w:rsid w:val="00807875"/>
    <w:rsid w:val="008102E9"/>
    <w:rsid w:val="00813A21"/>
    <w:rsid w:val="0081488F"/>
    <w:rsid w:val="00815CF7"/>
    <w:rsid w:val="008162AB"/>
    <w:rsid w:val="00816E9E"/>
    <w:rsid w:val="00817B8E"/>
    <w:rsid w:val="00820409"/>
    <w:rsid w:val="00821F0A"/>
    <w:rsid w:val="00822AD3"/>
    <w:rsid w:val="00822E37"/>
    <w:rsid w:val="0082319C"/>
    <w:rsid w:val="00823A66"/>
    <w:rsid w:val="008317C4"/>
    <w:rsid w:val="00833F7F"/>
    <w:rsid w:val="00834243"/>
    <w:rsid w:val="00834652"/>
    <w:rsid w:val="00834BB8"/>
    <w:rsid w:val="00834CB7"/>
    <w:rsid w:val="008351A3"/>
    <w:rsid w:val="00835837"/>
    <w:rsid w:val="008359B0"/>
    <w:rsid w:val="00835C3E"/>
    <w:rsid w:val="008361B4"/>
    <w:rsid w:val="00837B29"/>
    <w:rsid w:val="0084095D"/>
    <w:rsid w:val="0084168D"/>
    <w:rsid w:val="008431F0"/>
    <w:rsid w:val="00843584"/>
    <w:rsid w:val="00845E09"/>
    <w:rsid w:val="00846D7E"/>
    <w:rsid w:val="008506D8"/>
    <w:rsid w:val="00853188"/>
    <w:rsid w:val="008536BB"/>
    <w:rsid w:val="00853F0B"/>
    <w:rsid w:val="0085487D"/>
    <w:rsid w:val="008553F4"/>
    <w:rsid w:val="00855618"/>
    <w:rsid w:val="00856C42"/>
    <w:rsid w:val="00857969"/>
    <w:rsid w:val="00860087"/>
    <w:rsid w:val="00863464"/>
    <w:rsid w:val="00863692"/>
    <w:rsid w:val="008641A3"/>
    <w:rsid w:val="008644C4"/>
    <w:rsid w:val="00865421"/>
    <w:rsid w:val="00866A7C"/>
    <w:rsid w:val="00871281"/>
    <w:rsid w:val="00871C58"/>
    <w:rsid w:val="0087305A"/>
    <w:rsid w:val="008730C0"/>
    <w:rsid w:val="00873AAB"/>
    <w:rsid w:val="0087406F"/>
    <w:rsid w:val="008742AB"/>
    <w:rsid w:val="008768EB"/>
    <w:rsid w:val="00876AB2"/>
    <w:rsid w:val="00876DA0"/>
    <w:rsid w:val="008803CF"/>
    <w:rsid w:val="0088092E"/>
    <w:rsid w:val="00880A17"/>
    <w:rsid w:val="0088113A"/>
    <w:rsid w:val="00881288"/>
    <w:rsid w:val="0088285B"/>
    <w:rsid w:val="00882F9C"/>
    <w:rsid w:val="0088398F"/>
    <w:rsid w:val="00884EF5"/>
    <w:rsid w:val="00886ADD"/>
    <w:rsid w:val="00886BD5"/>
    <w:rsid w:val="0088746B"/>
    <w:rsid w:val="00887591"/>
    <w:rsid w:val="00890067"/>
    <w:rsid w:val="00890C05"/>
    <w:rsid w:val="00891060"/>
    <w:rsid w:val="0089180C"/>
    <w:rsid w:val="008921B0"/>
    <w:rsid w:val="00892979"/>
    <w:rsid w:val="00894189"/>
    <w:rsid w:val="00894984"/>
    <w:rsid w:val="00895434"/>
    <w:rsid w:val="0089611D"/>
    <w:rsid w:val="008A06EF"/>
    <w:rsid w:val="008A1187"/>
    <w:rsid w:val="008A180D"/>
    <w:rsid w:val="008A271E"/>
    <w:rsid w:val="008A4C4C"/>
    <w:rsid w:val="008A7022"/>
    <w:rsid w:val="008A7578"/>
    <w:rsid w:val="008A76C0"/>
    <w:rsid w:val="008B0ECE"/>
    <w:rsid w:val="008B1499"/>
    <w:rsid w:val="008B1B95"/>
    <w:rsid w:val="008B2751"/>
    <w:rsid w:val="008B2CFA"/>
    <w:rsid w:val="008B2E0C"/>
    <w:rsid w:val="008B2E93"/>
    <w:rsid w:val="008B31F6"/>
    <w:rsid w:val="008B3393"/>
    <w:rsid w:val="008B3696"/>
    <w:rsid w:val="008B564A"/>
    <w:rsid w:val="008B59DA"/>
    <w:rsid w:val="008B7291"/>
    <w:rsid w:val="008C0F44"/>
    <w:rsid w:val="008C1C89"/>
    <w:rsid w:val="008C2269"/>
    <w:rsid w:val="008C4089"/>
    <w:rsid w:val="008C6B72"/>
    <w:rsid w:val="008C6E03"/>
    <w:rsid w:val="008C795E"/>
    <w:rsid w:val="008D07F9"/>
    <w:rsid w:val="008D089B"/>
    <w:rsid w:val="008D1705"/>
    <w:rsid w:val="008D22A7"/>
    <w:rsid w:val="008D2727"/>
    <w:rsid w:val="008D28C8"/>
    <w:rsid w:val="008D2B8D"/>
    <w:rsid w:val="008D2C95"/>
    <w:rsid w:val="008D339F"/>
    <w:rsid w:val="008D48ED"/>
    <w:rsid w:val="008D4986"/>
    <w:rsid w:val="008D4B26"/>
    <w:rsid w:val="008D5A36"/>
    <w:rsid w:val="008D6474"/>
    <w:rsid w:val="008D726A"/>
    <w:rsid w:val="008D7F38"/>
    <w:rsid w:val="008E2E71"/>
    <w:rsid w:val="008E3C24"/>
    <w:rsid w:val="008E4F17"/>
    <w:rsid w:val="008E5A2D"/>
    <w:rsid w:val="008E6292"/>
    <w:rsid w:val="008E70DF"/>
    <w:rsid w:val="008E7CB1"/>
    <w:rsid w:val="008F03C5"/>
    <w:rsid w:val="008F3127"/>
    <w:rsid w:val="008F3DD3"/>
    <w:rsid w:val="008F431B"/>
    <w:rsid w:val="008F4FF8"/>
    <w:rsid w:val="008F54DF"/>
    <w:rsid w:val="008F5F18"/>
    <w:rsid w:val="008F5F84"/>
    <w:rsid w:val="008F660C"/>
    <w:rsid w:val="008F69D7"/>
    <w:rsid w:val="008F77E6"/>
    <w:rsid w:val="00900619"/>
    <w:rsid w:val="00900FBC"/>
    <w:rsid w:val="009012A9"/>
    <w:rsid w:val="00901ABF"/>
    <w:rsid w:val="00902A52"/>
    <w:rsid w:val="00903B8D"/>
    <w:rsid w:val="009064AC"/>
    <w:rsid w:val="00906D1D"/>
    <w:rsid w:val="009079FC"/>
    <w:rsid w:val="00907B7C"/>
    <w:rsid w:val="00907B84"/>
    <w:rsid w:val="00910856"/>
    <w:rsid w:val="00911147"/>
    <w:rsid w:val="00913232"/>
    <w:rsid w:val="00915734"/>
    <w:rsid w:val="00915FA1"/>
    <w:rsid w:val="00916241"/>
    <w:rsid w:val="00916847"/>
    <w:rsid w:val="0091744E"/>
    <w:rsid w:val="0092131F"/>
    <w:rsid w:val="0092458B"/>
    <w:rsid w:val="00924EE2"/>
    <w:rsid w:val="00925A70"/>
    <w:rsid w:val="00925AA5"/>
    <w:rsid w:val="00926065"/>
    <w:rsid w:val="009260EF"/>
    <w:rsid w:val="00926136"/>
    <w:rsid w:val="00927816"/>
    <w:rsid w:val="00930D1D"/>
    <w:rsid w:val="009312E8"/>
    <w:rsid w:val="009314A9"/>
    <w:rsid w:val="00931A5E"/>
    <w:rsid w:val="009326FB"/>
    <w:rsid w:val="009328EA"/>
    <w:rsid w:val="009328F7"/>
    <w:rsid w:val="00932A45"/>
    <w:rsid w:val="00933438"/>
    <w:rsid w:val="0093385B"/>
    <w:rsid w:val="00933E57"/>
    <w:rsid w:val="0093430C"/>
    <w:rsid w:val="00936661"/>
    <w:rsid w:val="0094019D"/>
    <w:rsid w:val="009411D8"/>
    <w:rsid w:val="00941F43"/>
    <w:rsid w:val="00942C11"/>
    <w:rsid w:val="00943726"/>
    <w:rsid w:val="00943AFE"/>
    <w:rsid w:val="00943B37"/>
    <w:rsid w:val="00944057"/>
    <w:rsid w:val="00944E51"/>
    <w:rsid w:val="00944ED7"/>
    <w:rsid w:val="00951A86"/>
    <w:rsid w:val="00951BCF"/>
    <w:rsid w:val="00952671"/>
    <w:rsid w:val="00954AC4"/>
    <w:rsid w:val="00955D4F"/>
    <w:rsid w:val="00957C30"/>
    <w:rsid w:val="00957C31"/>
    <w:rsid w:val="00960237"/>
    <w:rsid w:val="00961650"/>
    <w:rsid w:val="00961C8D"/>
    <w:rsid w:val="0096273C"/>
    <w:rsid w:val="00963B83"/>
    <w:rsid w:val="00963C30"/>
    <w:rsid w:val="00963E8D"/>
    <w:rsid w:val="00965070"/>
    <w:rsid w:val="00966809"/>
    <w:rsid w:val="00967D3C"/>
    <w:rsid w:val="00970486"/>
    <w:rsid w:val="009705E8"/>
    <w:rsid w:val="0097112B"/>
    <w:rsid w:val="009712EB"/>
    <w:rsid w:val="00972C01"/>
    <w:rsid w:val="009732EC"/>
    <w:rsid w:val="00973673"/>
    <w:rsid w:val="00974839"/>
    <w:rsid w:val="00974C29"/>
    <w:rsid w:val="00974E5F"/>
    <w:rsid w:val="00974E60"/>
    <w:rsid w:val="009758F6"/>
    <w:rsid w:val="0097615C"/>
    <w:rsid w:val="009767C5"/>
    <w:rsid w:val="00977637"/>
    <w:rsid w:val="00980F21"/>
    <w:rsid w:val="00981CB3"/>
    <w:rsid w:val="009821CE"/>
    <w:rsid w:val="00982E25"/>
    <w:rsid w:val="009852CF"/>
    <w:rsid w:val="00985810"/>
    <w:rsid w:val="0098726E"/>
    <w:rsid w:val="009879E9"/>
    <w:rsid w:val="00991A14"/>
    <w:rsid w:val="009927E5"/>
    <w:rsid w:val="009947BD"/>
    <w:rsid w:val="009959A9"/>
    <w:rsid w:val="00995AC5"/>
    <w:rsid w:val="00995EC0"/>
    <w:rsid w:val="00996036"/>
    <w:rsid w:val="00996A4D"/>
    <w:rsid w:val="009971A0"/>
    <w:rsid w:val="009A5A2F"/>
    <w:rsid w:val="009A658F"/>
    <w:rsid w:val="009A668A"/>
    <w:rsid w:val="009A6F54"/>
    <w:rsid w:val="009A7022"/>
    <w:rsid w:val="009A7BE9"/>
    <w:rsid w:val="009B0B90"/>
    <w:rsid w:val="009B1982"/>
    <w:rsid w:val="009B1A65"/>
    <w:rsid w:val="009B2200"/>
    <w:rsid w:val="009B27BA"/>
    <w:rsid w:val="009B2ED5"/>
    <w:rsid w:val="009B3598"/>
    <w:rsid w:val="009B4F4D"/>
    <w:rsid w:val="009B613E"/>
    <w:rsid w:val="009B63EB"/>
    <w:rsid w:val="009B73BE"/>
    <w:rsid w:val="009C04A7"/>
    <w:rsid w:val="009C072C"/>
    <w:rsid w:val="009C2478"/>
    <w:rsid w:val="009C6787"/>
    <w:rsid w:val="009C6E4F"/>
    <w:rsid w:val="009D0511"/>
    <w:rsid w:val="009D1F68"/>
    <w:rsid w:val="009D251D"/>
    <w:rsid w:val="009D2AD4"/>
    <w:rsid w:val="009D31A1"/>
    <w:rsid w:val="009D3543"/>
    <w:rsid w:val="009D409A"/>
    <w:rsid w:val="009D420F"/>
    <w:rsid w:val="009D4337"/>
    <w:rsid w:val="009D5188"/>
    <w:rsid w:val="009D6771"/>
    <w:rsid w:val="009D6D48"/>
    <w:rsid w:val="009E0784"/>
    <w:rsid w:val="009E09E2"/>
    <w:rsid w:val="009E1817"/>
    <w:rsid w:val="009E1D3F"/>
    <w:rsid w:val="009E1ED7"/>
    <w:rsid w:val="009E209E"/>
    <w:rsid w:val="009E357B"/>
    <w:rsid w:val="009E3CFD"/>
    <w:rsid w:val="009E3E5F"/>
    <w:rsid w:val="009E48C6"/>
    <w:rsid w:val="009E50DF"/>
    <w:rsid w:val="009E5225"/>
    <w:rsid w:val="009E7098"/>
    <w:rsid w:val="009E7B4F"/>
    <w:rsid w:val="009F0974"/>
    <w:rsid w:val="009F0B9D"/>
    <w:rsid w:val="009F157E"/>
    <w:rsid w:val="009F17DA"/>
    <w:rsid w:val="009F1E69"/>
    <w:rsid w:val="009F1EDF"/>
    <w:rsid w:val="009F59FC"/>
    <w:rsid w:val="009F6D49"/>
    <w:rsid w:val="00A015D6"/>
    <w:rsid w:val="00A028D1"/>
    <w:rsid w:val="00A03693"/>
    <w:rsid w:val="00A03789"/>
    <w:rsid w:val="00A03B1F"/>
    <w:rsid w:val="00A04110"/>
    <w:rsid w:val="00A04634"/>
    <w:rsid w:val="00A046D0"/>
    <w:rsid w:val="00A069B0"/>
    <w:rsid w:val="00A07F89"/>
    <w:rsid w:val="00A100A5"/>
    <w:rsid w:val="00A10589"/>
    <w:rsid w:val="00A10F88"/>
    <w:rsid w:val="00A14747"/>
    <w:rsid w:val="00A15BF3"/>
    <w:rsid w:val="00A16505"/>
    <w:rsid w:val="00A16E03"/>
    <w:rsid w:val="00A2098E"/>
    <w:rsid w:val="00A20DFD"/>
    <w:rsid w:val="00A225EA"/>
    <w:rsid w:val="00A22A56"/>
    <w:rsid w:val="00A232D2"/>
    <w:rsid w:val="00A23D20"/>
    <w:rsid w:val="00A249B7"/>
    <w:rsid w:val="00A260CD"/>
    <w:rsid w:val="00A26EFA"/>
    <w:rsid w:val="00A27767"/>
    <w:rsid w:val="00A27C4D"/>
    <w:rsid w:val="00A314F8"/>
    <w:rsid w:val="00A320C5"/>
    <w:rsid w:val="00A32B9B"/>
    <w:rsid w:val="00A3326E"/>
    <w:rsid w:val="00A33A4B"/>
    <w:rsid w:val="00A34953"/>
    <w:rsid w:val="00A35E3F"/>
    <w:rsid w:val="00A36DD6"/>
    <w:rsid w:val="00A3712B"/>
    <w:rsid w:val="00A3749B"/>
    <w:rsid w:val="00A37E96"/>
    <w:rsid w:val="00A421D2"/>
    <w:rsid w:val="00A43BD0"/>
    <w:rsid w:val="00A43C53"/>
    <w:rsid w:val="00A453A1"/>
    <w:rsid w:val="00A4563B"/>
    <w:rsid w:val="00A45FBD"/>
    <w:rsid w:val="00A46761"/>
    <w:rsid w:val="00A4775F"/>
    <w:rsid w:val="00A50D2A"/>
    <w:rsid w:val="00A50D2C"/>
    <w:rsid w:val="00A511B6"/>
    <w:rsid w:val="00A51D8B"/>
    <w:rsid w:val="00A52893"/>
    <w:rsid w:val="00A54C10"/>
    <w:rsid w:val="00A55326"/>
    <w:rsid w:val="00A5549C"/>
    <w:rsid w:val="00A558AF"/>
    <w:rsid w:val="00A55B95"/>
    <w:rsid w:val="00A55BFF"/>
    <w:rsid w:val="00A56237"/>
    <w:rsid w:val="00A62E42"/>
    <w:rsid w:val="00A64A71"/>
    <w:rsid w:val="00A652B8"/>
    <w:rsid w:val="00A6605B"/>
    <w:rsid w:val="00A670F0"/>
    <w:rsid w:val="00A7031C"/>
    <w:rsid w:val="00A7051F"/>
    <w:rsid w:val="00A71AB3"/>
    <w:rsid w:val="00A71C0E"/>
    <w:rsid w:val="00A72A51"/>
    <w:rsid w:val="00A736F9"/>
    <w:rsid w:val="00A73782"/>
    <w:rsid w:val="00A75EE5"/>
    <w:rsid w:val="00A8116F"/>
    <w:rsid w:val="00A818DD"/>
    <w:rsid w:val="00A838F2"/>
    <w:rsid w:val="00A850F1"/>
    <w:rsid w:val="00A8657A"/>
    <w:rsid w:val="00A87259"/>
    <w:rsid w:val="00A90AB6"/>
    <w:rsid w:val="00A9254C"/>
    <w:rsid w:val="00A92A56"/>
    <w:rsid w:val="00A93B0E"/>
    <w:rsid w:val="00A951F6"/>
    <w:rsid w:val="00A953B8"/>
    <w:rsid w:val="00A959E2"/>
    <w:rsid w:val="00A971BC"/>
    <w:rsid w:val="00A971DE"/>
    <w:rsid w:val="00A97AA1"/>
    <w:rsid w:val="00A97AE9"/>
    <w:rsid w:val="00AA0137"/>
    <w:rsid w:val="00AA1786"/>
    <w:rsid w:val="00AA3B12"/>
    <w:rsid w:val="00AA4EFD"/>
    <w:rsid w:val="00AA5D70"/>
    <w:rsid w:val="00AA67D0"/>
    <w:rsid w:val="00AB17F0"/>
    <w:rsid w:val="00AB1BFF"/>
    <w:rsid w:val="00AB21E9"/>
    <w:rsid w:val="00AB26F7"/>
    <w:rsid w:val="00AB5A85"/>
    <w:rsid w:val="00AB6791"/>
    <w:rsid w:val="00AB6DF0"/>
    <w:rsid w:val="00AC088A"/>
    <w:rsid w:val="00AC0894"/>
    <w:rsid w:val="00AC0BC1"/>
    <w:rsid w:val="00AC18AF"/>
    <w:rsid w:val="00AC214C"/>
    <w:rsid w:val="00AC2BFC"/>
    <w:rsid w:val="00AC33EB"/>
    <w:rsid w:val="00AC3548"/>
    <w:rsid w:val="00AC385A"/>
    <w:rsid w:val="00AC4C8D"/>
    <w:rsid w:val="00AC5868"/>
    <w:rsid w:val="00AC63D7"/>
    <w:rsid w:val="00AC72D3"/>
    <w:rsid w:val="00AC7966"/>
    <w:rsid w:val="00AC79CB"/>
    <w:rsid w:val="00AD0330"/>
    <w:rsid w:val="00AD1E03"/>
    <w:rsid w:val="00AD2692"/>
    <w:rsid w:val="00AD3131"/>
    <w:rsid w:val="00AD3948"/>
    <w:rsid w:val="00AD3AC5"/>
    <w:rsid w:val="00AD4511"/>
    <w:rsid w:val="00AD60B6"/>
    <w:rsid w:val="00AD6FB0"/>
    <w:rsid w:val="00AD769D"/>
    <w:rsid w:val="00AD7FA8"/>
    <w:rsid w:val="00AE0668"/>
    <w:rsid w:val="00AE12EF"/>
    <w:rsid w:val="00AE2F90"/>
    <w:rsid w:val="00AE2FCB"/>
    <w:rsid w:val="00AE3C97"/>
    <w:rsid w:val="00AE3F89"/>
    <w:rsid w:val="00AE4849"/>
    <w:rsid w:val="00AE5429"/>
    <w:rsid w:val="00AE57D5"/>
    <w:rsid w:val="00AE5A3B"/>
    <w:rsid w:val="00AE6D60"/>
    <w:rsid w:val="00AF0461"/>
    <w:rsid w:val="00AF04F0"/>
    <w:rsid w:val="00AF081A"/>
    <w:rsid w:val="00AF1D04"/>
    <w:rsid w:val="00AF2593"/>
    <w:rsid w:val="00AF40A0"/>
    <w:rsid w:val="00AF4503"/>
    <w:rsid w:val="00AF49E5"/>
    <w:rsid w:val="00AF591B"/>
    <w:rsid w:val="00AF6D64"/>
    <w:rsid w:val="00AF719B"/>
    <w:rsid w:val="00AF7A2E"/>
    <w:rsid w:val="00B010D9"/>
    <w:rsid w:val="00B0155E"/>
    <w:rsid w:val="00B0176F"/>
    <w:rsid w:val="00B0195A"/>
    <w:rsid w:val="00B01A7B"/>
    <w:rsid w:val="00B025AE"/>
    <w:rsid w:val="00B0286D"/>
    <w:rsid w:val="00B03C0F"/>
    <w:rsid w:val="00B0655F"/>
    <w:rsid w:val="00B074EE"/>
    <w:rsid w:val="00B07E8B"/>
    <w:rsid w:val="00B07EC3"/>
    <w:rsid w:val="00B10556"/>
    <w:rsid w:val="00B10721"/>
    <w:rsid w:val="00B10753"/>
    <w:rsid w:val="00B11399"/>
    <w:rsid w:val="00B11609"/>
    <w:rsid w:val="00B1314A"/>
    <w:rsid w:val="00B13912"/>
    <w:rsid w:val="00B139F2"/>
    <w:rsid w:val="00B13B75"/>
    <w:rsid w:val="00B13DFF"/>
    <w:rsid w:val="00B15010"/>
    <w:rsid w:val="00B16312"/>
    <w:rsid w:val="00B17CE2"/>
    <w:rsid w:val="00B20397"/>
    <w:rsid w:val="00B227C9"/>
    <w:rsid w:val="00B22935"/>
    <w:rsid w:val="00B22ED3"/>
    <w:rsid w:val="00B23A52"/>
    <w:rsid w:val="00B24AE7"/>
    <w:rsid w:val="00B25F64"/>
    <w:rsid w:val="00B27346"/>
    <w:rsid w:val="00B27566"/>
    <w:rsid w:val="00B2762F"/>
    <w:rsid w:val="00B27756"/>
    <w:rsid w:val="00B30542"/>
    <w:rsid w:val="00B3149D"/>
    <w:rsid w:val="00B339E8"/>
    <w:rsid w:val="00B355B8"/>
    <w:rsid w:val="00B36673"/>
    <w:rsid w:val="00B367FF"/>
    <w:rsid w:val="00B36DC0"/>
    <w:rsid w:val="00B3757C"/>
    <w:rsid w:val="00B401E2"/>
    <w:rsid w:val="00B41F00"/>
    <w:rsid w:val="00B4288E"/>
    <w:rsid w:val="00B4659C"/>
    <w:rsid w:val="00B47692"/>
    <w:rsid w:val="00B502B5"/>
    <w:rsid w:val="00B50B6F"/>
    <w:rsid w:val="00B53601"/>
    <w:rsid w:val="00B53E2E"/>
    <w:rsid w:val="00B5576A"/>
    <w:rsid w:val="00B568BA"/>
    <w:rsid w:val="00B56D6E"/>
    <w:rsid w:val="00B611DB"/>
    <w:rsid w:val="00B61EE0"/>
    <w:rsid w:val="00B62F77"/>
    <w:rsid w:val="00B63AF9"/>
    <w:rsid w:val="00B669A2"/>
    <w:rsid w:val="00B7147C"/>
    <w:rsid w:val="00B71DED"/>
    <w:rsid w:val="00B71EC5"/>
    <w:rsid w:val="00B725FE"/>
    <w:rsid w:val="00B72C43"/>
    <w:rsid w:val="00B73F1C"/>
    <w:rsid w:val="00B749E0"/>
    <w:rsid w:val="00B76CFD"/>
    <w:rsid w:val="00B770FF"/>
    <w:rsid w:val="00B8059F"/>
    <w:rsid w:val="00B80D90"/>
    <w:rsid w:val="00B81F56"/>
    <w:rsid w:val="00B822EA"/>
    <w:rsid w:val="00B82EF9"/>
    <w:rsid w:val="00B837F7"/>
    <w:rsid w:val="00B838EA"/>
    <w:rsid w:val="00B83A23"/>
    <w:rsid w:val="00B83F8D"/>
    <w:rsid w:val="00B84875"/>
    <w:rsid w:val="00B85F47"/>
    <w:rsid w:val="00B86345"/>
    <w:rsid w:val="00B870CA"/>
    <w:rsid w:val="00B87927"/>
    <w:rsid w:val="00B90B8B"/>
    <w:rsid w:val="00B91ABC"/>
    <w:rsid w:val="00B91D4E"/>
    <w:rsid w:val="00B92596"/>
    <w:rsid w:val="00B92619"/>
    <w:rsid w:val="00B93BA0"/>
    <w:rsid w:val="00B93BE9"/>
    <w:rsid w:val="00B945D8"/>
    <w:rsid w:val="00B94F36"/>
    <w:rsid w:val="00B95511"/>
    <w:rsid w:val="00B95783"/>
    <w:rsid w:val="00B9639D"/>
    <w:rsid w:val="00B967CF"/>
    <w:rsid w:val="00B97A6E"/>
    <w:rsid w:val="00B97B36"/>
    <w:rsid w:val="00B97D2F"/>
    <w:rsid w:val="00BA0CAC"/>
    <w:rsid w:val="00BA164C"/>
    <w:rsid w:val="00BA1B42"/>
    <w:rsid w:val="00BA1EA7"/>
    <w:rsid w:val="00BA2B15"/>
    <w:rsid w:val="00BA4CF1"/>
    <w:rsid w:val="00BA4FB1"/>
    <w:rsid w:val="00BA5E90"/>
    <w:rsid w:val="00BA643F"/>
    <w:rsid w:val="00BA77F8"/>
    <w:rsid w:val="00BA7B9B"/>
    <w:rsid w:val="00BB0117"/>
    <w:rsid w:val="00BB040F"/>
    <w:rsid w:val="00BB10B5"/>
    <w:rsid w:val="00BB215B"/>
    <w:rsid w:val="00BB2CAC"/>
    <w:rsid w:val="00BB4C6A"/>
    <w:rsid w:val="00BB7393"/>
    <w:rsid w:val="00BB7FC8"/>
    <w:rsid w:val="00BC091B"/>
    <w:rsid w:val="00BC319F"/>
    <w:rsid w:val="00BC32B8"/>
    <w:rsid w:val="00BC3FE6"/>
    <w:rsid w:val="00BC41E7"/>
    <w:rsid w:val="00BC4871"/>
    <w:rsid w:val="00BC5420"/>
    <w:rsid w:val="00BC58C2"/>
    <w:rsid w:val="00BC6F32"/>
    <w:rsid w:val="00BD02BC"/>
    <w:rsid w:val="00BD145A"/>
    <w:rsid w:val="00BD5650"/>
    <w:rsid w:val="00BD5730"/>
    <w:rsid w:val="00BD5C8D"/>
    <w:rsid w:val="00BD5D99"/>
    <w:rsid w:val="00BD6305"/>
    <w:rsid w:val="00BD7143"/>
    <w:rsid w:val="00BE039D"/>
    <w:rsid w:val="00BE0E97"/>
    <w:rsid w:val="00BE1020"/>
    <w:rsid w:val="00BE2481"/>
    <w:rsid w:val="00BE26DD"/>
    <w:rsid w:val="00BE4194"/>
    <w:rsid w:val="00BE4960"/>
    <w:rsid w:val="00BE4D30"/>
    <w:rsid w:val="00BE4EE6"/>
    <w:rsid w:val="00BE52F6"/>
    <w:rsid w:val="00BE534F"/>
    <w:rsid w:val="00BE5E2C"/>
    <w:rsid w:val="00BE6C37"/>
    <w:rsid w:val="00BE7D05"/>
    <w:rsid w:val="00BF1095"/>
    <w:rsid w:val="00BF297E"/>
    <w:rsid w:val="00BF2D05"/>
    <w:rsid w:val="00BF3B18"/>
    <w:rsid w:val="00BF3F75"/>
    <w:rsid w:val="00BF4234"/>
    <w:rsid w:val="00BF4D0B"/>
    <w:rsid w:val="00BF5C0A"/>
    <w:rsid w:val="00BF7A33"/>
    <w:rsid w:val="00C0090A"/>
    <w:rsid w:val="00C00A32"/>
    <w:rsid w:val="00C012CB"/>
    <w:rsid w:val="00C01F71"/>
    <w:rsid w:val="00C02115"/>
    <w:rsid w:val="00C0314A"/>
    <w:rsid w:val="00C045D8"/>
    <w:rsid w:val="00C052D4"/>
    <w:rsid w:val="00C060B6"/>
    <w:rsid w:val="00C063A0"/>
    <w:rsid w:val="00C10100"/>
    <w:rsid w:val="00C10850"/>
    <w:rsid w:val="00C10DCF"/>
    <w:rsid w:val="00C11933"/>
    <w:rsid w:val="00C12D5B"/>
    <w:rsid w:val="00C131C0"/>
    <w:rsid w:val="00C131FA"/>
    <w:rsid w:val="00C1406C"/>
    <w:rsid w:val="00C14850"/>
    <w:rsid w:val="00C153DD"/>
    <w:rsid w:val="00C16CD7"/>
    <w:rsid w:val="00C200B6"/>
    <w:rsid w:val="00C222F5"/>
    <w:rsid w:val="00C227E1"/>
    <w:rsid w:val="00C2295F"/>
    <w:rsid w:val="00C22F25"/>
    <w:rsid w:val="00C23145"/>
    <w:rsid w:val="00C231DD"/>
    <w:rsid w:val="00C2323E"/>
    <w:rsid w:val="00C2422A"/>
    <w:rsid w:val="00C247E2"/>
    <w:rsid w:val="00C24E08"/>
    <w:rsid w:val="00C24EAD"/>
    <w:rsid w:val="00C2500D"/>
    <w:rsid w:val="00C25AD6"/>
    <w:rsid w:val="00C27A78"/>
    <w:rsid w:val="00C30297"/>
    <w:rsid w:val="00C309E5"/>
    <w:rsid w:val="00C3160E"/>
    <w:rsid w:val="00C31849"/>
    <w:rsid w:val="00C3259F"/>
    <w:rsid w:val="00C33E47"/>
    <w:rsid w:val="00C3411E"/>
    <w:rsid w:val="00C3539F"/>
    <w:rsid w:val="00C3552C"/>
    <w:rsid w:val="00C36D7F"/>
    <w:rsid w:val="00C409ED"/>
    <w:rsid w:val="00C422D8"/>
    <w:rsid w:val="00C43D8C"/>
    <w:rsid w:val="00C5014F"/>
    <w:rsid w:val="00C515CA"/>
    <w:rsid w:val="00C51778"/>
    <w:rsid w:val="00C518BB"/>
    <w:rsid w:val="00C52A4C"/>
    <w:rsid w:val="00C52D02"/>
    <w:rsid w:val="00C53948"/>
    <w:rsid w:val="00C53C47"/>
    <w:rsid w:val="00C54E4E"/>
    <w:rsid w:val="00C556EE"/>
    <w:rsid w:val="00C55BDB"/>
    <w:rsid w:val="00C57EC2"/>
    <w:rsid w:val="00C60944"/>
    <w:rsid w:val="00C623A0"/>
    <w:rsid w:val="00C62451"/>
    <w:rsid w:val="00C63AB9"/>
    <w:rsid w:val="00C64EDE"/>
    <w:rsid w:val="00C6519D"/>
    <w:rsid w:val="00C6521C"/>
    <w:rsid w:val="00C66091"/>
    <w:rsid w:val="00C663AB"/>
    <w:rsid w:val="00C66919"/>
    <w:rsid w:val="00C677BE"/>
    <w:rsid w:val="00C70543"/>
    <w:rsid w:val="00C710C2"/>
    <w:rsid w:val="00C71261"/>
    <w:rsid w:val="00C7141B"/>
    <w:rsid w:val="00C719A7"/>
    <w:rsid w:val="00C720F8"/>
    <w:rsid w:val="00C72C0A"/>
    <w:rsid w:val="00C7408E"/>
    <w:rsid w:val="00C74DAE"/>
    <w:rsid w:val="00C75753"/>
    <w:rsid w:val="00C758D8"/>
    <w:rsid w:val="00C80021"/>
    <w:rsid w:val="00C815C2"/>
    <w:rsid w:val="00C81669"/>
    <w:rsid w:val="00C82F9C"/>
    <w:rsid w:val="00C8450F"/>
    <w:rsid w:val="00C85314"/>
    <w:rsid w:val="00C85317"/>
    <w:rsid w:val="00C8658B"/>
    <w:rsid w:val="00C869B7"/>
    <w:rsid w:val="00C90C9A"/>
    <w:rsid w:val="00C92683"/>
    <w:rsid w:val="00C935B8"/>
    <w:rsid w:val="00C95512"/>
    <w:rsid w:val="00C970FE"/>
    <w:rsid w:val="00C976FB"/>
    <w:rsid w:val="00CA0DEA"/>
    <w:rsid w:val="00CA1229"/>
    <w:rsid w:val="00CA15B9"/>
    <w:rsid w:val="00CA3043"/>
    <w:rsid w:val="00CA31C0"/>
    <w:rsid w:val="00CA3EA3"/>
    <w:rsid w:val="00CA4491"/>
    <w:rsid w:val="00CA45F2"/>
    <w:rsid w:val="00CA46D6"/>
    <w:rsid w:val="00CA4BC0"/>
    <w:rsid w:val="00CA56E3"/>
    <w:rsid w:val="00CA60E8"/>
    <w:rsid w:val="00CA627D"/>
    <w:rsid w:val="00CA7F93"/>
    <w:rsid w:val="00CB0D85"/>
    <w:rsid w:val="00CB12DB"/>
    <w:rsid w:val="00CB4E2F"/>
    <w:rsid w:val="00CB585B"/>
    <w:rsid w:val="00CB675E"/>
    <w:rsid w:val="00CB6C63"/>
    <w:rsid w:val="00CC06C2"/>
    <w:rsid w:val="00CC0E9A"/>
    <w:rsid w:val="00CC1F0E"/>
    <w:rsid w:val="00CC32E0"/>
    <w:rsid w:val="00CC4063"/>
    <w:rsid w:val="00CC54FD"/>
    <w:rsid w:val="00CC559D"/>
    <w:rsid w:val="00CC7F14"/>
    <w:rsid w:val="00CD0111"/>
    <w:rsid w:val="00CD0177"/>
    <w:rsid w:val="00CD0AD6"/>
    <w:rsid w:val="00CD1974"/>
    <w:rsid w:val="00CD19E3"/>
    <w:rsid w:val="00CD25B8"/>
    <w:rsid w:val="00CD2D00"/>
    <w:rsid w:val="00CD2D9B"/>
    <w:rsid w:val="00CD2E79"/>
    <w:rsid w:val="00CD3DFA"/>
    <w:rsid w:val="00CD40F5"/>
    <w:rsid w:val="00CD5C71"/>
    <w:rsid w:val="00CD63C7"/>
    <w:rsid w:val="00CD654B"/>
    <w:rsid w:val="00CD6BD4"/>
    <w:rsid w:val="00CD78B3"/>
    <w:rsid w:val="00CD7A49"/>
    <w:rsid w:val="00CD7E31"/>
    <w:rsid w:val="00CE0155"/>
    <w:rsid w:val="00CE1D6C"/>
    <w:rsid w:val="00CE2083"/>
    <w:rsid w:val="00CE223E"/>
    <w:rsid w:val="00CE2A30"/>
    <w:rsid w:val="00CE2AD8"/>
    <w:rsid w:val="00CE5A8E"/>
    <w:rsid w:val="00CE5B0C"/>
    <w:rsid w:val="00CE7A0A"/>
    <w:rsid w:val="00CE7C14"/>
    <w:rsid w:val="00CE7FBF"/>
    <w:rsid w:val="00CF0F05"/>
    <w:rsid w:val="00CF117E"/>
    <w:rsid w:val="00CF1C4C"/>
    <w:rsid w:val="00CF25D3"/>
    <w:rsid w:val="00CF34FC"/>
    <w:rsid w:val="00CF3746"/>
    <w:rsid w:val="00CF377E"/>
    <w:rsid w:val="00CF6577"/>
    <w:rsid w:val="00CF6E03"/>
    <w:rsid w:val="00CF703F"/>
    <w:rsid w:val="00D0007E"/>
    <w:rsid w:val="00D01759"/>
    <w:rsid w:val="00D01E2D"/>
    <w:rsid w:val="00D02EEC"/>
    <w:rsid w:val="00D03972"/>
    <w:rsid w:val="00D04071"/>
    <w:rsid w:val="00D059DA"/>
    <w:rsid w:val="00D063DA"/>
    <w:rsid w:val="00D0692E"/>
    <w:rsid w:val="00D072E2"/>
    <w:rsid w:val="00D0797D"/>
    <w:rsid w:val="00D07A8A"/>
    <w:rsid w:val="00D104C6"/>
    <w:rsid w:val="00D10D8F"/>
    <w:rsid w:val="00D1182D"/>
    <w:rsid w:val="00D11951"/>
    <w:rsid w:val="00D11ABA"/>
    <w:rsid w:val="00D120DA"/>
    <w:rsid w:val="00D12191"/>
    <w:rsid w:val="00D14392"/>
    <w:rsid w:val="00D145F5"/>
    <w:rsid w:val="00D146EC"/>
    <w:rsid w:val="00D17ACA"/>
    <w:rsid w:val="00D2073B"/>
    <w:rsid w:val="00D20A9E"/>
    <w:rsid w:val="00D22241"/>
    <w:rsid w:val="00D22462"/>
    <w:rsid w:val="00D25614"/>
    <w:rsid w:val="00D25A84"/>
    <w:rsid w:val="00D26A7C"/>
    <w:rsid w:val="00D26D8A"/>
    <w:rsid w:val="00D2767F"/>
    <w:rsid w:val="00D30CB2"/>
    <w:rsid w:val="00D30FA9"/>
    <w:rsid w:val="00D316B3"/>
    <w:rsid w:val="00D31F5D"/>
    <w:rsid w:val="00D3275D"/>
    <w:rsid w:val="00D355F0"/>
    <w:rsid w:val="00D35AB4"/>
    <w:rsid w:val="00D361F0"/>
    <w:rsid w:val="00D36823"/>
    <w:rsid w:val="00D375C2"/>
    <w:rsid w:val="00D379A7"/>
    <w:rsid w:val="00D41497"/>
    <w:rsid w:val="00D41DC4"/>
    <w:rsid w:val="00D450A3"/>
    <w:rsid w:val="00D4550E"/>
    <w:rsid w:val="00D45AF8"/>
    <w:rsid w:val="00D46425"/>
    <w:rsid w:val="00D46655"/>
    <w:rsid w:val="00D50DF7"/>
    <w:rsid w:val="00D515D8"/>
    <w:rsid w:val="00D51C05"/>
    <w:rsid w:val="00D52AD0"/>
    <w:rsid w:val="00D5323E"/>
    <w:rsid w:val="00D533F3"/>
    <w:rsid w:val="00D53F3B"/>
    <w:rsid w:val="00D56DCD"/>
    <w:rsid w:val="00D57590"/>
    <w:rsid w:val="00D60777"/>
    <w:rsid w:val="00D60F9B"/>
    <w:rsid w:val="00D64282"/>
    <w:rsid w:val="00D64F97"/>
    <w:rsid w:val="00D65213"/>
    <w:rsid w:val="00D65E0B"/>
    <w:rsid w:val="00D65E46"/>
    <w:rsid w:val="00D66242"/>
    <w:rsid w:val="00D6796B"/>
    <w:rsid w:val="00D70D89"/>
    <w:rsid w:val="00D7156B"/>
    <w:rsid w:val="00D717A8"/>
    <w:rsid w:val="00D7200E"/>
    <w:rsid w:val="00D727EC"/>
    <w:rsid w:val="00D72AD8"/>
    <w:rsid w:val="00D72B37"/>
    <w:rsid w:val="00D72CC5"/>
    <w:rsid w:val="00D747EF"/>
    <w:rsid w:val="00D7530B"/>
    <w:rsid w:val="00D7598B"/>
    <w:rsid w:val="00D7730F"/>
    <w:rsid w:val="00D77FA0"/>
    <w:rsid w:val="00D80108"/>
    <w:rsid w:val="00D815ED"/>
    <w:rsid w:val="00D819B4"/>
    <w:rsid w:val="00D83AC5"/>
    <w:rsid w:val="00D83BD9"/>
    <w:rsid w:val="00D84352"/>
    <w:rsid w:val="00D84429"/>
    <w:rsid w:val="00D8565C"/>
    <w:rsid w:val="00D856E1"/>
    <w:rsid w:val="00D85A8A"/>
    <w:rsid w:val="00D90365"/>
    <w:rsid w:val="00D90B7D"/>
    <w:rsid w:val="00D92043"/>
    <w:rsid w:val="00D93147"/>
    <w:rsid w:val="00D953D7"/>
    <w:rsid w:val="00D95882"/>
    <w:rsid w:val="00D95FB9"/>
    <w:rsid w:val="00D97D36"/>
    <w:rsid w:val="00D97E37"/>
    <w:rsid w:val="00DA066E"/>
    <w:rsid w:val="00DA11E2"/>
    <w:rsid w:val="00DA306C"/>
    <w:rsid w:val="00DA3B9A"/>
    <w:rsid w:val="00DA48B6"/>
    <w:rsid w:val="00DA58F0"/>
    <w:rsid w:val="00DA6125"/>
    <w:rsid w:val="00DA686B"/>
    <w:rsid w:val="00DA6874"/>
    <w:rsid w:val="00DA6C2B"/>
    <w:rsid w:val="00DA6DB5"/>
    <w:rsid w:val="00DB13A7"/>
    <w:rsid w:val="00DB1DB3"/>
    <w:rsid w:val="00DB3228"/>
    <w:rsid w:val="00DB322F"/>
    <w:rsid w:val="00DB368A"/>
    <w:rsid w:val="00DB4E17"/>
    <w:rsid w:val="00DB56EC"/>
    <w:rsid w:val="00DB6A15"/>
    <w:rsid w:val="00DB7C15"/>
    <w:rsid w:val="00DB7F09"/>
    <w:rsid w:val="00DC00E8"/>
    <w:rsid w:val="00DC13AF"/>
    <w:rsid w:val="00DC3010"/>
    <w:rsid w:val="00DC5735"/>
    <w:rsid w:val="00DD08B7"/>
    <w:rsid w:val="00DD1738"/>
    <w:rsid w:val="00DD1C11"/>
    <w:rsid w:val="00DD4494"/>
    <w:rsid w:val="00DD4F30"/>
    <w:rsid w:val="00DD5914"/>
    <w:rsid w:val="00DD5C43"/>
    <w:rsid w:val="00DE1290"/>
    <w:rsid w:val="00DE3137"/>
    <w:rsid w:val="00DE44EA"/>
    <w:rsid w:val="00DE60D7"/>
    <w:rsid w:val="00DE69DC"/>
    <w:rsid w:val="00DE7963"/>
    <w:rsid w:val="00DF1929"/>
    <w:rsid w:val="00DF283F"/>
    <w:rsid w:val="00DF3B06"/>
    <w:rsid w:val="00DF3F2D"/>
    <w:rsid w:val="00DF587F"/>
    <w:rsid w:val="00DF69D2"/>
    <w:rsid w:val="00DF6A2A"/>
    <w:rsid w:val="00E0039C"/>
    <w:rsid w:val="00E00F1E"/>
    <w:rsid w:val="00E01C2F"/>
    <w:rsid w:val="00E02E4D"/>
    <w:rsid w:val="00E07B97"/>
    <w:rsid w:val="00E1098E"/>
    <w:rsid w:val="00E10D39"/>
    <w:rsid w:val="00E1136B"/>
    <w:rsid w:val="00E1357F"/>
    <w:rsid w:val="00E13E90"/>
    <w:rsid w:val="00E14654"/>
    <w:rsid w:val="00E15DAD"/>
    <w:rsid w:val="00E173D1"/>
    <w:rsid w:val="00E17893"/>
    <w:rsid w:val="00E204C2"/>
    <w:rsid w:val="00E212EA"/>
    <w:rsid w:val="00E2140B"/>
    <w:rsid w:val="00E21669"/>
    <w:rsid w:val="00E22D51"/>
    <w:rsid w:val="00E22FD3"/>
    <w:rsid w:val="00E23B36"/>
    <w:rsid w:val="00E241AF"/>
    <w:rsid w:val="00E26589"/>
    <w:rsid w:val="00E2797E"/>
    <w:rsid w:val="00E307E4"/>
    <w:rsid w:val="00E31683"/>
    <w:rsid w:val="00E321C7"/>
    <w:rsid w:val="00E32B6F"/>
    <w:rsid w:val="00E33EC9"/>
    <w:rsid w:val="00E35D08"/>
    <w:rsid w:val="00E35FA1"/>
    <w:rsid w:val="00E37E1F"/>
    <w:rsid w:val="00E41EAF"/>
    <w:rsid w:val="00E42845"/>
    <w:rsid w:val="00E44FA5"/>
    <w:rsid w:val="00E46957"/>
    <w:rsid w:val="00E47C50"/>
    <w:rsid w:val="00E47C6A"/>
    <w:rsid w:val="00E47C96"/>
    <w:rsid w:val="00E507B4"/>
    <w:rsid w:val="00E50E7C"/>
    <w:rsid w:val="00E513AC"/>
    <w:rsid w:val="00E51545"/>
    <w:rsid w:val="00E51E8D"/>
    <w:rsid w:val="00E52441"/>
    <w:rsid w:val="00E5271F"/>
    <w:rsid w:val="00E5426E"/>
    <w:rsid w:val="00E55326"/>
    <w:rsid w:val="00E556FF"/>
    <w:rsid w:val="00E55D99"/>
    <w:rsid w:val="00E5630E"/>
    <w:rsid w:val="00E56A90"/>
    <w:rsid w:val="00E57F35"/>
    <w:rsid w:val="00E614BA"/>
    <w:rsid w:val="00E615FA"/>
    <w:rsid w:val="00E6195C"/>
    <w:rsid w:val="00E61FC9"/>
    <w:rsid w:val="00E6340A"/>
    <w:rsid w:val="00E63513"/>
    <w:rsid w:val="00E6509A"/>
    <w:rsid w:val="00E65B5A"/>
    <w:rsid w:val="00E6615A"/>
    <w:rsid w:val="00E668A3"/>
    <w:rsid w:val="00E668A5"/>
    <w:rsid w:val="00E66B84"/>
    <w:rsid w:val="00E67487"/>
    <w:rsid w:val="00E67ADF"/>
    <w:rsid w:val="00E67F1D"/>
    <w:rsid w:val="00E711D7"/>
    <w:rsid w:val="00E7423C"/>
    <w:rsid w:val="00E748A1"/>
    <w:rsid w:val="00E74FEF"/>
    <w:rsid w:val="00E755D2"/>
    <w:rsid w:val="00E76508"/>
    <w:rsid w:val="00E77846"/>
    <w:rsid w:val="00E801B0"/>
    <w:rsid w:val="00E81A40"/>
    <w:rsid w:val="00E81AF9"/>
    <w:rsid w:val="00E81C7B"/>
    <w:rsid w:val="00E82203"/>
    <w:rsid w:val="00E858E2"/>
    <w:rsid w:val="00E85FC5"/>
    <w:rsid w:val="00E861FB"/>
    <w:rsid w:val="00E86C5D"/>
    <w:rsid w:val="00E86CA9"/>
    <w:rsid w:val="00E871DE"/>
    <w:rsid w:val="00E87BE8"/>
    <w:rsid w:val="00E87F54"/>
    <w:rsid w:val="00E902B0"/>
    <w:rsid w:val="00E902E8"/>
    <w:rsid w:val="00E90458"/>
    <w:rsid w:val="00E90565"/>
    <w:rsid w:val="00E92EB0"/>
    <w:rsid w:val="00E948A8"/>
    <w:rsid w:val="00E94DA4"/>
    <w:rsid w:val="00E94F15"/>
    <w:rsid w:val="00E96FE0"/>
    <w:rsid w:val="00E97313"/>
    <w:rsid w:val="00E9734A"/>
    <w:rsid w:val="00E97DCB"/>
    <w:rsid w:val="00EA1D91"/>
    <w:rsid w:val="00EA1DDD"/>
    <w:rsid w:val="00EA1DFF"/>
    <w:rsid w:val="00EA3AA2"/>
    <w:rsid w:val="00EA3B46"/>
    <w:rsid w:val="00EA4661"/>
    <w:rsid w:val="00EA4DB9"/>
    <w:rsid w:val="00EA4F3E"/>
    <w:rsid w:val="00EA5545"/>
    <w:rsid w:val="00EA5941"/>
    <w:rsid w:val="00EA5E61"/>
    <w:rsid w:val="00EA791D"/>
    <w:rsid w:val="00EB030F"/>
    <w:rsid w:val="00EB0828"/>
    <w:rsid w:val="00EB188C"/>
    <w:rsid w:val="00EB1CE4"/>
    <w:rsid w:val="00EB1F59"/>
    <w:rsid w:val="00EB3793"/>
    <w:rsid w:val="00EB40B1"/>
    <w:rsid w:val="00EB55D5"/>
    <w:rsid w:val="00EB6BBF"/>
    <w:rsid w:val="00EB726A"/>
    <w:rsid w:val="00EB73D4"/>
    <w:rsid w:val="00EC0249"/>
    <w:rsid w:val="00EC0DD7"/>
    <w:rsid w:val="00EC11C0"/>
    <w:rsid w:val="00EC25BB"/>
    <w:rsid w:val="00EC2C7E"/>
    <w:rsid w:val="00EC587B"/>
    <w:rsid w:val="00EC5FE3"/>
    <w:rsid w:val="00EC6B16"/>
    <w:rsid w:val="00EC6E4B"/>
    <w:rsid w:val="00ED13FC"/>
    <w:rsid w:val="00ED14FB"/>
    <w:rsid w:val="00ED1654"/>
    <w:rsid w:val="00ED221E"/>
    <w:rsid w:val="00ED6D91"/>
    <w:rsid w:val="00ED74C8"/>
    <w:rsid w:val="00ED7DA9"/>
    <w:rsid w:val="00EE1D87"/>
    <w:rsid w:val="00EE323D"/>
    <w:rsid w:val="00EE336F"/>
    <w:rsid w:val="00EE35F5"/>
    <w:rsid w:val="00EE45BA"/>
    <w:rsid w:val="00EE500F"/>
    <w:rsid w:val="00EE563D"/>
    <w:rsid w:val="00EE5FD4"/>
    <w:rsid w:val="00EE65D8"/>
    <w:rsid w:val="00EE677F"/>
    <w:rsid w:val="00EE69F4"/>
    <w:rsid w:val="00EE758C"/>
    <w:rsid w:val="00EE762C"/>
    <w:rsid w:val="00EF048E"/>
    <w:rsid w:val="00EF0915"/>
    <w:rsid w:val="00EF19AC"/>
    <w:rsid w:val="00EF2FBF"/>
    <w:rsid w:val="00EF4AA5"/>
    <w:rsid w:val="00EF79F2"/>
    <w:rsid w:val="00F00083"/>
    <w:rsid w:val="00F0082D"/>
    <w:rsid w:val="00F01E48"/>
    <w:rsid w:val="00F04648"/>
    <w:rsid w:val="00F07C90"/>
    <w:rsid w:val="00F11963"/>
    <w:rsid w:val="00F11A18"/>
    <w:rsid w:val="00F11E6E"/>
    <w:rsid w:val="00F13CB5"/>
    <w:rsid w:val="00F13E7F"/>
    <w:rsid w:val="00F16A2A"/>
    <w:rsid w:val="00F20469"/>
    <w:rsid w:val="00F2047D"/>
    <w:rsid w:val="00F20A46"/>
    <w:rsid w:val="00F227E5"/>
    <w:rsid w:val="00F22A1C"/>
    <w:rsid w:val="00F24C50"/>
    <w:rsid w:val="00F25DFB"/>
    <w:rsid w:val="00F27964"/>
    <w:rsid w:val="00F31B3E"/>
    <w:rsid w:val="00F32343"/>
    <w:rsid w:val="00F347A4"/>
    <w:rsid w:val="00F34C18"/>
    <w:rsid w:val="00F34CCD"/>
    <w:rsid w:val="00F34DA2"/>
    <w:rsid w:val="00F353F4"/>
    <w:rsid w:val="00F35F47"/>
    <w:rsid w:val="00F369AB"/>
    <w:rsid w:val="00F40B21"/>
    <w:rsid w:val="00F41AA4"/>
    <w:rsid w:val="00F4223B"/>
    <w:rsid w:val="00F42E9E"/>
    <w:rsid w:val="00F44C7D"/>
    <w:rsid w:val="00F45CF0"/>
    <w:rsid w:val="00F46A9F"/>
    <w:rsid w:val="00F46E73"/>
    <w:rsid w:val="00F47870"/>
    <w:rsid w:val="00F50005"/>
    <w:rsid w:val="00F50027"/>
    <w:rsid w:val="00F52129"/>
    <w:rsid w:val="00F528EA"/>
    <w:rsid w:val="00F541F8"/>
    <w:rsid w:val="00F550CD"/>
    <w:rsid w:val="00F562C3"/>
    <w:rsid w:val="00F57329"/>
    <w:rsid w:val="00F576E2"/>
    <w:rsid w:val="00F5798B"/>
    <w:rsid w:val="00F6010D"/>
    <w:rsid w:val="00F61DF9"/>
    <w:rsid w:val="00F623DC"/>
    <w:rsid w:val="00F6361B"/>
    <w:rsid w:val="00F63A94"/>
    <w:rsid w:val="00F63F6D"/>
    <w:rsid w:val="00F63F90"/>
    <w:rsid w:val="00F643FC"/>
    <w:rsid w:val="00F648C0"/>
    <w:rsid w:val="00F649D6"/>
    <w:rsid w:val="00F649E6"/>
    <w:rsid w:val="00F66B9F"/>
    <w:rsid w:val="00F67AD1"/>
    <w:rsid w:val="00F67F7A"/>
    <w:rsid w:val="00F71560"/>
    <w:rsid w:val="00F71A0E"/>
    <w:rsid w:val="00F72A82"/>
    <w:rsid w:val="00F741E4"/>
    <w:rsid w:val="00F74264"/>
    <w:rsid w:val="00F7436F"/>
    <w:rsid w:val="00F746D7"/>
    <w:rsid w:val="00F74A6F"/>
    <w:rsid w:val="00F7750F"/>
    <w:rsid w:val="00F777DB"/>
    <w:rsid w:val="00F804C0"/>
    <w:rsid w:val="00F80D05"/>
    <w:rsid w:val="00F81EE2"/>
    <w:rsid w:val="00F8344F"/>
    <w:rsid w:val="00F85D25"/>
    <w:rsid w:val="00F86E76"/>
    <w:rsid w:val="00F87786"/>
    <w:rsid w:val="00F87C1D"/>
    <w:rsid w:val="00F9170D"/>
    <w:rsid w:val="00F920FA"/>
    <w:rsid w:val="00F92279"/>
    <w:rsid w:val="00F92DD4"/>
    <w:rsid w:val="00F92DF7"/>
    <w:rsid w:val="00F938B3"/>
    <w:rsid w:val="00F93D07"/>
    <w:rsid w:val="00F942AE"/>
    <w:rsid w:val="00F94A41"/>
    <w:rsid w:val="00F953CE"/>
    <w:rsid w:val="00F9613C"/>
    <w:rsid w:val="00F964FE"/>
    <w:rsid w:val="00F97950"/>
    <w:rsid w:val="00F97E5C"/>
    <w:rsid w:val="00FA01FC"/>
    <w:rsid w:val="00FA02C1"/>
    <w:rsid w:val="00FA0446"/>
    <w:rsid w:val="00FA0602"/>
    <w:rsid w:val="00FA13B3"/>
    <w:rsid w:val="00FA14F6"/>
    <w:rsid w:val="00FA225D"/>
    <w:rsid w:val="00FA2E65"/>
    <w:rsid w:val="00FA2F80"/>
    <w:rsid w:val="00FA32F7"/>
    <w:rsid w:val="00FA3877"/>
    <w:rsid w:val="00FA4739"/>
    <w:rsid w:val="00FA4CA5"/>
    <w:rsid w:val="00FA6124"/>
    <w:rsid w:val="00FA7C9A"/>
    <w:rsid w:val="00FA7D71"/>
    <w:rsid w:val="00FB06A2"/>
    <w:rsid w:val="00FB0C79"/>
    <w:rsid w:val="00FB1F9B"/>
    <w:rsid w:val="00FB2073"/>
    <w:rsid w:val="00FB25D8"/>
    <w:rsid w:val="00FB2A80"/>
    <w:rsid w:val="00FB3A9C"/>
    <w:rsid w:val="00FB5191"/>
    <w:rsid w:val="00FB64AA"/>
    <w:rsid w:val="00FB6E11"/>
    <w:rsid w:val="00FB6E8B"/>
    <w:rsid w:val="00FB7EA4"/>
    <w:rsid w:val="00FC086A"/>
    <w:rsid w:val="00FC0A8C"/>
    <w:rsid w:val="00FC0D7F"/>
    <w:rsid w:val="00FC2170"/>
    <w:rsid w:val="00FC33FA"/>
    <w:rsid w:val="00FC6353"/>
    <w:rsid w:val="00FC6AA3"/>
    <w:rsid w:val="00FC6ADA"/>
    <w:rsid w:val="00FC7E61"/>
    <w:rsid w:val="00FD0691"/>
    <w:rsid w:val="00FD18C8"/>
    <w:rsid w:val="00FD241B"/>
    <w:rsid w:val="00FD2CD8"/>
    <w:rsid w:val="00FD2FBA"/>
    <w:rsid w:val="00FD3569"/>
    <w:rsid w:val="00FD37BD"/>
    <w:rsid w:val="00FD4B66"/>
    <w:rsid w:val="00FD62EF"/>
    <w:rsid w:val="00FD6B71"/>
    <w:rsid w:val="00FD7486"/>
    <w:rsid w:val="00FD79EC"/>
    <w:rsid w:val="00FE075D"/>
    <w:rsid w:val="00FE102C"/>
    <w:rsid w:val="00FE14EB"/>
    <w:rsid w:val="00FE15E7"/>
    <w:rsid w:val="00FE1600"/>
    <w:rsid w:val="00FE1E88"/>
    <w:rsid w:val="00FE36B0"/>
    <w:rsid w:val="00FE37FB"/>
    <w:rsid w:val="00FE395B"/>
    <w:rsid w:val="00FE412A"/>
    <w:rsid w:val="00FE433F"/>
    <w:rsid w:val="00FE50B1"/>
    <w:rsid w:val="00FE5476"/>
    <w:rsid w:val="00FE63C1"/>
    <w:rsid w:val="00FF06D2"/>
    <w:rsid w:val="00FF084D"/>
    <w:rsid w:val="00FF2870"/>
    <w:rsid w:val="00FF2D11"/>
    <w:rsid w:val="00FF3347"/>
    <w:rsid w:val="00FF3591"/>
    <w:rsid w:val="00FF66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4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17"/>
      </w:numPr>
      <w:tabs>
        <w:tab w:val="clear" w:pos="520"/>
      </w:tabs>
      <w:spacing w:after="0" w:line="276" w:lineRule="auto"/>
      <w:ind w:left="284" w:hanging="284"/>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6"/>
      </w:numPr>
      <w:tabs>
        <w:tab w:val="num" w:pos="851"/>
      </w:tabs>
      <w:spacing w:before="0"/>
    </w:pPr>
  </w:style>
  <w:style w:type="paragraph" w:customStyle="1" w:styleId="OneLevelNumberedParagraph">
    <w:name w:val="One Level Numbered Paragraph"/>
    <w:basedOn w:val="Normal"/>
    <w:rsid w:val="008043EA"/>
    <w:pPr>
      <w:tabs>
        <w:tab w:val="num" w:pos="360"/>
      </w:tabs>
      <w:spacing w:before="0"/>
    </w:pPr>
  </w:style>
  <w:style w:type="paragraph" w:customStyle="1" w:styleId="OutlineNumbered2">
    <w:name w:val="Outline Numbered 2"/>
    <w:basedOn w:val="Normal"/>
    <w:rsid w:val="008043EA"/>
    <w:pPr>
      <w:numPr>
        <w:ilvl w:val="1"/>
        <w:numId w:val="36"/>
      </w:numPr>
      <w:tabs>
        <w:tab w:val="num" w:pos="1134"/>
      </w:tabs>
      <w:spacing w:before="0"/>
    </w:pPr>
  </w:style>
  <w:style w:type="paragraph" w:customStyle="1" w:styleId="OutlineNumbered3">
    <w:name w:val="Outline Numbered 3"/>
    <w:basedOn w:val="Normal"/>
    <w:rsid w:val="008043EA"/>
    <w:pPr>
      <w:numPr>
        <w:ilvl w:val="2"/>
        <w:numId w:val="36"/>
      </w:numPr>
      <w:tabs>
        <w:tab w:val="num" w:pos="1418"/>
      </w:tabs>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semiHidden/>
    <w:unhideWhenUsed/>
    <w:rsid w:val="00D72AD8"/>
    <w:rPr>
      <w:sz w:val="16"/>
      <w:szCs w:val="16"/>
    </w:rPr>
  </w:style>
  <w:style w:type="paragraph" w:styleId="CommentText">
    <w:name w:val="annotation text"/>
    <w:basedOn w:val="Normal"/>
    <w:link w:val="CommentTextChar"/>
    <w:uiPriority w:val="99"/>
    <w:unhideWhenUsed/>
    <w:rsid w:val="00D72AD8"/>
    <w:rPr>
      <w:sz w:val="20"/>
    </w:rPr>
  </w:style>
  <w:style w:type="character" w:customStyle="1" w:styleId="CommentTextChar">
    <w:name w:val="Comment Text Char"/>
    <w:basedOn w:val="DefaultParagraphFont"/>
    <w:link w:val="CommentText"/>
    <w:uiPriority w:val="99"/>
    <w:rsid w:val="00D72AD8"/>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2AD8"/>
    <w:rPr>
      <w:b/>
      <w:bCs/>
    </w:rPr>
  </w:style>
  <w:style w:type="character" w:customStyle="1" w:styleId="CommentSubjectChar">
    <w:name w:val="Comment Subject Char"/>
    <w:basedOn w:val="CommentTextChar"/>
    <w:link w:val="CommentSubject"/>
    <w:uiPriority w:val="99"/>
    <w:semiHidden/>
    <w:rsid w:val="00D72AD8"/>
    <w:rPr>
      <w:rFonts w:ascii="Calibri Light" w:eastAsia="Times New Roman" w:hAnsi="Calibri Light" w:cs="Times New Roman"/>
      <w:b/>
      <w:bCs/>
      <w:sz w:val="20"/>
      <w:szCs w:val="20"/>
      <w:lang w:eastAsia="en-AU"/>
    </w:rPr>
  </w:style>
  <w:style w:type="paragraph" w:styleId="Revision">
    <w:name w:val="Revision"/>
    <w:hidden/>
    <w:uiPriority w:val="99"/>
    <w:semiHidden/>
    <w:rsid w:val="00A971BC"/>
    <w:pPr>
      <w:spacing w:after="0" w:line="240" w:lineRule="auto"/>
    </w:pPr>
    <w:rPr>
      <w:rFonts w:ascii="Calibri Light" w:eastAsia="Times New Roman" w:hAnsi="Calibri Light" w:cs="Times New Roman"/>
      <w:szCs w:val="20"/>
      <w:lang w:eastAsia="en-AU"/>
    </w:rPr>
  </w:style>
  <w:style w:type="paragraph" w:styleId="Caption">
    <w:name w:val="caption"/>
    <w:basedOn w:val="Normal"/>
    <w:next w:val="Normal"/>
    <w:uiPriority w:val="35"/>
    <w:unhideWhenUsed/>
    <w:qFormat/>
    <w:rsid w:val="00A225EA"/>
    <w:pPr>
      <w:spacing w:before="0" w:after="200"/>
    </w:pPr>
    <w:rPr>
      <w:i/>
      <w:iCs/>
      <w:color w:val="5F5F5F" w:themeColor="text2"/>
      <w:sz w:val="18"/>
      <w:szCs w:val="18"/>
    </w:rPr>
  </w:style>
  <w:style w:type="character" w:styleId="FollowedHyperlink">
    <w:name w:val="FollowedHyperlink"/>
    <w:basedOn w:val="DefaultParagraphFont"/>
    <w:uiPriority w:val="99"/>
    <w:semiHidden/>
    <w:unhideWhenUsed/>
    <w:rsid w:val="00104864"/>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458">
      <w:bodyDiv w:val="1"/>
      <w:marLeft w:val="0"/>
      <w:marRight w:val="0"/>
      <w:marTop w:val="0"/>
      <w:marBottom w:val="0"/>
      <w:divBdr>
        <w:top w:val="none" w:sz="0" w:space="0" w:color="auto"/>
        <w:left w:val="none" w:sz="0" w:space="0" w:color="auto"/>
        <w:bottom w:val="none" w:sz="0" w:space="0" w:color="auto"/>
        <w:right w:val="none" w:sz="0" w:space="0" w:color="auto"/>
      </w:divBdr>
    </w:div>
    <w:div w:id="230242132">
      <w:bodyDiv w:val="1"/>
      <w:marLeft w:val="0"/>
      <w:marRight w:val="0"/>
      <w:marTop w:val="0"/>
      <w:marBottom w:val="0"/>
      <w:divBdr>
        <w:top w:val="none" w:sz="0" w:space="0" w:color="auto"/>
        <w:left w:val="none" w:sz="0" w:space="0" w:color="auto"/>
        <w:bottom w:val="none" w:sz="0" w:space="0" w:color="auto"/>
        <w:right w:val="none" w:sz="0" w:space="0" w:color="auto"/>
      </w:divBdr>
    </w:div>
    <w:div w:id="1783718890">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20252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yperlink" Target="https://austreasury.sharepoint.com/sites/nfp-function/pcpi/insights.vanguard.com.au/static/asset-class/app.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nsultation/improving-the-integrity-of-prescribed-private-funds" TargetMode="External"/><Relationship Id="rId2" Type="http://schemas.openxmlformats.org/officeDocument/2006/relationships/hyperlink" Target="https://www.pc.gov.au/inquiries/completed/philanthropy/report" TargetMode="External"/><Relationship Id="rId1" Type="http://schemas.openxmlformats.org/officeDocument/2006/relationships/hyperlink" Target="https://ministers.treasury.gov.au/ministers/andrew-leigh-2022/media-releases/supporting-philanthropic-giving" TargetMode="External"/><Relationship Id="rId4" Type="http://schemas.openxmlformats.org/officeDocument/2006/relationships/hyperlink" Target="https://www.abs.gov.au/statistics/economy/price-indexes-and-inflation/consumer-price-index-australia/dec-quarter-2024"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3322</Words>
  <Characters>19102</Characters>
  <Application>Microsoft Office Word</Application>
  <DocSecurity>0</DocSecurity>
  <Lines>502</Lines>
  <Paragraphs>344</Paragraphs>
  <ScaleCrop>false</ScaleCrop>
  <HeadingPairs>
    <vt:vector size="2" baseType="variant">
      <vt:variant>
        <vt:lpstr>Title</vt:lpstr>
      </vt:variant>
      <vt:variant>
        <vt:i4>1</vt:i4>
      </vt:variant>
    </vt:vector>
  </HeadingPairs>
  <TitlesOfParts>
    <vt:vector size="1" baseType="lpstr">
      <vt:lpstr>Consultation paper: Giving fund reforms: distribution rate and smoothing</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Giving fund reforms: distribution rate and smoothing</dc:title>
  <dc:subject/>
  <dc:creator>Treasury</dc:creator>
  <cp:keywords/>
  <dc:description/>
  <cp:lastModifiedBy/>
  <cp:revision>1</cp:revision>
  <dcterms:created xsi:type="dcterms:W3CDTF">2025-06-05T00:22:00Z</dcterms:created>
  <dcterms:modified xsi:type="dcterms:W3CDTF">2025-06-05T00:23:00Z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2025-06-05T00:23:21Z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5be1dee3-af50-4fe2-a44a-e7486929ed07</vt:lpwstr>
  </property>
  <property fmtid="{D5CDD505-2E9C-101B-9397-08002B2CF9AE}" pid="8" name="MSIP_Label_4f932d64-9ab1-4d9b-81d2-a3a8b82dd47d_ContentBits">
    <vt:lpwstr>0</vt:lpwstr>
  </property>
</Properties>
</file>