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83BD" w14:textId="2DE22138" w:rsidR="008F5F62" w:rsidRPr="008F5F62" w:rsidRDefault="0015066D" w:rsidP="00A66413">
      <w:pPr>
        <w:pStyle w:val="Factsheettitle"/>
        <w:spacing w:before="1440" w:after="0"/>
      </w:pPr>
      <w:r>
        <w:t xml:space="preserve">The </w:t>
      </w:r>
      <w:r w:rsidR="00F36703">
        <w:t xml:space="preserve">Retirement Reporting Framework </w:t>
      </w:r>
      <w:r w:rsidR="00414559">
        <w:t>final design</w:t>
      </w:r>
      <w:r w:rsidR="00F3670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56715EC8" w14:textId="77777777" w:rsidTr="00FC2E34">
        <w:tc>
          <w:tcPr>
            <w:tcW w:w="8498" w:type="dxa"/>
            <w:shd w:val="clear" w:color="auto" w:fill="auto"/>
          </w:tcPr>
          <w:p w14:paraId="34E52962" w14:textId="130A99C0" w:rsidR="00FC2E34" w:rsidRPr="00E847A7" w:rsidRDefault="00C94B50" w:rsidP="005C7206">
            <w:pPr>
              <w:pStyle w:val="Introtext"/>
            </w:pPr>
            <w:r w:rsidRPr="00C94B50">
              <w:t xml:space="preserve">This provides </w:t>
            </w:r>
            <w:r w:rsidR="00DE0D0B">
              <w:t>an overview of the</w:t>
            </w:r>
            <w:r w:rsidRPr="00C94B50">
              <w:t xml:space="preserve"> Government’s Retirement Reporting Framework.</w:t>
            </w:r>
          </w:p>
        </w:tc>
      </w:tr>
    </w:tbl>
    <w:p w14:paraId="39E43512" w14:textId="018C14F7" w:rsidR="001B3FE2" w:rsidRDefault="001B3FE2" w:rsidP="002A544D">
      <w:pPr>
        <w:pStyle w:val="Heading2"/>
      </w:pPr>
      <w:r>
        <w:t>Overview</w:t>
      </w:r>
    </w:p>
    <w:p w14:paraId="390DDBE4" w14:textId="05026298" w:rsidR="00533AAA" w:rsidRPr="006E65CC" w:rsidRDefault="00193498" w:rsidP="00C94B50">
      <w:r w:rsidRPr="006E65CC">
        <w:t xml:space="preserve">In November 2024, the Government announced a package of reforms in response to feedback </w:t>
      </w:r>
      <w:r w:rsidR="009023BD">
        <w:t>on</w:t>
      </w:r>
      <w:r w:rsidR="00C53BA6">
        <w:t xml:space="preserve"> the</w:t>
      </w:r>
      <w:r w:rsidRPr="006E65CC">
        <w:t xml:space="preserve"> </w:t>
      </w:r>
      <w:r w:rsidRPr="006E65CC">
        <w:rPr>
          <w:i/>
          <w:iCs/>
        </w:rPr>
        <w:t>Superannuation in retirement</w:t>
      </w:r>
      <w:r w:rsidR="00872EF9" w:rsidRPr="006E65CC">
        <w:rPr>
          <w:i/>
          <w:iCs/>
        </w:rPr>
        <w:t xml:space="preserve"> </w:t>
      </w:r>
      <w:r w:rsidR="00872EF9" w:rsidRPr="006E65CC">
        <w:t>consultation</w:t>
      </w:r>
      <w:r w:rsidR="00C23818" w:rsidRPr="006E65CC">
        <w:t>.</w:t>
      </w:r>
      <w:r w:rsidRPr="006E65CC">
        <w:t xml:space="preserve"> This included the introduction of a new reporting framework on retirement outcomes to </w:t>
      </w:r>
      <w:r w:rsidR="00D87025" w:rsidRPr="006E65CC">
        <w:t xml:space="preserve">foster </w:t>
      </w:r>
      <w:r w:rsidRPr="006E65CC">
        <w:t xml:space="preserve">greater transparency and </w:t>
      </w:r>
      <w:r w:rsidR="000224DC" w:rsidRPr="006E65CC">
        <w:t>enable</w:t>
      </w:r>
      <w:r w:rsidR="002C6A5C" w:rsidRPr="006E65CC">
        <w:t xml:space="preserve"> </w:t>
      </w:r>
      <w:r w:rsidR="000224DC" w:rsidRPr="006E65CC">
        <w:t xml:space="preserve">monitoring of member </w:t>
      </w:r>
      <w:r w:rsidR="00567D96" w:rsidRPr="006E65CC">
        <w:t xml:space="preserve">outcomes </w:t>
      </w:r>
      <w:r w:rsidR="000224DC" w:rsidRPr="006E65CC">
        <w:t xml:space="preserve">in retirement. </w:t>
      </w:r>
      <w:r w:rsidRPr="006E65CC">
        <w:t xml:space="preserve"> </w:t>
      </w:r>
    </w:p>
    <w:p w14:paraId="30444278" w14:textId="500C0733" w:rsidR="00187E60" w:rsidRDefault="00B17318" w:rsidP="00773EEC">
      <w:r w:rsidRPr="00050482">
        <w:t>Public consultation</w:t>
      </w:r>
      <w:r w:rsidR="00A109D2" w:rsidRPr="00050482">
        <w:t xml:space="preserve"> </w:t>
      </w:r>
      <w:r w:rsidRPr="00050482">
        <w:t>has</w:t>
      </w:r>
      <w:r w:rsidR="001534D6" w:rsidRPr="00050482">
        <w:t xml:space="preserve"> since</w:t>
      </w:r>
      <w:r w:rsidRPr="00050482">
        <w:t xml:space="preserve"> informed </w:t>
      </w:r>
      <w:r w:rsidR="001534D6" w:rsidRPr="00050482">
        <w:t>the set of</w:t>
      </w:r>
      <w:r w:rsidRPr="00050482">
        <w:t xml:space="preserve"> indicators and metrics </w:t>
      </w:r>
      <w:r w:rsidR="00950890" w:rsidRPr="00050482">
        <w:t xml:space="preserve">to </w:t>
      </w:r>
      <w:r w:rsidR="009647D4" w:rsidRPr="00050482">
        <w:t xml:space="preserve">be </w:t>
      </w:r>
      <w:r w:rsidR="00950890" w:rsidRPr="00050482">
        <w:t>include</w:t>
      </w:r>
      <w:r w:rsidR="009647D4" w:rsidRPr="00050482">
        <w:t>d</w:t>
      </w:r>
      <w:r w:rsidR="00950890" w:rsidRPr="00050482">
        <w:t xml:space="preserve"> in the</w:t>
      </w:r>
      <w:r w:rsidR="001705CB" w:rsidRPr="00050482">
        <w:t xml:space="preserve"> Retirement Reporting Framework</w:t>
      </w:r>
      <w:r w:rsidR="00482D8A">
        <w:t xml:space="preserve"> (Appendix A).</w:t>
      </w:r>
      <w:r w:rsidR="00936939" w:rsidRPr="00936939">
        <w:rPr>
          <w:rStyle w:val="FootnoteReference"/>
        </w:rPr>
        <w:t xml:space="preserve"> </w:t>
      </w:r>
    </w:p>
    <w:p w14:paraId="48075B17" w14:textId="1C4F7B92" w:rsidR="00773EEC" w:rsidRPr="006E65CC" w:rsidRDefault="00773EEC" w:rsidP="00773EEC">
      <w:r w:rsidRPr="006E65CC">
        <w:t xml:space="preserve">Through annual publications from 2028 onwards, the Australian Prudential Regulation Authority (APRA) will publish data collected under the </w:t>
      </w:r>
      <w:r w:rsidR="001534D6" w:rsidRPr="006E65CC">
        <w:t>Retirement Reporting Framework</w:t>
      </w:r>
      <w:r w:rsidR="00EF6181">
        <w:t xml:space="preserve">. This </w:t>
      </w:r>
      <w:r w:rsidR="006A5A08">
        <w:t>will include information on</w:t>
      </w:r>
      <w:r w:rsidR="00EF6181">
        <w:t xml:space="preserve"> superannuation </w:t>
      </w:r>
      <w:r w:rsidRPr="006E65CC">
        <w:t>fund retirement products, services, and member outcomes.</w:t>
      </w:r>
    </w:p>
    <w:p w14:paraId="0A46558E" w14:textId="6D492401" w:rsidR="001B3C46" w:rsidRDefault="00950890" w:rsidP="00D340E8">
      <w:r>
        <w:t>It is a matter for superannuation trustees to determine what retirement offerings best meet the needs of their membership.</w:t>
      </w:r>
      <w:r w:rsidR="00314520" w:rsidRPr="00314520">
        <w:t xml:space="preserve"> </w:t>
      </w:r>
      <w:r w:rsidR="00314520" w:rsidRPr="006E65CC">
        <w:t xml:space="preserve">Over time, these publications will create greater transparency of how </w:t>
      </w:r>
      <w:r w:rsidR="00C678E9">
        <w:t>superannuation trustees are driving improvement in member outcomes</w:t>
      </w:r>
      <w:r w:rsidR="00DC4A69">
        <w:t xml:space="preserve">, </w:t>
      </w:r>
      <w:r w:rsidR="00314520" w:rsidRPr="006E65CC">
        <w:t xml:space="preserve">and </w:t>
      </w:r>
      <w:r w:rsidR="00DC4A69">
        <w:t>support</w:t>
      </w:r>
      <w:r w:rsidR="00314520" w:rsidRPr="006E65CC">
        <w:t xml:space="preserve"> trustees </w:t>
      </w:r>
      <w:r w:rsidR="008D6858">
        <w:t xml:space="preserve">to </w:t>
      </w:r>
      <w:r w:rsidR="00314520" w:rsidRPr="006E65CC">
        <w:t>measure their progress in implementing the retirement income strategies required by the Retirement Income Covenant.</w:t>
      </w:r>
    </w:p>
    <w:p w14:paraId="601D984C" w14:textId="473F3A44" w:rsidR="009241AE" w:rsidRDefault="00C94B50" w:rsidP="009241AE">
      <w:pPr>
        <w:pStyle w:val="Heading2"/>
      </w:pPr>
      <w:r>
        <w:t>Purpose</w:t>
      </w:r>
    </w:p>
    <w:p w14:paraId="65453CC8" w14:textId="6B8271E3" w:rsidR="004F345A" w:rsidRDefault="00E605A7" w:rsidP="00413CFE">
      <w:bookmarkStart w:id="0" w:name="_Hlk211439872"/>
      <w:r>
        <w:t>R</w:t>
      </w:r>
      <w:r w:rsidR="00F07278" w:rsidRPr="00F07278">
        <w:t xml:space="preserve">eviews and pulse surveys conducted by </w:t>
      </w:r>
      <w:r w:rsidR="006A5207">
        <w:t>the Australian Securities and Investment</w:t>
      </w:r>
      <w:r w:rsidR="004F345A">
        <w:t>s</w:t>
      </w:r>
      <w:r w:rsidR="006A5207">
        <w:t xml:space="preserve"> Commission (ASIC) </w:t>
      </w:r>
      <w:r w:rsidR="00F07278" w:rsidRPr="00F07278">
        <w:t>and APRA</w:t>
      </w:r>
      <w:r>
        <w:t xml:space="preserve"> since the introduction of the Retirement Income Covenant</w:t>
      </w:r>
      <w:r w:rsidR="00F07278" w:rsidRPr="00F07278">
        <w:t xml:space="preserve"> </w:t>
      </w:r>
      <w:r w:rsidR="00F25A62">
        <w:t>have</w:t>
      </w:r>
      <w:r w:rsidR="006A5207">
        <w:t xml:space="preserve"> indicated</w:t>
      </w:r>
      <w:r w:rsidR="004F345A">
        <w:t xml:space="preserve"> </w:t>
      </w:r>
      <w:r w:rsidR="0043430A">
        <w:t xml:space="preserve">variability in how superannuation trustees </w:t>
      </w:r>
      <w:r>
        <w:t>are</w:t>
      </w:r>
      <w:r w:rsidR="0043430A">
        <w:t xml:space="preserve"> driving improvements in member outcomes. </w:t>
      </w:r>
      <w:r w:rsidR="001C60EF">
        <w:t xml:space="preserve">A consistent observation </w:t>
      </w:r>
      <w:r w:rsidR="00222841">
        <w:t>is</w:t>
      </w:r>
      <w:r w:rsidR="001C60EF">
        <w:t xml:space="preserve"> that some </w:t>
      </w:r>
      <w:r>
        <w:t>funds</w:t>
      </w:r>
      <w:r w:rsidR="001C60EF">
        <w:t xml:space="preserve"> lack sufficient </w:t>
      </w:r>
      <w:r w:rsidR="00AC7043">
        <w:t>metrics</w:t>
      </w:r>
      <w:r w:rsidR="001C60EF">
        <w:t xml:space="preserve"> </w:t>
      </w:r>
      <w:r w:rsidR="006B7FAF">
        <w:t>or</w:t>
      </w:r>
      <w:r w:rsidR="001C60EF">
        <w:t xml:space="preserve"> data capabilities to asses</w:t>
      </w:r>
      <w:r w:rsidR="009671C5">
        <w:t>s</w:t>
      </w:r>
      <w:r w:rsidR="001C60EF">
        <w:t xml:space="preserve"> their members’ retirement outcomes and </w:t>
      </w:r>
      <w:r w:rsidR="00E5123B">
        <w:t xml:space="preserve">harness </w:t>
      </w:r>
      <w:r w:rsidR="001C60EF">
        <w:t xml:space="preserve">insights </w:t>
      </w:r>
      <w:r w:rsidR="00E5123B">
        <w:t>on</w:t>
      </w:r>
      <w:r w:rsidR="001C60EF">
        <w:t xml:space="preserve"> </w:t>
      </w:r>
      <w:r w:rsidR="00AC7043">
        <w:t>the appropriate</w:t>
      </w:r>
      <w:r w:rsidR="001C60EF">
        <w:t xml:space="preserve"> retirement services to their members</w:t>
      </w:r>
      <w:r w:rsidR="00F07278" w:rsidRPr="00F07278">
        <w:t>.</w:t>
      </w:r>
    </w:p>
    <w:p w14:paraId="58C041E6" w14:textId="092DB8C0" w:rsidR="00C94B50" w:rsidRDefault="00D9059F" w:rsidP="00413CFE">
      <w:r>
        <w:t>The</w:t>
      </w:r>
      <w:r w:rsidR="00F25A62">
        <w:t xml:space="preserve"> </w:t>
      </w:r>
      <w:r w:rsidR="001E477B">
        <w:t>Retirement Reporting Framework</w:t>
      </w:r>
      <w:r w:rsidR="00F07278" w:rsidRPr="00F07278">
        <w:t xml:space="preserve"> is </w:t>
      </w:r>
      <w:r>
        <w:t xml:space="preserve">a </w:t>
      </w:r>
      <w:r w:rsidR="00F07278" w:rsidRPr="00F07278">
        <w:t xml:space="preserve">necessary </w:t>
      </w:r>
      <w:r w:rsidR="00E354C6">
        <w:t>step</w:t>
      </w:r>
      <w:r w:rsidR="00275527">
        <w:t xml:space="preserve"> </w:t>
      </w:r>
      <w:r w:rsidR="00F07278" w:rsidRPr="00F07278">
        <w:t xml:space="preserve">to ensure consistency and transparency in the reporting and tracking of </w:t>
      </w:r>
      <w:r w:rsidR="00275527">
        <w:t xml:space="preserve">member </w:t>
      </w:r>
      <w:r w:rsidR="00F07278" w:rsidRPr="00F07278">
        <w:t>retirement outcomes.</w:t>
      </w:r>
      <w:bookmarkEnd w:id="0"/>
      <w:r w:rsidR="00DF07BB">
        <w:t xml:space="preserve"> It</w:t>
      </w:r>
      <w:r w:rsidR="0095050C">
        <w:t xml:space="preserve"> </w:t>
      </w:r>
      <w:r w:rsidR="00F26C5F" w:rsidRPr="000B5FF8">
        <w:t>will create</w:t>
      </w:r>
      <w:r w:rsidR="00AB45F5">
        <w:t xml:space="preserve"> </w:t>
      </w:r>
      <w:r w:rsidR="00A71F6F">
        <w:t>industry wide</w:t>
      </w:r>
      <w:r w:rsidR="00AB45F5">
        <w:t xml:space="preserve"> </w:t>
      </w:r>
      <w:r w:rsidR="00693FE8">
        <w:t>transparency</w:t>
      </w:r>
      <w:r w:rsidR="00AB45F5">
        <w:t xml:space="preserve"> of offering</w:t>
      </w:r>
      <w:r w:rsidR="00A71F6F">
        <w:t>s</w:t>
      </w:r>
      <w:r w:rsidR="00693FE8">
        <w:t xml:space="preserve"> across the retirement landscape</w:t>
      </w:r>
      <w:r w:rsidR="00BE442F">
        <w:t xml:space="preserve"> and </w:t>
      </w:r>
      <w:r w:rsidR="00AB45F5" w:rsidRPr="000B5FF8">
        <w:t>encourag</w:t>
      </w:r>
      <w:r w:rsidR="00BE442F">
        <w:t>e</w:t>
      </w:r>
      <w:r w:rsidR="00AB45F5" w:rsidRPr="000B5FF8">
        <w:t xml:space="preserve"> </w:t>
      </w:r>
      <w:r w:rsidR="00BE442F">
        <w:t>the</w:t>
      </w:r>
      <w:r w:rsidR="00AB45F5">
        <w:t xml:space="preserve"> innovation and modernisation of retirement income solutions</w:t>
      </w:r>
      <w:r w:rsidR="00BE442F">
        <w:t>.</w:t>
      </w:r>
    </w:p>
    <w:p w14:paraId="471B24D2" w14:textId="555E1F33" w:rsidR="000565A4" w:rsidRDefault="000565A4" w:rsidP="00413CFE">
      <w:r w:rsidRPr="00761B6F">
        <w:t xml:space="preserve">The </w:t>
      </w:r>
      <w:r w:rsidR="0095050C">
        <w:t xml:space="preserve">Retirement Reporting Framework </w:t>
      </w:r>
      <w:r w:rsidRPr="00761B6F">
        <w:t>is a transparency reform. Th</w:t>
      </w:r>
      <w:r w:rsidR="0095050C">
        <w:t>is new reporting framework</w:t>
      </w:r>
      <w:r w:rsidRPr="00761B6F">
        <w:t xml:space="preserve"> will not introduce </w:t>
      </w:r>
      <w:r w:rsidR="00AD308F">
        <w:t xml:space="preserve">new </w:t>
      </w:r>
      <w:r w:rsidRPr="00761B6F">
        <w:t>consequences or penalties for</w:t>
      </w:r>
      <w:r w:rsidR="00FC7491">
        <w:t xml:space="preserve"> superannuation</w:t>
      </w:r>
      <w:r w:rsidRPr="00761B6F">
        <w:t xml:space="preserve"> trustees. </w:t>
      </w:r>
    </w:p>
    <w:p w14:paraId="2BBF05B2" w14:textId="1D4688F9" w:rsidR="00C94B50" w:rsidRDefault="000565A4" w:rsidP="00C94B50">
      <w:pPr>
        <w:pStyle w:val="Heading2"/>
      </w:pPr>
      <w:r>
        <w:lastRenderedPageBreak/>
        <w:t>Framework design</w:t>
      </w:r>
    </w:p>
    <w:p w14:paraId="100C0668" w14:textId="739A9C00" w:rsidR="00556BFD" w:rsidRDefault="00556BFD" w:rsidP="00556BFD">
      <w:pPr>
        <w:pStyle w:val="Heading3"/>
      </w:pPr>
      <w:r w:rsidRPr="00750823">
        <w:t>Member attributes and segmentation</w:t>
      </w:r>
      <w:r>
        <w:t xml:space="preserve"> </w:t>
      </w:r>
    </w:p>
    <w:p w14:paraId="141DF979" w14:textId="70F6BA38" w:rsidR="002B594C" w:rsidRDefault="00750823" w:rsidP="00556BFD">
      <w:r>
        <w:t xml:space="preserve">The </w:t>
      </w:r>
      <w:r w:rsidR="000C5A0D">
        <w:t xml:space="preserve">Retirement Reporting Framework </w:t>
      </w:r>
      <w:r>
        <w:t xml:space="preserve">will </w:t>
      </w:r>
      <w:r w:rsidRPr="00750823">
        <w:t xml:space="preserve">collect member demographics aligned </w:t>
      </w:r>
      <w:r w:rsidR="009430CB">
        <w:t>to</w:t>
      </w:r>
      <w:r w:rsidRPr="00750823">
        <w:t xml:space="preserve"> existing </w:t>
      </w:r>
      <w:r>
        <w:t xml:space="preserve">APRA </w:t>
      </w:r>
      <w:r w:rsidRPr="00750823">
        <w:t>reporting standards as well as additional attributes relevant to retirement</w:t>
      </w:r>
      <w:r>
        <w:t xml:space="preserve"> outcomes</w:t>
      </w:r>
      <w:r w:rsidR="00556BFD" w:rsidRPr="00750823">
        <w:t>.</w:t>
      </w:r>
      <w:r w:rsidR="00556BFD">
        <w:t xml:space="preserve"> </w:t>
      </w:r>
      <w:r w:rsidRPr="00750823">
        <w:t xml:space="preserve">These attributes are relevant </w:t>
      </w:r>
      <w:r w:rsidR="00AD6FD1">
        <w:t>to</w:t>
      </w:r>
      <w:r w:rsidR="00AD6FD1" w:rsidRPr="00750823">
        <w:t xml:space="preserve"> </w:t>
      </w:r>
      <w:r w:rsidRPr="00750823">
        <w:t xml:space="preserve">understanding </w:t>
      </w:r>
      <w:r w:rsidR="001F7718">
        <w:t xml:space="preserve">member </w:t>
      </w:r>
      <w:r w:rsidRPr="00750823">
        <w:t xml:space="preserve">retirement </w:t>
      </w:r>
      <w:r>
        <w:t xml:space="preserve">outcomes. </w:t>
      </w:r>
    </w:p>
    <w:p w14:paraId="36B3A4B3" w14:textId="7616A978" w:rsidR="002B594C" w:rsidRPr="00EE248B" w:rsidRDefault="002B594C" w:rsidP="002B594C">
      <w:r w:rsidRPr="00EE248B">
        <w:t xml:space="preserve">The </w:t>
      </w:r>
      <w:r w:rsidR="009430CB">
        <w:t>framework</w:t>
      </w:r>
      <w:r w:rsidRPr="00EE248B">
        <w:t xml:space="preserve"> will </w:t>
      </w:r>
      <w:r w:rsidR="00EE248B">
        <w:t>collect data on</w:t>
      </w:r>
      <w:r w:rsidRPr="00EE248B">
        <w:t xml:space="preserve"> the following member attributes:</w:t>
      </w:r>
    </w:p>
    <w:p w14:paraId="24C22C57" w14:textId="164BA1A3" w:rsidR="002B594C" w:rsidRPr="00EE248B" w:rsidRDefault="002B594C" w:rsidP="002A1798">
      <w:pPr>
        <w:pStyle w:val="Bullet"/>
      </w:pPr>
      <w:r w:rsidRPr="00EE248B">
        <w:t>Age</w:t>
      </w:r>
      <w:r w:rsidR="006A379A">
        <w:t xml:space="preserve"> </w:t>
      </w:r>
      <w:r w:rsidR="00491DD8">
        <w:t xml:space="preserve">range </w:t>
      </w:r>
      <w:r w:rsidR="006A379A">
        <w:t>(6</w:t>
      </w:r>
      <w:r w:rsidR="00491DD8">
        <w:t>0 yrs and each year above</w:t>
      </w:r>
      <w:r w:rsidR="006A379A">
        <w:t>)</w:t>
      </w:r>
      <w:r w:rsidRPr="00EE248B">
        <w:t>, gender and account balance bands.</w:t>
      </w:r>
    </w:p>
    <w:p w14:paraId="4890A6BA" w14:textId="21477F34" w:rsidR="002B594C" w:rsidRPr="00EE248B" w:rsidRDefault="002B594C" w:rsidP="002A1798">
      <w:pPr>
        <w:pStyle w:val="Bullet"/>
      </w:pPr>
      <w:r w:rsidRPr="00EE248B">
        <w:t>Retirement status</w:t>
      </w:r>
      <w:r w:rsidR="00B85804">
        <w:t xml:space="preserve"> indicators</w:t>
      </w:r>
      <w:r w:rsidRPr="00EE248B">
        <w:t>, such as not retired, recently retired</w:t>
      </w:r>
      <w:r w:rsidR="00A00169">
        <w:t>,</w:t>
      </w:r>
      <w:r w:rsidRPr="00EE248B">
        <w:t xml:space="preserve"> and previously retired.</w:t>
      </w:r>
    </w:p>
    <w:p w14:paraId="0F93E437" w14:textId="3FC059FF" w:rsidR="002B594C" w:rsidRPr="00EE248B" w:rsidRDefault="002B594C" w:rsidP="002A1798">
      <w:pPr>
        <w:pStyle w:val="Bullet"/>
      </w:pPr>
      <w:r w:rsidRPr="00EE248B">
        <w:t>Product holdings, with consideration for combinations of different product types</w:t>
      </w:r>
      <w:r w:rsidR="009671C5">
        <w:t>.</w:t>
      </w:r>
    </w:p>
    <w:p w14:paraId="0798BD32" w14:textId="5040A089" w:rsidR="00556BFD" w:rsidRDefault="00556BFD" w:rsidP="00556BFD">
      <w:pPr>
        <w:pStyle w:val="Heading3"/>
      </w:pPr>
      <w:r>
        <w:t xml:space="preserve">Indicators and metrics </w:t>
      </w:r>
    </w:p>
    <w:p w14:paraId="3E8EA384" w14:textId="0F61ECDA" w:rsidR="002A1798" w:rsidRDefault="002A1798" w:rsidP="002A1798">
      <w:r w:rsidRPr="0071449E">
        <w:t xml:space="preserve">The </w:t>
      </w:r>
      <w:r w:rsidR="009430CB" w:rsidRPr="0071449E">
        <w:t xml:space="preserve">Retirement </w:t>
      </w:r>
      <w:r w:rsidR="00F82A9B">
        <w:t>R</w:t>
      </w:r>
      <w:r w:rsidR="009430CB" w:rsidRPr="0071449E">
        <w:t xml:space="preserve">eporting </w:t>
      </w:r>
      <w:r w:rsidR="00F82A9B">
        <w:t>F</w:t>
      </w:r>
      <w:r w:rsidR="009430CB" w:rsidRPr="0071449E">
        <w:t>ramework</w:t>
      </w:r>
      <w:r w:rsidRPr="0071449E">
        <w:t xml:space="preserve"> will leverage member data to report on:</w:t>
      </w:r>
      <w:r>
        <w:t xml:space="preserve"> </w:t>
      </w:r>
    </w:p>
    <w:p w14:paraId="0123C89D" w14:textId="4141932C" w:rsidR="002A1798" w:rsidRDefault="002A1798" w:rsidP="002A1798">
      <w:pPr>
        <w:pStyle w:val="Bullet"/>
      </w:pPr>
      <w:r>
        <w:t xml:space="preserve">Indicators of a </w:t>
      </w:r>
      <w:r w:rsidR="00195887">
        <w:t xml:space="preserve">superannuation </w:t>
      </w:r>
      <w:r>
        <w:t xml:space="preserve">fund’s product offerings and services. Indicators will generate high level insights into the building blocks funds are providing their members for constructing retirement income solutions.  </w:t>
      </w:r>
    </w:p>
    <w:p w14:paraId="700E0DFF" w14:textId="56129A7C" w:rsidR="002A1798" w:rsidRDefault="002A1798" w:rsidP="002A1798">
      <w:pPr>
        <w:pStyle w:val="Bullet"/>
      </w:pPr>
      <w:r>
        <w:t xml:space="preserve">Metrics that demonstrate member outcomes. Metrics will quantify how effectively </w:t>
      </w:r>
      <w:r w:rsidR="00195887">
        <w:t xml:space="preserve">superannuation </w:t>
      </w:r>
      <w:r>
        <w:t xml:space="preserve">funds are supporting members into solutions by </w:t>
      </w:r>
      <w:r w:rsidR="001F7718">
        <w:t>examining</w:t>
      </w:r>
      <w:r>
        <w:t xml:space="preserve"> </w:t>
      </w:r>
      <w:r w:rsidR="00A73564">
        <w:t xml:space="preserve">member </w:t>
      </w:r>
      <w:r>
        <w:t xml:space="preserve">behaviour in relation to up-take of </w:t>
      </w:r>
      <w:r w:rsidR="001F7718">
        <w:t xml:space="preserve">various </w:t>
      </w:r>
      <w:r>
        <w:t>retirement products</w:t>
      </w:r>
      <w:r w:rsidR="001F7718">
        <w:t xml:space="preserve"> and services</w:t>
      </w:r>
      <w:r>
        <w:t xml:space="preserve">, drawdown </w:t>
      </w:r>
      <w:r w:rsidR="00A73564">
        <w:t>rates</w:t>
      </w:r>
      <w:r w:rsidR="001F7718">
        <w:t>,</w:t>
      </w:r>
      <w:r>
        <w:t xml:space="preserve"> and superannuation balance utilisation.</w:t>
      </w:r>
    </w:p>
    <w:p w14:paraId="4BAA585F" w14:textId="3C360B24" w:rsidR="001B3FE2" w:rsidRDefault="001B3FE2" w:rsidP="001B3FE2">
      <w:pPr>
        <w:pStyle w:val="Heading2"/>
      </w:pPr>
      <w:r>
        <w:t>Next steps</w:t>
      </w:r>
    </w:p>
    <w:p w14:paraId="46B13068" w14:textId="24E5863E" w:rsidR="000E5EB8" w:rsidRDefault="001B3FE2" w:rsidP="001B3FE2">
      <w:r>
        <w:t xml:space="preserve">APRA will soon commence consultation on how to give effect to the collection and publication of these indicators and metrics. Data is expected to first be collected in 2027. </w:t>
      </w:r>
    </w:p>
    <w:p w14:paraId="27879DB1" w14:textId="69F51A09" w:rsidR="0086314C" w:rsidRDefault="00F7237D" w:rsidP="006B01F7">
      <w:pPr>
        <w:pStyle w:val="Heading2"/>
      </w:pPr>
      <w:r>
        <w:br w:type="page"/>
      </w:r>
      <w:r w:rsidR="00AC2AF8">
        <w:lastRenderedPageBreak/>
        <w:t xml:space="preserve">Appendix A. </w:t>
      </w:r>
      <w:r w:rsidR="0086314C">
        <w:t>Retirement Reporting Framework</w:t>
      </w:r>
    </w:p>
    <w:p w14:paraId="76967147" w14:textId="77777777" w:rsidR="0078279F" w:rsidRDefault="0078279F" w:rsidP="0078279F">
      <w:pPr>
        <w:spacing w:before="0"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94"/>
      </w:tblGrid>
      <w:tr w:rsidR="00A3584C" w:rsidRPr="003D18BE" w14:paraId="4879CBB6" w14:textId="77777777" w:rsidTr="00187E60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6F05B190" w14:textId="23915D7B" w:rsidR="00A3584C" w:rsidRPr="003D18BE" w:rsidRDefault="006E58C4" w:rsidP="00024CB3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>Indicator 1: Provides options for drawdowns other than the minimum drawdown rate</w:t>
            </w:r>
          </w:p>
        </w:tc>
      </w:tr>
      <w:tr w:rsidR="00A3584C" w:rsidRPr="003D18BE" w14:paraId="48CA982C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B355" w14:textId="73813965" w:rsidR="00A3584C" w:rsidRPr="003D18BE" w:rsidRDefault="006E58C4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>1. Superannuation fund provides its members options for drawdowns other than the minimum drawdown rate (Y/N)</w:t>
            </w:r>
          </w:p>
        </w:tc>
      </w:tr>
      <w:tr w:rsidR="00A3584C" w:rsidRPr="003D18BE" w14:paraId="77489E6E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1F3CB717" w14:textId="54509DCF" w:rsidR="00A3584C" w:rsidRPr="003D18BE" w:rsidRDefault="006E58C4" w:rsidP="002E3ECF">
            <w:pPr>
              <w:spacing w:before="240"/>
              <w:rPr>
                <w:rFonts w:cs="Calibri Light"/>
                <w:i/>
                <w:iCs/>
                <w:sz w:val="20"/>
              </w:rPr>
            </w:pPr>
            <w:r w:rsidRPr="003D18BE">
              <w:rPr>
                <w:rFonts w:cs="Calibri Light"/>
                <w:sz w:val="20"/>
              </w:rPr>
              <w:t xml:space="preserve">Indicator 2: Provides access to </w:t>
            </w:r>
            <w:r w:rsidR="00FD3115">
              <w:rPr>
                <w:rFonts w:cs="Calibri Light"/>
                <w:sz w:val="20"/>
              </w:rPr>
              <w:t>lifetime income</w:t>
            </w:r>
            <w:r w:rsidR="00FD3115" w:rsidRPr="003D18BE">
              <w:rPr>
                <w:rFonts w:cs="Calibri Light"/>
                <w:sz w:val="20"/>
              </w:rPr>
              <w:t xml:space="preserve"> </w:t>
            </w:r>
            <w:r w:rsidRPr="003D18BE">
              <w:rPr>
                <w:rFonts w:cs="Calibri Light"/>
                <w:sz w:val="20"/>
              </w:rPr>
              <w:t>products</w:t>
            </w:r>
          </w:p>
        </w:tc>
      </w:tr>
      <w:tr w:rsidR="00A3584C" w:rsidRPr="003D18BE" w14:paraId="0A498104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5D8C2" w14:textId="33C30377" w:rsidR="00A3584C" w:rsidRPr="003D18BE" w:rsidRDefault="006E58C4" w:rsidP="00A3584C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 xml:space="preserve">2. Superannuation fund offers its members access to a </w:t>
            </w:r>
            <w:r w:rsidR="00FD3115">
              <w:rPr>
                <w:rFonts w:cs="Calibri Light"/>
                <w:sz w:val="20"/>
              </w:rPr>
              <w:t>lifetime income</w:t>
            </w:r>
            <w:r w:rsidR="00FD3115" w:rsidRPr="003D18BE">
              <w:rPr>
                <w:rFonts w:cs="Calibri Light"/>
                <w:sz w:val="20"/>
              </w:rPr>
              <w:t xml:space="preserve"> </w:t>
            </w:r>
            <w:r w:rsidRPr="003D18BE">
              <w:rPr>
                <w:rFonts w:cs="Calibri Light"/>
                <w:sz w:val="20"/>
              </w:rPr>
              <w:t>product (Y/N)</w:t>
            </w:r>
          </w:p>
        </w:tc>
      </w:tr>
      <w:tr w:rsidR="00A3584C" w:rsidRPr="003D18BE" w14:paraId="26774AA0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4957" w14:textId="5B68A9F8" w:rsidR="00A3584C" w:rsidRPr="003D18BE" w:rsidRDefault="006E58C4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 xml:space="preserve">2.1 Superannuation fund provides its members a </w:t>
            </w:r>
            <w:r w:rsidR="00FD3115">
              <w:rPr>
                <w:rFonts w:cs="Calibri Light"/>
                <w:sz w:val="20"/>
              </w:rPr>
              <w:t>lifetime income</w:t>
            </w:r>
            <w:r w:rsidR="00FD3115" w:rsidRPr="003D18BE">
              <w:rPr>
                <w:rFonts w:cs="Calibri Light"/>
                <w:sz w:val="20"/>
              </w:rPr>
              <w:t xml:space="preserve"> </w:t>
            </w:r>
            <w:r w:rsidRPr="003D18BE">
              <w:rPr>
                <w:rFonts w:cs="Calibri Light"/>
                <w:sz w:val="20"/>
              </w:rPr>
              <w:t>product (Y/N)</w:t>
            </w:r>
          </w:p>
        </w:tc>
      </w:tr>
      <w:tr w:rsidR="00A3584C" w:rsidRPr="003D18BE" w14:paraId="67472366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A28F" w14:textId="594D82B5" w:rsidR="00A3584C" w:rsidRPr="003D18BE" w:rsidRDefault="006E58C4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 xml:space="preserve">2.2 Types of </w:t>
            </w:r>
            <w:r w:rsidR="00E17AB6">
              <w:rPr>
                <w:rFonts w:cs="Calibri Light"/>
                <w:sz w:val="20"/>
              </w:rPr>
              <w:t>lifetime income</w:t>
            </w:r>
            <w:r w:rsidR="00E17AB6" w:rsidRPr="003D18BE">
              <w:rPr>
                <w:rFonts w:cs="Calibri Light"/>
                <w:sz w:val="20"/>
              </w:rPr>
              <w:t xml:space="preserve"> </w:t>
            </w:r>
            <w:r w:rsidRPr="003D18BE">
              <w:rPr>
                <w:rFonts w:cs="Calibri Light"/>
                <w:sz w:val="20"/>
              </w:rPr>
              <w:t>products provided</w:t>
            </w:r>
          </w:p>
        </w:tc>
      </w:tr>
      <w:tr w:rsidR="00A3584C" w:rsidRPr="003D18BE" w14:paraId="5B418B0F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2F25E150" w14:textId="7CFA9A46" w:rsidR="00A3584C" w:rsidRPr="003D18BE" w:rsidRDefault="006E58C4" w:rsidP="002E3ECF">
            <w:pPr>
              <w:spacing w:before="240"/>
              <w:rPr>
                <w:rFonts w:cs="Calibri Light"/>
                <w:i/>
                <w:iCs/>
                <w:sz w:val="20"/>
              </w:rPr>
            </w:pPr>
            <w:r w:rsidRPr="003D18BE">
              <w:rPr>
                <w:rFonts w:cs="Calibri Light"/>
                <w:sz w:val="20"/>
              </w:rPr>
              <w:t>Indicator 3: Provides access to personal financial advice services</w:t>
            </w:r>
          </w:p>
        </w:tc>
      </w:tr>
      <w:tr w:rsidR="00A3584C" w:rsidRPr="003D18BE" w14:paraId="10399F43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6925" w14:textId="44ADA54C" w:rsidR="00A3584C" w:rsidRPr="003D18BE" w:rsidRDefault="003D18BE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>3. Superannuation fund offers its members access to or provides personal financial advice services (Y/N)</w:t>
            </w:r>
          </w:p>
        </w:tc>
      </w:tr>
      <w:tr w:rsidR="00A3584C" w:rsidRPr="003D18BE" w14:paraId="3ED7F8A9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99B2" w14:textId="77BA6648" w:rsidR="00A3584C" w:rsidRPr="003D18BE" w:rsidRDefault="003D18BE" w:rsidP="002E3ECF">
            <w:pPr>
              <w:spacing w:before="240"/>
              <w:rPr>
                <w:rFonts w:cs="Calibri Light"/>
                <w:i/>
                <w:iCs/>
                <w:color w:val="000000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3.1 Proportion of members who received collectively charged personal financial advice</w:t>
            </w:r>
            <w:r w:rsidRPr="003D18BE">
              <w:rPr>
                <w:rFonts w:cs="Calibri Light"/>
                <w:sz w:val="20"/>
              </w:rPr>
              <w:t xml:space="preserve"> (intra-fund advice)</w:t>
            </w:r>
          </w:p>
        </w:tc>
      </w:tr>
      <w:tr w:rsidR="00A3584C" w:rsidRPr="003D18BE" w14:paraId="76290AFF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51AB" w14:textId="57FB66CD" w:rsidR="00A3584C" w:rsidRPr="003D18BE" w:rsidRDefault="003D18BE" w:rsidP="002E3ECF">
            <w:pPr>
              <w:spacing w:before="240"/>
              <w:rPr>
                <w:rFonts w:cs="Calibri Light"/>
                <w:i/>
                <w:iCs/>
                <w:color w:val="000000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3.2 Proportion of members who received member deducted personal financial advice</w:t>
            </w:r>
          </w:p>
        </w:tc>
      </w:tr>
      <w:tr w:rsidR="00A3584C" w:rsidRPr="003D18BE" w14:paraId="204C7782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1F97DED6" w14:textId="0D4F93CC" w:rsidR="00A3584C" w:rsidRPr="003D18BE" w:rsidRDefault="003D18BE" w:rsidP="002E3ECF">
            <w:pPr>
              <w:spacing w:before="240"/>
              <w:rPr>
                <w:rFonts w:cs="Calibri Light"/>
                <w:color w:val="000000"/>
                <w:sz w:val="20"/>
              </w:rPr>
            </w:pPr>
            <w:r w:rsidRPr="003D18BE">
              <w:rPr>
                <w:rFonts w:cs="Calibri Light"/>
                <w:bCs/>
                <w:sz w:val="20"/>
              </w:rPr>
              <w:t>Metric 1: Take-up of retirement products</w:t>
            </w:r>
          </w:p>
        </w:tc>
      </w:tr>
      <w:tr w:rsidR="00A3584C" w:rsidRPr="003D18BE" w14:paraId="58E0E9E9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17FCF" w14:textId="09131371" w:rsidR="00A3584C" w:rsidRPr="003D18BE" w:rsidRDefault="003D18BE" w:rsidP="002E3ECF">
            <w:pPr>
              <w:spacing w:before="240"/>
              <w:rPr>
                <w:rFonts w:cs="Calibri Light"/>
                <w:bCs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1. Proportion of assets invested in retirement income stream products relative to total assets held by members</w:t>
            </w:r>
          </w:p>
        </w:tc>
      </w:tr>
      <w:tr w:rsidR="00A3584C" w:rsidRPr="003D18BE" w14:paraId="3FE557EF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74F3" w14:textId="5CB4E7E4" w:rsidR="00A3584C" w:rsidRPr="003D18BE" w:rsidRDefault="003D18BE" w:rsidP="002E3ECF">
            <w:pPr>
              <w:spacing w:before="240"/>
              <w:rPr>
                <w:rFonts w:cs="Calibri Light"/>
                <w:bCs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 xml:space="preserve">1.1 </w:t>
            </w:r>
            <w:r w:rsidRPr="003D18BE">
              <w:rPr>
                <w:rFonts w:cs="Calibri Light"/>
                <w:bCs/>
                <w:sz w:val="20"/>
              </w:rPr>
              <w:t>Proportion of members who have an accumulation account only</w:t>
            </w:r>
          </w:p>
        </w:tc>
      </w:tr>
      <w:tr w:rsidR="00A3584C" w:rsidRPr="003D18BE" w14:paraId="17CA1A0C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3481" w14:textId="02D3D366" w:rsidR="00A3584C" w:rsidRPr="003D18BE" w:rsidRDefault="003D18BE" w:rsidP="002E3ECF">
            <w:pPr>
              <w:spacing w:before="240"/>
              <w:rPr>
                <w:rFonts w:cs="Calibri Light"/>
                <w:bCs/>
                <w:sz w:val="20"/>
              </w:rPr>
            </w:pPr>
            <w:r w:rsidRPr="003D18BE">
              <w:rPr>
                <w:rFonts w:cs="Calibri Light"/>
                <w:bCs/>
                <w:sz w:val="20"/>
              </w:rPr>
              <w:t>1.2 Proportion of members in a retirement income stream product by product type</w:t>
            </w:r>
          </w:p>
        </w:tc>
      </w:tr>
      <w:tr w:rsidR="00A3584C" w:rsidRPr="003D18BE" w14:paraId="628CA97C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3F560864" w14:textId="739CB5CF" w:rsidR="00A3584C" w:rsidRPr="003D18BE" w:rsidRDefault="003D18BE" w:rsidP="002E3ECF">
            <w:pPr>
              <w:spacing w:before="240"/>
              <w:rPr>
                <w:rFonts w:cs="Calibri Light"/>
                <w:bCs/>
                <w:sz w:val="20"/>
              </w:rPr>
            </w:pPr>
            <w:r w:rsidRPr="003D18BE">
              <w:rPr>
                <w:rFonts w:cs="Calibri Light"/>
                <w:bCs/>
                <w:sz w:val="20"/>
              </w:rPr>
              <w:t>Metric 2: Payments from retirement products</w:t>
            </w:r>
          </w:p>
        </w:tc>
      </w:tr>
      <w:tr w:rsidR="00A3584C" w:rsidRPr="003D18BE" w14:paraId="73E671CF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ECFD" w14:textId="7F6177EB" w:rsidR="00A3584C" w:rsidRPr="003D18BE" w:rsidRDefault="003D18BE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2. Average drawdown rates for members</w:t>
            </w:r>
          </w:p>
        </w:tc>
      </w:tr>
      <w:tr w:rsidR="00A3584C" w:rsidRPr="003D18BE" w14:paraId="7336AAF5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91279" w14:textId="049477EB" w:rsidR="00A3584C" w:rsidRPr="003D18BE" w:rsidRDefault="003D18BE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 xml:space="preserve">2.1 </w:t>
            </w:r>
            <w:r w:rsidRPr="003D18BE">
              <w:rPr>
                <w:rFonts w:cs="Calibri Light"/>
                <w:sz w:val="20"/>
              </w:rPr>
              <w:t xml:space="preserve">Proportion </w:t>
            </w:r>
            <w:r w:rsidRPr="003D18BE">
              <w:rPr>
                <w:rFonts w:cs="Calibri Light"/>
                <w:color w:val="000000"/>
                <w:sz w:val="20"/>
              </w:rPr>
              <w:t>of members drawing at the minimum drawdown rate</w:t>
            </w:r>
          </w:p>
        </w:tc>
      </w:tr>
      <w:tr w:rsidR="00A3584C" w:rsidRPr="003D18BE" w14:paraId="040C5FF8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974A3" w14:textId="2837F916" w:rsidR="00A3584C" w:rsidRPr="003D18BE" w:rsidRDefault="003D18BE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>2.2 Average value of all retirement income stream benefit payments paid to members</w:t>
            </w:r>
          </w:p>
        </w:tc>
      </w:tr>
      <w:tr w:rsidR="00A3584C" w:rsidRPr="003D18BE" w14:paraId="135AB90D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A5CE5" w14:textId="1831B0E4" w:rsidR="00A3584C" w:rsidRPr="003D18BE" w:rsidRDefault="003D18BE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sz w:val="20"/>
              </w:rPr>
              <w:t>2.3 Average value of all lump sum withdrawals paid to members</w:t>
            </w:r>
          </w:p>
        </w:tc>
      </w:tr>
      <w:tr w:rsidR="00A3584C" w:rsidRPr="003D18BE" w14:paraId="514DD484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E4DE" w14:textId="75944044" w:rsidR="00A3584C" w:rsidRPr="003D18BE" w:rsidRDefault="003D18BE" w:rsidP="002E3ECF">
            <w:pPr>
              <w:spacing w:before="240"/>
              <w:rPr>
                <w:rFonts w:cs="Calibri Light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lastRenderedPageBreak/>
              <w:t xml:space="preserve">2.4 </w:t>
            </w:r>
            <w:r w:rsidRPr="003D18BE">
              <w:rPr>
                <w:rFonts w:cs="Calibri Light"/>
                <w:sz w:val="20"/>
              </w:rPr>
              <w:t xml:space="preserve">Average value of total payments to members </w:t>
            </w:r>
            <w:r w:rsidRPr="003D18BE">
              <w:rPr>
                <w:rFonts w:cs="Calibri Light"/>
                <w:color w:val="000000"/>
                <w:sz w:val="20"/>
              </w:rPr>
              <w:t>by combining total retirement income stream benefit payments and lump sum withdrawals paid to members</w:t>
            </w:r>
            <w:r w:rsidR="009E4B15">
              <w:rPr>
                <w:rFonts w:cs="Calibri Light"/>
                <w:color w:val="000000"/>
                <w:sz w:val="20"/>
              </w:rPr>
              <w:t xml:space="preserve">, </w:t>
            </w:r>
            <w:r w:rsidRPr="003D18BE">
              <w:rPr>
                <w:rFonts w:cs="Calibri Light"/>
                <w:color w:val="000000"/>
                <w:sz w:val="20"/>
              </w:rPr>
              <w:t>by product type</w:t>
            </w:r>
          </w:p>
        </w:tc>
      </w:tr>
      <w:tr w:rsidR="00A3584C" w:rsidRPr="003D18BE" w14:paraId="464BC5C1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31DEAAD0" w14:textId="1FF8CF5F" w:rsidR="00A3584C" w:rsidRPr="003D18BE" w:rsidRDefault="003D18BE" w:rsidP="002E3ECF">
            <w:pPr>
              <w:spacing w:before="240"/>
              <w:rPr>
                <w:rFonts w:cs="Calibri Light"/>
                <w:i/>
                <w:color w:val="000000"/>
                <w:sz w:val="20"/>
              </w:rPr>
            </w:pPr>
            <w:r w:rsidRPr="003D18BE">
              <w:rPr>
                <w:rFonts w:cs="Calibri Light"/>
                <w:bCs/>
                <w:sz w:val="20"/>
              </w:rPr>
              <w:t>Metric 3: Balance utilisation</w:t>
            </w:r>
          </w:p>
        </w:tc>
      </w:tr>
      <w:tr w:rsidR="00A3584C" w:rsidRPr="003D18BE" w14:paraId="48570E26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E4EEF" w14:textId="486A6E8D" w:rsidR="00A3584C" w:rsidRPr="003D18BE" w:rsidRDefault="003D18BE" w:rsidP="002E3ECF">
            <w:pPr>
              <w:spacing w:before="240"/>
              <w:rPr>
                <w:rFonts w:cs="Calibri Light"/>
                <w:i/>
                <w:color w:val="000000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3. Balance utilisation over the retirement phase as a proportion of balance at death compared to the balance used to commence a retirement income stream product</w:t>
            </w:r>
          </w:p>
        </w:tc>
      </w:tr>
      <w:tr w:rsidR="00A3584C" w:rsidRPr="003D18BE" w14:paraId="37FA08AC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6B427" w14:textId="7E94AC05" w:rsidR="00A3584C" w:rsidRPr="003D18BE" w:rsidRDefault="003D18BE" w:rsidP="002E3ECF">
            <w:pPr>
              <w:spacing w:before="240"/>
              <w:rPr>
                <w:rFonts w:cs="Calibri Light"/>
                <w:i/>
                <w:color w:val="000000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3.1 Average balance at death for members in accumulation</w:t>
            </w:r>
          </w:p>
        </w:tc>
      </w:tr>
      <w:tr w:rsidR="00A3584C" w:rsidRPr="003D18BE" w14:paraId="33F7ADE8" w14:textId="77777777" w:rsidTr="0020289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736C" w14:textId="5539BEF9" w:rsidR="00A3584C" w:rsidRPr="003D18BE" w:rsidRDefault="003D18BE" w:rsidP="002E3ECF">
            <w:pPr>
              <w:spacing w:before="240"/>
              <w:rPr>
                <w:rFonts w:cs="Calibri Light"/>
                <w:color w:val="000000"/>
                <w:sz w:val="20"/>
              </w:rPr>
            </w:pPr>
            <w:r w:rsidRPr="003D18BE">
              <w:rPr>
                <w:rFonts w:cs="Calibri Light"/>
                <w:color w:val="000000"/>
                <w:sz w:val="20"/>
              </w:rPr>
              <w:t>3.2 Average balance of account closed for reasons other than death by actions taken</w:t>
            </w:r>
          </w:p>
        </w:tc>
      </w:tr>
    </w:tbl>
    <w:p w14:paraId="1C6ADF36" w14:textId="77777777" w:rsidR="00BE230D" w:rsidRDefault="00BE230D" w:rsidP="001B3FE2"/>
    <w:sectPr w:rsidR="00BE230D" w:rsidSect="00300C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E42B" w14:textId="77777777" w:rsidR="00D54A83" w:rsidRDefault="00D54A83" w:rsidP="00886BC4">
      <w:r>
        <w:separator/>
      </w:r>
    </w:p>
    <w:p w14:paraId="0F703904" w14:textId="77777777" w:rsidR="00D54A83" w:rsidRDefault="00D54A83"/>
  </w:endnote>
  <w:endnote w:type="continuationSeparator" w:id="0">
    <w:p w14:paraId="66EC6B3D" w14:textId="77777777" w:rsidR="00D54A83" w:rsidRDefault="00D54A83" w:rsidP="00886BC4">
      <w:r>
        <w:continuationSeparator/>
      </w:r>
    </w:p>
    <w:p w14:paraId="16DADE0D" w14:textId="77777777" w:rsidR="00D54A83" w:rsidRDefault="00D54A83"/>
  </w:endnote>
  <w:endnote w:type="continuationNotice" w:id="1">
    <w:p w14:paraId="47AEDC58" w14:textId="77777777" w:rsidR="00D54A83" w:rsidRDefault="00D54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DCCC" w14:textId="77777777" w:rsidR="00753D4A" w:rsidRDefault="00753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A133" w14:textId="12596ADA" w:rsidR="00A15DB7" w:rsidRPr="00262920" w:rsidRDefault="00E81A92" w:rsidP="00262920">
    <w:pPr>
      <w:pStyle w:val="Footer"/>
      <w:tabs>
        <w:tab w:val="clear" w:pos="4320"/>
        <w:tab w:val="clear" w:pos="8640"/>
        <w:tab w:val="center" w:pos="7938"/>
      </w:tabs>
      <w:jc w:val="right"/>
      <w:rPr>
        <w:noProof/>
        <w:position w:val="-10"/>
      </w:rPr>
    </w:pPr>
    <w:r w:rsidRPr="00AC3B66">
      <w:rPr>
        <w:noProof/>
        <w:position w:val="-10"/>
      </w:rPr>
      <w:drawing>
        <wp:inline distT="0" distB="0" distL="0" distR="0" wp14:anchorId="53D14FD0" wp14:editId="1FEFCA89">
          <wp:extent cx="1324800" cy="201600"/>
          <wp:effectExtent l="0" t="0" r="0" b="8255"/>
          <wp:docPr id="69368124" name="Picture 693681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2920">
      <w:rPr>
        <w:noProof/>
        <w:position w:val="-10"/>
      </w:rPr>
      <w:tab/>
      <w:t xml:space="preserve">Last updated: </w:t>
    </w:r>
    <w:r w:rsidRPr="00262920">
      <w:rPr>
        <w:noProof/>
        <w:position w:val="-10"/>
      </w:rPr>
      <w:fldChar w:fldCharType="begin"/>
    </w:r>
    <w:r w:rsidRPr="00262920">
      <w:rPr>
        <w:noProof/>
        <w:position w:val="-10"/>
      </w:rPr>
      <w:instrText xml:space="preserve"> SAVEDATE  \@ "d MMMM yyyy"  \* MERGEFORMAT </w:instrText>
    </w:r>
    <w:r w:rsidRPr="00262920">
      <w:rPr>
        <w:noProof/>
        <w:position w:val="-10"/>
      </w:rPr>
      <w:fldChar w:fldCharType="separate"/>
    </w:r>
    <w:r w:rsidR="005F727A">
      <w:rPr>
        <w:noProof/>
        <w:position w:val="-10"/>
      </w:rPr>
      <w:t>20 February 2026</w:t>
    </w:r>
    <w:r w:rsidRPr="00262920">
      <w:rPr>
        <w:noProof/>
        <w:position w:val="-10"/>
      </w:rPr>
      <w:fldChar w:fldCharType="end"/>
    </w:r>
    <w:r w:rsidRPr="00262920">
      <w:rPr>
        <w:noProof/>
        <w:position w:val="-10"/>
      </w:rPr>
      <w:t xml:space="preserve"> |  </w:t>
    </w:r>
    <w:r w:rsidRPr="00262920">
      <w:rPr>
        <w:noProof/>
        <w:position w:val="-10"/>
      </w:rPr>
      <w:fldChar w:fldCharType="begin"/>
    </w:r>
    <w:r w:rsidRPr="00262920">
      <w:rPr>
        <w:noProof/>
        <w:position w:val="-10"/>
      </w:rPr>
      <w:instrText xml:space="preserve"> PAGE   \* MERGEFORMAT </w:instrText>
    </w:r>
    <w:r w:rsidRPr="00262920">
      <w:rPr>
        <w:noProof/>
        <w:position w:val="-10"/>
      </w:rPr>
      <w:fldChar w:fldCharType="separate"/>
    </w:r>
    <w:r w:rsidRPr="00262920">
      <w:rPr>
        <w:noProof/>
        <w:position w:val="-10"/>
      </w:rPr>
      <w:t>1</w:t>
    </w:r>
    <w:r w:rsidRPr="00262920">
      <w:rPr>
        <w:noProof/>
        <w:position w:val="-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A2EC" w14:textId="00836D48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2CF51EAF" wp14:editId="52A6E315">
          <wp:extent cx="1324800" cy="201600"/>
          <wp:effectExtent l="0" t="0" r="0" b="8255"/>
          <wp:docPr id="1186824917" name="Picture 1186824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5F727A">
      <w:rPr>
        <w:noProof/>
      </w:rPr>
      <w:t>20 February 2026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C072" w14:textId="77777777" w:rsidR="00D54A83" w:rsidRDefault="00D54A83" w:rsidP="00886BC4">
      <w:r>
        <w:separator/>
      </w:r>
    </w:p>
    <w:p w14:paraId="1039B972" w14:textId="77777777" w:rsidR="00D54A83" w:rsidRDefault="00D54A83"/>
  </w:footnote>
  <w:footnote w:type="continuationSeparator" w:id="0">
    <w:p w14:paraId="4569650A" w14:textId="77777777" w:rsidR="00D54A83" w:rsidRDefault="00D54A83" w:rsidP="00886BC4">
      <w:r>
        <w:continuationSeparator/>
      </w:r>
    </w:p>
    <w:p w14:paraId="77560B71" w14:textId="77777777" w:rsidR="00D54A83" w:rsidRDefault="00D54A83"/>
  </w:footnote>
  <w:footnote w:type="continuationNotice" w:id="1">
    <w:p w14:paraId="54F87B88" w14:textId="77777777" w:rsidR="00D54A83" w:rsidRDefault="00D54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4950" w14:textId="77777777" w:rsidR="00753D4A" w:rsidRDefault="00753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A226" w14:textId="1B76D8B0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62337" behindDoc="1" locked="0" layoutInCell="1" allowOverlap="1" wp14:anchorId="268C3656" wp14:editId="6C0D4307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1015117792" name="Picture 10151177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D4A" w:rsidRPr="007F53C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8AD0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0" wp14:anchorId="4D39B9CB" wp14:editId="3A997A49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670346691" name="Picture 6703466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628E"/>
    <w:multiLevelType w:val="hybridMultilevel"/>
    <w:tmpl w:val="5672A84C"/>
    <w:lvl w:ilvl="0" w:tplc="D76CF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6E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3E8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00C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7EF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2EEC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5E2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BC7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C62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8231EF3"/>
    <w:multiLevelType w:val="hybridMultilevel"/>
    <w:tmpl w:val="F9442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05F6"/>
    <w:multiLevelType w:val="multilevel"/>
    <w:tmpl w:val="B73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2B75561F"/>
    <w:multiLevelType w:val="multilevel"/>
    <w:tmpl w:val="3DB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F644A"/>
    <w:multiLevelType w:val="multilevel"/>
    <w:tmpl w:val="91EE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725E"/>
    <w:multiLevelType w:val="hybridMultilevel"/>
    <w:tmpl w:val="93B89752"/>
    <w:lvl w:ilvl="0" w:tplc="963CF7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CC6F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5E698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47849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D0636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C3221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006EF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2F285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952E6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7D6B5224"/>
    <w:multiLevelType w:val="multilevel"/>
    <w:tmpl w:val="EE9C93AA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2"/>
  </w:num>
  <w:num w:numId="2" w16cid:durableId="96337980">
    <w:abstractNumId w:val="12"/>
  </w:num>
  <w:num w:numId="3" w16cid:durableId="1889341095">
    <w:abstractNumId w:val="9"/>
  </w:num>
  <w:num w:numId="4" w16cid:durableId="216212289">
    <w:abstractNumId w:val="10"/>
  </w:num>
  <w:num w:numId="5" w16cid:durableId="2008171716">
    <w:abstractNumId w:val="6"/>
  </w:num>
  <w:num w:numId="6" w16cid:durableId="1880582053">
    <w:abstractNumId w:val="0"/>
  </w:num>
  <w:num w:numId="7" w16cid:durableId="12786359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1"/>
  </w:num>
  <w:num w:numId="9" w16cid:durableId="690108307">
    <w:abstractNumId w:val="8"/>
  </w:num>
  <w:num w:numId="10" w16cid:durableId="408381120">
    <w:abstractNumId w:val="4"/>
  </w:num>
  <w:num w:numId="11" w16cid:durableId="116489995">
    <w:abstractNumId w:val="13"/>
  </w:num>
  <w:num w:numId="12" w16cid:durableId="718674368">
    <w:abstractNumId w:val="3"/>
  </w:num>
  <w:num w:numId="13" w16cid:durableId="1512403908">
    <w:abstractNumId w:val="7"/>
  </w:num>
  <w:num w:numId="14" w16cid:durableId="2014991460">
    <w:abstractNumId w:val="5"/>
  </w:num>
  <w:num w:numId="15" w16cid:durableId="209728597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C94B50"/>
    <w:rsid w:val="00000114"/>
    <w:rsid w:val="00001D47"/>
    <w:rsid w:val="00006200"/>
    <w:rsid w:val="0001342C"/>
    <w:rsid w:val="00016670"/>
    <w:rsid w:val="00016B6C"/>
    <w:rsid w:val="0002151A"/>
    <w:rsid w:val="000224DC"/>
    <w:rsid w:val="00024CB3"/>
    <w:rsid w:val="00033942"/>
    <w:rsid w:val="00034B45"/>
    <w:rsid w:val="00035B1C"/>
    <w:rsid w:val="00037F14"/>
    <w:rsid w:val="000421F9"/>
    <w:rsid w:val="00045C24"/>
    <w:rsid w:val="00050482"/>
    <w:rsid w:val="000557DD"/>
    <w:rsid w:val="000565A4"/>
    <w:rsid w:val="00056EBF"/>
    <w:rsid w:val="0005720A"/>
    <w:rsid w:val="00060C76"/>
    <w:rsid w:val="000661EC"/>
    <w:rsid w:val="00067E65"/>
    <w:rsid w:val="000753CE"/>
    <w:rsid w:val="00081508"/>
    <w:rsid w:val="00086559"/>
    <w:rsid w:val="000875ED"/>
    <w:rsid w:val="000907C9"/>
    <w:rsid w:val="000978B1"/>
    <w:rsid w:val="000A4D2D"/>
    <w:rsid w:val="000B1EC3"/>
    <w:rsid w:val="000B3C90"/>
    <w:rsid w:val="000B5FF8"/>
    <w:rsid w:val="000B7B1E"/>
    <w:rsid w:val="000C02C9"/>
    <w:rsid w:val="000C46DD"/>
    <w:rsid w:val="000C4DD9"/>
    <w:rsid w:val="000C5A0D"/>
    <w:rsid w:val="000C755B"/>
    <w:rsid w:val="000D33F2"/>
    <w:rsid w:val="000D7D2F"/>
    <w:rsid w:val="000E324C"/>
    <w:rsid w:val="000E33AC"/>
    <w:rsid w:val="000E5EB8"/>
    <w:rsid w:val="000F2493"/>
    <w:rsid w:val="000F2562"/>
    <w:rsid w:val="000F33C9"/>
    <w:rsid w:val="000F4516"/>
    <w:rsid w:val="000F4889"/>
    <w:rsid w:val="000F5EEF"/>
    <w:rsid w:val="000F7366"/>
    <w:rsid w:val="00102238"/>
    <w:rsid w:val="00104E78"/>
    <w:rsid w:val="00105EBE"/>
    <w:rsid w:val="001145FD"/>
    <w:rsid w:val="00115B2E"/>
    <w:rsid w:val="00115B93"/>
    <w:rsid w:val="0011628E"/>
    <w:rsid w:val="00124E7C"/>
    <w:rsid w:val="001363E7"/>
    <w:rsid w:val="001376CC"/>
    <w:rsid w:val="00140697"/>
    <w:rsid w:val="0014178A"/>
    <w:rsid w:val="00144B84"/>
    <w:rsid w:val="0015066D"/>
    <w:rsid w:val="0015345D"/>
    <w:rsid w:val="001534D6"/>
    <w:rsid w:val="001549DB"/>
    <w:rsid w:val="00164B1A"/>
    <w:rsid w:val="00164BBE"/>
    <w:rsid w:val="00166A45"/>
    <w:rsid w:val="0017051B"/>
    <w:rsid w:val="001705CB"/>
    <w:rsid w:val="00174954"/>
    <w:rsid w:val="00182E9E"/>
    <w:rsid w:val="001835DA"/>
    <w:rsid w:val="00183F40"/>
    <w:rsid w:val="00187E60"/>
    <w:rsid w:val="00190D7B"/>
    <w:rsid w:val="00192367"/>
    <w:rsid w:val="001929D8"/>
    <w:rsid w:val="00193498"/>
    <w:rsid w:val="00195887"/>
    <w:rsid w:val="00197414"/>
    <w:rsid w:val="001A1CC5"/>
    <w:rsid w:val="001A5155"/>
    <w:rsid w:val="001A5DCC"/>
    <w:rsid w:val="001B0757"/>
    <w:rsid w:val="001B3A29"/>
    <w:rsid w:val="001B3C46"/>
    <w:rsid w:val="001B3FE2"/>
    <w:rsid w:val="001B540E"/>
    <w:rsid w:val="001B5A10"/>
    <w:rsid w:val="001B5F82"/>
    <w:rsid w:val="001C5117"/>
    <w:rsid w:val="001C60EF"/>
    <w:rsid w:val="001C643E"/>
    <w:rsid w:val="001C6B43"/>
    <w:rsid w:val="001C78AE"/>
    <w:rsid w:val="001D3054"/>
    <w:rsid w:val="001D45A4"/>
    <w:rsid w:val="001E477B"/>
    <w:rsid w:val="001E5623"/>
    <w:rsid w:val="001E60B4"/>
    <w:rsid w:val="001E6DC2"/>
    <w:rsid w:val="001E7840"/>
    <w:rsid w:val="001E7CF5"/>
    <w:rsid w:val="001F50DA"/>
    <w:rsid w:val="001F60CE"/>
    <w:rsid w:val="001F7718"/>
    <w:rsid w:val="0020272D"/>
    <w:rsid w:val="0020289E"/>
    <w:rsid w:val="00203245"/>
    <w:rsid w:val="00205D0B"/>
    <w:rsid w:val="00205F44"/>
    <w:rsid w:val="002102C9"/>
    <w:rsid w:val="002105F8"/>
    <w:rsid w:val="00215EE7"/>
    <w:rsid w:val="00221B6D"/>
    <w:rsid w:val="00222841"/>
    <w:rsid w:val="00222EAD"/>
    <w:rsid w:val="00223D87"/>
    <w:rsid w:val="002268AB"/>
    <w:rsid w:val="00226F00"/>
    <w:rsid w:val="00227028"/>
    <w:rsid w:val="0022749C"/>
    <w:rsid w:val="00227C77"/>
    <w:rsid w:val="00231D1C"/>
    <w:rsid w:val="00233887"/>
    <w:rsid w:val="00233A88"/>
    <w:rsid w:val="002373DE"/>
    <w:rsid w:val="00241B9A"/>
    <w:rsid w:val="0024226F"/>
    <w:rsid w:val="00245342"/>
    <w:rsid w:val="002462BD"/>
    <w:rsid w:val="00260712"/>
    <w:rsid w:val="002616D2"/>
    <w:rsid w:val="00261C39"/>
    <w:rsid w:val="00262920"/>
    <w:rsid w:val="00262B04"/>
    <w:rsid w:val="00263339"/>
    <w:rsid w:val="00275527"/>
    <w:rsid w:val="002809F6"/>
    <w:rsid w:val="00283303"/>
    <w:rsid w:val="00287F32"/>
    <w:rsid w:val="0029134D"/>
    <w:rsid w:val="002978C8"/>
    <w:rsid w:val="002A0B32"/>
    <w:rsid w:val="002A1798"/>
    <w:rsid w:val="002A4B83"/>
    <w:rsid w:val="002A544D"/>
    <w:rsid w:val="002A6430"/>
    <w:rsid w:val="002A6932"/>
    <w:rsid w:val="002A7996"/>
    <w:rsid w:val="002A79C5"/>
    <w:rsid w:val="002B594C"/>
    <w:rsid w:val="002C03D6"/>
    <w:rsid w:val="002C06AF"/>
    <w:rsid w:val="002C26D9"/>
    <w:rsid w:val="002C6A5C"/>
    <w:rsid w:val="002C75C3"/>
    <w:rsid w:val="002D2F7F"/>
    <w:rsid w:val="002D49D1"/>
    <w:rsid w:val="002E39EB"/>
    <w:rsid w:val="002F292B"/>
    <w:rsid w:val="002F417B"/>
    <w:rsid w:val="002F6ADC"/>
    <w:rsid w:val="00300C95"/>
    <w:rsid w:val="003025C2"/>
    <w:rsid w:val="003054A8"/>
    <w:rsid w:val="00306478"/>
    <w:rsid w:val="00306770"/>
    <w:rsid w:val="00307DA3"/>
    <w:rsid w:val="0031251E"/>
    <w:rsid w:val="00314520"/>
    <w:rsid w:val="00317F74"/>
    <w:rsid w:val="00322B71"/>
    <w:rsid w:val="0032574D"/>
    <w:rsid w:val="003265CA"/>
    <w:rsid w:val="00327D31"/>
    <w:rsid w:val="003305CA"/>
    <w:rsid w:val="0034064A"/>
    <w:rsid w:val="0034564D"/>
    <w:rsid w:val="00350748"/>
    <w:rsid w:val="0035090B"/>
    <w:rsid w:val="00352408"/>
    <w:rsid w:val="00353390"/>
    <w:rsid w:val="00357842"/>
    <w:rsid w:val="00372AC1"/>
    <w:rsid w:val="00376C3C"/>
    <w:rsid w:val="00377B64"/>
    <w:rsid w:val="003802F4"/>
    <w:rsid w:val="0038168A"/>
    <w:rsid w:val="003831AB"/>
    <w:rsid w:val="00390C06"/>
    <w:rsid w:val="00397C38"/>
    <w:rsid w:val="003A63D1"/>
    <w:rsid w:val="003A78C0"/>
    <w:rsid w:val="003B1315"/>
    <w:rsid w:val="003B3B03"/>
    <w:rsid w:val="003C047D"/>
    <w:rsid w:val="003C08AD"/>
    <w:rsid w:val="003C4F86"/>
    <w:rsid w:val="003C789B"/>
    <w:rsid w:val="003D18BE"/>
    <w:rsid w:val="003D6F83"/>
    <w:rsid w:val="003E26C5"/>
    <w:rsid w:val="003E626F"/>
    <w:rsid w:val="003E7418"/>
    <w:rsid w:val="003F2E2F"/>
    <w:rsid w:val="003F39E0"/>
    <w:rsid w:val="003F3C43"/>
    <w:rsid w:val="003F3E30"/>
    <w:rsid w:val="003F3E9E"/>
    <w:rsid w:val="003F424B"/>
    <w:rsid w:val="00402879"/>
    <w:rsid w:val="00413CFE"/>
    <w:rsid w:val="00414559"/>
    <w:rsid w:val="00415F83"/>
    <w:rsid w:val="00417117"/>
    <w:rsid w:val="00421B2B"/>
    <w:rsid w:val="00425E05"/>
    <w:rsid w:val="0043334B"/>
    <w:rsid w:val="0043430A"/>
    <w:rsid w:val="004362AD"/>
    <w:rsid w:val="00442C7E"/>
    <w:rsid w:val="00446F3E"/>
    <w:rsid w:val="00450CCE"/>
    <w:rsid w:val="00453D35"/>
    <w:rsid w:val="004542B7"/>
    <w:rsid w:val="004546DC"/>
    <w:rsid w:val="00457064"/>
    <w:rsid w:val="0046378B"/>
    <w:rsid w:val="00463D4E"/>
    <w:rsid w:val="00464937"/>
    <w:rsid w:val="00466418"/>
    <w:rsid w:val="00470BA0"/>
    <w:rsid w:val="0047507F"/>
    <w:rsid w:val="00477439"/>
    <w:rsid w:val="00482D8A"/>
    <w:rsid w:val="00483BAC"/>
    <w:rsid w:val="00485A3D"/>
    <w:rsid w:val="00486B7C"/>
    <w:rsid w:val="00490B6E"/>
    <w:rsid w:val="00490C62"/>
    <w:rsid w:val="00491DD8"/>
    <w:rsid w:val="00492A22"/>
    <w:rsid w:val="00494540"/>
    <w:rsid w:val="004948A4"/>
    <w:rsid w:val="00494F62"/>
    <w:rsid w:val="00496135"/>
    <w:rsid w:val="0049673E"/>
    <w:rsid w:val="00496C34"/>
    <w:rsid w:val="004A2AFD"/>
    <w:rsid w:val="004A37EA"/>
    <w:rsid w:val="004A4424"/>
    <w:rsid w:val="004A7ADF"/>
    <w:rsid w:val="004B08DC"/>
    <w:rsid w:val="004B1F82"/>
    <w:rsid w:val="004B56B0"/>
    <w:rsid w:val="004C53BE"/>
    <w:rsid w:val="004C5917"/>
    <w:rsid w:val="004C5E48"/>
    <w:rsid w:val="004D0778"/>
    <w:rsid w:val="004D438D"/>
    <w:rsid w:val="004D75F6"/>
    <w:rsid w:val="004E2F6C"/>
    <w:rsid w:val="004E424B"/>
    <w:rsid w:val="004E71FE"/>
    <w:rsid w:val="004F24D0"/>
    <w:rsid w:val="004F345A"/>
    <w:rsid w:val="00500FA4"/>
    <w:rsid w:val="00502E10"/>
    <w:rsid w:val="005046E6"/>
    <w:rsid w:val="00505009"/>
    <w:rsid w:val="00506BF4"/>
    <w:rsid w:val="00507097"/>
    <w:rsid w:val="005103B2"/>
    <w:rsid w:val="005134BB"/>
    <w:rsid w:val="0051600D"/>
    <w:rsid w:val="00516FB2"/>
    <w:rsid w:val="00520113"/>
    <w:rsid w:val="00521DF4"/>
    <w:rsid w:val="00522616"/>
    <w:rsid w:val="00524DCE"/>
    <w:rsid w:val="00525050"/>
    <w:rsid w:val="0053110F"/>
    <w:rsid w:val="00533AAA"/>
    <w:rsid w:val="00533FEF"/>
    <w:rsid w:val="00535C81"/>
    <w:rsid w:val="005407F9"/>
    <w:rsid w:val="005414B4"/>
    <w:rsid w:val="00546D8E"/>
    <w:rsid w:val="00546FDD"/>
    <w:rsid w:val="00551340"/>
    <w:rsid w:val="00556BFD"/>
    <w:rsid w:val="005606FD"/>
    <w:rsid w:val="00565A52"/>
    <w:rsid w:val="00566AD8"/>
    <w:rsid w:val="00567311"/>
    <w:rsid w:val="00567D96"/>
    <w:rsid w:val="00570B86"/>
    <w:rsid w:val="005732EB"/>
    <w:rsid w:val="005803BF"/>
    <w:rsid w:val="00582FAD"/>
    <w:rsid w:val="00585F7E"/>
    <w:rsid w:val="0058789B"/>
    <w:rsid w:val="00592631"/>
    <w:rsid w:val="00594ABF"/>
    <w:rsid w:val="005954C9"/>
    <w:rsid w:val="005A11E6"/>
    <w:rsid w:val="005A2484"/>
    <w:rsid w:val="005A6A61"/>
    <w:rsid w:val="005B0968"/>
    <w:rsid w:val="005B207E"/>
    <w:rsid w:val="005B2484"/>
    <w:rsid w:val="005B2869"/>
    <w:rsid w:val="005B2E6A"/>
    <w:rsid w:val="005B3871"/>
    <w:rsid w:val="005B56DB"/>
    <w:rsid w:val="005B659D"/>
    <w:rsid w:val="005B6B98"/>
    <w:rsid w:val="005C1326"/>
    <w:rsid w:val="005C3527"/>
    <w:rsid w:val="005C4B02"/>
    <w:rsid w:val="005C7206"/>
    <w:rsid w:val="005E62D6"/>
    <w:rsid w:val="005F0FBF"/>
    <w:rsid w:val="005F4470"/>
    <w:rsid w:val="005F59C3"/>
    <w:rsid w:val="005F6827"/>
    <w:rsid w:val="005F727A"/>
    <w:rsid w:val="005F7589"/>
    <w:rsid w:val="006014A0"/>
    <w:rsid w:val="00606F77"/>
    <w:rsid w:val="00614971"/>
    <w:rsid w:val="00615387"/>
    <w:rsid w:val="00627218"/>
    <w:rsid w:val="006355D1"/>
    <w:rsid w:val="00635C6D"/>
    <w:rsid w:val="00635DD4"/>
    <w:rsid w:val="00637692"/>
    <w:rsid w:val="00637DE6"/>
    <w:rsid w:val="006440E9"/>
    <w:rsid w:val="0064704A"/>
    <w:rsid w:val="0065480C"/>
    <w:rsid w:val="0065712E"/>
    <w:rsid w:val="006574A8"/>
    <w:rsid w:val="006606BE"/>
    <w:rsid w:val="00670400"/>
    <w:rsid w:val="006810C3"/>
    <w:rsid w:val="006812AA"/>
    <w:rsid w:val="00690533"/>
    <w:rsid w:val="006916AD"/>
    <w:rsid w:val="00693FE8"/>
    <w:rsid w:val="00694B4F"/>
    <w:rsid w:val="006A118D"/>
    <w:rsid w:val="006A379A"/>
    <w:rsid w:val="006A3972"/>
    <w:rsid w:val="006A5207"/>
    <w:rsid w:val="006A5A08"/>
    <w:rsid w:val="006A712D"/>
    <w:rsid w:val="006B01F7"/>
    <w:rsid w:val="006B39F8"/>
    <w:rsid w:val="006B7FAF"/>
    <w:rsid w:val="006C16C0"/>
    <w:rsid w:val="006C2C27"/>
    <w:rsid w:val="006D1F84"/>
    <w:rsid w:val="006D27A6"/>
    <w:rsid w:val="006D3EE7"/>
    <w:rsid w:val="006D6960"/>
    <w:rsid w:val="006D7793"/>
    <w:rsid w:val="006E101D"/>
    <w:rsid w:val="006E42E9"/>
    <w:rsid w:val="006E58C4"/>
    <w:rsid w:val="006E65CC"/>
    <w:rsid w:val="006E6F8C"/>
    <w:rsid w:val="006E76BE"/>
    <w:rsid w:val="006F0918"/>
    <w:rsid w:val="006F56A2"/>
    <w:rsid w:val="006F5C48"/>
    <w:rsid w:val="006F6E04"/>
    <w:rsid w:val="00705AD6"/>
    <w:rsid w:val="007132CB"/>
    <w:rsid w:val="0071449E"/>
    <w:rsid w:val="00717216"/>
    <w:rsid w:val="00722F56"/>
    <w:rsid w:val="007343B8"/>
    <w:rsid w:val="00736715"/>
    <w:rsid w:val="00750823"/>
    <w:rsid w:val="007532FD"/>
    <w:rsid w:val="00753D4A"/>
    <w:rsid w:val="00756CCB"/>
    <w:rsid w:val="007600FA"/>
    <w:rsid w:val="0076093D"/>
    <w:rsid w:val="00761B6F"/>
    <w:rsid w:val="00761DA0"/>
    <w:rsid w:val="007622D7"/>
    <w:rsid w:val="007644D7"/>
    <w:rsid w:val="00773EEC"/>
    <w:rsid w:val="007825F2"/>
    <w:rsid w:val="0078279F"/>
    <w:rsid w:val="0078418F"/>
    <w:rsid w:val="00784A3C"/>
    <w:rsid w:val="00786FAE"/>
    <w:rsid w:val="00793BD7"/>
    <w:rsid w:val="00793DCE"/>
    <w:rsid w:val="0079466D"/>
    <w:rsid w:val="007A4195"/>
    <w:rsid w:val="007A4F7E"/>
    <w:rsid w:val="007A6E4D"/>
    <w:rsid w:val="007B2599"/>
    <w:rsid w:val="007B3D2C"/>
    <w:rsid w:val="007B6953"/>
    <w:rsid w:val="007B7784"/>
    <w:rsid w:val="007C1094"/>
    <w:rsid w:val="007C3CD0"/>
    <w:rsid w:val="007D214D"/>
    <w:rsid w:val="007D4EB7"/>
    <w:rsid w:val="007D6F47"/>
    <w:rsid w:val="007E013D"/>
    <w:rsid w:val="007E0975"/>
    <w:rsid w:val="007E36E4"/>
    <w:rsid w:val="007E45EC"/>
    <w:rsid w:val="007E5C63"/>
    <w:rsid w:val="007E5E07"/>
    <w:rsid w:val="007E7046"/>
    <w:rsid w:val="007F53C0"/>
    <w:rsid w:val="007F61E3"/>
    <w:rsid w:val="008139FB"/>
    <w:rsid w:val="00831D8A"/>
    <w:rsid w:val="00837F37"/>
    <w:rsid w:val="00847719"/>
    <w:rsid w:val="008616B9"/>
    <w:rsid w:val="0086314C"/>
    <w:rsid w:val="00865B2D"/>
    <w:rsid w:val="00872EF9"/>
    <w:rsid w:val="00875529"/>
    <w:rsid w:val="0088159C"/>
    <w:rsid w:val="0088211A"/>
    <w:rsid w:val="00884F56"/>
    <w:rsid w:val="008854F6"/>
    <w:rsid w:val="00886667"/>
    <w:rsid w:val="00886BC4"/>
    <w:rsid w:val="00892751"/>
    <w:rsid w:val="008972E4"/>
    <w:rsid w:val="008A02F3"/>
    <w:rsid w:val="008A1C1D"/>
    <w:rsid w:val="008A3D2B"/>
    <w:rsid w:val="008A48CA"/>
    <w:rsid w:val="008B2389"/>
    <w:rsid w:val="008B2938"/>
    <w:rsid w:val="008B395C"/>
    <w:rsid w:val="008C5773"/>
    <w:rsid w:val="008C6F93"/>
    <w:rsid w:val="008D0CA6"/>
    <w:rsid w:val="008D13B0"/>
    <w:rsid w:val="008D4CD0"/>
    <w:rsid w:val="008D5358"/>
    <w:rsid w:val="008D6858"/>
    <w:rsid w:val="008E0180"/>
    <w:rsid w:val="008E04BD"/>
    <w:rsid w:val="008E102B"/>
    <w:rsid w:val="008E35A5"/>
    <w:rsid w:val="008E3DBD"/>
    <w:rsid w:val="008E4ACE"/>
    <w:rsid w:val="008E54C2"/>
    <w:rsid w:val="008F0211"/>
    <w:rsid w:val="008F0B15"/>
    <w:rsid w:val="008F1AA6"/>
    <w:rsid w:val="008F2212"/>
    <w:rsid w:val="008F5F62"/>
    <w:rsid w:val="008F73C8"/>
    <w:rsid w:val="008F7E69"/>
    <w:rsid w:val="009023BD"/>
    <w:rsid w:val="00903786"/>
    <w:rsid w:val="00903AB2"/>
    <w:rsid w:val="00905F29"/>
    <w:rsid w:val="0090719E"/>
    <w:rsid w:val="009109AA"/>
    <w:rsid w:val="00915C04"/>
    <w:rsid w:val="00916377"/>
    <w:rsid w:val="009178CA"/>
    <w:rsid w:val="009241AE"/>
    <w:rsid w:val="00926879"/>
    <w:rsid w:val="00933C8C"/>
    <w:rsid w:val="009367F6"/>
    <w:rsid w:val="00936939"/>
    <w:rsid w:val="0093741D"/>
    <w:rsid w:val="00941C85"/>
    <w:rsid w:val="0094220F"/>
    <w:rsid w:val="00942CB3"/>
    <w:rsid w:val="009430CB"/>
    <w:rsid w:val="00944174"/>
    <w:rsid w:val="0095050C"/>
    <w:rsid w:val="00950890"/>
    <w:rsid w:val="00951652"/>
    <w:rsid w:val="00952A2E"/>
    <w:rsid w:val="00952F2F"/>
    <w:rsid w:val="00953022"/>
    <w:rsid w:val="00962225"/>
    <w:rsid w:val="009647D4"/>
    <w:rsid w:val="00965C4B"/>
    <w:rsid w:val="009671C5"/>
    <w:rsid w:val="009757BB"/>
    <w:rsid w:val="0098151F"/>
    <w:rsid w:val="009816E6"/>
    <w:rsid w:val="00986A46"/>
    <w:rsid w:val="00990038"/>
    <w:rsid w:val="009906A6"/>
    <w:rsid w:val="00991B89"/>
    <w:rsid w:val="00992ADC"/>
    <w:rsid w:val="009955B0"/>
    <w:rsid w:val="009A2ABF"/>
    <w:rsid w:val="009A641C"/>
    <w:rsid w:val="009A6D32"/>
    <w:rsid w:val="009A71C4"/>
    <w:rsid w:val="009B15EC"/>
    <w:rsid w:val="009B1781"/>
    <w:rsid w:val="009B2546"/>
    <w:rsid w:val="009B464D"/>
    <w:rsid w:val="009B47E2"/>
    <w:rsid w:val="009C1F90"/>
    <w:rsid w:val="009C3C9E"/>
    <w:rsid w:val="009C66A3"/>
    <w:rsid w:val="009D01F5"/>
    <w:rsid w:val="009D616A"/>
    <w:rsid w:val="009E4B15"/>
    <w:rsid w:val="009E6061"/>
    <w:rsid w:val="009F268E"/>
    <w:rsid w:val="009F426A"/>
    <w:rsid w:val="00A00169"/>
    <w:rsid w:val="00A01086"/>
    <w:rsid w:val="00A05E57"/>
    <w:rsid w:val="00A109D2"/>
    <w:rsid w:val="00A1120D"/>
    <w:rsid w:val="00A12070"/>
    <w:rsid w:val="00A13CB3"/>
    <w:rsid w:val="00A13F0D"/>
    <w:rsid w:val="00A15A78"/>
    <w:rsid w:val="00A15DB7"/>
    <w:rsid w:val="00A16708"/>
    <w:rsid w:val="00A169CF"/>
    <w:rsid w:val="00A16D2D"/>
    <w:rsid w:val="00A17503"/>
    <w:rsid w:val="00A215B3"/>
    <w:rsid w:val="00A24D20"/>
    <w:rsid w:val="00A2571F"/>
    <w:rsid w:val="00A32C4E"/>
    <w:rsid w:val="00A3452B"/>
    <w:rsid w:val="00A3584C"/>
    <w:rsid w:val="00A36766"/>
    <w:rsid w:val="00A44E25"/>
    <w:rsid w:val="00A46A9A"/>
    <w:rsid w:val="00A50111"/>
    <w:rsid w:val="00A52BCD"/>
    <w:rsid w:val="00A52C22"/>
    <w:rsid w:val="00A60022"/>
    <w:rsid w:val="00A6097A"/>
    <w:rsid w:val="00A60BF9"/>
    <w:rsid w:val="00A6514E"/>
    <w:rsid w:val="00A66413"/>
    <w:rsid w:val="00A70239"/>
    <w:rsid w:val="00A70C5A"/>
    <w:rsid w:val="00A71F6F"/>
    <w:rsid w:val="00A73564"/>
    <w:rsid w:val="00A769D2"/>
    <w:rsid w:val="00A772C3"/>
    <w:rsid w:val="00A8449C"/>
    <w:rsid w:val="00A84C3C"/>
    <w:rsid w:val="00A87F4B"/>
    <w:rsid w:val="00A909A3"/>
    <w:rsid w:val="00A91BD2"/>
    <w:rsid w:val="00A940BE"/>
    <w:rsid w:val="00A955B6"/>
    <w:rsid w:val="00A9596A"/>
    <w:rsid w:val="00A96316"/>
    <w:rsid w:val="00A9658A"/>
    <w:rsid w:val="00A970ED"/>
    <w:rsid w:val="00AA280F"/>
    <w:rsid w:val="00AA553F"/>
    <w:rsid w:val="00AA6645"/>
    <w:rsid w:val="00AB3D33"/>
    <w:rsid w:val="00AB3DD3"/>
    <w:rsid w:val="00AB45F5"/>
    <w:rsid w:val="00AC1B27"/>
    <w:rsid w:val="00AC2AF8"/>
    <w:rsid w:val="00AC4C62"/>
    <w:rsid w:val="00AC60D4"/>
    <w:rsid w:val="00AC7043"/>
    <w:rsid w:val="00AD308F"/>
    <w:rsid w:val="00AD391B"/>
    <w:rsid w:val="00AD6FD1"/>
    <w:rsid w:val="00AD7B78"/>
    <w:rsid w:val="00AE1AB5"/>
    <w:rsid w:val="00AE39EE"/>
    <w:rsid w:val="00AE53E5"/>
    <w:rsid w:val="00AE6B70"/>
    <w:rsid w:val="00AE747B"/>
    <w:rsid w:val="00AF035F"/>
    <w:rsid w:val="00B04D74"/>
    <w:rsid w:val="00B0534B"/>
    <w:rsid w:val="00B07BA8"/>
    <w:rsid w:val="00B11A10"/>
    <w:rsid w:val="00B129C3"/>
    <w:rsid w:val="00B15B56"/>
    <w:rsid w:val="00B17318"/>
    <w:rsid w:val="00B22BB4"/>
    <w:rsid w:val="00B24C1C"/>
    <w:rsid w:val="00B3058D"/>
    <w:rsid w:val="00B32830"/>
    <w:rsid w:val="00B42FAF"/>
    <w:rsid w:val="00B50BD9"/>
    <w:rsid w:val="00B50FEA"/>
    <w:rsid w:val="00B51175"/>
    <w:rsid w:val="00B5397C"/>
    <w:rsid w:val="00B54FA9"/>
    <w:rsid w:val="00B56840"/>
    <w:rsid w:val="00B57B0B"/>
    <w:rsid w:val="00B62C17"/>
    <w:rsid w:val="00B64308"/>
    <w:rsid w:val="00B657A0"/>
    <w:rsid w:val="00B666E8"/>
    <w:rsid w:val="00B71F74"/>
    <w:rsid w:val="00B73C23"/>
    <w:rsid w:val="00B771FF"/>
    <w:rsid w:val="00B82C45"/>
    <w:rsid w:val="00B85804"/>
    <w:rsid w:val="00BA054F"/>
    <w:rsid w:val="00BA123B"/>
    <w:rsid w:val="00BA1F73"/>
    <w:rsid w:val="00BA3721"/>
    <w:rsid w:val="00BA7802"/>
    <w:rsid w:val="00BB059B"/>
    <w:rsid w:val="00BB35F8"/>
    <w:rsid w:val="00BB4B21"/>
    <w:rsid w:val="00BC3333"/>
    <w:rsid w:val="00BC62FA"/>
    <w:rsid w:val="00BD0F79"/>
    <w:rsid w:val="00BD3C26"/>
    <w:rsid w:val="00BD7EA0"/>
    <w:rsid w:val="00BE2210"/>
    <w:rsid w:val="00BE230D"/>
    <w:rsid w:val="00BE442F"/>
    <w:rsid w:val="00BE4E78"/>
    <w:rsid w:val="00BE5AC7"/>
    <w:rsid w:val="00BE6BC3"/>
    <w:rsid w:val="00BE7CE1"/>
    <w:rsid w:val="00BF0651"/>
    <w:rsid w:val="00BF293C"/>
    <w:rsid w:val="00BF3E58"/>
    <w:rsid w:val="00BF4A8E"/>
    <w:rsid w:val="00BF73E4"/>
    <w:rsid w:val="00BF75D8"/>
    <w:rsid w:val="00C0486C"/>
    <w:rsid w:val="00C0628D"/>
    <w:rsid w:val="00C1101E"/>
    <w:rsid w:val="00C14A24"/>
    <w:rsid w:val="00C16303"/>
    <w:rsid w:val="00C23818"/>
    <w:rsid w:val="00C23C8C"/>
    <w:rsid w:val="00C3042D"/>
    <w:rsid w:val="00C362B7"/>
    <w:rsid w:val="00C3693F"/>
    <w:rsid w:val="00C37A6A"/>
    <w:rsid w:val="00C436B8"/>
    <w:rsid w:val="00C443D7"/>
    <w:rsid w:val="00C44C3C"/>
    <w:rsid w:val="00C53BA6"/>
    <w:rsid w:val="00C54BAC"/>
    <w:rsid w:val="00C620FD"/>
    <w:rsid w:val="00C6285C"/>
    <w:rsid w:val="00C639E4"/>
    <w:rsid w:val="00C64F41"/>
    <w:rsid w:val="00C678E9"/>
    <w:rsid w:val="00C71CED"/>
    <w:rsid w:val="00C725F9"/>
    <w:rsid w:val="00C73EB7"/>
    <w:rsid w:val="00C778C6"/>
    <w:rsid w:val="00C80C62"/>
    <w:rsid w:val="00C82A8A"/>
    <w:rsid w:val="00C8634C"/>
    <w:rsid w:val="00C92773"/>
    <w:rsid w:val="00C94B50"/>
    <w:rsid w:val="00C97152"/>
    <w:rsid w:val="00CA168B"/>
    <w:rsid w:val="00CA3FF1"/>
    <w:rsid w:val="00CA4694"/>
    <w:rsid w:val="00CB032B"/>
    <w:rsid w:val="00CB0554"/>
    <w:rsid w:val="00CC1136"/>
    <w:rsid w:val="00CC53F7"/>
    <w:rsid w:val="00CC5606"/>
    <w:rsid w:val="00CC78B1"/>
    <w:rsid w:val="00CD02A5"/>
    <w:rsid w:val="00CD0B2C"/>
    <w:rsid w:val="00CD518B"/>
    <w:rsid w:val="00CD663D"/>
    <w:rsid w:val="00CD7F0B"/>
    <w:rsid w:val="00CE3DFD"/>
    <w:rsid w:val="00CE71D0"/>
    <w:rsid w:val="00CF1EA3"/>
    <w:rsid w:val="00CF5A2D"/>
    <w:rsid w:val="00D044DC"/>
    <w:rsid w:val="00D05A02"/>
    <w:rsid w:val="00D0725D"/>
    <w:rsid w:val="00D07962"/>
    <w:rsid w:val="00D1194C"/>
    <w:rsid w:val="00D11F38"/>
    <w:rsid w:val="00D11F49"/>
    <w:rsid w:val="00D17467"/>
    <w:rsid w:val="00D17DEC"/>
    <w:rsid w:val="00D2150F"/>
    <w:rsid w:val="00D215DF"/>
    <w:rsid w:val="00D33697"/>
    <w:rsid w:val="00D33E3B"/>
    <w:rsid w:val="00D340E8"/>
    <w:rsid w:val="00D40B85"/>
    <w:rsid w:val="00D535AC"/>
    <w:rsid w:val="00D54A83"/>
    <w:rsid w:val="00D5549C"/>
    <w:rsid w:val="00D555C7"/>
    <w:rsid w:val="00D566F4"/>
    <w:rsid w:val="00D60855"/>
    <w:rsid w:val="00D621F5"/>
    <w:rsid w:val="00D7061A"/>
    <w:rsid w:val="00D713EB"/>
    <w:rsid w:val="00D81F86"/>
    <w:rsid w:val="00D87025"/>
    <w:rsid w:val="00D9059F"/>
    <w:rsid w:val="00D90F1A"/>
    <w:rsid w:val="00DB03DF"/>
    <w:rsid w:val="00DB2072"/>
    <w:rsid w:val="00DB2CA0"/>
    <w:rsid w:val="00DC075C"/>
    <w:rsid w:val="00DC3574"/>
    <w:rsid w:val="00DC4A69"/>
    <w:rsid w:val="00DC5300"/>
    <w:rsid w:val="00DC6FBB"/>
    <w:rsid w:val="00DD5D38"/>
    <w:rsid w:val="00DE05FE"/>
    <w:rsid w:val="00DE0D0B"/>
    <w:rsid w:val="00DE3772"/>
    <w:rsid w:val="00DE53C6"/>
    <w:rsid w:val="00DE5EE8"/>
    <w:rsid w:val="00DE74EC"/>
    <w:rsid w:val="00DF07BB"/>
    <w:rsid w:val="00DF0B01"/>
    <w:rsid w:val="00DF519D"/>
    <w:rsid w:val="00DF56B6"/>
    <w:rsid w:val="00DF5A46"/>
    <w:rsid w:val="00DF7430"/>
    <w:rsid w:val="00E10B5B"/>
    <w:rsid w:val="00E11036"/>
    <w:rsid w:val="00E11105"/>
    <w:rsid w:val="00E16939"/>
    <w:rsid w:val="00E1766A"/>
    <w:rsid w:val="00E17AB6"/>
    <w:rsid w:val="00E267E6"/>
    <w:rsid w:val="00E30842"/>
    <w:rsid w:val="00E3091E"/>
    <w:rsid w:val="00E34501"/>
    <w:rsid w:val="00E354C6"/>
    <w:rsid w:val="00E35B8F"/>
    <w:rsid w:val="00E40078"/>
    <w:rsid w:val="00E41D62"/>
    <w:rsid w:val="00E4461B"/>
    <w:rsid w:val="00E4520C"/>
    <w:rsid w:val="00E45ECE"/>
    <w:rsid w:val="00E5123B"/>
    <w:rsid w:val="00E527E3"/>
    <w:rsid w:val="00E605A7"/>
    <w:rsid w:val="00E627F9"/>
    <w:rsid w:val="00E62B01"/>
    <w:rsid w:val="00E64B67"/>
    <w:rsid w:val="00E669CD"/>
    <w:rsid w:val="00E66D77"/>
    <w:rsid w:val="00E70A2C"/>
    <w:rsid w:val="00E813BB"/>
    <w:rsid w:val="00E81A92"/>
    <w:rsid w:val="00E83A1D"/>
    <w:rsid w:val="00E847A7"/>
    <w:rsid w:val="00E85FF2"/>
    <w:rsid w:val="00E86CBA"/>
    <w:rsid w:val="00E878A8"/>
    <w:rsid w:val="00E90E39"/>
    <w:rsid w:val="00E93487"/>
    <w:rsid w:val="00E93C25"/>
    <w:rsid w:val="00E95A8F"/>
    <w:rsid w:val="00EA25AB"/>
    <w:rsid w:val="00EA5D8D"/>
    <w:rsid w:val="00EB1557"/>
    <w:rsid w:val="00EB5BBB"/>
    <w:rsid w:val="00EC2A56"/>
    <w:rsid w:val="00EC34A7"/>
    <w:rsid w:val="00ED3522"/>
    <w:rsid w:val="00ED3F9F"/>
    <w:rsid w:val="00EE248B"/>
    <w:rsid w:val="00EE570F"/>
    <w:rsid w:val="00EE5F89"/>
    <w:rsid w:val="00EF1B2D"/>
    <w:rsid w:val="00EF1CCA"/>
    <w:rsid w:val="00EF6181"/>
    <w:rsid w:val="00EF754A"/>
    <w:rsid w:val="00F0196A"/>
    <w:rsid w:val="00F05E23"/>
    <w:rsid w:val="00F07278"/>
    <w:rsid w:val="00F07372"/>
    <w:rsid w:val="00F07B2D"/>
    <w:rsid w:val="00F121FB"/>
    <w:rsid w:val="00F1396D"/>
    <w:rsid w:val="00F172EE"/>
    <w:rsid w:val="00F2168C"/>
    <w:rsid w:val="00F22FC2"/>
    <w:rsid w:val="00F248B6"/>
    <w:rsid w:val="00F25010"/>
    <w:rsid w:val="00F25A62"/>
    <w:rsid w:val="00F25A80"/>
    <w:rsid w:val="00F26C5F"/>
    <w:rsid w:val="00F31637"/>
    <w:rsid w:val="00F33B9F"/>
    <w:rsid w:val="00F36703"/>
    <w:rsid w:val="00F40916"/>
    <w:rsid w:val="00F41932"/>
    <w:rsid w:val="00F44C22"/>
    <w:rsid w:val="00F4789A"/>
    <w:rsid w:val="00F5016B"/>
    <w:rsid w:val="00F51C00"/>
    <w:rsid w:val="00F51FDE"/>
    <w:rsid w:val="00F57590"/>
    <w:rsid w:val="00F61364"/>
    <w:rsid w:val="00F614C4"/>
    <w:rsid w:val="00F61E2F"/>
    <w:rsid w:val="00F65E0B"/>
    <w:rsid w:val="00F70621"/>
    <w:rsid w:val="00F711EB"/>
    <w:rsid w:val="00F7237D"/>
    <w:rsid w:val="00F7256C"/>
    <w:rsid w:val="00F7531D"/>
    <w:rsid w:val="00F75A59"/>
    <w:rsid w:val="00F7650A"/>
    <w:rsid w:val="00F80A99"/>
    <w:rsid w:val="00F82A9B"/>
    <w:rsid w:val="00F83BC3"/>
    <w:rsid w:val="00F90901"/>
    <w:rsid w:val="00F94A5F"/>
    <w:rsid w:val="00F954A9"/>
    <w:rsid w:val="00F95DDF"/>
    <w:rsid w:val="00F96108"/>
    <w:rsid w:val="00FA2065"/>
    <w:rsid w:val="00FA70A7"/>
    <w:rsid w:val="00FB5337"/>
    <w:rsid w:val="00FB7AEB"/>
    <w:rsid w:val="00FC0680"/>
    <w:rsid w:val="00FC2874"/>
    <w:rsid w:val="00FC2E34"/>
    <w:rsid w:val="00FC3BE2"/>
    <w:rsid w:val="00FC6A4A"/>
    <w:rsid w:val="00FC7491"/>
    <w:rsid w:val="00FD06DF"/>
    <w:rsid w:val="00FD0B4D"/>
    <w:rsid w:val="00FD3115"/>
    <w:rsid w:val="00FD4157"/>
    <w:rsid w:val="00FD492C"/>
    <w:rsid w:val="00FD6694"/>
    <w:rsid w:val="00FE316C"/>
    <w:rsid w:val="00FE4C1E"/>
    <w:rsid w:val="00FF4459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8E40"/>
  <w15:docId w15:val="{F6652CD8-5254-4A95-BC01-CB234A18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aliases w:val="Body,BodyNum,Bullet + line,Bullet Char1,Bullet Char1 Char Char Char,Bullet Char1 Char Char Char Char,Bullet Char1 Char Char Char Char Char,b,b + line,b1,b1 Char Char Char,bulleted,level 1,CG-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aliases w:val="b Char,b + line Char Char,b Char Char,b1 Char,b + line Char,Body Char,level 1 Char,Bullet + line Char,Number Char,List Paragraph2 Char,Bullets Char,L Char,List Paragraph1 Char,List Paragraph11 Char,Recommendation Char,L C"/>
    <w:basedOn w:val="DefaultParagraphFont"/>
    <w:link w:val="Bullet"/>
    <w:qFormat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C94B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B50"/>
    <w:pPr>
      <w:spacing w:before="0"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B50"/>
    <w:rPr>
      <w:rFonts w:asciiTheme="minorHAnsi" w:hAnsiTheme="minorHAnsi" w:cstheme="minorBidi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C94B50"/>
    <w:rPr>
      <w:b/>
      <w:bCs/>
    </w:rPr>
  </w:style>
  <w:style w:type="table" w:styleId="GridTable6Colorful-Accent1">
    <w:name w:val="Grid Table 6 Colorful Accent 1"/>
    <w:basedOn w:val="TableNormal"/>
    <w:uiPriority w:val="51"/>
    <w:rsid w:val="00556BFD"/>
    <w:rPr>
      <w:color w:val="212937" w:themeColor="accent1" w:themeShade="BF"/>
    </w:rPr>
    <w:tblPr>
      <w:tblStyleRowBandSize w:val="1"/>
      <w:tblStyleColBandSize w:val="1"/>
      <w:tblBorders>
        <w:top w:val="single" w:sz="4" w:space="0" w:color="6B83A7" w:themeColor="accent1" w:themeTint="99"/>
        <w:left w:val="single" w:sz="4" w:space="0" w:color="6B83A7" w:themeColor="accent1" w:themeTint="99"/>
        <w:bottom w:val="single" w:sz="4" w:space="0" w:color="6B83A7" w:themeColor="accent1" w:themeTint="99"/>
        <w:right w:val="single" w:sz="4" w:space="0" w:color="6B83A7" w:themeColor="accent1" w:themeTint="99"/>
        <w:insideH w:val="single" w:sz="4" w:space="0" w:color="6B83A7" w:themeColor="accent1" w:themeTint="99"/>
        <w:insideV w:val="single" w:sz="4" w:space="0" w:color="6B83A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B83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B83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5E1" w:themeFill="accent1" w:themeFillTint="33"/>
      </w:tcPr>
    </w:tblStylePr>
    <w:tblStylePr w:type="band1Horz">
      <w:tblPr/>
      <w:tcPr>
        <w:shd w:val="clear" w:color="auto" w:fill="CDD5E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3CFE"/>
    <w:pPr>
      <w:spacing w:before="120" w:after="120"/>
    </w:pPr>
    <w:rPr>
      <w:rFonts w:ascii="Calibri Light" w:eastAsia="Times New Roman" w:hAnsi="Calibri Light" w:cs="Times New Roman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413CFE"/>
    <w:rPr>
      <w:rFonts w:ascii="Calibri Light" w:eastAsia="Times New Roman" w:hAnsi="Calibri Light" w:cstheme="minorBidi"/>
      <w:b/>
      <w:bCs/>
      <w:kern w:val="2"/>
      <w:lang w:eastAsia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Treasury\TSY%20Factsheet.dotx" TargetMode="External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de4f175d-a0ea-42db-8e9c-ca57922e8174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release</TermName>
          <TermId xmlns="http://schemas.microsoft.com/office/infopath/2007/PartnerControls">abfbed4e-7697-4910-891c-ef612cdde4bf</TermId>
        </TermInfo>
      </Terms>
    </kfc39f3e4e2747ae990d3c8bb74a5a64>
    <Projects xmlns="9a171572-0e81-44bf-a31d-baab29ee196e" xsi:nil="true"/>
    <ge25bdd0d6464e36b066695d9e81d63d xmlns="fe39d773-a83d-4623-ae74-f25711a76616">
      <Terms xmlns="http://schemas.microsoft.com/office/infopath/2007/PartnerControls"/>
    </ge25bdd0d6464e36b066695d9e81d63d>
    <lcf76f155ced4ddcb4097134ff3c332f xmlns="9a171572-0e81-44bf-a31d-baab29ee196e">
      <Terms xmlns="http://schemas.microsoft.com/office/infopath/2007/PartnerControls"/>
    </lcf76f155ced4ddcb4097134ff3c332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Retirement Income</TermName>
          <TermId xmlns="http://schemas.microsoft.com/office/infopath/2007/PartnerControls">08e012f3-2b84-4155-a794-b9fc678d48ff</TermId>
        </TermInfo>
      </Terms>
    </a48f371a4a874164b16a8c4aab488f5c>
    <TaxCatchAll xmlns="1de57c58-46f3-428b-b4d3-b5fbc4164ac7">
      <Value>8</Value>
      <Value>120</Value>
      <Value>1</Value>
      <Value>44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Retirement reporting framework</TermName>
          <TermId xmlns="http://schemas.microsoft.com/office/infopath/2007/PartnerControls">ee5299b7-a569-46c5-8a83-76e1b5857d4e</TermId>
        </TermInfo>
      </Terms>
    </gfba5f33532c49208d2320ce38cc3c2b>
    <_dlc_DocId xmlns="fe39d773-a83d-4623-ae74-f25711a76616">S5TTNKYF7XQD-848288235-1090</_dlc_DocId>
    <_dlc_DocIdUrl xmlns="fe39d773-a83d-4623-ae74-f25711a76616">
      <Url>https://austreasury.sharepoint.com/sites/sbt-function/_layouts/15/DocIdRedir.aspx?ID=S5TTNKYF7XQD-848288235-1090</Url>
      <Description>S5TTNKYF7XQD-848288235-1090</Description>
    </_dlc_DocIdUrl>
    <TSY_ModifiedByDivision xmlns="1de57c58-46f3-428b-b4d3-b5fbc4164ac7">Revenue Small Business and Law Group - Retirement Income and Superannuation Division</TSY_ModifiedByDivision>
    <TSY_CreatedByDivision xmlns="1de57c58-46f3-428b-b4d3-b5fbc4164ac7">Revenue Small Business and Law Group - Retirement Income and Superannuation Division</TSY_CreatedByDivi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5FBAF709B67408AD1244078B00B70" ma:contentTypeVersion="26" ma:contentTypeDescription="Create a new document." ma:contentTypeScope="" ma:versionID="272787f1aa9a181834f74f790415c382">
  <xsd:schema xmlns:xsd="http://www.w3.org/2001/XMLSchema" xmlns:xs="http://www.w3.org/2001/XMLSchema" xmlns:p="http://schemas.microsoft.com/office/2006/metadata/properties" xmlns:ns2="1de57c58-46f3-428b-b4d3-b5fbc4164ac7" xmlns:ns3="fe39d773-a83d-4623-ae74-f25711a76616" xmlns:ns4="9a171572-0e81-44bf-a31d-baab29ee196e" targetNamespace="http://schemas.microsoft.com/office/2006/metadata/properties" ma:root="true" ma:fieldsID="9f209346251388cc477835e78b1517c0" ns2:_="" ns3:_="" ns4:_="">
    <xsd:import namespace="1de57c58-46f3-428b-b4d3-b5fbc4164ac7"/>
    <xsd:import namespace="fe39d773-a83d-4623-ae74-f25711a76616"/>
    <xsd:import namespace="9a171572-0e81-44bf-a31d-baab29ee196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Project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7c58-46f3-428b-b4d3-b5fbc4164a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6eb290-67d1-4496-a206-a89850bd6f83}" ma:internalName="TaxCatchAll" ma:showField="CatchAllData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56eb290-67d1-4496-a206-a89850bd6f83}" ma:internalName="TaxCatchAllLabel" ma:readOnly="true" ma:showField="CatchAllDataLabel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SY_CreatedByDivision" ma:index="36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7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Retirement Income|08e012f3-2b84-4155-a794-b9fc678d48f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ea57add9-3702-41d5-8bbb-6be5584aa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60d51015-90e3-4212-94b4-620ecaef0c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67293259-9c3f-4bbe-9603-b344ff1b64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71572-0e81-44bf-a31d-baab29ee1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Projects" ma:index="25" nillable="true" ma:displayName="Projects" ma:format="Dropdown" ma:internalName="Projects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310A9-8166-48FB-B477-1CD0C42CCB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C9EF1C-25C2-48EA-9C02-F5D0102C6A46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9a171572-0e81-44bf-a31d-baab29ee196e"/>
    <ds:schemaRef ds:uri="1de57c58-46f3-428b-b4d3-b5fbc4164ac7"/>
  </ds:schemaRefs>
</ds:datastoreItem>
</file>

<file path=customXml/itemProps3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076F40-39B4-4A90-BF0F-0D5258A98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7c58-46f3-428b-b4d3-b5fbc4164ac7"/>
    <ds:schemaRef ds:uri="fe39d773-a83d-4623-ae74-f25711a76616"/>
    <ds:schemaRef ds:uri="9a171572-0e81-44bf-a31d-baab29ee1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TSY Factsheet.dotx</Template>
  <TotalTime>209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Corporate Factsheet</vt:lpstr>
    </vt:vector>
  </TitlesOfParts>
  <Company>Australian Government - The Treasury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Karin, Yael</dc:creator>
  <cp:keywords/>
  <dc:description/>
  <cp:lastModifiedBy>Karin, Yael</cp:lastModifiedBy>
  <cp:revision>10</cp:revision>
  <cp:lastPrinted>2026-02-20T00:16:00Z</cp:lastPrinted>
  <dcterms:created xsi:type="dcterms:W3CDTF">2026-02-17T02:15:00Z</dcterms:created>
  <dcterms:modified xsi:type="dcterms:W3CDTF">2026-02-20T00:16:00Z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2025-10-24T08:07:03Z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13da255d-8b05-4d8a-af61-5f32b1d33291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0x01010053A5FBAF709B67408AD1244078B00B70</vt:lpwstr>
  </property>
  <property fmtid="{D5CDD505-2E9C-101B-9397-08002B2CF9AE}" pid="11" name="eActivity">
    <vt:lpwstr>8;#Stakeholder engagement|de4f175d-a0ea-42db-8e9c-ca57922e8174</vt:lpwstr>
  </property>
  <property fmtid="{D5CDD505-2E9C-101B-9397-08002B2CF9AE}" pid="12" name="TSYStatus">
    <vt:lpwstr/>
  </property>
  <property fmtid="{D5CDD505-2E9C-101B-9397-08002B2CF9AE}" pid="13" name="eDocumentType">
    <vt:lpwstr>44;#Media release|abfbed4e-7697-4910-891c-ef612cdde4bf</vt:lpwstr>
  </property>
  <property fmtid="{D5CDD505-2E9C-101B-9397-08002B2CF9AE}" pid="14" name="eTopic">
    <vt:lpwstr>120;#Retirement reporting framework|ee5299b7-a569-46c5-8a83-76e1b5857d4e</vt:lpwstr>
  </property>
  <property fmtid="{D5CDD505-2E9C-101B-9397-08002B2CF9AE}" pid="15" name="eTheme">
    <vt:lpwstr>1;#Retirement Income|08e012f3-2b84-4155-a794-b9fc678d48ff</vt:lpwstr>
  </property>
  <property fmtid="{D5CDD505-2E9C-101B-9397-08002B2CF9AE}" pid="16" name="_dlc_DocIdItemGuid">
    <vt:lpwstr>3e79f716-0620-4b38-a01c-0b72388dbff2</vt:lpwstr>
  </property>
  <property fmtid="{D5CDD505-2E9C-101B-9397-08002B2CF9AE}" pid="17" name="MediaServiceImageTags">
    <vt:lpwstr/>
  </property>
</Properties>
</file>