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0ADE2" w14:textId="1429057B" w:rsidR="00B770C4" w:rsidRPr="00307C13" w:rsidRDefault="00292E5C" w:rsidP="002034C2">
      <w:pPr>
        <w:pStyle w:val="Title"/>
        <w:tabs>
          <w:tab w:val="left" w:pos="3583"/>
        </w:tabs>
        <w:rPr>
          <w:sz w:val="72"/>
          <w:szCs w:val="36"/>
        </w:rPr>
      </w:pPr>
      <w:bookmarkStart w:id="0" w:name="_Toc53573191"/>
      <w:bookmarkStart w:id="1" w:name="_Toc53573619"/>
      <w:r w:rsidRPr="00307C13">
        <w:rPr>
          <w:sz w:val="72"/>
          <w:szCs w:val="36"/>
        </w:rPr>
        <w:t>National Competition Policy</w:t>
      </w:r>
    </w:p>
    <w:p w14:paraId="51C10A5C" w14:textId="76155111" w:rsidR="002034C2" w:rsidRDefault="004344F7" w:rsidP="00307C13">
      <w:pPr>
        <w:pStyle w:val="Subtitle"/>
      </w:pPr>
      <w:bookmarkStart w:id="2" w:name="_Toc53573620"/>
      <w:bookmarkEnd w:id="0"/>
      <w:bookmarkEnd w:id="1"/>
      <w:r>
        <w:t>Lower</w:t>
      </w:r>
      <w:r w:rsidR="00560409">
        <w:t>ing</w:t>
      </w:r>
      <w:r>
        <w:t xml:space="preserve"> </w:t>
      </w:r>
      <w:r w:rsidR="00707996">
        <w:t>b</w:t>
      </w:r>
      <w:r>
        <w:t xml:space="preserve">arriers to </w:t>
      </w:r>
      <w:r w:rsidR="004F17C4">
        <w:t xml:space="preserve">the </w:t>
      </w:r>
      <w:r w:rsidR="00C50A83" w:rsidRPr="00E84630">
        <w:t>adoption of international and overseas standards</w:t>
      </w:r>
      <w:r w:rsidR="00C50A83">
        <w:t xml:space="preserve"> in regulation</w:t>
      </w:r>
    </w:p>
    <w:p w14:paraId="1DAEB70B" w14:textId="77777777" w:rsidR="00307C13" w:rsidRPr="00307C13" w:rsidRDefault="00307C13" w:rsidP="00307C13"/>
    <w:p w14:paraId="76628A67" w14:textId="77777777" w:rsidR="00307C13" w:rsidRDefault="003176E0" w:rsidP="003176E0">
      <w:pPr>
        <w:pStyle w:val="Subtitle"/>
      </w:pPr>
      <w:r w:rsidRPr="003176E0">
        <w:t>Consultation paper</w:t>
      </w:r>
    </w:p>
    <w:p w14:paraId="60E7297F" w14:textId="1A4C2635" w:rsidR="003176E0" w:rsidRPr="003176E0" w:rsidRDefault="00307C13" w:rsidP="003176E0">
      <w:pPr>
        <w:pStyle w:val="Subtitle"/>
        <w:sectPr w:rsidR="003176E0" w:rsidRPr="003176E0" w:rsidSect="002034C2">
          <w:footerReference w:type="default" r:id="rId7"/>
          <w:headerReference w:type="first" r:id="rId8"/>
          <w:pgSz w:w="11906" w:h="16838" w:code="9"/>
          <w:pgMar w:top="1418" w:right="1418" w:bottom="1418" w:left="1418" w:header="567" w:footer="624" w:gutter="0"/>
          <w:cols w:space="708"/>
          <w:titlePg/>
          <w:docGrid w:linePitch="360"/>
        </w:sectPr>
      </w:pPr>
      <w:r>
        <w:br/>
        <w:t>July 2025</w:t>
      </w:r>
    </w:p>
    <w:p w14:paraId="48EB7B04" w14:textId="77777777" w:rsidR="008F2BA9" w:rsidRDefault="008F2BA9">
      <w:pPr>
        <w:suppressAutoHyphens w:val="0"/>
        <w:spacing w:before="0" w:after="120" w:line="440" w:lineRule="atLeast"/>
      </w:pPr>
      <w:bookmarkStart w:id="3" w:name="_Hlk183605039"/>
      <w:bookmarkEnd w:id="2"/>
      <w:r>
        <w:br w:type="page"/>
      </w:r>
    </w:p>
    <w:p w14:paraId="606015A8" w14:textId="38EBCB85" w:rsidR="003020B9" w:rsidRDefault="003020B9" w:rsidP="003020B9">
      <w:r w:rsidRPr="00661BF0">
        <w:lastRenderedPageBreak/>
        <w:t xml:space="preserve">© Commonwealth of Australia </w:t>
      </w:r>
      <w:r w:rsidRPr="003020B9">
        <w:t>2025</w:t>
      </w:r>
    </w:p>
    <w:p w14:paraId="679C7097" w14:textId="77777777" w:rsidR="003020B9" w:rsidRPr="00086F82" w:rsidRDefault="003020B9" w:rsidP="003020B9">
      <w:pPr>
        <w:rPr>
          <w:sz w:val="24"/>
          <w:szCs w:val="24"/>
        </w:rPr>
      </w:pPr>
      <w:r w:rsidRPr="002F1BC2">
        <w:t>This publication is available for your use under a</w:t>
      </w:r>
      <w:r w:rsidRPr="00476F09">
        <w:rPr>
          <w:rFonts w:cstheme="minorHAnsi"/>
          <w:sz w:val="24"/>
          <w:szCs w:val="24"/>
        </w:rPr>
        <w:t xml:space="preserve"> </w:t>
      </w:r>
      <w:hyperlink r:id="rId9" w:history="1">
        <w:r>
          <w:rPr>
            <w:rStyle w:val="Hyperlink"/>
          </w:rPr>
          <w:t>Creative Commons Attribution 4.0 International</w:t>
        </w:r>
      </w:hyperlink>
      <w:r w:rsidRPr="00476F09">
        <w:rPr>
          <w:rFonts w:cstheme="minorHAnsi"/>
          <w:sz w:val="24"/>
          <w:szCs w:val="24"/>
        </w:rPr>
        <w:t xml:space="preserve"> </w:t>
      </w:r>
      <w:r w:rsidRPr="002F1BC2">
        <w:t>licence, with the exception of the Commonwealth Coat of Arms, the Treasury logo</w:t>
      </w:r>
      <w:r>
        <w:t>, photographs, images,</w:t>
      </w:r>
      <w:r w:rsidRPr="00261802">
        <w:t xml:space="preserve"> </w:t>
      </w:r>
      <w:r w:rsidRPr="004F5ACF">
        <w:t>third party materials, materials protected by a trademark</w:t>
      </w:r>
      <w:r>
        <w:t xml:space="preserve">, signatures </w:t>
      </w:r>
      <w:r w:rsidRPr="002F1BC2">
        <w:t>and where otherwise stated</w:t>
      </w:r>
      <w:r>
        <w:t xml:space="preserve">. </w:t>
      </w:r>
      <w:r w:rsidRPr="002F1BC2">
        <w:t>The full licence terms are available from</w:t>
      </w:r>
      <w:r w:rsidRPr="00476F09">
        <w:rPr>
          <w:rFonts w:cstheme="minorHAnsi"/>
          <w:sz w:val="24"/>
          <w:szCs w:val="24"/>
        </w:rPr>
        <w:t xml:space="preserve"> </w:t>
      </w:r>
      <w:hyperlink r:id="rId10" w:history="1">
        <w:r>
          <w:rPr>
            <w:rStyle w:val="Hyperlink"/>
          </w:rPr>
          <w:t>creativecommons.org/licenses/by/4.0/legalcode</w:t>
        </w:r>
      </w:hyperlink>
      <w:r w:rsidRPr="006627B4">
        <w:rPr>
          <w:rStyle w:val="Hyperlink"/>
        </w:rPr>
        <w:t>.</w:t>
      </w:r>
      <w:r w:rsidRPr="00D06A21">
        <w:rPr>
          <w:sz w:val="24"/>
          <w:szCs w:val="24"/>
        </w:rPr>
        <w:t xml:space="preserve"> </w:t>
      </w:r>
    </w:p>
    <w:p w14:paraId="77983362" w14:textId="77777777" w:rsidR="003020B9" w:rsidRDefault="003020B9" w:rsidP="003020B9">
      <w:r w:rsidRPr="00E56DFB">
        <w:rPr>
          <w:noProof/>
        </w:rPr>
        <w:drawing>
          <wp:inline distT="0" distB="0" distL="0" distR="0" wp14:anchorId="60DBCB3D" wp14:editId="6B10DBDE">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4F83156" w14:textId="77777777" w:rsidR="003020B9" w:rsidRPr="006627B4" w:rsidRDefault="003020B9" w:rsidP="003020B9">
      <w:r w:rsidRPr="006627B4">
        <w:t>Use of Treasury material under a</w:t>
      </w:r>
      <w:r w:rsidRPr="00476F09">
        <w:rPr>
          <w:rFonts w:cstheme="minorHAnsi"/>
          <w:sz w:val="24"/>
          <w:szCs w:val="24"/>
        </w:rPr>
        <w:t xml:space="preserve"> </w:t>
      </w:r>
      <w:hyperlink r:id="rId12" w:history="1">
        <w:r>
          <w:rPr>
            <w:rStyle w:val="Hyperlink"/>
          </w:rPr>
          <w:t>Creative Commons Attribution 4.0 International</w:t>
        </w:r>
      </w:hyperlink>
      <w:r>
        <w:t xml:space="preserve"> l</w:t>
      </w:r>
      <w:r w:rsidRPr="006627B4">
        <w:t>icence requires you to attribute the work (but not in any way that suggests that the Treasury endorse</w:t>
      </w:r>
      <w:r>
        <w:t>s you or your use of the work).</w:t>
      </w:r>
    </w:p>
    <w:p w14:paraId="60897819" w14:textId="77777777" w:rsidR="003020B9" w:rsidRPr="00261802" w:rsidRDefault="003020B9" w:rsidP="003020B9">
      <w:pPr>
        <w:rPr>
          <w:rStyle w:val="Strong"/>
        </w:rPr>
      </w:pPr>
      <w:r w:rsidRPr="00261802">
        <w:rPr>
          <w:rStyle w:val="Strong"/>
        </w:rPr>
        <w:t>Treasury material used ‘as supplied’</w:t>
      </w:r>
    </w:p>
    <w:p w14:paraId="14D13858" w14:textId="77777777" w:rsidR="003020B9" w:rsidRPr="00476F09" w:rsidRDefault="003020B9" w:rsidP="003020B9">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w:t>
      </w:r>
      <w:r>
        <w:rPr>
          <w:rFonts w:cs="Calibri Light"/>
        </w:rPr>
        <w:t>–</w:t>
      </w:r>
      <w:r>
        <w:t xml:space="preserve"> then Treasury prefers t</w:t>
      </w:r>
      <w:r w:rsidRPr="00476F09">
        <w:t xml:space="preserve">he following attribution: </w:t>
      </w:r>
    </w:p>
    <w:p w14:paraId="396B329B" w14:textId="77777777" w:rsidR="003020B9" w:rsidRPr="00A13A11" w:rsidRDefault="003020B9" w:rsidP="00844685">
      <w:pPr>
        <w:ind w:firstLine="720"/>
      </w:pPr>
      <w:r w:rsidRPr="00E17231">
        <w:rPr>
          <w:iCs/>
        </w:rPr>
        <w:t>Source:</w:t>
      </w:r>
      <w:r w:rsidRPr="002F1BC2">
        <w:rPr>
          <w:i/>
        </w:rPr>
        <w:t xml:space="preserve"> </w:t>
      </w:r>
      <w:r w:rsidRPr="00AC2B70">
        <w:rPr>
          <w:rStyle w:val="Emphasis"/>
        </w:rPr>
        <w:t>The Commonwealth of Australia.</w:t>
      </w:r>
    </w:p>
    <w:p w14:paraId="60812558" w14:textId="77777777" w:rsidR="003020B9" w:rsidRPr="00261802" w:rsidRDefault="003020B9" w:rsidP="003020B9">
      <w:pPr>
        <w:rPr>
          <w:rStyle w:val="Strong"/>
        </w:rPr>
      </w:pPr>
      <w:r w:rsidRPr="00261802">
        <w:rPr>
          <w:rStyle w:val="Strong"/>
        </w:rPr>
        <w:t>Derivative material</w:t>
      </w:r>
    </w:p>
    <w:p w14:paraId="55829448" w14:textId="77777777" w:rsidR="003020B9" w:rsidRPr="006627B4" w:rsidRDefault="003020B9" w:rsidP="003020B9">
      <w:r w:rsidRPr="006627B4">
        <w:t xml:space="preserve">If you have modified or transformed Treasury material, or derived new material from those of the Treasury in any way, then Treasury prefers the following attribution: </w:t>
      </w:r>
    </w:p>
    <w:p w14:paraId="0D7F7CE7" w14:textId="77777777" w:rsidR="003020B9" w:rsidRPr="00AC2B70" w:rsidRDefault="003020B9" w:rsidP="00844685">
      <w:pPr>
        <w:ind w:firstLine="720"/>
        <w:rPr>
          <w:rStyle w:val="Emphasis"/>
        </w:rPr>
      </w:pPr>
      <w:r w:rsidRPr="00AC2B70">
        <w:rPr>
          <w:rStyle w:val="Emphasis"/>
        </w:rPr>
        <w:t>Based on Commonwealth of Australia</w:t>
      </w:r>
      <w:r w:rsidRPr="00AC2B70" w:rsidDel="002A3368">
        <w:rPr>
          <w:rStyle w:val="Emphasis"/>
        </w:rPr>
        <w:t xml:space="preserve"> </w:t>
      </w:r>
      <w:r w:rsidRPr="00AC2B70">
        <w:rPr>
          <w:rStyle w:val="Emphasis"/>
        </w:rPr>
        <w:t>data</w:t>
      </w:r>
      <w:r w:rsidRPr="00E17231">
        <w:rPr>
          <w:rStyle w:val="Emphasis"/>
        </w:rPr>
        <w:t>.</w:t>
      </w:r>
    </w:p>
    <w:p w14:paraId="6EE76F39" w14:textId="77777777" w:rsidR="003020B9" w:rsidRPr="00261802" w:rsidRDefault="003020B9" w:rsidP="003020B9">
      <w:pPr>
        <w:rPr>
          <w:rStyle w:val="Strong"/>
        </w:rPr>
      </w:pPr>
      <w:r w:rsidRPr="00261802">
        <w:rPr>
          <w:rStyle w:val="Strong"/>
        </w:rPr>
        <w:t>Use of the Coat of Arms</w:t>
      </w:r>
    </w:p>
    <w:p w14:paraId="3FA2DE96" w14:textId="77777777" w:rsidR="003020B9" w:rsidRPr="005C503A" w:rsidRDefault="003020B9" w:rsidP="003020B9">
      <w:r w:rsidRPr="005C503A">
        <w:t xml:space="preserve">The terms under which the Coat of Arms can be used are set out on the Department of the Prime Minister and Cabinet website (see </w:t>
      </w:r>
      <w:hyperlink r:id="rId13" w:history="1">
        <w:r>
          <w:rPr>
            <w:rStyle w:val="Hyperlink"/>
          </w:rPr>
          <w:t>www.pmc.gov.au/government/commonwealth-coat-arms</w:t>
        </w:r>
      </w:hyperlink>
      <w:r w:rsidRPr="005C503A">
        <w:t>).</w:t>
      </w:r>
    </w:p>
    <w:p w14:paraId="6641E427" w14:textId="77777777" w:rsidR="003020B9" w:rsidRPr="00261802" w:rsidRDefault="003020B9" w:rsidP="003020B9">
      <w:pPr>
        <w:rPr>
          <w:rStyle w:val="Strong"/>
        </w:rPr>
      </w:pPr>
      <w:r w:rsidRPr="00261802">
        <w:rPr>
          <w:rStyle w:val="Strong"/>
        </w:rPr>
        <w:t>Other uses</w:t>
      </w:r>
    </w:p>
    <w:p w14:paraId="08DA86D6" w14:textId="77777777" w:rsidR="003020B9" w:rsidRPr="006627B4" w:rsidRDefault="003020B9" w:rsidP="003020B9">
      <w:r>
        <w:t>E</w:t>
      </w:r>
      <w:r w:rsidRPr="006627B4">
        <w:t>nquiries regarding this licence and any other use of this document are welcome at:</w:t>
      </w:r>
    </w:p>
    <w:p w14:paraId="42736AFA" w14:textId="77777777" w:rsidR="003020B9" w:rsidRPr="002F1BC2" w:rsidRDefault="003020B9" w:rsidP="00844685">
      <w:pPr>
        <w:ind w:left="720"/>
        <w:rPr>
          <w:rStyle w:val="Hyperlink"/>
        </w:rPr>
      </w:pPr>
      <w:r w:rsidRPr="006627B4">
        <w:t>Manager</w:t>
      </w:r>
      <w:r>
        <w:br/>
        <w:t>Media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4" w:history="1">
        <w:r>
          <w:rPr>
            <w:rStyle w:val="Hyperlink"/>
          </w:rPr>
          <w:t>media@treasury.gov.au</w:t>
        </w:r>
      </w:hyperlink>
    </w:p>
    <w:p w14:paraId="05309436" w14:textId="77777777" w:rsidR="00E56F97" w:rsidRDefault="00E56F97" w:rsidP="00E56F97"/>
    <w:p w14:paraId="61E97741" w14:textId="77777777" w:rsidR="00E56F97" w:rsidRDefault="00E56F97">
      <w:pPr>
        <w:suppressAutoHyphens w:val="0"/>
        <w:spacing w:before="0" w:after="120" w:line="440" w:lineRule="atLeast"/>
        <w:rPr>
          <w:rFonts w:asciiTheme="majorHAnsi" w:eastAsiaTheme="majorEastAsia" w:hAnsiTheme="majorHAnsi" w:cstheme="majorBidi"/>
          <w:bCs/>
          <w:color w:val="007DB6" w:themeColor="accent3"/>
          <w:sz w:val="40"/>
          <w:szCs w:val="28"/>
        </w:rPr>
      </w:pPr>
      <w:r>
        <w:br w:type="page"/>
      </w:r>
    </w:p>
    <w:p w14:paraId="559E1E84" w14:textId="189536E9" w:rsidR="00E56F97" w:rsidRDefault="00844685" w:rsidP="002911E8">
      <w:pPr>
        <w:pStyle w:val="Heading1"/>
      </w:pPr>
      <w:r>
        <w:lastRenderedPageBreak/>
        <w:t>Consultation Process</w:t>
      </w:r>
    </w:p>
    <w:p w14:paraId="642834FF" w14:textId="0CFEE62E" w:rsidR="00844685" w:rsidRPr="00844685" w:rsidRDefault="00844685" w:rsidP="00BF2F72">
      <w:pPr>
        <w:pStyle w:val="Heading3"/>
      </w:pPr>
      <w:r>
        <w:t>Request for feedback and comments</w:t>
      </w:r>
    </w:p>
    <w:p w14:paraId="1EA78FF4" w14:textId="3359783D" w:rsidR="00B26733" w:rsidRDefault="00021D7F" w:rsidP="005474A2">
      <w:r w:rsidRPr="00E84630">
        <w:t xml:space="preserve">The </w:t>
      </w:r>
      <w:r w:rsidR="005474A2" w:rsidRPr="00E84630">
        <w:t xml:space="preserve">Treasury </w:t>
      </w:r>
      <w:r w:rsidR="00612B71">
        <w:t xml:space="preserve">and the </w:t>
      </w:r>
      <w:r w:rsidR="00612B71" w:rsidRPr="00E84630">
        <w:t xml:space="preserve">Department of Finance </w:t>
      </w:r>
      <w:r w:rsidRPr="00E84630">
        <w:t xml:space="preserve">are consulting on </w:t>
      </w:r>
      <w:r w:rsidR="00421D5C">
        <w:t xml:space="preserve">reforms </w:t>
      </w:r>
      <w:r w:rsidR="00F43AB0" w:rsidRPr="00E84630">
        <w:t>to lower barriers to the adoption of international and overseas standards</w:t>
      </w:r>
      <w:r w:rsidR="00706AA8">
        <w:t xml:space="preserve"> in regulation</w:t>
      </w:r>
      <w:r w:rsidR="00F43AB0" w:rsidRPr="00E84630">
        <w:t xml:space="preserve">. </w:t>
      </w:r>
      <w:r w:rsidR="002B671F" w:rsidRPr="00E84630">
        <w:t xml:space="preserve">Your </w:t>
      </w:r>
      <w:r w:rsidR="00BF56B8" w:rsidRPr="00E84630">
        <w:t>f</w:t>
      </w:r>
      <w:r w:rsidR="00EA171E" w:rsidRPr="00E84630">
        <w:t xml:space="preserve">eedback will </w:t>
      </w:r>
      <w:r w:rsidR="00EE7EB7" w:rsidRPr="00E84630">
        <w:t>support</w:t>
      </w:r>
      <w:r w:rsidR="00EA171E" w:rsidRPr="00E84630">
        <w:t xml:space="preserve"> the development of </w:t>
      </w:r>
      <w:r w:rsidR="00A02D24">
        <w:t>two</w:t>
      </w:r>
      <w:r w:rsidR="00A02D24" w:rsidRPr="00E84630">
        <w:t xml:space="preserve"> </w:t>
      </w:r>
      <w:r w:rsidR="006F3D77">
        <w:t xml:space="preserve">overarching </w:t>
      </w:r>
      <w:r w:rsidR="005F001A" w:rsidRPr="00E84630">
        <w:t>documents</w:t>
      </w:r>
      <w:r w:rsidR="00A02D24">
        <w:t xml:space="preserve"> (the </w:t>
      </w:r>
      <w:r w:rsidR="00A02D24" w:rsidRPr="00E84630">
        <w:t xml:space="preserve">Competition Reform Guidelines and Best Practice </w:t>
      </w:r>
      <w:r w:rsidR="009A1C4D">
        <w:t>Handbook</w:t>
      </w:r>
      <w:r w:rsidR="00A02D24">
        <w:t>)</w:t>
      </w:r>
      <w:r w:rsidR="005F001A" w:rsidRPr="00E84630">
        <w:t xml:space="preserve"> and </w:t>
      </w:r>
      <w:r w:rsidR="00503153" w:rsidRPr="00E84630">
        <w:t>inform</w:t>
      </w:r>
      <w:r w:rsidR="00EA171E" w:rsidRPr="00E84630">
        <w:t xml:space="preserve"> </w:t>
      </w:r>
      <w:r w:rsidR="004D47A8">
        <w:t xml:space="preserve">the identification of </w:t>
      </w:r>
      <w:r w:rsidR="00B8320E">
        <w:t>p</w:t>
      </w:r>
      <w:r w:rsidRPr="00E84630">
        <w:t xml:space="preserve">riority </w:t>
      </w:r>
      <w:r w:rsidR="00B8320E">
        <w:t xml:space="preserve">sectors </w:t>
      </w:r>
      <w:r w:rsidR="00E77118">
        <w:t>to</w:t>
      </w:r>
      <w:r w:rsidR="00DD2015">
        <w:t xml:space="preserve"> im</w:t>
      </w:r>
      <w:r w:rsidR="00704B41">
        <w:t xml:space="preserve">prove regulatory harmonisation and reduce </w:t>
      </w:r>
      <w:r w:rsidR="00D2042B">
        <w:t xml:space="preserve">business </w:t>
      </w:r>
      <w:r w:rsidR="00704B41">
        <w:t xml:space="preserve">compliance </w:t>
      </w:r>
      <w:r w:rsidR="00D2042B">
        <w:t>costs</w:t>
      </w:r>
      <w:r w:rsidR="001F79BE" w:rsidRPr="00E84630">
        <w:t xml:space="preserve">. </w:t>
      </w:r>
    </w:p>
    <w:p w14:paraId="4FDB9673" w14:textId="0BE5E36E" w:rsidR="00367FD2" w:rsidRPr="00E84630" w:rsidRDefault="006F3D77" w:rsidP="005474A2">
      <w:r>
        <w:t xml:space="preserve">Treasury (responsible for National Competition Policy) and the </w:t>
      </w:r>
      <w:r w:rsidR="0032420E">
        <w:t>Department of Finance</w:t>
      </w:r>
      <w:r>
        <w:t xml:space="preserve"> (responsible </w:t>
      </w:r>
      <w:r w:rsidR="00612B71">
        <w:t>for w</w:t>
      </w:r>
      <w:r w:rsidR="00612B71" w:rsidRPr="00612B71">
        <w:t>hole of government regulatory policy</w:t>
      </w:r>
      <w:r>
        <w:t>)</w:t>
      </w:r>
      <w:r w:rsidR="00CD5A8B">
        <w:t xml:space="preserve"> </w:t>
      </w:r>
      <w:r w:rsidR="00C15865">
        <w:t xml:space="preserve">jointly led this work </w:t>
      </w:r>
      <w:r w:rsidR="006D02B5">
        <w:t xml:space="preserve">in </w:t>
      </w:r>
      <w:r w:rsidR="00CD5A8B">
        <w:t xml:space="preserve">consultation </w:t>
      </w:r>
      <w:r w:rsidR="006D02B5">
        <w:t xml:space="preserve">with </w:t>
      </w:r>
      <w:r w:rsidR="00CD5A8B">
        <w:t xml:space="preserve">Commonwealth </w:t>
      </w:r>
      <w:r w:rsidR="00610501">
        <w:t>agencies</w:t>
      </w:r>
      <w:r>
        <w:t>.</w:t>
      </w:r>
      <w:r w:rsidR="008D75D9">
        <w:t xml:space="preserve"> </w:t>
      </w:r>
      <w:r w:rsidR="00610501">
        <w:t>T</w:t>
      </w:r>
      <w:r w:rsidR="00367FD2">
        <w:t>he</w:t>
      </w:r>
      <w:r w:rsidR="008D75D9">
        <w:t xml:space="preserve"> </w:t>
      </w:r>
      <w:r w:rsidR="00367FD2">
        <w:t>Department of Industry, Science and Resources</w:t>
      </w:r>
      <w:r w:rsidR="00D76BC2">
        <w:t xml:space="preserve"> </w:t>
      </w:r>
      <w:r w:rsidR="00946DBC">
        <w:t xml:space="preserve">(DISR) </w:t>
      </w:r>
      <w:r w:rsidR="006D02B5">
        <w:t>(</w:t>
      </w:r>
      <w:r w:rsidR="00D76BC2">
        <w:t xml:space="preserve">responsible </w:t>
      </w:r>
      <w:r w:rsidR="00367FD2">
        <w:t>for standards and conformance polic</w:t>
      </w:r>
      <w:r w:rsidR="00932576">
        <w:t>y</w:t>
      </w:r>
      <w:r w:rsidR="006D02B5">
        <w:t>)</w:t>
      </w:r>
      <w:r w:rsidR="00610501">
        <w:t xml:space="preserve"> played a key role in shaping th</w:t>
      </w:r>
      <w:r w:rsidR="002A6A6C">
        <w:t>is policy</w:t>
      </w:r>
      <w:r w:rsidR="00932576">
        <w:t>.</w:t>
      </w:r>
    </w:p>
    <w:p w14:paraId="46036EA4" w14:textId="37A6F386" w:rsidR="005474A2" w:rsidRDefault="005474A2" w:rsidP="005474A2">
      <w:r w:rsidRPr="00E84630">
        <w:t>Questions are included throughout the paper to guide comments. Interested parties may</w:t>
      </w:r>
      <w:r>
        <w:t xml:space="preserve"> wish to </w:t>
      </w:r>
      <w:r w:rsidR="00D36160">
        <w:t>respond</w:t>
      </w:r>
      <w:r>
        <w:t xml:space="preserve"> to some or </w:t>
      </w:r>
      <w:proofErr w:type="gramStart"/>
      <w:r>
        <w:t>all of</w:t>
      </w:r>
      <w:proofErr w:type="gramEnd"/>
      <w:r>
        <w:t xml:space="preserve"> the questions, or comment on issues more broadly. </w:t>
      </w:r>
    </w:p>
    <w:p w14:paraId="0CB86AD7" w14:textId="77777777" w:rsidR="005474A2" w:rsidRDefault="005474A2" w:rsidP="005474A2">
      <w:r>
        <w:t>While submissions may be lodged electronically or by post, electronic lodgement is preferred. For accessibility reasons, please submit responses sent via email in a Word or RTF format. An additional PDF version may also be submitted.</w:t>
      </w:r>
    </w:p>
    <w:p w14:paraId="19E764BE" w14:textId="77777777" w:rsidR="005474A2" w:rsidRPr="00557BEC" w:rsidRDefault="005474A2" w:rsidP="00BF2F72">
      <w:pPr>
        <w:pStyle w:val="Heading3"/>
      </w:pPr>
      <w:r w:rsidRPr="00557BEC">
        <w:t>Publication of submissions and confidentiality</w:t>
      </w:r>
    </w:p>
    <w:p w14:paraId="00F1E7CF" w14:textId="2C62C1F9" w:rsidR="00AB7B5E" w:rsidRDefault="005474A2" w:rsidP="005474A2">
      <w:r>
        <w:t xml:space="preserve">All information (including name and address details) contained in formal submissions will be made available to the public on the Treasury website, unless you indicate that you would like all or part of your submission to remain confidential. </w:t>
      </w:r>
    </w:p>
    <w:p w14:paraId="5F26C8C3" w14:textId="38AC72CB" w:rsidR="005474A2" w:rsidRDefault="005474A2" w:rsidP="005474A2">
      <w:r>
        <w:t xml:space="preserve">Automatically generated confidentiality statements in emails do not suffice for this purpose. Respondents who would like part of their submission to remain confidential should provide separate </w:t>
      </w:r>
      <w:r w:rsidR="00971D61">
        <w:t>confidential and non-confidential submissions</w:t>
      </w:r>
      <w:r w:rsidR="005D1E67">
        <w:t xml:space="preserve"> and clearly mark the confidential submission</w:t>
      </w:r>
      <w:r>
        <w:t xml:space="preserve">. Legal requirements, such as those imposed by the Freedom of Information Act 1982, may affect the confidentiality of your submission. </w:t>
      </w:r>
    </w:p>
    <w:p w14:paraId="6DF0CF95" w14:textId="333CD870" w:rsidR="005474A2" w:rsidRDefault="005474A2" w:rsidP="005474A2">
      <w:r>
        <w:t>Treasury also welcomes the opportunity to discuss your views in a meeting.</w:t>
      </w:r>
    </w:p>
    <w:p w14:paraId="4A5872CD" w14:textId="0839C0C6" w:rsidR="005474A2" w:rsidRDefault="005474A2" w:rsidP="00BF2F72">
      <w:pPr>
        <w:pStyle w:val="Heading3"/>
      </w:pPr>
      <w:bookmarkStart w:id="4" w:name="_Toc1391922409"/>
      <w:bookmarkStart w:id="5" w:name="_Toc171508963"/>
      <w:bookmarkStart w:id="6" w:name="_Toc171585431"/>
      <w:bookmarkStart w:id="7" w:name="_Toc171617508"/>
      <w:bookmarkStart w:id="8" w:name="_Toc171669740"/>
      <w:bookmarkStart w:id="9" w:name="_Toc174360363"/>
      <w:bookmarkStart w:id="10" w:name="_Toc182388785"/>
      <w:r w:rsidRPr="00A41002">
        <w:t>Closing date for submissions</w:t>
      </w:r>
      <w:r w:rsidRPr="005249BB">
        <w:t xml:space="preserve">: </w:t>
      </w:r>
      <w:r w:rsidR="0011726D">
        <w:t>4</w:t>
      </w:r>
      <w:r w:rsidR="00983F4D" w:rsidRPr="005249BB">
        <w:t xml:space="preserve"> August </w:t>
      </w:r>
      <w:bookmarkEnd w:id="4"/>
      <w:bookmarkEnd w:id="5"/>
      <w:bookmarkEnd w:id="6"/>
      <w:bookmarkEnd w:id="7"/>
      <w:bookmarkEnd w:id="8"/>
      <w:bookmarkEnd w:id="9"/>
      <w:r>
        <w:t>2025</w:t>
      </w:r>
      <w:bookmarkEnd w:id="10"/>
    </w:p>
    <w:tbl>
      <w:tblPr>
        <w:tblStyle w:val="ListTable3-Accent1"/>
        <w:tblW w:w="0" w:type="auto"/>
        <w:tblLook w:val="04A0" w:firstRow="1" w:lastRow="0" w:firstColumn="1" w:lastColumn="0" w:noHBand="0" w:noVBand="1"/>
      </w:tblPr>
      <w:tblGrid>
        <w:gridCol w:w="1838"/>
        <w:gridCol w:w="7222"/>
      </w:tblGrid>
      <w:tr w:rsidR="004E2BC2" w14:paraId="688BDDF6" w14:textId="77777777" w:rsidTr="00802C49">
        <w:trPr>
          <w:cnfStyle w:val="100000000000" w:firstRow="1" w:lastRow="0" w:firstColumn="0" w:lastColumn="0" w:oddVBand="0" w:evenVBand="0" w:oddHBand="0" w:evenHBand="0" w:firstRowFirstColumn="0" w:firstRowLastColumn="0" w:lastRowFirstColumn="0" w:lastRowLastColumn="0"/>
          <w:trHeight w:val="671"/>
        </w:trPr>
        <w:tc>
          <w:tcPr>
            <w:cnfStyle w:val="001000000100" w:firstRow="0" w:lastRow="0" w:firstColumn="1" w:lastColumn="0" w:oddVBand="0" w:evenVBand="0" w:oddHBand="0" w:evenHBand="0" w:firstRowFirstColumn="1" w:firstRowLastColumn="0" w:lastRowFirstColumn="0" w:lastRowLastColumn="0"/>
            <w:tcW w:w="1838" w:type="dxa"/>
          </w:tcPr>
          <w:p w14:paraId="5C03C502" w14:textId="7F9A22C4" w:rsidR="004E2BC2" w:rsidRPr="008D6209" w:rsidRDefault="004E2BC2" w:rsidP="00411F36">
            <w:r w:rsidRPr="004E2BC2">
              <w:rPr>
                <w:color w:val="auto"/>
              </w:rPr>
              <w:t>Online</w:t>
            </w:r>
          </w:p>
        </w:tc>
        <w:tc>
          <w:tcPr>
            <w:tcW w:w="7222" w:type="dxa"/>
          </w:tcPr>
          <w:p w14:paraId="17A9CF8C" w14:textId="387C0384" w:rsidR="004E2BC2" w:rsidRPr="008D6209" w:rsidRDefault="001A725A" w:rsidP="00411F36">
            <w:pPr>
              <w:cnfStyle w:val="100000000000" w:firstRow="1" w:lastRow="0" w:firstColumn="0" w:lastColumn="0" w:oddVBand="0" w:evenVBand="0" w:oddHBand="0" w:evenHBand="0" w:firstRowFirstColumn="0" w:firstRowLastColumn="0" w:lastRowFirstColumn="0" w:lastRowLastColumn="0"/>
            </w:pPr>
            <w:hyperlink r:id="rId15" w:tgtFrame="_blank" w:tooltip="https://consult.treasury.gov.au/c2025-673090/consultation" w:history="1">
              <w:r w:rsidR="004E2BC2" w:rsidRPr="004E2BC2">
                <w:rPr>
                  <w:rStyle w:val="Hyperlink"/>
                  <w:rFonts w:cstheme="minorBidi"/>
                  <w:b w:val="0"/>
                  <w:bCs w:val="0"/>
                </w:rPr>
                <w:t>https://consult.treasury.gov.au/c2025-673090/consultation</w:t>
              </w:r>
            </w:hyperlink>
          </w:p>
        </w:tc>
      </w:tr>
      <w:tr w:rsidR="00F97DDD" w14:paraId="52134013" w14:textId="77777777" w:rsidTr="00802C49">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838" w:type="dxa"/>
          </w:tcPr>
          <w:p w14:paraId="686609C6" w14:textId="38546BF5" w:rsidR="00F97DDD" w:rsidRPr="008D6209" w:rsidRDefault="001E030D" w:rsidP="00411F36">
            <w:r w:rsidRPr="008D6209">
              <w:t>Email</w:t>
            </w:r>
          </w:p>
        </w:tc>
        <w:tc>
          <w:tcPr>
            <w:tcW w:w="7222" w:type="dxa"/>
          </w:tcPr>
          <w:p w14:paraId="2D91EBE3" w14:textId="26427F9B" w:rsidR="00F97DDD" w:rsidRPr="008D6209" w:rsidRDefault="001A725A" w:rsidP="00411F36">
            <w:pPr>
              <w:cnfStyle w:val="000000100000" w:firstRow="0" w:lastRow="0" w:firstColumn="0" w:lastColumn="0" w:oddVBand="0" w:evenVBand="0" w:oddHBand="1" w:evenHBand="0" w:firstRowFirstColumn="0" w:firstRowLastColumn="0" w:lastRowFirstColumn="0" w:lastRowLastColumn="0"/>
            </w:pPr>
            <w:hyperlink r:id="rId16" w:history="1">
              <w:r w:rsidR="008B4B7C" w:rsidRPr="00DA6EFD">
                <w:rPr>
                  <w:rStyle w:val="Hyperlink"/>
                  <w:rFonts w:cstheme="minorBidi"/>
                </w:rPr>
                <w:t>NationalCompetitionPolicy@treasury.gov.au</w:t>
              </w:r>
            </w:hyperlink>
            <w:r w:rsidR="008B4B7C">
              <w:t xml:space="preserve"> </w:t>
            </w:r>
          </w:p>
        </w:tc>
      </w:tr>
      <w:tr w:rsidR="00F97DDD" w14:paraId="21C3F5A1" w14:textId="77777777" w:rsidTr="00233D2F">
        <w:trPr>
          <w:trHeight w:val="1247"/>
        </w:trPr>
        <w:tc>
          <w:tcPr>
            <w:cnfStyle w:val="001000000000" w:firstRow="0" w:lastRow="0" w:firstColumn="1" w:lastColumn="0" w:oddVBand="0" w:evenVBand="0" w:oddHBand="0" w:evenHBand="0" w:firstRowFirstColumn="0" w:firstRowLastColumn="0" w:lastRowFirstColumn="0" w:lastRowLastColumn="0"/>
            <w:tcW w:w="1838" w:type="dxa"/>
          </w:tcPr>
          <w:p w14:paraId="478E0639" w14:textId="6A20E90C" w:rsidR="00F97DDD" w:rsidRPr="008D6209" w:rsidRDefault="001E030D" w:rsidP="00411F36">
            <w:pPr>
              <w:rPr>
                <w:b w:val="0"/>
                <w:bCs w:val="0"/>
              </w:rPr>
            </w:pPr>
            <w:r w:rsidRPr="008D6209">
              <w:rPr>
                <w:b w:val="0"/>
                <w:bCs w:val="0"/>
              </w:rPr>
              <w:t>Mail</w:t>
            </w:r>
          </w:p>
        </w:tc>
        <w:tc>
          <w:tcPr>
            <w:tcW w:w="7222" w:type="dxa"/>
          </w:tcPr>
          <w:p w14:paraId="4F272D63" w14:textId="090F943B" w:rsidR="00411F36" w:rsidRDefault="00187F99" w:rsidP="00233D2F">
            <w:pPr>
              <w:spacing w:before="0" w:after="0"/>
              <w:cnfStyle w:val="000000000000" w:firstRow="0" w:lastRow="0" w:firstColumn="0" w:lastColumn="0" w:oddVBand="0" w:evenVBand="0" w:oddHBand="0" w:evenHBand="0" w:firstRowFirstColumn="0" w:firstRowLastColumn="0" w:lastRowFirstColumn="0" w:lastRowLastColumn="0"/>
            </w:pPr>
            <w:r>
              <w:t>Director</w:t>
            </w:r>
          </w:p>
          <w:p w14:paraId="2D7F9802" w14:textId="76BA5A65" w:rsidR="00187F99" w:rsidRPr="00993048" w:rsidRDefault="00187F99" w:rsidP="00233D2F">
            <w:pPr>
              <w:spacing w:before="0" w:after="0"/>
              <w:cnfStyle w:val="000000000000" w:firstRow="0" w:lastRow="0" w:firstColumn="0" w:lastColumn="0" w:oddVBand="0" w:evenVBand="0" w:oddHBand="0" w:evenHBand="0" w:firstRowFirstColumn="0" w:firstRowLastColumn="0" w:lastRowFirstColumn="0" w:lastRowLastColumn="0"/>
            </w:pPr>
            <w:r>
              <w:t>National Competition Policy</w:t>
            </w:r>
            <w:r w:rsidR="00B97997">
              <w:t xml:space="preserve"> Reforms</w:t>
            </w:r>
          </w:p>
          <w:p w14:paraId="2D050DD3" w14:textId="77777777" w:rsidR="00411F36" w:rsidRPr="00993048" w:rsidRDefault="00411F36" w:rsidP="00233D2F">
            <w:pPr>
              <w:spacing w:before="0" w:after="0"/>
              <w:cnfStyle w:val="000000000000" w:firstRow="0" w:lastRow="0" w:firstColumn="0" w:lastColumn="0" w:oddVBand="0" w:evenVBand="0" w:oddHBand="0" w:evenHBand="0" w:firstRowFirstColumn="0" w:firstRowLastColumn="0" w:lastRowFirstColumn="0" w:lastRowLastColumn="0"/>
            </w:pPr>
            <w:r w:rsidRPr="00993048">
              <w:t>The Treasury</w:t>
            </w:r>
          </w:p>
          <w:p w14:paraId="35F02FD8" w14:textId="77777777" w:rsidR="00411F36" w:rsidRPr="00993048" w:rsidRDefault="00411F36" w:rsidP="00233D2F">
            <w:pPr>
              <w:spacing w:before="0" w:after="0"/>
              <w:cnfStyle w:val="000000000000" w:firstRow="0" w:lastRow="0" w:firstColumn="0" w:lastColumn="0" w:oddVBand="0" w:evenVBand="0" w:oddHBand="0" w:evenHBand="0" w:firstRowFirstColumn="0" w:firstRowLastColumn="0" w:lastRowFirstColumn="0" w:lastRowLastColumn="0"/>
            </w:pPr>
            <w:r w:rsidRPr="00993048">
              <w:t>Langton Crescent</w:t>
            </w:r>
          </w:p>
          <w:p w14:paraId="2E919312" w14:textId="5A68434A" w:rsidR="00F97DDD" w:rsidRPr="008D6209" w:rsidRDefault="00411F36" w:rsidP="00233D2F">
            <w:pPr>
              <w:spacing w:before="0" w:after="0"/>
              <w:cnfStyle w:val="000000000000" w:firstRow="0" w:lastRow="0" w:firstColumn="0" w:lastColumn="0" w:oddVBand="0" w:evenVBand="0" w:oddHBand="0" w:evenHBand="0" w:firstRowFirstColumn="0" w:firstRowLastColumn="0" w:lastRowFirstColumn="0" w:lastRowLastColumn="0"/>
            </w:pPr>
            <w:r w:rsidRPr="00993048">
              <w:t>PARKES ACT 2600</w:t>
            </w:r>
          </w:p>
        </w:tc>
      </w:tr>
      <w:tr w:rsidR="001E030D" w14:paraId="43F5557E" w14:textId="77777777" w:rsidTr="00802C49">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1838" w:type="dxa"/>
          </w:tcPr>
          <w:p w14:paraId="1DD18705" w14:textId="4B896FD5" w:rsidR="001E030D" w:rsidRPr="008D6209" w:rsidRDefault="001E030D" w:rsidP="00411F36">
            <w:pPr>
              <w:rPr>
                <w:b w:val="0"/>
                <w:bCs w:val="0"/>
              </w:rPr>
            </w:pPr>
            <w:r w:rsidRPr="008D6209">
              <w:rPr>
                <w:b w:val="0"/>
                <w:bCs w:val="0"/>
              </w:rPr>
              <w:t>En</w:t>
            </w:r>
            <w:r w:rsidR="008D6209" w:rsidRPr="008D6209">
              <w:rPr>
                <w:b w:val="0"/>
                <w:bCs w:val="0"/>
              </w:rPr>
              <w:t>quires</w:t>
            </w:r>
          </w:p>
        </w:tc>
        <w:tc>
          <w:tcPr>
            <w:tcW w:w="7222" w:type="dxa"/>
          </w:tcPr>
          <w:p w14:paraId="0A359081" w14:textId="4484A0CF" w:rsidR="001E030D" w:rsidRPr="008D6209" w:rsidRDefault="008B4B7C" w:rsidP="00411F36">
            <w:pPr>
              <w:cnfStyle w:val="000000100000" w:firstRow="0" w:lastRow="0" w:firstColumn="0" w:lastColumn="0" w:oddVBand="0" w:evenVBand="0" w:oddHBand="1" w:evenHBand="0" w:firstRowFirstColumn="0" w:firstRowLastColumn="0" w:lastRowFirstColumn="0" w:lastRowLastColumn="0"/>
            </w:pPr>
            <w:r>
              <w:t>e</w:t>
            </w:r>
            <w:r w:rsidR="00B97997">
              <w:t>mail</w:t>
            </w:r>
            <w:r>
              <w:t xml:space="preserve"> to</w:t>
            </w:r>
            <w:r w:rsidR="00B97997">
              <w:t xml:space="preserve"> </w:t>
            </w:r>
            <w:hyperlink r:id="rId17" w:history="1">
              <w:r w:rsidR="00211883" w:rsidRPr="00DA6EFD">
                <w:rPr>
                  <w:rStyle w:val="Hyperlink"/>
                  <w:rFonts w:cstheme="minorBidi"/>
                </w:rPr>
                <w:t>NationalCompetitionPolicy@treasury.gov.au</w:t>
              </w:r>
            </w:hyperlink>
            <w:r>
              <w:t xml:space="preserve"> </w:t>
            </w:r>
          </w:p>
        </w:tc>
      </w:tr>
    </w:tbl>
    <w:p w14:paraId="678517F7" w14:textId="2E05877E" w:rsidR="002911E8" w:rsidRDefault="005814B9" w:rsidP="002911E8">
      <w:pPr>
        <w:pStyle w:val="Heading1"/>
      </w:pPr>
      <w:r>
        <w:lastRenderedPageBreak/>
        <w:t>Introduction</w:t>
      </w:r>
    </w:p>
    <w:p w14:paraId="39643055" w14:textId="2C82102C" w:rsidR="00D42163" w:rsidRDefault="00552DA5" w:rsidP="00A232DD">
      <w:r w:rsidRPr="00552DA5">
        <w:t xml:space="preserve">On 29 November 2024, Commonwealth, state and territory treasurers signed </w:t>
      </w:r>
      <w:r>
        <w:t xml:space="preserve">two </w:t>
      </w:r>
      <w:r w:rsidRPr="00552DA5">
        <w:t>agreements to revitalise National Competition Policy (NCP)</w:t>
      </w:r>
      <w:r w:rsidR="003772E8">
        <w:t>.</w:t>
      </w:r>
      <w:r w:rsidR="00A26933">
        <w:rPr>
          <w:rStyle w:val="FootnoteReference"/>
        </w:rPr>
        <w:footnoteReference w:id="2"/>
      </w:r>
      <w:r w:rsidR="00825D12">
        <w:t xml:space="preserve"> </w:t>
      </w:r>
      <w:r w:rsidR="00202F15">
        <w:t>Th</w:t>
      </w:r>
      <w:r w:rsidR="00FA1D22">
        <w:t>ese</w:t>
      </w:r>
      <w:r w:rsidR="001979C5">
        <w:t xml:space="preserve"> NCP</w:t>
      </w:r>
      <w:r w:rsidR="00FA1D22">
        <w:t xml:space="preserve"> agreements seek </w:t>
      </w:r>
      <w:r w:rsidR="001234CE">
        <w:t xml:space="preserve">to improve living standards and </w:t>
      </w:r>
      <w:r w:rsidR="004E6E10">
        <w:t xml:space="preserve">create </w:t>
      </w:r>
      <w:r w:rsidR="001234CE">
        <w:t>opportunities for Australians</w:t>
      </w:r>
      <w:r w:rsidR="004E6E10">
        <w:t xml:space="preserve"> by supporting the </w:t>
      </w:r>
      <w:r w:rsidR="006E0B0B">
        <w:t xml:space="preserve">implementation of </w:t>
      </w:r>
      <w:r w:rsidR="002A164A">
        <w:t xml:space="preserve">pro-competitive </w:t>
      </w:r>
      <w:r w:rsidR="004E6E10">
        <w:t>reforms.</w:t>
      </w:r>
      <w:r w:rsidR="004E6E10">
        <w:rPr>
          <w:rStyle w:val="FootnoteReference"/>
        </w:rPr>
        <w:footnoteReference w:id="3"/>
      </w:r>
      <w:r w:rsidR="00D13834" w:rsidDel="00A232DD">
        <w:t xml:space="preserve"> </w:t>
      </w:r>
      <w:r w:rsidR="00D13834" w:rsidRPr="00925575">
        <w:rPr>
          <w:b/>
          <w:bCs/>
        </w:rPr>
        <w:t>Treasurers have agreed to support work to “lower barriers to the adoption of overseas standards in regulation”</w:t>
      </w:r>
      <w:r w:rsidR="00B66931">
        <w:rPr>
          <w:b/>
          <w:bCs/>
        </w:rPr>
        <w:t xml:space="preserve"> as an initial priority in the 10-year National Reform Agenda</w:t>
      </w:r>
      <w:r w:rsidR="004014B8" w:rsidRPr="00925575">
        <w:rPr>
          <w:b/>
          <w:bCs/>
        </w:rPr>
        <w:t>.</w:t>
      </w:r>
      <w:r w:rsidR="004014B8" w:rsidRPr="00925575">
        <w:rPr>
          <w:rStyle w:val="FootnoteReference"/>
          <w:b/>
          <w:bCs/>
        </w:rPr>
        <w:footnoteReference w:id="4"/>
      </w:r>
      <w:r w:rsidR="009132D2" w:rsidRPr="00D03C4F">
        <w:t xml:space="preserve"> </w:t>
      </w:r>
    </w:p>
    <w:p w14:paraId="5D6121AB" w14:textId="20E16A4E" w:rsidR="00B1588C" w:rsidRDefault="0097116F" w:rsidP="009A2B6C">
      <w:r>
        <w:t xml:space="preserve">Standards are </w:t>
      </w:r>
      <w:r w:rsidR="00141FAF" w:rsidRPr="00141FAF">
        <w:t>documents that set out specifications, procedures and guidelines</w:t>
      </w:r>
      <w:r w:rsidR="00C570C8">
        <w:t xml:space="preserve"> for </w:t>
      </w:r>
      <w:r w:rsidR="00C570C8" w:rsidRPr="00C570C8">
        <w:t>products,</w:t>
      </w:r>
      <w:r w:rsidR="00C570C8">
        <w:t xml:space="preserve"> </w:t>
      </w:r>
      <w:proofErr w:type="gramStart"/>
      <w:r w:rsidR="00B9778F">
        <w:t>processes</w:t>
      </w:r>
      <w:proofErr w:type="gramEnd"/>
      <w:r w:rsidR="00B9778F">
        <w:t xml:space="preserve"> </w:t>
      </w:r>
      <w:r w:rsidR="00C570C8">
        <w:t xml:space="preserve">and services to ensure they </w:t>
      </w:r>
      <w:r w:rsidR="00944290">
        <w:t xml:space="preserve">meet specific policy objectives such as </w:t>
      </w:r>
      <w:r w:rsidR="00141FAF" w:rsidRPr="00141FAF">
        <w:t>safe</w:t>
      </w:r>
      <w:r w:rsidR="00944290">
        <w:t>ty</w:t>
      </w:r>
      <w:r w:rsidR="00141FAF" w:rsidRPr="00141FAF">
        <w:t>, consisten</w:t>
      </w:r>
      <w:r w:rsidR="00944290">
        <w:t>cy</w:t>
      </w:r>
      <w:r w:rsidR="00141FAF" w:rsidRPr="00141FAF">
        <w:t xml:space="preserve">, </w:t>
      </w:r>
      <w:r w:rsidR="00626E20">
        <w:t xml:space="preserve">reliability </w:t>
      </w:r>
      <w:r w:rsidR="0047282E">
        <w:t>and/</w:t>
      </w:r>
      <w:r w:rsidR="00626E20">
        <w:t>or interoperability</w:t>
      </w:r>
      <w:r w:rsidR="00141FAF" w:rsidRPr="00141FAF">
        <w:t>.</w:t>
      </w:r>
      <w:r w:rsidR="00392E56">
        <w:t xml:space="preserve"> </w:t>
      </w:r>
      <w:r w:rsidR="00FF21A4" w:rsidRPr="00FF0678">
        <w:rPr>
          <w:b/>
          <w:bCs/>
        </w:rPr>
        <w:t>Standards can be voluntary</w:t>
      </w:r>
      <w:r w:rsidR="000E770F" w:rsidRPr="00FF0678">
        <w:rPr>
          <w:b/>
          <w:bCs/>
        </w:rPr>
        <w:t xml:space="preserve"> (i.e. compliance</w:t>
      </w:r>
      <w:r w:rsidR="007516B9" w:rsidRPr="00FF0678">
        <w:rPr>
          <w:b/>
          <w:bCs/>
        </w:rPr>
        <w:t xml:space="preserve"> is optional</w:t>
      </w:r>
      <w:r w:rsidR="000E770F" w:rsidRPr="00FF0678">
        <w:rPr>
          <w:b/>
          <w:bCs/>
        </w:rPr>
        <w:t xml:space="preserve">) or </w:t>
      </w:r>
      <w:r w:rsidR="00FF1F11" w:rsidRPr="00FF0678">
        <w:rPr>
          <w:b/>
          <w:bCs/>
        </w:rPr>
        <w:t xml:space="preserve">made </w:t>
      </w:r>
      <w:r w:rsidR="007E1C7C" w:rsidRPr="00FF0678">
        <w:rPr>
          <w:b/>
          <w:bCs/>
        </w:rPr>
        <w:t>mandatory</w:t>
      </w:r>
      <w:r w:rsidR="00D02EF5" w:rsidRPr="00FF0678">
        <w:rPr>
          <w:b/>
          <w:bCs/>
        </w:rPr>
        <w:t xml:space="preserve"> </w:t>
      </w:r>
      <w:r w:rsidR="006D2D84" w:rsidRPr="00FF0678">
        <w:rPr>
          <w:b/>
          <w:bCs/>
        </w:rPr>
        <w:t>through</w:t>
      </w:r>
      <w:r w:rsidR="00D02EF5" w:rsidRPr="00FF0678">
        <w:rPr>
          <w:b/>
          <w:bCs/>
        </w:rPr>
        <w:t xml:space="preserve"> </w:t>
      </w:r>
      <w:r w:rsidR="00250C21" w:rsidRPr="00FF0678">
        <w:rPr>
          <w:b/>
          <w:bCs/>
        </w:rPr>
        <w:t xml:space="preserve">reference in </w:t>
      </w:r>
      <w:r w:rsidR="00382CF2" w:rsidRPr="00FF0678">
        <w:rPr>
          <w:b/>
          <w:bCs/>
        </w:rPr>
        <w:t xml:space="preserve">Commonwealth or state and territory </w:t>
      </w:r>
      <w:r w:rsidR="00D02EF5" w:rsidRPr="00FF0678">
        <w:rPr>
          <w:b/>
          <w:bCs/>
        </w:rPr>
        <w:t>legislation (i.e.</w:t>
      </w:r>
      <w:r w:rsidR="009A2B6C" w:rsidRPr="00FF0678">
        <w:rPr>
          <w:b/>
          <w:bCs/>
        </w:rPr>
        <w:t xml:space="preserve"> </w:t>
      </w:r>
      <w:r w:rsidR="00CF6D36" w:rsidRPr="00FF0678">
        <w:rPr>
          <w:b/>
          <w:bCs/>
        </w:rPr>
        <w:t>industry must comply</w:t>
      </w:r>
      <w:r w:rsidR="009A2B6C" w:rsidRPr="00FF0678">
        <w:rPr>
          <w:b/>
          <w:bCs/>
        </w:rPr>
        <w:t>)</w:t>
      </w:r>
      <w:r w:rsidR="00D02EF5" w:rsidRPr="00FF0678">
        <w:rPr>
          <w:b/>
          <w:bCs/>
        </w:rPr>
        <w:t>.</w:t>
      </w:r>
      <w:r w:rsidR="00D02EF5" w:rsidRPr="00D02EF5">
        <w:t xml:space="preserve"> </w:t>
      </w:r>
    </w:p>
    <w:p w14:paraId="149E9C6D" w14:textId="36179DFC" w:rsidR="00276D54" w:rsidRDefault="00250C21" w:rsidP="000F1B08">
      <w:r>
        <w:t>Relevant standards exist for all industries</w:t>
      </w:r>
      <w:r w:rsidR="00421E88">
        <w:t xml:space="preserve">, including </w:t>
      </w:r>
      <w:r w:rsidR="00AA6BEE">
        <w:t>mining,</w:t>
      </w:r>
      <w:r w:rsidR="00284D5D">
        <w:t xml:space="preserve"> building and construction, </w:t>
      </w:r>
      <w:r w:rsidR="002704A2">
        <w:t xml:space="preserve">agriculture and forestry, </w:t>
      </w:r>
      <w:r w:rsidR="00FB5031">
        <w:t xml:space="preserve">data and digital, </w:t>
      </w:r>
      <w:r w:rsidR="002704A2">
        <w:t>transportation</w:t>
      </w:r>
      <w:r w:rsidR="003A2554">
        <w:t xml:space="preserve">, and </w:t>
      </w:r>
      <w:r w:rsidR="00FB5031">
        <w:t>healthcare</w:t>
      </w:r>
      <w:r w:rsidR="00D81ABF">
        <w:t>.</w:t>
      </w:r>
      <w:r w:rsidR="00FB5031">
        <w:t xml:space="preserve"> Standards </w:t>
      </w:r>
      <w:r w:rsidR="00BC7CC4">
        <w:t>serve many purposes</w:t>
      </w:r>
      <w:r w:rsidR="00E42863">
        <w:t xml:space="preserve">, including </w:t>
      </w:r>
      <w:r w:rsidR="009A26E2">
        <w:t xml:space="preserve">to </w:t>
      </w:r>
      <w:r w:rsidR="000F1B08">
        <w:t xml:space="preserve">help </w:t>
      </w:r>
      <w:r w:rsidR="009A26E2">
        <w:t xml:space="preserve">ensure safety and reliability for consumers, </w:t>
      </w:r>
      <w:r w:rsidR="00C32837">
        <w:t>safeguard</w:t>
      </w:r>
      <w:r w:rsidR="00744FDA">
        <w:t xml:space="preserve"> the quality of goods and services, </w:t>
      </w:r>
      <w:r w:rsidR="009A26E2" w:rsidRPr="009B7088">
        <w:t xml:space="preserve">promote </w:t>
      </w:r>
      <w:r w:rsidR="009A26E2">
        <w:t xml:space="preserve">market </w:t>
      </w:r>
      <w:r w:rsidR="009A26E2" w:rsidRPr="009B7088">
        <w:t>access</w:t>
      </w:r>
      <w:r w:rsidR="009A26E2">
        <w:t xml:space="preserve"> for businesses, </w:t>
      </w:r>
      <w:r w:rsidR="009117F5">
        <w:t xml:space="preserve">facilitate interoperability </w:t>
      </w:r>
      <w:r w:rsidR="009A26E2">
        <w:t xml:space="preserve">and </w:t>
      </w:r>
      <w:r w:rsidR="009117F5">
        <w:t>support</w:t>
      </w:r>
      <w:r w:rsidR="000F1B08">
        <w:t xml:space="preserve"> free a</w:t>
      </w:r>
      <w:r w:rsidR="00F62E82" w:rsidRPr="009B7088">
        <w:t>nd fair global trade</w:t>
      </w:r>
      <w:r w:rsidR="009A26E2">
        <w:t xml:space="preserve">. </w:t>
      </w:r>
      <w:r w:rsidR="00276D54" w:rsidRPr="00276D54">
        <w:t>Under th</w:t>
      </w:r>
      <w:r w:rsidR="00453B42">
        <w:t xml:space="preserve">e </w:t>
      </w:r>
      <w:r w:rsidR="00453B42" w:rsidRPr="00F751A4">
        <w:t>World Trade Organisation’s Agreement on Technical Barriers to Trade</w:t>
      </w:r>
      <w:r w:rsidR="00276D54" w:rsidRPr="00276D54">
        <w:t xml:space="preserve">, Australia is obligated to use international standards </w:t>
      </w:r>
      <w:r w:rsidR="00B77E39">
        <w:t xml:space="preserve">as a base </w:t>
      </w:r>
      <w:r w:rsidR="00276D54" w:rsidRPr="00276D54">
        <w:t>for goods</w:t>
      </w:r>
      <w:r w:rsidR="00F03C39">
        <w:t>,</w:t>
      </w:r>
      <w:r w:rsidR="00F03C39" w:rsidRPr="00F03C39">
        <w:t xml:space="preserve"> </w:t>
      </w:r>
      <w:r w:rsidR="00F03C39">
        <w:t>except where they are ineffective or inappropriate</w:t>
      </w:r>
      <w:r w:rsidR="00276D54" w:rsidRPr="00276D54">
        <w:t>.</w:t>
      </w:r>
    </w:p>
    <w:p w14:paraId="2A922EDE" w14:textId="139771F9" w:rsidR="00E858A5" w:rsidRDefault="00A2143A" w:rsidP="00E858A5">
      <w:pPr>
        <w:pStyle w:val="Boxed1Heading"/>
      </w:pPr>
      <w:r>
        <w:t>Who develops</w:t>
      </w:r>
      <w:r w:rsidR="00A0418A">
        <w:t xml:space="preserve"> standards</w:t>
      </w:r>
      <w:r>
        <w:t>?</w:t>
      </w:r>
    </w:p>
    <w:p w14:paraId="0720CAF7" w14:textId="74A8F5B7" w:rsidR="00F37F27" w:rsidRPr="005E7CED" w:rsidRDefault="00F37F27" w:rsidP="008F1A58">
      <w:pPr>
        <w:pStyle w:val="Boxed1Text"/>
      </w:pPr>
      <w:r>
        <w:t xml:space="preserve">There are broadly </w:t>
      </w:r>
      <w:r w:rsidR="00A720A5">
        <w:t>five</w:t>
      </w:r>
      <w:r>
        <w:t xml:space="preserve"> types of </w:t>
      </w:r>
      <w:r w:rsidR="006527A8">
        <w:t xml:space="preserve">voluntary </w:t>
      </w:r>
      <w:r>
        <w:t xml:space="preserve">standards. </w:t>
      </w:r>
    </w:p>
    <w:p w14:paraId="5E2992C4" w14:textId="4C80E011" w:rsidR="008F1A58" w:rsidRDefault="009B7088" w:rsidP="008F1A58">
      <w:pPr>
        <w:pStyle w:val="Boxed1Text"/>
      </w:pPr>
      <w:r w:rsidRPr="00670ACE">
        <w:rPr>
          <w:i/>
          <w:iCs/>
        </w:rPr>
        <w:t>International</w:t>
      </w:r>
      <w:r w:rsidR="00F60E0F" w:rsidRPr="00670ACE">
        <w:rPr>
          <w:i/>
          <w:iCs/>
        </w:rPr>
        <w:t xml:space="preserve"> Standard</w:t>
      </w:r>
      <w:r w:rsidR="00E06E10">
        <w:rPr>
          <w:i/>
          <w:iCs/>
        </w:rPr>
        <w:t xml:space="preserve">s </w:t>
      </w:r>
      <w:r w:rsidR="00E06E10">
        <w:t>are d</w:t>
      </w:r>
      <w:r w:rsidRPr="009B7088">
        <w:t>eveloped by international standards organisations with the opportunity for Australian representation and participation.</w:t>
      </w:r>
      <w:r w:rsidR="005D6188">
        <w:t xml:space="preserve"> These include the </w:t>
      </w:r>
      <w:r w:rsidRPr="009B7088">
        <w:t>International Organization for Standardization (ISO) and International Electrotechnical Commission (IEC).</w:t>
      </w:r>
    </w:p>
    <w:p w14:paraId="314ABCFE" w14:textId="50EE1E31" w:rsidR="009B7088" w:rsidRDefault="00214F75" w:rsidP="008F1A58">
      <w:pPr>
        <w:pStyle w:val="Boxed1Text"/>
      </w:pPr>
      <w:r w:rsidRPr="00670ACE">
        <w:rPr>
          <w:i/>
          <w:iCs/>
        </w:rPr>
        <w:t xml:space="preserve">Regional </w:t>
      </w:r>
      <w:r w:rsidR="00F60E0F" w:rsidRPr="00670ACE">
        <w:rPr>
          <w:i/>
          <w:iCs/>
        </w:rPr>
        <w:t>S</w:t>
      </w:r>
      <w:r w:rsidRPr="00670ACE">
        <w:rPr>
          <w:i/>
          <w:iCs/>
        </w:rPr>
        <w:t>tandard</w:t>
      </w:r>
      <w:r w:rsidR="00E06E10">
        <w:rPr>
          <w:i/>
          <w:iCs/>
        </w:rPr>
        <w:t xml:space="preserve">s </w:t>
      </w:r>
      <w:r w:rsidR="00E06E10">
        <w:t>are d</w:t>
      </w:r>
      <w:r w:rsidRPr="00214F75">
        <w:t>eveloped by regional standards organisation</w:t>
      </w:r>
      <w:r w:rsidR="00F60E0F">
        <w:t>s</w:t>
      </w:r>
      <w:r w:rsidR="00F62E82">
        <w:t xml:space="preserve">, such as </w:t>
      </w:r>
      <w:r w:rsidRPr="00214F75">
        <w:t>the Pacific Islands Standards Committee (PISC</w:t>
      </w:r>
      <w:r w:rsidR="00CF0EFE">
        <w:t>)</w:t>
      </w:r>
      <w:r w:rsidR="007325E7">
        <w:t xml:space="preserve">, </w:t>
      </w:r>
      <w:r w:rsidR="007325E7" w:rsidRPr="007325E7">
        <w:t>European CEN-CENELEC standards</w:t>
      </w:r>
      <w:r w:rsidR="00E70379">
        <w:t>,</w:t>
      </w:r>
      <w:r w:rsidRPr="00214F75">
        <w:t xml:space="preserve"> or ASEAN Harmonised Standards.</w:t>
      </w:r>
    </w:p>
    <w:p w14:paraId="767AC4D3" w14:textId="37F69F40" w:rsidR="000C78FB" w:rsidRDefault="000C78FB" w:rsidP="008F1A58">
      <w:pPr>
        <w:pStyle w:val="Boxed1Text"/>
      </w:pPr>
      <w:r w:rsidRPr="00670ACE">
        <w:rPr>
          <w:i/>
          <w:iCs/>
        </w:rPr>
        <w:t>Australian Standard</w:t>
      </w:r>
      <w:r w:rsidR="00E06E10">
        <w:rPr>
          <w:i/>
          <w:iCs/>
        </w:rPr>
        <w:t xml:space="preserve">s </w:t>
      </w:r>
      <w:r w:rsidR="00E06E10">
        <w:t>are d</w:t>
      </w:r>
      <w:r w:rsidRPr="000C78FB">
        <w:t>eveloped by Standards Australia</w:t>
      </w:r>
      <w:r w:rsidR="008F1FFE">
        <w:t xml:space="preserve"> (</w:t>
      </w:r>
      <w:r w:rsidRPr="000C78FB">
        <w:t>Australia’s national standards body</w:t>
      </w:r>
      <w:r w:rsidR="008F1FFE">
        <w:t xml:space="preserve">) </w:t>
      </w:r>
      <w:r w:rsidRPr="000C78FB">
        <w:t>through industry-led consensus.</w:t>
      </w:r>
    </w:p>
    <w:p w14:paraId="00EB1015" w14:textId="44B167A1" w:rsidR="00AF2734" w:rsidRDefault="00AF2734" w:rsidP="00670ACE">
      <w:pPr>
        <w:pStyle w:val="Boxed1Text"/>
      </w:pPr>
      <w:r w:rsidRPr="00670ACE">
        <w:rPr>
          <w:i/>
          <w:iCs/>
        </w:rPr>
        <w:t xml:space="preserve">Overseas </w:t>
      </w:r>
      <w:r w:rsidR="008F1FFE" w:rsidRPr="00670ACE">
        <w:rPr>
          <w:i/>
          <w:iCs/>
        </w:rPr>
        <w:t>S</w:t>
      </w:r>
      <w:r w:rsidRPr="00670ACE">
        <w:rPr>
          <w:i/>
          <w:iCs/>
        </w:rPr>
        <w:t>tandard</w:t>
      </w:r>
      <w:r w:rsidR="00E06E10">
        <w:rPr>
          <w:i/>
          <w:iCs/>
        </w:rPr>
        <w:t xml:space="preserve">s </w:t>
      </w:r>
      <w:r w:rsidR="00E06E10">
        <w:t>are d</w:t>
      </w:r>
      <w:r w:rsidRPr="00AF2734">
        <w:t xml:space="preserve">eveloped by sovereign nations or national standards bodies that do not necessarily include Australian input. </w:t>
      </w:r>
      <w:r w:rsidR="00F229B1">
        <w:t>Examples include the</w:t>
      </w:r>
      <w:r w:rsidRPr="00AF2734">
        <w:t xml:space="preserve"> British Standards Institution</w:t>
      </w:r>
      <w:r w:rsidR="00A0418A">
        <w:t xml:space="preserve"> and </w:t>
      </w:r>
      <w:r w:rsidR="00A0418A" w:rsidRPr="00A0418A">
        <w:t>American National Standards Institute</w:t>
      </w:r>
      <w:r w:rsidR="00A0418A">
        <w:t>.</w:t>
      </w:r>
    </w:p>
    <w:p w14:paraId="1F4F5341" w14:textId="60CC715A" w:rsidR="00B1369C" w:rsidRDefault="00B1369C" w:rsidP="00670ACE">
      <w:pPr>
        <w:pStyle w:val="Boxed1Text"/>
      </w:pPr>
      <w:r w:rsidRPr="002B2AB4">
        <w:rPr>
          <w:i/>
        </w:rPr>
        <w:t>Industry Standards</w:t>
      </w:r>
      <w:r w:rsidRPr="00B1369C">
        <w:t xml:space="preserve"> </w:t>
      </w:r>
      <w:r w:rsidR="000578C1">
        <w:t xml:space="preserve">are developed </w:t>
      </w:r>
      <w:r w:rsidRPr="00B1369C">
        <w:t xml:space="preserve">by groups working in specific industries or on specific types of products. </w:t>
      </w:r>
      <w:r w:rsidR="00160E38">
        <w:t>An e</w:t>
      </w:r>
      <w:r w:rsidR="00310DDE">
        <w:t xml:space="preserve">xample </w:t>
      </w:r>
      <w:r w:rsidR="00160E38">
        <w:t>is</w:t>
      </w:r>
      <w:r w:rsidR="00310DDE">
        <w:t xml:space="preserve"> </w:t>
      </w:r>
      <w:r w:rsidR="006E6C9A">
        <w:t>the Snell Foundation</w:t>
      </w:r>
      <w:r w:rsidR="007A17D1">
        <w:t>,</w:t>
      </w:r>
      <w:r w:rsidR="000B5043">
        <w:t xml:space="preserve"> </w:t>
      </w:r>
      <w:r w:rsidR="007A17D1">
        <w:t xml:space="preserve">which </w:t>
      </w:r>
      <w:r w:rsidR="000B5043">
        <w:t xml:space="preserve">develops </w:t>
      </w:r>
      <w:r w:rsidR="002C7E6A">
        <w:t>helmet safety standards</w:t>
      </w:r>
      <w:r w:rsidR="000578C1">
        <w:t>.</w:t>
      </w:r>
    </w:p>
    <w:p w14:paraId="6694D69E" w14:textId="4131A98C" w:rsidR="00BE6907" w:rsidRDefault="00B66E6B" w:rsidP="00FC73C1">
      <w:r w:rsidRPr="008670DE">
        <w:lastRenderedPageBreak/>
        <w:t xml:space="preserve">Australia’s approach to </w:t>
      </w:r>
      <w:r w:rsidR="00D6379F">
        <w:t xml:space="preserve">mandating </w:t>
      </w:r>
      <w:r w:rsidRPr="008670DE">
        <w:t xml:space="preserve">standards </w:t>
      </w:r>
      <w:r w:rsidR="00573E07">
        <w:t>in</w:t>
      </w:r>
      <w:r w:rsidR="0098314D">
        <w:t xml:space="preserve"> regulation </w:t>
      </w:r>
      <w:r w:rsidRPr="008670DE">
        <w:t xml:space="preserve">is </w:t>
      </w:r>
      <w:r w:rsidR="003F7C49">
        <w:t xml:space="preserve">currently </w:t>
      </w:r>
      <w:r w:rsidRPr="008670DE">
        <w:t>fragmented</w:t>
      </w:r>
      <w:r>
        <w:t>.</w:t>
      </w:r>
      <w:r w:rsidR="00422506">
        <w:t xml:space="preserve"> There are two key issues with the </w:t>
      </w:r>
      <w:r w:rsidR="00F21B82">
        <w:t xml:space="preserve">implementation of the </w:t>
      </w:r>
      <w:r w:rsidR="00142527">
        <w:t xml:space="preserve">existing </w:t>
      </w:r>
      <w:r w:rsidR="007647E0">
        <w:t xml:space="preserve">standard </w:t>
      </w:r>
      <w:r w:rsidR="00D24650">
        <w:t xml:space="preserve">adoption and development </w:t>
      </w:r>
      <w:r w:rsidR="00F21B82">
        <w:t>system</w:t>
      </w:r>
      <w:r w:rsidR="00D24650">
        <w:t xml:space="preserve">. </w:t>
      </w:r>
    </w:p>
    <w:p w14:paraId="25E0E0A8" w14:textId="56E030C5" w:rsidR="00BE6907" w:rsidRDefault="00F113C4" w:rsidP="002B2AB4">
      <w:pPr>
        <w:pStyle w:val="NumberedList1"/>
      </w:pPr>
      <w:r>
        <w:t>The</w:t>
      </w:r>
      <w:r w:rsidR="009E3B9E">
        <w:t xml:space="preserve"> </w:t>
      </w:r>
      <w:r w:rsidR="000432BA">
        <w:t xml:space="preserve">readiness and </w:t>
      </w:r>
      <w:r w:rsidR="009E3B9E">
        <w:t xml:space="preserve">ability </w:t>
      </w:r>
      <w:r w:rsidR="002D5FCE">
        <w:t xml:space="preserve">of regulators to adopt </w:t>
      </w:r>
      <w:r w:rsidR="0004429D">
        <w:t>suitable</w:t>
      </w:r>
      <w:r w:rsidR="002C779F">
        <w:t xml:space="preserve"> international and</w:t>
      </w:r>
      <w:r w:rsidR="0004429D">
        <w:t xml:space="preserve"> overseas standards</w:t>
      </w:r>
      <w:r w:rsidR="00E81B00">
        <w:t>,</w:t>
      </w:r>
      <w:r w:rsidR="0004429D">
        <w:t xml:space="preserve"> and recognise </w:t>
      </w:r>
      <w:r w:rsidR="00F711D5">
        <w:t xml:space="preserve">relevant </w:t>
      </w:r>
      <w:r w:rsidR="00E81B00">
        <w:t>assessment processes</w:t>
      </w:r>
      <w:r w:rsidR="006B06B1">
        <w:t>,</w:t>
      </w:r>
      <w:r w:rsidR="00BC1CF5" w:rsidRPr="00BC1CF5">
        <w:t xml:space="preserve"> varies by sector</w:t>
      </w:r>
      <w:r w:rsidR="008D2742">
        <w:t xml:space="preserve">. </w:t>
      </w:r>
      <w:r w:rsidR="00391F18">
        <w:t xml:space="preserve">This </w:t>
      </w:r>
      <w:r w:rsidR="00D2051B">
        <w:t xml:space="preserve">can </w:t>
      </w:r>
      <w:r w:rsidR="00A567B4">
        <w:t>c</w:t>
      </w:r>
      <w:r w:rsidR="00391F18">
        <w:t xml:space="preserve">reate </w:t>
      </w:r>
      <w:r w:rsidR="00BC1CF5" w:rsidRPr="00BC1CF5">
        <w:t>barriers to international trade</w:t>
      </w:r>
      <w:r w:rsidR="00391F18">
        <w:t xml:space="preserve"> in </w:t>
      </w:r>
      <w:r w:rsidR="006D0541">
        <w:t xml:space="preserve">local </w:t>
      </w:r>
      <w:r w:rsidR="00391F18">
        <w:t xml:space="preserve">industries where </w:t>
      </w:r>
      <w:r w:rsidR="003A62BB" w:rsidRPr="003A62BB">
        <w:t>domestic mandatory standards are not aligned with approaches in the broader global economy</w:t>
      </w:r>
      <w:r w:rsidR="00682F47">
        <w:t xml:space="preserve">. </w:t>
      </w:r>
      <w:r w:rsidR="00682F47" w:rsidRPr="00682F47">
        <w:t xml:space="preserve">This can also create challenges for Australia </w:t>
      </w:r>
      <w:r w:rsidR="00682F47">
        <w:t xml:space="preserve">to </w:t>
      </w:r>
      <w:r w:rsidR="00682F47" w:rsidRPr="00682F47">
        <w:t>meet international trade obligations, under which we are obliged to prioritise the use of international standards</w:t>
      </w:r>
      <w:r w:rsidR="00C64DED">
        <w:t xml:space="preserve">. </w:t>
      </w:r>
    </w:p>
    <w:p w14:paraId="7FB4D9C1" w14:textId="2BCF5186" w:rsidR="00753A99" w:rsidRDefault="00F113C4" w:rsidP="002B2AB4">
      <w:pPr>
        <w:pStyle w:val="NumberedList1"/>
      </w:pPr>
      <w:r>
        <w:t>S</w:t>
      </w:r>
      <w:r w:rsidR="00232CDD">
        <w:t xml:space="preserve">ome </w:t>
      </w:r>
      <w:r w:rsidR="00A567B4">
        <w:t>r</w:t>
      </w:r>
      <w:r w:rsidR="00B66E6B">
        <w:t xml:space="preserve">egulators </w:t>
      </w:r>
      <w:r w:rsidR="00232CDD">
        <w:t xml:space="preserve">impose </w:t>
      </w:r>
      <w:r w:rsidR="003B4740">
        <w:t xml:space="preserve">mandatory </w:t>
      </w:r>
      <w:r w:rsidR="00B66E6B">
        <w:t>standards</w:t>
      </w:r>
      <w:r w:rsidR="003B3B9A">
        <w:t xml:space="preserve"> </w:t>
      </w:r>
      <w:r w:rsidR="00551D70">
        <w:t xml:space="preserve">that (a) </w:t>
      </w:r>
      <w:r w:rsidR="00964F95">
        <w:t xml:space="preserve">differ </w:t>
      </w:r>
      <w:r w:rsidR="00487030">
        <w:t>at the Commonwealth and state level</w:t>
      </w:r>
      <w:r w:rsidR="00551D70">
        <w:t xml:space="preserve"> and (b) </w:t>
      </w:r>
      <w:r w:rsidR="0075153F">
        <w:t>var</w:t>
      </w:r>
      <w:r w:rsidR="006E70EC">
        <w:t>y</w:t>
      </w:r>
      <w:r w:rsidR="00964F95">
        <w:t xml:space="preserve"> </w:t>
      </w:r>
      <w:r w:rsidR="00487030">
        <w:t xml:space="preserve">between each state and territory. </w:t>
      </w:r>
      <w:r w:rsidR="00FC73C1">
        <w:t xml:space="preserve">This </w:t>
      </w:r>
      <w:r w:rsidR="00615DF4">
        <w:t>lack of regulatory harmonisation</w:t>
      </w:r>
      <w:r w:rsidR="0019638F">
        <w:t xml:space="preserve"> </w:t>
      </w:r>
      <w:r w:rsidR="006A5F55">
        <w:t xml:space="preserve">across </w:t>
      </w:r>
      <w:r w:rsidR="00745FB0">
        <w:t>jurisdictions</w:t>
      </w:r>
      <w:r w:rsidR="00F4681F">
        <w:t xml:space="preserve"> </w:t>
      </w:r>
      <w:r w:rsidR="00D2051B">
        <w:t xml:space="preserve">can </w:t>
      </w:r>
      <w:r w:rsidR="00F4681F">
        <w:t xml:space="preserve">create </w:t>
      </w:r>
      <w:r w:rsidR="00EE0BAB">
        <w:t xml:space="preserve">internal barriers to domestic </w:t>
      </w:r>
      <w:r w:rsidR="00CC618D">
        <w:t>trade</w:t>
      </w:r>
      <w:r w:rsidR="003C6154">
        <w:t xml:space="preserve"> and </w:t>
      </w:r>
      <w:r w:rsidR="00277F31">
        <w:t xml:space="preserve">limits </w:t>
      </w:r>
      <w:r w:rsidR="00A44591">
        <w:t xml:space="preserve">the </w:t>
      </w:r>
      <w:r w:rsidR="004409A2">
        <w:t xml:space="preserve">ability for </w:t>
      </w:r>
      <w:r w:rsidR="00753A99">
        <w:t>local businesses to develop economies of scale and scope</w:t>
      </w:r>
      <w:r w:rsidR="003D32CB">
        <w:t xml:space="preserve">. </w:t>
      </w:r>
    </w:p>
    <w:p w14:paraId="155C6A2A" w14:textId="2FBCEFEC" w:rsidR="00060EDB" w:rsidRDefault="00060EDB" w:rsidP="00060EDB">
      <w:pPr>
        <w:pStyle w:val="Boxed1Heading"/>
      </w:pPr>
      <w:r>
        <w:t>Standards for bicycle helmets differ between jurisdictions –</w:t>
      </w:r>
      <w:r w:rsidR="007841E7">
        <w:t xml:space="preserve"> </w:t>
      </w:r>
      <w:r w:rsidR="00980209">
        <w:t>reducing</w:t>
      </w:r>
      <w:r>
        <w:t xml:space="preserve"> consumer choice and increasing regulatory </w:t>
      </w:r>
      <w:r w:rsidR="007841E7">
        <w:t>uncertainty</w:t>
      </w:r>
      <w:r w:rsidR="004A003E">
        <w:t xml:space="preserve"> on </w:t>
      </w:r>
      <w:proofErr w:type="gramStart"/>
      <w:r w:rsidR="004A003E">
        <w:t>industry</w:t>
      </w:r>
      <w:proofErr w:type="gramEnd"/>
    </w:p>
    <w:p w14:paraId="5B133D1F" w14:textId="5C734C27" w:rsidR="00AE56A3" w:rsidRDefault="00D87938" w:rsidP="00AE56A3">
      <w:pPr>
        <w:pStyle w:val="Boxed1Text"/>
      </w:pPr>
      <w:r>
        <w:t xml:space="preserve">At the federal level, </w:t>
      </w:r>
      <w:r w:rsidR="00DD163D">
        <w:t xml:space="preserve">the </w:t>
      </w:r>
      <w:r w:rsidR="000E014B" w:rsidRPr="000E014B">
        <w:rPr>
          <w:i/>
          <w:iCs/>
        </w:rPr>
        <w:t>Consumer Goods (Bicycle Helmets) Safety Standard 2024</w:t>
      </w:r>
      <w:r w:rsidR="000E014B" w:rsidRPr="000E014B">
        <w:t xml:space="preserve"> prescribes </w:t>
      </w:r>
      <w:r w:rsidR="000E014B">
        <w:t xml:space="preserve">which </w:t>
      </w:r>
      <w:r w:rsidR="000E014B" w:rsidRPr="000E014B">
        <w:t xml:space="preserve">bicycle helmets </w:t>
      </w:r>
      <w:r w:rsidR="000E014B">
        <w:t xml:space="preserve">can be </w:t>
      </w:r>
      <w:r w:rsidR="000E014B" w:rsidRPr="000E014B">
        <w:t>sold in the Australian market</w:t>
      </w:r>
      <w:r w:rsidR="000E014B">
        <w:t>.</w:t>
      </w:r>
      <w:r w:rsidR="00CA2458">
        <w:t xml:space="preserve"> Currently, </w:t>
      </w:r>
      <w:r w:rsidR="00423FFE">
        <w:t xml:space="preserve">bicycle helmets must comply with one of </w:t>
      </w:r>
      <w:r w:rsidR="00CA2458">
        <w:t>six standards</w:t>
      </w:r>
      <w:r w:rsidR="00467C65">
        <w:t xml:space="preserve">, </w:t>
      </w:r>
      <w:r w:rsidR="00577889">
        <w:t xml:space="preserve">including </w:t>
      </w:r>
      <w:r w:rsidR="00D47CF0">
        <w:t>the Australian, European</w:t>
      </w:r>
      <w:r w:rsidR="00B13885">
        <w:t>, an</w:t>
      </w:r>
      <w:r w:rsidR="005C1077">
        <w:t xml:space="preserve">d United States </w:t>
      </w:r>
      <w:r w:rsidR="00B11E6D">
        <w:t>standard</w:t>
      </w:r>
      <w:r w:rsidR="00577889">
        <w:t xml:space="preserve">. </w:t>
      </w:r>
    </w:p>
    <w:p w14:paraId="2D40575A" w14:textId="367CCD0F" w:rsidR="00D46FF9" w:rsidRDefault="00D37F41" w:rsidP="00D46FF9">
      <w:pPr>
        <w:pStyle w:val="Boxed1Text"/>
      </w:pPr>
      <w:r w:rsidRPr="008A5F0A">
        <w:t xml:space="preserve">State and territory road use laws, however, specify the type of bicycle helmet allowed on public roads. </w:t>
      </w:r>
      <w:r w:rsidR="005C7139" w:rsidRPr="008A5F0A">
        <w:t xml:space="preserve">This </w:t>
      </w:r>
      <w:r w:rsidR="00520AAA" w:rsidRPr="008A5F0A">
        <w:t xml:space="preserve">can </w:t>
      </w:r>
      <w:r w:rsidR="005C7139" w:rsidRPr="008A5F0A">
        <w:t xml:space="preserve">differ substantially between </w:t>
      </w:r>
      <w:r w:rsidR="00520AAA" w:rsidRPr="008A5F0A">
        <w:t>jurisdictions</w:t>
      </w:r>
      <w:r w:rsidR="005C7139" w:rsidRPr="008A5F0A">
        <w:t xml:space="preserve">. For example, </w:t>
      </w:r>
      <w:r w:rsidR="00743971" w:rsidRPr="008A5F0A">
        <w:t xml:space="preserve">New South Wales </w:t>
      </w:r>
      <w:r w:rsidR="00506A4A" w:rsidRPr="008A5F0A">
        <w:t>allows</w:t>
      </w:r>
      <w:r w:rsidR="00743971" w:rsidRPr="008A5F0A">
        <w:t xml:space="preserve"> all six standards</w:t>
      </w:r>
      <w:r w:rsidR="00506A4A" w:rsidRPr="008A5F0A">
        <w:t xml:space="preserve"> to be used on their roads</w:t>
      </w:r>
      <w:r w:rsidR="00743971" w:rsidRPr="008A5F0A">
        <w:t xml:space="preserve">, while Tasmania only </w:t>
      </w:r>
      <w:r w:rsidR="00506A4A" w:rsidRPr="008A5F0A">
        <w:t>recognises the Australian Standard.</w:t>
      </w:r>
      <w:r w:rsidR="00AC57A4" w:rsidRPr="008A5F0A">
        <w:t xml:space="preserve"> </w:t>
      </w:r>
      <w:r w:rsidRPr="008A5F0A">
        <w:t xml:space="preserve">This </w:t>
      </w:r>
      <w:r w:rsidR="00506A4A" w:rsidRPr="008A5F0A">
        <w:t>inconsistenc</w:t>
      </w:r>
      <w:r w:rsidR="00491679" w:rsidRPr="008A5F0A">
        <w:t>y</w:t>
      </w:r>
      <w:r w:rsidR="00506A4A" w:rsidRPr="008A5F0A">
        <w:t xml:space="preserve"> between </w:t>
      </w:r>
      <w:r w:rsidR="00F10DBD" w:rsidRPr="008A5F0A">
        <w:t xml:space="preserve">federal </w:t>
      </w:r>
      <w:r w:rsidR="00506A4A" w:rsidRPr="008A5F0A">
        <w:t xml:space="preserve">product safety regulation and </w:t>
      </w:r>
      <w:r w:rsidR="00C87EB7" w:rsidRPr="008A5F0A">
        <w:t>state</w:t>
      </w:r>
      <w:r w:rsidR="00506A4A" w:rsidRPr="008A5F0A">
        <w:t xml:space="preserve"> road authoritie</w:t>
      </w:r>
      <w:r w:rsidR="00B46FF5" w:rsidRPr="008A5F0A">
        <w:t>s</w:t>
      </w:r>
      <w:r w:rsidR="00F10DBD" w:rsidRPr="008A5F0A">
        <w:t xml:space="preserve"> creates </w:t>
      </w:r>
      <w:r w:rsidR="00C87EB7" w:rsidRPr="008A5F0A">
        <w:t>the</w:t>
      </w:r>
      <w:r w:rsidR="00F10DBD" w:rsidRPr="008A5F0A">
        <w:t xml:space="preserve"> situation where </w:t>
      </w:r>
      <w:r w:rsidR="00C87EB7" w:rsidRPr="008A5F0A">
        <w:t>helmets can be bought</w:t>
      </w:r>
      <w:r w:rsidR="008A5F0A" w:rsidRPr="00670ACE">
        <w:t xml:space="preserve"> in </w:t>
      </w:r>
      <w:r w:rsidR="00C73E44">
        <w:t xml:space="preserve">one </w:t>
      </w:r>
      <w:r w:rsidR="008A5F0A" w:rsidRPr="00670ACE">
        <w:t>Australia</w:t>
      </w:r>
      <w:r w:rsidR="00C73E44">
        <w:t>n jurisdiction</w:t>
      </w:r>
      <w:r w:rsidR="008A5F0A" w:rsidRPr="00670ACE">
        <w:t xml:space="preserve"> </w:t>
      </w:r>
      <w:r w:rsidR="00C87EB7" w:rsidRPr="008A5F0A">
        <w:t xml:space="preserve">but cannot be used </w:t>
      </w:r>
      <w:r w:rsidR="008B0271">
        <w:t xml:space="preserve">legally </w:t>
      </w:r>
      <w:r w:rsidR="00C87EB7" w:rsidRPr="008A5F0A">
        <w:t xml:space="preserve">in </w:t>
      </w:r>
      <w:r w:rsidR="00C73E44">
        <w:t>others</w:t>
      </w:r>
      <w:r w:rsidR="00C87EB7" w:rsidRPr="008A5F0A">
        <w:t>.</w:t>
      </w:r>
      <w:r w:rsidR="00C87EB7">
        <w:t xml:space="preserve"> </w:t>
      </w:r>
    </w:p>
    <w:p w14:paraId="6AD683C4" w14:textId="533B0564" w:rsidR="00D60B7E" w:rsidRDefault="00D60B7E" w:rsidP="00D46FF9">
      <w:pPr>
        <w:pStyle w:val="Boxed1Text"/>
      </w:pPr>
      <w:r w:rsidRPr="00D60B7E">
        <w:t xml:space="preserve">When </w:t>
      </w:r>
      <w:r w:rsidR="00CC45A2">
        <w:t>mandatory</w:t>
      </w:r>
      <w:r w:rsidR="00CC45A2" w:rsidRPr="00106A70">
        <w:t xml:space="preserve"> </w:t>
      </w:r>
      <w:r w:rsidR="00A30DE6" w:rsidRPr="00106A70">
        <w:t xml:space="preserve">standards </w:t>
      </w:r>
      <w:r w:rsidR="00A30DE6">
        <w:t xml:space="preserve">differ </w:t>
      </w:r>
      <w:r w:rsidR="00A30DE6" w:rsidRPr="00106A70">
        <w:t>across jurisdictions</w:t>
      </w:r>
      <w:r w:rsidR="00A30DE6">
        <w:t xml:space="preserve">, this can </w:t>
      </w:r>
      <w:r w:rsidR="00D46FF9">
        <w:t xml:space="preserve">create </w:t>
      </w:r>
      <w:r w:rsidR="00D46FF9" w:rsidRPr="00106A70">
        <w:t>higher compliance costs</w:t>
      </w:r>
      <w:r w:rsidR="00D46FF9">
        <w:t xml:space="preserve"> and </w:t>
      </w:r>
      <w:r w:rsidR="00D46FF9" w:rsidRPr="00106A70">
        <w:t>regulatory uncertainty</w:t>
      </w:r>
      <w:r w:rsidR="00D46FF9">
        <w:t xml:space="preserve"> for businesses</w:t>
      </w:r>
      <w:r w:rsidR="00D46FF9" w:rsidRPr="00106A70">
        <w:t xml:space="preserve">, </w:t>
      </w:r>
      <w:r w:rsidR="00D46FF9">
        <w:t>lower product availability</w:t>
      </w:r>
      <w:r w:rsidR="00D46FF9" w:rsidRPr="00106A70">
        <w:t>, and higher prices</w:t>
      </w:r>
      <w:r w:rsidR="00D46FF9">
        <w:t xml:space="preserve"> for consumers. </w:t>
      </w:r>
    </w:p>
    <w:p w14:paraId="62A1B049" w14:textId="59C3BC24" w:rsidR="00B91534" w:rsidRDefault="00750316" w:rsidP="00D13834">
      <w:r w:rsidRPr="00D03C4F">
        <w:t xml:space="preserve">Harmonisation of mandatory standards – both </w:t>
      </w:r>
      <w:r w:rsidR="00925575">
        <w:t>domestically</w:t>
      </w:r>
      <w:r w:rsidRPr="00D03C4F">
        <w:t xml:space="preserve"> and </w:t>
      </w:r>
      <w:r w:rsidR="00925575">
        <w:t>internationally</w:t>
      </w:r>
      <w:r w:rsidRPr="00D03C4F">
        <w:t xml:space="preserve"> – positions Australia as one market with one set of rules within the global economy. This enhances Australia’s attractiveness for trade by reducing regulatory burden and time to market for businesses, increasing local competition and product availability. Australian producers further benefit from harmonisation as they can provide goods and services using the same standards for local and international markets – potentially increasing their international competitiveness</w:t>
      </w:r>
      <w:r w:rsidR="009E663E">
        <w:t xml:space="preserve"> by allowing businesses to scale</w:t>
      </w:r>
      <w:r w:rsidR="00E7359F">
        <w:t xml:space="preserve"> and sell into more markets</w:t>
      </w:r>
      <w:r w:rsidRPr="00D03C4F">
        <w:t xml:space="preserve">. </w:t>
      </w:r>
    </w:p>
    <w:p w14:paraId="25C73690" w14:textId="3475D107" w:rsidR="00131797" w:rsidRDefault="00C32529" w:rsidP="00510866">
      <w:r w:rsidRPr="00C32529">
        <w:t xml:space="preserve">Standards adopted in regulation, however, must be suitable for use in Australia and meet </w:t>
      </w:r>
      <w:r w:rsidR="006848C2">
        <w:t xml:space="preserve">relevant </w:t>
      </w:r>
      <w:r w:rsidRPr="00C32529">
        <w:t xml:space="preserve">regulatory objectives. </w:t>
      </w:r>
      <w:r w:rsidR="006848C2">
        <w:t>S</w:t>
      </w:r>
      <w:r w:rsidRPr="00C32529">
        <w:t>tandards</w:t>
      </w:r>
      <w:r w:rsidR="006848C2">
        <w:t xml:space="preserve"> may be modified</w:t>
      </w:r>
      <w:r w:rsidRPr="00C32529">
        <w:t xml:space="preserve"> </w:t>
      </w:r>
      <w:r w:rsidR="00390AFF">
        <w:t xml:space="preserve">so they are </w:t>
      </w:r>
      <w:r w:rsidR="0049755C">
        <w:t>appropriate for</w:t>
      </w:r>
      <w:r w:rsidRPr="00C32529">
        <w:t xml:space="preserve"> </w:t>
      </w:r>
      <w:r w:rsidR="00697624">
        <w:t>Australia’s</w:t>
      </w:r>
      <w:r w:rsidR="0049755C">
        <w:t xml:space="preserve"> </w:t>
      </w:r>
      <w:r w:rsidRPr="00C32529">
        <w:t>environmental</w:t>
      </w:r>
      <w:r w:rsidR="0049755C">
        <w:t xml:space="preserve"> </w:t>
      </w:r>
      <w:r w:rsidR="00EE70B3">
        <w:t>or</w:t>
      </w:r>
      <w:r w:rsidRPr="00C32529">
        <w:t xml:space="preserve"> climat</w:t>
      </w:r>
      <w:r w:rsidR="00EE70B3">
        <w:t>ic conditions</w:t>
      </w:r>
      <w:r w:rsidRPr="00C32529">
        <w:t xml:space="preserve">, </w:t>
      </w:r>
      <w:r w:rsidR="00C82530">
        <w:t xml:space="preserve">or </w:t>
      </w:r>
      <w:r w:rsidR="00272E07">
        <w:t xml:space="preserve">for </w:t>
      </w:r>
      <w:r w:rsidRPr="00C32529">
        <w:t>national security</w:t>
      </w:r>
      <w:r w:rsidR="00C82530">
        <w:t xml:space="preserve"> </w:t>
      </w:r>
      <w:r w:rsidR="00EE70B3">
        <w:t>reasons</w:t>
      </w:r>
      <w:r w:rsidRPr="00C32529">
        <w:t xml:space="preserve">. In </w:t>
      </w:r>
      <w:r w:rsidR="00697624">
        <w:t>these</w:t>
      </w:r>
      <w:r w:rsidRPr="00C32529">
        <w:t xml:space="preserve"> cases, modifying </w:t>
      </w:r>
      <w:r w:rsidR="00697624">
        <w:t xml:space="preserve">an existing </w:t>
      </w:r>
      <w:r w:rsidRPr="00C32529">
        <w:t xml:space="preserve">standard </w:t>
      </w:r>
      <w:r w:rsidR="00697624">
        <w:t xml:space="preserve">may </w:t>
      </w:r>
      <w:r w:rsidRPr="00C32529">
        <w:t xml:space="preserve">offer </w:t>
      </w:r>
      <w:r w:rsidR="009E6675">
        <w:t>greater</w:t>
      </w:r>
      <w:r w:rsidRPr="00C32529">
        <w:t xml:space="preserve"> benefits than adopting the</w:t>
      </w:r>
      <w:r w:rsidR="00697624">
        <w:t xml:space="preserve"> </w:t>
      </w:r>
      <w:r w:rsidR="00744F42">
        <w:t>s</w:t>
      </w:r>
      <w:r w:rsidR="00B95AFB">
        <w:t xml:space="preserve">tandard </w:t>
      </w:r>
      <w:r w:rsidR="00697624">
        <w:t>in full</w:t>
      </w:r>
      <w:r w:rsidRPr="00C32529">
        <w:t xml:space="preserve">. Policymakers must balance harmonisation across jurisdictions with </w:t>
      </w:r>
      <w:r w:rsidR="00563ACD">
        <w:t xml:space="preserve">unique </w:t>
      </w:r>
      <w:r w:rsidRPr="00C32529">
        <w:t>local requirements.</w:t>
      </w:r>
      <w:r>
        <w:t xml:space="preserve"> </w:t>
      </w:r>
    </w:p>
    <w:p w14:paraId="2A6A434D" w14:textId="45C2F8C0" w:rsidR="00730BD0" w:rsidRDefault="00BD419B" w:rsidP="007C519F">
      <w:r>
        <w:lastRenderedPageBreak/>
        <w:t xml:space="preserve">Governments </w:t>
      </w:r>
      <w:r w:rsidR="00C8680D">
        <w:t>identified several sector</w:t>
      </w:r>
      <w:r>
        <w:t>s</w:t>
      </w:r>
      <w:r w:rsidRPr="00BD419B">
        <w:t xml:space="preserve"> </w:t>
      </w:r>
      <w:r>
        <w:t xml:space="preserve">to the Productivity Commission </w:t>
      </w:r>
      <w:r w:rsidR="00B8184F">
        <w:t>(see Box 1 below</w:t>
      </w:r>
      <w:r w:rsidR="00C8680D">
        <w:t xml:space="preserve"> </w:t>
      </w:r>
      <w:r w:rsidR="00B8184F">
        <w:t xml:space="preserve">for further information) </w:t>
      </w:r>
      <w:r w:rsidR="00C8680D">
        <w:t>where harmonisation across jurisdictions could</w:t>
      </w:r>
      <w:r w:rsidR="00127C23">
        <w:t xml:space="preserve"> potentially</w:t>
      </w:r>
      <w:r w:rsidR="00C8680D">
        <w:t xml:space="preserve"> </w:t>
      </w:r>
      <w:r w:rsidR="00E7359F">
        <w:t>improve choice for</w:t>
      </w:r>
      <w:r w:rsidR="00C8680D" w:rsidRPr="008670DE">
        <w:t xml:space="preserve"> consumers, </w:t>
      </w:r>
      <w:r w:rsidR="00E7359F">
        <w:t xml:space="preserve">reduce </w:t>
      </w:r>
      <w:r w:rsidR="00EF1FE5">
        <w:t xml:space="preserve">compliance costs for </w:t>
      </w:r>
      <w:r w:rsidR="00C8680D" w:rsidRPr="008670DE">
        <w:t xml:space="preserve">businesses, and </w:t>
      </w:r>
      <w:r w:rsidR="00EF1FE5">
        <w:t xml:space="preserve">lower administrative costs for </w:t>
      </w:r>
      <w:r w:rsidR="00C8680D" w:rsidRPr="008670DE">
        <w:t>governments.</w:t>
      </w:r>
      <w:r w:rsidR="00C8680D">
        <w:rPr>
          <w:rStyle w:val="FootnoteReference"/>
        </w:rPr>
        <w:footnoteReference w:id="5"/>
      </w:r>
    </w:p>
    <w:p w14:paraId="458A53CE" w14:textId="31BFE96A" w:rsidR="00FB5DD0" w:rsidRDefault="00FB5DD0" w:rsidP="007C519F">
      <w:r>
        <w:t>T</w:t>
      </w:r>
      <w:r w:rsidR="00B10B8B">
        <w:t>he Commonwealth Government</w:t>
      </w:r>
      <w:r w:rsidR="008D3C21">
        <w:t>, in consultation with states</w:t>
      </w:r>
      <w:r w:rsidR="00506A73">
        <w:t xml:space="preserve"> and territories (states)</w:t>
      </w:r>
      <w:r w:rsidR="008D3C21">
        <w:t>,</w:t>
      </w:r>
      <w:r w:rsidR="00B10B8B">
        <w:t xml:space="preserve"> is developing two documents to </w:t>
      </w:r>
      <w:r w:rsidR="006B5272">
        <w:t xml:space="preserve">implement </w:t>
      </w:r>
      <w:r w:rsidR="00DC3CFE">
        <w:t xml:space="preserve">standards </w:t>
      </w:r>
      <w:r w:rsidR="006B5272">
        <w:t>reform</w:t>
      </w:r>
      <w:r w:rsidR="008D3C21">
        <w:t>:</w:t>
      </w:r>
      <w:r w:rsidR="00633700">
        <w:t xml:space="preserve"> </w:t>
      </w:r>
      <w:r w:rsidR="006B5272">
        <w:t xml:space="preserve"> </w:t>
      </w:r>
    </w:p>
    <w:p w14:paraId="23B6FB16" w14:textId="39A8C360" w:rsidR="00FB5DD0" w:rsidRDefault="00FB5DD0" w:rsidP="00995FA4">
      <w:pPr>
        <w:pStyle w:val="Bullet1"/>
      </w:pPr>
      <w:r>
        <w:t xml:space="preserve">The </w:t>
      </w:r>
      <w:r w:rsidRPr="00E9056A">
        <w:rPr>
          <w:b/>
          <w:bCs/>
          <w:u w:val="single"/>
        </w:rPr>
        <w:t>Competition Reform Guidelines</w:t>
      </w:r>
      <w:r>
        <w:t xml:space="preserve"> </w:t>
      </w:r>
      <w:r w:rsidR="00D37B02">
        <w:t>provide a set of evidence-based pro-</w:t>
      </w:r>
      <w:r w:rsidR="00A17AB5">
        <w:t>competitive</w:t>
      </w:r>
      <w:r w:rsidR="00D37B02">
        <w:t xml:space="preserve"> actions </w:t>
      </w:r>
      <w:r w:rsidR="00BE2DBB">
        <w:t>that</w:t>
      </w:r>
      <w:r w:rsidR="00225430">
        <w:t xml:space="preserve"> governments </w:t>
      </w:r>
      <w:r w:rsidR="00A85123">
        <w:t>can undertake t</w:t>
      </w:r>
      <w:r w:rsidR="00A17AB5">
        <w:t>o</w:t>
      </w:r>
      <w:r w:rsidR="00B0157E">
        <w:t xml:space="preserve"> improve regulatory harmonisation</w:t>
      </w:r>
      <w:r w:rsidR="001921B1">
        <w:t xml:space="preserve"> of standards</w:t>
      </w:r>
      <w:r w:rsidR="00E5040F">
        <w:rPr>
          <w:rStyle w:val="FootnoteReference"/>
        </w:rPr>
        <w:footnoteReference w:id="6"/>
      </w:r>
      <w:r w:rsidR="00995FA4">
        <w:t xml:space="preserve">; and </w:t>
      </w:r>
    </w:p>
    <w:p w14:paraId="78A9E2B4" w14:textId="1EB44943" w:rsidR="00FB5DD0" w:rsidRDefault="00FB5DD0" w:rsidP="005E7CED">
      <w:pPr>
        <w:pStyle w:val="Bullet1"/>
      </w:pPr>
      <w:r>
        <w:t xml:space="preserve">The </w:t>
      </w:r>
      <w:r w:rsidRPr="00E9056A">
        <w:rPr>
          <w:b/>
          <w:bCs/>
          <w:u w:val="single"/>
        </w:rPr>
        <w:t xml:space="preserve">Best Practice </w:t>
      </w:r>
      <w:r w:rsidR="009A1C4D">
        <w:rPr>
          <w:b/>
          <w:bCs/>
          <w:u w:val="single"/>
        </w:rPr>
        <w:t>Handbook</w:t>
      </w:r>
      <w:r w:rsidR="009A1C4D">
        <w:t xml:space="preserve"> </w:t>
      </w:r>
      <w:r w:rsidR="006E7ECF">
        <w:t xml:space="preserve">will support Commonwealth </w:t>
      </w:r>
      <w:r w:rsidR="006E7ECF" w:rsidRPr="006E7ECF">
        <w:t>policymakers and regulators to better recognise and adopt international, regional, and overseas standards</w:t>
      </w:r>
      <w:r w:rsidR="006E7ECF">
        <w:t xml:space="preserve"> in regulation</w:t>
      </w:r>
      <w:r w:rsidR="00AF6E0A">
        <w:t xml:space="preserve"> at the </w:t>
      </w:r>
      <w:r w:rsidR="001921B1">
        <w:t>national</w:t>
      </w:r>
      <w:r w:rsidR="00AF6E0A">
        <w:t xml:space="preserve"> level</w:t>
      </w:r>
      <w:r w:rsidR="006E7ECF" w:rsidRPr="006E7ECF">
        <w:t>.</w:t>
      </w:r>
      <w:r w:rsidR="00C45BC6" w:rsidRPr="00C45BC6">
        <w:t xml:space="preserve"> It </w:t>
      </w:r>
      <w:r w:rsidR="004F5484">
        <w:t xml:space="preserve">has been developed with reference to </w:t>
      </w:r>
      <w:r w:rsidR="00AE44E6">
        <w:t xml:space="preserve">DISR’s 2016 </w:t>
      </w:r>
      <w:r w:rsidR="00AE44E6" w:rsidRPr="00546A26">
        <w:rPr>
          <w:i/>
          <w:iCs/>
        </w:rPr>
        <w:t>Best Practice Guide to Using Standards and Risk Assessments in Policy and Regulation</w:t>
      </w:r>
      <w:r w:rsidR="00AE44E6" w:rsidRPr="00C45BC6">
        <w:t xml:space="preserve"> </w:t>
      </w:r>
      <w:r w:rsidR="004F5484">
        <w:t xml:space="preserve">with the view to developing a single source of Commonwealth guidance on referencing standards in regulation. The Handbook will also </w:t>
      </w:r>
      <w:r w:rsidR="00C45BC6" w:rsidRPr="00C45BC6">
        <w:t xml:space="preserve">support the </w:t>
      </w:r>
      <w:r w:rsidR="0038229E">
        <w:t xml:space="preserve">Commonwealth to </w:t>
      </w:r>
      <w:r w:rsidR="00C45BC6" w:rsidRPr="00C45BC6">
        <w:t>implement</w:t>
      </w:r>
      <w:r w:rsidR="0038229E">
        <w:t xml:space="preserve"> </w:t>
      </w:r>
      <w:r w:rsidR="00C45BC6" w:rsidRPr="00C45BC6">
        <w:t xml:space="preserve">the </w:t>
      </w:r>
      <w:r w:rsidR="00FE0A38">
        <w:t xml:space="preserve">Competition Reform </w:t>
      </w:r>
      <w:r w:rsidR="00C45BC6" w:rsidRPr="00C45BC6">
        <w:t>Guidelines.</w:t>
      </w:r>
      <w:r w:rsidR="00033344">
        <w:t xml:space="preserve"> States are also welcome to follow and apply this </w:t>
      </w:r>
      <w:r w:rsidR="009A1C4D">
        <w:t>Handbook</w:t>
      </w:r>
      <w:r w:rsidR="00033344">
        <w:t>.</w:t>
      </w:r>
    </w:p>
    <w:p w14:paraId="7F5E593D" w14:textId="4F069441" w:rsidR="00F97C93" w:rsidRDefault="00297DEE" w:rsidP="009520ED">
      <w:r>
        <w:t>T</w:t>
      </w:r>
      <w:r w:rsidR="007C519F">
        <w:t xml:space="preserve">he Council </w:t>
      </w:r>
      <w:r w:rsidR="00F37339">
        <w:t>of Federal Financial Relations</w:t>
      </w:r>
      <w:r w:rsidR="001D4C51">
        <w:t xml:space="preserve"> (CFFR)</w:t>
      </w:r>
      <w:r w:rsidR="00F37339">
        <w:t xml:space="preserve"> will work to </w:t>
      </w:r>
      <w:r w:rsidR="00F05DBB">
        <w:t xml:space="preserve">identify </w:t>
      </w:r>
      <w:r w:rsidR="007504DC">
        <w:t xml:space="preserve">and agree </w:t>
      </w:r>
      <w:r w:rsidR="00033344">
        <w:t>p</w:t>
      </w:r>
      <w:r w:rsidR="00F05DBB">
        <w:t xml:space="preserve">riority </w:t>
      </w:r>
      <w:r w:rsidR="00033344">
        <w:t>s</w:t>
      </w:r>
      <w:r w:rsidR="00F05DBB">
        <w:t>ectors</w:t>
      </w:r>
      <w:r w:rsidR="00C7018E">
        <w:t xml:space="preserve"> </w:t>
      </w:r>
      <w:r w:rsidR="007504DC">
        <w:t xml:space="preserve">for reform </w:t>
      </w:r>
      <w:r w:rsidR="00C7018E">
        <w:t>by the end of 2025</w:t>
      </w:r>
      <w:r w:rsidR="00BB62E4">
        <w:t>. Once identified</w:t>
      </w:r>
      <w:r w:rsidR="000A3896">
        <w:t>,</w:t>
      </w:r>
      <w:r w:rsidR="00BB62E4">
        <w:t xml:space="preserve"> </w:t>
      </w:r>
      <w:r w:rsidR="009B043F">
        <w:t xml:space="preserve">jurisdictions </w:t>
      </w:r>
      <w:r w:rsidR="00087707">
        <w:t xml:space="preserve">will negotiate </w:t>
      </w:r>
      <w:r w:rsidR="00D73D18">
        <w:t xml:space="preserve">and </w:t>
      </w:r>
      <w:r w:rsidR="00087707">
        <w:t>update the NCP agreement to include these reforms and associated payments for the states</w:t>
      </w:r>
      <w:r w:rsidR="00D1340C">
        <w:t xml:space="preserve">. </w:t>
      </w:r>
      <w:r w:rsidR="00F97C93">
        <w:t>The</w:t>
      </w:r>
      <w:r w:rsidR="00F97C93" w:rsidDel="00501058">
        <w:t xml:space="preserve"> </w:t>
      </w:r>
      <w:r w:rsidR="00F97C93">
        <w:t>payment size will be determined in accordance with the estimated economic benefits generated from reform</w:t>
      </w:r>
      <w:r w:rsidR="002069F3">
        <w:t xml:space="preserve">. </w:t>
      </w:r>
      <w:r w:rsidR="002069F3" w:rsidRPr="002069F3">
        <w:t>The Productivity Commission is currently undertaking a study to estimate the impacts of reform</w:t>
      </w:r>
      <w:r w:rsidR="009520ED">
        <w:t>ing mandatory standards</w:t>
      </w:r>
      <w:r w:rsidR="002069F3" w:rsidRPr="002069F3">
        <w:t xml:space="preserve"> in various sectors.</w:t>
      </w:r>
      <w:r w:rsidR="009520ED" w:rsidRPr="002069F3" w:rsidDel="009520ED">
        <w:t xml:space="preserve"> </w:t>
      </w:r>
    </w:p>
    <w:p w14:paraId="6969A185" w14:textId="6E16203D" w:rsidR="004444A7" w:rsidRDefault="00BD586C" w:rsidP="007C519F">
      <w:r>
        <w:t xml:space="preserve">From 2026, </w:t>
      </w:r>
      <w:r w:rsidR="009B5109">
        <w:t>j</w:t>
      </w:r>
      <w:r w:rsidR="00D1340C">
        <w:t xml:space="preserve">urisdictions that </w:t>
      </w:r>
      <w:r w:rsidR="002069F3">
        <w:t xml:space="preserve">decide to </w:t>
      </w:r>
      <w:r w:rsidR="00D1340C">
        <w:t>implement these reforms</w:t>
      </w:r>
      <w:r w:rsidR="00A8185F">
        <w:t xml:space="preserve"> will</w:t>
      </w:r>
      <w:r w:rsidR="000A3896">
        <w:t xml:space="preserve"> </w:t>
      </w:r>
      <w:r w:rsidR="00D1340C">
        <w:t xml:space="preserve">then </w:t>
      </w:r>
      <w:r w:rsidR="000A3896">
        <w:t>review their respective legislation in these sectors</w:t>
      </w:r>
      <w:r w:rsidR="008057F3">
        <w:t xml:space="preserve"> against</w:t>
      </w:r>
      <w:r w:rsidR="00796581">
        <w:t xml:space="preserve"> </w:t>
      </w:r>
      <w:r w:rsidR="000A3896">
        <w:t xml:space="preserve">the </w:t>
      </w:r>
      <w:r w:rsidR="000A3896" w:rsidRPr="00B10B8B">
        <w:t xml:space="preserve">Competition Reform Guidelines </w:t>
      </w:r>
      <w:r w:rsidR="00A8185F">
        <w:t>(</w:t>
      </w:r>
      <w:r w:rsidR="000A3896" w:rsidRPr="00B10B8B">
        <w:t xml:space="preserve">and Best Practice </w:t>
      </w:r>
      <w:r w:rsidR="009A1C4D">
        <w:t xml:space="preserve">Handbook </w:t>
      </w:r>
      <w:r w:rsidR="001C5582">
        <w:t>where</w:t>
      </w:r>
      <w:r w:rsidR="000E7472">
        <w:t xml:space="preserve"> relevant</w:t>
      </w:r>
      <w:r w:rsidR="00A8185F">
        <w:t>)</w:t>
      </w:r>
      <w:r w:rsidR="000A3896">
        <w:t>.</w:t>
      </w:r>
      <w:r w:rsidR="00865B4D">
        <w:t xml:space="preserve"> States</w:t>
      </w:r>
      <w:r w:rsidR="00796581">
        <w:t xml:space="preserve"> that update existing mandatory standards in line with the </w:t>
      </w:r>
      <w:r w:rsidR="0074104E">
        <w:t>C</w:t>
      </w:r>
      <w:r w:rsidR="00796581">
        <w:t xml:space="preserve">ompetition Reform </w:t>
      </w:r>
      <w:proofErr w:type="gramStart"/>
      <w:r w:rsidR="00796581">
        <w:t>Guidelines</w:t>
      </w:r>
      <w:r w:rsidR="001318F6">
        <w:t>, or</w:t>
      </w:r>
      <w:proofErr w:type="gramEnd"/>
      <w:r w:rsidR="001318F6">
        <w:t xml:space="preserve"> using </w:t>
      </w:r>
      <w:r w:rsidR="000F1B92">
        <w:t xml:space="preserve">a suitably </w:t>
      </w:r>
      <w:r w:rsidR="0090794C">
        <w:t>justified alternative approach (see Box 1 below),</w:t>
      </w:r>
      <w:r w:rsidR="00796581">
        <w:t xml:space="preserve"> wi</w:t>
      </w:r>
      <w:r w:rsidR="00847FAA">
        <w:t xml:space="preserve">ll receive </w:t>
      </w:r>
      <w:r w:rsidR="00E00DDA">
        <w:t>redistributive payments</w:t>
      </w:r>
      <w:r w:rsidR="00E45416">
        <w:t xml:space="preserve"> once these reforms are implemented</w:t>
      </w:r>
      <w:r w:rsidR="00501058">
        <w:t xml:space="preserve">. </w:t>
      </w:r>
    </w:p>
    <w:p w14:paraId="13444764" w14:textId="505769DF" w:rsidR="00A26D65" w:rsidRDefault="009068C4" w:rsidP="00DB7665">
      <w:r>
        <w:t>We are now</w:t>
      </w:r>
      <w:r w:rsidR="00DB7665">
        <w:t xml:space="preserve"> </w:t>
      </w:r>
      <w:r w:rsidR="00F529FB">
        <w:t xml:space="preserve">seeking </w:t>
      </w:r>
      <w:r w:rsidR="00F9060F">
        <w:t>public feedback and</w:t>
      </w:r>
      <w:r w:rsidR="00485976" w:rsidRPr="00604E67">
        <w:t xml:space="preserve"> </w:t>
      </w:r>
      <w:r w:rsidR="00604E67" w:rsidRPr="00604E67">
        <w:t xml:space="preserve">views </w:t>
      </w:r>
      <w:r w:rsidR="000B538D">
        <w:t>on the</w:t>
      </w:r>
      <w:r w:rsidR="00635491">
        <w:t xml:space="preserve">se two documents, as well as </w:t>
      </w:r>
      <w:r w:rsidR="00693FB6">
        <w:t>your</w:t>
      </w:r>
      <w:r w:rsidR="007D403D">
        <w:t xml:space="preserve"> input </w:t>
      </w:r>
      <w:r w:rsidR="00A45031">
        <w:t>on</w:t>
      </w:r>
      <w:r w:rsidR="007D403D">
        <w:t xml:space="preserve"> </w:t>
      </w:r>
      <w:r w:rsidR="008A0488">
        <w:t xml:space="preserve">sectors that </w:t>
      </w:r>
      <w:r w:rsidR="00EB7540">
        <w:t xml:space="preserve">you believe </w:t>
      </w:r>
      <w:r w:rsidR="008A0488">
        <w:t xml:space="preserve">would benefit from </w:t>
      </w:r>
      <w:r w:rsidR="00D6179E">
        <w:t xml:space="preserve">lowering barriers to the adoption of </w:t>
      </w:r>
      <w:r w:rsidR="003C3C1C">
        <w:t xml:space="preserve">international and </w:t>
      </w:r>
      <w:r w:rsidR="00D6179E">
        <w:t>overseas standards</w:t>
      </w:r>
      <w:r w:rsidR="000B538D" w:rsidRPr="00604E67">
        <w:t>.</w:t>
      </w:r>
      <w:r w:rsidR="000B538D">
        <w:t xml:space="preserve"> </w:t>
      </w:r>
      <w:r w:rsidR="0088309D">
        <w:t>Your f</w:t>
      </w:r>
      <w:r w:rsidR="000B538D">
        <w:t xml:space="preserve">eedback will </w:t>
      </w:r>
      <w:r w:rsidR="003C2FF1">
        <w:t xml:space="preserve">support </w:t>
      </w:r>
      <w:r w:rsidR="00604E67" w:rsidRPr="00604E67">
        <w:t xml:space="preserve">the </w:t>
      </w:r>
      <w:r w:rsidR="000A3896" w:rsidRPr="00604E67">
        <w:t xml:space="preserve">design of the draft </w:t>
      </w:r>
      <w:r w:rsidR="008F12EF" w:rsidRPr="00604E67">
        <w:t>Competition Reform Guidelines</w:t>
      </w:r>
      <w:r w:rsidR="000A3896" w:rsidRPr="00604E67">
        <w:t xml:space="preserve"> and </w:t>
      </w:r>
      <w:r w:rsidR="008F12EF" w:rsidRPr="00604E67">
        <w:t xml:space="preserve">Best Practice </w:t>
      </w:r>
      <w:r w:rsidR="009A1C4D">
        <w:t>Handbook</w:t>
      </w:r>
      <w:r w:rsidR="009A1C4D" w:rsidRPr="00604E67">
        <w:t xml:space="preserve"> </w:t>
      </w:r>
      <w:r w:rsidR="00D20DA5" w:rsidRPr="00604E67">
        <w:t>and</w:t>
      </w:r>
      <w:r w:rsidR="00604E67" w:rsidRPr="00604E67">
        <w:t xml:space="preserve"> </w:t>
      </w:r>
      <w:r w:rsidR="003C2FF1">
        <w:t>inform</w:t>
      </w:r>
      <w:r w:rsidR="00604E67" w:rsidRPr="00604E67">
        <w:t xml:space="preserve"> our advice to the </w:t>
      </w:r>
      <w:r w:rsidR="00D27B22">
        <w:t xml:space="preserve">Commonwealth </w:t>
      </w:r>
      <w:r w:rsidR="00962110" w:rsidRPr="00604E67">
        <w:t xml:space="preserve">Government on the identification of </w:t>
      </w:r>
      <w:r w:rsidR="00F9060F">
        <w:t>p</w:t>
      </w:r>
      <w:r w:rsidR="00D20DA5" w:rsidRPr="00604E67">
        <w:t xml:space="preserve">riority </w:t>
      </w:r>
      <w:r w:rsidR="00F9060F">
        <w:t>s</w:t>
      </w:r>
      <w:r w:rsidR="00D20DA5" w:rsidRPr="00604E67">
        <w:t>ectors</w:t>
      </w:r>
      <w:r w:rsidR="00E84630" w:rsidRPr="00604E67">
        <w:t>.</w:t>
      </w:r>
      <w:r w:rsidR="002B70C3">
        <w:t xml:space="preserve"> These sectors will be agreed with the States. </w:t>
      </w:r>
      <w:r w:rsidR="00E84630">
        <w:t xml:space="preserve"> </w:t>
      </w:r>
    </w:p>
    <w:p w14:paraId="77FFC6D5" w14:textId="7067C62B" w:rsidR="00A26D65" w:rsidRDefault="00A26D65" w:rsidP="00A26D65">
      <w:pPr>
        <w:pStyle w:val="Heading1"/>
      </w:pPr>
      <w:r>
        <w:t>Competition Reform Guidelines</w:t>
      </w:r>
    </w:p>
    <w:p w14:paraId="69FAC140" w14:textId="3B700921" w:rsidR="00E1048C" w:rsidRDefault="00D13834" w:rsidP="00A26D65">
      <w:r>
        <w:t xml:space="preserve">The Competition Reform Guidelines (the Guidelines) </w:t>
      </w:r>
      <w:r w:rsidR="00E76180">
        <w:t xml:space="preserve">seek </w:t>
      </w:r>
      <w:r w:rsidR="00017021">
        <w:t>to</w:t>
      </w:r>
      <w:r w:rsidR="00657C38" w:rsidRPr="00657C38">
        <w:t xml:space="preserve"> improve regulatory harmonisation</w:t>
      </w:r>
      <w:r w:rsidR="00017021">
        <w:t xml:space="preserve"> </w:t>
      </w:r>
      <w:r w:rsidR="00E76180">
        <w:t xml:space="preserve">of standards </w:t>
      </w:r>
      <w:r w:rsidR="005700D4">
        <w:t xml:space="preserve">across jurisdictions in </w:t>
      </w:r>
      <w:r w:rsidR="005D470D">
        <w:t>p</w:t>
      </w:r>
      <w:r w:rsidR="001E0457">
        <w:t xml:space="preserve">riority </w:t>
      </w:r>
      <w:r w:rsidR="005D470D">
        <w:t>s</w:t>
      </w:r>
      <w:r w:rsidR="001E0457">
        <w:t xml:space="preserve">ectors. </w:t>
      </w:r>
      <w:r w:rsidR="00470212">
        <w:t xml:space="preserve">The Guidelines outline </w:t>
      </w:r>
      <w:r w:rsidR="00311918">
        <w:t>certain actions</w:t>
      </w:r>
      <w:r w:rsidR="00470212">
        <w:t xml:space="preserve"> </w:t>
      </w:r>
      <w:r w:rsidR="00D317C9">
        <w:t xml:space="preserve">that </w:t>
      </w:r>
      <w:r w:rsidR="00F43D0F">
        <w:t xml:space="preserve">Commonwealth, </w:t>
      </w:r>
      <w:r w:rsidR="005D470D">
        <w:t>s</w:t>
      </w:r>
      <w:r w:rsidR="00F43D0F">
        <w:t xml:space="preserve">tate and </w:t>
      </w:r>
      <w:r w:rsidR="005D470D">
        <w:t>t</w:t>
      </w:r>
      <w:r w:rsidR="00F43D0F">
        <w:t xml:space="preserve">erritory Governments </w:t>
      </w:r>
      <w:r w:rsidR="00BC6739">
        <w:t xml:space="preserve">can </w:t>
      </w:r>
      <w:r w:rsidR="00D317C9">
        <w:t xml:space="preserve">undertake </w:t>
      </w:r>
      <w:r w:rsidR="00EB7540">
        <w:t>when updating</w:t>
      </w:r>
      <w:r w:rsidR="00D317C9">
        <w:t xml:space="preserve"> existing mandatory standards in </w:t>
      </w:r>
      <w:r w:rsidR="00870982">
        <w:t xml:space="preserve">priority </w:t>
      </w:r>
      <w:r w:rsidR="00D317C9">
        <w:t>sectors</w:t>
      </w:r>
      <w:r w:rsidR="00AF7459">
        <w:t xml:space="preserve"> </w:t>
      </w:r>
      <w:r w:rsidR="00D317C9" w:rsidDel="00066FFA">
        <w:t xml:space="preserve">(i.e. </w:t>
      </w:r>
      <w:r w:rsidR="00F653DE" w:rsidDel="00066FFA">
        <w:t>address</w:t>
      </w:r>
      <w:r w:rsidR="00803209" w:rsidDel="00066FFA">
        <w:t>ing</w:t>
      </w:r>
      <w:r w:rsidR="00F653DE" w:rsidDel="00066FFA">
        <w:t xml:space="preserve"> barriers </w:t>
      </w:r>
      <w:r w:rsidR="009F7ED0">
        <w:t>now)</w:t>
      </w:r>
      <w:r w:rsidR="00D317C9">
        <w:t xml:space="preserve"> and develop</w:t>
      </w:r>
      <w:r w:rsidR="00E31EA1">
        <w:t>ing</w:t>
      </w:r>
      <w:r w:rsidR="00D317C9">
        <w:t xml:space="preserve"> future mandatory standards </w:t>
      </w:r>
      <w:r w:rsidR="00D22C8C">
        <w:t>in</w:t>
      </w:r>
      <w:r w:rsidR="00D317C9">
        <w:t xml:space="preserve"> all sectors</w:t>
      </w:r>
      <w:r w:rsidR="00D317C9" w:rsidDel="00870982">
        <w:t xml:space="preserve"> (i.e. </w:t>
      </w:r>
      <w:r w:rsidR="00D22C8C" w:rsidDel="00870982">
        <w:t>prevent</w:t>
      </w:r>
      <w:r w:rsidR="00E31EA1" w:rsidDel="00870982">
        <w:t>ing</w:t>
      </w:r>
      <w:r w:rsidR="00D22C8C" w:rsidDel="00870982">
        <w:t xml:space="preserve"> </w:t>
      </w:r>
      <w:r w:rsidR="009F7ED0">
        <w:t>new</w:t>
      </w:r>
      <w:r w:rsidR="00D22C8C">
        <w:t xml:space="preserve"> </w:t>
      </w:r>
      <w:r w:rsidR="009F7ED0">
        <w:t xml:space="preserve">regulatory </w:t>
      </w:r>
      <w:r w:rsidR="00D22C8C" w:rsidDel="00870982">
        <w:t>barriers</w:t>
      </w:r>
      <w:r w:rsidR="003A1120">
        <w:t>)</w:t>
      </w:r>
      <w:r w:rsidR="00366A6D">
        <w:t xml:space="preserve">. </w:t>
      </w:r>
    </w:p>
    <w:p w14:paraId="5D1AFA4E" w14:textId="107AFE28" w:rsidR="00C5421C" w:rsidRDefault="009E7D71" w:rsidP="00E971FF">
      <w:pPr>
        <w:rPr>
          <w:lang w:val="en-US"/>
        </w:rPr>
      </w:pPr>
      <w:r>
        <w:lastRenderedPageBreak/>
        <w:t>As an overarching principle, the Guidelines state</w:t>
      </w:r>
      <w:r w:rsidR="00771020">
        <w:t xml:space="preserve"> that </w:t>
      </w:r>
      <w:r w:rsidR="00B6653B">
        <w:t>jurisdictions</w:t>
      </w:r>
      <w:r w:rsidR="00213384">
        <w:t xml:space="preserve"> should define their regulatory objective</w:t>
      </w:r>
      <w:r w:rsidR="00F33C62">
        <w:t xml:space="preserve"> and </w:t>
      </w:r>
      <w:r w:rsidR="009C5E63">
        <w:t>determine whether mandatory standards are the most appropriate policy tool</w:t>
      </w:r>
      <w:r w:rsidR="00C146E2">
        <w:t xml:space="preserve"> to achieve said objective</w:t>
      </w:r>
      <w:r w:rsidR="0048523E">
        <w:t xml:space="preserve">. </w:t>
      </w:r>
      <w:r w:rsidR="005C3BE9">
        <w:rPr>
          <w:lang w:val="en-US"/>
        </w:rPr>
        <w:t xml:space="preserve">Jurisdictions should consider the impact of proposed </w:t>
      </w:r>
      <w:r w:rsidR="00F36816">
        <w:rPr>
          <w:lang w:val="en-US"/>
        </w:rPr>
        <w:t xml:space="preserve">regulatory </w:t>
      </w:r>
      <w:r w:rsidR="005C3BE9">
        <w:rPr>
          <w:lang w:val="en-US"/>
        </w:rPr>
        <w:t>changes on affected stakeholders and make their findings public</w:t>
      </w:r>
      <w:r w:rsidR="00B114A2">
        <w:rPr>
          <w:lang w:val="en-US"/>
        </w:rPr>
        <w:t xml:space="preserve"> (in line with </w:t>
      </w:r>
      <w:r w:rsidR="00FD7A2C">
        <w:rPr>
          <w:lang w:val="en-US"/>
        </w:rPr>
        <w:t xml:space="preserve">their </w:t>
      </w:r>
      <w:r w:rsidR="00AF24A6">
        <w:rPr>
          <w:lang w:val="en-US"/>
        </w:rPr>
        <w:t>respective</w:t>
      </w:r>
      <w:r w:rsidR="00B114A2">
        <w:rPr>
          <w:lang w:val="en-US"/>
        </w:rPr>
        <w:t xml:space="preserve"> impact analysis frameworks)</w:t>
      </w:r>
      <w:r w:rsidR="005C3BE9">
        <w:rPr>
          <w:lang w:val="en-US"/>
        </w:rPr>
        <w:t xml:space="preserve"> to</w:t>
      </w:r>
      <w:r w:rsidR="005C3BE9" w:rsidRPr="00B21B69">
        <w:rPr>
          <w:lang w:val="en-US"/>
        </w:rPr>
        <w:t xml:space="preserve"> ensure </w:t>
      </w:r>
      <w:r w:rsidR="005C3BE9">
        <w:rPr>
          <w:lang w:val="en-US"/>
        </w:rPr>
        <w:t>the regulatory option</w:t>
      </w:r>
      <w:r w:rsidR="005C3BE9" w:rsidRPr="00B21B69">
        <w:rPr>
          <w:lang w:val="en-US"/>
        </w:rPr>
        <w:t xml:space="preserve"> offer</w:t>
      </w:r>
      <w:r w:rsidR="005C3BE9">
        <w:rPr>
          <w:lang w:val="en-US"/>
        </w:rPr>
        <w:t>s</w:t>
      </w:r>
      <w:r w:rsidR="005C3BE9" w:rsidRPr="00B21B69">
        <w:rPr>
          <w:lang w:val="en-US"/>
        </w:rPr>
        <w:t xml:space="preserve"> the largest net public benefit to the community. </w:t>
      </w:r>
    </w:p>
    <w:p w14:paraId="1EEC5F05" w14:textId="7DDD596E" w:rsidR="002961FA" w:rsidRDefault="00CD643A" w:rsidP="00361FFD">
      <w:pPr>
        <w:rPr>
          <w:lang w:val="en-US"/>
        </w:rPr>
      </w:pPr>
      <w:r>
        <w:t>J</w:t>
      </w:r>
      <w:r w:rsidR="00C146E2">
        <w:t xml:space="preserve">urisdictions </w:t>
      </w:r>
      <w:r w:rsidR="00E64B24">
        <w:t xml:space="preserve">should </w:t>
      </w:r>
      <w:r w:rsidR="00C6121E">
        <w:t xml:space="preserve">replace mandatory standards with </w:t>
      </w:r>
      <w:r w:rsidR="00E64B24">
        <w:t>less burdensome regulations or non-regulatory approaches</w:t>
      </w:r>
      <w:r>
        <w:t xml:space="preserve"> if those are more suitable to meet the regulatory objective</w:t>
      </w:r>
      <w:r w:rsidR="00C6121E" w:rsidDel="00CD643A">
        <w:t>.</w:t>
      </w:r>
      <w:r w:rsidR="00C6121E">
        <w:t xml:space="preserve"> </w:t>
      </w:r>
      <w:r w:rsidR="00AC27A2">
        <w:t xml:space="preserve">If mandatory standards are </w:t>
      </w:r>
      <w:r w:rsidR="00860295">
        <w:t xml:space="preserve">deemed </w:t>
      </w:r>
      <w:bookmarkStart w:id="11" w:name="_Hlk193101583"/>
      <w:bookmarkStart w:id="12" w:name="_Hlk193101841"/>
      <w:r w:rsidR="00B6712B" w:rsidRPr="00B6712B">
        <w:rPr>
          <w:lang w:val="en-US"/>
        </w:rPr>
        <w:t xml:space="preserve">necessary to achieve the regulatory objective, </w:t>
      </w:r>
      <w:r w:rsidR="00860295">
        <w:rPr>
          <w:lang w:val="en-US"/>
        </w:rPr>
        <w:t>jurisdictions should fully adopt</w:t>
      </w:r>
      <w:r w:rsidR="00860295" w:rsidRPr="00B6712B">
        <w:rPr>
          <w:lang w:val="en-US"/>
        </w:rPr>
        <w:t xml:space="preserve"> all </w:t>
      </w:r>
      <w:r w:rsidR="00860295" w:rsidRPr="00F10D2B">
        <w:rPr>
          <w:i/>
          <w:lang w:val="en-US"/>
        </w:rPr>
        <w:t>appropriate</w:t>
      </w:r>
      <w:r w:rsidR="00860295" w:rsidRPr="00B6712B">
        <w:rPr>
          <w:lang w:val="en-US"/>
        </w:rPr>
        <w:t xml:space="preserve"> international, regional, Australian, and overseas standards</w:t>
      </w:r>
      <w:r w:rsidR="008F2894">
        <w:rPr>
          <w:lang w:val="en-US"/>
        </w:rPr>
        <w:t xml:space="preserve"> to </w:t>
      </w:r>
      <w:r w:rsidR="008F2894" w:rsidRPr="008F2894">
        <w:t>provide multiple pathways to compliance</w:t>
      </w:r>
      <w:r w:rsidR="00084053">
        <w:rPr>
          <w:lang w:val="en-US"/>
        </w:rPr>
        <w:t xml:space="preserve">. </w:t>
      </w:r>
    </w:p>
    <w:bookmarkEnd w:id="11"/>
    <w:bookmarkEnd w:id="12"/>
    <w:p w14:paraId="1DA0C05C" w14:textId="340C5E06" w:rsidR="00600E68" w:rsidRDefault="00CC6C6C" w:rsidP="00600E68">
      <w:pPr>
        <w:rPr>
          <w:lang w:val="en-US"/>
        </w:rPr>
      </w:pPr>
      <w:r w:rsidRPr="2A225D64">
        <w:rPr>
          <w:lang w:val="en-US"/>
        </w:rPr>
        <w:t>Importantly, the Gu</w:t>
      </w:r>
      <w:r w:rsidR="009012B4" w:rsidRPr="2A225D64">
        <w:rPr>
          <w:lang w:val="en-US"/>
        </w:rPr>
        <w:t>i</w:t>
      </w:r>
      <w:r w:rsidRPr="2A225D64">
        <w:rPr>
          <w:lang w:val="en-US"/>
        </w:rPr>
        <w:t xml:space="preserve">delines </w:t>
      </w:r>
      <w:r w:rsidR="00600E68" w:rsidRPr="2A225D64">
        <w:rPr>
          <w:lang w:val="en-US"/>
        </w:rPr>
        <w:t xml:space="preserve">aim to </w:t>
      </w:r>
      <w:r w:rsidR="00600E68" w:rsidRPr="2A225D64">
        <w:rPr>
          <w:i/>
          <w:iCs/>
          <w:lang w:val="en-US"/>
        </w:rPr>
        <w:t>“ensure consistency and interoperability with existing mandatory standards</w:t>
      </w:r>
      <w:r w:rsidR="00001561" w:rsidRPr="2A225D64">
        <w:rPr>
          <w:i/>
          <w:iCs/>
          <w:lang w:val="en-US"/>
        </w:rPr>
        <w:t xml:space="preserve">… </w:t>
      </w:r>
      <w:r w:rsidR="00600E68" w:rsidRPr="2A225D64">
        <w:rPr>
          <w:i/>
          <w:iCs/>
          <w:lang w:val="en-US"/>
        </w:rPr>
        <w:t>except where this creates excessive and unnecessary compliance barriers”</w:t>
      </w:r>
      <w:r w:rsidR="00600E68" w:rsidRPr="2A225D64">
        <w:rPr>
          <w:lang w:val="en-US"/>
        </w:rPr>
        <w:t>.</w:t>
      </w:r>
      <w:r w:rsidR="003E3354" w:rsidRPr="2A225D64">
        <w:rPr>
          <w:lang w:val="en-US"/>
        </w:rPr>
        <w:t xml:space="preserve"> </w:t>
      </w:r>
      <w:r w:rsidR="008F4156">
        <w:rPr>
          <w:lang w:val="en-US"/>
        </w:rPr>
        <w:t>R</w:t>
      </w:r>
      <w:r w:rsidR="003E3354" w:rsidRPr="2A225D64">
        <w:rPr>
          <w:lang w:val="en-US"/>
        </w:rPr>
        <w:t xml:space="preserve">ecognising multiple compatible standards for compliance and harmonising these regulations across </w:t>
      </w:r>
      <w:r w:rsidR="003A1C11" w:rsidRPr="2A225D64">
        <w:rPr>
          <w:lang w:val="en-US"/>
        </w:rPr>
        <w:t>Australia</w:t>
      </w:r>
      <w:r w:rsidR="003E3354" w:rsidRPr="2A225D64">
        <w:rPr>
          <w:lang w:val="en-US"/>
        </w:rPr>
        <w:t xml:space="preserve"> </w:t>
      </w:r>
      <w:r w:rsidR="00CF6AA5">
        <w:rPr>
          <w:lang w:val="en-US"/>
        </w:rPr>
        <w:t>is expected to</w:t>
      </w:r>
      <w:r w:rsidR="00CF6AA5" w:rsidRPr="2A225D64">
        <w:rPr>
          <w:lang w:val="en-US"/>
        </w:rPr>
        <w:t xml:space="preserve"> </w:t>
      </w:r>
      <w:r w:rsidR="003E3354" w:rsidRPr="2A225D64">
        <w:rPr>
          <w:lang w:val="en-US"/>
        </w:rPr>
        <w:t>lower barriers to trade, reduc</w:t>
      </w:r>
      <w:r w:rsidR="00F760F4" w:rsidRPr="2A225D64">
        <w:rPr>
          <w:lang w:val="en-US"/>
        </w:rPr>
        <w:t>e</w:t>
      </w:r>
      <w:r w:rsidR="003E3354" w:rsidRPr="2A225D64">
        <w:rPr>
          <w:lang w:val="en-US"/>
        </w:rPr>
        <w:t xml:space="preserve"> adaptive costs, and expand consumer choice.</w:t>
      </w:r>
    </w:p>
    <w:p w14:paraId="7FAFEEF7" w14:textId="726171E6" w:rsidR="006F2AA3" w:rsidRDefault="001A77CF" w:rsidP="006F2AA3">
      <w:pPr>
        <w:pStyle w:val="Boxed1Heading"/>
        <w:rPr>
          <w:lang w:val="en-US"/>
        </w:rPr>
      </w:pPr>
      <w:r>
        <w:rPr>
          <w:lang w:val="en-US"/>
        </w:rPr>
        <w:t xml:space="preserve">Box 1: </w:t>
      </w:r>
      <w:r w:rsidR="006F2AA3">
        <w:rPr>
          <w:lang w:val="en-US"/>
        </w:rPr>
        <w:t>Payments to the States for Implementing Reforms</w:t>
      </w:r>
    </w:p>
    <w:p w14:paraId="3452318C" w14:textId="0064C202" w:rsidR="00F9519A" w:rsidRDefault="00910F81" w:rsidP="00C66B48">
      <w:pPr>
        <w:pStyle w:val="Boxed1Text"/>
      </w:pPr>
      <w:r>
        <w:t>Once the NCP agreement is updated to include standard</w:t>
      </w:r>
      <w:r w:rsidR="004F2977">
        <w:t>s</w:t>
      </w:r>
      <w:r>
        <w:t xml:space="preserve"> reform</w:t>
      </w:r>
      <w:r w:rsidR="004F2977">
        <w:t xml:space="preserve"> in priority sectors, the Guidelines </w:t>
      </w:r>
      <w:r w:rsidR="00D41137">
        <w:t>inform</w:t>
      </w:r>
      <w:r w:rsidR="004F2977">
        <w:t xml:space="preserve"> </w:t>
      </w:r>
      <w:r w:rsidR="001472CB">
        <w:t xml:space="preserve">how states implement these reforms. </w:t>
      </w:r>
      <w:r w:rsidR="00325238">
        <w:t xml:space="preserve">If </w:t>
      </w:r>
      <w:r w:rsidR="00E44861">
        <w:t xml:space="preserve">a </w:t>
      </w:r>
      <w:r w:rsidR="00CD71C1">
        <w:t>state government</w:t>
      </w:r>
      <w:r w:rsidR="00806C18">
        <w:t xml:space="preserve"> fully</w:t>
      </w:r>
      <w:r w:rsidR="00325238" w:rsidRPr="00320FE3">
        <w:t xml:space="preserve"> </w:t>
      </w:r>
      <w:r w:rsidR="00325238">
        <w:t>implement</w:t>
      </w:r>
      <w:r w:rsidR="00E44861">
        <w:t>s</w:t>
      </w:r>
      <w:r w:rsidR="00325238">
        <w:t xml:space="preserve"> the </w:t>
      </w:r>
      <w:r w:rsidR="00CD71C1" w:rsidRPr="00320FE3">
        <w:t xml:space="preserve">evidence-based, pro-competitive actions </w:t>
      </w:r>
      <w:r w:rsidR="00CD71C1">
        <w:t xml:space="preserve">in the </w:t>
      </w:r>
      <w:r w:rsidR="00325238">
        <w:t>Guidelines</w:t>
      </w:r>
      <w:r w:rsidR="00CC2C85">
        <w:t xml:space="preserve"> in the agreed priority sector</w:t>
      </w:r>
      <w:r w:rsidR="00806C18">
        <w:t xml:space="preserve">, </w:t>
      </w:r>
      <w:r w:rsidR="00E44861">
        <w:t xml:space="preserve">it will be </w:t>
      </w:r>
      <w:r w:rsidR="00CD71C1">
        <w:t xml:space="preserve">eligible to </w:t>
      </w:r>
      <w:r w:rsidR="00325238" w:rsidRPr="00320FE3">
        <w:t xml:space="preserve">receive </w:t>
      </w:r>
      <w:r w:rsidR="001472CB">
        <w:t xml:space="preserve">the full amount of </w:t>
      </w:r>
      <w:r w:rsidR="00325238" w:rsidRPr="00320FE3">
        <w:t xml:space="preserve">funding </w:t>
      </w:r>
      <w:r w:rsidR="001472CB">
        <w:t xml:space="preserve">allocated </w:t>
      </w:r>
      <w:r w:rsidR="00325238" w:rsidRPr="00320FE3">
        <w:t xml:space="preserve">from the </w:t>
      </w:r>
      <w:r w:rsidR="00325238">
        <w:t xml:space="preserve">Commonwealth Government’s </w:t>
      </w:r>
      <w:r w:rsidR="00325238" w:rsidRPr="00320FE3">
        <w:t>National Productivity Fund.</w:t>
      </w:r>
      <w:r w:rsidR="00325238">
        <w:t xml:space="preserve"> </w:t>
      </w:r>
    </w:p>
    <w:p w14:paraId="5ED39530" w14:textId="278E31C5" w:rsidR="00F9519A" w:rsidRDefault="004937BD" w:rsidP="00C66B48">
      <w:pPr>
        <w:pStyle w:val="Boxed1Text"/>
      </w:pPr>
      <w:r>
        <w:t xml:space="preserve">Where states </w:t>
      </w:r>
      <w:r w:rsidRPr="00A7442A">
        <w:t>deviate from the Guidelines</w:t>
      </w:r>
      <w:r w:rsidR="000D2FDF">
        <w:t xml:space="preserve"> and are seeking </w:t>
      </w:r>
      <w:r w:rsidR="00F32133">
        <w:t>the full funding allocation</w:t>
      </w:r>
      <w:r>
        <w:t>, they must justify</w:t>
      </w:r>
      <w:r w:rsidRPr="00F374BE">
        <w:t xml:space="preserve"> </w:t>
      </w:r>
      <w:r w:rsidRPr="00A7442A">
        <w:t>the</w:t>
      </w:r>
      <w:r>
        <w:t>ir</w:t>
      </w:r>
      <w:r w:rsidRPr="00A7442A">
        <w:t xml:space="preserve"> proposed alternative approach</w:t>
      </w:r>
      <w:r>
        <w:t xml:space="preserve"> to </w:t>
      </w:r>
      <w:r w:rsidRPr="00A7442A">
        <w:t>receive funding.</w:t>
      </w:r>
      <w:r>
        <w:t xml:space="preserve"> The justification should (a) </w:t>
      </w:r>
      <w:r w:rsidRPr="0016253A">
        <w:t xml:space="preserve">provide </w:t>
      </w:r>
      <w:r>
        <w:t xml:space="preserve">sufficient </w:t>
      </w:r>
      <w:r w:rsidRPr="0016253A">
        <w:t>evidence</w:t>
      </w:r>
      <w:r>
        <w:rPr>
          <w:rStyle w:val="FootnoteReference"/>
        </w:rPr>
        <w:footnoteReference w:id="7"/>
      </w:r>
      <w:r w:rsidRPr="0016253A">
        <w:t xml:space="preserve"> </w:t>
      </w:r>
      <w:r>
        <w:t xml:space="preserve">to </w:t>
      </w:r>
      <w:r w:rsidRPr="0016253A">
        <w:t>support the alternative approach</w:t>
      </w:r>
      <w:r>
        <w:t>; and (b) e</w:t>
      </w:r>
      <w:r w:rsidRPr="00A82308">
        <w:t xml:space="preserve">xplain why </w:t>
      </w:r>
      <w:r>
        <w:t>the alternative approach achieve</w:t>
      </w:r>
      <w:r w:rsidR="00FC3A38">
        <w:t>s</w:t>
      </w:r>
      <w:r>
        <w:t xml:space="preserve"> </w:t>
      </w:r>
      <w:r w:rsidR="002745EB">
        <w:t xml:space="preserve">a </w:t>
      </w:r>
      <w:r w:rsidRPr="00A82308">
        <w:t>higher or equal net benefit</w:t>
      </w:r>
      <w:r>
        <w:t xml:space="preserve"> to the community. </w:t>
      </w:r>
    </w:p>
    <w:p w14:paraId="4E45F8A6" w14:textId="64A9CFF8" w:rsidR="005249BB" w:rsidRPr="00864301" w:rsidRDefault="004937BD" w:rsidP="00864301">
      <w:pPr>
        <w:pStyle w:val="Boxed1Text"/>
      </w:pPr>
      <w:r w:rsidRPr="006B7A0D">
        <w:t>Full or partial deviation from the Guidelines absent adequate justification will receive nil or partial funding</w:t>
      </w:r>
      <w:r>
        <w:t>.</w:t>
      </w:r>
    </w:p>
    <w:p w14:paraId="3F205999" w14:textId="4D9AFF6E" w:rsidR="00F9782C" w:rsidRDefault="00F9782C" w:rsidP="00F9782C">
      <w:pPr>
        <w:pStyle w:val="Boxed2Heading"/>
      </w:pPr>
      <w:r>
        <w:t>Consultation Questions</w:t>
      </w:r>
    </w:p>
    <w:p w14:paraId="6AD3C523" w14:textId="39C1345C" w:rsidR="00625F81" w:rsidRDefault="00625F81" w:rsidP="00625F81">
      <w:pPr>
        <w:pStyle w:val="Boxed2Text"/>
      </w:pPr>
      <w:r w:rsidRPr="00625F81">
        <w:rPr>
          <w:i/>
          <w:iCs/>
        </w:rPr>
        <w:t>Please provide case studies or examples to illustrate your views where possible.</w:t>
      </w:r>
    </w:p>
    <w:p w14:paraId="571A0771" w14:textId="0ED0928B" w:rsidR="00F9782C" w:rsidRDefault="001B5DF8" w:rsidP="00F9782C">
      <w:pPr>
        <w:pStyle w:val="Boxed2Text"/>
        <w:numPr>
          <w:ilvl w:val="0"/>
          <w:numId w:val="22"/>
        </w:numPr>
      </w:pPr>
      <w:r w:rsidRPr="001B5DF8">
        <w:t xml:space="preserve">Do the </w:t>
      </w:r>
      <w:r w:rsidR="00436636">
        <w:t>G</w:t>
      </w:r>
      <w:r w:rsidRPr="001B5DF8">
        <w:t xml:space="preserve">uidelines help policymakers adopt suitable international, </w:t>
      </w:r>
      <w:proofErr w:type="gramStart"/>
      <w:r w:rsidRPr="001B5DF8">
        <w:t>regional</w:t>
      </w:r>
      <w:proofErr w:type="gramEnd"/>
      <w:r w:rsidRPr="001B5DF8">
        <w:t xml:space="preserve"> and overseas standards that meet their objectives</w:t>
      </w:r>
      <w:r w:rsidR="004F4631" w:rsidRPr="004F4631">
        <w:t>?</w:t>
      </w:r>
      <w:r w:rsidR="00E41713">
        <w:t xml:space="preserve"> Why/why not</w:t>
      </w:r>
      <w:r w:rsidR="00930F45">
        <w:t>?</w:t>
      </w:r>
    </w:p>
    <w:p w14:paraId="33C03217" w14:textId="0C2DAD72" w:rsidR="00E512E8" w:rsidRPr="00E512E8" w:rsidRDefault="00A43328" w:rsidP="00E512E8">
      <w:pPr>
        <w:pStyle w:val="Boxed2Text"/>
        <w:numPr>
          <w:ilvl w:val="0"/>
          <w:numId w:val="22"/>
        </w:numPr>
      </w:pPr>
      <w:r w:rsidRPr="00A43328">
        <w:t xml:space="preserve">Do the </w:t>
      </w:r>
      <w:r w:rsidR="00436636">
        <w:t>G</w:t>
      </w:r>
      <w:r w:rsidRPr="00A43328">
        <w:t>uidelines help governments harmonise mandatory standards across Australia?</w:t>
      </w:r>
      <w:r>
        <w:t xml:space="preserve"> </w:t>
      </w:r>
      <w:r w:rsidR="00B42EFF">
        <w:t>If no</w:t>
      </w:r>
      <w:r w:rsidR="003D3499">
        <w:t xml:space="preserve">, </w:t>
      </w:r>
      <w:r w:rsidR="00E512E8">
        <w:t>h</w:t>
      </w:r>
      <w:r w:rsidR="00E512E8" w:rsidRPr="00E512E8">
        <w:t xml:space="preserve">ow would you change the </w:t>
      </w:r>
      <w:r w:rsidR="00436636">
        <w:t>G</w:t>
      </w:r>
      <w:r w:rsidR="00E512E8" w:rsidRPr="00E512E8">
        <w:t>uidelines to better harmonise mandatory standards?</w:t>
      </w:r>
    </w:p>
    <w:p w14:paraId="27DEE737" w14:textId="03FC6DB5" w:rsidR="00806FE5" w:rsidRDefault="00CF6C86" w:rsidP="00013AAE">
      <w:pPr>
        <w:pStyle w:val="Boxed2Text"/>
        <w:numPr>
          <w:ilvl w:val="0"/>
          <w:numId w:val="22"/>
        </w:numPr>
      </w:pPr>
      <w:r w:rsidRPr="00CF6C86">
        <w:t>What other principles or considerations should the Guidelines include?</w:t>
      </w:r>
    </w:p>
    <w:p w14:paraId="45011819" w14:textId="3A38712B" w:rsidR="00A26D65" w:rsidRDefault="007A564A" w:rsidP="00806FE5">
      <w:pPr>
        <w:pStyle w:val="Boxed2Text"/>
        <w:numPr>
          <w:ilvl w:val="0"/>
          <w:numId w:val="22"/>
        </w:numPr>
      </w:pPr>
      <w:r>
        <w:lastRenderedPageBreak/>
        <w:t>W</w:t>
      </w:r>
      <w:r w:rsidR="00B411F9" w:rsidRPr="00B411F9">
        <w:t>hat risks</w:t>
      </w:r>
      <w:r w:rsidR="00C345EE">
        <w:t xml:space="preserve">, </w:t>
      </w:r>
      <w:r w:rsidR="00B411F9" w:rsidRPr="00B411F9">
        <w:t>challenges</w:t>
      </w:r>
      <w:r w:rsidR="00C345EE">
        <w:t xml:space="preserve"> or unintended effects</w:t>
      </w:r>
      <w:r w:rsidR="00B411F9" w:rsidRPr="00B411F9">
        <w:t xml:space="preserve"> may come up</w:t>
      </w:r>
      <w:r>
        <w:t xml:space="preserve"> wh</w:t>
      </w:r>
      <w:r w:rsidRPr="00B411F9">
        <w:t xml:space="preserve">en applying the </w:t>
      </w:r>
      <w:r w:rsidR="00436636">
        <w:t>G</w:t>
      </w:r>
      <w:r w:rsidRPr="00B411F9">
        <w:t>uidelines</w:t>
      </w:r>
      <w:r w:rsidR="00B411F9" w:rsidRPr="00B411F9">
        <w:t>?</w:t>
      </w:r>
    </w:p>
    <w:p w14:paraId="582A4470" w14:textId="76741A76" w:rsidR="00A26D65" w:rsidRDefault="00A26D65" w:rsidP="00A26D65">
      <w:pPr>
        <w:pStyle w:val="Heading1"/>
      </w:pPr>
      <w:r>
        <w:t xml:space="preserve">Best Practice </w:t>
      </w:r>
      <w:r w:rsidR="009A1C4D">
        <w:t>Handbook</w:t>
      </w:r>
    </w:p>
    <w:p w14:paraId="6E73802A" w14:textId="4EF94924" w:rsidR="009F34E7" w:rsidRDefault="00451861" w:rsidP="00A26D65">
      <w:r w:rsidRPr="009A1587">
        <w:t xml:space="preserve">The Best Practice </w:t>
      </w:r>
      <w:r w:rsidR="009A1C4D">
        <w:t>Handbook</w:t>
      </w:r>
      <w:r w:rsidR="009A1C4D" w:rsidRPr="009A1587">
        <w:t xml:space="preserve"> </w:t>
      </w:r>
      <w:r w:rsidRPr="009A1587">
        <w:t xml:space="preserve">(the </w:t>
      </w:r>
      <w:r w:rsidR="009A1C4D">
        <w:t>Handbook</w:t>
      </w:r>
      <w:r w:rsidRPr="009A1587">
        <w:t>)</w:t>
      </w:r>
      <w:r w:rsidR="00A76CE7" w:rsidRPr="009A1587">
        <w:t xml:space="preserve"> </w:t>
      </w:r>
      <w:r w:rsidR="003E15EC" w:rsidRPr="003E15EC">
        <w:t xml:space="preserve">is intended to support the implementation of </w:t>
      </w:r>
      <w:r w:rsidR="00453CE2" w:rsidRPr="009A1587">
        <w:t xml:space="preserve">the </w:t>
      </w:r>
      <w:r w:rsidR="0075124F" w:rsidRPr="009A1587">
        <w:t xml:space="preserve">Competition Reform Guidelines at the Commonwealth level. This </w:t>
      </w:r>
      <w:r w:rsidR="009A1C4D">
        <w:t>Handbook</w:t>
      </w:r>
      <w:r w:rsidR="009A1C4D" w:rsidRPr="009A1587">
        <w:t xml:space="preserve"> </w:t>
      </w:r>
      <w:r w:rsidR="00453CE2" w:rsidRPr="009A1587">
        <w:t xml:space="preserve">will </w:t>
      </w:r>
      <w:r w:rsidR="0075124F" w:rsidRPr="009A1587">
        <w:t>assist Commonwealth policymakers and regulators to determine if, when and how existing risk assessments</w:t>
      </w:r>
      <w:r w:rsidR="00453CE2" w:rsidRPr="009A1587">
        <w:t>, standards,</w:t>
      </w:r>
      <w:r w:rsidR="0075124F" w:rsidRPr="009A1587">
        <w:t xml:space="preserve"> and</w:t>
      </w:r>
      <w:r w:rsidR="0075124F" w:rsidRPr="0075124F">
        <w:t xml:space="preserve"> conformity assessment procedures should be adopted </w:t>
      </w:r>
      <w:r w:rsidR="0075124F">
        <w:t>at the Commonwealth level</w:t>
      </w:r>
      <w:r w:rsidR="0075124F" w:rsidRPr="0075124F">
        <w:t xml:space="preserve">. </w:t>
      </w:r>
      <w:r w:rsidR="00347B66">
        <w:t xml:space="preserve">The </w:t>
      </w:r>
      <w:r w:rsidR="009A1C4D">
        <w:t xml:space="preserve">Handbook </w:t>
      </w:r>
      <w:r w:rsidR="00347B66">
        <w:t>can also assist s</w:t>
      </w:r>
      <w:r w:rsidR="0075124F" w:rsidRPr="0075124F">
        <w:t xml:space="preserve">tate policymakers </w:t>
      </w:r>
      <w:r w:rsidR="007B0D59">
        <w:t xml:space="preserve">to </w:t>
      </w:r>
      <w:r w:rsidR="002F7905">
        <w:t>navigate their own similar processes.</w:t>
      </w:r>
    </w:p>
    <w:p w14:paraId="6B510CB0" w14:textId="714062B0" w:rsidR="00C53151" w:rsidRDefault="00C53151" w:rsidP="00AA4BDB">
      <w:r w:rsidRPr="008545CD">
        <w:t xml:space="preserve">The </w:t>
      </w:r>
      <w:r w:rsidR="009A1C4D">
        <w:t>Handbook</w:t>
      </w:r>
      <w:r w:rsidR="009A1C4D" w:rsidRPr="008545CD">
        <w:t xml:space="preserve"> </w:t>
      </w:r>
      <w:r w:rsidRPr="008545CD">
        <w:t>outlines four</w:t>
      </w:r>
      <w:r>
        <w:t xml:space="preserve"> key</w:t>
      </w:r>
      <w:r w:rsidRPr="008545CD">
        <w:t xml:space="preserve"> questions</w:t>
      </w:r>
      <w:r>
        <w:t xml:space="preserve"> and </w:t>
      </w:r>
      <w:r w:rsidRPr="008545CD">
        <w:t xml:space="preserve">regulatory design principles that policymakers should consider </w:t>
      </w:r>
      <w:r>
        <w:t xml:space="preserve">when they are determining whether </w:t>
      </w:r>
      <w:r w:rsidRPr="008545CD">
        <w:t xml:space="preserve">mandatory standards should be used, and if so, how they should be implemented (see </w:t>
      </w:r>
      <w:r w:rsidR="00C1360C">
        <w:t>Figure 1</w:t>
      </w:r>
      <w:r w:rsidR="00645F14">
        <w:t xml:space="preserve"> </w:t>
      </w:r>
      <w:r w:rsidRPr="008545CD">
        <w:t>below</w:t>
      </w:r>
      <w:r>
        <w:t xml:space="preserve">). </w:t>
      </w:r>
    </w:p>
    <w:p w14:paraId="4859A8A5" w14:textId="77777777" w:rsidR="00C1360C" w:rsidRPr="00D74FDC" w:rsidRDefault="00C1360C" w:rsidP="00C1360C">
      <w:pPr>
        <w:jc w:val="center"/>
        <w:rPr>
          <w:b/>
          <w:bCs/>
        </w:rPr>
      </w:pPr>
      <w:r>
        <w:rPr>
          <w:b/>
          <w:bCs/>
        </w:rPr>
        <w:t xml:space="preserve">Figure 1: </w:t>
      </w:r>
      <w:r w:rsidRPr="006531EB">
        <w:rPr>
          <w:b/>
          <w:bCs/>
        </w:rPr>
        <w:t xml:space="preserve">Decision </w:t>
      </w:r>
      <w:r>
        <w:rPr>
          <w:b/>
          <w:bCs/>
        </w:rPr>
        <w:t>T</w:t>
      </w:r>
      <w:r w:rsidRPr="006531EB">
        <w:rPr>
          <w:b/>
          <w:bCs/>
        </w:rPr>
        <w:t xml:space="preserve">ree for </w:t>
      </w:r>
      <w:r>
        <w:rPr>
          <w:b/>
          <w:bCs/>
        </w:rPr>
        <w:t>P</w:t>
      </w:r>
      <w:r w:rsidRPr="006531EB">
        <w:rPr>
          <w:b/>
          <w:bCs/>
        </w:rPr>
        <w:t xml:space="preserve">olicymakers on </w:t>
      </w:r>
      <w:r>
        <w:rPr>
          <w:b/>
          <w:bCs/>
        </w:rPr>
        <w:t>S</w:t>
      </w:r>
      <w:r w:rsidRPr="006531EB">
        <w:rPr>
          <w:b/>
          <w:bCs/>
        </w:rPr>
        <w:t xml:space="preserve">tandards </w:t>
      </w:r>
      <w:r>
        <w:rPr>
          <w:b/>
          <w:bCs/>
        </w:rPr>
        <w:t>A</w:t>
      </w:r>
      <w:r w:rsidRPr="006531EB">
        <w:rPr>
          <w:b/>
          <w:bCs/>
        </w:rPr>
        <w:t xml:space="preserve">doption and </w:t>
      </w:r>
      <w:r>
        <w:rPr>
          <w:b/>
          <w:bCs/>
        </w:rPr>
        <w:t>D</w:t>
      </w:r>
      <w:r w:rsidRPr="006531EB">
        <w:rPr>
          <w:b/>
          <w:bCs/>
        </w:rPr>
        <w:t>evelopment</w:t>
      </w:r>
    </w:p>
    <w:p w14:paraId="5235BF60" w14:textId="22FDB0BE" w:rsidR="00C1360C" w:rsidRDefault="00C1360C" w:rsidP="00C1360C">
      <w:pPr>
        <w:jc w:val="center"/>
      </w:pPr>
      <w:r>
        <w:rPr>
          <w:noProof/>
        </w:rPr>
        <w:drawing>
          <wp:inline distT="0" distB="0" distL="0" distR="0" wp14:anchorId="79723569" wp14:editId="229CA551">
            <wp:extent cx="5759450" cy="3020695"/>
            <wp:effectExtent l="0" t="0" r="0" b="8255"/>
            <wp:docPr id="1886661405" name="Picture 1" descr="This chart shows a decision tree. The chart is taken from the Best Practice Handbook. The decision tree has 4 questions for policymakers that guide decisions related to standards adoption and development in regulation.">
              <a:extLst xmlns:a="http://schemas.openxmlformats.org/drawingml/2006/main">
                <a:ext uri="{FF2B5EF4-FFF2-40B4-BE49-F238E27FC236}">
                  <a16:creationId xmlns:a16="http://schemas.microsoft.com/office/drawing/2014/main" id="{19CCB880-CEE5-619D-2E5F-0BE3033A71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61405" name="Picture 1" descr="This chart shows a decision tree. The chart is taken from the Best Practice Handbook. The decision tree has 4 questions for policymakers that guide decisions related to standards adoption and development in regulation.">
                      <a:extLst>
                        <a:ext uri="{FF2B5EF4-FFF2-40B4-BE49-F238E27FC236}">
                          <a16:creationId xmlns:a16="http://schemas.microsoft.com/office/drawing/2014/main" id="{19CCB880-CEE5-619D-2E5F-0BE3033A71BF}"/>
                        </a:ext>
                      </a:extLst>
                    </pic:cNvPr>
                    <pic:cNvPicPr>
                      <a:picLocks noChangeAspect="1"/>
                    </pic:cNvPicPr>
                  </pic:nvPicPr>
                  <pic:blipFill>
                    <a:blip r:embed="rId18"/>
                    <a:stretch>
                      <a:fillRect/>
                    </a:stretch>
                  </pic:blipFill>
                  <pic:spPr>
                    <a:xfrm>
                      <a:off x="0" y="0"/>
                      <a:ext cx="5759450" cy="3020695"/>
                    </a:xfrm>
                    <a:prstGeom prst="rect">
                      <a:avLst/>
                    </a:prstGeom>
                  </pic:spPr>
                </pic:pic>
              </a:graphicData>
            </a:graphic>
          </wp:inline>
        </w:drawing>
      </w:r>
    </w:p>
    <w:p w14:paraId="4498C5D1" w14:textId="2885DA65" w:rsidR="00E93C60" w:rsidRDefault="00880D31" w:rsidP="00AA4BDB">
      <w:r w:rsidRPr="0091752F">
        <w:t>Th</w:t>
      </w:r>
      <w:r>
        <w:t>e</w:t>
      </w:r>
      <w:r w:rsidRPr="0091752F">
        <w:t xml:space="preserve"> </w:t>
      </w:r>
      <w:r w:rsidR="009A1C4D">
        <w:t>Handbook</w:t>
      </w:r>
      <w:r w:rsidR="009A1C4D" w:rsidRPr="0091752F">
        <w:t xml:space="preserve"> </w:t>
      </w:r>
      <w:r w:rsidRPr="0091752F">
        <w:t xml:space="preserve">aligns with the </w:t>
      </w:r>
      <w:r w:rsidR="00084789">
        <w:t xml:space="preserve">Commonwealth </w:t>
      </w:r>
      <w:r w:rsidR="001B7DAD">
        <w:t xml:space="preserve">Government’s </w:t>
      </w:r>
      <w:r w:rsidRPr="0091752F">
        <w:t>Regulatory Policy, Practice and Performance Framework to ensure targeted, risk-based, and proportionate regulation</w:t>
      </w:r>
      <w:r w:rsidR="003922AD">
        <w:t>.</w:t>
      </w:r>
      <w:r w:rsidR="003922AD">
        <w:rPr>
          <w:rStyle w:val="FootnoteReference"/>
        </w:rPr>
        <w:footnoteReference w:id="8"/>
      </w:r>
      <w:r w:rsidR="003922AD">
        <w:t xml:space="preserve"> </w:t>
      </w:r>
      <w:r w:rsidR="00C53151">
        <w:t>Question</w:t>
      </w:r>
      <w:r w:rsidR="0076516A">
        <w:t>s</w:t>
      </w:r>
      <w:r w:rsidR="00C53151">
        <w:t xml:space="preserve"> 1 and 2 </w:t>
      </w:r>
      <w:r w:rsidR="0076516A">
        <w:t xml:space="preserve">in Figure 1 </w:t>
      </w:r>
      <w:r w:rsidR="00E95D14">
        <w:t>ask</w:t>
      </w:r>
      <w:r w:rsidR="003F6A9F">
        <w:t xml:space="preserve"> </w:t>
      </w:r>
      <w:r w:rsidR="00406020">
        <w:t xml:space="preserve">policymakers </w:t>
      </w:r>
      <w:r w:rsidR="00E95D14">
        <w:t xml:space="preserve">to </w:t>
      </w:r>
      <w:r w:rsidR="00406020">
        <w:t>consider whether</w:t>
      </w:r>
      <w:r w:rsidR="00C53151">
        <w:t xml:space="preserve"> m</w:t>
      </w:r>
      <w:r w:rsidR="00C84141">
        <w:t xml:space="preserve">andatory standards </w:t>
      </w:r>
      <w:r w:rsidR="00AA4BDB">
        <w:t>are</w:t>
      </w:r>
      <w:r w:rsidR="00333DF1" w:rsidRPr="00333DF1">
        <w:t xml:space="preserve"> the </w:t>
      </w:r>
      <w:r w:rsidR="00406020">
        <w:t>right</w:t>
      </w:r>
      <w:r w:rsidR="00406020" w:rsidRPr="00333DF1">
        <w:t xml:space="preserve"> </w:t>
      </w:r>
      <w:r w:rsidR="00333DF1" w:rsidRPr="00333DF1">
        <w:t>tool to meet the regulatory objective</w:t>
      </w:r>
      <w:r w:rsidR="00AA4BDB">
        <w:t>.</w:t>
      </w:r>
      <w:r w:rsidR="00457484">
        <w:t xml:space="preserve"> </w:t>
      </w:r>
    </w:p>
    <w:p w14:paraId="2F7AFC10" w14:textId="35BA6024" w:rsidR="0084075D" w:rsidRDefault="00D06140" w:rsidP="00AA4BDB">
      <w:r w:rsidRPr="00457484">
        <w:t>Policymakers should</w:t>
      </w:r>
      <w:r w:rsidR="00E04706">
        <w:t xml:space="preserve"> use an evidence-based</w:t>
      </w:r>
      <w:r w:rsidR="00206F58">
        <w:t xml:space="preserve"> </w:t>
      </w:r>
      <w:r w:rsidR="00E04706">
        <w:t xml:space="preserve">approach to identify the </w:t>
      </w:r>
      <w:r w:rsidRPr="00457484">
        <w:t>policy that maximises the public benefit, while minimising the regulatory burden for individuals, businesses, and community organisations.</w:t>
      </w:r>
      <w:r>
        <w:t xml:space="preserve"> </w:t>
      </w:r>
      <w:r w:rsidR="00CA5C14" w:rsidRPr="0091752F">
        <w:t>Considering all policy options, including non</w:t>
      </w:r>
      <w:r w:rsidR="00E93C60">
        <w:noBreakHyphen/>
      </w:r>
      <w:r w:rsidR="00CA5C14" w:rsidRPr="0091752F">
        <w:t xml:space="preserve">regulatory ones, </w:t>
      </w:r>
      <w:r w:rsidR="001424D8">
        <w:t xml:space="preserve">will </w:t>
      </w:r>
      <w:r w:rsidR="00CA5C14" w:rsidRPr="0091752F">
        <w:t>help</w:t>
      </w:r>
      <w:r w:rsidR="001424D8">
        <w:t xml:space="preserve"> to limit</w:t>
      </w:r>
      <w:r w:rsidR="00CA5C14" w:rsidRPr="0091752F">
        <w:t xml:space="preserve"> </w:t>
      </w:r>
      <w:r w:rsidR="00CA5C14">
        <w:t xml:space="preserve">the </w:t>
      </w:r>
      <w:r w:rsidR="001424D8">
        <w:t>creation of excessive, ineffective, or poorly targeted regulation</w:t>
      </w:r>
      <w:r w:rsidR="00CA5C14" w:rsidRPr="0091752F">
        <w:t>.</w:t>
      </w:r>
    </w:p>
    <w:p w14:paraId="4622130A" w14:textId="7F5257E1" w:rsidR="00333DF1" w:rsidRPr="00C21E9F" w:rsidRDefault="00F32033" w:rsidP="00553281">
      <w:r>
        <w:t xml:space="preserve">If mandatory standards are </w:t>
      </w:r>
      <w:r w:rsidR="0020476F">
        <w:t xml:space="preserve">identified as </w:t>
      </w:r>
      <w:r w:rsidDel="008978C8">
        <w:t xml:space="preserve">the </w:t>
      </w:r>
      <w:r w:rsidR="008978C8">
        <w:t>right regulatory option</w:t>
      </w:r>
      <w:r>
        <w:t xml:space="preserve">, </w:t>
      </w:r>
      <w:r w:rsidDel="008978C8">
        <w:t>then</w:t>
      </w:r>
      <w:r w:rsidR="0057222B" w:rsidDel="008978C8">
        <w:t xml:space="preserve"> </w:t>
      </w:r>
      <w:r w:rsidR="0057222B">
        <w:t xml:space="preserve">Question 3 </w:t>
      </w:r>
      <w:r w:rsidR="008978C8">
        <w:t xml:space="preserve">prompts </w:t>
      </w:r>
      <w:r>
        <w:t xml:space="preserve">policymakers </w:t>
      </w:r>
      <w:r w:rsidR="008978C8">
        <w:t xml:space="preserve">to </w:t>
      </w:r>
      <w:r w:rsidR="002B4312">
        <w:t>co</w:t>
      </w:r>
      <w:r w:rsidR="002B4312" w:rsidRPr="00583133">
        <w:t xml:space="preserve">nsider </w:t>
      </w:r>
      <w:r w:rsidR="002B4312">
        <w:t>all appropriate</w:t>
      </w:r>
      <w:r w:rsidR="002B4312" w:rsidRPr="00583133">
        <w:t xml:space="preserve"> existing standards</w:t>
      </w:r>
      <w:r w:rsidR="002B4312">
        <w:t xml:space="preserve"> as compliance pathways</w:t>
      </w:r>
      <w:r w:rsidR="002B4312" w:rsidRPr="00583133">
        <w:t>,</w:t>
      </w:r>
      <w:r w:rsidR="002B4312">
        <w:t xml:space="preserve"> </w:t>
      </w:r>
      <w:r w:rsidR="003823EE" w:rsidRPr="003823EE">
        <w:rPr>
          <w:bCs/>
        </w:rPr>
        <w:lastRenderedPageBreak/>
        <w:t xml:space="preserve">including international, regional, </w:t>
      </w:r>
      <w:proofErr w:type="gramStart"/>
      <w:r w:rsidR="003823EE" w:rsidRPr="003823EE">
        <w:rPr>
          <w:bCs/>
        </w:rPr>
        <w:t>Australian</w:t>
      </w:r>
      <w:proofErr w:type="gramEnd"/>
      <w:r w:rsidR="003823EE" w:rsidRPr="003823EE">
        <w:rPr>
          <w:bCs/>
        </w:rPr>
        <w:t xml:space="preserve"> or overseas standards</w:t>
      </w:r>
      <w:r w:rsidR="00553281" w:rsidRPr="00C21E9F">
        <w:t>. This reduce</w:t>
      </w:r>
      <w:r w:rsidR="003D625A">
        <w:t>s</w:t>
      </w:r>
      <w:r w:rsidR="00553281" w:rsidRPr="00C21E9F">
        <w:t xml:space="preserve"> regulatory burden</w:t>
      </w:r>
      <w:r w:rsidR="001D7210">
        <w:t xml:space="preserve">, </w:t>
      </w:r>
      <w:r w:rsidR="00553281" w:rsidRPr="00C21E9F">
        <w:t>lowe</w:t>
      </w:r>
      <w:r w:rsidR="001D7210">
        <w:t>rs</w:t>
      </w:r>
      <w:r w:rsidR="00553281" w:rsidRPr="00C21E9F">
        <w:t xml:space="preserve"> </w:t>
      </w:r>
      <w:r w:rsidR="00333DF1" w:rsidRPr="00C21E9F">
        <w:t>barriers to trade, impro</w:t>
      </w:r>
      <w:r w:rsidR="001D7210">
        <w:t>ves</w:t>
      </w:r>
      <w:r w:rsidR="00333DF1" w:rsidRPr="00C21E9F">
        <w:t xml:space="preserve"> market access, and </w:t>
      </w:r>
      <w:r w:rsidR="00C21E9F" w:rsidRPr="00C21E9F">
        <w:t>minimis</w:t>
      </w:r>
      <w:r w:rsidR="001D7210">
        <w:t>es</w:t>
      </w:r>
      <w:r w:rsidR="00C21E9F" w:rsidRPr="00C21E9F">
        <w:t xml:space="preserve"> adaptive costs for industry</w:t>
      </w:r>
      <w:r w:rsidR="00333DF1" w:rsidRPr="00C21E9F">
        <w:t xml:space="preserve">. </w:t>
      </w:r>
      <w:r w:rsidR="00430658">
        <w:t xml:space="preserve">Greater </w:t>
      </w:r>
      <w:r w:rsidR="007D35F1" w:rsidRPr="00753027">
        <w:t xml:space="preserve">recognition of </w:t>
      </w:r>
      <w:r w:rsidR="009302E2">
        <w:t xml:space="preserve">suitable existing </w:t>
      </w:r>
      <w:r w:rsidR="007D35F1" w:rsidRPr="00753027">
        <w:t xml:space="preserve">standards will </w:t>
      </w:r>
      <w:r w:rsidR="008D31A9">
        <w:t xml:space="preserve">also </w:t>
      </w:r>
      <w:r w:rsidR="007D35F1" w:rsidRPr="00753027">
        <w:t xml:space="preserve">allow more products to enter the Australian market – </w:t>
      </w:r>
      <w:r w:rsidR="00393DFA">
        <w:t>improving</w:t>
      </w:r>
      <w:r w:rsidR="007D35F1" w:rsidRPr="00753027">
        <w:t xml:space="preserve"> product availability, </w:t>
      </w:r>
      <w:r w:rsidR="0058395A">
        <w:t xml:space="preserve">choice, </w:t>
      </w:r>
      <w:r w:rsidR="007D35F1" w:rsidRPr="00753027">
        <w:t>and safety for Australian consumers.</w:t>
      </w:r>
    </w:p>
    <w:p w14:paraId="65795052" w14:textId="17A9146D" w:rsidR="00AF6039" w:rsidRDefault="006552DE" w:rsidP="00A26D65">
      <w:r w:rsidRPr="00C21E9F">
        <w:t>The Productivity Commission has noted that improving the adoption of international</w:t>
      </w:r>
      <w:r w:rsidRPr="006552DE">
        <w:t xml:space="preserve"> standards will ensure consumers have greater choice of products, businesses face reduced compliance costs, and governments have lower administrative costs.</w:t>
      </w:r>
      <w:r w:rsidR="000873D3">
        <w:rPr>
          <w:rStyle w:val="FootnoteReference"/>
        </w:rPr>
        <w:footnoteReference w:id="9"/>
      </w:r>
      <w:r w:rsidRPr="006552DE">
        <w:t xml:space="preserve"> For example, </w:t>
      </w:r>
      <w:r w:rsidR="000873D3">
        <w:t xml:space="preserve">the ACCC estimates </w:t>
      </w:r>
      <w:r w:rsidRPr="006552DE">
        <w:t xml:space="preserve">recent legislative amendments to </w:t>
      </w:r>
      <w:r w:rsidR="00A663DE">
        <w:t xml:space="preserve">allow for greater adoption of overseas </w:t>
      </w:r>
      <w:r w:rsidRPr="006552DE">
        <w:t xml:space="preserve">product safety standards </w:t>
      </w:r>
      <w:r w:rsidR="000873D3">
        <w:t>could</w:t>
      </w:r>
      <w:r w:rsidRPr="006552DE">
        <w:t xml:space="preserve"> lead to economy-wide business savings of at least $500</w:t>
      </w:r>
      <w:r w:rsidR="00A663DE">
        <w:t> </w:t>
      </w:r>
      <w:r w:rsidRPr="006552DE">
        <w:t>million per year on regulatory costs alone.</w:t>
      </w:r>
      <w:r w:rsidR="000873D3">
        <w:rPr>
          <w:rStyle w:val="FootnoteReference"/>
        </w:rPr>
        <w:footnoteReference w:id="10"/>
      </w:r>
    </w:p>
    <w:p w14:paraId="389391AC" w14:textId="01BC60C8" w:rsidR="0089043A" w:rsidRDefault="00BA42B7" w:rsidP="00CE1801">
      <w:r w:rsidRPr="003A4192">
        <w:t xml:space="preserve">In some cases, existing standards may not suit Australia due to environmental, climatic, geographic, or national security reasons. </w:t>
      </w:r>
      <w:r w:rsidR="0062561D">
        <w:t>In answering Question 4, p</w:t>
      </w:r>
      <w:r w:rsidR="00FA2821" w:rsidRPr="003A4192">
        <w:t xml:space="preserve">olicymakers can deviate from </w:t>
      </w:r>
      <w:r w:rsidR="00FA2821">
        <w:t>existing standards where there is clear evidence this a</w:t>
      </w:r>
      <w:r w:rsidR="006A09A7">
        <w:t>pproach will result in a net public benefit</w:t>
      </w:r>
      <w:r w:rsidR="00FA2821" w:rsidRPr="003A4192">
        <w:t xml:space="preserve">. Deviations </w:t>
      </w:r>
      <w:r w:rsidR="008022FF">
        <w:t xml:space="preserve">from existing standards </w:t>
      </w:r>
      <w:r w:rsidR="00FA2821" w:rsidRPr="003A4192">
        <w:t xml:space="preserve">should be </w:t>
      </w:r>
      <w:r w:rsidR="00731F99">
        <w:t xml:space="preserve">the </w:t>
      </w:r>
      <w:r w:rsidR="00FA2821" w:rsidRPr="003A4192">
        <w:t>minim</w:t>
      </w:r>
      <w:r w:rsidR="00731F99">
        <w:t>um required</w:t>
      </w:r>
      <w:r w:rsidR="00FA2821" w:rsidRPr="003A4192">
        <w:t xml:space="preserve"> to meet regulatory objectives and </w:t>
      </w:r>
      <w:r w:rsidR="00C77850">
        <w:t>suit the</w:t>
      </w:r>
      <w:r w:rsidR="00C77850" w:rsidRPr="003A4192">
        <w:t xml:space="preserve"> </w:t>
      </w:r>
      <w:r w:rsidR="00FA2821" w:rsidRPr="003A4192">
        <w:t xml:space="preserve">Australian </w:t>
      </w:r>
      <w:r w:rsidR="00C77850">
        <w:t>context</w:t>
      </w:r>
      <w:r w:rsidR="008022FF">
        <w:t>. This will help</w:t>
      </w:r>
      <w:r w:rsidR="00FA2821" w:rsidRPr="003A4192">
        <w:t xml:space="preserve"> redu</w:t>
      </w:r>
      <w:r w:rsidR="008022FF">
        <w:t>ce</w:t>
      </w:r>
      <w:r w:rsidR="00FA2821" w:rsidRPr="003A4192">
        <w:t xml:space="preserve"> business adaptation costs.</w:t>
      </w:r>
    </w:p>
    <w:p w14:paraId="38DA6B0D" w14:textId="036C3208" w:rsidR="005249BB" w:rsidRPr="00864301" w:rsidRDefault="009976C9" w:rsidP="00864301">
      <w:r>
        <w:t>T</w:t>
      </w:r>
      <w:r w:rsidR="00DE23F6">
        <w:t xml:space="preserve">he </w:t>
      </w:r>
      <w:r w:rsidR="009A1C4D">
        <w:t xml:space="preserve">Handbook </w:t>
      </w:r>
      <w:r>
        <w:t xml:space="preserve">also </w:t>
      </w:r>
      <w:r w:rsidR="001E7397">
        <w:t>provides</w:t>
      </w:r>
      <w:r w:rsidR="00356E6D">
        <w:t xml:space="preserve"> eleven </w:t>
      </w:r>
      <w:r w:rsidR="001B42FA" w:rsidRPr="001B42FA">
        <w:t xml:space="preserve">key considerations and policy </w:t>
      </w:r>
      <w:r w:rsidR="004A1021">
        <w:t xml:space="preserve">tools </w:t>
      </w:r>
      <w:r w:rsidR="00F32DAE">
        <w:t>for</w:t>
      </w:r>
      <w:r w:rsidR="001B42FA" w:rsidRPr="001B42FA">
        <w:t xml:space="preserve"> policymakers</w:t>
      </w:r>
      <w:r w:rsidR="001B42FA" w:rsidRPr="001B42FA" w:rsidDel="00F32DAE">
        <w:t xml:space="preserve"> </w:t>
      </w:r>
      <w:r w:rsidR="00C1360C">
        <w:t>when</w:t>
      </w:r>
      <w:r w:rsidR="00F32DAE" w:rsidRPr="00CF2A99">
        <w:t xml:space="preserve"> creating and implementing mandatory standards. For instance, </w:t>
      </w:r>
      <w:r w:rsidR="002E3523">
        <w:t>the Handbook recommends</w:t>
      </w:r>
      <w:r w:rsidR="00A644CB">
        <w:t xml:space="preserve"> </w:t>
      </w:r>
      <w:r w:rsidR="00F32DAE" w:rsidRPr="00CF2A99">
        <w:t>new standards should have sunset clauses and undergo regular reviews to stay relevant and minimi</w:t>
      </w:r>
      <w:r w:rsidR="005F76DC">
        <w:t>s</w:t>
      </w:r>
      <w:r w:rsidR="00F32DAE" w:rsidRPr="00CF2A99">
        <w:t>e trade restrictions</w:t>
      </w:r>
      <w:r w:rsidR="006779ED">
        <w:t xml:space="preserve"> (Policy Tool 6)</w:t>
      </w:r>
      <w:r w:rsidR="00F32DAE" w:rsidRPr="00CF2A99">
        <w:t xml:space="preserve">. Similarly, using ambulatory referencing (Policy Tool 7) and performance-based criteria (Policy Tool 8) </w:t>
      </w:r>
      <w:r w:rsidR="00632CD3">
        <w:t xml:space="preserve">should help </w:t>
      </w:r>
      <w:r w:rsidR="00F32DAE" w:rsidRPr="00CF2A99">
        <w:t>foster innovation, increase flexibility, enhance consumer safety, and reduce regulatory burden.</w:t>
      </w:r>
    </w:p>
    <w:p w14:paraId="76B4B3CB" w14:textId="6D60E267" w:rsidR="00F9782C" w:rsidRDefault="00F9782C" w:rsidP="00F9782C">
      <w:pPr>
        <w:pStyle w:val="Boxed2Heading"/>
      </w:pPr>
      <w:r>
        <w:t>Consultation Questions</w:t>
      </w:r>
    </w:p>
    <w:p w14:paraId="07D8F282" w14:textId="47684824" w:rsidR="00625F81" w:rsidRDefault="00625F81" w:rsidP="00625F81">
      <w:pPr>
        <w:pStyle w:val="Boxed2Text"/>
      </w:pPr>
      <w:r w:rsidRPr="00625F81">
        <w:rPr>
          <w:i/>
          <w:iCs/>
        </w:rPr>
        <w:t>Please provide case studies or examples to illustrate your views where possible.</w:t>
      </w:r>
    </w:p>
    <w:p w14:paraId="141F9B9E" w14:textId="56AE18FC" w:rsidR="005F1AC5" w:rsidRDefault="00603749" w:rsidP="00077736">
      <w:pPr>
        <w:pStyle w:val="Boxed2Text"/>
        <w:numPr>
          <w:ilvl w:val="0"/>
          <w:numId w:val="22"/>
        </w:numPr>
      </w:pPr>
      <w:r w:rsidRPr="00603749">
        <w:t>Does the Best Practice Handbook encourage policymakers to use suitable international, regional, and overseas standards? Why/Why not?</w:t>
      </w:r>
    </w:p>
    <w:p w14:paraId="68AFFFF5" w14:textId="2B6A084A" w:rsidR="00493C2F" w:rsidRDefault="00311D0D" w:rsidP="006150D7">
      <w:pPr>
        <w:pStyle w:val="Boxed2Text"/>
        <w:numPr>
          <w:ilvl w:val="0"/>
          <w:numId w:val="22"/>
        </w:numPr>
      </w:pPr>
      <w:r w:rsidRPr="00311D0D">
        <w:t>Does the Handbook help policymakers harmonise mandatory standards across Australia?</w:t>
      </w:r>
      <w:r w:rsidR="00493C2F">
        <w:t xml:space="preserve"> If not, </w:t>
      </w:r>
      <w:r w:rsidR="00570C3C">
        <w:t>h</w:t>
      </w:r>
      <w:r w:rsidR="00570C3C" w:rsidRPr="00570C3C">
        <w:t>ow would you change the handbook to better harmonise mandatory standards?</w:t>
      </w:r>
    </w:p>
    <w:p w14:paraId="4886F240" w14:textId="4BCC5DED" w:rsidR="00F4720B" w:rsidRPr="009E2CDD" w:rsidRDefault="00130A07" w:rsidP="00F4720B">
      <w:pPr>
        <w:pStyle w:val="Boxed2Text"/>
        <w:numPr>
          <w:ilvl w:val="0"/>
          <w:numId w:val="22"/>
        </w:numPr>
      </w:pPr>
      <w:r w:rsidRPr="00130A07">
        <w:t>What other regulatory design questions or tools should the Handbook include?</w:t>
      </w:r>
    </w:p>
    <w:p w14:paraId="6FEF81FE" w14:textId="37F5840F" w:rsidR="00C53151" w:rsidRPr="00BA4016" w:rsidRDefault="007A564A" w:rsidP="00BA4016">
      <w:pPr>
        <w:pStyle w:val="Boxed2Text"/>
        <w:numPr>
          <w:ilvl w:val="0"/>
          <w:numId w:val="22"/>
        </w:numPr>
      </w:pPr>
      <w:r>
        <w:t>W</w:t>
      </w:r>
      <w:r w:rsidR="00BA4016" w:rsidRPr="00B411F9">
        <w:t>hat risks</w:t>
      </w:r>
      <w:r w:rsidR="00BA4016">
        <w:t xml:space="preserve">, </w:t>
      </w:r>
      <w:r w:rsidR="00BA4016" w:rsidRPr="00B411F9">
        <w:t>challenges</w:t>
      </w:r>
      <w:r>
        <w:t xml:space="preserve"> </w:t>
      </w:r>
      <w:r w:rsidR="00BA4016">
        <w:t>or unintended effects</w:t>
      </w:r>
      <w:r w:rsidR="00BA4016" w:rsidRPr="00B411F9">
        <w:t xml:space="preserve"> may come up</w:t>
      </w:r>
      <w:r>
        <w:t xml:space="preserve"> when using the Handbook</w:t>
      </w:r>
      <w:r w:rsidR="00BA4016" w:rsidRPr="00B411F9">
        <w:t>?</w:t>
      </w:r>
      <w:r w:rsidR="0044167F">
        <w:t xml:space="preserve"> </w:t>
      </w:r>
    </w:p>
    <w:p w14:paraId="4CD4BC85" w14:textId="061FC7D7" w:rsidR="00A92F4A" w:rsidRDefault="00A26D65" w:rsidP="00BE48F6">
      <w:pPr>
        <w:pStyle w:val="Heading1"/>
      </w:pPr>
      <w:r>
        <w:t xml:space="preserve">Priority </w:t>
      </w:r>
      <w:r w:rsidR="00E57277">
        <w:t>S</w:t>
      </w:r>
      <w:r w:rsidR="00856A81">
        <w:t>ectors</w:t>
      </w:r>
      <w:r w:rsidR="00CD0611">
        <w:t xml:space="preserve"> for </w:t>
      </w:r>
      <w:r w:rsidR="00E57277">
        <w:t>R</w:t>
      </w:r>
      <w:r w:rsidR="00CD0611">
        <w:t>eform</w:t>
      </w:r>
    </w:p>
    <w:p w14:paraId="067796D6" w14:textId="593A2B24" w:rsidR="006B57DD" w:rsidRDefault="00A92F4A" w:rsidP="006B57DD">
      <w:r>
        <w:t xml:space="preserve">Once the Guidelines and </w:t>
      </w:r>
      <w:r w:rsidR="009A1C4D">
        <w:t xml:space="preserve">Handbook </w:t>
      </w:r>
      <w:r>
        <w:t xml:space="preserve">have been finalised, </w:t>
      </w:r>
      <w:r w:rsidR="001D4C51">
        <w:t>CFFR</w:t>
      </w:r>
      <w:r w:rsidR="00F37339">
        <w:t xml:space="preserve"> will work</w:t>
      </w:r>
      <w:r w:rsidR="00BE48F6">
        <w:t xml:space="preserve"> to </w:t>
      </w:r>
      <w:r>
        <w:t xml:space="preserve">identify </w:t>
      </w:r>
      <w:r w:rsidR="00FA30BB">
        <w:t xml:space="preserve">common </w:t>
      </w:r>
      <w:r w:rsidR="00CD0611">
        <w:t>p</w:t>
      </w:r>
      <w:r w:rsidR="007E0E11">
        <w:t xml:space="preserve">riority </w:t>
      </w:r>
      <w:r w:rsidR="00CD0611">
        <w:t>se</w:t>
      </w:r>
      <w:r w:rsidR="007E0E11">
        <w:t>ctors</w:t>
      </w:r>
      <w:r w:rsidR="00FB7633">
        <w:t xml:space="preserve"> for reform</w:t>
      </w:r>
      <w:r w:rsidR="00BE48F6">
        <w:t xml:space="preserve">. Under the </w:t>
      </w:r>
      <w:r w:rsidR="00B517B2">
        <w:t xml:space="preserve">draft </w:t>
      </w:r>
      <w:r w:rsidR="00BE48F6">
        <w:t>Guidelines</w:t>
      </w:r>
      <w:r w:rsidR="00B517B2">
        <w:t xml:space="preserve"> (see Clause 1.a.</w:t>
      </w:r>
      <w:r w:rsidR="006D4455">
        <w:t xml:space="preserve"> </w:t>
      </w:r>
      <w:r w:rsidR="00B517B2">
        <w:t xml:space="preserve">to </w:t>
      </w:r>
      <w:r w:rsidR="006D4455">
        <w:t>1.n.)</w:t>
      </w:r>
      <w:r w:rsidR="00BE48F6">
        <w:t xml:space="preserve">, </w:t>
      </w:r>
      <w:r w:rsidR="00E9093F">
        <w:t xml:space="preserve">all </w:t>
      </w:r>
      <w:r w:rsidR="007628BD">
        <w:lastRenderedPageBreak/>
        <w:t>g</w:t>
      </w:r>
      <w:r w:rsidR="00E9093F">
        <w:t>overnments</w:t>
      </w:r>
      <w:r w:rsidR="00BE48F6">
        <w:t xml:space="preserve"> will </w:t>
      </w:r>
      <w:r w:rsidR="007E6BB0">
        <w:t xml:space="preserve">review and update existing mandatory standards in </w:t>
      </w:r>
      <w:r w:rsidR="005146BC">
        <w:t>p</w:t>
      </w:r>
      <w:r w:rsidR="007E6BB0">
        <w:t xml:space="preserve">riority </w:t>
      </w:r>
      <w:r w:rsidR="005146BC">
        <w:t>s</w:t>
      </w:r>
      <w:r w:rsidR="007E6BB0">
        <w:t>ectors</w:t>
      </w:r>
      <w:r w:rsidR="00033157">
        <w:t xml:space="preserve"> to support</w:t>
      </w:r>
      <w:r w:rsidR="003620B8">
        <w:t xml:space="preserve"> </w:t>
      </w:r>
      <w:r w:rsidR="00905CDE">
        <w:t>regulatory harmonisation across Australia</w:t>
      </w:r>
      <w:r w:rsidR="00EC5EF4">
        <w:t>. This sectoral approach</w:t>
      </w:r>
      <w:r w:rsidR="00EC5EF4" w:rsidDel="00CC6738">
        <w:t xml:space="preserve"> </w:t>
      </w:r>
      <w:r w:rsidR="00CC6738">
        <w:t>allows</w:t>
      </w:r>
      <w:r w:rsidR="00FA30BB">
        <w:t xml:space="preserve"> </w:t>
      </w:r>
      <w:r w:rsidR="00E9093F">
        <w:t xml:space="preserve">all </w:t>
      </w:r>
      <w:r w:rsidR="007628BD">
        <w:t>g</w:t>
      </w:r>
      <w:r w:rsidR="00E9093F">
        <w:t>overnments</w:t>
      </w:r>
      <w:r w:rsidR="007B5C4C">
        <w:t xml:space="preserve"> to target</w:t>
      </w:r>
      <w:r w:rsidR="003E3721">
        <w:t xml:space="preserve"> their efforts </w:t>
      </w:r>
      <w:r w:rsidR="00123CDB">
        <w:t>at</w:t>
      </w:r>
      <w:r w:rsidR="003E3721">
        <w:t xml:space="preserve"> the highest value reform</w:t>
      </w:r>
      <w:r w:rsidR="00123CDB">
        <w:t>s</w:t>
      </w:r>
      <w:r w:rsidR="000E355B">
        <w:t xml:space="preserve"> – where </w:t>
      </w:r>
      <w:r w:rsidR="008D41D6">
        <w:t xml:space="preserve">there are the largest regulatory barriers </w:t>
      </w:r>
      <w:r w:rsidR="008D41D6" w:rsidRPr="008D41D6">
        <w:t xml:space="preserve">to the adoption of </w:t>
      </w:r>
      <w:r w:rsidR="008D41D6">
        <w:t xml:space="preserve">international and </w:t>
      </w:r>
      <w:r w:rsidR="008D41D6" w:rsidRPr="008D41D6">
        <w:t>overseas standard</w:t>
      </w:r>
      <w:r w:rsidR="00C247D6">
        <w:t>s</w:t>
      </w:r>
      <w:r w:rsidR="000E355B">
        <w:t xml:space="preserve"> – </w:t>
      </w:r>
      <w:r w:rsidR="00C247D6">
        <w:t xml:space="preserve">to </w:t>
      </w:r>
      <w:r w:rsidR="00EF598C">
        <w:t xml:space="preserve">improve competition </w:t>
      </w:r>
      <w:r w:rsidR="00103F59">
        <w:t xml:space="preserve">and raise living standards </w:t>
      </w:r>
      <w:r w:rsidR="00EF598C">
        <w:t>across Australia</w:t>
      </w:r>
      <w:r w:rsidR="00123CDB">
        <w:t xml:space="preserve">. </w:t>
      </w:r>
    </w:p>
    <w:tbl>
      <w:tblPr>
        <w:tblStyle w:val="TableGrid"/>
        <w:tblpPr w:leftFromText="180" w:rightFromText="180" w:vertAnchor="text" w:tblpY="12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6B57DD" w14:paraId="44126151" w14:textId="77777777" w:rsidTr="002B67E0">
        <w:trPr>
          <w:trHeight w:val="1191"/>
        </w:trPr>
        <w:tc>
          <w:tcPr>
            <w:tcW w:w="9060" w:type="dxa"/>
            <w:gridSpan w:val="2"/>
            <w:shd w:val="clear" w:color="auto" w:fill="E6F4FC" w:themeFill="accent1" w:themeFillTint="33"/>
          </w:tcPr>
          <w:p w14:paraId="2956DAF4" w14:textId="57EE5797" w:rsidR="00296531" w:rsidRPr="006B57DD" w:rsidRDefault="00FE4635" w:rsidP="004C28BE">
            <w:pPr>
              <w:rPr>
                <w:b/>
                <w:bCs/>
                <w:sz w:val="24"/>
                <w:szCs w:val="24"/>
              </w:rPr>
            </w:pPr>
            <w:r>
              <w:rPr>
                <w:b/>
                <w:bCs/>
                <w:sz w:val="24"/>
                <w:szCs w:val="24"/>
              </w:rPr>
              <w:t xml:space="preserve">Box </w:t>
            </w:r>
            <w:r w:rsidR="0090794C">
              <w:rPr>
                <w:b/>
                <w:bCs/>
                <w:sz w:val="24"/>
                <w:szCs w:val="24"/>
              </w:rPr>
              <w:t>2</w:t>
            </w:r>
            <w:r>
              <w:rPr>
                <w:b/>
                <w:bCs/>
                <w:sz w:val="24"/>
                <w:szCs w:val="24"/>
              </w:rPr>
              <w:t xml:space="preserve">: </w:t>
            </w:r>
            <w:r w:rsidR="00296531" w:rsidRPr="006B57DD">
              <w:rPr>
                <w:b/>
                <w:bCs/>
                <w:sz w:val="24"/>
                <w:szCs w:val="24"/>
              </w:rPr>
              <w:t>Potential List of Priority Reform Sectors</w:t>
            </w:r>
          </w:p>
          <w:p w14:paraId="1304D738" w14:textId="505465ED" w:rsidR="00296531" w:rsidRDefault="00412700" w:rsidP="004C28BE">
            <w:r w:rsidRPr="00412700">
              <w:t>The Productivity Commission’s 2024 National Competition Policy report considered several sectors for potential reform identified by governments, including</w:t>
            </w:r>
            <w:r w:rsidR="00296531" w:rsidRPr="00296531">
              <w:t>:</w:t>
            </w:r>
            <w:r w:rsidR="00296531" w:rsidRPr="00296531">
              <w:rPr>
                <w:vertAlign w:val="superscript"/>
              </w:rPr>
              <w:footnoteReference w:id="11"/>
            </w:r>
            <w:r w:rsidR="00296531" w:rsidRPr="00296531">
              <w:t xml:space="preserve"> </w:t>
            </w:r>
          </w:p>
        </w:tc>
      </w:tr>
      <w:tr w:rsidR="004C28BE" w14:paraId="53529A40" w14:textId="77777777" w:rsidTr="002B67E0">
        <w:trPr>
          <w:trHeight w:val="1982"/>
        </w:trPr>
        <w:tc>
          <w:tcPr>
            <w:tcW w:w="4530" w:type="dxa"/>
            <w:shd w:val="clear" w:color="auto" w:fill="E6F4FC" w:themeFill="accent1" w:themeFillTint="33"/>
          </w:tcPr>
          <w:p w14:paraId="26DE3515" w14:textId="5DDA4B57" w:rsidR="002A3315" w:rsidRDefault="00DA093B" w:rsidP="004C28BE">
            <w:pPr>
              <w:pStyle w:val="Bullet1"/>
            </w:pPr>
            <w:bookmarkStart w:id="13" w:name="_Hlk197590524"/>
            <w:r>
              <w:t>H</w:t>
            </w:r>
            <w:r w:rsidR="002A3315">
              <w:t xml:space="preserve">ealth devices </w:t>
            </w:r>
          </w:p>
          <w:p w14:paraId="35A72306" w14:textId="346D1675" w:rsidR="002A3315" w:rsidRDefault="002A3315" w:rsidP="004C28BE">
            <w:pPr>
              <w:pStyle w:val="Bullet1"/>
            </w:pPr>
            <w:r>
              <w:t xml:space="preserve">Food safety </w:t>
            </w:r>
          </w:p>
          <w:p w14:paraId="67F76017" w14:textId="58035A7F" w:rsidR="002A3315" w:rsidRDefault="002A3315" w:rsidP="004C28BE">
            <w:pPr>
              <w:pStyle w:val="Bullet1"/>
            </w:pPr>
            <w:r>
              <w:t xml:space="preserve">Product safety </w:t>
            </w:r>
          </w:p>
          <w:p w14:paraId="2422D854" w14:textId="13B3ABBB" w:rsidR="002A3315" w:rsidRDefault="002A3315" w:rsidP="004C28BE">
            <w:pPr>
              <w:pStyle w:val="Bullet1"/>
            </w:pPr>
            <w:r>
              <w:t xml:space="preserve">Batteries, EV charging, gas, and hydrogen </w:t>
            </w:r>
          </w:p>
        </w:tc>
        <w:tc>
          <w:tcPr>
            <w:tcW w:w="4530" w:type="dxa"/>
            <w:shd w:val="clear" w:color="auto" w:fill="E6F4FC" w:themeFill="accent1" w:themeFillTint="33"/>
          </w:tcPr>
          <w:p w14:paraId="1A314ABA" w14:textId="2F269B12" w:rsidR="002A3315" w:rsidRDefault="002A3315" w:rsidP="004C28BE">
            <w:pPr>
              <w:pStyle w:val="Bullet1"/>
            </w:pPr>
            <w:r>
              <w:t xml:space="preserve">Building and construction </w:t>
            </w:r>
          </w:p>
          <w:p w14:paraId="700C932A" w14:textId="69773842" w:rsidR="002A3315" w:rsidRDefault="002A3315" w:rsidP="004C28BE">
            <w:pPr>
              <w:pStyle w:val="Bullet1"/>
            </w:pPr>
            <w:r>
              <w:t>Data and digital</w:t>
            </w:r>
          </w:p>
          <w:p w14:paraId="2D76AB0B" w14:textId="1DB62C12" w:rsidR="002A3315" w:rsidRDefault="002A3315" w:rsidP="004C28BE">
            <w:pPr>
              <w:pStyle w:val="Bullet1"/>
            </w:pPr>
            <w:r>
              <w:t>Agricultural product</w:t>
            </w:r>
          </w:p>
          <w:p w14:paraId="6E264F07" w14:textId="6FD6F3C6" w:rsidR="002A3315" w:rsidRDefault="002A3315" w:rsidP="004C28BE">
            <w:pPr>
              <w:pStyle w:val="Bullet1"/>
              <w:spacing w:after="0"/>
            </w:pPr>
            <w:r>
              <w:t>Transport and manufacturing</w:t>
            </w:r>
          </w:p>
        </w:tc>
      </w:tr>
      <w:tr w:rsidR="004C28BE" w14:paraId="1E42A96A" w14:textId="77777777" w:rsidTr="004C28BE">
        <w:trPr>
          <w:trHeight w:val="779"/>
        </w:trPr>
        <w:tc>
          <w:tcPr>
            <w:tcW w:w="9060" w:type="dxa"/>
            <w:gridSpan w:val="2"/>
            <w:shd w:val="clear" w:color="auto" w:fill="E6F4FC" w:themeFill="accent1" w:themeFillTint="33"/>
          </w:tcPr>
          <w:p w14:paraId="7A4AAFAE" w14:textId="61322466" w:rsidR="002A3315" w:rsidRDefault="002A3315" w:rsidP="004C28BE">
            <w:r>
              <w:t>B</w:t>
            </w:r>
            <w:r w:rsidRPr="00296531">
              <w:t>ased on previous independent reviews and government reports, other priority reform sectors could include:</w:t>
            </w:r>
          </w:p>
        </w:tc>
      </w:tr>
      <w:tr w:rsidR="004C28BE" w14:paraId="75160375" w14:textId="77777777" w:rsidTr="002B67E0">
        <w:trPr>
          <w:trHeight w:val="1191"/>
        </w:trPr>
        <w:tc>
          <w:tcPr>
            <w:tcW w:w="4530" w:type="dxa"/>
            <w:shd w:val="clear" w:color="auto" w:fill="E6F4FC" w:themeFill="accent1" w:themeFillTint="33"/>
          </w:tcPr>
          <w:p w14:paraId="6BD38877" w14:textId="70C57E2F" w:rsidR="004C28BE" w:rsidRDefault="00677C28" w:rsidP="004C28BE">
            <w:pPr>
              <w:pStyle w:val="Bullet1"/>
            </w:pPr>
            <w:r w:rsidRPr="00677C28">
              <w:t xml:space="preserve">Pesticides and </w:t>
            </w:r>
            <w:r>
              <w:t>v</w:t>
            </w:r>
            <w:r w:rsidRPr="00677C28">
              <w:t xml:space="preserve">eterinary </w:t>
            </w:r>
            <w:r>
              <w:t>m</w:t>
            </w:r>
            <w:r w:rsidRPr="00677C28">
              <w:t>edicines</w:t>
            </w:r>
            <w:r>
              <w:rPr>
                <w:rStyle w:val="FootnoteReference"/>
              </w:rPr>
              <w:footnoteReference w:id="12"/>
            </w:r>
            <w:r>
              <w:t xml:space="preserve"> </w:t>
            </w:r>
          </w:p>
          <w:p w14:paraId="35A89874" w14:textId="26D56915" w:rsidR="006B57DD" w:rsidRDefault="004C28BE" w:rsidP="002B67E0">
            <w:pPr>
              <w:pStyle w:val="Bullet1"/>
            </w:pPr>
            <w:r>
              <w:t>H</w:t>
            </w:r>
            <w:r w:rsidRPr="006F529D">
              <w:t xml:space="preserve">ousehold </w:t>
            </w:r>
            <w:r w:rsidRPr="006B57DD">
              <w:t>electrical</w:t>
            </w:r>
            <w:r w:rsidRPr="006F529D">
              <w:t xml:space="preserve"> consumer products</w:t>
            </w:r>
            <w:r>
              <w:rPr>
                <w:rStyle w:val="FootnoteReference"/>
              </w:rPr>
              <w:footnoteReference w:id="13"/>
            </w:r>
          </w:p>
        </w:tc>
        <w:tc>
          <w:tcPr>
            <w:tcW w:w="4530" w:type="dxa"/>
            <w:shd w:val="clear" w:color="auto" w:fill="E6F4FC" w:themeFill="accent1" w:themeFillTint="33"/>
          </w:tcPr>
          <w:p w14:paraId="3DAB70E0" w14:textId="2452EC3E" w:rsidR="006F529D" w:rsidRDefault="00D978FC" w:rsidP="004C28BE">
            <w:pPr>
              <w:pStyle w:val="Bullet1"/>
            </w:pPr>
            <w:r>
              <w:t>C</w:t>
            </w:r>
            <w:r w:rsidRPr="00D978FC">
              <w:t>ircular economy and waste markets</w:t>
            </w:r>
            <w:r>
              <w:rPr>
                <w:rStyle w:val="FootnoteReference"/>
              </w:rPr>
              <w:footnoteReference w:id="14"/>
            </w:r>
          </w:p>
        </w:tc>
      </w:tr>
    </w:tbl>
    <w:bookmarkEnd w:id="13"/>
    <w:p w14:paraId="7E580C98" w14:textId="51861B1A" w:rsidR="00CE63C9" w:rsidRDefault="005142BF" w:rsidP="002C7AE7">
      <w:r>
        <w:t>R</w:t>
      </w:r>
      <w:r w:rsidR="00CE63C9">
        <w:t xml:space="preserve">eforms </w:t>
      </w:r>
      <w:r w:rsidR="006425B1">
        <w:t xml:space="preserve">are </w:t>
      </w:r>
      <w:r w:rsidR="00C0141A">
        <w:t xml:space="preserve">already </w:t>
      </w:r>
      <w:r w:rsidR="00B87AAE">
        <w:t xml:space="preserve">being </w:t>
      </w:r>
      <w:r w:rsidR="006425B1">
        <w:t>progres</w:t>
      </w:r>
      <w:r w:rsidR="00B87AAE">
        <w:t>sed</w:t>
      </w:r>
      <w:r w:rsidR="006425B1">
        <w:t xml:space="preserve"> </w:t>
      </w:r>
      <w:r w:rsidR="00C0141A">
        <w:t xml:space="preserve">in </w:t>
      </w:r>
      <w:r>
        <w:t xml:space="preserve">some of </w:t>
      </w:r>
      <w:r w:rsidR="00C0141A">
        <w:t xml:space="preserve">these sectors. </w:t>
      </w:r>
      <w:r w:rsidR="00EF16EF">
        <w:t xml:space="preserve">For example, </w:t>
      </w:r>
      <w:r w:rsidR="005202EC">
        <w:t xml:space="preserve">the </w:t>
      </w:r>
      <w:r w:rsidR="00894A0D">
        <w:t>Parliament</w:t>
      </w:r>
      <w:r w:rsidR="00333E6F">
        <w:t xml:space="preserve"> </w:t>
      </w:r>
      <w:r w:rsidR="005202EC">
        <w:t xml:space="preserve">has </w:t>
      </w:r>
      <w:r w:rsidR="00894A0D">
        <w:t>passed legislation</w:t>
      </w:r>
      <w:r w:rsidR="00D82986">
        <w:t xml:space="preserve"> </w:t>
      </w:r>
      <w:r w:rsidR="00AA2C15">
        <w:t xml:space="preserve">to </w:t>
      </w:r>
      <w:r w:rsidR="002C7AE7">
        <w:t xml:space="preserve">improve the flexibility and enforceability of </w:t>
      </w:r>
      <w:r w:rsidR="00EF16EF">
        <w:t xml:space="preserve">product </w:t>
      </w:r>
      <w:r w:rsidR="002C7AE7">
        <w:t>safety and information standards.</w:t>
      </w:r>
      <w:r w:rsidR="00F808B6">
        <w:rPr>
          <w:rStyle w:val="FootnoteReference"/>
        </w:rPr>
        <w:footnoteReference w:id="15"/>
      </w:r>
      <w:r w:rsidR="00F808B6">
        <w:t xml:space="preserve"> </w:t>
      </w:r>
      <w:r w:rsidR="006A0D36">
        <w:t>Th</w:t>
      </w:r>
      <w:r w:rsidR="005202EC">
        <w:t>ese</w:t>
      </w:r>
      <w:r w:rsidR="006A0D36">
        <w:t xml:space="preserve"> </w:t>
      </w:r>
      <w:r w:rsidR="00727540">
        <w:t>change</w:t>
      </w:r>
      <w:r w:rsidR="005202EC">
        <w:t>s</w:t>
      </w:r>
      <w:r w:rsidR="00727540">
        <w:t xml:space="preserve"> allow </w:t>
      </w:r>
      <w:r w:rsidR="006A0D36">
        <w:t xml:space="preserve">the </w:t>
      </w:r>
      <w:r w:rsidR="00DD650B">
        <w:t xml:space="preserve">relevant </w:t>
      </w:r>
      <w:r w:rsidR="006A0D36">
        <w:t xml:space="preserve">Commonwealth </w:t>
      </w:r>
      <w:r w:rsidR="00FF69E9">
        <w:t>Minister</w:t>
      </w:r>
      <w:r w:rsidR="006A0D36">
        <w:t xml:space="preserve"> to </w:t>
      </w:r>
      <w:proofErr w:type="gramStart"/>
      <w:r w:rsidR="006A0D36">
        <w:t xml:space="preserve">more easily recognise </w:t>
      </w:r>
      <w:r w:rsidR="003013EA">
        <w:t xml:space="preserve">international and </w:t>
      </w:r>
      <w:r w:rsidR="006A0D36">
        <w:t>overseas product safety standards</w:t>
      </w:r>
      <w:r w:rsidR="00727540">
        <w:t xml:space="preserve"> and </w:t>
      </w:r>
      <w:r w:rsidR="00870E4D">
        <w:t>incorporate ambulatory referencing</w:t>
      </w:r>
      <w:r w:rsidR="00FF69E9">
        <w:t xml:space="preserve">, </w:t>
      </w:r>
      <w:r w:rsidR="003460DD">
        <w:t>where appropriate</w:t>
      </w:r>
      <w:proofErr w:type="gramEnd"/>
      <w:r w:rsidR="003460DD">
        <w:t xml:space="preserve">. </w:t>
      </w:r>
    </w:p>
    <w:p w14:paraId="06CCCE56" w14:textId="3998E5E0" w:rsidR="00CF2DB8" w:rsidRDefault="00EF16EF" w:rsidP="004F68EB">
      <w:r>
        <w:t xml:space="preserve">Similarly, </w:t>
      </w:r>
      <w:r w:rsidR="00373FBF">
        <w:t xml:space="preserve">the </w:t>
      </w:r>
      <w:r w:rsidR="008374B3">
        <w:t>Commonwealth</w:t>
      </w:r>
      <w:r w:rsidR="00373FBF" w:rsidRPr="00373FBF">
        <w:t xml:space="preserve"> Department of Finance and the Australian Competition and Consumer Commission</w:t>
      </w:r>
      <w:r w:rsidR="0003704C">
        <w:t xml:space="preserve"> has</w:t>
      </w:r>
      <w:r w:rsidR="004F68EB">
        <w:t xml:space="preserve"> </w:t>
      </w:r>
      <w:r w:rsidR="008374B3">
        <w:t>reviewed</w:t>
      </w:r>
      <w:r w:rsidR="007C64D8">
        <w:t xml:space="preserve"> </w:t>
      </w:r>
      <w:r w:rsidR="004F68EB">
        <w:t xml:space="preserve">the </w:t>
      </w:r>
      <w:r w:rsidR="004F68EB" w:rsidRPr="004F68EB">
        <w:t>existing regulatory framework for household consumer electrical products</w:t>
      </w:r>
      <w:r w:rsidR="0048511C">
        <w:t>.</w:t>
      </w:r>
      <w:r w:rsidR="0048511C">
        <w:rPr>
          <w:rStyle w:val="FootnoteReference"/>
        </w:rPr>
        <w:footnoteReference w:id="16"/>
      </w:r>
      <w:r w:rsidR="0048511C" w:rsidRPr="003C3D75">
        <w:t xml:space="preserve"> </w:t>
      </w:r>
      <w:r w:rsidR="00AD357A">
        <w:t>The review made 9</w:t>
      </w:r>
      <w:r w:rsidR="007A62AF" w:rsidRPr="007A62AF">
        <w:t xml:space="preserve"> recommendations to </w:t>
      </w:r>
      <w:r w:rsidR="003C3D75">
        <w:t>improve</w:t>
      </w:r>
      <w:r w:rsidR="007A62AF">
        <w:t xml:space="preserve"> consumer safety, </w:t>
      </w:r>
      <w:r w:rsidR="007A62AF" w:rsidRPr="007A62AF">
        <w:t>increase regulatory efficiency</w:t>
      </w:r>
      <w:r w:rsidR="002E7F81">
        <w:t xml:space="preserve">, </w:t>
      </w:r>
      <w:r w:rsidR="007A62AF" w:rsidRPr="007A62AF">
        <w:t>and reduce compliance costs for industry</w:t>
      </w:r>
      <w:r w:rsidR="00327FE8">
        <w:t>.</w:t>
      </w:r>
      <w:r w:rsidR="003C3D75" w:rsidRPr="00B36A39" w:rsidDel="00B52743">
        <w:t xml:space="preserve"> </w:t>
      </w:r>
      <w:r w:rsidR="00B52743">
        <w:t>All governments</w:t>
      </w:r>
      <w:r w:rsidR="00BE2E23">
        <w:t>,</w:t>
      </w:r>
      <w:r w:rsidR="00B52743">
        <w:t xml:space="preserve"> through CFFR</w:t>
      </w:r>
      <w:r w:rsidR="00BE2E23">
        <w:t>,</w:t>
      </w:r>
      <w:r w:rsidR="00B52743">
        <w:t xml:space="preserve"> </w:t>
      </w:r>
      <w:r w:rsidR="003C3D75" w:rsidRPr="00B36A39">
        <w:t xml:space="preserve">agreed </w:t>
      </w:r>
      <w:r w:rsidR="00CF2DB8">
        <w:t xml:space="preserve">to </w:t>
      </w:r>
      <w:r w:rsidR="003C3D75" w:rsidRPr="00B36A39">
        <w:t xml:space="preserve">cooperate to harmonise and consistently implement </w:t>
      </w:r>
      <w:r w:rsidR="003C3D75">
        <w:t>electrical safety regulations across jurisdictions</w:t>
      </w:r>
      <w:r w:rsidR="003C3D75" w:rsidRPr="009E7976">
        <w:t>.</w:t>
      </w:r>
      <w:r w:rsidR="003C3D75">
        <w:rPr>
          <w:rStyle w:val="FootnoteReference"/>
        </w:rPr>
        <w:footnoteReference w:id="17"/>
      </w:r>
      <w:r w:rsidR="003C3D75" w:rsidRPr="00F24AB3">
        <w:t xml:space="preserve"> </w:t>
      </w:r>
      <w:r w:rsidR="003C3D75" w:rsidRPr="00B36A39">
        <w:t xml:space="preserve">A </w:t>
      </w:r>
      <w:r w:rsidR="00CF2DB8" w:rsidRPr="007C6234">
        <w:t xml:space="preserve">National Meeting of Consumer Electrical Safety Ministers </w:t>
      </w:r>
      <w:r w:rsidR="00C779D8">
        <w:t>will</w:t>
      </w:r>
      <w:r w:rsidR="00CF2DB8" w:rsidRPr="007C6234">
        <w:t xml:space="preserve"> </w:t>
      </w:r>
      <w:r w:rsidR="00766E6C">
        <w:t xml:space="preserve">be created to </w:t>
      </w:r>
      <w:r w:rsidR="00CF2DB8" w:rsidRPr="007C6234">
        <w:t>oversee implementation of agreed reforms</w:t>
      </w:r>
      <w:r w:rsidR="00C779D8">
        <w:t xml:space="preserve"> by state </w:t>
      </w:r>
      <w:r w:rsidR="00C779D8">
        <w:lastRenderedPageBreak/>
        <w:t>electrical safety officials</w:t>
      </w:r>
      <w:r w:rsidR="00CF2DB8" w:rsidRPr="007C6234">
        <w:t>, including investigating risk</w:t>
      </w:r>
      <w:r w:rsidR="00CF2DB8" w:rsidRPr="007C6234">
        <w:noBreakHyphen/>
        <w:t>based regulation of extra</w:t>
      </w:r>
      <w:r w:rsidR="00CF2DB8" w:rsidRPr="007C6234">
        <w:noBreakHyphen/>
        <w:t>low voltage electrical products (such as certain lithium</w:t>
      </w:r>
      <w:r w:rsidR="00CF2DB8" w:rsidRPr="007C6234">
        <w:noBreakHyphen/>
        <w:t>ion batteries). </w:t>
      </w:r>
    </w:p>
    <w:p w14:paraId="7460286B" w14:textId="41F0690B" w:rsidR="008F73BD" w:rsidRDefault="00740F93" w:rsidP="00A26D65">
      <w:r>
        <w:t>T</w:t>
      </w:r>
      <w:r w:rsidR="001A2421">
        <w:t xml:space="preserve">he Productivity Commission </w:t>
      </w:r>
      <w:r w:rsidR="008F73BD">
        <w:t xml:space="preserve">is </w:t>
      </w:r>
      <w:r w:rsidR="001A2421">
        <w:t xml:space="preserve">undertaking further analysis and modelling on </w:t>
      </w:r>
      <w:r w:rsidR="001A2421" w:rsidRPr="001A2421">
        <w:t>adopting international and overseas standards in regulatory frameworks, and harmonising regulated standards across Australia, in priority sectors identified by governments</w:t>
      </w:r>
      <w:r w:rsidR="006D416B">
        <w:t>.</w:t>
      </w:r>
      <w:r w:rsidR="006D416B">
        <w:rPr>
          <w:rStyle w:val="FootnoteReference"/>
        </w:rPr>
        <w:footnoteReference w:id="18"/>
      </w:r>
      <w:r w:rsidR="00392AA1">
        <w:t xml:space="preserve"> This will include an assessment of the economic and revenue impacts, including </w:t>
      </w:r>
      <w:r w:rsidR="008F73BD">
        <w:t>expected</w:t>
      </w:r>
      <w:r w:rsidR="00392AA1">
        <w:t xml:space="preserve"> GDP, inflation</w:t>
      </w:r>
      <w:r w:rsidR="000D0F47">
        <w:t xml:space="preserve">, and living standards. </w:t>
      </w:r>
    </w:p>
    <w:p w14:paraId="59701A31" w14:textId="575A3DF5" w:rsidR="005249BB" w:rsidRPr="00864301" w:rsidRDefault="007E0E11" w:rsidP="00864301">
      <w:r>
        <w:t>The Department of Finance and the Treasury are working closely with the states</w:t>
      </w:r>
      <w:r w:rsidR="002B3EF9">
        <w:t>, as well as other Commonwealth agencies,</w:t>
      </w:r>
      <w:r>
        <w:t xml:space="preserve"> to identify </w:t>
      </w:r>
      <w:r w:rsidR="00103F59">
        <w:t xml:space="preserve">these </w:t>
      </w:r>
      <w:r w:rsidR="007A005D">
        <w:t>p</w:t>
      </w:r>
      <w:r>
        <w:t xml:space="preserve">riority </w:t>
      </w:r>
      <w:r w:rsidR="007A005D">
        <w:t>s</w:t>
      </w:r>
      <w:r>
        <w:t>ectors</w:t>
      </w:r>
      <w:r w:rsidR="007A005D">
        <w:t xml:space="preserve"> for reform</w:t>
      </w:r>
      <w:r w:rsidR="002B3EF9">
        <w:t xml:space="preserve">. </w:t>
      </w:r>
      <w:r w:rsidR="00971B5F">
        <w:t xml:space="preserve">We are seeking stakeholder </w:t>
      </w:r>
      <w:r w:rsidR="00903534">
        <w:t>input and empirical evidence to support the identification</w:t>
      </w:r>
      <w:r w:rsidR="006B6EF6">
        <w:t xml:space="preserve"> </w:t>
      </w:r>
      <w:r w:rsidR="00903534">
        <w:t>of</w:t>
      </w:r>
      <w:r w:rsidR="006B6EF6">
        <w:t xml:space="preserve"> </w:t>
      </w:r>
      <w:r w:rsidR="007A005D">
        <w:t>p</w:t>
      </w:r>
      <w:r w:rsidR="006B6EF6">
        <w:t xml:space="preserve">riority </w:t>
      </w:r>
      <w:r w:rsidR="007A005D">
        <w:t>s</w:t>
      </w:r>
      <w:r w:rsidR="006B6EF6">
        <w:t>ectors</w:t>
      </w:r>
      <w:r w:rsidR="00671284">
        <w:t xml:space="preserve"> to ensure these reforms are most effectively targeted</w:t>
      </w:r>
      <w:r w:rsidR="00EA71DB">
        <w:t xml:space="preserve">. </w:t>
      </w:r>
    </w:p>
    <w:p w14:paraId="26391591" w14:textId="2E499F46" w:rsidR="00F9782C" w:rsidRDefault="00F9782C" w:rsidP="00F9782C">
      <w:pPr>
        <w:pStyle w:val="Boxed2Heading"/>
      </w:pPr>
      <w:r>
        <w:t>Consultation Questions</w:t>
      </w:r>
    </w:p>
    <w:bookmarkEnd w:id="3"/>
    <w:p w14:paraId="70167629" w14:textId="08A5FEAB" w:rsidR="00625F81" w:rsidRPr="00625F81" w:rsidRDefault="00625F81" w:rsidP="00625F81">
      <w:pPr>
        <w:pStyle w:val="Boxed2Text"/>
        <w:rPr>
          <w:i/>
          <w:iCs/>
        </w:rPr>
      </w:pPr>
      <w:r w:rsidRPr="00625F81">
        <w:rPr>
          <w:i/>
          <w:iCs/>
        </w:rPr>
        <w:t xml:space="preserve">Please provide </w:t>
      </w:r>
      <w:r w:rsidR="003B7ECE">
        <w:rPr>
          <w:i/>
          <w:iCs/>
        </w:rPr>
        <w:t xml:space="preserve">empirical evidence, </w:t>
      </w:r>
      <w:r w:rsidRPr="00625F81">
        <w:rPr>
          <w:i/>
          <w:iCs/>
        </w:rPr>
        <w:t>case studies or examples to illustrate your views where possible.</w:t>
      </w:r>
    </w:p>
    <w:p w14:paraId="76875FCE" w14:textId="7586BC35" w:rsidR="00E15724" w:rsidRDefault="00E15724" w:rsidP="00276023">
      <w:pPr>
        <w:pStyle w:val="Boxed2Text"/>
        <w:numPr>
          <w:ilvl w:val="0"/>
          <w:numId w:val="22"/>
        </w:numPr>
      </w:pPr>
      <w:r w:rsidRPr="00E15724">
        <w:t xml:space="preserve">Which sectors listed in Box 2 benefit most from applying the Guidelines and Handbook across Australia? </w:t>
      </w:r>
      <w:r w:rsidR="00F065D3" w:rsidRPr="00F065D3">
        <w:t xml:space="preserve">What are the benefits and costs of applying them in that sector? </w:t>
      </w:r>
    </w:p>
    <w:p w14:paraId="03CE1FB6" w14:textId="04A61581" w:rsidR="00A26D65" w:rsidRDefault="00F065D3" w:rsidP="00276023">
      <w:pPr>
        <w:pStyle w:val="Boxed2Text"/>
        <w:numPr>
          <w:ilvl w:val="0"/>
          <w:numId w:val="22"/>
        </w:numPr>
      </w:pPr>
      <w:r w:rsidRPr="00F065D3">
        <w:t>What other sectors should the Government consider for reform?</w:t>
      </w:r>
      <w:r w:rsidR="003B52C0">
        <w:t xml:space="preserve"> </w:t>
      </w:r>
      <w:r w:rsidR="003B52C0" w:rsidRPr="003B52C0">
        <w:t xml:space="preserve">For each </w:t>
      </w:r>
      <w:r w:rsidR="000426C2">
        <w:t>sector</w:t>
      </w:r>
      <w:r w:rsidR="003B52C0" w:rsidRPr="003B52C0">
        <w:t xml:space="preserve"> suggested, </w:t>
      </w:r>
      <w:r w:rsidR="000426C2">
        <w:t>give</w:t>
      </w:r>
      <w:r w:rsidR="003B52C0" w:rsidRPr="003B52C0">
        <w:t xml:space="preserve"> evidence of benefits and costs of reform</w:t>
      </w:r>
      <w:r w:rsidR="003B3B2E">
        <w:t>.</w:t>
      </w:r>
    </w:p>
    <w:p w14:paraId="7539BF6E" w14:textId="0B91BDB9" w:rsidR="008F4FAE" w:rsidRPr="00A26D65" w:rsidRDefault="003B52C0" w:rsidP="00276023">
      <w:pPr>
        <w:pStyle w:val="Boxed2Text"/>
        <w:numPr>
          <w:ilvl w:val="0"/>
          <w:numId w:val="22"/>
        </w:numPr>
      </w:pPr>
      <w:r w:rsidRPr="003B52C0">
        <w:t>What can the Government learn from overseas approaches to adopting and developing mandatory standards?</w:t>
      </w:r>
    </w:p>
    <w:sectPr w:rsidR="008F4FAE" w:rsidRPr="00A26D65" w:rsidSect="006C709B">
      <w:type w:val="continuous"/>
      <w:pgSz w:w="11906" w:h="16838" w:code="9"/>
      <w:pgMar w:top="1418" w:right="1418" w:bottom="1418" w:left="1418"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F87CD" w14:textId="77777777" w:rsidR="004A097D" w:rsidRDefault="004A097D" w:rsidP="00EF4574">
      <w:pPr>
        <w:spacing w:before="0" w:after="0" w:line="240" w:lineRule="auto"/>
      </w:pPr>
      <w:r>
        <w:separator/>
      </w:r>
    </w:p>
    <w:p w14:paraId="3B298FE6" w14:textId="77777777" w:rsidR="004A097D" w:rsidRDefault="004A097D"/>
  </w:endnote>
  <w:endnote w:type="continuationSeparator" w:id="0">
    <w:p w14:paraId="56191642" w14:textId="77777777" w:rsidR="004A097D" w:rsidRDefault="004A097D" w:rsidP="00EF4574">
      <w:pPr>
        <w:spacing w:before="0" w:after="0" w:line="240" w:lineRule="auto"/>
      </w:pPr>
      <w:r>
        <w:continuationSeparator/>
      </w:r>
    </w:p>
    <w:p w14:paraId="1B77B9DF" w14:textId="77777777" w:rsidR="004A097D" w:rsidRDefault="004A097D"/>
  </w:endnote>
  <w:endnote w:type="continuationNotice" w:id="1">
    <w:p w14:paraId="4F488FD0" w14:textId="77777777" w:rsidR="004A097D" w:rsidRDefault="004A097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useoSans-500">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10DD7" w14:textId="6A19205D" w:rsidR="005D3E0C" w:rsidRPr="00375BD3" w:rsidRDefault="00873E1E" w:rsidP="00873E1E">
    <w:pPr>
      <w:pStyle w:val="Footerstyle"/>
    </w:pPr>
    <w:r>
      <w:t>National Competition Policy: Lower barriers to the adoption of overseas standards in regulation</w:t>
    </w:r>
    <w:r w:rsidR="00375BD3" w:rsidRPr="00375BD3">
      <w:ptab w:relativeTo="margin" w:alignment="right" w:leader="none"/>
    </w:r>
    <w:r w:rsidR="005D3E0C" w:rsidRPr="00375BD3">
      <w:fldChar w:fldCharType="begin"/>
    </w:r>
    <w:r w:rsidR="005D3E0C" w:rsidRPr="00375BD3">
      <w:instrText xml:space="preserve"> PAGE   \* MERGEFORMAT </w:instrText>
    </w:r>
    <w:r w:rsidR="005D3E0C" w:rsidRPr="00375BD3">
      <w:fldChar w:fldCharType="separate"/>
    </w:r>
    <w:r w:rsidR="00A57A97" w:rsidRPr="00375BD3">
      <w:t>2</w:t>
    </w:r>
    <w:r w:rsidR="005D3E0C" w:rsidRPr="00375BD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7B657" w14:textId="77777777" w:rsidR="004A097D" w:rsidRDefault="004A097D" w:rsidP="0020122A">
      <w:pPr>
        <w:pStyle w:val="FootnoteSeparator"/>
      </w:pPr>
    </w:p>
  </w:footnote>
  <w:footnote w:type="continuationSeparator" w:id="0">
    <w:p w14:paraId="05D6FD83" w14:textId="77777777" w:rsidR="004A097D" w:rsidRDefault="004A097D" w:rsidP="00EF4574">
      <w:pPr>
        <w:spacing w:before="0" w:after="0" w:line="240" w:lineRule="auto"/>
      </w:pPr>
      <w:r>
        <w:continuationSeparator/>
      </w:r>
    </w:p>
    <w:p w14:paraId="23C831EE" w14:textId="77777777" w:rsidR="004A097D" w:rsidRDefault="004A097D"/>
  </w:footnote>
  <w:footnote w:type="continuationNotice" w:id="1">
    <w:p w14:paraId="1EFFD2F0" w14:textId="77777777" w:rsidR="004A097D" w:rsidRDefault="004A097D">
      <w:pPr>
        <w:spacing w:before="0" w:after="0" w:line="240" w:lineRule="auto"/>
      </w:pPr>
    </w:p>
  </w:footnote>
  <w:footnote w:id="2">
    <w:p w14:paraId="6572562E" w14:textId="789A37D7" w:rsidR="00A26933" w:rsidRDefault="00A26933" w:rsidP="003E03A8">
      <w:pPr>
        <w:pStyle w:val="FootnoteText"/>
      </w:pPr>
      <w:r>
        <w:rPr>
          <w:rStyle w:val="FootnoteReference"/>
        </w:rPr>
        <w:footnoteRef/>
      </w:r>
      <w:r>
        <w:t xml:space="preserve"> </w:t>
      </w:r>
      <w:r w:rsidR="003E03A8">
        <w:t xml:space="preserve">The Hon Dr Jim Chalmers MP, Treasurer, </w:t>
      </w:r>
      <w:hyperlink r:id="rId1" w:history="1">
        <w:r w:rsidR="003E03A8" w:rsidRPr="003E03A8">
          <w:rPr>
            <w:rStyle w:val="Hyperlink"/>
            <w:rFonts w:cstheme="minorBidi"/>
          </w:rPr>
          <w:t>National agreement to revitalise competition – for consumers, businesses and our economy</w:t>
        </w:r>
      </w:hyperlink>
      <w:r w:rsidR="003E03A8">
        <w:t>, 2024.</w:t>
      </w:r>
    </w:p>
  </w:footnote>
  <w:footnote w:id="3">
    <w:p w14:paraId="5E404A19" w14:textId="4CACE2B1" w:rsidR="004E6E10" w:rsidRDefault="004E6E10" w:rsidP="004E6E10">
      <w:pPr>
        <w:pStyle w:val="FootnoteText"/>
      </w:pPr>
      <w:r>
        <w:rPr>
          <w:rStyle w:val="FootnoteReference"/>
        </w:rPr>
        <w:footnoteRef/>
      </w:r>
      <w:r>
        <w:t xml:space="preserve"> </w:t>
      </w:r>
      <w:r w:rsidR="001A207C">
        <w:t>Federal Financial Relations</w:t>
      </w:r>
      <w:r w:rsidR="00B35F51">
        <w:t>,</w:t>
      </w:r>
      <w:r w:rsidR="00B35F51" w:rsidRPr="00B35F51">
        <w:t xml:space="preserve"> </w:t>
      </w:r>
      <w:hyperlink r:id="rId2" w:history="1">
        <w:r w:rsidR="00B35F51" w:rsidRPr="001A207C">
          <w:rPr>
            <w:rStyle w:val="Hyperlink"/>
            <w:rFonts w:cstheme="minorBidi"/>
          </w:rPr>
          <w:t>Intergovernmental Agreement on National Competition Policy</w:t>
        </w:r>
      </w:hyperlink>
      <w:r w:rsidR="00652F8A">
        <w:t xml:space="preserve">, </w:t>
      </w:r>
      <w:r w:rsidR="00DF6C41">
        <w:t>2025.</w:t>
      </w:r>
      <w:r w:rsidR="00B35F51">
        <w:t xml:space="preserve"> </w:t>
      </w:r>
    </w:p>
  </w:footnote>
  <w:footnote w:id="4">
    <w:p w14:paraId="59C3D133" w14:textId="7CF689E1" w:rsidR="004014B8" w:rsidRDefault="004014B8">
      <w:pPr>
        <w:pStyle w:val="FootnoteText"/>
      </w:pPr>
      <w:r>
        <w:rPr>
          <w:rStyle w:val="FootnoteReference"/>
        </w:rPr>
        <w:footnoteRef/>
      </w:r>
      <w:r>
        <w:t xml:space="preserve"> </w:t>
      </w:r>
      <w:r w:rsidR="000F0F85">
        <w:t>Federal Financial Relations,</w:t>
      </w:r>
      <w:r w:rsidR="000F0F85" w:rsidRPr="00B35F51">
        <w:t xml:space="preserve"> </w:t>
      </w:r>
      <w:hyperlink r:id="rId3" w:history="1">
        <w:r w:rsidR="00D342DA" w:rsidRPr="00D342DA">
          <w:rPr>
            <w:rStyle w:val="Hyperlink"/>
            <w:rFonts w:cstheme="minorBidi"/>
          </w:rPr>
          <w:t>Federation Funding</w:t>
        </w:r>
        <w:r w:rsidR="000F0F85" w:rsidRPr="00D342DA">
          <w:rPr>
            <w:rStyle w:val="Hyperlink"/>
            <w:rFonts w:cstheme="minorBidi"/>
          </w:rPr>
          <w:t xml:space="preserve"> Agreement on National Competition Policy</w:t>
        </w:r>
      </w:hyperlink>
      <w:r w:rsidR="000F0F85">
        <w:t>, 2025.</w:t>
      </w:r>
    </w:p>
  </w:footnote>
  <w:footnote w:id="5">
    <w:p w14:paraId="61105902" w14:textId="396E23D6" w:rsidR="00C8680D" w:rsidRDefault="0033401D" w:rsidP="00C8680D">
      <w:pPr>
        <w:pStyle w:val="FootnoteText"/>
      </w:pPr>
      <w:r>
        <w:rPr>
          <w:rStyle w:val="FootnoteReference"/>
        </w:rPr>
        <w:footnoteRef/>
      </w:r>
      <w:r w:rsidR="000F2382">
        <w:t xml:space="preserve"> </w:t>
      </w:r>
      <w:r w:rsidR="008D66F1">
        <w:t xml:space="preserve">Productivity Commission, </w:t>
      </w:r>
      <w:hyperlink r:id="rId4" w:history="1">
        <w:r w:rsidR="008D66F1" w:rsidRPr="000F2382">
          <w:rPr>
            <w:rStyle w:val="Hyperlink"/>
            <w:rFonts w:cstheme="minorBidi"/>
          </w:rPr>
          <w:t xml:space="preserve">National Competition Policy: </w:t>
        </w:r>
        <w:r w:rsidR="000F2382">
          <w:rPr>
            <w:rStyle w:val="Hyperlink"/>
            <w:rFonts w:cstheme="minorBidi"/>
          </w:rPr>
          <w:t>M</w:t>
        </w:r>
        <w:r w:rsidR="008D66F1" w:rsidRPr="000F2382">
          <w:rPr>
            <w:rStyle w:val="Hyperlink"/>
            <w:rFonts w:cstheme="minorBidi"/>
          </w:rPr>
          <w:t xml:space="preserve">odelling </w:t>
        </w:r>
        <w:r w:rsidR="000F2382">
          <w:rPr>
            <w:rStyle w:val="Hyperlink"/>
            <w:rFonts w:cstheme="minorBidi"/>
          </w:rPr>
          <w:t>P</w:t>
        </w:r>
        <w:r w:rsidR="008D66F1" w:rsidRPr="000F2382">
          <w:rPr>
            <w:rStyle w:val="Hyperlink"/>
            <w:rFonts w:cstheme="minorBidi"/>
          </w:rPr>
          <w:t xml:space="preserve">roposed </w:t>
        </w:r>
        <w:r w:rsidR="000F2382">
          <w:rPr>
            <w:rStyle w:val="Hyperlink"/>
            <w:rFonts w:cstheme="minorBidi"/>
          </w:rPr>
          <w:t>R</w:t>
        </w:r>
        <w:r w:rsidR="008D66F1" w:rsidRPr="000F2382">
          <w:rPr>
            <w:rStyle w:val="Hyperlink"/>
            <w:rFonts w:cstheme="minorBidi"/>
          </w:rPr>
          <w:t>eforms</w:t>
        </w:r>
      </w:hyperlink>
      <w:r w:rsidR="008D66F1">
        <w:t xml:space="preserve">, 2024, </w:t>
      </w:r>
      <w:r w:rsidR="00F23754">
        <w:t>p 40.</w:t>
      </w:r>
    </w:p>
  </w:footnote>
  <w:footnote w:id="6">
    <w:p w14:paraId="5FE5EFB2" w14:textId="3617EF92" w:rsidR="00E5040F" w:rsidRDefault="00E5040F">
      <w:pPr>
        <w:pStyle w:val="FootnoteText"/>
      </w:pPr>
      <w:r>
        <w:rPr>
          <w:rStyle w:val="FootnoteReference"/>
        </w:rPr>
        <w:footnoteRef/>
      </w:r>
      <w:r>
        <w:t xml:space="preserve"> </w:t>
      </w:r>
      <w:r w:rsidR="00B30D04">
        <w:t>Under the NCP agreements, the Commonwealth Treasurer</w:t>
      </w:r>
      <w:r w:rsidR="002F07BF">
        <w:t xml:space="preserve"> (or their delegate) must approve the</w:t>
      </w:r>
      <w:r w:rsidR="007D34CE">
        <w:t xml:space="preserve"> Competition Reform Guidelines </w:t>
      </w:r>
      <w:r w:rsidR="00693FB6">
        <w:t>before they take effect.</w:t>
      </w:r>
    </w:p>
  </w:footnote>
  <w:footnote w:id="7">
    <w:p w14:paraId="206CE1F1" w14:textId="599F079E" w:rsidR="004937BD" w:rsidRDefault="004937BD" w:rsidP="004937BD">
      <w:pPr>
        <w:pStyle w:val="FootnoteText"/>
      </w:pPr>
      <w:r>
        <w:rPr>
          <w:rStyle w:val="FootnoteReference"/>
        </w:rPr>
        <w:footnoteRef/>
      </w:r>
      <w:r>
        <w:t xml:space="preserve"> The level of evidence provided should be </w:t>
      </w:r>
      <w:r w:rsidRPr="0016253A">
        <w:t>commensurate with the materiality of the deviation</w:t>
      </w:r>
      <w:r>
        <w:t>.</w:t>
      </w:r>
    </w:p>
  </w:footnote>
  <w:footnote w:id="8">
    <w:p w14:paraId="3301B0C0" w14:textId="6DEA4BBA" w:rsidR="003922AD" w:rsidRDefault="003922AD">
      <w:pPr>
        <w:pStyle w:val="FootnoteText"/>
      </w:pPr>
      <w:r>
        <w:rPr>
          <w:rStyle w:val="FootnoteReference"/>
        </w:rPr>
        <w:footnoteRef/>
      </w:r>
      <w:r>
        <w:t xml:space="preserve"> </w:t>
      </w:r>
      <w:r w:rsidR="00E62203" w:rsidRPr="00E62203">
        <w:t xml:space="preserve">Department of Finance, </w:t>
      </w:r>
      <w:hyperlink r:id="rId5" w:history="1">
        <w:r w:rsidR="00E62203" w:rsidRPr="00E62203">
          <w:rPr>
            <w:rStyle w:val="Hyperlink"/>
            <w:rFonts w:cstheme="minorBidi"/>
          </w:rPr>
          <w:t>Regulatory Policy, Practice and Performance Framework</w:t>
        </w:r>
      </w:hyperlink>
      <w:r w:rsidR="00E62203" w:rsidRPr="00E62203">
        <w:t>, 2024.</w:t>
      </w:r>
    </w:p>
  </w:footnote>
  <w:footnote w:id="9">
    <w:p w14:paraId="260E3B2C" w14:textId="51304DA5" w:rsidR="000873D3" w:rsidRDefault="000873D3">
      <w:pPr>
        <w:pStyle w:val="FootnoteText"/>
      </w:pPr>
      <w:r>
        <w:rPr>
          <w:rStyle w:val="FootnoteReference"/>
        </w:rPr>
        <w:footnoteRef/>
      </w:r>
      <w:r>
        <w:t xml:space="preserve"> </w:t>
      </w:r>
      <w:r w:rsidR="00E62203">
        <w:t xml:space="preserve">Productivity Commission, </w:t>
      </w:r>
      <w:hyperlink r:id="rId6" w:history="1">
        <w:r w:rsidR="00E62203" w:rsidRPr="000F2382">
          <w:rPr>
            <w:rStyle w:val="Hyperlink"/>
            <w:rFonts w:cstheme="minorBidi"/>
          </w:rPr>
          <w:t xml:space="preserve">National Competition Policy: </w:t>
        </w:r>
        <w:r w:rsidR="00E62203">
          <w:rPr>
            <w:rStyle w:val="Hyperlink"/>
            <w:rFonts w:cstheme="minorBidi"/>
          </w:rPr>
          <w:t>M</w:t>
        </w:r>
        <w:r w:rsidR="00E62203" w:rsidRPr="000F2382">
          <w:rPr>
            <w:rStyle w:val="Hyperlink"/>
            <w:rFonts w:cstheme="minorBidi"/>
          </w:rPr>
          <w:t xml:space="preserve">odelling </w:t>
        </w:r>
        <w:r w:rsidR="00E62203">
          <w:rPr>
            <w:rStyle w:val="Hyperlink"/>
            <w:rFonts w:cstheme="minorBidi"/>
          </w:rPr>
          <w:t>P</w:t>
        </w:r>
        <w:r w:rsidR="00E62203" w:rsidRPr="000F2382">
          <w:rPr>
            <w:rStyle w:val="Hyperlink"/>
            <w:rFonts w:cstheme="minorBidi"/>
          </w:rPr>
          <w:t xml:space="preserve">roposed </w:t>
        </w:r>
        <w:r w:rsidR="00E62203">
          <w:rPr>
            <w:rStyle w:val="Hyperlink"/>
            <w:rFonts w:cstheme="minorBidi"/>
          </w:rPr>
          <w:t>R</w:t>
        </w:r>
        <w:r w:rsidR="00E62203" w:rsidRPr="000F2382">
          <w:rPr>
            <w:rStyle w:val="Hyperlink"/>
            <w:rFonts w:cstheme="minorBidi"/>
          </w:rPr>
          <w:t>eforms</w:t>
        </w:r>
      </w:hyperlink>
      <w:r w:rsidR="00E62203">
        <w:t>, 2024, p 40.</w:t>
      </w:r>
    </w:p>
  </w:footnote>
  <w:footnote w:id="10">
    <w:p w14:paraId="0F05B600" w14:textId="1CCF36D8" w:rsidR="000873D3" w:rsidRPr="00F93274" w:rsidRDefault="000873D3" w:rsidP="00F93274">
      <w:pPr>
        <w:pStyle w:val="FootnoteText"/>
        <w:rPr>
          <w:color w:val="000000" w:themeColor="text1"/>
        </w:rPr>
      </w:pPr>
      <w:r>
        <w:rPr>
          <w:rStyle w:val="FootnoteReference"/>
        </w:rPr>
        <w:footnoteRef/>
      </w:r>
      <w:r>
        <w:t xml:space="preserve"> </w:t>
      </w:r>
      <w:r w:rsidR="00F93274" w:rsidRPr="001D159A">
        <w:rPr>
          <w:color w:val="000000" w:themeColor="text1"/>
        </w:rPr>
        <w:t xml:space="preserve">Australian Competition </w:t>
      </w:r>
      <w:r w:rsidR="00F93274">
        <w:rPr>
          <w:color w:val="000000" w:themeColor="text1"/>
        </w:rPr>
        <w:t>and</w:t>
      </w:r>
      <w:r w:rsidR="00F93274" w:rsidRPr="001D159A">
        <w:rPr>
          <w:color w:val="000000" w:themeColor="text1"/>
        </w:rPr>
        <w:t xml:space="preserve"> Consumer Commission</w:t>
      </w:r>
      <w:r w:rsidR="00F93274">
        <w:rPr>
          <w:color w:val="000000" w:themeColor="text1"/>
        </w:rPr>
        <w:t xml:space="preserve">, </w:t>
      </w:r>
      <w:hyperlink r:id="rId7" w:history="1">
        <w:r w:rsidR="00E117F4" w:rsidRPr="00E117F4">
          <w:rPr>
            <w:rStyle w:val="Hyperlink"/>
            <w:rFonts w:cstheme="minorBidi"/>
          </w:rPr>
          <w:t>National Consumer Congress 2024 Introduction and ACCC Keynote Address</w:t>
        </w:r>
      </w:hyperlink>
      <w:r w:rsidR="00F93274">
        <w:rPr>
          <w:color w:val="000000" w:themeColor="text1"/>
        </w:rPr>
        <w:t>, 202</w:t>
      </w:r>
      <w:r w:rsidR="00E117F4">
        <w:rPr>
          <w:color w:val="000000" w:themeColor="text1"/>
        </w:rPr>
        <w:t>4</w:t>
      </w:r>
      <w:r w:rsidR="00F93274">
        <w:rPr>
          <w:color w:val="000000" w:themeColor="text1"/>
        </w:rPr>
        <w:t>.</w:t>
      </w:r>
    </w:p>
  </w:footnote>
  <w:footnote w:id="11">
    <w:p w14:paraId="770B5AAE" w14:textId="6545A245" w:rsidR="00296531" w:rsidRPr="003F7486" w:rsidRDefault="00296531" w:rsidP="00296531">
      <w:pPr>
        <w:pStyle w:val="FootnoteText"/>
        <w:rPr>
          <w:color w:val="000000" w:themeColor="text1"/>
        </w:rPr>
      </w:pPr>
      <w:r w:rsidRPr="003F7486">
        <w:rPr>
          <w:rStyle w:val="FootnoteReference"/>
          <w:color w:val="000000" w:themeColor="text1"/>
        </w:rPr>
        <w:footnoteRef/>
      </w:r>
      <w:r w:rsidRPr="003F7486">
        <w:rPr>
          <w:color w:val="000000" w:themeColor="text1"/>
        </w:rPr>
        <w:t xml:space="preserve"> </w:t>
      </w:r>
      <w:r w:rsidR="004807FC">
        <w:t xml:space="preserve">Productivity Commission, </w:t>
      </w:r>
      <w:hyperlink r:id="rId8" w:history="1">
        <w:r w:rsidR="004807FC" w:rsidRPr="000F2382">
          <w:rPr>
            <w:rStyle w:val="Hyperlink"/>
            <w:rFonts w:cstheme="minorBidi"/>
          </w:rPr>
          <w:t xml:space="preserve">National Competition Policy: </w:t>
        </w:r>
        <w:r w:rsidR="004807FC">
          <w:rPr>
            <w:rStyle w:val="Hyperlink"/>
            <w:rFonts w:cstheme="minorBidi"/>
          </w:rPr>
          <w:t>M</w:t>
        </w:r>
        <w:r w:rsidR="004807FC" w:rsidRPr="000F2382">
          <w:rPr>
            <w:rStyle w:val="Hyperlink"/>
            <w:rFonts w:cstheme="minorBidi"/>
          </w:rPr>
          <w:t xml:space="preserve">odelling </w:t>
        </w:r>
        <w:r w:rsidR="004807FC">
          <w:rPr>
            <w:rStyle w:val="Hyperlink"/>
            <w:rFonts w:cstheme="minorBidi"/>
          </w:rPr>
          <w:t>P</w:t>
        </w:r>
        <w:r w:rsidR="004807FC" w:rsidRPr="000F2382">
          <w:rPr>
            <w:rStyle w:val="Hyperlink"/>
            <w:rFonts w:cstheme="minorBidi"/>
          </w:rPr>
          <w:t xml:space="preserve">roposed </w:t>
        </w:r>
        <w:r w:rsidR="004807FC">
          <w:rPr>
            <w:rStyle w:val="Hyperlink"/>
            <w:rFonts w:cstheme="minorBidi"/>
          </w:rPr>
          <w:t>R</w:t>
        </w:r>
        <w:r w:rsidR="004807FC" w:rsidRPr="000F2382">
          <w:rPr>
            <w:rStyle w:val="Hyperlink"/>
            <w:rFonts w:cstheme="minorBidi"/>
          </w:rPr>
          <w:t>eforms</w:t>
        </w:r>
      </w:hyperlink>
      <w:r w:rsidR="004807FC">
        <w:t>, 2024, p 39.</w:t>
      </w:r>
    </w:p>
  </w:footnote>
  <w:footnote w:id="12">
    <w:p w14:paraId="24831EAB" w14:textId="6AA71E9C" w:rsidR="00677C28" w:rsidRPr="003F7486" w:rsidRDefault="00677C28" w:rsidP="00751DE7">
      <w:pPr>
        <w:pStyle w:val="FootnoteText"/>
        <w:rPr>
          <w:color w:val="000000" w:themeColor="text1"/>
        </w:rPr>
      </w:pPr>
      <w:r w:rsidRPr="003F7486">
        <w:rPr>
          <w:rStyle w:val="FootnoteReference"/>
          <w:color w:val="000000" w:themeColor="text1"/>
        </w:rPr>
        <w:footnoteRef/>
      </w:r>
      <w:r w:rsidRPr="003F7486">
        <w:rPr>
          <w:color w:val="000000" w:themeColor="text1"/>
        </w:rPr>
        <w:t xml:space="preserve"> </w:t>
      </w:r>
      <w:r w:rsidR="003840B7">
        <w:rPr>
          <w:color w:val="000000" w:themeColor="text1"/>
        </w:rPr>
        <w:t>Department of Agri</w:t>
      </w:r>
      <w:r w:rsidR="00751DE7">
        <w:rPr>
          <w:color w:val="000000" w:themeColor="text1"/>
        </w:rPr>
        <w:t xml:space="preserve">culture, Water and the Environment, </w:t>
      </w:r>
      <w:hyperlink r:id="rId9" w:history="1">
        <w:r w:rsidR="00751DE7" w:rsidRPr="00751DE7">
          <w:rPr>
            <w:rStyle w:val="Hyperlink"/>
            <w:rFonts w:cstheme="minorBidi"/>
          </w:rPr>
          <w:t>Final Report of the Independent Review of the Pesticides and Veterinary Medicines Regulatory System in Australia</w:t>
        </w:r>
      </w:hyperlink>
      <w:r w:rsidR="00751DE7">
        <w:rPr>
          <w:color w:val="000000" w:themeColor="text1"/>
        </w:rPr>
        <w:t xml:space="preserve">, 2021. </w:t>
      </w:r>
    </w:p>
  </w:footnote>
  <w:footnote w:id="13">
    <w:p w14:paraId="22B592BA" w14:textId="6941F970" w:rsidR="004C28BE" w:rsidRPr="003F7486" w:rsidRDefault="004C28BE" w:rsidP="004C28BE">
      <w:pPr>
        <w:pStyle w:val="FootnoteText"/>
        <w:rPr>
          <w:color w:val="000000" w:themeColor="text1"/>
        </w:rPr>
      </w:pPr>
      <w:r w:rsidRPr="003F7486">
        <w:rPr>
          <w:rStyle w:val="FootnoteReference"/>
          <w:color w:val="000000" w:themeColor="text1"/>
        </w:rPr>
        <w:footnoteRef/>
      </w:r>
      <w:r w:rsidRPr="003F7486">
        <w:rPr>
          <w:color w:val="000000" w:themeColor="text1"/>
        </w:rPr>
        <w:t xml:space="preserve"> </w:t>
      </w:r>
      <w:r w:rsidR="001D159A" w:rsidRPr="001D159A">
        <w:rPr>
          <w:color w:val="000000" w:themeColor="text1"/>
        </w:rPr>
        <w:t xml:space="preserve">Australian Competition </w:t>
      </w:r>
      <w:r w:rsidR="001D159A">
        <w:rPr>
          <w:color w:val="000000" w:themeColor="text1"/>
        </w:rPr>
        <w:t>and</w:t>
      </w:r>
      <w:r w:rsidR="001D159A" w:rsidRPr="001D159A">
        <w:rPr>
          <w:color w:val="000000" w:themeColor="text1"/>
        </w:rPr>
        <w:t xml:space="preserve"> Consumer Commission</w:t>
      </w:r>
      <w:r w:rsidR="00237310">
        <w:rPr>
          <w:color w:val="000000" w:themeColor="text1"/>
        </w:rPr>
        <w:t xml:space="preserve">, </w:t>
      </w:r>
      <w:hyperlink r:id="rId10" w:history="1">
        <w:r w:rsidR="00237310" w:rsidRPr="001D159A">
          <w:rPr>
            <w:rStyle w:val="Hyperlink"/>
            <w:rFonts w:cstheme="minorBidi"/>
          </w:rPr>
          <w:t>Review of the Regulatory Framework for the Safety of Household Electrical Products</w:t>
        </w:r>
      </w:hyperlink>
      <w:r w:rsidR="00237310">
        <w:rPr>
          <w:color w:val="000000" w:themeColor="text1"/>
        </w:rPr>
        <w:t>, 202</w:t>
      </w:r>
      <w:r w:rsidR="001D159A">
        <w:rPr>
          <w:color w:val="000000" w:themeColor="text1"/>
        </w:rPr>
        <w:t>5</w:t>
      </w:r>
      <w:r w:rsidR="00237310">
        <w:rPr>
          <w:color w:val="000000" w:themeColor="text1"/>
        </w:rPr>
        <w:t>.</w:t>
      </w:r>
    </w:p>
  </w:footnote>
  <w:footnote w:id="14">
    <w:p w14:paraId="443FADD5" w14:textId="504CD537" w:rsidR="00D978FC" w:rsidRPr="003F7486" w:rsidRDefault="00D978FC" w:rsidP="00A01418">
      <w:pPr>
        <w:pStyle w:val="FootnoteText"/>
        <w:rPr>
          <w:color w:val="000000" w:themeColor="text1"/>
        </w:rPr>
      </w:pPr>
      <w:r w:rsidRPr="003F7486">
        <w:rPr>
          <w:rStyle w:val="FootnoteReference"/>
          <w:color w:val="000000" w:themeColor="text1"/>
        </w:rPr>
        <w:footnoteRef/>
      </w:r>
      <w:r w:rsidRPr="003F7486">
        <w:rPr>
          <w:color w:val="000000" w:themeColor="text1"/>
        </w:rPr>
        <w:t xml:space="preserve"> </w:t>
      </w:r>
      <w:r w:rsidR="00A01418" w:rsidRPr="00A01418">
        <w:rPr>
          <w:color w:val="000000" w:themeColor="text1"/>
        </w:rPr>
        <w:t>Department of Climate Change, Energy, the Environment and Wate</w:t>
      </w:r>
      <w:r w:rsidR="00A01418">
        <w:rPr>
          <w:color w:val="000000" w:themeColor="text1"/>
        </w:rPr>
        <w:t xml:space="preserve">r, </w:t>
      </w:r>
      <w:hyperlink r:id="rId11" w:history="1">
        <w:r w:rsidR="00A01418" w:rsidRPr="00A01418">
          <w:rPr>
            <w:rStyle w:val="Hyperlink"/>
            <w:rFonts w:cstheme="minorBidi"/>
          </w:rPr>
          <w:t>Circular Economy Ministerial Advisory Group: Final Report – The Circular Advantage</w:t>
        </w:r>
      </w:hyperlink>
      <w:r w:rsidR="00A01418">
        <w:rPr>
          <w:color w:val="000000" w:themeColor="text1"/>
        </w:rPr>
        <w:t>, 2024.</w:t>
      </w:r>
    </w:p>
  </w:footnote>
  <w:footnote w:id="15">
    <w:p w14:paraId="170B3D27" w14:textId="216D5928" w:rsidR="00F808B6" w:rsidRPr="003F7486" w:rsidRDefault="00F808B6" w:rsidP="0041263E">
      <w:pPr>
        <w:pStyle w:val="FootnoteText"/>
        <w:rPr>
          <w:color w:val="000000" w:themeColor="text1"/>
        </w:rPr>
      </w:pPr>
      <w:r w:rsidRPr="003F7486">
        <w:rPr>
          <w:rStyle w:val="FootnoteReference"/>
          <w:color w:val="000000" w:themeColor="text1"/>
        </w:rPr>
        <w:footnoteRef/>
      </w:r>
      <w:r w:rsidRPr="003F7486">
        <w:rPr>
          <w:color w:val="000000" w:themeColor="text1"/>
        </w:rPr>
        <w:t xml:space="preserve"> </w:t>
      </w:r>
      <w:r w:rsidR="0041263E">
        <w:rPr>
          <w:color w:val="000000" w:themeColor="text1"/>
        </w:rPr>
        <w:t xml:space="preserve">Parliament of Australia, </w:t>
      </w:r>
      <w:hyperlink r:id="rId12" w:history="1">
        <w:r w:rsidR="0041263E" w:rsidRPr="0041263E">
          <w:rPr>
            <w:rStyle w:val="Hyperlink"/>
            <w:rFonts w:cstheme="minorBidi"/>
          </w:rPr>
          <w:t>Treasury Laws Amendment (Fairer for Families and Farmers and Other Measures) Bill 2024 – Explanatory Memorandum</w:t>
        </w:r>
      </w:hyperlink>
      <w:r w:rsidR="0041263E">
        <w:rPr>
          <w:color w:val="000000" w:themeColor="text1"/>
        </w:rPr>
        <w:t>, 2024.</w:t>
      </w:r>
    </w:p>
  </w:footnote>
  <w:footnote w:id="16">
    <w:p w14:paraId="3FF1837D" w14:textId="1C82A025" w:rsidR="001D159A" w:rsidRPr="003F7486" w:rsidRDefault="0048511C" w:rsidP="001D159A">
      <w:pPr>
        <w:pStyle w:val="FootnoteText"/>
        <w:rPr>
          <w:color w:val="000000" w:themeColor="text1"/>
        </w:rPr>
      </w:pPr>
      <w:r w:rsidRPr="003F7486">
        <w:rPr>
          <w:rStyle w:val="FootnoteReference"/>
          <w:color w:val="000000" w:themeColor="text1"/>
        </w:rPr>
        <w:footnoteRef/>
      </w:r>
      <w:r w:rsidR="001D159A">
        <w:rPr>
          <w:color w:val="000000" w:themeColor="text1"/>
        </w:rPr>
        <w:t xml:space="preserve"> </w:t>
      </w:r>
      <w:r w:rsidR="001D159A" w:rsidRPr="001D159A">
        <w:rPr>
          <w:color w:val="000000" w:themeColor="text1"/>
        </w:rPr>
        <w:t xml:space="preserve">Australian Competition </w:t>
      </w:r>
      <w:r w:rsidR="001D159A">
        <w:rPr>
          <w:color w:val="000000" w:themeColor="text1"/>
        </w:rPr>
        <w:t>and</w:t>
      </w:r>
      <w:r w:rsidR="001D159A" w:rsidRPr="001D159A">
        <w:rPr>
          <w:color w:val="000000" w:themeColor="text1"/>
        </w:rPr>
        <w:t xml:space="preserve"> Consumer Commission</w:t>
      </w:r>
      <w:r w:rsidR="001D159A">
        <w:rPr>
          <w:color w:val="000000" w:themeColor="text1"/>
        </w:rPr>
        <w:t xml:space="preserve">, </w:t>
      </w:r>
      <w:hyperlink r:id="rId13" w:history="1">
        <w:r w:rsidR="001D159A" w:rsidRPr="001D159A">
          <w:rPr>
            <w:rStyle w:val="Hyperlink"/>
            <w:rFonts w:cstheme="minorBidi"/>
          </w:rPr>
          <w:t>Review of the Regulatory Framework for the Safety of Household Electrical Products</w:t>
        </w:r>
      </w:hyperlink>
      <w:r w:rsidR="001D159A">
        <w:rPr>
          <w:color w:val="000000" w:themeColor="text1"/>
        </w:rPr>
        <w:t>, 2025.</w:t>
      </w:r>
    </w:p>
    <w:p w14:paraId="3CD9E6AD" w14:textId="2F4E2D26" w:rsidR="0048511C" w:rsidRDefault="0048511C" w:rsidP="0048511C">
      <w:pPr>
        <w:pStyle w:val="FootnoteText"/>
      </w:pPr>
    </w:p>
  </w:footnote>
  <w:footnote w:id="17">
    <w:p w14:paraId="02573E96" w14:textId="11F4D728" w:rsidR="003C3D75" w:rsidRDefault="003C3D75" w:rsidP="00F93274">
      <w:pPr>
        <w:pStyle w:val="FootnoteText"/>
      </w:pPr>
      <w:r>
        <w:rPr>
          <w:rStyle w:val="FootnoteReference"/>
        </w:rPr>
        <w:footnoteRef/>
      </w:r>
      <w:r>
        <w:t xml:space="preserve"> </w:t>
      </w:r>
      <w:r w:rsidR="00F93274">
        <w:t xml:space="preserve">The Hon Stephen Jones MP, Assistant Treasurer and Minister for Financial Services, </w:t>
      </w:r>
      <w:hyperlink r:id="rId14" w:history="1">
        <w:r w:rsidR="00F93274" w:rsidRPr="00F93274">
          <w:rPr>
            <w:rStyle w:val="Hyperlink"/>
            <w:rFonts w:cstheme="minorBidi"/>
          </w:rPr>
          <w:t>Consumer Affairs Ministers renew commitment to protecting consumers, with an ambitious agenda for 2025</w:t>
        </w:r>
      </w:hyperlink>
      <w:r w:rsidR="00F93274">
        <w:t>, 2024.</w:t>
      </w:r>
    </w:p>
  </w:footnote>
  <w:footnote w:id="18">
    <w:p w14:paraId="27B1B6C8" w14:textId="2ACAF893" w:rsidR="006D416B" w:rsidRDefault="006D416B">
      <w:pPr>
        <w:pStyle w:val="FootnoteText"/>
      </w:pPr>
      <w:r>
        <w:rPr>
          <w:rStyle w:val="FootnoteReference"/>
        </w:rPr>
        <w:footnoteRef/>
      </w:r>
      <w:r>
        <w:t xml:space="preserve"> </w:t>
      </w:r>
      <w:r w:rsidR="00206ADA">
        <w:t xml:space="preserve">Productivity Commission, </w:t>
      </w:r>
      <w:hyperlink r:id="rId15" w:history="1">
        <w:r w:rsidR="00206ADA" w:rsidRPr="003840B7">
          <w:rPr>
            <w:rStyle w:val="Hyperlink"/>
            <w:rFonts w:cstheme="minorBidi"/>
          </w:rPr>
          <w:t>National Competition Policy – Request for Advice</w:t>
        </w:r>
      </w:hyperlink>
      <w:r w:rsidR="00206ADA">
        <w:t>,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FD46" w14:textId="61818B3F" w:rsidR="002034C2" w:rsidRPr="009531BA" w:rsidRDefault="00EB087E" w:rsidP="002034C2">
    <w:pPr>
      <w:spacing w:before="960"/>
      <w:jc w:val="right"/>
      <w:rPr>
        <w:sz w:val="14"/>
        <w:szCs w:val="14"/>
      </w:rPr>
    </w:pPr>
    <w:r w:rsidRPr="009531BA">
      <w:rPr>
        <w:noProof/>
        <w:color w:val="000000" w:themeColor="text1"/>
      </w:rPr>
      <w:drawing>
        <wp:anchor distT="0" distB="0" distL="114300" distR="114300" simplePos="0" relativeHeight="251658241" behindDoc="0" locked="0" layoutInCell="1" allowOverlap="1" wp14:anchorId="1BFAFF34" wp14:editId="0C994F5C">
          <wp:simplePos x="0" y="0"/>
          <wp:positionH relativeFrom="page">
            <wp:posOffset>120015</wp:posOffset>
          </wp:positionH>
          <wp:positionV relativeFrom="page">
            <wp:posOffset>1528331</wp:posOffset>
          </wp:positionV>
          <wp:extent cx="7592822" cy="567690"/>
          <wp:effectExtent l="0" t="0" r="0" b="3810"/>
          <wp:wrapTopAndBottom/>
          <wp:docPr id="1401518407" name="Picture 1401518407" descr="Logos for the Australian Government Department of Finance and the Australian Government Department of the Treasury. These include the name of each department, next to the Australian Coat of Arms. Next to the Australian Treasury logo is the logo of Treasury's Competition review,  featuring a blue picture in the shape of a C, with the words Competition Review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18407" name="Picture 1401518407" descr="Logos for the Australian Government Department of Finance and the Australian Government Department of the Treasury. These include the name of each department, next to the Australian Coat of Arms. Next to the Australian Treasury logo is the logo of Treasury's Competition review,  featuring a blue picture in the shape of a C, with the words Competition Review on the right."/>
                  <pic:cNvPicPr/>
                </pic:nvPicPr>
                <pic:blipFill rotWithShape="1">
                  <a:blip r:embed="rId1">
                    <a:extLst>
                      <a:ext uri="{28A0092B-C50C-407E-A947-70E740481C1C}">
                        <a14:useLocalDpi xmlns:a14="http://schemas.microsoft.com/office/drawing/2010/main" val="0"/>
                      </a:ext>
                    </a:extLst>
                  </a:blip>
                  <a:srcRect t="62369"/>
                  <a:stretch/>
                </pic:blipFill>
                <pic:spPr bwMode="auto">
                  <a:xfrm>
                    <a:off x="0" y="0"/>
                    <a:ext cx="7592822" cy="56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34C2" w:rsidRPr="009531BA">
      <w:rPr>
        <w:noProof/>
        <w:sz w:val="28"/>
        <w:szCs w:val="28"/>
      </w:rPr>
      <w:drawing>
        <wp:anchor distT="0" distB="0" distL="114300" distR="114300" simplePos="0" relativeHeight="251658240" behindDoc="1" locked="0" layoutInCell="1" allowOverlap="1" wp14:anchorId="27185809" wp14:editId="3B03F3A9">
          <wp:simplePos x="0" y="0"/>
          <wp:positionH relativeFrom="page">
            <wp:align>left</wp:align>
          </wp:positionH>
          <wp:positionV relativeFrom="paragraph">
            <wp:posOffset>-361507</wp:posOffset>
          </wp:positionV>
          <wp:extent cx="7578000" cy="10719203"/>
          <wp:effectExtent l="0" t="0" r="4445" b="6350"/>
          <wp:wrapNone/>
          <wp:docPr id="21123267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92994"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8000" cy="107192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E645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30B8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38A8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B289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20DC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2C46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5CE0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A2FB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9EA0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2DEA2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D58B5"/>
    <w:multiLevelType w:val="multilevel"/>
    <w:tmpl w:val="E91EA26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A2F6B80"/>
    <w:multiLevelType w:val="multilevel"/>
    <w:tmpl w:val="437081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8076F6D"/>
    <w:multiLevelType w:val="hybridMultilevel"/>
    <w:tmpl w:val="73446A42"/>
    <w:lvl w:ilvl="0" w:tplc="EA3EFD92">
      <w:start w:val="1"/>
      <w:numFmt w:val="decimal"/>
      <w:lvlText w:val="%1."/>
      <w:lvlJc w:val="left"/>
      <w:pPr>
        <w:ind w:left="644" w:hanging="360"/>
      </w:pPr>
      <w:rPr>
        <w:rFonts w:asciiTheme="minorHAnsi" w:hAnsiTheme="minorHAnsi" w:cstheme="minorHAnsi" w:hint="default"/>
        <w:color w:val="auto"/>
        <w:sz w:val="22"/>
        <w:szCs w:val="22"/>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5" w15:restartNumberingAfterBreak="0">
    <w:nsid w:val="21FF6711"/>
    <w:multiLevelType w:val="hybridMultilevel"/>
    <w:tmpl w:val="99B6740C"/>
    <w:lvl w:ilvl="0" w:tplc="63E60F4A">
      <w:start w:val="1"/>
      <w:numFmt w:val="decimal"/>
      <w:lvlText w:val="%1)"/>
      <w:lvlJc w:val="left"/>
      <w:pPr>
        <w:ind w:left="1020" w:hanging="360"/>
      </w:pPr>
    </w:lvl>
    <w:lvl w:ilvl="1" w:tplc="EEEC65A6">
      <w:start w:val="1"/>
      <w:numFmt w:val="decimal"/>
      <w:lvlText w:val="%2)"/>
      <w:lvlJc w:val="left"/>
      <w:pPr>
        <w:ind w:left="1020" w:hanging="360"/>
      </w:pPr>
    </w:lvl>
    <w:lvl w:ilvl="2" w:tplc="1F10F1A6">
      <w:start w:val="1"/>
      <w:numFmt w:val="decimal"/>
      <w:lvlText w:val="%3)"/>
      <w:lvlJc w:val="left"/>
      <w:pPr>
        <w:ind w:left="1020" w:hanging="360"/>
      </w:pPr>
    </w:lvl>
    <w:lvl w:ilvl="3" w:tplc="18501EA8">
      <w:start w:val="1"/>
      <w:numFmt w:val="decimal"/>
      <w:lvlText w:val="%4)"/>
      <w:lvlJc w:val="left"/>
      <w:pPr>
        <w:ind w:left="1020" w:hanging="360"/>
      </w:pPr>
    </w:lvl>
    <w:lvl w:ilvl="4" w:tplc="68A6343A">
      <w:start w:val="1"/>
      <w:numFmt w:val="decimal"/>
      <w:lvlText w:val="%5)"/>
      <w:lvlJc w:val="left"/>
      <w:pPr>
        <w:ind w:left="1020" w:hanging="360"/>
      </w:pPr>
    </w:lvl>
    <w:lvl w:ilvl="5" w:tplc="0F9C579E">
      <w:start w:val="1"/>
      <w:numFmt w:val="decimal"/>
      <w:lvlText w:val="%6)"/>
      <w:lvlJc w:val="left"/>
      <w:pPr>
        <w:ind w:left="1020" w:hanging="360"/>
      </w:pPr>
    </w:lvl>
    <w:lvl w:ilvl="6" w:tplc="B964C512">
      <w:start w:val="1"/>
      <w:numFmt w:val="decimal"/>
      <w:lvlText w:val="%7)"/>
      <w:lvlJc w:val="left"/>
      <w:pPr>
        <w:ind w:left="1020" w:hanging="360"/>
      </w:pPr>
    </w:lvl>
    <w:lvl w:ilvl="7" w:tplc="DF901D36">
      <w:start w:val="1"/>
      <w:numFmt w:val="decimal"/>
      <w:lvlText w:val="%8)"/>
      <w:lvlJc w:val="left"/>
      <w:pPr>
        <w:ind w:left="1020" w:hanging="360"/>
      </w:pPr>
    </w:lvl>
    <w:lvl w:ilvl="8" w:tplc="055AA9FE">
      <w:start w:val="1"/>
      <w:numFmt w:val="decimal"/>
      <w:lvlText w:val="%9)"/>
      <w:lvlJc w:val="left"/>
      <w:pPr>
        <w:ind w:left="1020" w:hanging="360"/>
      </w:pPr>
    </w:lvl>
  </w:abstractNum>
  <w:abstractNum w:abstractNumId="16" w15:restartNumberingAfterBreak="0">
    <w:nsid w:val="2B9B159F"/>
    <w:multiLevelType w:val="multilevel"/>
    <w:tmpl w:val="1F963B46"/>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47D7525B"/>
    <w:multiLevelType w:val="hybridMultilevel"/>
    <w:tmpl w:val="4652048E"/>
    <w:lvl w:ilvl="0" w:tplc="F83CBD4A">
      <w:start w:val="1"/>
      <w:numFmt w:val="decimal"/>
      <w:lvlText w:val="%1."/>
      <w:lvlJc w:val="left"/>
      <w:pPr>
        <w:ind w:left="1020" w:hanging="360"/>
      </w:pPr>
    </w:lvl>
    <w:lvl w:ilvl="1" w:tplc="3D2C3AA4">
      <w:start w:val="1"/>
      <w:numFmt w:val="decimal"/>
      <w:lvlText w:val="%2."/>
      <w:lvlJc w:val="left"/>
      <w:pPr>
        <w:ind w:left="1020" w:hanging="360"/>
      </w:pPr>
    </w:lvl>
    <w:lvl w:ilvl="2" w:tplc="F48414F2">
      <w:start w:val="1"/>
      <w:numFmt w:val="decimal"/>
      <w:lvlText w:val="%3."/>
      <w:lvlJc w:val="left"/>
      <w:pPr>
        <w:ind w:left="1020" w:hanging="360"/>
      </w:pPr>
    </w:lvl>
    <w:lvl w:ilvl="3" w:tplc="D8084D98">
      <w:start w:val="1"/>
      <w:numFmt w:val="decimal"/>
      <w:lvlText w:val="%4."/>
      <w:lvlJc w:val="left"/>
      <w:pPr>
        <w:ind w:left="1020" w:hanging="360"/>
      </w:pPr>
    </w:lvl>
    <w:lvl w:ilvl="4" w:tplc="24CABC4C">
      <w:start w:val="1"/>
      <w:numFmt w:val="decimal"/>
      <w:lvlText w:val="%5."/>
      <w:lvlJc w:val="left"/>
      <w:pPr>
        <w:ind w:left="1020" w:hanging="360"/>
      </w:pPr>
    </w:lvl>
    <w:lvl w:ilvl="5" w:tplc="2992415A">
      <w:start w:val="1"/>
      <w:numFmt w:val="decimal"/>
      <w:lvlText w:val="%6."/>
      <w:lvlJc w:val="left"/>
      <w:pPr>
        <w:ind w:left="1020" w:hanging="360"/>
      </w:pPr>
    </w:lvl>
    <w:lvl w:ilvl="6" w:tplc="679EB6C8">
      <w:start w:val="1"/>
      <w:numFmt w:val="decimal"/>
      <w:lvlText w:val="%7."/>
      <w:lvlJc w:val="left"/>
      <w:pPr>
        <w:ind w:left="1020" w:hanging="360"/>
      </w:pPr>
    </w:lvl>
    <w:lvl w:ilvl="7" w:tplc="CFB87ED8">
      <w:start w:val="1"/>
      <w:numFmt w:val="decimal"/>
      <w:lvlText w:val="%8."/>
      <w:lvlJc w:val="left"/>
      <w:pPr>
        <w:ind w:left="1020" w:hanging="360"/>
      </w:pPr>
    </w:lvl>
    <w:lvl w:ilvl="8" w:tplc="856E4DA4">
      <w:start w:val="1"/>
      <w:numFmt w:val="decimal"/>
      <w:lvlText w:val="%9."/>
      <w:lvlJc w:val="left"/>
      <w:pPr>
        <w:ind w:left="1020" w:hanging="360"/>
      </w:pPr>
    </w:lvl>
  </w:abstractNum>
  <w:abstractNum w:abstractNumId="18" w15:restartNumberingAfterBreak="0">
    <w:nsid w:val="48D257FC"/>
    <w:multiLevelType w:val="hybridMultilevel"/>
    <w:tmpl w:val="64569A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220D70"/>
    <w:multiLevelType w:val="hybridMultilevel"/>
    <w:tmpl w:val="DA44FD22"/>
    <w:lvl w:ilvl="0" w:tplc="73E0D98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02568F3"/>
    <w:multiLevelType w:val="hybridMultilevel"/>
    <w:tmpl w:val="166A2B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0D2021"/>
    <w:multiLevelType w:val="multilevel"/>
    <w:tmpl w:val="72F8140E"/>
    <w:numStyleLink w:val="OutlineList"/>
  </w:abstractNum>
  <w:abstractNum w:abstractNumId="22" w15:restartNumberingAfterBreak="0">
    <w:nsid w:val="53C20648"/>
    <w:multiLevelType w:val="multilevel"/>
    <w:tmpl w:val="6F30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4"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5" w15:restartNumberingAfterBreak="0">
    <w:nsid w:val="60BD08FA"/>
    <w:multiLevelType w:val="hybridMultilevel"/>
    <w:tmpl w:val="6620679A"/>
    <w:lvl w:ilvl="0" w:tplc="3906F7A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BB2658F"/>
    <w:multiLevelType w:val="multilevel"/>
    <w:tmpl w:val="036EEAAC"/>
    <w:name w:val="StandardBulletedList"/>
    <w:lvl w:ilvl="0">
      <w:start w:val="1"/>
      <w:numFmt w:val="bullet"/>
      <w:pStyle w:val="Bullet"/>
      <w:lvlText w:val="•"/>
      <w:lvlJc w:val="left"/>
      <w:pPr>
        <w:tabs>
          <w:tab w:val="num" w:pos="378"/>
        </w:tabs>
        <w:ind w:left="378" w:hanging="378"/>
      </w:pPr>
      <w:rPr>
        <w:rFonts w:ascii="Times New Roman" w:hAnsi="Times New Roman" w:cs="Times New Roman"/>
      </w:rPr>
    </w:lvl>
    <w:lvl w:ilvl="1">
      <w:start w:val="1"/>
      <w:numFmt w:val="bullet"/>
      <w:pStyle w:val="Dash"/>
      <w:lvlText w:val="–"/>
      <w:lvlJc w:val="left"/>
      <w:pPr>
        <w:tabs>
          <w:tab w:val="num" w:pos="756"/>
        </w:tabs>
        <w:ind w:left="756" w:hanging="378"/>
      </w:pPr>
      <w:rPr>
        <w:rFonts w:ascii="Times New Roman" w:hAnsi="Times New Roman" w:cs="Times New Roman"/>
      </w:rPr>
    </w:lvl>
    <w:lvl w:ilvl="2">
      <w:start w:val="1"/>
      <w:numFmt w:val="bullet"/>
      <w:pStyle w:val="DoubleDot"/>
      <w:lvlText w:val=":"/>
      <w:lvlJc w:val="left"/>
      <w:pPr>
        <w:tabs>
          <w:tab w:val="num" w:pos="1134"/>
        </w:tabs>
        <w:ind w:left="1134" w:hanging="378"/>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C861E2F"/>
    <w:multiLevelType w:val="hybridMultilevel"/>
    <w:tmpl w:val="36CCB0A8"/>
    <w:lvl w:ilvl="0" w:tplc="903A9F0C">
      <w:start w:val="1"/>
      <w:numFmt w:val="decimal"/>
      <w:lvlText w:val="%1."/>
      <w:lvlJc w:val="left"/>
      <w:pPr>
        <w:ind w:left="1020" w:hanging="360"/>
      </w:pPr>
    </w:lvl>
    <w:lvl w:ilvl="1" w:tplc="24CC034C">
      <w:start w:val="1"/>
      <w:numFmt w:val="decimal"/>
      <w:lvlText w:val="%2."/>
      <w:lvlJc w:val="left"/>
      <w:pPr>
        <w:ind w:left="1020" w:hanging="360"/>
      </w:pPr>
    </w:lvl>
    <w:lvl w:ilvl="2" w:tplc="D05E456E">
      <w:start w:val="1"/>
      <w:numFmt w:val="decimal"/>
      <w:lvlText w:val="%3."/>
      <w:lvlJc w:val="left"/>
      <w:pPr>
        <w:ind w:left="1020" w:hanging="360"/>
      </w:pPr>
    </w:lvl>
    <w:lvl w:ilvl="3" w:tplc="2402D26A">
      <w:start w:val="1"/>
      <w:numFmt w:val="decimal"/>
      <w:lvlText w:val="%4."/>
      <w:lvlJc w:val="left"/>
      <w:pPr>
        <w:ind w:left="1020" w:hanging="360"/>
      </w:pPr>
    </w:lvl>
    <w:lvl w:ilvl="4" w:tplc="EA80F78E">
      <w:start w:val="1"/>
      <w:numFmt w:val="decimal"/>
      <w:lvlText w:val="%5."/>
      <w:lvlJc w:val="left"/>
      <w:pPr>
        <w:ind w:left="1020" w:hanging="360"/>
      </w:pPr>
    </w:lvl>
    <w:lvl w:ilvl="5" w:tplc="ACDE4DA0">
      <w:start w:val="1"/>
      <w:numFmt w:val="decimal"/>
      <w:lvlText w:val="%6."/>
      <w:lvlJc w:val="left"/>
      <w:pPr>
        <w:ind w:left="1020" w:hanging="360"/>
      </w:pPr>
    </w:lvl>
    <w:lvl w:ilvl="6" w:tplc="801ADC08">
      <w:start w:val="1"/>
      <w:numFmt w:val="decimal"/>
      <w:lvlText w:val="%7."/>
      <w:lvlJc w:val="left"/>
      <w:pPr>
        <w:ind w:left="1020" w:hanging="360"/>
      </w:pPr>
    </w:lvl>
    <w:lvl w:ilvl="7" w:tplc="9F5C3B56">
      <w:start w:val="1"/>
      <w:numFmt w:val="decimal"/>
      <w:lvlText w:val="%8."/>
      <w:lvlJc w:val="left"/>
      <w:pPr>
        <w:ind w:left="1020" w:hanging="360"/>
      </w:pPr>
    </w:lvl>
    <w:lvl w:ilvl="8" w:tplc="E62E05AA">
      <w:start w:val="1"/>
      <w:numFmt w:val="decimal"/>
      <w:lvlText w:val="%9."/>
      <w:lvlJc w:val="left"/>
      <w:pPr>
        <w:ind w:left="1020" w:hanging="360"/>
      </w:pPr>
    </w:lvl>
  </w:abstractNum>
  <w:abstractNum w:abstractNumId="28"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9" w15:restartNumberingAfterBreak="0">
    <w:nsid w:val="7E056986"/>
    <w:multiLevelType w:val="hybridMultilevel"/>
    <w:tmpl w:val="2AA2F438"/>
    <w:lvl w:ilvl="0" w:tplc="C9240282">
      <w:start w:val="1"/>
      <w:numFmt w:val="decimal"/>
      <w:lvlText w:val="%1."/>
      <w:lvlJc w:val="left"/>
      <w:pPr>
        <w:ind w:left="1020" w:hanging="360"/>
      </w:pPr>
    </w:lvl>
    <w:lvl w:ilvl="1" w:tplc="96002928">
      <w:start w:val="1"/>
      <w:numFmt w:val="decimal"/>
      <w:lvlText w:val="%2."/>
      <w:lvlJc w:val="left"/>
      <w:pPr>
        <w:ind w:left="1020" w:hanging="360"/>
      </w:pPr>
    </w:lvl>
    <w:lvl w:ilvl="2" w:tplc="3D8EBAC2">
      <w:start w:val="1"/>
      <w:numFmt w:val="decimal"/>
      <w:lvlText w:val="%3."/>
      <w:lvlJc w:val="left"/>
      <w:pPr>
        <w:ind w:left="1020" w:hanging="360"/>
      </w:pPr>
    </w:lvl>
    <w:lvl w:ilvl="3" w:tplc="5052DD26">
      <w:start w:val="1"/>
      <w:numFmt w:val="decimal"/>
      <w:lvlText w:val="%4."/>
      <w:lvlJc w:val="left"/>
      <w:pPr>
        <w:ind w:left="1020" w:hanging="360"/>
      </w:pPr>
    </w:lvl>
    <w:lvl w:ilvl="4" w:tplc="AF70F380">
      <w:start w:val="1"/>
      <w:numFmt w:val="decimal"/>
      <w:lvlText w:val="%5."/>
      <w:lvlJc w:val="left"/>
      <w:pPr>
        <w:ind w:left="1020" w:hanging="360"/>
      </w:pPr>
    </w:lvl>
    <w:lvl w:ilvl="5" w:tplc="0744409E">
      <w:start w:val="1"/>
      <w:numFmt w:val="decimal"/>
      <w:lvlText w:val="%6."/>
      <w:lvlJc w:val="left"/>
      <w:pPr>
        <w:ind w:left="1020" w:hanging="360"/>
      </w:pPr>
    </w:lvl>
    <w:lvl w:ilvl="6" w:tplc="65A8769E">
      <w:start w:val="1"/>
      <w:numFmt w:val="decimal"/>
      <w:lvlText w:val="%7."/>
      <w:lvlJc w:val="left"/>
      <w:pPr>
        <w:ind w:left="1020" w:hanging="360"/>
      </w:pPr>
    </w:lvl>
    <w:lvl w:ilvl="7" w:tplc="24C607E2">
      <w:start w:val="1"/>
      <w:numFmt w:val="decimal"/>
      <w:lvlText w:val="%8."/>
      <w:lvlJc w:val="left"/>
      <w:pPr>
        <w:ind w:left="1020" w:hanging="360"/>
      </w:pPr>
    </w:lvl>
    <w:lvl w:ilvl="8" w:tplc="BB1A8434">
      <w:start w:val="1"/>
      <w:numFmt w:val="decimal"/>
      <w:lvlText w:val="%9."/>
      <w:lvlJc w:val="left"/>
      <w:pPr>
        <w:ind w:left="1020" w:hanging="360"/>
      </w:pPr>
    </w:lvl>
  </w:abstractNum>
  <w:num w:numId="1" w16cid:durableId="1163086956">
    <w:abstractNumId w:val="28"/>
  </w:num>
  <w:num w:numId="2" w16cid:durableId="17287237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5368285">
    <w:abstractNumId w:val="11"/>
  </w:num>
  <w:num w:numId="4" w16cid:durableId="15622798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14632745">
    <w:abstractNumId w:val="16"/>
  </w:num>
  <w:num w:numId="6" w16cid:durableId="3772445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714247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67241631">
    <w:abstractNumId w:val="12"/>
  </w:num>
  <w:num w:numId="9" w16cid:durableId="387343305">
    <w:abstractNumId w:val="23"/>
  </w:num>
  <w:num w:numId="10" w16cid:durableId="1466657515">
    <w:abstractNumId w:val="24"/>
  </w:num>
  <w:num w:numId="11" w16cid:durableId="515266657">
    <w:abstractNumId w:val="9"/>
  </w:num>
  <w:num w:numId="12" w16cid:durableId="1491215166">
    <w:abstractNumId w:val="7"/>
  </w:num>
  <w:num w:numId="13" w16cid:durableId="376512941">
    <w:abstractNumId w:val="6"/>
  </w:num>
  <w:num w:numId="14" w16cid:durableId="737439907">
    <w:abstractNumId w:val="5"/>
  </w:num>
  <w:num w:numId="15" w16cid:durableId="607543685">
    <w:abstractNumId w:val="4"/>
  </w:num>
  <w:num w:numId="16" w16cid:durableId="996542678">
    <w:abstractNumId w:val="8"/>
  </w:num>
  <w:num w:numId="17" w16cid:durableId="818113872">
    <w:abstractNumId w:val="3"/>
  </w:num>
  <w:num w:numId="18" w16cid:durableId="512839020">
    <w:abstractNumId w:val="2"/>
  </w:num>
  <w:num w:numId="19" w16cid:durableId="945969257">
    <w:abstractNumId w:val="1"/>
  </w:num>
  <w:num w:numId="20" w16cid:durableId="1971396324">
    <w:abstractNumId w:val="0"/>
  </w:num>
  <w:num w:numId="21" w16cid:durableId="841505170">
    <w:abstractNumId w:val="18"/>
  </w:num>
  <w:num w:numId="22" w16cid:durableId="1082680869">
    <w:abstractNumId w:val="14"/>
  </w:num>
  <w:num w:numId="23" w16cid:durableId="797724066">
    <w:abstractNumId w:val="13"/>
  </w:num>
  <w:num w:numId="24" w16cid:durableId="306596971">
    <w:abstractNumId w:val="21"/>
  </w:num>
  <w:num w:numId="25" w16cid:durableId="11302986">
    <w:abstractNumId w:val="22"/>
  </w:num>
  <w:num w:numId="26" w16cid:durableId="293828490">
    <w:abstractNumId w:val="19"/>
  </w:num>
  <w:num w:numId="27" w16cid:durableId="343048070">
    <w:abstractNumId w:val="25"/>
  </w:num>
  <w:num w:numId="28" w16cid:durableId="1655639470">
    <w:abstractNumId w:val="26"/>
  </w:num>
  <w:num w:numId="29" w16cid:durableId="1097408478">
    <w:abstractNumId w:val="20"/>
  </w:num>
  <w:num w:numId="30" w16cid:durableId="1053700157">
    <w:abstractNumId w:val="10"/>
  </w:num>
  <w:num w:numId="31" w16cid:durableId="2105227269">
    <w:abstractNumId w:val="15"/>
  </w:num>
  <w:num w:numId="32" w16cid:durableId="854809199">
    <w:abstractNumId w:val="29"/>
  </w:num>
  <w:num w:numId="33" w16cid:durableId="2035184273">
    <w:abstractNumId w:val="17"/>
  </w:num>
  <w:num w:numId="34" w16cid:durableId="154386115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D23"/>
    <w:rsid w:val="00001561"/>
    <w:rsid w:val="00001A25"/>
    <w:rsid w:val="00003C71"/>
    <w:rsid w:val="00003EDE"/>
    <w:rsid w:val="00003FC0"/>
    <w:rsid w:val="00006D68"/>
    <w:rsid w:val="00007C39"/>
    <w:rsid w:val="00010557"/>
    <w:rsid w:val="00010ED2"/>
    <w:rsid w:val="000125F9"/>
    <w:rsid w:val="00013AAE"/>
    <w:rsid w:val="00013DDD"/>
    <w:rsid w:val="000169CB"/>
    <w:rsid w:val="00017021"/>
    <w:rsid w:val="000175DC"/>
    <w:rsid w:val="00020A39"/>
    <w:rsid w:val="000211DF"/>
    <w:rsid w:val="00021D4C"/>
    <w:rsid w:val="00021D7F"/>
    <w:rsid w:val="000235F4"/>
    <w:rsid w:val="000238D8"/>
    <w:rsid w:val="00023B0D"/>
    <w:rsid w:val="00023E7F"/>
    <w:rsid w:val="00023F0B"/>
    <w:rsid w:val="00027057"/>
    <w:rsid w:val="00027150"/>
    <w:rsid w:val="0002782F"/>
    <w:rsid w:val="00030731"/>
    <w:rsid w:val="00030732"/>
    <w:rsid w:val="00030FCD"/>
    <w:rsid w:val="00031271"/>
    <w:rsid w:val="00032BAC"/>
    <w:rsid w:val="00032C2E"/>
    <w:rsid w:val="00033157"/>
    <w:rsid w:val="000332B4"/>
    <w:rsid w:val="00033344"/>
    <w:rsid w:val="00033B05"/>
    <w:rsid w:val="000348B8"/>
    <w:rsid w:val="00036241"/>
    <w:rsid w:val="0003704C"/>
    <w:rsid w:val="00040814"/>
    <w:rsid w:val="000419F2"/>
    <w:rsid w:val="00042582"/>
    <w:rsid w:val="000426C2"/>
    <w:rsid w:val="000432BA"/>
    <w:rsid w:val="000440FC"/>
    <w:rsid w:val="0004429D"/>
    <w:rsid w:val="0004540B"/>
    <w:rsid w:val="00045412"/>
    <w:rsid w:val="0005084B"/>
    <w:rsid w:val="00051AAA"/>
    <w:rsid w:val="000520BC"/>
    <w:rsid w:val="00053F85"/>
    <w:rsid w:val="00054131"/>
    <w:rsid w:val="00054E4D"/>
    <w:rsid w:val="00055496"/>
    <w:rsid w:val="00056BCB"/>
    <w:rsid w:val="000578C1"/>
    <w:rsid w:val="00060073"/>
    <w:rsid w:val="000603C7"/>
    <w:rsid w:val="00060AE8"/>
    <w:rsid w:val="00060EDB"/>
    <w:rsid w:val="00062CB2"/>
    <w:rsid w:val="000641D5"/>
    <w:rsid w:val="00064D43"/>
    <w:rsid w:val="000659A8"/>
    <w:rsid w:val="00066FCC"/>
    <w:rsid w:val="00066FFA"/>
    <w:rsid w:val="0007093F"/>
    <w:rsid w:val="00070CB1"/>
    <w:rsid w:val="0007106F"/>
    <w:rsid w:val="000726D4"/>
    <w:rsid w:val="00072AE5"/>
    <w:rsid w:val="000732C5"/>
    <w:rsid w:val="0007389A"/>
    <w:rsid w:val="00074CE3"/>
    <w:rsid w:val="00074D8D"/>
    <w:rsid w:val="000758CC"/>
    <w:rsid w:val="00077736"/>
    <w:rsid w:val="00081712"/>
    <w:rsid w:val="00081F62"/>
    <w:rsid w:val="000829F4"/>
    <w:rsid w:val="00084053"/>
    <w:rsid w:val="000845CB"/>
    <w:rsid w:val="00084789"/>
    <w:rsid w:val="000868FB"/>
    <w:rsid w:val="00087196"/>
    <w:rsid w:val="000873D3"/>
    <w:rsid w:val="000873F1"/>
    <w:rsid w:val="00087707"/>
    <w:rsid w:val="00090123"/>
    <w:rsid w:val="000906AB"/>
    <w:rsid w:val="000906D8"/>
    <w:rsid w:val="00091312"/>
    <w:rsid w:val="00092A1E"/>
    <w:rsid w:val="00095301"/>
    <w:rsid w:val="000958E6"/>
    <w:rsid w:val="00097387"/>
    <w:rsid w:val="000977C2"/>
    <w:rsid w:val="000A063D"/>
    <w:rsid w:val="000A1E43"/>
    <w:rsid w:val="000A3896"/>
    <w:rsid w:val="000A479E"/>
    <w:rsid w:val="000A48E7"/>
    <w:rsid w:val="000A4B30"/>
    <w:rsid w:val="000A6A8B"/>
    <w:rsid w:val="000A7241"/>
    <w:rsid w:val="000A78AD"/>
    <w:rsid w:val="000B10FE"/>
    <w:rsid w:val="000B11FC"/>
    <w:rsid w:val="000B14E7"/>
    <w:rsid w:val="000B48EC"/>
    <w:rsid w:val="000B4E73"/>
    <w:rsid w:val="000B5043"/>
    <w:rsid w:val="000B538D"/>
    <w:rsid w:val="000B5FD0"/>
    <w:rsid w:val="000B603A"/>
    <w:rsid w:val="000C005F"/>
    <w:rsid w:val="000C2A48"/>
    <w:rsid w:val="000C3AE1"/>
    <w:rsid w:val="000C5D3A"/>
    <w:rsid w:val="000C5E2C"/>
    <w:rsid w:val="000C5F75"/>
    <w:rsid w:val="000C624A"/>
    <w:rsid w:val="000C6351"/>
    <w:rsid w:val="000C741A"/>
    <w:rsid w:val="000C78FB"/>
    <w:rsid w:val="000C79B6"/>
    <w:rsid w:val="000D0C06"/>
    <w:rsid w:val="000D0F47"/>
    <w:rsid w:val="000D1047"/>
    <w:rsid w:val="000D106A"/>
    <w:rsid w:val="000D2B12"/>
    <w:rsid w:val="000D2FDF"/>
    <w:rsid w:val="000D4CDC"/>
    <w:rsid w:val="000D52FC"/>
    <w:rsid w:val="000D5E5E"/>
    <w:rsid w:val="000D60B1"/>
    <w:rsid w:val="000D66F7"/>
    <w:rsid w:val="000D6CF6"/>
    <w:rsid w:val="000D78CF"/>
    <w:rsid w:val="000D7D8A"/>
    <w:rsid w:val="000E014B"/>
    <w:rsid w:val="000E04CC"/>
    <w:rsid w:val="000E355B"/>
    <w:rsid w:val="000E3CD1"/>
    <w:rsid w:val="000E4443"/>
    <w:rsid w:val="000E509D"/>
    <w:rsid w:val="000E5EFE"/>
    <w:rsid w:val="000E6BA7"/>
    <w:rsid w:val="000E7472"/>
    <w:rsid w:val="000E770F"/>
    <w:rsid w:val="000F0EF0"/>
    <w:rsid w:val="000F0F85"/>
    <w:rsid w:val="000F1B08"/>
    <w:rsid w:val="000F1B92"/>
    <w:rsid w:val="000F2382"/>
    <w:rsid w:val="000F2E2C"/>
    <w:rsid w:val="000F2F88"/>
    <w:rsid w:val="000F34BC"/>
    <w:rsid w:val="000F3E4C"/>
    <w:rsid w:val="000F5674"/>
    <w:rsid w:val="000F67FF"/>
    <w:rsid w:val="000F7343"/>
    <w:rsid w:val="00102DC5"/>
    <w:rsid w:val="00102FE9"/>
    <w:rsid w:val="00103F59"/>
    <w:rsid w:val="00105328"/>
    <w:rsid w:val="00106A70"/>
    <w:rsid w:val="00107358"/>
    <w:rsid w:val="00110448"/>
    <w:rsid w:val="001107E9"/>
    <w:rsid w:val="00110A29"/>
    <w:rsid w:val="00111D25"/>
    <w:rsid w:val="00112FCD"/>
    <w:rsid w:val="0011381B"/>
    <w:rsid w:val="00115E5F"/>
    <w:rsid w:val="001166C9"/>
    <w:rsid w:val="0011697C"/>
    <w:rsid w:val="0011726D"/>
    <w:rsid w:val="00121121"/>
    <w:rsid w:val="00122689"/>
    <w:rsid w:val="001234CE"/>
    <w:rsid w:val="00123CDB"/>
    <w:rsid w:val="001249AC"/>
    <w:rsid w:val="00124FE8"/>
    <w:rsid w:val="001252C5"/>
    <w:rsid w:val="00126B2F"/>
    <w:rsid w:val="001270CF"/>
    <w:rsid w:val="00127330"/>
    <w:rsid w:val="00127BD4"/>
    <w:rsid w:val="00127C23"/>
    <w:rsid w:val="00127F04"/>
    <w:rsid w:val="00130624"/>
    <w:rsid w:val="00130A07"/>
    <w:rsid w:val="00131797"/>
    <w:rsid w:val="001318F6"/>
    <w:rsid w:val="001320B0"/>
    <w:rsid w:val="00132679"/>
    <w:rsid w:val="00136530"/>
    <w:rsid w:val="001370A6"/>
    <w:rsid w:val="00137266"/>
    <w:rsid w:val="001408D3"/>
    <w:rsid w:val="001415F9"/>
    <w:rsid w:val="00141FAF"/>
    <w:rsid w:val="001424D8"/>
    <w:rsid w:val="00142527"/>
    <w:rsid w:val="001435D6"/>
    <w:rsid w:val="00143D19"/>
    <w:rsid w:val="00144364"/>
    <w:rsid w:val="001460C7"/>
    <w:rsid w:val="001472CB"/>
    <w:rsid w:val="001503A5"/>
    <w:rsid w:val="00151992"/>
    <w:rsid w:val="00151E30"/>
    <w:rsid w:val="0015213C"/>
    <w:rsid w:val="001525F0"/>
    <w:rsid w:val="00152DC0"/>
    <w:rsid w:val="00153505"/>
    <w:rsid w:val="00153731"/>
    <w:rsid w:val="00153FC8"/>
    <w:rsid w:val="001541EA"/>
    <w:rsid w:val="00154551"/>
    <w:rsid w:val="00156250"/>
    <w:rsid w:val="00156338"/>
    <w:rsid w:val="00156974"/>
    <w:rsid w:val="001608E1"/>
    <w:rsid w:val="0016099A"/>
    <w:rsid w:val="00160E38"/>
    <w:rsid w:val="001612A4"/>
    <w:rsid w:val="001618CB"/>
    <w:rsid w:val="0016190E"/>
    <w:rsid w:val="0016253A"/>
    <w:rsid w:val="00163EB5"/>
    <w:rsid w:val="001640DC"/>
    <w:rsid w:val="001659EF"/>
    <w:rsid w:val="00165C86"/>
    <w:rsid w:val="00165F6B"/>
    <w:rsid w:val="001708FA"/>
    <w:rsid w:val="00171E99"/>
    <w:rsid w:val="00172200"/>
    <w:rsid w:val="00174A37"/>
    <w:rsid w:val="00174AFF"/>
    <w:rsid w:val="00174D1D"/>
    <w:rsid w:val="00175ED0"/>
    <w:rsid w:val="001760CF"/>
    <w:rsid w:val="0017649A"/>
    <w:rsid w:val="00180375"/>
    <w:rsid w:val="001806D5"/>
    <w:rsid w:val="00180AB5"/>
    <w:rsid w:val="0018147B"/>
    <w:rsid w:val="00182BBB"/>
    <w:rsid w:val="00185917"/>
    <w:rsid w:val="001862A3"/>
    <w:rsid w:val="00187F99"/>
    <w:rsid w:val="0019020F"/>
    <w:rsid w:val="001910DB"/>
    <w:rsid w:val="001921B1"/>
    <w:rsid w:val="00192CF1"/>
    <w:rsid w:val="0019363F"/>
    <w:rsid w:val="001954EF"/>
    <w:rsid w:val="00195C7D"/>
    <w:rsid w:val="0019638F"/>
    <w:rsid w:val="0019728A"/>
    <w:rsid w:val="001979C5"/>
    <w:rsid w:val="001A0589"/>
    <w:rsid w:val="001A1116"/>
    <w:rsid w:val="001A207C"/>
    <w:rsid w:val="001A2421"/>
    <w:rsid w:val="001A3D3A"/>
    <w:rsid w:val="001A4E97"/>
    <w:rsid w:val="001A65AB"/>
    <w:rsid w:val="001A6E14"/>
    <w:rsid w:val="001A733A"/>
    <w:rsid w:val="001A77CF"/>
    <w:rsid w:val="001A7CD6"/>
    <w:rsid w:val="001B0FC4"/>
    <w:rsid w:val="001B2E82"/>
    <w:rsid w:val="001B35D1"/>
    <w:rsid w:val="001B42FA"/>
    <w:rsid w:val="001B58A9"/>
    <w:rsid w:val="001B5DF8"/>
    <w:rsid w:val="001B790B"/>
    <w:rsid w:val="001B7DAD"/>
    <w:rsid w:val="001C3391"/>
    <w:rsid w:val="001C4759"/>
    <w:rsid w:val="001C4F9F"/>
    <w:rsid w:val="001C5582"/>
    <w:rsid w:val="001C60CA"/>
    <w:rsid w:val="001C6E5F"/>
    <w:rsid w:val="001D03CF"/>
    <w:rsid w:val="001D0B02"/>
    <w:rsid w:val="001D159A"/>
    <w:rsid w:val="001D1CCF"/>
    <w:rsid w:val="001D2233"/>
    <w:rsid w:val="001D2446"/>
    <w:rsid w:val="001D2C97"/>
    <w:rsid w:val="001D3DA0"/>
    <w:rsid w:val="001D46C3"/>
    <w:rsid w:val="001D4C51"/>
    <w:rsid w:val="001D573F"/>
    <w:rsid w:val="001D6153"/>
    <w:rsid w:val="001D6E36"/>
    <w:rsid w:val="001D7210"/>
    <w:rsid w:val="001D7364"/>
    <w:rsid w:val="001D7B59"/>
    <w:rsid w:val="001D7EB4"/>
    <w:rsid w:val="001E030D"/>
    <w:rsid w:val="001E0457"/>
    <w:rsid w:val="001E099D"/>
    <w:rsid w:val="001E1DC0"/>
    <w:rsid w:val="001E249B"/>
    <w:rsid w:val="001E25AC"/>
    <w:rsid w:val="001E34F0"/>
    <w:rsid w:val="001E5EA6"/>
    <w:rsid w:val="001E7397"/>
    <w:rsid w:val="001F0FCF"/>
    <w:rsid w:val="001F23CA"/>
    <w:rsid w:val="001F3060"/>
    <w:rsid w:val="001F5D5D"/>
    <w:rsid w:val="001F6EA1"/>
    <w:rsid w:val="001F79BE"/>
    <w:rsid w:val="0020122A"/>
    <w:rsid w:val="0020222F"/>
    <w:rsid w:val="002027B0"/>
    <w:rsid w:val="00202F15"/>
    <w:rsid w:val="0020331A"/>
    <w:rsid w:val="002034C2"/>
    <w:rsid w:val="0020476F"/>
    <w:rsid w:val="00204C9B"/>
    <w:rsid w:val="00205524"/>
    <w:rsid w:val="002069F3"/>
    <w:rsid w:val="00206ADA"/>
    <w:rsid w:val="00206F58"/>
    <w:rsid w:val="00207598"/>
    <w:rsid w:val="00211883"/>
    <w:rsid w:val="00212B82"/>
    <w:rsid w:val="00213384"/>
    <w:rsid w:val="00214F75"/>
    <w:rsid w:val="002150FB"/>
    <w:rsid w:val="002161FF"/>
    <w:rsid w:val="00217A49"/>
    <w:rsid w:val="00222A39"/>
    <w:rsid w:val="00222C7A"/>
    <w:rsid w:val="00222D10"/>
    <w:rsid w:val="00222F75"/>
    <w:rsid w:val="002231BC"/>
    <w:rsid w:val="00225430"/>
    <w:rsid w:val="00226809"/>
    <w:rsid w:val="00226902"/>
    <w:rsid w:val="002272FC"/>
    <w:rsid w:val="00230113"/>
    <w:rsid w:val="00230E62"/>
    <w:rsid w:val="00231ACF"/>
    <w:rsid w:val="00232179"/>
    <w:rsid w:val="00232CDD"/>
    <w:rsid w:val="00233D2F"/>
    <w:rsid w:val="0023505E"/>
    <w:rsid w:val="0023505F"/>
    <w:rsid w:val="00235271"/>
    <w:rsid w:val="00235760"/>
    <w:rsid w:val="00236233"/>
    <w:rsid w:val="00236638"/>
    <w:rsid w:val="002366B9"/>
    <w:rsid w:val="00237310"/>
    <w:rsid w:val="0024188B"/>
    <w:rsid w:val="002420BB"/>
    <w:rsid w:val="00242B33"/>
    <w:rsid w:val="0024553B"/>
    <w:rsid w:val="00245C19"/>
    <w:rsid w:val="00247D35"/>
    <w:rsid w:val="00247DF0"/>
    <w:rsid w:val="00250395"/>
    <w:rsid w:val="00250C21"/>
    <w:rsid w:val="00252547"/>
    <w:rsid w:val="00252578"/>
    <w:rsid w:val="0025264D"/>
    <w:rsid w:val="002571DD"/>
    <w:rsid w:val="00257B6F"/>
    <w:rsid w:val="00262325"/>
    <w:rsid w:val="00262478"/>
    <w:rsid w:val="002628AF"/>
    <w:rsid w:val="00264395"/>
    <w:rsid w:val="00265918"/>
    <w:rsid w:val="0026637C"/>
    <w:rsid w:val="00266C0C"/>
    <w:rsid w:val="00267B94"/>
    <w:rsid w:val="00267CBC"/>
    <w:rsid w:val="002704A2"/>
    <w:rsid w:val="00270954"/>
    <w:rsid w:val="00271518"/>
    <w:rsid w:val="0027220C"/>
    <w:rsid w:val="00272E07"/>
    <w:rsid w:val="00273A89"/>
    <w:rsid w:val="00274114"/>
    <w:rsid w:val="002745EB"/>
    <w:rsid w:val="00276023"/>
    <w:rsid w:val="00276BF7"/>
    <w:rsid w:val="00276D54"/>
    <w:rsid w:val="00276DB7"/>
    <w:rsid w:val="00277E1B"/>
    <w:rsid w:val="00277F31"/>
    <w:rsid w:val="002813AD"/>
    <w:rsid w:val="00281602"/>
    <w:rsid w:val="0028232F"/>
    <w:rsid w:val="002834E5"/>
    <w:rsid w:val="0028392C"/>
    <w:rsid w:val="00284D5D"/>
    <w:rsid w:val="00284DA0"/>
    <w:rsid w:val="00284DDB"/>
    <w:rsid w:val="0028602A"/>
    <w:rsid w:val="00287C2F"/>
    <w:rsid w:val="00287DBE"/>
    <w:rsid w:val="002911E8"/>
    <w:rsid w:val="002919C6"/>
    <w:rsid w:val="00292E5C"/>
    <w:rsid w:val="002936FA"/>
    <w:rsid w:val="002937B4"/>
    <w:rsid w:val="00293C8A"/>
    <w:rsid w:val="002950F5"/>
    <w:rsid w:val="002951D6"/>
    <w:rsid w:val="00295B87"/>
    <w:rsid w:val="002961FA"/>
    <w:rsid w:val="00296531"/>
    <w:rsid w:val="002965FB"/>
    <w:rsid w:val="00296829"/>
    <w:rsid w:val="00296B9D"/>
    <w:rsid w:val="00297DEE"/>
    <w:rsid w:val="002A09C0"/>
    <w:rsid w:val="002A0FEF"/>
    <w:rsid w:val="002A164A"/>
    <w:rsid w:val="002A24E5"/>
    <w:rsid w:val="002A3315"/>
    <w:rsid w:val="002A6A6C"/>
    <w:rsid w:val="002A7849"/>
    <w:rsid w:val="002B083F"/>
    <w:rsid w:val="002B2AB4"/>
    <w:rsid w:val="002B3EF9"/>
    <w:rsid w:val="002B4312"/>
    <w:rsid w:val="002B433D"/>
    <w:rsid w:val="002B5D66"/>
    <w:rsid w:val="002B671F"/>
    <w:rsid w:val="002B67E0"/>
    <w:rsid w:val="002B70C3"/>
    <w:rsid w:val="002B7879"/>
    <w:rsid w:val="002C07B5"/>
    <w:rsid w:val="002C07CE"/>
    <w:rsid w:val="002C33DB"/>
    <w:rsid w:val="002C48C7"/>
    <w:rsid w:val="002C4A8A"/>
    <w:rsid w:val="002C4A9A"/>
    <w:rsid w:val="002C4F31"/>
    <w:rsid w:val="002C537E"/>
    <w:rsid w:val="002C779F"/>
    <w:rsid w:val="002C7AE7"/>
    <w:rsid w:val="002C7B78"/>
    <w:rsid w:val="002C7E6A"/>
    <w:rsid w:val="002D06D8"/>
    <w:rsid w:val="002D088D"/>
    <w:rsid w:val="002D0EAB"/>
    <w:rsid w:val="002D3D3A"/>
    <w:rsid w:val="002D4E74"/>
    <w:rsid w:val="002D59A2"/>
    <w:rsid w:val="002D5FCE"/>
    <w:rsid w:val="002D7620"/>
    <w:rsid w:val="002D79D8"/>
    <w:rsid w:val="002D7F47"/>
    <w:rsid w:val="002E2980"/>
    <w:rsid w:val="002E2F2B"/>
    <w:rsid w:val="002E3523"/>
    <w:rsid w:val="002E358D"/>
    <w:rsid w:val="002E3725"/>
    <w:rsid w:val="002E5FD6"/>
    <w:rsid w:val="002E6C6E"/>
    <w:rsid w:val="002E733C"/>
    <w:rsid w:val="002E7F81"/>
    <w:rsid w:val="002F0136"/>
    <w:rsid w:val="002F07BF"/>
    <w:rsid w:val="002F2A5D"/>
    <w:rsid w:val="002F313C"/>
    <w:rsid w:val="002F4443"/>
    <w:rsid w:val="002F5017"/>
    <w:rsid w:val="002F54C5"/>
    <w:rsid w:val="002F7905"/>
    <w:rsid w:val="002F7FE8"/>
    <w:rsid w:val="003000DE"/>
    <w:rsid w:val="00301144"/>
    <w:rsid w:val="003013EA"/>
    <w:rsid w:val="003020B9"/>
    <w:rsid w:val="003021FA"/>
    <w:rsid w:val="00304333"/>
    <w:rsid w:val="00305BC6"/>
    <w:rsid w:val="00306927"/>
    <w:rsid w:val="00307C13"/>
    <w:rsid w:val="00310D44"/>
    <w:rsid w:val="00310DDE"/>
    <w:rsid w:val="003113E8"/>
    <w:rsid w:val="00311638"/>
    <w:rsid w:val="00311918"/>
    <w:rsid w:val="00311D0D"/>
    <w:rsid w:val="003121A2"/>
    <w:rsid w:val="00313992"/>
    <w:rsid w:val="00313C65"/>
    <w:rsid w:val="00313CF2"/>
    <w:rsid w:val="003148B7"/>
    <w:rsid w:val="00314971"/>
    <w:rsid w:val="003151B1"/>
    <w:rsid w:val="003152DA"/>
    <w:rsid w:val="003158C3"/>
    <w:rsid w:val="003165CB"/>
    <w:rsid w:val="003176E0"/>
    <w:rsid w:val="003202E1"/>
    <w:rsid w:val="00320E26"/>
    <w:rsid w:val="00320FE3"/>
    <w:rsid w:val="003227BC"/>
    <w:rsid w:val="00322C20"/>
    <w:rsid w:val="0032420E"/>
    <w:rsid w:val="00325238"/>
    <w:rsid w:val="003274B3"/>
    <w:rsid w:val="003274CD"/>
    <w:rsid w:val="00327BEA"/>
    <w:rsid w:val="00327FE8"/>
    <w:rsid w:val="00330EAB"/>
    <w:rsid w:val="00333DF1"/>
    <w:rsid w:val="00333E6F"/>
    <w:rsid w:val="0033401D"/>
    <w:rsid w:val="003355CD"/>
    <w:rsid w:val="003356DE"/>
    <w:rsid w:val="003368CC"/>
    <w:rsid w:val="0034016A"/>
    <w:rsid w:val="00342BBD"/>
    <w:rsid w:val="003460DD"/>
    <w:rsid w:val="00346B11"/>
    <w:rsid w:val="003472AA"/>
    <w:rsid w:val="00347B66"/>
    <w:rsid w:val="00347DF4"/>
    <w:rsid w:val="00350790"/>
    <w:rsid w:val="0035119D"/>
    <w:rsid w:val="00351425"/>
    <w:rsid w:val="003529F0"/>
    <w:rsid w:val="0035394F"/>
    <w:rsid w:val="00354460"/>
    <w:rsid w:val="00354F86"/>
    <w:rsid w:val="003560F2"/>
    <w:rsid w:val="00356793"/>
    <w:rsid w:val="00356E6D"/>
    <w:rsid w:val="00360793"/>
    <w:rsid w:val="00361749"/>
    <w:rsid w:val="00361FFD"/>
    <w:rsid w:val="003620B8"/>
    <w:rsid w:val="0036383B"/>
    <w:rsid w:val="00363FA4"/>
    <w:rsid w:val="0036492D"/>
    <w:rsid w:val="003658DD"/>
    <w:rsid w:val="00366A6D"/>
    <w:rsid w:val="00366C14"/>
    <w:rsid w:val="0036748F"/>
    <w:rsid w:val="00367FD2"/>
    <w:rsid w:val="00371FF7"/>
    <w:rsid w:val="00372540"/>
    <w:rsid w:val="00373272"/>
    <w:rsid w:val="00373D79"/>
    <w:rsid w:val="00373FBF"/>
    <w:rsid w:val="003755B7"/>
    <w:rsid w:val="00375BD3"/>
    <w:rsid w:val="003772E8"/>
    <w:rsid w:val="00377598"/>
    <w:rsid w:val="00377E0D"/>
    <w:rsid w:val="00381BD3"/>
    <w:rsid w:val="0038229E"/>
    <w:rsid w:val="003823EE"/>
    <w:rsid w:val="00382CF2"/>
    <w:rsid w:val="003840B7"/>
    <w:rsid w:val="00384914"/>
    <w:rsid w:val="00384F21"/>
    <w:rsid w:val="0038558C"/>
    <w:rsid w:val="00387AF1"/>
    <w:rsid w:val="00390AFF"/>
    <w:rsid w:val="00391F18"/>
    <w:rsid w:val="003922AD"/>
    <w:rsid w:val="00392AA1"/>
    <w:rsid w:val="00392C8C"/>
    <w:rsid w:val="00392E56"/>
    <w:rsid w:val="00393074"/>
    <w:rsid w:val="00393119"/>
    <w:rsid w:val="003932FF"/>
    <w:rsid w:val="00393DFA"/>
    <w:rsid w:val="00395ECA"/>
    <w:rsid w:val="00396353"/>
    <w:rsid w:val="0039724D"/>
    <w:rsid w:val="0039735D"/>
    <w:rsid w:val="003A1120"/>
    <w:rsid w:val="003A1C11"/>
    <w:rsid w:val="003A2554"/>
    <w:rsid w:val="003A2A66"/>
    <w:rsid w:val="003A2A7F"/>
    <w:rsid w:val="003A407E"/>
    <w:rsid w:val="003A498B"/>
    <w:rsid w:val="003A62BB"/>
    <w:rsid w:val="003A71C5"/>
    <w:rsid w:val="003B03C6"/>
    <w:rsid w:val="003B0C19"/>
    <w:rsid w:val="003B12A6"/>
    <w:rsid w:val="003B2C9B"/>
    <w:rsid w:val="003B3B2E"/>
    <w:rsid w:val="003B3B9A"/>
    <w:rsid w:val="003B3E9C"/>
    <w:rsid w:val="003B4740"/>
    <w:rsid w:val="003B49A2"/>
    <w:rsid w:val="003B4F12"/>
    <w:rsid w:val="003B52C0"/>
    <w:rsid w:val="003B5D80"/>
    <w:rsid w:val="003B5F48"/>
    <w:rsid w:val="003B6023"/>
    <w:rsid w:val="003B7CA9"/>
    <w:rsid w:val="003B7ECE"/>
    <w:rsid w:val="003C0751"/>
    <w:rsid w:val="003C0E5E"/>
    <w:rsid w:val="003C163B"/>
    <w:rsid w:val="003C291F"/>
    <w:rsid w:val="003C2FF1"/>
    <w:rsid w:val="003C346F"/>
    <w:rsid w:val="003C3C1C"/>
    <w:rsid w:val="003C3D75"/>
    <w:rsid w:val="003C4AD4"/>
    <w:rsid w:val="003C6154"/>
    <w:rsid w:val="003D32CB"/>
    <w:rsid w:val="003D3499"/>
    <w:rsid w:val="003D34BD"/>
    <w:rsid w:val="003D3AAE"/>
    <w:rsid w:val="003D625A"/>
    <w:rsid w:val="003D65CB"/>
    <w:rsid w:val="003D66FE"/>
    <w:rsid w:val="003D6886"/>
    <w:rsid w:val="003D72A6"/>
    <w:rsid w:val="003E03A8"/>
    <w:rsid w:val="003E0C6C"/>
    <w:rsid w:val="003E15EC"/>
    <w:rsid w:val="003E1800"/>
    <w:rsid w:val="003E20D3"/>
    <w:rsid w:val="003E2440"/>
    <w:rsid w:val="003E3354"/>
    <w:rsid w:val="003E3721"/>
    <w:rsid w:val="003E5987"/>
    <w:rsid w:val="003E6FB6"/>
    <w:rsid w:val="003F1068"/>
    <w:rsid w:val="003F3385"/>
    <w:rsid w:val="003F5A1F"/>
    <w:rsid w:val="003F6240"/>
    <w:rsid w:val="003F6A9F"/>
    <w:rsid w:val="003F7486"/>
    <w:rsid w:val="003F7C49"/>
    <w:rsid w:val="004006F3"/>
    <w:rsid w:val="004010FF"/>
    <w:rsid w:val="004014B8"/>
    <w:rsid w:val="00401993"/>
    <w:rsid w:val="00401A64"/>
    <w:rsid w:val="004034BD"/>
    <w:rsid w:val="00404A6E"/>
    <w:rsid w:val="004051A1"/>
    <w:rsid w:val="0040562B"/>
    <w:rsid w:val="00406020"/>
    <w:rsid w:val="00406CBE"/>
    <w:rsid w:val="00407F4A"/>
    <w:rsid w:val="00411237"/>
    <w:rsid w:val="004118EF"/>
    <w:rsid w:val="00411F36"/>
    <w:rsid w:val="0041263E"/>
    <w:rsid w:val="00412700"/>
    <w:rsid w:val="00412EA0"/>
    <w:rsid w:val="0041312B"/>
    <w:rsid w:val="00414111"/>
    <w:rsid w:val="00414407"/>
    <w:rsid w:val="0041460A"/>
    <w:rsid w:val="00417992"/>
    <w:rsid w:val="004200E2"/>
    <w:rsid w:val="004201E4"/>
    <w:rsid w:val="00421373"/>
    <w:rsid w:val="00421D5C"/>
    <w:rsid w:val="00421E88"/>
    <w:rsid w:val="00422506"/>
    <w:rsid w:val="00423B03"/>
    <w:rsid w:val="00423F31"/>
    <w:rsid w:val="00423FFE"/>
    <w:rsid w:val="004243E5"/>
    <w:rsid w:val="00424A2C"/>
    <w:rsid w:val="004263DB"/>
    <w:rsid w:val="00427D2B"/>
    <w:rsid w:val="00430658"/>
    <w:rsid w:val="00431899"/>
    <w:rsid w:val="00431DB5"/>
    <w:rsid w:val="00432555"/>
    <w:rsid w:val="004337BF"/>
    <w:rsid w:val="00434440"/>
    <w:rsid w:val="004344F7"/>
    <w:rsid w:val="004346F4"/>
    <w:rsid w:val="00434C7E"/>
    <w:rsid w:val="00434DEC"/>
    <w:rsid w:val="00434EF2"/>
    <w:rsid w:val="004351FC"/>
    <w:rsid w:val="00435479"/>
    <w:rsid w:val="00435E1B"/>
    <w:rsid w:val="00436636"/>
    <w:rsid w:val="0043700C"/>
    <w:rsid w:val="00437E87"/>
    <w:rsid w:val="004409A2"/>
    <w:rsid w:val="0044153A"/>
    <w:rsid w:val="0044167F"/>
    <w:rsid w:val="00441DFC"/>
    <w:rsid w:val="00442F1C"/>
    <w:rsid w:val="0044360B"/>
    <w:rsid w:val="004444A7"/>
    <w:rsid w:val="004501EA"/>
    <w:rsid w:val="00450260"/>
    <w:rsid w:val="00451861"/>
    <w:rsid w:val="0045207C"/>
    <w:rsid w:val="00453B42"/>
    <w:rsid w:val="00453CE2"/>
    <w:rsid w:val="00454159"/>
    <w:rsid w:val="00454799"/>
    <w:rsid w:val="00454B45"/>
    <w:rsid w:val="0045592A"/>
    <w:rsid w:val="00457484"/>
    <w:rsid w:val="00457E34"/>
    <w:rsid w:val="00460A97"/>
    <w:rsid w:val="0046163E"/>
    <w:rsid w:val="004668BB"/>
    <w:rsid w:val="004677F7"/>
    <w:rsid w:val="00467C65"/>
    <w:rsid w:val="00470212"/>
    <w:rsid w:val="00470D69"/>
    <w:rsid w:val="004713AD"/>
    <w:rsid w:val="0047209F"/>
    <w:rsid w:val="0047282E"/>
    <w:rsid w:val="004733EC"/>
    <w:rsid w:val="00474AF9"/>
    <w:rsid w:val="00474EA3"/>
    <w:rsid w:val="00474F00"/>
    <w:rsid w:val="0047594D"/>
    <w:rsid w:val="00476A4B"/>
    <w:rsid w:val="004807FC"/>
    <w:rsid w:val="004812E6"/>
    <w:rsid w:val="00482D16"/>
    <w:rsid w:val="00482D1A"/>
    <w:rsid w:val="00484670"/>
    <w:rsid w:val="0048511C"/>
    <w:rsid w:val="0048523E"/>
    <w:rsid w:val="00485976"/>
    <w:rsid w:val="004859D1"/>
    <w:rsid w:val="00485B73"/>
    <w:rsid w:val="00486804"/>
    <w:rsid w:val="00486888"/>
    <w:rsid w:val="00486A9C"/>
    <w:rsid w:val="00487030"/>
    <w:rsid w:val="004875D5"/>
    <w:rsid w:val="0048776C"/>
    <w:rsid w:val="00487E71"/>
    <w:rsid w:val="004903A7"/>
    <w:rsid w:val="00491679"/>
    <w:rsid w:val="00491705"/>
    <w:rsid w:val="004918F9"/>
    <w:rsid w:val="004925DE"/>
    <w:rsid w:val="0049280D"/>
    <w:rsid w:val="00492A4F"/>
    <w:rsid w:val="004937BD"/>
    <w:rsid w:val="00493C2F"/>
    <w:rsid w:val="00493E1C"/>
    <w:rsid w:val="004940B6"/>
    <w:rsid w:val="004940B8"/>
    <w:rsid w:val="0049553F"/>
    <w:rsid w:val="00496747"/>
    <w:rsid w:val="0049755C"/>
    <w:rsid w:val="004A003E"/>
    <w:rsid w:val="004A097D"/>
    <w:rsid w:val="004A1021"/>
    <w:rsid w:val="004A133B"/>
    <w:rsid w:val="004A2194"/>
    <w:rsid w:val="004A3AFA"/>
    <w:rsid w:val="004A5D26"/>
    <w:rsid w:val="004A7B08"/>
    <w:rsid w:val="004B057C"/>
    <w:rsid w:val="004B1E88"/>
    <w:rsid w:val="004B2CD3"/>
    <w:rsid w:val="004B3775"/>
    <w:rsid w:val="004B38EF"/>
    <w:rsid w:val="004B3A95"/>
    <w:rsid w:val="004B3EE6"/>
    <w:rsid w:val="004B547B"/>
    <w:rsid w:val="004B640A"/>
    <w:rsid w:val="004C28BE"/>
    <w:rsid w:val="004C2A06"/>
    <w:rsid w:val="004C2C71"/>
    <w:rsid w:val="004C3072"/>
    <w:rsid w:val="004C461A"/>
    <w:rsid w:val="004C4803"/>
    <w:rsid w:val="004C5567"/>
    <w:rsid w:val="004C6B4D"/>
    <w:rsid w:val="004C70BB"/>
    <w:rsid w:val="004D03A5"/>
    <w:rsid w:val="004D08D4"/>
    <w:rsid w:val="004D1A7F"/>
    <w:rsid w:val="004D242C"/>
    <w:rsid w:val="004D2B10"/>
    <w:rsid w:val="004D3BB0"/>
    <w:rsid w:val="004D47A8"/>
    <w:rsid w:val="004D47F2"/>
    <w:rsid w:val="004D5AEC"/>
    <w:rsid w:val="004D6DF9"/>
    <w:rsid w:val="004E058F"/>
    <w:rsid w:val="004E1EBB"/>
    <w:rsid w:val="004E2A69"/>
    <w:rsid w:val="004E2BC2"/>
    <w:rsid w:val="004E2D2A"/>
    <w:rsid w:val="004E3B87"/>
    <w:rsid w:val="004E6E10"/>
    <w:rsid w:val="004E75A7"/>
    <w:rsid w:val="004E7C1F"/>
    <w:rsid w:val="004F1663"/>
    <w:rsid w:val="004F17C4"/>
    <w:rsid w:val="004F2977"/>
    <w:rsid w:val="004F4631"/>
    <w:rsid w:val="004F5484"/>
    <w:rsid w:val="004F5CCB"/>
    <w:rsid w:val="004F68EB"/>
    <w:rsid w:val="00501058"/>
    <w:rsid w:val="005014BE"/>
    <w:rsid w:val="0050157C"/>
    <w:rsid w:val="0050171D"/>
    <w:rsid w:val="00503153"/>
    <w:rsid w:val="005038EE"/>
    <w:rsid w:val="00503BA0"/>
    <w:rsid w:val="00503CD4"/>
    <w:rsid w:val="0050409F"/>
    <w:rsid w:val="005041B5"/>
    <w:rsid w:val="00506A4A"/>
    <w:rsid w:val="00506A73"/>
    <w:rsid w:val="0050768E"/>
    <w:rsid w:val="00510866"/>
    <w:rsid w:val="00510921"/>
    <w:rsid w:val="00510AD3"/>
    <w:rsid w:val="00511634"/>
    <w:rsid w:val="00511972"/>
    <w:rsid w:val="00511C39"/>
    <w:rsid w:val="00511E20"/>
    <w:rsid w:val="0051263C"/>
    <w:rsid w:val="00512849"/>
    <w:rsid w:val="00513348"/>
    <w:rsid w:val="005136DD"/>
    <w:rsid w:val="00513EE5"/>
    <w:rsid w:val="005142BF"/>
    <w:rsid w:val="005146BC"/>
    <w:rsid w:val="00514DA9"/>
    <w:rsid w:val="00516C8E"/>
    <w:rsid w:val="005202EC"/>
    <w:rsid w:val="005205B9"/>
    <w:rsid w:val="00520619"/>
    <w:rsid w:val="00520AAA"/>
    <w:rsid w:val="0052217C"/>
    <w:rsid w:val="0052281C"/>
    <w:rsid w:val="00523163"/>
    <w:rsid w:val="005233E8"/>
    <w:rsid w:val="00523786"/>
    <w:rsid w:val="0052445F"/>
    <w:rsid w:val="005249BB"/>
    <w:rsid w:val="005274D0"/>
    <w:rsid w:val="00530031"/>
    <w:rsid w:val="0053115F"/>
    <w:rsid w:val="00533AEF"/>
    <w:rsid w:val="00533B5D"/>
    <w:rsid w:val="00534BB5"/>
    <w:rsid w:val="005404E6"/>
    <w:rsid w:val="005409E2"/>
    <w:rsid w:val="00540AC0"/>
    <w:rsid w:val="0054151F"/>
    <w:rsid w:val="00543AA7"/>
    <w:rsid w:val="00545A16"/>
    <w:rsid w:val="00545DD2"/>
    <w:rsid w:val="005474A2"/>
    <w:rsid w:val="00551117"/>
    <w:rsid w:val="00551D70"/>
    <w:rsid w:val="00552DA5"/>
    <w:rsid w:val="00552E57"/>
    <w:rsid w:val="00553281"/>
    <w:rsid w:val="005537F0"/>
    <w:rsid w:val="0055472E"/>
    <w:rsid w:val="005570E8"/>
    <w:rsid w:val="00560409"/>
    <w:rsid w:val="0056084C"/>
    <w:rsid w:val="00563ACD"/>
    <w:rsid w:val="00565442"/>
    <w:rsid w:val="00565C6A"/>
    <w:rsid w:val="00565EB9"/>
    <w:rsid w:val="0056775C"/>
    <w:rsid w:val="00567D98"/>
    <w:rsid w:val="005700D4"/>
    <w:rsid w:val="00570BFA"/>
    <w:rsid w:val="00570C3C"/>
    <w:rsid w:val="00571745"/>
    <w:rsid w:val="0057222B"/>
    <w:rsid w:val="00572FDA"/>
    <w:rsid w:val="00573D03"/>
    <w:rsid w:val="00573E07"/>
    <w:rsid w:val="00575D7B"/>
    <w:rsid w:val="00576159"/>
    <w:rsid w:val="00576566"/>
    <w:rsid w:val="00577889"/>
    <w:rsid w:val="005814B9"/>
    <w:rsid w:val="005836C1"/>
    <w:rsid w:val="0058395A"/>
    <w:rsid w:val="00584C0F"/>
    <w:rsid w:val="00585875"/>
    <w:rsid w:val="005870D4"/>
    <w:rsid w:val="005872F3"/>
    <w:rsid w:val="005879FD"/>
    <w:rsid w:val="00595B54"/>
    <w:rsid w:val="00596502"/>
    <w:rsid w:val="00596550"/>
    <w:rsid w:val="005970EA"/>
    <w:rsid w:val="00597530"/>
    <w:rsid w:val="005A0EB1"/>
    <w:rsid w:val="005A1993"/>
    <w:rsid w:val="005A2482"/>
    <w:rsid w:val="005A32A6"/>
    <w:rsid w:val="005A3F45"/>
    <w:rsid w:val="005A4F93"/>
    <w:rsid w:val="005A6D0E"/>
    <w:rsid w:val="005A7A33"/>
    <w:rsid w:val="005B1694"/>
    <w:rsid w:val="005B3F81"/>
    <w:rsid w:val="005B56EA"/>
    <w:rsid w:val="005B5826"/>
    <w:rsid w:val="005C1077"/>
    <w:rsid w:val="005C145D"/>
    <w:rsid w:val="005C2AE6"/>
    <w:rsid w:val="005C37F0"/>
    <w:rsid w:val="005C3BE9"/>
    <w:rsid w:val="005C44E4"/>
    <w:rsid w:val="005C4607"/>
    <w:rsid w:val="005C60D8"/>
    <w:rsid w:val="005C7139"/>
    <w:rsid w:val="005C763F"/>
    <w:rsid w:val="005D1244"/>
    <w:rsid w:val="005D1CED"/>
    <w:rsid w:val="005D1E67"/>
    <w:rsid w:val="005D2D36"/>
    <w:rsid w:val="005D3E0C"/>
    <w:rsid w:val="005D470D"/>
    <w:rsid w:val="005D4856"/>
    <w:rsid w:val="005D52FE"/>
    <w:rsid w:val="005D538F"/>
    <w:rsid w:val="005D5E76"/>
    <w:rsid w:val="005D6188"/>
    <w:rsid w:val="005D7A40"/>
    <w:rsid w:val="005D7B64"/>
    <w:rsid w:val="005D7D03"/>
    <w:rsid w:val="005E109C"/>
    <w:rsid w:val="005E2CA9"/>
    <w:rsid w:val="005E41AE"/>
    <w:rsid w:val="005E46D5"/>
    <w:rsid w:val="005E5711"/>
    <w:rsid w:val="005E672C"/>
    <w:rsid w:val="005E6B14"/>
    <w:rsid w:val="005E7CED"/>
    <w:rsid w:val="005F001A"/>
    <w:rsid w:val="005F0F4B"/>
    <w:rsid w:val="005F1AC5"/>
    <w:rsid w:val="005F2ECE"/>
    <w:rsid w:val="005F3731"/>
    <w:rsid w:val="005F44F0"/>
    <w:rsid w:val="005F4569"/>
    <w:rsid w:val="005F45E1"/>
    <w:rsid w:val="005F51E3"/>
    <w:rsid w:val="005F51F3"/>
    <w:rsid w:val="005F76DC"/>
    <w:rsid w:val="00600C92"/>
    <w:rsid w:val="00600E68"/>
    <w:rsid w:val="0060158A"/>
    <w:rsid w:val="00603749"/>
    <w:rsid w:val="00603A87"/>
    <w:rsid w:val="00603C69"/>
    <w:rsid w:val="00604E67"/>
    <w:rsid w:val="00606A95"/>
    <w:rsid w:val="00607A64"/>
    <w:rsid w:val="0061001D"/>
    <w:rsid w:val="00610389"/>
    <w:rsid w:val="00610501"/>
    <w:rsid w:val="006106B8"/>
    <w:rsid w:val="006110F0"/>
    <w:rsid w:val="006127F7"/>
    <w:rsid w:val="00612B71"/>
    <w:rsid w:val="0061372F"/>
    <w:rsid w:val="006150D7"/>
    <w:rsid w:val="00615407"/>
    <w:rsid w:val="00615DF4"/>
    <w:rsid w:val="00621D27"/>
    <w:rsid w:val="00622EF1"/>
    <w:rsid w:val="00623BA1"/>
    <w:rsid w:val="00623C77"/>
    <w:rsid w:val="00623E0A"/>
    <w:rsid w:val="0062561D"/>
    <w:rsid w:val="00625BF0"/>
    <w:rsid w:val="00625F81"/>
    <w:rsid w:val="00626E20"/>
    <w:rsid w:val="00627BC8"/>
    <w:rsid w:val="0063221A"/>
    <w:rsid w:val="00632BA4"/>
    <w:rsid w:val="00632C4A"/>
    <w:rsid w:val="00632CD3"/>
    <w:rsid w:val="00633700"/>
    <w:rsid w:val="006346BC"/>
    <w:rsid w:val="00634BB9"/>
    <w:rsid w:val="00635491"/>
    <w:rsid w:val="00640263"/>
    <w:rsid w:val="00640580"/>
    <w:rsid w:val="00640844"/>
    <w:rsid w:val="00640888"/>
    <w:rsid w:val="006408EC"/>
    <w:rsid w:val="006425B1"/>
    <w:rsid w:val="006426B1"/>
    <w:rsid w:val="006449F1"/>
    <w:rsid w:val="00645300"/>
    <w:rsid w:val="00645F14"/>
    <w:rsid w:val="00650031"/>
    <w:rsid w:val="00651119"/>
    <w:rsid w:val="00651449"/>
    <w:rsid w:val="00651AD2"/>
    <w:rsid w:val="00651E8F"/>
    <w:rsid w:val="006527A8"/>
    <w:rsid w:val="00652F8A"/>
    <w:rsid w:val="006531EB"/>
    <w:rsid w:val="00654108"/>
    <w:rsid w:val="006552DE"/>
    <w:rsid w:val="006553FC"/>
    <w:rsid w:val="00655991"/>
    <w:rsid w:val="006562A3"/>
    <w:rsid w:val="00657C38"/>
    <w:rsid w:val="00661773"/>
    <w:rsid w:val="006620CB"/>
    <w:rsid w:val="006624CD"/>
    <w:rsid w:val="00664372"/>
    <w:rsid w:val="0066488C"/>
    <w:rsid w:val="006658ED"/>
    <w:rsid w:val="00665EBF"/>
    <w:rsid w:val="00666291"/>
    <w:rsid w:val="0066651A"/>
    <w:rsid w:val="0066652A"/>
    <w:rsid w:val="0066662A"/>
    <w:rsid w:val="006700AF"/>
    <w:rsid w:val="00670ACE"/>
    <w:rsid w:val="00671284"/>
    <w:rsid w:val="00672F35"/>
    <w:rsid w:val="00675338"/>
    <w:rsid w:val="006754F3"/>
    <w:rsid w:val="006767F5"/>
    <w:rsid w:val="006779ED"/>
    <w:rsid w:val="00677C0F"/>
    <w:rsid w:val="00677C28"/>
    <w:rsid w:val="0068079F"/>
    <w:rsid w:val="00682167"/>
    <w:rsid w:val="00682462"/>
    <w:rsid w:val="00682F47"/>
    <w:rsid w:val="00684076"/>
    <w:rsid w:val="006848C2"/>
    <w:rsid w:val="00684BE3"/>
    <w:rsid w:val="00685C08"/>
    <w:rsid w:val="00685E89"/>
    <w:rsid w:val="00687020"/>
    <w:rsid w:val="006873C1"/>
    <w:rsid w:val="006904A9"/>
    <w:rsid w:val="006913B0"/>
    <w:rsid w:val="00691467"/>
    <w:rsid w:val="00692543"/>
    <w:rsid w:val="00693FB6"/>
    <w:rsid w:val="00695B4F"/>
    <w:rsid w:val="00697624"/>
    <w:rsid w:val="006A09A7"/>
    <w:rsid w:val="006A0D36"/>
    <w:rsid w:val="006A14D0"/>
    <w:rsid w:val="006A36E8"/>
    <w:rsid w:val="006A3EE2"/>
    <w:rsid w:val="006A5848"/>
    <w:rsid w:val="006A5F55"/>
    <w:rsid w:val="006B06B1"/>
    <w:rsid w:val="006B0EC9"/>
    <w:rsid w:val="006B1955"/>
    <w:rsid w:val="006B29DA"/>
    <w:rsid w:val="006B3E97"/>
    <w:rsid w:val="006B3F2D"/>
    <w:rsid w:val="006B4596"/>
    <w:rsid w:val="006B482A"/>
    <w:rsid w:val="006B4ED4"/>
    <w:rsid w:val="006B5243"/>
    <w:rsid w:val="006B5272"/>
    <w:rsid w:val="006B57DD"/>
    <w:rsid w:val="006B5ADE"/>
    <w:rsid w:val="006B5EB1"/>
    <w:rsid w:val="006B6EF6"/>
    <w:rsid w:val="006B7A0D"/>
    <w:rsid w:val="006C1072"/>
    <w:rsid w:val="006C207E"/>
    <w:rsid w:val="006C2F3A"/>
    <w:rsid w:val="006C3781"/>
    <w:rsid w:val="006C42AF"/>
    <w:rsid w:val="006C4D0F"/>
    <w:rsid w:val="006C4DD1"/>
    <w:rsid w:val="006C6DBF"/>
    <w:rsid w:val="006C709B"/>
    <w:rsid w:val="006C7ED6"/>
    <w:rsid w:val="006D02B5"/>
    <w:rsid w:val="006D0428"/>
    <w:rsid w:val="006D0541"/>
    <w:rsid w:val="006D07B9"/>
    <w:rsid w:val="006D23D9"/>
    <w:rsid w:val="006D2D84"/>
    <w:rsid w:val="006D3061"/>
    <w:rsid w:val="006D32F1"/>
    <w:rsid w:val="006D3835"/>
    <w:rsid w:val="006D416B"/>
    <w:rsid w:val="006D4455"/>
    <w:rsid w:val="006D549F"/>
    <w:rsid w:val="006D5767"/>
    <w:rsid w:val="006D5CC8"/>
    <w:rsid w:val="006D6F5F"/>
    <w:rsid w:val="006D73E3"/>
    <w:rsid w:val="006E0B0B"/>
    <w:rsid w:val="006E11BE"/>
    <w:rsid w:val="006E23FD"/>
    <w:rsid w:val="006E2A57"/>
    <w:rsid w:val="006E2E46"/>
    <w:rsid w:val="006E3523"/>
    <w:rsid w:val="006E38FA"/>
    <w:rsid w:val="006E410A"/>
    <w:rsid w:val="006E5818"/>
    <w:rsid w:val="006E6C9A"/>
    <w:rsid w:val="006E6F95"/>
    <w:rsid w:val="006E70EC"/>
    <w:rsid w:val="006E758F"/>
    <w:rsid w:val="006E7ECF"/>
    <w:rsid w:val="006F0FA7"/>
    <w:rsid w:val="006F2AA3"/>
    <w:rsid w:val="006F3D77"/>
    <w:rsid w:val="006F4E04"/>
    <w:rsid w:val="006F4EBC"/>
    <w:rsid w:val="006F529D"/>
    <w:rsid w:val="006F5FF1"/>
    <w:rsid w:val="00700753"/>
    <w:rsid w:val="00700F4B"/>
    <w:rsid w:val="007022B0"/>
    <w:rsid w:val="00703679"/>
    <w:rsid w:val="00704015"/>
    <w:rsid w:val="00704B41"/>
    <w:rsid w:val="007067CE"/>
    <w:rsid w:val="00706AA8"/>
    <w:rsid w:val="00707996"/>
    <w:rsid w:val="00707DD8"/>
    <w:rsid w:val="00711D8E"/>
    <w:rsid w:val="00711FDB"/>
    <w:rsid w:val="00712672"/>
    <w:rsid w:val="00712863"/>
    <w:rsid w:val="007136FD"/>
    <w:rsid w:val="007144AD"/>
    <w:rsid w:val="007172B1"/>
    <w:rsid w:val="00717EEF"/>
    <w:rsid w:val="00720531"/>
    <w:rsid w:val="007205DB"/>
    <w:rsid w:val="007226F6"/>
    <w:rsid w:val="007265DC"/>
    <w:rsid w:val="00727540"/>
    <w:rsid w:val="00727673"/>
    <w:rsid w:val="00727A46"/>
    <w:rsid w:val="00727B72"/>
    <w:rsid w:val="00727E15"/>
    <w:rsid w:val="00730BD0"/>
    <w:rsid w:val="00731639"/>
    <w:rsid w:val="00731D86"/>
    <w:rsid w:val="00731F99"/>
    <w:rsid w:val="007321C5"/>
    <w:rsid w:val="007323C3"/>
    <w:rsid w:val="007323F5"/>
    <w:rsid w:val="007325E7"/>
    <w:rsid w:val="00732CEF"/>
    <w:rsid w:val="00734E3F"/>
    <w:rsid w:val="0073549F"/>
    <w:rsid w:val="00735977"/>
    <w:rsid w:val="00735A30"/>
    <w:rsid w:val="00735B34"/>
    <w:rsid w:val="007363CA"/>
    <w:rsid w:val="00736985"/>
    <w:rsid w:val="00737A13"/>
    <w:rsid w:val="00737DFD"/>
    <w:rsid w:val="00740C9B"/>
    <w:rsid w:val="00740F93"/>
    <w:rsid w:val="00741037"/>
    <w:rsid w:val="0074104E"/>
    <w:rsid w:val="0074275A"/>
    <w:rsid w:val="00742A77"/>
    <w:rsid w:val="00743971"/>
    <w:rsid w:val="00744F42"/>
    <w:rsid w:val="00744FDA"/>
    <w:rsid w:val="00745FB0"/>
    <w:rsid w:val="0074620B"/>
    <w:rsid w:val="00750316"/>
    <w:rsid w:val="007504DC"/>
    <w:rsid w:val="00750A7D"/>
    <w:rsid w:val="00750C11"/>
    <w:rsid w:val="0075124F"/>
    <w:rsid w:val="007514C1"/>
    <w:rsid w:val="0075153F"/>
    <w:rsid w:val="007516B9"/>
    <w:rsid w:val="00751DE7"/>
    <w:rsid w:val="00753027"/>
    <w:rsid w:val="007533D2"/>
    <w:rsid w:val="00753A99"/>
    <w:rsid w:val="00754CE0"/>
    <w:rsid w:val="00755521"/>
    <w:rsid w:val="00757005"/>
    <w:rsid w:val="00761070"/>
    <w:rsid w:val="007623B6"/>
    <w:rsid w:val="0076251B"/>
    <w:rsid w:val="007628BD"/>
    <w:rsid w:val="00762BF6"/>
    <w:rsid w:val="007641D7"/>
    <w:rsid w:val="007647E0"/>
    <w:rsid w:val="0076516A"/>
    <w:rsid w:val="00765B62"/>
    <w:rsid w:val="00766E6C"/>
    <w:rsid w:val="00767644"/>
    <w:rsid w:val="00767E23"/>
    <w:rsid w:val="00771020"/>
    <w:rsid w:val="00772BD2"/>
    <w:rsid w:val="007732C1"/>
    <w:rsid w:val="007765E1"/>
    <w:rsid w:val="00777BB0"/>
    <w:rsid w:val="00777FED"/>
    <w:rsid w:val="007800C5"/>
    <w:rsid w:val="007803E2"/>
    <w:rsid w:val="0078081A"/>
    <w:rsid w:val="00781CF2"/>
    <w:rsid w:val="007835F1"/>
    <w:rsid w:val="007841E7"/>
    <w:rsid w:val="00784764"/>
    <w:rsid w:val="00785067"/>
    <w:rsid w:val="00786180"/>
    <w:rsid w:val="007864F7"/>
    <w:rsid w:val="00786C36"/>
    <w:rsid w:val="00790150"/>
    <w:rsid w:val="00790E51"/>
    <w:rsid w:val="00792907"/>
    <w:rsid w:val="00795CF3"/>
    <w:rsid w:val="0079656F"/>
    <w:rsid w:val="00796581"/>
    <w:rsid w:val="00796588"/>
    <w:rsid w:val="00796CBB"/>
    <w:rsid w:val="007A005D"/>
    <w:rsid w:val="007A058D"/>
    <w:rsid w:val="007A06DF"/>
    <w:rsid w:val="007A17D1"/>
    <w:rsid w:val="007A2849"/>
    <w:rsid w:val="007A43CB"/>
    <w:rsid w:val="007A564A"/>
    <w:rsid w:val="007A62AF"/>
    <w:rsid w:val="007A6B2C"/>
    <w:rsid w:val="007B0512"/>
    <w:rsid w:val="007B0D59"/>
    <w:rsid w:val="007B2CC8"/>
    <w:rsid w:val="007B3629"/>
    <w:rsid w:val="007B3916"/>
    <w:rsid w:val="007B3A63"/>
    <w:rsid w:val="007B5C4C"/>
    <w:rsid w:val="007B6200"/>
    <w:rsid w:val="007B63B8"/>
    <w:rsid w:val="007B66FB"/>
    <w:rsid w:val="007B7C39"/>
    <w:rsid w:val="007B7E27"/>
    <w:rsid w:val="007C0799"/>
    <w:rsid w:val="007C0AD9"/>
    <w:rsid w:val="007C1664"/>
    <w:rsid w:val="007C424D"/>
    <w:rsid w:val="007C519F"/>
    <w:rsid w:val="007C542E"/>
    <w:rsid w:val="007C5CBF"/>
    <w:rsid w:val="007C6234"/>
    <w:rsid w:val="007C64D8"/>
    <w:rsid w:val="007C655D"/>
    <w:rsid w:val="007C7B54"/>
    <w:rsid w:val="007D04C1"/>
    <w:rsid w:val="007D29D9"/>
    <w:rsid w:val="007D34CE"/>
    <w:rsid w:val="007D35F1"/>
    <w:rsid w:val="007D3B7F"/>
    <w:rsid w:val="007D3D4C"/>
    <w:rsid w:val="007D3F3C"/>
    <w:rsid w:val="007D403D"/>
    <w:rsid w:val="007D56D9"/>
    <w:rsid w:val="007D681F"/>
    <w:rsid w:val="007D6F9A"/>
    <w:rsid w:val="007D78F5"/>
    <w:rsid w:val="007E0E11"/>
    <w:rsid w:val="007E1C7C"/>
    <w:rsid w:val="007E28E6"/>
    <w:rsid w:val="007E3D04"/>
    <w:rsid w:val="007E4364"/>
    <w:rsid w:val="007E5B59"/>
    <w:rsid w:val="007E614B"/>
    <w:rsid w:val="007E6BB0"/>
    <w:rsid w:val="007E7760"/>
    <w:rsid w:val="007F11CE"/>
    <w:rsid w:val="007F14AB"/>
    <w:rsid w:val="007F23E4"/>
    <w:rsid w:val="007F278C"/>
    <w:rsid w:val="007F2F99"/>
    <w:rsid w:val="007F3D49"/>
    <w:rsid w:val="007F46F3"/>
    <w:rsid w:val="00801B9F"/>
    <w:rsid w:val="008022FF"/>
    <w:rsid w:val="00802C49"/>
    <w:rsid w:val="00803209"/>
    <w:rsid w:val="00803B6E"/>
    <w:rsid w:val="00803E21"/>
    <w:rsid w:val="0080578C"/>
    <w:rsid w:val="008057F3"/>
    <w:rsid w:val="008059AD"/>
    <w:rsid w:val="00806550"/>
    <w:rsid w:val="00806C18"/>
    <w:rsid w:val="00806FE5"/>
    <w:rsid w:val="00810026"/>
    <w:rsid w:val="00811036"/>
    <w:rsid w:val="00811CAA"/>
    <w:rsid w:val="00812CA0"/>
    <w:rsid w:val="00813355"/>
    <w:rsid w:val="008141A3"/>
    <w:rsid w:val="008146BD"/>
    <w:rsid w:val="00816C4D"/>
    <w:rsid w:val="00816E20"/>
    <w:rsid w:val="008178DB"/>
    <w:rsid w:val="00820053"/>
    <w:rsid w:val="0082130E"/>
    <w:rsid w:val="00821CB0"/>
    <w:rsid w:val="008226A0"/>
    <w:rsid w:val="0082318A"/>
    <w:rsid w:val="0082589D"/>
    <w:rsid w:val="008258C9"/>
    <w:rsid w:val="00825D12"/>
    <w:rsid w:val="00826A52"/>
    <w:rsid w:val="00827A0F"/>
    <w:rsid w:val="0083149D"/>
    <w:rsid w:val="00832A51"/>
    <w:rsid w:val="00833DAD"/>
    <w:rsid w:val="008341EE"/>
    <w:rsid w:val="0083421C"/>
    <w:rsid w:val="008357E3"/>
    <w:rsid w:val="00835AFC"/>
    <w:rsid w:val="0083733D"/>
    <w:rsid w:val="0083741F"/>
    <w:rsid w:val="008374B3"/>
    <w:rsid w:val="0083754C"/>
    <w:rsid w:val="00837752"/>
    <w:rsid w:val="00837975"/>
    <w:rsid w:val="0084075D"/>
    <w:rsid w:val="0084161C"/>
    <w:rsid w:val="0084256B"/>
    <w:rsid w:val="00842F24"/>
    <w:rsid w:val="00843027"/>
    <w:rsid w:val="00843087"/>
    <w:rsid w:val="00843A58"/>
    <w:rsid w:val="00843C33"/>
    <w:rsid w:val="00844685"/>
    <w:rsid w:val="00845A58"/>
    <w:rsid w:val="00845C02"/>
    <w:rsid w:val="008472B2"/>
    <w:rsid w:val="0084794E"/>
    <w:rsid w:val="00847D11"/>
    <w:rsid w:val="00847FAA"/>
    <w:rsid w:val="008517F3"/>
    <w:rsid w:val="008536FC"/>
    <w:rsid w:val="00853BE9"/>
    <w:rsid w:val="008545CD"/>
    <w:rsid w:val="00856A81"/>
    <w:rsid w:val="00857CEB"/>
    <w:rsid w:val="00857FAD"/>
    <w:rsid w:val="00860295"/>
    <w:rsid w:val="0086263B"/>
    <w:rsid w:val="00863C3B"/>
    <w:rsid w:val="00864301"/>
    <w:rsid w:val="008656E6"/>
    <w:rsid w:val="00865865"/>
    <w:rsid w:val="00865B4D"/>
    <w:rsid w:val="00866E55"/>
    <w:rsid w:val="008670DE"/>
    <w:rsid w:val="00867C6A"/>
    <w:rsid w:val="00870353"/>
    <w:rsid w:val="00870982"/>
    <w:rsid w:val="00870E4D"/>
    <w:rsid w:val="00871303"/>
    <w:rsid w:val="00872465"/>
    <w:rsid w:val="00873E1E"/>
    <w:rsid w:val="00874669"/>
    <w:rsid w:val="008751E1"/>
    <w:rsid w:val="008767F8"/>
    <w:rsid w:val="00876A83"/>
    <w:rsid w:val="008779AE"/>
    <w:rsid w:val="008809B8"/>
    <w:rsid w:val="00880B3F"/>
    <w:rsid w:val="00880D31"/>
    <w:rsid w:val="00880E52"/>
    <w:rsid w:val="00882184"/>
    <w:rsid w:val="00882616"/>
    <w:rsid w:val="0088309D"/>
    <w:rsid w:val="00884041"/>
    <w:rsid w:val="00884730"/>
    <w:rsid w:val="00885D23"/>
    <w:rsid w:val="00885F83"/>
    <w:rsid w:val="00887167"/>
    <w:rsid w:val="008876CF"/>
    <w:rsid w:val="0089043A"/>
    <w:rsid w:val="008906FE"/>
    <w:rsid w:val="00891D22"/>
    <w:rsid w:val="0089227C"/>
    <w:rsid w:val="008934B3"/>
    <w:rsid w:val="008939C1"/>
    <w:rsid w:val="00893D34"/>
    <w:rsid w:val="00894A0D"/>
    <w:rsid w:val="00895D2D"/>
    <w:rsid w:val="00897325"/>
    <w:rsid w:val="008978C8"/>
    <w:rsid w:val="0089797C"/>
    <w:rsid w:val="00897BF0"/>
    <w:rsid w:val="008A0488"/>
    <w:rsid w:val="008A0859"/>
    <w:rsid w:val="008A2C32"/>
    <w:rsid w:val="008A42EC"/>
    <w:rsid w:val="008A5F0A"/>
    <w:rsid w:val="008B01B3"/>
    <w:rsid w:val="008B0271"/>
    <w:rsid w:val="008B4416"/>
    <w:rsid w:val="008B4B7C"/>
    <w:rsid w:val="008B4FE0"/>
    <w:rsid w:val="008B530D"/>
    <w:rsid w:val="008B56F7"/>
    <w:rsid w:val="008B62C7"/>
    <w:rsid w:val="008B6A48"/>
    <w:rsid w:val="008B6F8E"/>
    <w:rsid w:val="008C0E93"/>
    <w:rsid w:val="008C1C7D"/>
    <w:rsid w:val="008C2BB4"/>
    <w:rsid w:val="008C4C7A"/>
    <w:rsid w:val="008C5A0E"/>
    <w:rsid w:val="008C5B2C"/>
    <w:rsid w:val="008D2742"/>
    <w:rsid w:val="008D27C1"/>
    <w:rsid w:val="008D2C90"/>
    <w:rsid w:val="008D31A9"/>
    <w:rsid w:val="008D3537"/>
    <w:rsid w:val="008D3679"/>
    <w:rsid w:val="008D39DA"/>
    <w:rsid w:val="008D3C21"/>
    <w:rsid w:val="008D41D6"/>
    <w:rsid w:val="008D48F2"/>
    <w:rsid w:val="008D4A99"/>
    <w:rsid w:val="008D5876"/>
    <w:rsid w:val="008D5AD4"/>
    <w:rsid w:val="008D6209"/>
    <w:rsid w:val="008D66F1"/>
    <w:rsid w:val="008D7137"/>
    <w:rsid w:val="008D71AC"/>
    <w:rsid w:val="008D75D9"/>
    <w:rsid w:val="008D79B5"/>
    <w:rsid w:val="008E0D24"/>
    <w:rsid w:val="008E426B"/>
    <w:rsid w:val="008E4618"/>
    <w:rsid w:val="008E4F09"/>
    <w:rsid w:val="008E7F1D"/>
    <w:rsid w:val="008F05C2"/>
    <w:rsid w:val="008F1070"/>
    <w:rsid w:val="008F12EF"/>
    <w:rsid w:val="008F17D2"/>
    <w:rsid w:val="008F1991"/>
    <w:rsid w:val="008F1A58"/>
    <w:rsid w:val="008F1FFE"/>
    <w:rsid w:val="008F25D7"/>
    <w:rsid w:val="008F2894"/>
    <w:rsid w:val="008F2BA9"/>
    <w:rsid w:val="008F2C5D"/>
    <w:rsid w:val="008F2EE8"/>
    <w:rsid w:val="008F4156"/>
    <w:rsid w:val="008F442B"/>
    <w:rsid w:val="008F4933"/>
    <w:rsid w:val="008F4FAE"/>
    <w:rsid w:val="008F73BD"/>
    <w:rsid w:val="008F7A21"/>
    <w:rsid w:val="0090109D"/>
    <w:rsid w:val="009012B4"/>
    <w:rsid w:val="0090309A"/>
    <w:rsid w:val="00903534"/>
    <w:rsid w:val="00903A0A"/>
    <w:rsid w:val="00904407"/>
    <w:rsid w:val="00905CDE"/>
    <w:rsid w:val="00905E6B"/>
    <w:rsid w:val="00906216"/>
    <w:rsid w:val="009068C4"/>
    <w:rsid w:val="0090794C"/>
    <w:rsid w:val="00910823"/>
    <w:rsid w:val="00910F81"/>
    <w:rsid w:val="009117F5"/>
    <w:rsid w:val="00912A61"/>
    <w:rsid w:val="00912AFD"/>
    <w:rsid w:val="009132D2"/>
    <w:rsid w:val="00913432"/>
    <w:rsid w:val="009143E0"/>
    <w:rsid w:val="00914464"/>
    <w:rsid w:val="009144EE"/>
    <w:rsid w:val="0092060F"/>
    <w:rsid w:val="00921057"/>
    <w:rsid w:val="00921597"/>
    <w:rsid w:val="00924A20"/>
    <w:rsid w:val="00924D5F"/>
    <w:rsid w:val="00925575"/>
    <w:rsid w:val="00927BA4"/>
    <w:rsid w:val="00930136"/>
    <w:rsid w:val="009302E2"/>
    <w:rsid w:val="00930F45"/>
    <w:rsid w:val="009314F5"/>
    <w:rsid w:val="00931BEA"/>
    <w:rsid w:val="00932576"/>
    <w:rsid w:val="00932EC1"/>
    <w:rsid w:val="00933123"/>
    <w:rsid w:val="00933773"/>
    <w:rsid w:val="00933BCA"/>
    <w:rsid w:val="0093530D"/>
    <w:rsid w:val="00935953"/>
    <w:rsid w:val="0093648B"/>
    <w:rsid w:val="00940647"/>
    <w:rsid w:val="00943540"/>
    <w:rsid w:val="009437E7"/>
    <w:rsid w:val="00944290"/>
    <w:rsid w:val="00944937"/>
    <w:rsid w:val="00944B59"/>
    <w:rsid w:val="009459F7"/>
    <w:rsid w:val="009460BF"/>
    <w:rsid w:val="009464E5"/>
    <w:rsid w:val="0094683C"/>
    <w:rsid w:val="00946DBC"/>
    <w:rsid w:val="00950AD7"/>
    <w:rsid w:val="009520ED"/>
    <w:rsid w:val="00952E04"/>
    <w:rsid w:val="009531BA"/>
    <w:rsid w:val="00953AE9"/>
    <w:rsid w:val="00954015"/>
    <w:rsid w:val="009562A3"/>
    <w:rsid w:val="00956380"/>
    <w:rsid w:val="00960C0C"/>
    <w:rsid w:val="00961A79"/>
    <w:rsid w:val="00961BEA"/>
    <w:rsid w:val="00961C58"/>
    <w:rsid w:val="00962110"/>
    <w:rsid w:val="0096280B"/>
    <w:rsid w:val="00964B67"/>
    <w:rsid w:val="00964F95"/>
    <w:rsid w:val="0096646C"/>
    <w:rsid w:val="009705E8"/>
    <w:rsid w:val="0097116F"/>
    <w:rsid w:val="00971B5F"/>
    <w:rsid w:val="00971D61"/>
    <w:rsid w:val="00972BA0"/>
    <w:rsid w:val="00974585"/>
    <w:rsid w:val="00974D12"/>
    <w:rsid w:val="00975162"/>
    <w:rsid w:val="00977B27"/>
    <w:rsid w:val="00980209"/>
    <w:rsid w:val="0098049B"/>
    <w:rsid w:val="00981E2E"/>
    <w:rsid w:val="0098314D"/>
    <w:rsid w:val="00983F4D"/>
    <w:rsid w:val="00984365"/>
    <w:rsid w:val="0098601B"/>
    <w:rsid w:val="00986AA3"/>
    <w:rsid w:val="0099114F"/>
    <w:rsid w:val="00991B21"/>
    <w:rsid w:val="00993048"/>
    <w:rsid w:val="00993910"/>
    <w:rsid w:val="00993F38"/>
    <w:rsid w:val="0099428C"/>
    <w:rsid w:val="0099542A"/>
    <w:rsid w:val="00995FA4"/>
    <w:rsid w:val="00996AF5"/>
    <w:rsid w:val="00996FDD"/>
    <w:rsid w:val="009976C9"/>
    <w:rsid w:val="009A0B5D"/>
    <w:rsid w:val="009A14F0"/>
    <w:rsid w:val="009A1587"/>
    <w:rsid w:val="009A1C4D"/>
    <w:rsid w:val="009A26E2"/>
    <w:rsid w:val="009A2B6C"/>
    <w:rsid w:val="009A2DA7"/>
    <w:rsid w:val="009A5718"/>
    <w:rsid w:val="009A60CB"/>
    <w:rsid w:val="009A6673"/>
    <w:rsid w:val="009A69EB"/>
    <w:rsid w:val="009B043F"/>
    <w:rsid w:val="009B084D"/>
    <w:rsid w:val="009B1473"/>
    <w:rsid w:val="009B22CE"/>
    <w:rsid w:val="009B4D3B"/>
    <w:rsid w:val="009B5109"/>
    <w:rsid w:val="009B5476"/>
    <w:rsid w:val="009B61FD"/>
    <w:rsid w:val="009B64F3"/>
    <w:rsid w:val="009B7088"/>
    <w:rsid w:val="009C05D1"/>
    <w:rsid w:val="009C1249"/>
    <w:rsid w:val="009C4DA2"/>
    <w:rsid w:val="009C5DB4"/>
    <w:rsid w:val="009C5E63"/>
    <w:rsid w:val="009D0028"/>
    <w:rsid w:val="009D00F2"/>
    <w:rsid w:val="009D0CC3"/>
    <w:rsid w:val="009D40B7"/>
    <w:rsid w:val="009D7407"/>
    <w:rsid w:val="009D7479"/>
    <w:rsid w:val="009E0866"/>
    <w:rsid w:val="009E0B2D"/>
    <w:rsid w:val="009E1E23"/>
    <w:rsid w:val="009E27DA"/>
    <w:rsid w:val="009E2CDD"/>
    <w:rsid w:val="009E3B9E"/>
    <w:rsid w:val="009E4375"/>
    <w:rsid w:val="009E4BA4"/>
    <w:rsid w:val="009E663E"/>
    <w:rsid w:val="009E6675"/>
    <w:rsid w:val="009E6732"/>
    <w:rsid w:val="009E6F87"/>
    <w:rsid w:val="009E7976"/>
    <w:rsid w:val="009E7D71"/>
    <w:rsid w:val="009F34E7"/>
    <w:rsid w:val="009F4011"/>
    <w:rsid w:val="009F49D3"/>
    <w:rsid w:val="009F5088"/>
    <w:rsid w:val="009F6F18"/>
    <w:rsid w:val="009F7368"/>
    <w:rsid w:val="009F7ED0"/>
    <w:rsid w:val="009F7FB7"/>
    <w:rsid w:val="00A003FC"/>
    <w:rsid w:val="00A00437"/>
    <w:rsid w:val="00A01418"/>
    <w:rsid w:val="00A02065"/>
    <w:rsid w:val="00A022B4"/>
    <w:rsid w:val="00A027C7"/>
    <w:rsid w:val="00A02D24"/>
    <w:rsid w:val="00A03E1C"/>
    <w:rsid w:val="00A0418A"/>
    <w:rsid w:val="00A0567B"/>
    <w:rsid w:val="00A057DC"/>
    <w:rsid w:val="00A06958"/>
    <w:rsid w:val="00A1324B"/>
    <w:rsid w:val="00A13C6A"/>
    <w:rsid w:val="00A13F0C"/>
    <w:rsid w:val="00A14137"/>
    <w:rsid w:val="00A1489C"/>
    <w:rsid w:val="00A14D1B"/>
    <w:rsid w:val="00A154ED"/>
    <w:rsid w:val="00A170B3"/>
    <w:rsid w:val="00A17AB5"/>
    <w:rsid w:val="00A20655"/>
    <w:rsid w:val="00A20E8E"/>
    <w:rsid w:val="00A211B0"/>
    <w:rsid w:val="00A2143A"/>
    <w:rsid w:val="00A22552"/>
    <w:rsid w:val="00A22737"/>
    <w:rsid w:val="00A232DD"/>
    <w:rsid w:val="00A23FF6"/>
    <w:rsid w:val="00A246C7"/>
    <w:rsid w:val="00A24A62"/>
    <w:rsid w:val="00A256AA"/>
    <w:rsid w:val="00A26933"/>
    <w:rsid w:val="00A26D65"/>
    <w:rsid w:val="00A3054B"/>
    <w:rsid w:val="00A30DE6"/>
    <w:rsid w:val="00A31C9F"/>
    <w:rsid w:val="00A320DF"/>
    <w:rsid w:val="00A324AC"/>
    <w:rsid w:val="00A324AD"/>
    <w:rsid w:val="00A33EB7"/>
    <w:rsid w:val="00A346C0"/>
    <w:rsid w:val="00A35EDE"/>
    <w:rsid w:val="00A37B08"/>
    <w:rsid w:val="00A40339"/>
    <w:rsid w:val="00A40A8E"/>
    <w:rsid w:val="00A41FC0"/>
    <w:rsid w:val="00A43328"/>
    <w:rsid w:val="00A43925"/>
    <w:rsid w:val="00A43947"/>
    <w:rsid w:val="00A43E88"/>
    <w:rsid w:val="00A44591"/>
    <w:rsid w:val="00A45031"/>
    <w:rsid w:val="00A45D6C"/>
    <w:rsid w:val="00A46C20"/>
    <w:rsid w:val="00A525F3"/>
    <w:rsid w:val="00A567B4"/>
    <w:rsid w:val="00A57857"/>
    <w:rsid w:val="00A57A97"/>
    <w:rsid w:val="00A61810"/>
    <w:rsid w:val="00A6280C"/>
    <w:rsid w:val="00A63209"/>
    <w:rsid w:val="00A63583"/>
    <w:rsid w:val="00A644CB"/>
    <w:rsid w:val="00A663DE"/>
    <w:rsid w:val="00A70D41"/>
    <w:rsid w:val="00A720A5"/>
    <w:rsid w:val="00A72EFB"/>
    <w:rsid w:val="00A73148"/>
    <w:rsid w:val="00A73A67"/>
    <w:rsid w:val="00A73DBA"/>
    <w:rsid w:val="00A7442A"/>
    <w:rsid w:val="00A76CE7"/>
    <w:rsid w:val="00A80037"/>
    <w:rsid w:val="00A8185F"/>
    <w:rsid w:val="00A81C18"/>
    <w:rsid w:val="00A82308"/>
    <w:rsid w:val="00A82C24"/>
    <w:rsid w:val="00A83649"/>
    <w:rsid w:val="00A84138"/>
    <w:rsid w:val="00A842FA"/>
    <w:rsid w:val="00A85123"/>
    <w:rsid w:val="00A856C9"/>
    <w:rsid w:val="00A863AA"/>
    <w:rsid w:val="00A87B04"/>
    <w:rsid w:val="00A90E59"/>
    <w:rsid w:val="00A92073"/>
    <w:rsid w:val="00A92E47"/>
    <w:rsid w:val="00A92F4A"/>
    <w:rsid w:val="00A93F09"/>
    <w:rsid w:val="00A95926"/>
    <w:rsid w:val="00A97182"/>
    <w:rsid w:val="00A97318"/>
    <w:rsid w:val="00AA04EA"/>
    <w:rsid w:val="00AA2357"/>
    <w:rsid w:val="00AA2C15"/>
    <w:rsid w:val="00AA2FC1"/>
    <w:rsid w:val="00AA399B"/>
    <w:rsid w:val="00AA40CD"/>
    <w:rsid w:val="00AA4444"/>
    <w:rsid w:val="00AA4BDB"/>
    <w:rsid w:val="00AA5352"/>
    <w:rsid w:val="00AA56F9"/>
    <w:rsid w:val="00AA5868"/>
    <w:rsid w:val="00AA692A"/>
    <w:rsid w:val="00AA6BEE"/>
    <w:rsid w:val="00AB01E3"/>
    <w:rsid w:val="00AB08CC"/>
    <w:rsid w:val="00AB0B98"/>
    <w:rsid w:val="00AB13B4"/>
    <w:rsid w:val="00AB19CF"/>
    <w:rsid w:val="00AB2606"/>
    <w:rsid w:val="00AB268D"/>
    <w:rsid w:val="00AB2B15"/>
    <w:rsid w:val="00AB4D10"/>
    <w:rsid w:val="00AB72AC"/>
    <w:rsid w:val="00AB7B5E"/>
    <w:rsid w:val="00AC164A"/>
    <w:rsid w:val="00AC27A2"/>
    <w:rsid w:val="00AC3D76"/>
    <w:rsid w:val="00AC3FD1"/>
    <w:rsid w:val="00AC405E"/>
    <w:rsid w:val="00AC57A4"/>
    <w:rsid w:val="00AC70C5"/>
    <w:rsid w:val="00AD0A35"/>
    <w:rsid w:val="00AD2B21"/>
    <w:rsid w:val="00AD357A"/>
    <w:rsid w:val="00AD39F4"/>
    <w:rsid w:val="00AD3FC4"/>
    <w:rsid w:val="00AD42C6"/>
    <w:rsid w:val="00AD60B5"/>
    <w:rsid w:val="00AD6560"/>
    <w:rsid w:val="00AD674D"/>
    <w:rsid w:val="00AE02A6"/>
    <w:rsid w:val="00AE0C55"/>
    <w:rsid w:val="00AE0DE5"/>
    <w:rsid w:val="00AE2DA7"/>
    <w:rsid w:val="00AE336C"/>
    <w:rsid w:val="00AE339E"/>
    <w:rsid w:val="00AE3D31"/>
    <w:rsid w:val="00AE44E6"/>
    <w:rsid w:val="00AE4FC4"/>
    <w:rsid w:val="00AE5154"/>
    <w:rsid w:val="00AE56A3"/>
    <w:rsid w:val="00AE7D22"/>
    <w:rsid w:val="00AF061F"/>
    <w:rsid w:val="00AF06D9"/>
    <w:rsid w:val="00AF2050"/>
    <w:rsid w:val="00AF24A6"/>
    <w:rsid w:val="00AF2734"/>
    <w:rsid w:val="00AF3793"/>
    <w:rsid w:val="00AF47FA"/>
    <w:rsid w:val="00AF4884"/>
    <w:rsid w:val="00AF6039"/>
    <w:rsid w:val="00AF60AB"/>
    <w:rsid w:val="00AF6693"/>
    <w:rsid w:val="00AF6E0A"/>
    <w:rsid w:val="00AF7459"/>
    <w:rsid w:val="00B00E5D"/>
    <w:rsid w:val="00B010DF"/>
    <w:rsid w:val="00B0157E"/>
    <w:rsid w:val="00B01974"/>
    <w:rsid w:val="00B02D55"/>
    <w:rsid w:val="00B03136"/>
    <w:rsid w:val="00B03F46"/>
    <w:rsid w:val="00B04A43"/>
    <w:rsid w:val="00B052E7"/>
    <w:rsid w:val="00B0603B"/>
    <w:rsid w:val="00B06BAA"/>
    <w:rsid w:val="00B074D2"/>
    <w:rsid w:val="00B106AF"/>
    <w:rsid w:val="00B1071C"/>
    <w:rsid w:val="00B10B8B"/>
    <w:rsid w:val="00B114A2"/>
    <w:rsid w:val="00B11E25"/>
    <w:rsid w:val="00B11E6D"/>
    <w:rsid w:val="00B122B5"/>
    <w:rsid w:val="00B12801"/>
    <w:rsid w:val="00B1369C"/>
    <w:rsid w:val="00B13885"/>
    <w:rsid w:val="00B146B9"/>
    <w:rsid w:val="00B156BE"/>
    <w:rsid w:val="00B156ED"/>
    <w:rsid w:val="00B1588C"/>
    <w:rsid w:val="00B15ACA"/>
    <w:rsid w:val="00B1610E"/>
    <w:rsid w:val="00B165D8"/>
    <w:rsid w:val="00B16F0C"/>
    <w:rsid w:val="00B17E94"/>
    <w:rsid w:val="00B20E5C"/>
    <w:rsid w:val="00B21B69"/>
    <w:rsid w:val="00B21F5F"/>
    <w:rsid w:val="00B2318C"/>
    <w:rsid w:val="00B25374"/>
    <w:rsid w:val="00B26733"/>
    <w:rsid w:val="00B26AEF"/>
    <w:rsid w:val="00B27524"/>
    <w:rsid w:val="00B30819"/>
    <w:rsid w:val="00B30D04"/>
    <w:rsid w:val="00B318ED"/>
    <w:rsid w:val="00B31ED8"/>
    <w:rsid w:val="00B346B8"/>
    <w:rsid w:val="00B34927"/>
    <w:rsid w:val="00B34C24"/>
    <w:rsid w:val="00B35F51"/>
    <w:rsid w:val="00B36A39"/>
    <w:rsid w:val="00B37FF2"/>
    <w:rsid w:val="00B40E82"/>
    <w:rsid w:val="00B41028"/>
    <w:rsid w:val="00B411F9"/>
    <w:rsid w:val="00B420F1"/>
    <w:rsid w:val="00B4253B"/>
    <w:rsid w:val="00B42EBB"/>
    <w:rsid w:val="00B42EFF"/>
    <w:rsid w:val="00B44017"/>
    <w:rsid w:val="00B443B9"/>
    <w:rsid w:val="00B46FF5"/>
    <w:rsid w:val="00B4719B"/>
    <w:rsid w:val="00B4757F"/>
    <w:rsid w:val="00B51609"/>
    <w:rsid w:val="00B517B2"/>
    <w:rsid w:val="00B52743"/>
    <w:rsid w:val="00B54893"/>
    <w:rsid w:val="00B5513B"/>
    <w:rsid w:val="00B55FC6"/>
    <w:rsid w:val="00B566F3"/>
    <w:rsid w:val="00B57EB8"/>
    <w:rsid w:val="00B60352"/>
    <w:rsid w:val="00B61255"/>
    <w:rsid w:val="00B61403"/>
    <w:rsid w:val="00B627DF"/>
    <w:rsid w:val="00B63622"/>
    <w:rsid w:val="00B64B33"/>
    <w:rsid w:val="00B6653B"/>
    <w:rsid w:val="00B66931"/>
    <w:rsid w:val="00B66AD0"/>
    <w:rsid w:val="00B66E6B"/>
    <w:rsid w:val="00B6712B"/>
    <w:rsid w:val="00B71464"/>
    <w:rsid w:val="00B72CB3"/>
    <w:rsid w:val="00B73FB6"/>
    <w:rsid w:val="00B760D1"/>
    <w:rsid w:val="00B76CA9"/>
    <w:rsid w:val="00B770C4"/>
    <w:rsid w:val="00B77DBE"/>
    <w:rsid w:val="00B77E39"/>
    <w:rsid w:val="00B77EF8"/>
    <w:rsid w:val="00B77F92"/>
    <w:rsid w:val="00B802DE"/>
    <w:rsid w:val="00B8077B"/>
    <w:rsid w:val="00B817CB"/>
    <w:rsid w:val="00B8184F"/>
    <w:rsid w:val="00B8320E"/>
    <w:rsid w:val="00B83503"/>
    <w:rsid w:val="00B83941"/>
    <w:rsid w:val="00B85F65"/>
    <w:rsid w:val="00B869CC"/>
    <w:rsid w:val="00B87515"/>
    <w:rsid w:val="00B87AAE"/>
    <w:rsid w:val="00B91534"/>
    <w:rsid w:val="00B9303C"/>
    <w:rsid w:val="00B95521"/>
    <w:rsid w:val="00B95AFB"/>
    <w:rsid w:val="00B95D09"/>
    <w:rsid w:val="00B9778F"/>
    <w:rsid w:val="00B97997"/>
    <w:rsid w:val="00B97D05"/>
    <w:rsid w:val="00B97E3E"/>
    <w:rsid w:val="00BA0084"/>
    <w:rsid w:val="00BA1767"/>
    <w:rsid w:val="00BA18AC"/>
    <w:rsid w:val="00BA19A6"/>
    <w:rsid w:val="00BA272A"/>
    <w:rsid w:val="00BA2886"/>
    <w:rsid w:val="00BA356B"/>
    <w:rsid w:val="00BA3B46"/>
    <w:rsid w:val="00BA4016"/>
    <w:rsid w:val="00BA42B7"/>
    <w:rsid w:val="00BA5283"/>
    <w:rsid w:val="00BA5E52"/>
    <w:rsid w:val="00BA6FC4"/>
    <w:rsid w:val="00BA7EEF"/>
    <w:rsid w:val="00BB0C84"/>
    <w:rsid w:val="00BB26C5"/>
    <w:rsid w:val="00BB2BA7"/>
    <w:rsid w:val="00BB62E4"/>
    <w:rsid w:val="00BB7732"/>
    <w:rsid w:val="00BB7FAB"/>
    <w:rsid w:val="00BC0054"/>
    <w:rsid w:val="00BC1040"/>
    <w:rsid w:val="00BC1AD3"/>
    <w:rsid w:val="00BC1CF5"/>
    <w:rsid w:val="00BC1F0C"/>
    <w:rsid w:val="00BC29DE"/>
    <w:rsid w:val="00BC3B61"/>
    <w:rsid w:val="00BC3B99"/>
    <w:rsid w:val="00BC4BB7"/>
    <w:rsid w:val="00BC6739"/>
    <w:rsid w:val="00BC7CC4"/>
    <w:rsid w:val="00BD1CD5"/>
    <w:rsid w:val="00BD26A1"/>
    <w:rsid w:val="00BD3228"/>
    <w:rsid w:val="00BD3F23"/>
    <w:rsid w:val="00BD419B"/>
    <w:rsid w:val="00BD562D"/>
    <w:rsid w:val="00BD586C"/>
    <w:rsid w:val="00BD652B"/>
    <w:rsid w:val="00BD7F87"/>
    <w:rsid w:val="00BE2DBB"/>
    <w:rsid w:val="00BE2E23"/>
    <w:rsid w:val="00BE335D"/>
    <w:rsid w:val="00BE48F6"/>
    <w:rsid w:val="00BE51BA"/>
    <w:rsid w:val="00BE5F85"/>
    <w:rsid w:val="00BE6907"/>
    <w:rsid w:val="00BF13E4"/>
    <w:rsid w:val="00BF1FC0"/>
    <w:rsid w:val="00BF2F72"/>
    <w:rsid w:val="00BF4116"/>
    <w:rsid w:val="00BF4751"/>
    <w:rsid w:val="00BF4B82"/>
    <w:rsid w:val="00BF4DE6"/>
    <w:rsid w:val="00BF56B8"/>
    <w:rsid w:val="00BF5F7A"/>
    <w:rsid w:val="00BF6C89"/>
    <w:rsid w:val="00C00855"/>
    <w:rsid w:val="00C011EE"/>
    <w:rsid w:val="00C0141A"/>
    <w:rsid w:val="00C03F5D"/>
    <w:rsid w:val="00C05EA3"/>
    <w:rsid w:val="00C05FCA"/>
    <w:rsid w:val="00C06A1A"/>
    <w:rsid w:val="00C07004"/>
    <w:rsid w:val="00C1066D"/>
    <w:rsid w:val="00C10B7C"/>
    <w:rsid w:val="00C11457"/>
    <w:rsid w:val="00C12FB3"/>
    <w:rsid w:val="00C1360C"/>
    <w:rsid w:val="00C1409D"/>
    <w:rsid w:val="00C144D5"/>
    <w:rsid w:val="00C146E2"/>
    <w:rsid w:val="00C15865"/>
    <w:rsid w:val="00C164FB"/>
    <w:rsid w:val="00C17BA8"/>
    <w:rsid w:val="00C20628"/>
    <w:rsid w:val="00C21E9F"/>
    <w:rsid w:val="00C2354C"/>
    <w:rsid w:val="00C237B4"/>
    <w:rsid w:val="00C247D6"/>
    <w:rsid w:val="00C24C7F"/>
    <w:rsid w:val="00C26FA4"/>
    <w:rsid w:val="00C27965"/>
    <w:rsid w:val="00C32529"/>
    <w:rsid w:val="00C32837"/>
    <w:rsid w:val="00C32E0E"/>
    <w:rsid w:val="00C342E9"/>
    <w:rsid w:val="00C345EE"/>
    <w:rsid w:val="00C35755"/>
    <w:rsid w:val="00C36C1B"/>
    <w:rsid w:val="00C37B3C"/>
    <w:rsid w:val="00C37BC7"/>
    <w:rsid w:val="00C400C7"/>
    <w:rsid w:val="00C41278"/>
    <w:rsid w:val="00C42806"/>
    <w:rsid w:val="00C42CDE"/>
    <w:rsid w:val="00C42DC8"/>
    <w:rsid w:val="00C4435F"/>
    <w:rsid w:val="00C45248"/>
    <w:rsid w:val="00C4540D"/>
    <w:rsid w:val="00C45BC6"/>
    <w:rsid w:val="00C45E70"/>
    <w:rsid w:val="00C46D64"/>
    <w:rsid w:val="00C47963"/>
    <w:rsid w:val="00C508CB"/>
    <w:rsid w:val="00C50A83"/>
    <w:rsid w:val="00C512B6"/>
    <w:rsid w:val="00C51526"/>
    <w:rsid w:val="00C52F38"/>
    <w:rsid w:val="00C53151"/>
    <w:rsid w:val="00C5343A"/>
    <w:rsid w:val="00C5409D"/>
    <w:rsid w:val="00C5421C"/>
    <w:rsid w:val="00C54582"/>
    <w:rsid w:val="00C5567F"/>
    <w:rsid w:val="00C55752"/>
    <w:rsid w:val="00C570C8"/>
    <w:rsid w:val="00C5791E"/>
    <w:rsid w:val="00C6121E"/>
    <w:rsid w:val="00C61B0D"/>
    <w:rsid w:val="00C64AF9"/>
    <w:rsid w:val="00C64DED"/>
    <w:rsid w:val="00C65DA2"/>
    <w:rsid w:val="00C65E8F"/>
    <w:rsid w:val="00C66B48"/>
    <w:rsid w:val="00C67092"/>
    <w:rsid w:val="00C6710D"/>
    <w:rsid w:val="00C7018E"/>
    <w:rsid w:val="00C70223"/>
    <w:rsid w:val="00C737B8"/>
    <w:rsid w:val="00C73E44"/>
    <w:rsid w:val="00C745DE"/>
    <w:rsid w:val="00C77850"/>
    <w:rsid w:val="00C779D8"/>
    <w:rsid w:val="00C77A5C"/>
    <w:rsid w:val="00C80039"/>
    <w:rsid w:val="00C8017E"/>
    <w:rsid w:val="00C813CB"/>
    <w:rsid w:val="00C813F4"/>
    <w:rsid w:val="00C82530"/>
    <w:rsid w:val="00C82D62"/>
    <w:rsid w:val="00C84141"/>
    <w:rsid w:val="00C8455D"/>
    <w:rsid w:val="00C8458B"/>
    <w:rsid w:val="00C8521E"/>
    <w:rsid w:val="00C8680D"/>
    <w:rsid w:val="00C87EB7"/>
    <w:rsid w:val="00C90B75"/>
    <w:rsid w:val="00C9256F"/>
    <w:rsid w:val="00C93ADC"/>
    <w:rsid w:val="00C93E0D"/>
    <w:rsid w:val="00C95C13"/>
    <w:rsid w:val="00C96E47"/>
    <w:rsid w:val="00CA034B"/>
    <w:rsid w:val="00CA099B"/>
    <w:rsid w:val="00CA0AA1"/>
    <w:rsid w:val="00CA1205"/>
    <w:rsid w:val="00CA1EBE"/>
    <w:rsid w:val="00CA2458"/>
    <w:rsid w:val="00CA2A61"/>
    <w:rsid w:val="00CA37B1"/>
    <w:rsid w:val="00CA4546"/>
    <w:rsid w:val="00CA5336"/>
    <w:rsid w:val="00CA5C14"/>
    <w:rsid w:val="00CA6A53"/>
    <w:rsid w:val="00CA7915"/>
    <w:rsid w:val="00CB04C8"/>
    <w:rsid w:val="00CB0946"/>
    <w:rsid w:val="00CB15B8"/>
    <w:rsid w:val="00CB1959"/>
    <w:rsid w:val="00CB23E9"/>
    <w:rsid w:val="00CB26CF"/>
    <w:rsid w:val="00CB28ED"/>
    <w:rsid w:val="00CB2DFE"/>
    <w:rsid w:val="00CB6048"/>
    <w:rsid w:val="00CC2C85"/>
    <w:rsid w:val="00CC384C"/>
    <w:rsid w:val="00CC4370"/>
    <w:rsid w:val="00CC45A2"/>
    <w:rsid w:val="00CC60B8"/>
    <w:rsid w:val="00CC618D"/>
    <w:rsid w:val="00CC6738"/>
    <w:rsid w:val="00CC6B17"/>
    <w:rsid w:val="00CC6C6C"/>
    <w:rsid w:val="00CC7978"/>
    <w:rsid w:val="00CD0611"/>
    <w:rsid w:val="00CD1056"/>
    <w:rsid w:val="00CD194F"/>
    <w:rsid w:val="00CD1EAB"/>
    <w:rsid w:val="00CD2502"/>
    <w:rsid w:val="00CD3067"/>
    <w:rsid w:val="00CD4AFB"/>
    <w:rsid w:val="00CD5A8B"/>
    <w:rsid w:val="00CD643A"/>
    <w:rsid w:val="00CD71C1"/>
    <w:rsid w:val="00CD754F"/>
    <w:rsid w:val="00CE09F2"/>
    <w:rsid w:val="00CE0EDD"/>
    <w:rsid w:val="00CE1801"/>
    <w:rsid w:val="00CE2360"/>
    <w:rsid w:val="00CE3D8A"/>
    <w:rsid w:val="00CE3DD5"/>
    <w:rsid w:val="00CE4A1B"/>
    <w:rsid w:val="00CE63C9"/>
    <w:rsid w:val="00CE67B4"/>
    <w:rsid w:val="00CE70C3"/>
    <w:rsid w:val="00CF0751"/>
    <w:rsid w:val="00CF0EFE"/>
    <w:rsid w:val="00CF1DFA"/>
    <w:rsid w:val="00CF26C5"/>
    <w:rsid w:val="00CF2DB8"/>
    <w:rsid w:val="00CF3BBB"/>
    <w:rsid w:val="00CF47EF"/>
    <w:rsid w:val="00CF4A4F"/>
    <w:rsid w:val="00CF69A3"/>
    <w:rsid w:val="00CF6AA5"/>
    <w:rsid w:val="00CF6C86"/>
    <w:rsid w:val="00CF6D36"/>
    <w:rsid w:val="00CF7042"/>
    <w:rsid w:val="00CF7DD1"/>
    <w:rsid w:val="00D01A86"/>
    <w:rsid w:val="00D0296C"/>
    <w:rsid w:val="00D02EF5"/>
    <w:rsid w:val="00D034DB"/>
    <w:rsid w:val="00D03BAB"/>
    <w:rsid w:val="00D03C4F"/>
    <w:rsid w:val="00D046A2"/>
    <w:rsid w:val="00D04FA9"/>
    <w:rsid w:val="00D0500F"/>
    <w:rsid w:val="00D06140"/>
    <w:rsid w:val="00D06D79"/>
    <w:rsid w:val="00D071F8"/>
    <w:rsid w:val="00D10064"/>
    <w:rsid w:val="00D10AE5"/>
    <w:rsid w:val="00D10C19"/>
    <w:rsid w:val="00D1340C"/>
    <w:rsid w:val="00D13834"/>
    <w:rsid w:val="00D13AB2"/>
    <w:rsid w:val="00D13CDE"/>
    <w:rsid w:val="00D14E78"/>
    <w:rsid w:val="00D16644"/>
    <w:rsid w:val="00D16E96"/>
    <w:rsid w:val="00D179FA"/>
    <w:rsid w:val="00D17E8C"/>
    <w:rsid w:val="00D201B6"/>
    <w:rsid w:val="00D2042B"/>
    <w:rsid w:val="00D2051B"/>
    <w:rsid w:val="00D20DA5"/>
    <w:rsid w:val="00D21202"/>
    <w:rsid w:val="00D221B3"/>
    <w:rsid w:val="00D2253C"/>
    <w:rsid w:val="00D22869"/>
    <w:rsid w:val="00D22C8C"/>
    <w:rsid w:val="00D24650"/>
    <w:rsid w:val="00D25D4A"/>
    <w:rsid w:val="00D27B22"/>
    <w:rsid w:val="00D317C9"/>
    <w:rsid w:val="00D32D97"/>
    <w:rsid w:val="00D333BD"/>
    <w:rsid w:val="00D342DA"/>
    <w:rsid w:val="00D34531"/>
    <w:rsid w:val="00D34E8D"/>
    <w:rsid w:val="00D351A6"/>
    <w:rsid w:val="00D36160"/>
    <w:rsid w:val="00D3652B"/>
    <w:rsid w:val="00D36BCE"/>
    <w:rsid w:val="00D37B02"/>
    <w:rsid w:val="00D37F41"/>
    <w:rsid w:val="00D41073"/>
    <w:rsid w:val="00D41137"/>
    <w:rsid w:val="00D42163"/>
    <w:rsid w:val="00D43E93"/>
    <w:rsid w:val="00D4669F"/>
    <w:rsid w:val="00D46D82"/>
    <w:rsid w:val="00D46FF9"/>
    <w:rsid w:val="00D47B6F"/>
    <w:rsid w:val="00D47CF0"/>
    <w:rsid w:val="00D5235E"/>
    <w:rsid w:val="00D5267A"/>
    <w:rsid w:val="00D54A80"/>
    <w:rsid w:val="00D5519B"/>
    <w:rsid w:val="00D55F93"/>
    <w:rsid w:val="00D5638C"/>
    <w:rsid w:val="00D569C9"/>
    <w:rsid w:val="00D57058"/>
    <w:rsid w:val="00D60B7E"/>
    <w:rsid w:val="00D6179E"/>
    <w:rsid w:val="00D6379F"/>
    <w:rsid w:val="00D641B8"/>
    <w:rsid w:val="00D647E1"/>
    <w:rsid w:val="00D65283"/>
    <w:rsid w:val="00D65340"/>
    <w:rsid w:val="00D6756F"/>
    <w:rsid w:val="00D675A0"/>
    <w:rsid w:val="00D70C12"/>
    <w:rsid w:val="00D712CE"/>
    <w:rsid w:val="00D71850"/>
    <w:rsid w:val="00D730D2"/>
    <w:rsid w:val="00D73D18"/>
    <w:rsid w:val="00D74E10"/>
    <w:rsid w:val="00D74E7B"/>
    <w:rsid w:val="00D74FDC"/>
    <w:rsid w:val="00D76BC2"/>
    <w:rsid w:val="00D774CA"/>
    <w:rsid w:val="00D77EA6"/>
    <w:rsid w:val="00D8007B"/>
    <w:rsid w:val="00D80B15"/>
    <w:rsid w:val="00D80BDA"/>
    <w:rsid w:val="00D8149A"/>
    <w:rsid w:val="00D81ABF"/>
    <w:rsid w:val="00D825F8"/>
    <w:rsid w:val="00D82986"/>
    <w:rsid w:val="00D87938"/>
    <w:rsid w:val="00D87E76"/>
    <w:rsid w:val="00D902B3"/>
    <w:rsid w:val="00D912B7"/>
    <w:rsid w:val="00D91422"/>
    <w:rsid w:val="00D9363B"/>
    <w:rsid w:val="00D94DB0"/>
    <w:rsid w:val="00D95102"/>
    <w:rsid w:val="00D978FC"/>
    <w:rsid w:val="00DA093B"/>
    <w:rsid w:val="00DA0FF8"/>
    <w:rsid w:val="00DA1D93"/>
    <w:rsid w:val="00DA21C3"/>
    <w:rsid w:val="00DA2456"/>
    <w:rsid w:val="00DA266C"/>
    <w:rsid w:val="00DA5BD8"/>
    <w:rsid w:val="00DB10A1"/>
    <w:rsid w:val="00DB17BB"/>
    <w:rsid w:val="00DB1B2E"/>
    <w:rsid w:val="00DB1BD2"/>
    <w:rsid w:val="00DB1F54"/>
    <w:rsid w:val="00DB3387"/>
    <w:rsid w:val="00DB5194"/>
    <w:rsid w:val="00DB62C7"/>
    <w:rsid w:val="00DB6453"/>
    <w:rsid w:val="00DB66AF"/>
    <w:rsid w:val="00DB6D69"/>
    <w:rsid w:val="00DB7665"/>
    <w:rsid w:val="00DB7B91"/>
    <w:rsid w:val="00DC0913"/>
    <w:rsid w:val="00DC1022"/>
    <w:rsid w:val="00DC21CD"/>
    <w:rsid w:val="00DC2A59"/>
    <w:rsid w:val="00DC3CFE"/>
    <w:rsid w:val="00DC430B"/>
    <w:rsid w:val="00DC4498"/>
    <w:rsid w:val="00DD0DA7"/>
    <w:rsid w:val="00DD163D"/>
    <w:rsid w:val="00DD2015"/>
    <w:rsid w:val="00DD297E"/>
    <w:rsid w:val="00DD3481"/>
    <w:rsid w:val="00DD38D3"/>
    <w:rsid w:val="00DD4AB8"/>
    <w:rsid w:val="00DD4D8C"/>
    <w:rsid w:val="00DD5DEB"/>
    <w:rsid w:val="00DD63C7"/>
    <w:rsid w:val="00DD650B"/>
    <w:rsid w:val="00DD651D"/>
    <w:rsid w:val="00DD6F1A"/>
    <w:rsid w:val="00DE04F9"/>
    <w:rsid w:val="00DE1FFB"/>
    <w:rsid w:val="00DE23F6"/>
    <w:rsid w:val="00DE24F3"/>
    <w:rsid w:val="00DE4955"/>
    <w:rsid w:val="00DE634C"/>
    <w:rsid w:val="00DE65D9"/>
    <w:rsid w:val="00DE73AA"/>
    <w:rsid w:val="00DE7AA2"/>
    <w:rsid w:val="00DF0DF0"/>
    <w:rsid w:val="00DF1C88"/>
    <w:rsid w:val="00DF25F7"/>
    <w:rsid w:val="00DF41BE"/>
    <w:rsid w:val="00DF4F3A"/>
    <w:rsid w:val="00DF6373"/>
    <w:rsid w:val="00DF6911"/>
    <w:rsid w:val="00DF6C41"/>
    <w:rsid w:val="00DF75D9"/>
    <w:rsid w:val="00DF7DCE"/>
    <w:rsid w:val="00E00DDA"/>
    <w:rsid w:val="00E01E5F"/>
    <w:rsid w:val="00E04706"/>
    <w:rsid w:val="00E05446"/>
    <w:rsid w:val="00E06E10"/>
    <w:rsid w:val="00E1048C"/>
    <w:rsid w:val="00E10CDF"/>
    <w:rsid w:val="00E10DA7"/>
    <w:rsid w:val="00E10F01"/>
    <w:rsid w:val="00E117F4"/>
    <w:rsid w:val="00E11E91"/>
    <w:rsid w:val="00E12DAA"/>
    <w:rsid w:val="00E133F5"/>
    <w:rsid w:val="00E1387D"/>
    <w:rsid w:val="00E14389"/>
    <w:rsid w:val="00E15724"/>
    <w:rsid w:val="00E16311"/>
    <w:rsid w:val="00E16EE5"/>
    <w:rsid w:val="00E175F1"/>
    <w:rsid w:val="00E21E9B"/>
    <w:rsid w:val="00E23059"/>
    <w:rsid w:val="00E23067"/>
    <w:rsid w:val="00E235AB"/>
    <w:rsid w:val="00E23CFB"/>
    <w:rsid w:val="00E23E66"/>
    <w:rsid w:val="00E26C3B"/>
    <w:rsid w:val="00E27BD9"/>
    <w:rsid w:val="00E306F6"/>
    <w:rsid w:val="00E311DE"/>
    <w:rsid w:val="00E312A4"/>
    <w:rsid w:val="00E3142D"/>
    <w:rsid w:val="00E317B5"/>
    <w:rsid w:val="00E31EA1"/>
    <w:rsid w:val="00E34B6D"/>
    <w:rsid w:val="00E357B7"/>
    <w:rsid w:val="00E36583"/>
    <w:rsid w:val="00E3771F"/>
    <w:rsid w:val="00E379A7"/>
    <w:rsid w:val="00E37AFC"/>
    <w:rsid w:val="00E403F9"/>
    <w:rsid w:val="00E40A9C"/>
    <w:rsid w:val="00E41365"/>
    <w:rsid w:val="00E41713"/>
    <w:rsid w:val="00E419E2"/>
    <w:rsid w:val="00E422D5"/>
    <w:rsid w:val="00E42863"/>
    <w:rsid w:val="00E44861"/>
    <w:rsid w:val="00E44C90"/>
    <w:rsid w:val="00E44D53"/>
    <w:rsid w:val="00E452EF"/>
    <w:rsid w:val="00E45416"/>
    <w:rsid w:val="00E456AD"/>
    <w:rsid w:val="00E45D34"/>
    <w:rsid w:val="00E45F6B"/>
    <w:rsid w:val="00E45F6F"/>
    <w:rsid w:val="00E47F24"/>
    <w:rsid w:val="00E5040F"/>
    <w:rsid w:val="00E512E8"/>
    <w:rsid w:val="00E527DB"/>
    <w:rsid w:val="00E5366E"/>
    <w:rsid w:val="00E53800"/>
    <w:rsid w:val="00E547C7"/>
    <w:rsid w:val="00E54925"/>
    <w:rsid w:val="00E54A6A"/>
    <w:rsid w:val="00E54BAA"/>
    <w:rsid w:val="00E554AA"/>
    <w:rsid w:val="00E5562E"/>
    <w:rsid w:val="00E55A4E"/>
    <w:rsid w:val="00E55FEF"/>
    <w:rsid w:val="00E5604C"/>
    <w:rsid w:val="00E56F97"/>
    <w:rsid w:val="00E57277"/>
    <w:rsid w:val="00E5739B"/>
    <w:rsid w:val="00E6081F"/>
    <w:rsid w:val="00E62203"/>
    <w:rsid w:val="00E62726"/>
    <w:rsid w:val="00E638F2"/>
    <w:rsid w:val="00E64B24"/>
    <w:rsid w:val="00E64B53"/>
    <w:rsid w:val="00E66893"/>
    <w:rsid w:val="00E66917"/>
    <w:rsid w:val="00E66B67"/>
    <w:rsid w:val="00E70379"/>
    <w:rsid w:val="00E72927"/>
    <w:rsid w:val="00E7359F"/>
    <w:rsid w:val="00E74734"/>
    <w:rsid w:val="00E75BEE"/>
    <w:rsid w:val="00E76180"/>
    <w:rsid w:val="00E76601"/>
    <w:rsid w:val="00E77118"/>
    <w:rsid w:val="00E77D7F"/>
    <w:rsid w:val="00E81B00"/>
    <w:rsid w:val="00E8321E"/>
    <w:rsid w:val="00E833DF"/>
    <w:rsid w:val="00E840AB"/>
    <w:rsid w:val="00E84630"/>
    <w:rsid w:val="00E8485E"/>
    <w:rsid w:val="00E858A5"/>
    <w:rsid w:val="00E871D8"/>
    <w:rsid w:val="00E87D42"/>
    <w:rsid w:val="00E9056A"/>
    <w:rsid w:val="00E9093F"/>
    <w:rsid w:val="00E91533"/>
    <w:rsid w:val="00E93C60"/>
    <w:rsid w:val="00E93F00"/>
    <w:rsid w:val="00E95D14"/>
    <w:rsid w:val="00E96312"/>
    <w:rsid w:val="00E971FF"/>
    <w:rsid w:val="00E977BB"/>
    <w:rsid w:val="00EA0468"/>
    <w:rsid w:val="00EA04B2"/>
    <w:rsid w:val="00EA06E8"/>
    <w:rsid w:val="00EA14EE"/>
    <w:rsid w:val="00EA1704"/>
    <w:rsid w:val="00EA171E"/>
    <w:rsid w:val="00EA20F3"/>
    <w:rsid w:val="00EA26AB"/>
    <w:rsid w:val="00EA4F3A"/>
    <w:rsid w:val="00EA52B2"/>
    <w:rsid w:val="00EA71DB"/>
    <w:rsid w:val="00EB0250"/>
    <w:rsid w:val="00EB087E"/>
    <w:rsid w:val="00EB50FD"/>
    <w:rsid w:val="00EB7540"/>
    <w:rsid w:val="00EB78FC"/>
    <w:rsid w:val="00EC057D"/>
    <w:rsid w:val="00EC472B"/>
    <w:rsid w:val="00EC5D76"/>
    <w:rsid w:val="00EC5EF4"/>
    <w:rsid w:val="00EC5F22"/>
    <w:rsid w:val="00ED0B11"/>
    <w:rsid w:val="00ED0E67"/>
    <w:rsid w:val="00ED1C38"/>
    <w:rsid w:val="00ED1CF5"/>
    <w:rsid w:val="00ED222B"/>
    <w:rsid w:val="00ED2C5E"/>
    <w:rsid w:val="00ED43D1"/>
    <w:rsid w:val="00ED4D4E"/>
    <w:rsid w:val="00ED5094"/>
    <w:rsid w:val="00ED68CD"/>
    <w:rsid w:val="00ED69E3"/>
    <w:rsid w:val="00ED78CA"/>
    <w:rsid w:val="00EE0BAB"/>
    <w:rsid w:val="00EE240F"/>
    <w:rsid w:val="00EE38ED"/>
    <w:rsid w:val="00EE4EE1"/>
    <w:rsid w:val="00EE4FBC"/>
    <w:rsid w:val="00EE5749"/>
    <w:rsid w:val="00EE6392"/>
    <w:rsid w:val="00EE645C"/>
    <w:rsid w:val="00EE6A22"/>
    <w:rsid w:val="00EE70B3"/>
    <w:rsid w:val="00EE7EB7"/>
    <w:rsid w:val="00EF04F9"/>
    <w:rsid w:val="00EF16EF"/>
    <w:rsid w:val="00EF1FE5"/>
    <w:rsid w:val="00EF2E74"/>
    <w:rsid w:val="00EF3631"/>
    <w:rsid w:val="00EF4574"/>
    <w:rsid w:val="00EF5718"/>
    <w:rsid w:val="00EF598C"/>
    <w:rsid w:val="00EF6057"/>
    <w:rsid w:val="00F025F8"/>
    <w:rsid w:val="00F03261"/>
    <w:rsid w:val="00F03C39"/>
    <w:rsid w:val="00F05DBB"/>
    <w:rsid w:val="00F065D3"/>
    <w:rsid w:val="00F07C99"/>
    <w:rsid w:val="00F103D4"/>
    <w:rsid w:val="00F10D2B"/>
    <w:rsid w:val="00F10DBD"/>
    <w:rsid w:val="00F113C4"/>
    <w:rsid w:val="00F11B0F"/>
    <w:rsid w:val="00F1231B"/>
    <w:rsid w:val="00F13686"/>
    <w:rsid w:val="00F14C07"/>
    <w:rsid w:val="00F16419"/>
    <w:rsid w:val="00F16603"/>
    <w:rsid w:val="00F167EE"/>
    <w:rsid w:val="00F16AC0"/>
    <w:rsid w:val="00F1701E"/>
    <w:rsid w:val="00F21B82"/>
    <w:rsid w:val="00F229B1"/>
    <w:rsid w:val="00F23754"/>
    <w:rsid w:val="00F23E2C"/>
    <w:rsid w:val="00F23E70"/>
    <w:rsid w:val="00F24AB3"/>
    <w:rsid w:val="00F2684E"/>
    <w:rsid w:val="00F30BD4"/>
    <w:rsid w:val="00F32033"/>
    <w:rsid w:val="00F32133"/>
    <w:rsid w:val="00F32636"/>
    <w:rsid w:val="00F32DAE"/>
    <w:rsid w:val="00F32E87"/>
    <w:rsid w:val="00F33C62"/>
    <w:rsid w:val="00F33CE9"/>
    <w:rsid w:val="00F342D1"/>
    <w:rsid w:val="00F34660"/>
    <w:rsid w:val="00F36816"/>
    <w:rsid w:val="00F36DD1"/>
    <w:rsid w:val="00F37339"/>
    <w:rsid w:val="00F374BE"/>
    <w:rsid w:val="00F37AE5"/>
    <w:rsid w:val="00F37F27"/>
    <w:rsid w:val="00F41B79"/>
    <w:rsid w:val="00F41BF6"/>
    <w:rsid w:val="00F41CD1"/>
    <w:rsid w:val="00F41F77"/>
    <w:rsid w:val="00F42316"/>
    <w:rsid w:val="00F43536"/>
    <w:rsid w:val="00F4373F"/>
    <w:rsid w:val="00F43AB0"/>
    <w:rsid w:val="00F43AFD"/>
    <w:rsid w:val="00F43D0F"/>
    <w:rsid w:val="00F448B8"/>
    <w:rsid w:val="00F44FF5"/>
    <w:rsid w:val="00F4681F"/>
    <w:rsid w:val="00F4683E"/>
    <w:rsid w:val="00F4720B"/>
    <w:rsid w:val="00F47E9F"/>
    <w:rsid w:val="00F50297"/>
    <w:rsid w:val="00F50DAF"/>
    <w:rsid w:val="00F522DB"/>
    <w:rsid w:val="00F529FB"/>
    <w:rsid w:val="00F5350A"/>
    <w:rsid w:val="00F542E6"/>
    <w:rsid w:val="00F54AA3"/>
    <w:rsid w:val="00F555AB"/>
    <w:rsid w:val="00F577F2"/>
    <w:rsid w:val="00F60D31"/>
    <w:rsid w:val="00F60E0F"/>
    <w:rsid w:val="00F620CD"/>
    <w:rsid w:val="00F62E82"/>
    <w:rsid w:val="00F63380"/>
    <w:rsid w:val="00F653DE"/>
    <w:rsid w:val="00F675A8"/>
    <w:rsid w:val="00F67F1E"/>
    <w:rsid w:val="00F711D5"/>
    <w:rsid w:val="00F729EF"/>
    <w:rsid w:val="00F73576"/>
    <w:rsid w:val="00F751A4"/>
    <w:rsid w:val="00F760F4"/>
    <w:rsid w:val="00F76FF3"/>
    <w:rsid w:val="00F7700E"/>
    <w:rsid w:val="00F77AC6"/>
    <w:rsid w:val="00F77CAE"/>
    <w:rsid w:val="00F8004F"/>
    <w:rsid w:val="00F8018C"/>
    <w:rsid w:val="00F8069C"/>
    <w:rsid w:val="00F808B6"/>
    <w:rsid w:val="00F80F29"/>
    <w:rsid w:val="00F8139C"/>
    <w:rsid w:val="00F82270"/>
    <w:rsid w:val="00F836A8"/>
    <w:rsid w:val="00F8459D"/>
    <w:rsid w:val="00F84674"/>
    <w:rsid w:val="00F84C2F"/>
    <w:rsid w:val="00F869DA"/>
    <w:rsid w:val="00F86D1F"/>
    <w:rsid w:val="00F8799C"/>
    <w:rsid w:val="00F9060F"/>
    <w:rsid w:val="00F93274"/>
    <w:rsid w:val="00F93852"/>
    <w:rsid w:val="00F93AE9"/>
    <w:rsid w:val="00F9519A"/>
    <w:rsid w:val="00F96A4D"/>
    <w:rsid w:val="00F96BB9"/>
    <w:rsid w:val="00F970A6"/>
    <w:rsid w:val="00F9782C"/>
    <w:rsid w:val="00F97C13"/>
    <w:rsid w:val="00F97C93"/>
    <w:rsid w:val="00F97DDD"/>
    <w:rsid w:val="00FA004F"/>
    <w:rsid w:val="00FA1D22"/>
    <w:rsid w:val="00FA2821"/>
    <w:rsid w:val="00FA30BB"/>
    <w:rsid w:val="00FA374F"/>
    <w:rsid w:val="00FA6760"/>
    <w:rsid w:val="00FA6904"/>
    <w:rsid w:val="00FA74FB"/>
    <w:rsid w:val="00FA77CE"/>
    <w:rsid w:val="00FB1AD0"/>
    <w:rsid w:val="00FB2CED"/>
    <w:rsid w:val="00FB44AA"/>
    <w:rsid w:val="00FB5031"/>
    <w:rsid w:val="00FB50B0"/>
    <w:rsid w:val="00FB5DD0"/>
    <w:rsid w:val="00FB6543"/>
    <w:rsid w:val="00FB65B3"/>
    <w:rsid w:val="00FB7633"/>
    <w:rsid w:val="00FB769F"/>
    <w:rsid w:val="00FC36F7"/>
    <w:rsid w:val="00FC3A38"/>
    <w:rsid w:val="00FC47EB"/>
    <w:rsid w:val="00FC560F"/>
    <w:rsid w:val="00FC5DBD"/>
    <w:rsid w:val="00FC627C"/>
    <w:rsid w:val="00FC73C1"/>
    <w:rsid w:val="00FD1DA0"/>
    <w:rsid w:val="00FD3F9B"/>
    <w:rsid w:val="00FD4588"/>
    <w:rsid w:val="00FD4737"/>
    <w:rsid w:val="00FD5110"/>
    <w:rsid w:val="00FD749A"/>
    <w:rsid w:val="00FD7A2C"/>
    <w:rsid w:val="00FE0082"/>
    <w:rsid w:val="00FE0A38"/>
    <w:rsid w:val="00FE1891"/>
    <w:rsid w:val="00FE4635"/>
    <w:rsid w:val="00FE5281"/>
    <w:rsid w:val="00FE6D51"/>
    <w:rsid w:val="00FE7B82"/>
    <w:rsid w:val="00FF0678"/>
    <w:rsid w:val="00FF116C"/>
    <w:rsid w:val="00FF1F10"/>
    <w:rsid w:val="00FF1F11"/>
    <w:rsid w:val="00FF1FAA"/>
    <w:rsid w:val="00FF21A4"/>
    <w:rsid w:val="00FF2E35"/>
    <w:rsid w:val="00FF3E3C"/>
    <w:rsid w:val="00FF4C3A"/>
    <w:rsid w:val="00FF4F73"/>
    <w:rsid w:val="00FF603D"/>
    <w:rsid w:val="00FF6149"/>
    <w:rsid w:val="00FF69E9"/>
    <w:rsid w:val="00FF7C9B"/>
    <w:rsid w:val="0A9C1B4E"/>
    <w:rsid w:val="18BD79A9"/>
    <w:rsid w:val="2A225D64"/>
    <w:rsid w:val="33558F21"/>
    <w:rsid w:val="5AEBE143"/>
    <w:rsid w:val="5FEE94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F4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4AA"/>
    <w:pPr>
      <w:suppressAutoHyphens/>
      <w:spacing w:before="180" w:after="60" w:line="280" w:lineRule="atLeast"/>
    </w:pPr>
  </w:style>
  <w:style w:type="paragraph" w:styleId="Heading1">
    <w:name w:val="heading 1"/>
    <w:basedOn w:val="Normal"/>
    <w:next w:val="Normal"/>
    <w:link w:val="Heading1Char"/>
    <w:autoRedefine/>
    <w:uiPriority w:val="9"/>
    <w:qFormat/>
    <w:rsid w:val="00375BD3"/>
    <w:pPr>
      <w:keepNext/>
      <w:keepLines/>
      <w:spacing w:before="360" w:after="120" w:line="460" w:lineRule="atLeast"/>
      <w:contextualSpacing/>
      <w:outlineLvl w:val="0"/>
    </w:pPr>
    <w:rPr>
      <w:rFonts w:asciiTheme="majorHAnsi" w:eastAsiaTheme="majorEastAsia" w:hAnsiTheme="majorHAnsi" w:cstheme="majorBidi"/>
      <w:bCs/>
      <w:color w:val="007DB6" w:themeColor="accent3"/>
      <w:sz w:val="40"/>
      <w:szCs w:val="28"/>
    </w:rPr>
  </w:style>
  <w:style w:type="paragraph" w:styleId="Heading2">
    <w:name w:val="heading 2"/>
    <w:basedOn w:val="Heading1"/>
    <w:next w:val="Normal"/>
    <w:link w:val="Heading2Char"/>
    <w:uiPriority w:val="9"/>
    <w:unhideWhenUsed/>
    <w:qFormat/>
    <w:rsid w:val="001612A4"/>
    <w:pPr>
      <w:spacing w:line="400" w:lineRule="atLeast"/>
      <w:outlineLvl w:val="1"/>
    </w:pPr>
    <w:rPr>
      <w:bCs w:val="0"/>
      <w:sz w:val="34"/>
      <w:szCs w:val="26"/>
    </w:rPr>
  </w:style>
  <w:style w:type="paragraph" w:styleId="Heading3">
    <w:name w:val="heading 3"/>
    <w:basedOn w:val="Heading2"/>
    <w:next w:val="Normal"/>
    <w:link w:val="Heading3Char"/>
    <w:uiPriority w:val="9"/>
    <w:unhideWhenUsed/>
    <w:qFormat/>
    <w:rsid w:val="00D46D82"/>
    <w:pPr>
      <w:spacing w:line="340" w:lineRule="atLeast"/>
      <w:outlineLvl w:val="2"/>
    </w:pPr>
    <w:rPr>
      <w:bCs/>
      <w:sz w:val="30"/>
    </w:rPr>
  </w:style>
  <w:style w:type="paragraph" w:styleId="Heading4">
    <w:name w:val="heading 4"/>
    <w:basedOn w:val="Heading3"/>
    <w:next w:val="Normal"/>
    <w:link w:val="Heading4Char"/>
    <w:uiPriority w:val="9"/>
    <w:unhideWhenUsed/>
    <w:qFormat/>
    <w:rsid w:val="00B76CA9"/>
    <w:pPr>
      <w:spacing w:before="240" w:line="300" w:lineRule="atLeast"/>
      <w:outlineLvl w:val="3"/>
    </w:pPr>
    <w:rPr>
      <w:iCs/>
      <w:sz w:val="26"/>
    </w:rPr>
  </w:style>
  <w:style w:type="paragraph" w:styleId="Heading5">
    <w:name w:val="heading 5"/>
    <w:basedOn w:val="Heading4"/>
    <w:next w:val="Normal"/>
    <w:link w:val="Heading5Char"/>
    <w:uiPriority w:val="9"/>
    <w:semiHidden/>
    <w:unhideWhenUsed/>
    <w:qFormat/>
    <w:rsid w:val="00375BD3"/>
    <w:pPr>
      <w:outlineLvl w:val="4"/>
    </w:pPr>
    <w:rPr>
      <w:i/>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1471A5" w:themeColor="accent1" w:themeShade="7F"/>
    </w:rPr>
  </w:style>
  <w:style w:type="paragraph" w:styleId="Heading7">
    <w:name w:val="heading 7"/>
    <w:basedOn w:val="Heading6"/>
    <w:next w:val="Normal"/>
    <w:link w:val="Heading7Char"/>
    <w:uiPriority w:val="9"/>
    <w:semiHidden/>
    <w:unhideWhenUsed/>
    <w:qFormat/>
    <w:rsid w:val="00486804"/>
    <w:pPr>
      <w:outlineLvl w:val="6"/>
    </w:pPr>
    <w:rPr>
      <w:i w:val="0"/>
      <w:iCs w:val="0"/>
    </w:rPr>
  </w:style>
  <w:style w:type="paragraph" w:styleId="Heading8">
    <w:name w:val="heading 8"/>
    <w:basedOn w:val="Heading7"/>
    <w:next w:val="Normal"/>
    <w:link w:val="Heading8Char"/>
    <w:uiPriority w:val="9"/>
    <w:semiHidden/>
    <w:unhideWhenUsed/>
    <w:qFormat/>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86804"/>
    <w:p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BD3"/>
    <w:rPr>
      <w:rFonts w:asciiTheme="majorHAnsi" w:eastAsiaTheme="majorEastAsia" w:hAnsiTheme="majorHAnsi" w:cstheme="majorBidi"/>
      <w:bCs/>
      <w:color w:val="007DB6" w:themeColor="accent3"/>
      <w:sz w:val="40"/>
      <w:szCs w:val="28"/>
    </w:rPr>
  </w:style>
  <w:style w:type="character" w:customStyle="1" w:styleId="Heading2Char">
    <w:name w:val="Heading 2 Char"/>
    <w:basedOn w:val="DefaultParagraphFont"/>
    <w:link w:val="Heading2"/>
    <w:uiPriority w:val="9"/>
    <w:rsid w:val="001612A4"/>
    <w:rPr>
      <w:rFonts w:asciiTheme="majorHAnsi" w:eastAsiaTheme="majorEastAsia" w:hAnsiTheme="majorHAnsi" w:cstheme="majorBidi"/>
      <w:color w:val="1C1C1C" w:themeColor="text2"/>
      <w:sz w:val="34"/>
      <w:szCs w:val="26"/>
    </w:rPr>
  </w:style>
  <w:style w:type="character" w:customStyle="1" w:styleId="Heading3Char">
    <w:name w:val="Heading 3 Char"/>
    <w:basedOn w:val="DefaultParagraphFont"/>
    <w:link w:val="Heading3"/>
    <w:uiPriority w:val="9"/>
    <w:rsid w:val="00D46D82"/>
    <w:rPr>
      <w:rFonts w:asciiTheme="majorHAnsi" w:eastAsiaTheme="majorEastAsia" w:hAnsiTheme="majorHAnsi" w:cstheme="majorBidi"/>
      <w:bCs/>
      <w:color w:val="1C1C1C" w:themeColor="text2"/>
      <w:sz w:val="30"/>
      <w:szCs w:val="26"/>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6E38FA"/>
    <w:pPr>
      <w:spacing w:before="2520"/>
    </w:pPr>
    <w:rPr>
      <w:color w:val="auto"/>
      <w:sz w:val="52"/>
    </w:rPr>
  </w:style>
  <w:style w:type="character" w:customStyle="1" w:styleId="TitleChar">
    <w:name w:val="Title Char"/>
    <w:basedOn w:val="DefaultParagraphFont"/>
    <w:link w:val="Title"/>
    <w:uiPriority w:val="10"/>
    <w:rsid w:val="006E38FA"/>
    <w:rPr>
      <w:rFonts w:asciiTheme="majorHAnsi" w:eastAsiaTheme="majorEastAsia" w:hAnsiTheme="majorHAnsi" w:cstheme="majorBidi"/>
      <w:bCs/>
      <w:sz w:val="52"/>
      <w:szCs w:val="28"/>
    </w:rPr>
  </w:style>
  <w:style w:type="paragraph" w:styleId="Subtitle">
    <w:name w:val="Subtitle"/>
    <w:basedOn w:val="Title"/>
    <w:next w:val="Normal"/>
    <w:link w:val="SubtitleChar"/>
    <w:uiPriority w:val="11"/>
    <w:qFormat/>
    <w:rsid w:val="009B5476"/>
    <w:pPr>
      <w:numPr>
        <w:ilvl w:val="1"/>
      </w:numPr>
      <w:spacing w:before="0" w:after="480" w:line="260" w:lineRule="atLeast"/>
    </w:pPr>
    <w:rPr>
      <w:b/>
      <w:iCs/>
      <w:sz w:val="28"/>
      <w:szCs w:val="24"/>
    </w:rPr>
  </w:style>
  <w:style w:type="character" w:customStyle="1" w:styleId="SubtitleChar">
    <w:name w:val="Subtitle Char"/>
    <w:basedOn w:val="DefaultParagraphFont"/>
    <w:link w:val="Subtitle"/>
    <w:uiPriority w:val="11"/>
    <w:rsid w:val="009B5476"/>
    <w:rPr>
      <w:rFonts w:asciiTheme="majorHAnsi" w:eastAsiaTheme="majorEastAsia" w:hAnsiTheme="majorHAnsi" w:cstheme="majorBidi"/>
      <w:b/>
      <w:bCs/>
      <w:iCs/>
      <w:sz w:val="28"/>
      <w:szCs w:val="24"/>
    </w:rPr>
  </w:style>
  <w:style w:type="paragraph" w:customStyle="1" w:styleId="Bullet1">
    <w:name w:val="Bullet 1"/>
    <w:basedOn w:val="Normal"/>
    <w:qFormat/>
    <w:rsid w:val="00FB44AA"/>
    <w:pPr>
      <w:numPr>
        <w:numId w:val="1"/>
      </w:numPr>
      <w:spacing w:before="12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576566"/>
    <w:pPr>
      <w:numPr>
        <w:numId w:val="3"/>
      </w:numPr>
      <w:ind w:left="397" w:hanging="397"/>
    </w:pPr>
  </w:style>
  <w:style w:type="paragraph" w:customStyle="1" w:styleId="NumberedList2">
    <w:name w:val="Numbered List 2"/>
    <w:basedOn w:val="NumberedList1"/>
    <w:qFormat/>
    <w:rsid w:val="00576566"/>
    <w:pPr>
      <w:numPr>
        <w:ilvl w:val="1"/>
      </w:numPr>
      <w:spacing w:before="120"/>
      <w:ind w:left="681" w:hanging="397"/>
    </w:pPr>
  </w:style>
  <w:style w:type="paragraph" w:customStyle="1" w:styleId="NumberedList3">
    <w:name w:val="Numbered List 3"/>
    <w:basedOn w:val="NumberedList2"/>
    <w:qFormat/>
    <w:rsid w:val="00576566"/>
    <w:pPr>
      <w:numPr>
        <w:ilvl w:val="2"/>
      </w:numPr>
      <w:ind w:left="964" w:hanging="397"/>
    </w:pPr>
  </w:style>
  <w:style w:type="paragraph" w:customStyle="1" w:styleId="Heading1Numbered">
    <w:name w:val="Heading 1 Numbered"/>
    <w:basedOn w:val="Heading1"/>
    <w:next w:val="Normal"/>
    <w:qFormat/>
    <w:rsid w:val="001E1DC0"/>
    <w:pPr>
      <w:numPr>
        <w:numId w:val="5"/>
      </w:numPr>
    </w:pPr>
  </w:style>
  <w:style w:type="paragraph" w:customStyle="1" w:styleId="Heading2Numbered">
    <w:name w:val="Heading 2 Numbered"/>
    <w:basedOn w:val="Heading2"/>
    <w:next w:val="Normal"/>
    <w:qFormat/>
    <w:rsid w:val="0082589D"/>
    <w:pPr>
      <w:numPr>
        <w:ilvl w:val="1"/>
        <w:numId w:val="5"/>
      </w:numPr>
      <w:ind w:left="851" w:hanging="851"/>
    </w:pPr>
    <w:rPr>
      <w:bCs/>
    </w:rPr>
  </w:style>
  <w:style w:type="paragraph" w:customStyle="1" w:styleId="Heading3Numbered">
    <w:name w:val="Heading 3 Numbered"/>
    <w:basedOn w:val="Heading3"/>
    <w:next w:val="Normal"/>
    <w:qFormat/>
    <w:rsid w:val="001D7EB4"/>
    <w:pPr>
      <w:numPr>
        <w:ilvl w:val="2"/>
        <w:numId w:val="5"/>
      </w:numPr>
    </w:pPr>
    <w:rPr>
      <w:szCs w:val="22"/>
    </w:rPr>
  </w:style>
  <w:style w:type="numbering" w:customStyle="1" w:styleId="BulletsList">
    <w:name w:val="Bullets List"/>
    <w:uiPriority w:val="99"/>
    <w:rsid w:val="00F2684E"/>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styleId="PlainTable2">
    <w:name w:val="Plain Table 2"/>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0122A"/>
    <w:pPr>
      <w:suppressAutoHyphens w:val="0"/>
      <w:contextualSpacing w:val="0"/>
      <w:outlineLvl w:val="9"/>
    </w:pPr>
    <w:rPr>
      <w:bCs w:val="0"/>
      <w:szCs w:val="32"/>
      <w:lang w:val="en-US"/>
    </w:rPr>
  </w:style>
  <w:style w:type="character" w:customStyle="1" w:styleId="Heading4Char">
    <w:name w:val="Heading 4 Char"/>
    <w:basedOn w:val="DefaultParagraphFont"/>
    <w:link w:val="Heading4"/>
    <w:uiPriority w:val="9"/>
    <w:rsid w:val="00B76CA9"/>
    <w:rPr>
      <w:rFonts w:asciiTheme="majorHAnsi" w:eastAsiaTheme="majorEastAsia" w:hAnsiTheme="majorHAnsi" w:cstheme="majorBidi"/>
      <w:bCs/>
      <w:iCs/>
      <w:color w:val="007DB6" w:themeColor="accent3"/>
      <w:sz w:val="26"/>
      <w:szCs w:val="26"/>
    </w:rPr>
  </w:style>
  <w:style w:type="paragraph" w:styleId="TOC1">
    <w:name w:val="toc 1"/>
    <w:basedOn w:val="Normal"/>
    <w:next w:val="Normal"/>
    <w:autoRedefine/>
    <w:uiPriority w:val="39"/>
    <w:unhideWhenUsed/>
    <w:rsid w:val="00C27965"/>
    <w:pPr>
      <w:tabs>
        <w:tab w:val="left" w:pos="454"/>
        <w:tab w:val="right" w:pos="9072"/>
      </w:tabs>
      <w:spacing w:after="180" w:line="230" w:lineRule="atLeast"/>
    </w:pPr>
    <w:rPr>
      <w:b/>
      <w:sz w:val="23"/>
    </w:rPr>
  </w:style>
  <w:style w:type="paragraph" w:styleId="TOC2">
    <w:name w:val="toc 2"/>
    <w:basedOn w:val="Normal"/>
    <w:next w:val="Normal"/>
    <w:autoRedefine/>
    <w:uiPriority w:val="39"/>
    <w:unhideWhenUsed/>
    <w:rsid w:val="00C27965"/>
    <w:pPr>
      <w:tabs>
        <w:tab w:val="left" w:pos="454"/>
        <w:tab w:val="right" w:pos="9072"/>
      </w:tabs>
      <w:spacing w:after="180" w:line="230" w:lineRule="atLeast"/>
      <w:ind w:left="738" w:hanging="454"/>
    </w:pPr>
  </w:style>
  <w:style w:type="paragraph" w:styleId="TOC3">
    <w:name w:val="toc 3"/>
    <w:basedOn w:val="Normal"/>
    <w:next w:val="Normal"/>
    <w:autoRedefine/>
    <w:uiPriority w:val="39"/>
    <w:unhideWhenUsed/>
    <w:rsid w:val="00880B3F"/>
    <w:pPr>
      <w:tabs>
        <w:tab w:val="left" w:pos="1134"/>
        <w:tab w:val="right" w:pos="9072"/>
      </w:tabs>
      <w:spacing w:before="60"/>
      <w:ind w:left="1134" w:hanging="680"/>
    </w:pPr>
  </w:style>
  <w:style w:type="paragraph" w:styleId="Header">
    <w:name w:val="header"/>
    <w:basedOn w:val="Normal"/>
    <w:link w:val="HeaderChar"/>
    <w:uiPriority w:val="99"/>
    <w:unhideWhenUsed/>
    <w:rsid w:val="00DB6D69"/>
    <w:pPr>
      <w:tabs>
        <w:tab w:val="center" w:pos="4513"/>
        <w:tab w:val="right" w:pos="9026"/>
      </w:tabs>
      <w:spacing w:before="0" w:after="0" w:line="180" w:lineRule="atLeast"/>
      <w:jc w:val="right"/>
    </w:pPr>
    <w:rPr>
      <w:sz w:val="14"/>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375BD3"/>
    <w:pPr>
      <w:pBdr>
        <w:bottom w:val="single" w:sz="4" w:space="6" w:color="85CAF0" w:themeColor="accent1"/>
      </w:pBdr>
    </w:pPr>
    <w:rPr>
      <w:sz w:val="24"/>
    </w:rPr>
  </w:style>
  <w:style w:type="table" w:styleId="TableGrid">
    <w:name w:val="Table Grid"/>
    <w:basedOn w:val="TableNormal"/>
    <w:uiPriority w:val="39"/>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B6D69"/>
    <w:rPr>
      <w:sz w:val="14"/>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semiHidden/>
    <w:rsid w:val="00375BD3"/>
    <w:rPr>
      <w:rFonts w:asciiTheme="majorHAnsi" w:eastAsiaTheme="majorEastAsia" w:hAnsiTheme="majorHAnsi" w:cstheme="majorBidi"/>
      <w:bCs/>
      <w:i/>
      <w:iCs/>
      <w:color w:val="007DB6" w:themeColor="accent3"/>
      <w:szCs w:val="26"/>
    </w:rPr>
  </w:style>
  <w:style w:type="paragraph" w:styleId="Caption">
    <w:name w:val="caption"/>
    <w:basedOn w:val="Normal"/>
    <w:next w:val="Normal"/>
    <w:uiPriority w:val="35"/>
    <w:unhideWhenUsed/>
    <w:qFormat/>
    <w:rsid w:val="00FB44AA"/>
    <w:pPr>
      <w:spacing w:before="200" w:after="120"/>
    </w:pPr>
    <w:rPr>
      <w:b/>
      <w:iCs/>
      <w:color w:val="000000" w:themeColor="text1"/>
      <w:szCs w:val="18"/>
    </w:rPr>
  </w:style>
  <w:style w:type="paragraph" w:styleId="Footer">
    <w:name w:val="footer"/>
    <w:basedOn w:val="Normal"/>
    <w:link w:val="FooterChar"/>
    <w:uiPriority w:val="99"/>
    <w:unhideWhenUsed/>
    <w:rsid w:val="00FB44AA"/>
    <w:pPr>
      <w:tabs>
        <w:tab w:val="center" w:pos="4513"/>
        <w:tab w:val="center" w:pos="8819"/>
        <w:tab w:val="right" w:pos="9026"/>
      </w:tabs>
      <w:spacing w:before="120" w:after="0" w:line="180" w:lineRule="atLeast"/>
    </w:pPr>
    <w:rPr>
      <w:sz w:val="14"/>
    </w:rPr>
  </w:style>
  <w:style w:type="character" w:customStyle="1" w:styleId="FooterChar">
    <w:name w:val="Footer Char"/>
    <w:basedOn w:val="DefaultParagraphFont"/>
    <w:link w:val="Footer"/>
    <w:uiPriority w:val="99"/>
    <w:rsid w:val="00FB44AA"/>
    <w:rPr>
      <w:sz w:val="14"/>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1471A5"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1471A5"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paragraph" w:customStyle="1" w:styleId="Boxed1Text">
    <w:name w:val="Boxed 1 Text"/>
    <w:basedOn w:val="Normal"/>
    <w:qFormat/>
    <w:rsid w:val="00486804"/>
    <w:pPr>
      <w:pBdr>
        <w:top w:val="single" w:sz="4" w:space="14" w:color="E6F4FC" w:themeColor="accent1" w:themeTint="33"/>
        <w:left w:val="single" w:sz="4" w:space="14" w:color="E6F4FC" w:themeColor="accent1" w:themeTint="33"/>
        <w:bottom w:val="single" w:sz="4" w:space="14" w:color="E6F4FC" w:themeColor="accent1" w:themeTint="33"/>
        <w:right w:val="single" w:sz="4" w:space="14" w:color="E6F4FC" w:themeColor="accent1" w:themeTint="33"/>
      </w:pBdr>
      <w:shd w:val="clear" w:color="auto" w:fill="E6F4FC" w:themeFill="accent1" w:themeFillTint="33"/>
      <w:ind w:left="284" w:right="284"/>
    </w:pPr>
  </w:style>
  <w:style w:type="paragraph" w:customStyle="1" w:styleId="Boxed1Heading">
    <w:name w:val="Boxed 1 Heading"/>
    <w:basedOn w:val="Boxed1Text"/>
    <w:qFormat/>
    <w:rsid w:val="00486804"/>
    <w:rPr>
      <w:b/>
      <w:sz w:val="24"/>
    </w:rPr>
  </w:style>
  <w:style w:type="paragraph" w:customStyle="1" w:styleId="Boxed2Text">
    <w:name w:val="Boxed 2 Text"/>
    <w:basedOn w:val="Boxed1Text"/>
    <w:qFormat/>
    <w:rsid w:val="000C2A48"/>
    <w:pPr>
      <w:pBdr>
        <w:top w:val="single" w:sz="4" w:space="14" w:color="85CAF0" w:themeColor="accent1"/>
        <w:left w:val="single" w:sz="4" w:space="14" w:color="85CAF0" w:themeColor="accent1"/>
        <w:bottom w:val="single" w:sz="4" w:space="14" w:color="85CAF0" w:themeColor="accent1"/>
        <w:right w:val="single" w:sz="4" w:space="14" w:color="85CAF0" w:themeColor="accent1"/>
      </w:pBdr>
      <w:shd w:val="clear" w:color="auto" w:fill="85CAF0" w:themeFill="accent1"/>
    </w:pPr>
  </w:style>
  <w:style w:type="paragraph" w:customStyle="1" w:styleId="Boxed2Heading">
    <w:name w:val="Boxed 2 Heading"/>
    <w:basedOn w:val="Boxed2Text"/>
    <w:qFormat/>
    <w:rsid w:val="00375BD3"/>
    <w:rPr>
      <w:b/>
      <w:sz w:val="24"/>
    </w:rPr>
  </w:style>
  <w:style w:type="character" w:styleId="PageNumber">
    <w:name w:val="page number"/>
    <w:basedOn w:val="DefaultParagraphFont"/>
    <w:uiPriority w:val="99"/>
    <w:unhideWhenUsed/>
    <w:rsid w:val="00DB6D69"/>
  </w:style>
  <w:style w:type="table" w:styleId="TableGridLight">
    <w:name w:val="Grid Table Light"/>
    <w:basedOn w:val="TableNormal"/>
    <w:uiPriority w:val="40"/>
    <w:rsid w:val="000D60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inance1">
    <w:name w:val="Finance 1"/>
    <w:basedOn w:val="TableNormal"/>
    <w:uiPriority w:val="99"/>
    <w:rsid w:val="00361749"/>
    <w:pPr>
      <w:spacing w:before="60" w:after="60" w:line="200" w:lineRule="atLeast"/>
    </w:pPr>
    <w:rPr>
      <w:sz w:val="16"/>
    </w:rPr>
    <w:tblPr>
      <w:tblStyleRowBandSize w:val="1"/>
      <w:tblStyleColBandSize w:val="1"/>
      <w:tblBorders>
        <w:top w:val="single" w:sz="4" w:space="0" w:color="1C1C1C" w:themeColor="text2"/>
        <w:bottom w:val="single" w:sz="4" w:space="0" w:color="1C1C1C" w:themeColor="text2"/>
        <w:insideH w:val="single" w:sz="4" w:space="0" w:color="1C1C1C" w:themeColor="text2"/>
      </w:tblBorders>
      <w:tblCellMar>
        <w:left w:w="85" w:type="dxa"/>
        <w:right w:w="85" w:type="dxa"/>
      </w:tblCellMar>
    </w:tblPr>
    <w:trPr>
      <w:cantSplit/>
    </w:trPr>
    <w:tblStylePr w:type="firstRow">
      <w:rPr>
        <w:b/>
      </w:rPr>
      <w:tblPr/>
      <w:tcPr>
        <w:shd w:val="clear" w:color="auto" w:fill="85CAF0" w:themeFill="accent1"/>
      </w:tcPr>
    </w:tblStylePr>
    <w:tblStylePr w:type="lastRow">
      <w:tblPr/>
      <w:tcPr>
        <w:shd w:val="clear" w:color="auto" w:fill="1C1C1C" w:themeFill="text2"/>
      </w:tcPr>
    </w:tblStylePr>
    <w:tblStylePr w:type="firstCol">
      <w:tblPr/>
      <w:tcPr>
        <w:tcBorders>
          <w:insideH w:val="single" w:sz="4" w:space="0" w:color="FFFFFF" w:themeColor="background1"/>
        </w:tcBorders>
        <w:shd w:val="clear" w:color="auto" w:fill="1C1C1C" w:themeFill="text2"/>
      </w:tcPr>
    </w:tblStylePr>
    <w:tblStylePr w:type="lastCol">
      <w:tblPr/>
      <w:tcPr>
        <w:shd w:val="clear" w:color="auto" w:fill="BFBFBF" w:themeFill="background1" w:themeFillShade="BF"/>
      </w:tcPr>
    </w:tblStylePr>
    <w:tblStylePr w:type="band1Vert">
      <w:tblPr/>
      <w:tcPr>
        <w:shd w:val="clear" w:color="auto" w:fill="E2E3E2" w:themeFill="background2"/>
      </w:tcPr>
    </w:tblStylePr>
    <w:tblStylePr w:type="band2Vert">
      <w:tblPr/>
      <w:tcPr>
        <w:shd w:val="clear" w:color="auto" w:fill="FFFFFF" w:themeFill="background1"/>
      </w:tcPr>
    </w:tblStylePr>
    <w:tblStylePr w:type="band1Horz">
      <w:tblPr/>
      <w:tcPr>
        <w:shd w:val="clear" w:color="auto" w:fill="E2E3E2"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FB44AA"/>
    <w:pPr>
      <w:spacing w:before="60"/>
    </w:pPr>
    <w:rPr>
      <w:sz w:val="18"/>
    </w:rPr>
  </w:style>
  <w:style w:type="paragraph" w:customStyle="1" w:styleId="TableSourceNotes">
    <w:name w:val="Table Source Notes"/>
    <w:basedOn w:val="TableText"/>
    <w:qFormat/>
    <w:rsid w:val="00FB44AA"/>
    <w:pPr>
      <w:spacing w:before="120" w:line="240" w:lineRule="atLeast"/>
      <w:ind w:left="284" w:hanging="284"/>
      <w:contextualSpacing/>
    </w:pPr>
  </w:style>
  <w:style w:type="paragraph" w:styleId="FootnoteText">
    <w:name w:val="footnote text"/>
    <w:basedOn w:val="Normal"/>
    <w:link w:val="FootnoteTextChar"/>
    <w:uiPriority w:val="99"/>
    <w:unhideWhenUsed/>
    <w:rsid w:val="00AB19CF"/>
    <w:pPr>
      <w:spacing w:before="0" w:after="0" w:line="200" w:lineRule="atLeast"/>
      <w:ind w:left="284" w:hanging="284"/>
    </w:pPr>
    <w:rPr>
      <w:sz w:val="16"/>
      <w:szCs w:val="20"/>
    </w:rPr>
  </w:style>
  <w:style w:type="character" w:customStyle="1" w:styleId="FootnoteTextChar">
    <w:name w:val="Footnote Text Char"/>
    <w:basedOn w:val="DefaultParagraphFont"/>
    <w:link w:val="FootnoteText"/>
    <w:uiPriority w:val="99"/>
    <w:rsid w:val="00AB19CF"/>
    <w:rPr>
      <w:sz w:val="16"/>
      <w:szCs w:val="20"/>
    </w:rPr>
  </w:style>
  <w:style w:type="character" w:styleId="FootnoteReference">
    <w:name w:val="footnote reference"/>
    <w:basedOn w:val="DefaultParagraphFont"/>
    <w:uiPriority w:val="99"/>
    <w:semiHidden/>
    <w:unhideWhenUsed/>
    <w:rsid w:val="0020122A"/>
    <w:rPr>
      <w:vertAlign w:val="superscript"/>
    </w:rPr>
  </w:style>
  <w:style w:type="paragraph" w:customStyle="1" w:styleId="FootnoteSeparator">
    <w:name w:val="Footnote Separator"/>
    <w:basedOn w:val="Normal"/>
    <w:qFormat/>
    <w:rsid w:val="0020122A"/>
    <w:pPr>
      <w:pBdr>
        <w:top w:val="single" w:sz="2" w:space="1" w:color="auto"/>
      </w:pBdr>
      <w:spacing w:before="0" w:after="0" w:line="240" w:lineRule="auto"/>
    </w:pPr>
  </w:style>
  <w:style w:type="character" w:styleId="PlaceholderText">
    <w:name w:val="Placeholder Text"/>
    <w:basedOn w:val="DefaultParagraphFont"/>
    <w:uiPriority w:val="99"/>
    <w:semiHidden/>
    <w:rsid w:val="000A6A8B"/>
    <w:rPr>
      <w:color w:val="808080"/>
    </w:rPr>
  </w:style>
  <w:style w:type="character" w:customStyle="1" w:styleId="Classification">
    <w:name w:val="Classification"/>
    <w:basedOn w:val="DefaultParagraphFont"/>
    <w:uiPriority w:val="1"/>
    <w:qFormat/>
    <w:rsid w:val="006C4DD1"/>
    <w:rPr>
      <w:b/>
      <w:caps/>
      <w:smallCaps w:val="0"/>
      <w:sz w:val="24"/>
    </w:rPr>
  </w:style>
  <w:style w:type="paragraph" w:styleId="ListParagraph">
    <w:name w:val="List Paragraph"/>
    <w:basedOn w:val="Normal"/>
    <w:uiPriority w:val="34"/>
    <w:qFormat/>
    <w:rsid w:val="0082589D"/>
    <w:pPr>
      <w:ind w:left="720"/>
      <w:contextualSpacing/>
    </w:pPr>
  </w:style>
  <w:style w:type="paragraph" w:styleId="IntenseQuote">
    <w:name w:val="Intense Quote"/>
    <w:basedOn w:val="Normal"/>
    <w:next w:val="Normal"/>
    <w:link w:val="IntenseQuoteChar"/>
    <w:uiPriority w:val="30"/>
    <w:qFormat/>
    <w:rsid w:val="00375BD3"/>
    <w:pPr>
      <w:pBdr>
        <w:top w:val="single" w:sz="4" w:space="10" w:color="85CAF0" w:themeColor="accent1"/>
        <w:bottom w:val="single" w:sz="4" w:space="10" w:color="85CAF0" w:themeColor="accent1"/>
      </w:pBdr>
      <w:spacing w:before="360" w:after="360"/>
      <w:ind w:left="864" w:right="864"/>
      <w:jc w:val="center"/>
    </w:pPr>
    <w:rPr>
      <w:i/>
      <w:iCs/>
      <w:color w:val="007DB6" w:themeColor="accent3"/>
    </w:rPr>
  </w:style>
  <w:style w:type="character" w:customStyle="1" w:styleId="IntenseQuoteChar">
    <w:name w:val="Intense Quote Char"/>
    <w:basedOn w:val="DefaultParagraphFont"/>
    <w:link w:val="IntenseQuote"/>
    <w:uiPriority w:val="30"/>
    <w:rsid w:val="00375BD3"/>
    <w:rPr>
      <w:i/>
      <w:iCs/>
      <w:color w:val="007DB6" w:themeColor="accent3"/>
    </w:rPr>
  </w:style>
  <w:style w:type="character" w:styleId="IntenseReference">
    <w:name w:val="Intense Reference"/>
    <w:basedOn w:val="DefaultParagraphFont"/>
    <w:uiPriority w:val="32"/>
    <w:qFormat/>
    <w:rsid w:val="00DD0DA7"/>
    <w:rPr>
      <w:b/>
      <w:bCs/>
      <w:smallCaps/>
      <w:color w:val="007DB6" w:themeColor="accent3"/>
      <w:spacing w:val="5"/>
    </w:rPr>
  </w:style>
  <w:style w:type="paragraph" w:customStyle="1" w:styleId="Footerstyle">
    <w:name w:val="Footer style"/>
    <w:basedOn w:val="Footer"/>
    <w:link w:val="FooterstyleChar"/>
    <w:qFormat/>
    <w:rsid w:val="00D91422"/>
    <w:pPr>
      <w:pBdr>
        <w:top w:val="single" w:sz="4" w:space="8" w:color="85CAF0" w:themeColor="accent1"/>
      </w:pBdr>
    </w:pPr>
    <w:rPr>
      <w:noProof/>
    </w:rPr>
  </w:style>
  <w:style w:type="character" w:customStyle="1" w:styleId="FooterstyleChar">
    <w:name w:val="Footer style Char"/>
    <w:basedOn w:val="FooterChar"/>
    <w:link w:val="Footerstyle"/>
    <w:rsid w:val="00D91422"/>
    <w:rPr>
      <w:noProof/>
      <w:sz w:val="14"/>
    </w:rPr>
  </w:style>
  <w:style w:type="paragraph" w:customStyle="1" w:styleId="BoxedText1">
    <w:name w:val="Boxed Text 1"/>
    <w:basedOn w:val="Normal"/>
    <w:qFormat/>
    <w:rsid w:val="002911E8"/>
    <w:pPr>
      <w:pBdr>
        <w:top w:val="single" w:sz="4" w:space="14" w:color="E6F4FC" w:themeColor="accent1" w:themeTint="33"/>
        <w:left w:val="single" w:sz="4" w:space="14" w:color="E6F4FC" w:themeColor="accent1" w:themeTint="33"/>
        <w:bottom w:val="single" w:sz="4" w:space="14" w:color="E6F4FC" w:themeColor="accent1" w:themeTint="33"/>
        <w:right w:val="single" w:sz="4" w:space="14" w:color="E6F4FC" w:themeColor="accent1" w:themeTint="33"/>
      </w:pBdr>
      <w:shd w:val="clear" w:color="auto" w:fill="E6F4FC" w:themeFill="accent1" w:themeFillTint="33"/>
      <w:ind w:left="284" w:right="284"/>
    </w:pPr>
  </w:style>
  <w:style w:type="paragraph" w:customStyle="1" w:styleId="BoxedHeading1">
    <w:name w:val="Boxed Heading 1"/>
    <w:basedOn w:val="BoxedText1"/>
    <w:qFormat/>
    <w:rsid w:val="002911E8"/>
    <w:rPr>
      <w:b/>
      <w:sz w:val="24"/>
    </w:rPr>
  </w:style>
  <w:style w:type="paragraph" w:customStyle="1" w:styleId="BoxedText2">
    <w:name w:val="Boxed Text 2"/>
    <w:basedOn w:val="BoxedText1"/>
    <w:qFormat/>
    <w:rsid w:val="002911E8"/>
    <w:pPr>
      <w:pBdr>
        <w:top w:val="single" w:sz="4" w:space="14" w:color="85CAF0" w:themeColor="accent1"/>
        <w:left w:val="single" w:sz="4" w:space="14" w:color="85CAF0" w:themeColor="accent1"/>
        <w:bottom w:val="single" w:sz="4" w:space="14" w:color="85CAF0" w:themeColor="accent1"/>
        <w:right w:val="single" w:sz="4" w:space="14" w:color="85CAF0" w:themeColor="accent1"/>
      </w:pBdr>
      <w:shd w:val="clear" w:color="auto" w:fill="85CAF0" w:themeFill="accent1"/>
    </w:pPr>
  </w:style>
  <w:style w:type="paragraph" w:customStyle="1" w:styleId="BoxedHeading2">
    <w:name w:val="Boxed Heading 2"/>
    <w:basedOn w:val="BoxedText2"/>
    <w:qFormat/>
    <w:rsid w:val="002911E8"/>
    <w:rPr>
      <w:b/>
      <w:sz w:val="24"/>
    </w:rPr>
  </w:style>
  <w:style w:type="character" w:styleId="UnresolvedMention">
    <w:name w:val="Unresolved Mention"/>
    <w:basedOn w:val="DefaultParagraphFont"/>
    <w:uiPriority w:val="99"/>
    <w:semiHidden/>
    <w:unhideWhenUsed/>
    <w:rsid w:val="00A26933"/>
    <w:rPr>
      <w:color w:val="605E5C"/>
      <w:shd w:val="clear" w:color="auto" w:fill="E1DFDD"/>
    </w:rPr>
  </w:style>
  <w:style w:type="paragraph" w:customStyle="1" w:styleId="ChartGraphic">
    <w:name w:val="Chart Graphic"/>
    <w:basedOn w:val="Normal"/>
    <w:next w:val="Normal"/>
    <w:rsid w:val="003020B9"/>
    <w:pPr>
      <w:keepNext/>
      <w:suppressAutoHyphens w:val="0"/>
      <w:spacing w:before="0" w:after="0" w:line="259" w:lineRule="auto"/>
      <w:jc w:val="center"/>
    </w:pPr>
    <w:rPr>
      <w:rFonts w:eastAsiaTheme="minorEastAsia"/>
      <w:color w:val="004A7F"/>
      <w:sz w:val="20"/>
    </w:rPr>
  </w:style>
  <w:style w:type="paragraph" w:customStyle="1" w:styleId="OutlineNumbered1">
    <w:name w:val="Outline Numbered 1"/>
    <w:basedOn w:val="Normal"/>
    <w:rsid w:val="005474A2"/>
    <w:pPr>
      <w:numPr>
        <w:numId w:val="24"/>
      </w:numPr>
      <w:suppressAutoHyphens w:val="0"/>
      <w:spacing w:before="0" w:after="160" w:line="259" w:lineRule="auto"/>
    </w:pPr>
    <w:rPr>
      <w:rFonts w:eastAsiaTheme="minorEastAsia"/>
    </w:rPr>
  </w:style>
  <w:style w:type="paragraph" w:customStyle="1" w:styleId="OutlineNumbered2">
    <w:name w:val="Outline Numbered 2"/>
    <w:basedOn w:val="Normal"/>
    <w:rsid w:val="005474A2"/>
    <w:pPr>
      <w:numPr>
        <w:ilvl w:val="1"/>
        <w:numId w:val="24"/>
      </w:numPr>
      <w:suppressAutoHyphens w:val="0"/>
      <w:spacing w:before="0" w:after="160" w:line="259" w:lineRule="auto"/>
    </w:pPr>
    <w:rPr>
      <w:rFonts w:eastAsiaTheme="minorEastAsia"/>
    </w:rPr>
  </w:style>
  <w:style w:type="paragraph" w:customStyle="1" w:styleId="OutlineNumbered3">
    <w:name w:val="Outline Numbered 3"/>
    <w:basedOn w:val="Normal"/>
    <w:rsid w:val="005474A2"/>
    <w:pPr>
      <w:numPr>
        <w:ilvl w:val="2"/>
        <w:numId w:val="24"/>
      </w:numPr>
      <w:suppressAutoHyphens w:val="0"/>
      <w:spacing w:before="0" w:after="160" w:line="259" w:lineRule="auto"/>
    </w:pPr>
    <w:rPr>
      <w:rFonts w:eastAsiaTheme="minorEastAsia"/>
    </w:rPr>
  </w:style>
  <w:style w:type="numbering" w:customStyle="1" w:styleId="OutlineList">
    <w:name w:val="OutlineList"/>
    <w:uiPriority w:val="99"/>
    <w:rsid w:val="005474A2"/>
    <w:pPr>
      <w:numPr>
        <w:numId w:val="23"/>
      </w:numPr>
    </w:pPr>
  </w:style>
  <w:style w:type="table" w:styleId="GridTable4-Accent1">
    <w:name w:val="Grid Table 4 Accent 1"/>
    <w:basedOn w:val="TableNormal"/>
    <w:uiPriority w:val="49"/>
    <w:rsid w:val="00D16E96"/>
    <w:pPr>
      <w:spacing w:after="0" w:line="240" w:lineRule="auto"/>
    </w:pPr>
    <w:tblPr>
      <w:tblStyleRowBandSize w:val="1"/>
      <w:tblStyleColBandSize w:val="1"/>
      <w:tblBorders>
        <w:top w:val="single" w:sz="4" w:space="0" w:color="B5DFF6" w:themeColor="accent1" w:themeTint="99"/>
        <w:left w:val="single" w:sz="4" w:space="0" w:color="B5DFF6" w:themeColor="accent1" w:themeTint="99"/>
        <w:bottom w:val="single" w:sz="4" w:space="0" w:color="B5DFF6" w:themeColor="accent1" w:themeTint="99"/>
        <w:right w:val="single" w:sz="4" w:space="0" w:color="B5DFF6" w:themeColor="accent1" w:themeTint="99"/>
        <w:insideH w:val="single" w:sz="4" w:space="0" w:color="B5DFF6" w:themeColor="accent1" w:themeTint="99"/>
        <w:insideV w:val="single" w:sz="4" w:space="0" w:color="B5DFF6" w:themeColor="accent1" w:themeTint="99"/>
      </w:tblBorders>
    </w:tblPr>
    <w:tblStylePr w:type="firstRow">
      <w:rPr>
        <w:b/>
        <w:bCs/>
        <w:color w:val="FFFFFF" w:themeColor="background1"/>
      </w:rPr>
      <w:tblPr/>
      <w:tcPr>
        <w:tcBorders>
          <w:top w:val="single" w:sz="4" w:space="0" w:color="85CAF0" w:themeColor="accent1"/>
          <w:left w:val="single" w:sz="4" w:space="0" w:color="85CAF0" w:themeColor="accent1"/>
          <w:bottom w:val="single" w:sz="4" w:space="0" w:color="85CAF0" w:themeColor="accent1"/>
          <w:right w:val="single" w:sz="4" w:space="0" w:color="85CAF0" w:themeColor="accent1"/>
          <w:insideH w:val="nil"/>
          <w:insideV w:val="nil"/>
        </w:tcBorders>
        <w:shd w:val="clear" w:color="auto" w:fill="85CAF0" w:themeFill="accent1"/>
      </w:tcPr>
    </w:tblStylePr>
    <w:tblStylePr w:type="lastRow">
      <w:rPr>
        <w:b/>
        <w:bCs/>
      </w:rPr>
      <w:tblPr/>
      <w:tcPr>
        <w:tcBorders>
          <w:top w:val="double" w:sz="4" w:space="0" w:color="85CAF0" w:themeColor="accent1"/>
        </w:tcBorders>
      </w:tcPr>
    </w:tblStylePr>
    <w:tblStylePr w:type="firstCol">
      <w:rPr>
        <w:b/>
        <w:bCs/>
      </w:rPr>
    </w:tblStylePr>
    <w:tblStylePr w:type="lastCol">
      <w:rPr>
        <w:b/>
        <w:bCs/>
      </w:rPr>
    </w:tblStylePr>
    <w:tblStylePr w:type="band1Vert">
      <w:tblPr/>
      <w:tcPr>
        <w:shd w:val="clear" w:color="auto" w:fill="E6F4FC" w:themeFill="accent1" w:themeFillTint="33"/>
      </w:tcPr>
    </w:tblStylePr>
    <w:tblStylePr w:type="band1Horz">
      <w:tblPr/>
      <w:tcPr>
        <w:shd w:val="clear" w:color="auto" w:fill="E6F4FC" w:themeFill="accent1" w:themeFillTint="33"/>
      </w:tcPr>
    </w:tblStylePr>
  </w:style>
  <w:style w:type="table" w:styleId="GridTable4-Accent2">
    <w:name w:val="Grid Table 4 Accent 2"/>
    <w:basedOn w:val="TableNormal"/>
    <w:uiPriority w:val="49"/>
    <w:rsid w:val="001E030D"/>
    <w:pPr>
      <w:spacing w:after="0" w:line="240" w:lineRule="auto"/>
    </w:pPr>
    <w:tblPr>
      <w:tblStyleRowBandSize w:val="1"/>
      <w:tblStyleColBandSize w:val="1"/>
      <w:tblBorders>
        <w:top w:val="single" w:sz="4" w:space="0" w:color="9FD1ED" w:themeColor="accent2" w:themeTint="99"/>
        <w:left w:val="single" w:sz="4" w:space="0" w:color="9FD1ED" w:themeColor="accent2" w:themeTint="99"/>
        <w:bottom w:val="single" w:sz="4" w:space="0" w:color="9FD1ED" w:themeColor="accent2" w:themeTint="99"/>
        <w:right w:val="single" w:sz="4" w:space="0" w:color="9FD1ED" w:themeColor="accent2" w:themeTint="99"/>
        <w:insideH w:val="single" w:sz="4" w:space="0" w:color="9FD1ED" w:themeColor="accent2" w:themeTint="99"/>
        <w:insideV w:val="single" w:sz="4" w:space="0" w:color="9FD1ED" w:themeColor="accent2" w:themeTint="99"/>
      </w:tblBorders>
    </w:tblPr>
    <w:tblStylePr w:type="firstRow">
      <w:rPr>
        <w:b/>
        <w:bCs/>
        <w:color w:val="FFFFFF" w:themeColor="background1"/>
      </w:rPr>
      <w:tblPr/>
      <w:tcPr>
        <w:tcBorders>
          <w:top w:val="single" w:sz="4" w:space="0" w:color="5FB4E1" w:themeColor="accent2"/>
          <w:left w:val="single" w:sz="4" w:space="0" w:color="5FB4E1" w:themeColor="accent2"/>
          <w:bottom w:val="single" w:sz="4" w:space="0" w:color="5FB4E1" w:themeColor="accent2"/>
          <w:right w:val="single" w:sz="4" w:space="0" w:color="5FB4E1" w:themeColor="accent2"/>
          <w:insideH w:val="nil"/>
          <w:insideV w:val="nil"/>
        </w:tcBorders>
        <w:shd w:val="clear" w:color="auto" w:fill="5FB4E1" w:themeFill="accent2"/>
      </w:tcPr>
    </w:tblStylePr>
    <w:tblStylePr w:type="lastRow">
      <w:rPr>
        <w:b/>
        <w:bCs/>
      </w:rPr>
      <w:tblPr/>
      <w:tcPr>
        <w:tcBorders>
          <w:top w:val="double" w:sz="4" w:space="0" w:color="5FB4E1" w:themeColor="accent2"/>
        </w:tcBorders>
      </w:tcPr>
    </w:tblStylePr>
    <w:tblStylePr w:type="firstCol">
      <w:rPr>
        <w:b/>
        <w:bCs/>
      </w:rPr>
    </w:tblStylePr>
    <w:tblStylePr w:type="lastCol">
      <w:rPr>
        <w:b/>
        <w:bCs/>
      </w:rPr>
    </w:tblStylePr>
    <w:tblStylePr w:type="band1Vert">
      <w:tblPr/>
      <w:tcPr>
        <w:shd w:val="clear" w:color="auto" w:fill="DFEFF9" w:themeFill="accent2" w:themeFillTint="33"/>
      </w:tcPr>
    </w:tblStylePr>
    <w:tblStylePr w:type="band1Horz">
      <w:tblPr/>
      <w:tcPr>
        <w:shd w:val="clear" w:color="auto" w:fill="DFEFF9" w:themeFill="accent2" w:themeFillTint="33"/>
      </w:tcPr>
    </w:tblStylePr>
  </w:style>
  <w:style w:type="table" w:styleId="GridTable5Dark-Accent1">
    <w:name w:val="Grid Table 5 Dark Accent 1"/>
    <w:basedOn w:val="TableNormal"/>
    <w:uiPriority w:val="50"/>
    <w:rsid w:val="001E03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4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CAF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CAF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CAF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CAF0" w:themeFill="accent1"/>
      </w:tcPr>
    </w:tblStylePr>
    <w:tblStylePr w:type="band1Vert">
      <w:tblPr/>
      <w:tcPr>
        <w:shd w:val="clear" w:color="auto" w:fill="CEE9F9" w:themeFill="accent1" w:themeFillTint="66"/>
      </w:tcPr>
    </w:tblStylePr>
    <w:tblStylePr w:type="band1Horz">
      <w:tblPr/>
      <w:tcPr>
        <w:shd w:val="clear" w:color="auto" w:fill="CEE9F9" w:themeFill="accent1" w:themeFillTint="66"/>
      </w:tcPr>
    </w:tblStylePr>
  </w:style>
  <w:style w:type="table" w:styleId="GridTable5Dark-Accent2">
    <w:name w:val="Grid Table 5 Dark Accent 2"/>
    <w:basedOn w:val="TableNormal"/>
    <w:uiPriority w:val="50"/>
    <w:rsid w:val="001E03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F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B4E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B4E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B4E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B4E1" w:themeFill="accent2"/>
      </w:tcPr>
    </w:tblStylePr>
    <w:tblStylePr w:type="band1Vert">
      <w:tblPr/>
      <w:tcPr>
        <w:shd w:val="clear" w:color="auto" w:fill="BFE0F3" w:themeFill="accent2" w:themeFillTint="66"/>
      </w:tcPr>
    </w:tblStylePr>
    <w:tblStylePr w:type="band1Horz">
      <w:tblPr/>
      <w:tcPr>
        <w:shd w:val="clear" w:color="auto" w:fill="BFE0F3" w:themeFill="accent2" w:themeFillTint="66"/>
      </w:tcPr>
    </w:tblStylePr>
  </w:style>
  <w:style w:type="table" w:styleId="GridTable3-Accent6">
    <w:name w:val="Grid Table 3 Accent 6"/>
    <w:basedOn w:val="TableNormal"/>
    <w:uiPriority w:val="48"/>
    <w:rsid w:val="001E030D"/>
    <w:pPr>
      <w:spacing w:after="0" w:line="240" w:lineRule="auto"/>
    </w:pPr>
    <w:tblPr>
      <w:tblStyleRowBandSize w:val="1"/>
      <w:tblStyleColBandSize w:val="1"/>
      <w:tblBorders>
        <w:top w:val="single" w:sz="4" w:space="0" w:color="D1D2EB" w:themeColor="accent6" w:themeTint="99"/>
        <w:left w:val="single" w:sz="4" w:space="0" w:color="D1D2EB" w:themeColor="accent6" w:themeTint="99"/>
        <w:bottom w:val="single" w:sz="4" w:space="0" w:color="D1D2EB" w:themeColor="accent6" w:themeTint="99"/>
        <w:right w:val="single" w:sz="4" w:space="0" w:color="D1D2EB" w:themeColor="accent6" w:themeTint="99"/>
        <w:insideH w:val="single" w:sz="4" w:space="0" w:color="D1D2EB" w:themeColor="accent6" w:themeTint="99"/>
        <w:insideV w:val="single" w:sz="4" w:space="0" w:color="D1D2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F8" w:themeFill="accent6" w:themeFillTint="33"/>
      </w:tcPr>
    </w:tblStylePr>
    <w:tblStylePr w:type="band1Horz">
      <w:tblPr/>
      <w:tcPr>
        <w:shd w:val="clear" w:color="auto" w:fill="EFEFF8" w:themeFill="accent6" w:themeFillTint="33"/>
      </w:tcPr>
    </w:tblStylePr>
    <w:tblStylePr w:type="neCell">
      <w:tblPr/>
      <w:tcPr>
        <w:tcBorders>
          <w:bottom w:val="single" w:sz="4" w:space="0" w:color="D1D2EB" w:themeColor="accent6" w:themeTint="99"/>
        </w:tcBorders>
      </w:tcPr>
    </w:tblStylePr>
    <w:tblStylePr w:type="nwCell">
      <w:tblPr/>
      <w:tcPr>
        <w:tcBorders>
          <w:bottom w:val="single" w:sz="4" w:space="0" w:color="D1D2EB" w:themeColor="accent6" w:themeTint="99"/>
        </w:tcBorders>
      </w:tcPr>
    </w:tblStylePr>
    <w:tblStylePr w:type="seCell">
      <w:tblPr/>
      <w:tcPr>
        <w:tcBorders>
          <w:top w:val="single" w:sz="4" w:space="0" w:color="D1D2EB" w:themeColor="accent6" w:themeTint="99"/>
        </w:tcBorders>
      </w:tcPr>
    </w:tblStylePr>
    <w:tblStylePr w:type="swCell">
      <w:tblPr/>
      <w:tcPr>
        <w:tcBorders>
          <w:top w:val="single" w:sz="4" w:space="0" w:color="D1D2EB" w:themeColor="accent6" w:themeTint="99"/>
        </w:tcBorders>
      </w:tcPr>
    </w:tblStylePr>
  </w:style>
  <w:style w:type="table" w:styleId="ListTable3-Accent2">
    <w:name w:val="List Table 3 Accent 2"/>
    <w:basedOn w:val="TableNormal"/>
    <w:uiPriority w:val="48"/>
    <w:rsid w:val="001E030D"/>
    <w:pPr>
      <w:spacing w:after="0" w:line="240" w:lineRule="auto"/>
    </w:pPr>
    <w:tblPr>
      <w:tblStyleRowBandSize w:val="1"/>
      <w:tblStyleColBandSize w:val="1"/>
      <w:tblBorders>
        <w:top w:val="single" w:sz="4" w:space="0" w:color="5FB4E1" w:themeColor="accent2"/>
        <w:left w:val="single" w:sz="4" w:space="0" w:color="5FB4E1" w:themeColor="accent2"/>
        <w:bottom w:val="single" w:sz="4" w:space="0" w:color="5FB4E1" w:themeColor="accent2"/>
        <w:right w:val="single" w:sz="4" w:space="0" w:color="5FB4E1" w:themeColor="accent2"/>
      </w:tblBorders>
    </w:tblPr>
    <w:tblStylePr w:type="firstRow">
      <w:rPr>
        <w:b/>
        <w:bCs/>
        <w:color w:val="FFFFFF" w:themeColor="background1"/>
      </w:rPr>
      <w:tblPr/>
      <w:tcPr>
        <w:shd w:val="clear" w:color="auto" w:fill="5FB4E1" w:themeFill="accent2"/>
      </w:tcPr>
    </w:tblStylePr>
    <w:tblStylePr w:type="lastRow">
      <w:rPr>
        <w:b/>
        <w:bCs/>
      </w:rPr>
      <w:tblPr/>
      <w:tcPr>
        <w:tcBorders>
          <w:top w:val="double" w:sz="4" w:space="0" w:color="5FB4E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B4E1" w:themeColor="accent2"/>
          <w:right w:val="single" w:sz="4" w:space="0" w:color="5FB4E1" w:themeColor="accent2"/>
        </w:tcBorders>
      </w:tcPr>
    </w:tblStylePr>
    <w:tblStylePr w:type="band1Horz">
      <w:tblPr/>
      <w:tcPr>
        <w:tcBorders>
          <w:top w:val="single" w:sz="4" w:space="0" w:color="5FB4E1" w:themeColor="accent2"/>
          <w:bottom w:val="single" w:sz="4" w:space="0" w:color="5FB4E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B4E1" w:themeColor="accent2"/>
          <w:left w:val="nil"/>
        </w:tcBorders>
      </w:tcPr>
    </w:tblStylePr>
    <w:tblStylePr w:type="swCell">
      <w:tblPr/>
      <w:tcPr>
        <w:tcBorders>
          <w:top w:val="double" w:sz="4" w:space="0" w:color="5FB4E1" w:themeColor="accent2"/>
          <w:right w:val="nil"/>
        </w:tcBorders>
      </w:tcPr>
    </w:tblStylePr>
  </w:style>
  <w:style w:type="table" w:styleId="ListTable3-Accent1">
    <w:name w:val="List Table 3 Accent 1"/>
    <w:basedOn w:val="TableNormal"/>
    <w:uiPriority w:val="48"/>
    <w:rsid w:val="008D6209"/>
    <w:pPr>
      <w:spacing w:after="0" w:line="240" w:lineRule="auto"/>
    </w:pPr>
    <w:tblPr>
      <w:tblStyleRowBandSize w:val="1"/>
      <w:tblStyleColBandSize w:val="1"/>
      <w:tblBorders>
        <w:top w:val="single" w:sz="4" w:space="0" w:color="85CAF0" w:themeColor="accent1"/>
        <w:left w:val="single" w:sz="4" w:space="0" w:color="85CAF0" w:themeColor="accent1"/>
        <w:bottom w:val="single" w:sz="4" w:space="0" w:color="85CAF0" w:themeColor="accent1"/>
        <w:right w:val="single" w:sz="4" w:space="0" w:color="85CAF0" w:themeColor="accent1"/>
      </w:tblBorders>
    </w:tblPr>
    <w:tblStylePr w:type="firstRow">
      <w:rPr>
        <w:b/>
        <w:bCs/>
        <w:color w:val="FFFFFF" w:themeColor="background1"/>
      </w:rPr>
      <w:tblPr/>
      <w:tcPr>
        <w:shd w:val="clear" w:color="auto" w:fill="85CAF0" w:themeFill="accent1"/>
      </w:tcPr>
    </w:tblStylePr>
    <w:tblStylePr w:type="lastRow">
      <w:rPr>
        <w:b/>
        <w:bCs/>
      </w:rPr>
      <w:tblPr/>
      <w:tcPr>
        <w:tcBorders>
          <w:top w:val="double" w:sz="4" w:space="0" w:color="85CAF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CAF0" w:themeColor="accent1"/>
          <w:right w:val="single" w:sz="4" w:space="0" w:color="85CAF0" w:themeColor="accent1"/>
        </w:tcBorders>
      </w:tcPr>
    </w:tblStylePr>
    <w:tblStylePr w:type="band1Horz">
      <w:tblPr/>
      <w:tcPr>
        <w:tcBorders>
          <w:top w:val="single" w:sz="4" w:space="0" w:color="85CAF0" w:themeColor="accent1"/>
          <w:bottom w:val="single" w:sz="4" w:space="0" w:color="85CAF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CAF0" w:themeColor="accent1"/>
          <w:left w:val="nil"/>
        </w:tcBorders>
      </w:tcPr>
    </w:tblStylePr>
    <w:tblStylePr w:type="swCell">
      <w:tblPr/>
      <w:tcPr>
        <w:tcBorders>
          <w:top w:val="double" w:sz="4" w:space="0" w:color="85CAF0" w:themeColor="accent1"/>
          <w:right w:val="nil"/>
        </w:tcBorders>
      </w:tcPr>
    </w:tblStylePr>
  </w:style>
  <w:style w:type="character" w:styleId="CommentReference">
    <w:name w:val="annotation reference"/>
    <w:basedOn w:val="DefaultParagraphFont"/>
    <w:uiPriority w:val="99"/>
    <w:semiHidden/>
    <w:unhideWhenUsed/>
    <w:rsid w:val="0089043A"/>
    <w:rPr>
      <w:sz w:val="16"/>
      <w:szCs w:val="16"/>
    </w:rPr>
  </w:style>
  <w:style w:type="paragraph" w:styleId="CommentText">
    <w:name w:val="annotation text"/>
    <w:basedOn w:val="Normal"/>
    <w:link w:val="CommentTextChar"/>
    <w:uiPriority w:val="99"/>
    <w:unhideWhenUsed/>
    <w:rsid w:val="0089043A"/>
    <w:pPr>
      <w:spacing w:line="240" w:lineRule="auto"/>
    </w:pPr>
    <w:rPr>
      <w:sz w:val="20"/>
      <w:szCs w:val="20"/>
    </w:rPr>
  </w:style>
  <w:style w:type="character" w:customStyle="1" w:styleId="CommentTextChar">
    <w:name w:val="Comment Text Char"/>
    <w:basedOn w:val="DefaultParagraphFont"/>
    <w:link w:val="CommentText"/>
    <w:uiPriority w:val="99"/>
    <w:rsid w:val="0089043A"/>
    <w:rPr>
      <w:sz w:val="20"/>
      <w:szCs w:val="20"/>
    </w:rPr>
  </w:style>
  <w:style w:type="paragraph" w:customStyle="1" w:styleId="Default">
    <w:name w:val="Default"/>
    <w:link w:val="DefaultChar"/>
    <w:rsid w:val="005F3731"/>
    <w:pPr>
      <w:autoSpaceDE w:val="0"/>
      <w:autoSpaceDN w:val="0"/>
      <w:adjustRightInd w:val="0"/>
      <w:spacing w:after="0" w:line="240" w:lineRule="auto"/>
    </w:pPr>
    <w:rPr>
      <w:rFonts w:ascii="Calibri" w:hAnsi="Calibri" w:cs="Calibri"/>
      <w:color w:val="000000"/>
      <w:sz w:val="24"/>
      <w:szCs w:val="24"/>
      <w14:ligatures w14:val="standardContextual"/>
    </w:rPr>
  </w:style>
  <w:style w:type="paragraph" w:customStyle="1" w:styleId="Bullet">
    <w:name w:val="Bullet"/>
    <w:aliases w:val="Body,BodyNum,Bullet + line,Bullet Char1,Bullet Char1 Char Char Char,Bullet Char1 Char Char Char Char,Bullet Char1 Char Char Char Char Char,b,b + line,b1,b1 Char Char Char,bulleted,level 1"/>
    <w:basedOn w:val="Normal"/>
    <w:link w:val="BulletChar"/>
    <w:qFormat/>
    <w:rsid w:val="005F3731"/>
    <w:pPr>
      <w:numPr>
        <w:numId w:val="28"/>
      </w:numPr>
      <w:suppressAutoHyphens w:val="0"/>
      <w:spacing w:beforeLines="60" w:before="144" w:afterLines="60" w:after="144" w:line="259" w:lineRule="auto"/>
    </w:pPr>
    <w:rPr>
      <w:rFonts w:ascii="Calibri" w:hAnsi="Calibri" w:cs="Calibri"/>
      <w:color w:val="000000"/>
      <w:sz w:val="16"/>
      <w:szCs w:val="16"/>
      <w14:ligatures w14:val="standardContextual"/>
    </w:rPr>
  </w:style>
  <w:style w:type="character" w:customStyle="1" w:styleId="DefaultChar">
    <w:name w:val="Default Char"/>
    <w:basedOn w:val="DefaultParagraphFont"/>
    <w:link w:val="Default"/>
    <w:rsid w:val="005F3731"/>
    <w:rPr>
      <w:rFonts w:ascii="Calibri" w:hAnsi="Calibri" w:cs="Calibri"/>
      <w:color w:val="000000"/>
      <w:sz w:val="24"/>
      <w:szCs w:val="24"/>
      <w14:ligatures w14:val="standardContextual"/>
    </w:rPr>
  </w:style>
  <w:style w:type="character" w:customStyle="1" w:styleId="BulletChar">
    <w:name w:val="Bullet Char"/>
    <w:basedOn w:val="DefaultChar"/>
    <w:link w:val="Bullet"/>
    <w:rsid w:val="005F3731"/>
    <w:rPr>
      <w:rFonts w:ascii="Calibri" w:hAnsi="Calibri" w:cs="Calibri"/>
      <w:color w:val="000000"/>
      <w:sz w:val="16"/>
      <w:szCs w:val="16"/>
      <w14:ligatures w14:val="standardContextual"/>
    </w:rPr>
  </w:style>
  <w:style w:type="paragraph" w:customStyle="1" w:styleId="Dash">
    <w:name w:val="Dash"/>
    <w:basedOn w:val="Normal"/>
    <w:qFormat/>
    <w:rsid w:val="005F3731"/>
    <w:pPr>
      <w:numPr>
        <w:ilvl w:val="1"/>
        <w:numId w:val="28"/>
      </w:numPr>
      <w:suppressAutoHyphens w:val="0"/>
      <w:spacing w:beforeLines="60" w:before="144" w:afterLines="60" w:after="144" w:line="259" w:lineRule="auto"/>
    </w:pPr>
    <w:rPr>
      <w:rFonts w:ascii="Calibri" w:hAnsi="Calibri" w:cs="Calibri"/>
      <w:color w:val="000000"/>
      <w:sz w:val="16"/>
      <w:szCs w:val="16"/>
      <w14:ligatures w14:val="standardContextual"/>
    </w:rPr>
  </w:style>
  <w:style w:type="paragraph" w:customStyle="1" w:styleId="DoubleDot">
    <w:name w:val="Double Dot"/>
    <w:basedOn w:val="Normal"/>
    <w:qFormat/>
    <w:rsid w:val="005F3731"/>
    <w:pPr>
      <w:numPr>
        <w:ilvl w:val="2"/>
        <w:numId w:val="28"/>
      </w:numPr>
      <w:suppressAutoHyphens w:val="0"/>
      <w:spacing w:beforeLines="60" w:before="144" w:afterLines="60" w:after="144" w:line="259" w:lineRule="auto"/>
    </w:pPr>
    <w:rPr>
      <w:rFonts w:ascii="Calibri" w:hAnsi="Calibri" w:cs="Calibri"/>
      <w:color w:val="000000"/>
      <w:sz w:val="16"/>
      <w:szCs w:val="16"/>
      <w14:ligatures w14:val="standardContextual"/>
    </w:rPr>
  </w:style>
  <w:style w:type="table" w:styleId="ListTable4-Accent2">
    <w:name w:val="List Table 4 Accent 2"/>
    <w:basedOn w:val="TableNormal"/>
    <w:uiPriority w:val="49"/>
    <w:rsid w:val="00996FDD"/>
    <w:pPr>
      <w:spacing w:after="0" w:line="240" w:lineRule="auto"/>
    </w:pPr>
    <w:tblPr>
      <w:tblStyleRowBandSize w:val="1"/>
      <w:tblStyleColBandSize w:val="1"/>
      <w:tblBorders>
        <w:top w:val="single" w:sz="4" w:space="0" w:color="9FD1ED" w:themeColor="accent2" w:themeTint="99"/>
        <w:left w:val="single" w:sz="4" w:space="0" w:color="9FD1ED" w:themeColor="accent2" w:themeTint="99"/>
        <w:bottom w:val="single" w:sz="4" w:space="0" w:color="9FD1ED" w:themeColor="accent2" w:themeTint="99"/>
        <w:right w:val="single" w:sz="4" w:space="0" w:color="9FD1ED" w:themeColor="accent2" w:themeTint="99"/>
        <w:insideH w:val="single" w:sz="4" w:space="0" w:color="9FD1ED" w:themeColor="accent2" w:themeTint="99"/>
      </w:tblBorders>
    </w:tblPr>
    <w:tblStylePr w:type="firstRow">
      <w:rPr>
        <w:b/>
        <w:bCs/>
        <w:color w:val="FFFFFF" w:themeColor="background1"/>
      </w:rPr>
      <w:tblPr/>
      <w:tcPr>
        <w:tcBorders>
          <w:top w:val="single" w:sz="4" w:space="0" w:color="5FB4E1" w:themeColor="accent2"/>
          <w:left w:val="single" w:sz="4" w:space="0" w:color="5FB4E1" w:themeColor="accent2"/>
          <w:bottom w:val="single" w:sz="4" w:space="0" w:color="5FB4E1" w:themeColor="accent2"/>
          <w:right w:val="single" w:sz="4" w:space="0" w:color="5FB4E1" w:themeColor="accent2"/>
          <w:insideH w:val="nil"/>
        </w:tcBorders>
        <w:shd w:val="clear" w:color="auto" w:fill="5FB4E1" w:themeFill="accent2"/>
      </w:tcPr>
    </w:tblStylePr>
    <w:tblStylePr w:type="lastRow">
      <w:rPr>
        <w:b/>
        <w:bCs/>
      </w:rPr>
      <w:tblPr/>
      <w:tcPr>
        <w:tcBorders>
          <w:top w:val="double" w:sz="4" w:space="0" w:color="9FD1ED" w:themeColor="accent2" w:themeTint="99"/>
        </w:tcBorders>
      </w:tcPr>
    </w:tblStylePr>
    <w:tblStylePr w:type="firstCol">
      <w:rPr>
        <w:b/>
        <w:bCs/>
      </w:rPr>
    </w:tblStylePr>
    <w:tblStylePr w:type="lastCol">
      <w:rPr>
        <w:b/>
        <w:bCs/>
      </w:rPr>
    </w:tblStylePr>
    <w:tblStylePr w:type="band1Vert">
      <w:tblPr/>
      <w:tcPr>
        <w:shd w:val="clear" w:color="auto" w:fill="DFEFF9" w:themeFill="accent2" w:themeFillTint="33"/>
      </w:tcPr>
    </w:tblStylePr>
    <w:tblStylePr w:type="band1Horz">
      <w:tblPr/>
      <w:tcPr>
        <w:shd w:val="clear" w:color="auto" w:fill="DFEFF9" w:themeFill="accent2" w:themeFillTint="33"/>
      </w:tcPr>
    </w:tblStylePr>
  </w:style>
  <w:style w:type="table" w:styleId="ListTable4-Accent3">
    <w:name w:val="List Table 4 Accent 3"/>
    <w:basedOn w:val="TableNormal"/>
    <w:uiPriority w:val="49"/>
    <w:rsid w:val="00996FDD"/>
    <w:pPr>
      <w:spacing w:after="0" w:line="240" w:lineRule="auto"/>
    </w:pPr>
    <w:tblPr>
      <w:tblStyleRowBandSize w:val="1"/>
      <w:tblStyleColBandSize w:val="1"/>
      <w:tblBorders>
        <w:top w:val="single" w:sz="4" w:space="0" w:color="3AC1FF" w:themeColor="accent3" w:themeTint="99"/>
        <w:left w:val="single" w:sz="4" w:space="0" w:color="3AC1FF" w:themeColor="accent3" w:themeTint="99"/>
        <w:bottom w:val="single" w:sz="4" w:space="0" w:color="3AC1FF" w:themeColor="accent3" w:themeTint="99"/>
        <w:right w:val="single" w:sz="4" w:space="0" w:color="3AC1FF" w:themeColor="accent3" w:themeTint="99"/>
        <w:insideH w:val="single" w:sz="4" w:space="0" w:color="3AC1FF" w:themeColor="accent3" w:themeTint="99"/>
      </w:tblBorders>
    </w:tblPr>
    <w:tblStylePr w:type="firstRow">
      <w:rPr>
        <w:b/>
        <w:bCs/>
        <w:color w:val="FFFFFF" w:themeColor="background1"/>
      </w:rPr>
      <w:tblPr/>
      <w:tcPr>
        <w:tcBorders>
          <w:top w:val="single" w:sz="4" w:space="0" w:color="007DB6" w:themeColor="accent3"/>
          <w:left w:val="single" w:sz="4" w:space="0" w:color="007DB6" w:themeColor="accent3"/>
          <w:bottom w:val="single" w:sz="4" w:space="0" w:color="007DB6" w:themeColor="accent3"/>
          <w:right w:val="single" w:sz="4" w:space="0" w:color="007DB6" w:themeColor="accent3"/>
          <w:insideH w:val="nil"/>
        </w:tcBorders>
        <w:shd w:val="clear" w:color="auto" w:fill="007DB6" w:themeFill="accent3"/>
      </w:tcPr>
    </w:tblStylePr>
    <w:tblStylePr w:type="lastRow">
      <w:rPr>
        <w:b/>
        <w:bCs/>
      </w:rPr>
      <w:tblPr/>
      <w:tcPr>
        <w:tcBorders>
          <w:top w:val="double" w:sz="4" w:space="0" w:color="3AC1FF" w:themeColor="accent3" w:themeTint="99"/>
        </w:tcBorders>
      </w:tcPr>
    </w:tblStylePr>
    <w:tblStylePr w:type="firstCol">
      <w:rPr>
        <w:b/>
        <w:bCs/>
      </w:rPr>
    </w:tblStylePr>
    <w:tblStylePr w:type="lastCol">
      <w:rPr>
        <w:b/>
        <w:bCs/>
      </w:rPr>
    </w:tblStylePr>
    <w:tblStylePr w:type="band1Vert">
      <w:tblPr/>
      <w:tcPr>
        <w:shd w:val="clear" w:color="auto" w:fill="BDEAFF" w:themeFill="accent3" w:themeFillTint="33"/>
      </w:tcPr>
    </w:tblStylePr>
    <w:tblStylePr w:type="band1Horz">
      <w:tblPr/>
      <w:tcPr>
        <w:shd w:val="clear" w:color="auto" w:fill="BDEAFF" w:themeFill="accent3" w:themeFillTint="33"/>
      </w:tcPr>
    </w:tblStylePr>
  </w:style>
  <w:style w:type="character" w:styleId="FollowedHyperlink">
    <w:name w:val="FollowedHyperlink"/>
    <w:basedOn w:val="DefaultParagraphFont"/>
    <w:uiPriority w:val="99"/>
    <w:semiHidden/>
    <w:unhideWhenUsed/>
    <w:rsid w:val="00AD674D"/>
    <w:rPr>
      <w:color w:val="007DB6" w:themeColor="followedHyperlink"/>
      <w:u w:val="single"/>
    </w:rPr>
  </w:style>
  <w:style w:type="paragraph" w:styleId="Revision">
    <w:name w:val="Revision"/>
    <w:hidden/>
    <w:uiPriority w:val="99"/>
    <w:semiHidden/>
    <w:rsid w:val="00313CF2"/>
    <w:pPr>
      <w:spacing w:after="0" w:line="240" w:lineRule="auto"/>
    </w:pPr>
  </w:style>
  <w:style w:type="paragraph" w:styleId="CommentSubject">
    <w:name w:val="annotation subject"/>
    <w:basedOn w:val="CommentText"/>
    <w:next w:val="CommentText"/>
    <w:link w:val="CommentSubjectChar"/>
    <w:uiPriority w:val="99"/>
    <w:semiHidden/>
    <w:unhideWhenUsed/>
    <w:rsid w:val="001B790B"/>
    <w:rPr>
      <w:b/>
      <w:bCs/>
    </w:rPr>
  </w:style>
  <w:style w:type="character" w:customStyle="1" w:styleId="CommentSubjectChar">
    <w:name w:val="Comment Subject Char"/>
    <w:basedOn w:val="CommentTextChar"/>
    <w:link w:val="CommentSubject"/>
    <w:uiPriority w:val="99"/>
    <w:semiHidden/>
    <w:rsid w:val="001B790B"/>
    <w:rPr>
      <w:b/>
      <w:bCs/>
      <w:sz w:val="20"/>
      <w:szCs w:val="20"/>
    </w:rPr>
  </w:style>
  <w:style w:type="character" w:styleId="Mention">
    <w:name w:val="Mention"/>
    <w:basedOn w:val="DefaultParagraphFont"/>
    <w:uiPriority w:val="99"/>
    <w:unhideWhenUsed/>
    <w:rsid w:val="00484670"/>
    <w:rPr>
      <w:color w:val="2B579A"/>
      <w:shd w:val="clear" w:color="auto" w:fill="E1DFDD"/>
    </w:rPr>
  </w:style>
  <w:style w:type="paragraph" w:styleId="NormalWeb">
    <w:name w:val="Normal (Web)"/>
    <w:basedOn w:val="Normal"/>
    <w:uiPriority w:val="99"/>
    <w:semiHidden/>
    <w:unhideWhenUsed/>
    <w:rsid w:val="00E512E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41524">
      <w:bodyDiv w:val="1"/>
      <w:marLeft w:val="0"/>
      <w:marRight w:val="0"/>
      <w:marTop w:val="0"/>
      <w:marBottom w:val="0"/>
      <w:divBdr>
        <w:top w:val="none" w:sz="0" w:space="0" w:color="auto"/>
        <w:left w:val="none" w:sz="0" w:space="0" w:color="auto"/>
        <w:bottom w:val="none" w:sz="0" w:space="0" w:color="auto"/>
        <w:right w:val="none" w:sz="0" w:space="0" w:color="auto"/>
      </w:divBdr>
    </w:div>
    <w:div w:id="104160978">
      <w:bodyDiv w:val="1"/>
      <w:marLeft w:val="0"/>
      <w:marRight w:val="0"/>
      <w:marTop w:val="0"/>
      <w:marBottom w:val="0"/>
      <w:divBdr>
        <w:top w:val="none" w:sz="0" w:space="0" w:color="auto"/>
        <w:left w:val="none" w:sz="0" w:space="0" w:color="auto"/>
        <w:bottom w:val="none" w:sz="0" w:space="0" w:color="auto"/>
        <w:right w:val="none" w:sz="0" w:space="0" w:color="auto"/>
      </w:divBdr>
    </w:div>
    <w:div w:id="174001864">
      <w:bodyDiv w:val="1"/>
      <w:marLeft w:val="0"/>
      <w:marRight w:val="0"/>
      <w:marTop w:val="0"/>
      <w:marBottom w:val="0"/>
      <w:divBdr>
        <w:top w:val="none" w:sz="0" w:space="0" w:color="auto"/>
        <w:left w:val="none" w:sz="0" w:space="0" w:color="auto"/>
        <w:bottom w:val="none" w:sz="0" w:space="0" w:color="auto"/>
        <w:right w:val="none" w:sz="0" w:space="0" w:color="auto"/>
      </w:divBdr>
    </w:div>
    <w:div w:id="181941560">
      <w:bodyDiv w:val="1"/>
      <w:marLeft w:val="0"/>
      <w:marRight w:val="0"/>
      <w:marTop w:val="0"/>
      <w:marBottom w:val="0"/>
      <w:divBdr>
        <w:top w:val="none" w:sz="0" w:space="0" w:color="auto"/>
        <w:left w:val="none" w:sz="0" w:space="0" w:color="auto"/>
        <w:bottom w:val="none" w:sz="0" w:space="0" w:color="auto"/>
        <w:right w:val="none" w:sz="0" w:space="0" w:color="auto"/>
      </w:divBdr>
    </w:div>
    <w:div w:id="347997322">
      <w:bodyDiv w:val="1"/>
      <w:marLeft w:val="0"/>
      <w:marRight w:val="0"/>
      <w:marTop w:val="0"/>
      <w:marBottom w:val="0"/>
      <w:divBdr>
        <w:top w:val="none" w:sz="0" w:space="0" w:color="auto"/>
        <w:left w:val="none" w:sz="0" w:space="0" w:color="auto"/>
        <w:bottom w:val="none" w:sz="0" w:space="0" w:color="auto"/>
        <w:right w:val="none" w:sz="0" w:space="0" w:color="auto"/>
      </w:divBdr>
    </w:div>
    <w:div w:id="370233263">
      <w:bodyDiv w:val="1"/>
      <w:marLeft w:val="0"/>
      <w:marRight w:val="0"/>
      <w:marTop w:val="0"/>
      <w:marBottom w:val="0"/>
      <w:divBdr>
        <w:top w:val="none" w:sz="0" w:space="0" w:color="auto"/>
        <w:left w:val="none" w:sz="0" w:space="0" w:color="auto"/>
        <w:bottom w:val="none" w:sz="0" w:space="0" w:color="auto"/>
        <w:right w:val="none" w:sz="0" w:space="0" w:color="auto"/>
      </w:divBdr>
    </w:div>
    <w:div w:id="385839565">
      <w:bodyDiv w:val="1"/>
      <w:marLeft w:val="0"/>
      <w:marRight w:val="0"/>
      <w:marTop w:val="0"/>
      <w:marBottom w:val="0"/>
      <w:divBdr>
        <w:top w:val="none" w:sz="0" w:space="0" w:color="auto"/>
        <w:left w:val="none" w:sz="0" w:space="0" w:color="auto"/>
        <w:bottom w:val="none" w:sz="0" w:space="0" w:color="auto"/>
        <w:right w:val="none" w:sz="0" w:space="0" w:color="auto"/>
      </w:divBdr>
    </w:div>
    <w:div w:id="449052994">
      <w:bodyDiv w:val="1"/>
      <w:marLeft w:val="0"/>
      <w:marRight w:val="0"/>
      <w:marTop w:val="0"/>
      <w:marBottom w:val="0"/>
      <w:divBdr>
        <w:top w:val="none" w:sz="0" w:space="0" w:color="auto"/>
        <w:left w:val="none" w:sz="0" w:space="0" w:color="auto"/>
        <w:bottom w:val="none" w:sz="0" w:space="0" w:color="auto"/>
        <w:right w:val="none" w:sz="0" w:space="0" w:color="auto"/>
      </w:divBdr>
    </w:div>
    <w:div w:id="474109081">
      <w:bodyDiv w:val="1"/>
      <w:marLeft w:val="0"/>
      <w:marRight w:val="0"/>
      <w:marTop w:val="0"/>
      <w:marBottom w:val="0"/>
      <w:divBdr>
        <w:top w:val="none" w:sz="0" w:space="0" w:color="auto"/>
        <w:left w:val="none" w:sz="0" w:space="0" w:color="auto"/>
        <w:bottom w:val="none" w:sz="0" w:space="0" w:color="auto"/>
        <w:right w:val="none" w:sz="0" w:space="0" w:color="auto"/>
      </w:divBdr>
      <w:divsChild>
        <w:div w:id="1255550186">
          <w:marLeft w:val="0"/>
          <w:marRight w:val="0"/>
          <w:marTop w:val="0"/>
          <w:marBottom w:val="0"/>
          <w:divBdr>
            <w:top w:val="none" w:sz="0" w:space="0" w:color="auto"/>
            <w:left w:val="none" w:sz="0" w:space="0" w:color="auto"/>
            <w:bottom w:val="none" w:sz="0" w:space="0" w:color="auto"/>
            <w:right w:val="none" w:sz="0" w:space="0" w:color="auto"/>
          </w:divBdr>
          <w:divsChild>
            <w:div w:id="838428208">
              <w:marLeft w:val="0"/>
              <w:marRight w:val="0"/>
              <w:marTop w:val="0"/>
              <w:marBottom w:val="0"/>
              <w:divBdr>
                <w:top w:val="none" w:sz="0" w:space="0" w:color="auto"/>
                <w:left w:val="none" w:sz="0" w:space="0" w:color="auto"/>
                <w:bottom w:val="none" w:sz="0" w:space="0" w:color="auto"/>
                <w:right w:val="none" w:sz="0" w:space="0" w:color="auto"/>
              </w:divBdr>
              <w:divsChild>
                <w:div w:id="157815557">
                  <w:marLeft w:val="0"/>
                  <w:marRight w:val="0"/>
                  <w:marTop w:val="0"/>
                  <w:marBottom w:val="0"/>
                  <w:divBdr>
                    <w:top w:val="none" w:sz="0" w:space="0" w:color="auto"/>
                    <w:left w:val="none" w:sz="0" w:space="0" w:color="auto"/>
                    <w:bottom w:val="none" w:sz="0" w:space="0" w:color="auto"/>
                    <w:right w:val="none" w:sz="0" w:space="0" w:color="auto"/>
                  </w:divBdr>
                </w:div>
              </w:divsChild>
            </w:div>
            <w:div w:id="1417702478">
              <w:marLeft w:val="0"/>
              <w:marRight w:val="0"/>
              <w:marTop w:val="0"/>
              <w:marBottom w:val="0"/>
              <w:divBdr>
                <w:top w:val="none" w:sz="0" w:space="0" w:color="auto"/>
                <w:left w:val="none" w:sz="0" w:space="0" w:color="auto"/>
                <w:bottom w:val="none" w:sz="0" w:space="0" w:color="auto"/>
                <w:right w:val="none" w:sz="0" w:space="0" w:color="auto"/>
              </w:divBdr>
            </w:div>
            <w:div w:id="1460496511">
              <w:marLeft w:val="0"/>
              <w:marRight w:val="0"/>
              <w:marTop w:val="0"/>
              <w:marBottom w:val="0"/>
              <w:divBdr>
                <w:top w:val="none" w:sz="0" w:space="0" w:color="auto"/>
                <w:left w:val="none" w:sz="0" w:space="0" w:color="auto"/>
                <w:bottom w:val="none" w:sz="0" w:space="0" w:color="auto"/>
                <w:right w:val="none" w:sz="0" w:space="0" w:color="auto"/>
              </w:divBdr>
              <w:divsChild>
                <w:div w:id="1943297126">
                  <w:marLeft w:val="0"/>
                  <w:marRight w:val="0"/>
                  <w:marTop w:val="0"/>
                  <w:marBottom w:val="0"/>
                  <w:divBdr>
                    <w:top w:val="none" w:sz="0" w:space="0" w:color="auto"/>
                    <w:left w:val="none" w:sz="0" w:space="0" w:color="auto"/>
                    <w:bottom w:val="none" w:sz="0" w:space="0" w:color="auto"/>
                    <w:right w:val="none" w:sz="0" w:space="0" w:color="auto"/>
                  </w:divBdr>
                </w:div>
              </w:divsChild>
            </w:div>
            <w:div w:id="159771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4181">
      <w:bodyDiv w:val="1"/>
      <w:marLeft w:val="0"/>
      <w:marRight w:val="0"/>
      <w:marTop w:val="0"/>
      <w:marBottom w:val="0"/>
      <w:divBdr>
        <w:top w:val="none" w:sz="0" w:space="0" w:color="auto"/>
        <w:left w:val="none" w:sz="0" w:space="0" w:color="auto"/>
        <w:bottom w:val="none" w:sz="0" w:space="0" w:color="auto"/>
        <w:right w:val="none" w:sz="0" w:space="0" w:color="auto"/>
      </w:divBdr>
    </w:div>
    <w:div w:id="549414417">
      <w:bodyDiv w:val="1"/>
      <w:marLeft w:val="0"/>
      <w:marRight w:val="0"/>
      <w:marTop w:val="0"/>
      <w:marBottom w:val="0"/>
      <w:divBdr>
        <w:top w:val="none" w:sz="0" w:space="0" w:color="auto"/>
        <w:left w:val="none" w:sz="0" w:space="0" w:color="auto"/>
        <w:bottom w:val="none" w:sz="0" w:space="0" w:color="auto"/>
        <w:right w:val="none" w:sz="0" w:space="0" w:color="auto"/>
      </w:divBdr>
    </w:div>
    <w:div w:id="592011970">
      <w:bodyDiv w:val="1"/>
      <w:marLeft w:val="0"/>
      <w:marRight w:val="0"/>
      <w:marTop w:val="0"/>
      <w:marBottom w:val="0"/>
      <w:divBdr>
        <w:top w:val="none" w:sz="0" w:space="0" w:color="auto"/>
        <w:left w:val="none" w:sz="0" w:space="0" w:color="auto"/>
        <w:bottom w:val="none" w:sz="0" w:space="0" w:color="auto"/>
        <w:right w:val="none" w:sz="0" w:space="0" w:color="auto"/>
      </w:divBdr>
    </w:div>
    <w:div w:id="599337464">
      <w:bodyDiv w:val="1"/>
      <w:marLeft w:val="0"/>
      <w:marRight w:val="0"/>
      <w:marTop w:val="0"/>
      <w:marBottom w:val="0"/>
      <w:divBdr>
        <w:top w:val="none" w:sz="0" w:space="0" w:color="auto"/>
        <w:left w:val="none" w:sz="0" w:space="0" w:color="auto"/>
        <w:bottom w:val="none" w:sz="0" w:space="0" w:color="auto"/>
        <w:right w:val="none" w:sz="0" w:space="0" w:color="auto"/>
      </w:divBdr>
    </w:div>
    <w:div w:id="629361159">
      <w:bodyDiv w:val="1"/>
      <w:marLeft w:val="0"/>
      <w:marRight w:val="0"/>
      <w:marTop w:val="0"/>
      <w:marBottom w:val="0"/>
      <w:divBdr>
        <w:top w:val="none" w:sz="0" w:space="0" w:color="auto"/>
        <w:left w:val="none" w:sz="0" w:space="0" w:color="auto"/>
        <w:bottom w:val="none" w:sz="0" w:space="0" w:color="auto"/>
        <w:right w:val="none" w:sz="0" w:space="0" w:color="auto"/>
      </w:divBdr>
    </w:div>
    <w:div w:id="664821670">
      <w:bodyDiv w:val="1"/>
      <w:marLeft w:val="0"/>
      <w:marRight w:val="0"/>
      <w:marTop w:val="0"/>
      <w:marBottom w:val="0"/>
      <w:divBdr>
        <w:top w:val="none" w:sz="0" w:space="0" w:color="auto"/>
        <w:left w:val="none" w:sz="0" w:space="0" w:color="auto"/>
        <w:bottom w:val="none" w:sz="0" w:space="0" w:color="auto"/>
        <w:right w:val="none" w:sz="0" w:space="0" w:color="auto"/>
      </w:divBdr>
    </w:div>
    <w:div w:id="675502497">
      <w:bodyDiv w:val="1"/>
      <w:marLeft w:val="0"/>
      <w:marRight w:val="0"/>
      <w:marTop w:val="0"/>
      <w:marBottom w:val="0"/>
      <w:divBdr>
        <w:top w:val="none" w:sz="0" w:space="0" w:color="auto"/>
        <w:left w:val="none" w:sz="0" w:space="0" w:color="auto"/>
        <w:bottom w:val="none" w:sz="0" w:space="0" w:color="auto"/>
        <w:right w:val="none" w:sz="0" w:space="0" w:color="auto"/>
      </w:divBdr>
    </w:div>
    <w:div w:id="771778389">
      <w:bodyDiv w:val="1"/>
      <w:marLeft w:val="0"/>
      <w:marRight w:val="0"/>
      <w:marTop w:val="0"/>
      <w:marBottom w:val="0"/>
      <w:divBdr>
        <w:top w:val="none" w:sz="0" w:space="0" w:color="auto"/>
        <w:left w:val="none" w:sz="0" w:space="0" w:color="auto"/>
        <w:bottom w:val="none" w:sz="0" w:space="0" w:color="auto"/>
        <w:right w:val="none" w:sz="0" w:space="0" w:color="auto"/>
      </w:divBdr>
    </w:div>
    <w:div w:id="788665500">
      <w:bodyDiv w:val="1"/>
      <w:marLeft w:val="0"/>
      <w:marRight w:val="0"/>
      <w:marTop w:val="0"/>
      <w:marBottom w:val="0"/>
      <w:divBdr>
        <w:top w:val="none" w:sz="0" w:space="0" w:color="auto"/>
        <w:left w:val="none" w:sz="0" w:space="0" w:color="auto"/>
        <w:bottom w:val="none" w:sz="0" w:space="0" w:color="auto"/>
        <w:right w:val="none" w:sz="0" w:space="0" w:color="auto"/>
      </w:divBdr>
    </w:div>
    <w:div w:id="869802307">
      <w:bodyDiv w:val="1"/>
      <w:marLeft w:val="0"/>
      <w:marRight w:val="0"/>
      <w:marTop w:val="0"/>
      <w:marBottom w:val="0"/>
      <w:divBdr>
        <w:top w:val="none" w:sz="0" w:space="0" w:color="auto"/>
        <w:left w:val="none" w:sz="0" w:space="0" w:color="auto"/>
        <w:bottom w:val="none" w:sz="0" w:space="0" w:color="auto"/>
        <w:right w:val="none" w:sz="0" w:space="0" w:color="auto"/>
      </w:divBdr>
    </w:div>
    <w:div w:id="879512318">
      <w:bodyDiv w:val="1"/>
      <w:marLeft w:val="0"/>
      <w:marRight w:val="0"/>
      <w:marTop w:val="0"/>
      <w:marBottom w:val="0"/>
      <w:divBdr>
        <w:top w:val="none" w:sz="0" w:space="0" w:color="auto"/>
        <w:left w:val="none" w:sz="0" w:space="0" w:color="auto"/>
        <w:bottom w:val="none" w:sz="0" w:space="0" w:color="auto"/>
        <w:right w:val="none" w:sz="0" w:space="0" w:color="auto"/>
      </w:divBdr>
      <w:divsChild>
        <w:div w:id="1191383531">
          <w:marLeft w:val="0"/>
          <w:marRight w:val="0"/>
          <w:marTop w:val="0"/>
          <w:marBottom w:val="0"/>
          <w:divBdr>
            <w:top w:val="single" w:sz="2" w:space="0" w:color="EAEEF2"/>
            <w:left w:val="single" w:sz="2" w:space="0" w:color="EAEEF2"/>
            <w:bottom w:val="single" w:sz="2" w:space="0" w:color="EAEEF2"/>
            <w:right w:val="single" w:sz="2" w:space="0" w:color="EAEEF2"/>
          </w:divBdr>
          <w:divsChild>
            <w:div w:id="1990086123">
              <w:marLeft w:val="0"/>
              <w:marRight w:val="0"/>
              <w:marTop w:val="0"/>
              <w:marBottom w:val="0"/>
              <w:divBdr>
                <w:top w:val="single" w:sz="2" w:space="0" w:color="EAEEF2"/>
                <w:left w:val="single" w:sz="2" w:space="0" w:color="EAEEF2"/>
                <w:bottom w:val="single" w:sz="2" w:space="0" w:color="EAEEF2"/>
                <w:right w:val="single" w:sz="2" w:space="0" w:color="EAEEF2"/>
              </w:divBdr>
            </w:div>
          </w:divsChild>
        </w:div>
      </w:divsChild>
    </w:div>
    <w:div w:id="887185451">
      <w:bodyDiv w:val="1"/>
      <w:marLeft w:val="0"/>
      <w:marRight w:val="0"/>
      <w:marTop w:val="0"/>
      <w:marBottom w:val="0"/>
      <w:divBdr>
        <w:top w:val="none" w:sz="0" w:space="0" w:color="auto"/>
        <w:left w:val="none" w:sz="0" w:space="0" w:color="auto"/>
        <w:bottom w:val="none" w:sz="0" w:space="0" w:color="auto"/>
        <w:right w:val="none" w:sz="0" w:space="0" w:color="auto"/>
      </w:divBdr>
    </w:div>
    <w:div w:id="996617542">
      <w:bodyDiv w:val="1"/>
      <w:marLeft w:val="0"/>
      <w:marRight w:val="0"/>
      <w:marTop w:val="0"/>
      <w:marBottom w:val="0"/>
      <w:divBdr>
        <w:top w:val="none" w:sz="0" w:space="0" w:color="auto"/>
        <w:left w:val="none" w:sz="0" w:space="0" w:color="auto"/>
        <w:bottom w:val="none" w:sz="0" w:space="0" w:color="auto"/>
        <w:right w:val="none" w:sz="0" w:space="0" w:color="auto"/>
      </w:divBdr>
    </w:div>
    <w:div w:id="1154183264">
      <w:bodyDiv w:val="1"/>
      <w:marLeft w:val="0"/>
      <w:marRight w:val="0"/>
      <w:marTop w:val="0"/>
      <w:marBottom w:val="0"/>
      <w:divBdr>
        <w:top w:val="none" w:sz="0" w:space="0" w:color="auto"/>
        <w:left w:val="none" w:sz="0" w:space="0" w:color="auto"/>
        <w:bottom w:val="none" w:sz="0" w:space="0" w:color="auto"/>
        <w:right w:val="none" w:sz="0" w:space="0" w:color="auto"/>
      </w:divBdr>
    </w:div>
    <w:div w:id="1161774687">
      <w:bodyDiv w:val="1"/>
      <w:marLeft w:val="0"/>
      <w:marRight w:val="0"/>
      <w:marTop w:val="0"/>
      <w:marBottom w:val="0"/>
      <w:divBdr>
        <w:top w:val="none" w:sz="0" w:space="0" w:color="auto"/>
        <w:left w:val="none" w:sz="0" w:space="0" w:color="auto"/>
        <w:bottom w:val="none" w:sz="0" w:space="0" w:color="auto"/>
        <w:right w:val="none" w:sz="0" w:space="0" w:color="auto"/>
      </w:divBdr>
    </w:div>
    <w:div w:id="1215315576">
      <w:bodyDiv w:val="1"/>
      <w:marLeft w:val="0"/>
      <w:marRight w:val="0"/>
      <w:marTop w:val="0"/>
      <w:marBottom w:val="0"/>
      <w:divBdr>
        <w:top w:val="none" w:sz="0" w:space="0" w:color="auto"/>
        <w:left w:val="none" w:sz="0" w:space="0" w:color="auto"/>
        <w:bottom w:val="none" w:sz="0" w:space="0" w:color="auto"/>
        <w:right w:val="none" w:sz="0" w:space="0" w:color="auto"/>
      </w:divBdr>
    </w:div>
    <w:div w:id="1263296942">
      <w:bodyDiv w:val="1"/>
      <w:marLeft w:val="0"/>
      <w:marRight w:val="0"/>
      <w:marTop w:val="0"/>
      <w:marBottom w:val="0"/>
      <w:divBdr>
        <w:top w:val="none" w:sz="0" w:space="0" w:color="auto"/>
        <w:left w:val="none" w:sz="0" w:space="0" w:color="auto"/>
        <w:bottom w:val="none" w:sz="0" w:space="0" w:color="auto"/>
        <w:right w:val="none" w:sz="0" w:space="0" w:color="auto"/>
      </w:divBdr>
    </w:div>
    <w:div w:id="1299412375">
      <w:bodyDiv w:val="1"/>
      <w:marLeft w:val="0"/>
      <w:marRight w:val="0"/>
      <w:marTop w:val="0"/>
      <w:marBottom w:val="0"/>
      <w:divBdr>
        <w:top w:val="none" w:sz="0" w:space="0" w:color="auto"/>
        <w:left w:val="none" w:sz="0" w:space="0" w:color="auto"/>
        <w:bottom w:val="none" w:sz="0" w:space="0" w:color="auto"/>
        <w:right w:val="none" w:sz="0" w:space="0" w:color="auto"/>
      </w:divBdr>
      <w:divsChild>
        <w:div w:id="1105467559">
          <w:marLeft w:val="0"/>
          <w:marRight w:val="0"/>
          <w:marTop w:val="0"/>
          <w:marBottom w:val="0"/>
          <w:divBdr>
            <w:top w:val="single" w:sz="2" w:space="0" w:color="EAEEF2"/>
            <w:left w:val="single" w:sz="2" w:space="0" w:color="EAEEF2"/>
            <w:bottom w:val="single" w:sz="2" w:space="0" w:color="EAEEF2"/>
            <w:right w:val="single" w:sz="2" w:space="0" w:color="EAEEF2"/>
          </w:divBdr>
          <w:divsChild>
            <w:div w:id="104423853">
              <w:marLeft w:val="0"/>
              <w:marRight w:val="0"/>
              <w:marTop w:val="0"/>
              <w:marBottom w:val="0"/>
              <w:divBdr>
                <w:top w:val="single" w:sz="2" w:space="0" w:color="EAEEF2"/>
                <w:left w:val="single" w:sz="2" w:space="0" w:color="EAEEF2"/>
                <w:bottom w:val="single" w:sz="2" w:space="0" w:color="EAEEF2"/>
                <w:right w:val="single" w:sz="2" w:space="0" w:color="EAEEF2"/>
              </w:divBdr>
            </w:div>
          </w:divsChild>
        </w:div>
      </w:divsChild>
    </w:div>
    <w:div w:id="1330209822">
      <w:bodyDiv w:val="1"/>
      <w:marLeft w:val="0"/>
      <w:marRight w:val="0"/>
      <w:marTop w:val="0"/>
      <w:marBottom w:val="0"/>
      <w:divBdr>
        <w:top w:val="none" w:sz="0" w:space="0" w:color="auto"/>
        <w:left w:val="none" w:sz="0" w:space="0" w:color="auto"/>
        <w:bottom w:val="none" w:sz="0" w:space="0" w:color="auto"/>
        <w:right w:val="none" w:sz="0" w:space="0" w:color="auto"/>
      </w:divBdr>
    </w:div>
    <w:div w:id="1341858234">
      <w:bodyDiv w:val="1"/>
      <w:marLeft w:val="0"/>
      <w:marRight w:val="0"/>
      <w:marTop w:val="0"/>
      <w:marBottom w:val="0"/>
      <w:divBdr>
        <w:top w:val="none" w:sz="0" w:space="0" w:color="auto"/>
        <w:left w:val="none" w:sz="0" w:space="0" w:color="auto"/>
        <w:bottom w:val="none" w:sz="0" w:space="0" w:color="auto"/>
        <w:right w:val="none" w:sz="0" w:space="0" w:color="auto"/>
      </w:divBdr>
    </w:div>
    <w:div w:id="1364359545">
      <w:bodyDiv w:val="1"/>
      <w:marLeft w:val="0"/>
      <w:marRight w:val="0"/>
      <w:marTop w:val="0"/>
      <w:marBottom w:val="0"/>
      <w:divBdr>
        <w:top w:val="none" w:sz="0" w:space="0" w:color="auto"/>
        <w:left w:val="none" w:sz="0" w:space="0" w:color="auto"/>
        <w:bottom w:val="none" w:sz="0" w:space="0" w:color="auto"/>
        <w:right w:val="none" w:sz="0" w:space="0" w:color="auto"/>
      </w:divBdr>
    </w:div>
    <w:div w:id="1402021779">
      <w:bodyDiv w:val="1"/>
      <w:marLeft w:val="0"/>
      <w:marRight w:val="0"/>
      <w:marTop w:val="0"/>
      <w:marBottom w:val="0"/>
      <w:divBdr>
        <w:top w:val="none" w:sz="0" w:space="0" w:color="auto"/>
        <w:left w:val="none" w:sz="0" w:space="0" w:color="auto"/>
        <w:bottom w:val="none" w:sz="0" w:space="0" w:color="auto"/>
        <w:right w:val="none" w:sz="0" w:space="0" w:color="auto"/>
      </w:divBdr>
    </w:div>
    <w:div w:id="1525826461">
      <w:bodyDiv w:val="1"/>
      <w:marLeft w:val="0"/>
      <w:marRight w:val="0"/>
      <w:marTop w:val="0"/>
      <w:marBottom w:val="0"/>
      <w:divBdr>
        <w:top w:val="none" w:sz="0" w:space="0" w:color="auto"/>
        <w:left w:val="none" w:sz="0" w:space="0" w:color="auto"/>
        <w:bottom w:val="none" w:sz="0" w:space="0" w:color="auto"/>
        <w:right w:val="none" w:sz="0" w:space="0" w:color="auto"/>
      </w:divBdr>
    </w:div>
    <w:div w:id="1614091702">
      <w:bodyDiv w:val="1"/>
      <w:marLeft w:val="0"/>
      <w:marRight w:val="0"/>
      <w:marTop w:val="0"/>
      <w:marBottom w:val="0"/>
      <w:divBdr>
        <w:top w:val="none" w:sz="0" w:space="0" w:color="auto"/>
        <w:left w:val="none" w:sz="0" w:space="0" w:color="auto"/>
        <w:bottom w:val="none" w:sz="0" w:space="0" w:color="auto"/>
        <w:right w:val="none" w:sz="0" w:space="0" w:color="auto"/>
      </w:divBdr>
    </w:div>
    <w:div w:id="1698502052">
      <w:bodyDiv w:val="1"/>
      <w:marLeft w:val="0"/>
      <w:marRight w:val="0"/>
      <w:marTop w:val="0"/>
      <w:marBottom w:val="0"/>
      <w:divBdr>
        <w:top w:val="none" w:sz="0" w:space="0" w:color="auto"/>
        <w:left w:val="none" w:sz="0" w:space="0" w:color="auto"/>
        <w:bottom w:val="none" w:sz="0" w:space="0" w:color="auto"/>
        <w:right w:val="none" w:sz="0" w:space="0" w:color="auto"/>
      </w:divBdr>
    </w:div>
    <w:div w:id="1761025121">
      <w:bodyDiv w:val="1"/>
      <w:marLeft w:val="0"/>
      <w:marRight w:val="0"/>
      <w:marTop w:val="0"/>
      <w:marBottom w:val="0"/>
      <w:divBdr>
        <w:top w:val="none" w:sz="0" w:space="0" w:color="auto"/>
        <w:left w:val="none" w:sz="0" w:space="0" w:color="auto"/>
        <w:bottom w:val="none" w:sz="0" w:space="0" w:color="auto"/>
        <w:right w:val="none" w:sz="0" w:space="0" w:color="auto"/>
      </w:divBdr>
    </w:div>
    <w:div w:id="1995720036">
      <w:bodyDiv w:val="1"/>
      <w:marLeft w:val="0"/>
      <w:marRight w:val="0"/>
      <w:marTop w:val="0"/>
      <w:marBottom w:val="0"/>
      <w:divBdr>
        <w:top w:val="none" w:sz="0" w:space="0" w:color="auto"/>
        <w:left w:val="none" w:sz="0" w:space="0" w:color="auto"/>
        <w:bottom w:val="none" w:sz="0" w:space="0" w:color="auto"/>
        <w:right w:val="none" w:sz="0" w:space="0" w:color="auto"/>
      </w:divBdr>
    </w:div>
    <w:div w:id="2072076773">
      <w:bodyDiv w:val="1"/>
      <w:marLeft w:val="0"/>
      <w:marRight w:val="0"/>
      <w:marTop w:val="0"/>
      <w:marBottom w:val="0"/>
      <w:divBdr>
        <w:top w:val="none" w:sz="0" w:space="0" w:color="auto"/>
        <w:left w:val="none" w:sz="0" w:space="0" w:color="auto"/>
        <w:bottom w:val="none" w:sz="0" w:space="0" w:color="auto"/>
        <w:right w:val="none" w:sz="0" w:space="0" w:color="auto"/>
      </w:divBdr>
    </w:div>
    <w:div w:id="209003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mc.gov.au/government/commonwealth-coat-arms" TargetMode="External"/><Relationship Id="rId1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creativecommons.org/licenses/by/4.0/" TargetMode="External"/><Relationship Id="rId17" Type="http://schemas.openxmlformats.org/officeDocument/2006/relationships/hyperlink" Target="mailto:NationalCompetitionPolicy@treasury.gov.au" TargetMode="External"/><Relationship Id="rId2" Type="http://schemas.openxmlformats.org/officeDocument/2006/relationships/styles" Target="styles.xml"/><Relationship Id="rId16" Type="http://schemas.openxmlformats.org/officeDocument/2006/relationships/hyperlink" Target="mailto:NationalCompetitionPolicy@treasury.gov.a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hyperlink" Target="https://consult.treasury.gov.au/c2025-673090/consultation" TargetMode="External"/><Relationship Id="rId10" Type="http://schemas.openxmlformats.org/officeDocument/2006/relationships/hyperlink" Target="https://creativecommons.org/licenses/by/4.0/legalcod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reativecommons.org/licenses/by/4.0/" TargetMode="External"/><Relationship Id="rId14" Type="http://schemas.openxmlformats.org/officeDocument/2006/relationships/hyperlink" Target="mailto:media@treasury.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pc.gov.au/inquiries/completed/competition-analysis/report/competition-analysis-with-appendices.pdf" TargetMode="External"/><Relationship Id="rId13" Type="http://schemas.openxmlformats.org/officeDocument/2006/relationships/hyperlink" Target="https://www.productsafety.gov.au/about-us/product-safety-news/news/review-of-the-regulatory-framework-for-the-safety-of-household-electrical-products" TargetMode="External"/><Relationship Id="rId3" Type="http://schemas.openxmlformats.org/officeDocument/2006/relationships/hyperlink" Target="https://federalfinancialrelations.gov.au/sites/federalfinancialrelations.gov.au/files/2025-03/Signed%20-%20FFA%20National%20Competition%20Policy.pdf" TargetMode="External"/><Relationship Id="rId7" Type="http://schemas.openxmlformats.org/officeDocument/2006/relationships/hyperlink" Target="https://www.accc.gov.au/about-us/news/speeches/national-consumer-congress-2024-introduction-and-accc-keynote-address" TargetMode="External"/><Relationship Id="rId12" Type="http://schemas.openxmlformats.org/officeDocument/2006/relationships/hyperlink" Target="https://parlinfo.aph.gov.au/parlInfo/download/legislation/ems/r7296_ems_49b5f715-1aa3-4bbb-a750-3ee8a709e703/upload_pdf/24160b01%20EM.pdf;fileType=application%2Fpdf" TargetMode="External"/><Relationship Id="rId2" Type="http://schemas.openxmlformats.org/officeDocument/2006/relationships/hyperlink" Target="https://federalfinancialrelations.gov.au/agreements/national-competition-policy" TargetMode="External"/><Relationship Id="rId1" Type="http://schemas.openxmlformats.org/officeDocument/2006/relationships/hyperlink" Target="https://ministers.treasury.gov.au/ministers/jim-chalmers-2022/media-releases/national-agreement-revitalise-competition-consumers" TargetMode="External"/><Relationship Id="rId6" Type="http://schemas.openxmlformats.org/officeDocument/2006/relationships/hyperlink" Target="https://www.pc.gov.au/inquiries/completed/competition-analysis/report/competition-analysis-with-appendices.pdf" TargetMode="External"/><Relationship Id="rId11" Type="http://schemas.openxmlformats.org/officeDocument/2006/relationships/hyperlink" Target="https://www.dcceew.gov.au/sites/default/files/documents/circular-advantage-final-report-cemag.pdf" TargetMode="External"/><Relationship Id="rId5" Type="http://schemas.openxmlformats.org/officeDocument/2006/relationships/hyperlink" Target="https://www.regulatoryreform.gov.au/sites/default/files/Regulatory-Policy-Practice-and-Performance-Framework.pdf" TargetMode="External"/><Relationship Id="rId15" Type="http://schemas.openxmlformats.org/officeDocument/2006/relationships/hyperlink" Target="https://www.pc.gov.au/inquiries/current/competition-analysis-2025/request-advice" TargetMode="External"/><Relationship Id="rId10" Type="http://schemas.openxmlformats.org/officeDocument/2006/relationships/hyperlink" Target="https://www.productsafety.gov.au/about-us/product-safety-news/news/review-of-the-regulatory-framework-for-the-safety-of-household-electrical-products" TargetMode="External"/><Relationship Id="rId4" Type="http://schemas.openxmlformats.org/officeDocument/2006/relationships/hyperlink" Target="https://www.pc.gov.au/inquiries/completed/competition-analysis/report/competition-analysis-with-appendices.pdf" TargetMode="External"/><Relationship Id="rId9" Type="http://schemas.openxmlformats.org/officeDocument/2006/relationships/hyperlink" Target="https://www.agriculture.gov.au/sites/default/files/documents/agvet-chemicals-review-final-report.pdf" TargetMode="External"/><Relationship Id="rId14" Type="http://schemas.openxmlformats.org/officeDocument/2006/relationships/hyperlink" Target="https://ministers.treasury.gov.au/ministers/stephen-jones-2022/media-releases/consumer-affairs-ministers-renew-commitment-protect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Finance 1 Blue">
  <a:themeElements>
    <a:clrScheme name="Finance Blue">
      <a:dk1>
        <a:sysClr val="windowText" lastClr="000000"/>
      </a:dk1>
      <a:lt1>
        <a:sysClr val="window" lastClr="FFFFFF"/>
      </a:lt1>
      <a:dk2>
        <a:srgbClr val="1C1C1C"/>
      </a:dk2>
      <a:lt2>
        <a:srgbClr val="E2E3E2"/>
      </a:lt2>
      <a:accent1>
        <a:srgbClr val="85CAF0"/>
      </a:accent1>
      <a:accent2>
        <a:srgbClr val="5FB4E1"/>
      </a:accent2>
      <a:accent3>
        <a:srgbClr val="007DB6"/>
      </a:accent3>
      <a:accent4>
        <a:srgbClr val="F6EB61"/>
      </a:accent4>
      <a:accent5>
        <a:srgbClr val="9CDBD9"/>
      </a:accent5>
      <a:accent6>
        <a:srgbClr val="B4B5DF"/>
      </a:accent6>
      <a:hlink>
        <a:srgbClr val="007DB6"/>
      </a:hlink>
      <a:folHlink>
        <a:srgbClr val="007D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inance 1 Blue" id="{F0E8012F-52C4-4285-8588-15EF98A0938A}" vid="{1F551BCA-87CD-4010-B1B7-2E689DDB7D12}"/>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3596</Words>
  <Characters>20500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Consultation paper: National Competition Policy – Lowering barriers to the adoption of international and overseas standards in regulation</vt:lpstr>
    </vt:vector>
  </TitlesOfParts>
  <Company/>
  <LinksUpToDate>false</LinksUpToDate>
  <CharactersWithSpaces>24048</CharactersWithSpaces>
  <SharedDoc>false</SharedDoc>
  <HLinks>
    <vt:vector size="144" baseType="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4653082</vt:i4>
      </vt:variant>
      <vt:variant>
        <vt:i4>42</vt:i4>
      </vt:variant>
      <vt:variant>
        <vt:i4>0</vt:i4>
      </vt:variant>
      <vt:variant>
        <vt:i4>5</vt:i4>
      </vt:variant>
      <vt:variant>
        <vt:lpwstr>https://www.pc.gov.au/inquiries/current/competition-analysis-2025/request-advice</vt:lpwstr>
      </vt:variant>
      <vt:variant>
        <vt:lpwstr/>
      </vt:variant>
      <vt:variant>
        <vt:i4>5570634</vt:i4>
      </vt:variant>
      <vt:variant>
        <vt:i4>39</vt:i4>
      </vt:variant>
      <vt:variant>
        <vt:i4>0</vt:i4>
      </vt:variant>
      <vt:variant>
        <vt:i4>5</vt:i4>
      </vt:variant>
      <vt:variant>
        <vt:lpwstr>https://ministers.treasury.gov.au/ministers/stephen-jones-2022/media-releases/consumer-affairs-ministers-renew-commitment-protecting</vt:lpwstr>
      </vt:variant>
      <vt:variant>
        <vt:lpwstr/>
      </vt:variant>
      <vt:variant>
        <vt:i4>6029378</vt:i4>
      </vt:variant>
      <vt:variant>
        <vt:i4>36</vt:i4>
      </vt:variant>
      <vt:variant>
        <vt:i4>0</vt:i4>
      </vt:variant>
      <vt:variant>
        <vt:i4>5</vt:i4>
      </vt:variant>
      <vt:variant>
        <vt:lpwstr>https://www.productsafety.gov.au/about-us/product-safety-news/news/review-of-the-regulatory-framework-for-the-safety-of-household-electrical-products</vt:lpwstr>
      </vt:variant>
      <vt:variant>
        <vt:lpwstr/>
      </vt:variant>
      <vt:variant>
        <vt:i4>6094963</vt:i4>
      </vt:variant>
      <vt:variant>
        <vt:i4>33</vt:i4>
      </vt:variant>
      <vt:variant>
        <vt:i4>0</vt:i4>
      </vt:variant>
      <vt:variant>
        <vt:i4>5</vt:i4>
      </vt:variant>
      <vt:variant>
        <vt:lpwstr>https://parlinfo.aph.gov.au/parlInfo/download/legislation/ems/r7296_ems_49b5f715-1aa3-4bbb-a750-3ee8a709e703/upload_pdf/24160b01 EM.pdf;fileType=application%2Fpdf</vt:lpwstr>
      </vt:variant>
      <vt:variant>
        <vt:lpwstr/>
      </vt:variant>
      <vt:variant>
        <vt:i4>1769488</vt:i4>
      </vt:variant>
      <vt:variant>
        <vt:i4>30</vt:i4>
      </vt:variant>
      <vt:variant>
        <vt:i4>0</vt:i4>
      </vt:variant>
      <vt:variant>
        <vt:i4>5</vt:i4>
      </vt:variant>
      <vt:variant>
        <vt:lpwstr>https://www.dcceew.gov.au/sites/default/files/documents/circular-advantage-final-report-cemag.pdf</vt:lpwstr>
      </vt:variant>
      <vt:variant>
        <vt:lpwstr/>
      </vt:variant>
      <vt:variant>
        <vt:i4>6029378</vt:i4>
      </vt:variant>
      <vt:variant>
        <vt:i4>27</vt:i4>
      </vt:variant>
      <vt:variant>
        <vt:i4>0</vt:i4>
      </vt:variant>
      <vt:variant>
        <vt:i4>5</vt:i4>
      </vt:variant>
      <vt:variant>
        <vt:lpwstr>https://www.productsafety.gov.au/about-us/product-safety-news/news/review-of-the-regulatory-framework-for-the-safety-of-household-electrical-products</vt:lpwstr>
      </vt:variant>
      <vt:variant>
        <vt:lpwstr/>
      </vt:variant>
      <vt:variant>
        <vt:i4>4784221</vt:i4>
      </vt:variant>
      <vt:variant>
        <vt:i4>24</vt:i4>
      </vt:variant>
      <vt:variant>
        <vt:i4>0</vt:i4>
      </vt:variant>
      <vt:variant>
        <vt:i4>5</vt:i4>
      </vt:variant>
      <vt:variant>
        <vt:lpwstr>https://www.agriculture.gov.au/sites/default/files/documents/agvet-chemicals-review-final-report.pdf</vt:lpwstr>
      </vt:variant>
      <vt:variant>
        <vt:lpwstr/>
      </vt:variant>
      <vt:variant>
        <vt:i4>6357111</vt:i4>
      </vt:variant>
      <vt:variant>
        <vt:i4>21</vt:i4>
      </vt:variant>
      <vt:variant>
        <vt:i4>0</vt:i4>
      </vt:variant>
      <vt:variant>
        <vt:i4>5</vt:i4>
      </vt:variant>
      <vt:variant>
        <vt:lpwstr>https://www.pc.gov.au/inquiries/completed/competition-analysis/report/competition-analysis-with-appendices.pdf</vt:lpwstr>
      </vt:variant>
      <vt:variant>
        <vt:lpwstr/>
      </vt:variant>
      <vt:variant>
        <vt:i4>89</vt:i4>
      </vt:variant>
      <vt:variant>
        <vt:i4>18</vt:i4>
      </vt:variant>
      <vt:variant>
        <vt:i4>0</vt:i4>
      </vt:variant>
      <vt:variant>
        <vt:i4>5</vt:i4>
      </vt:variant>
      <vt:variant>
        <vt:lpwstr>https://www.accc.gov.au/about-us/news/speeches/national-consumer-congress-2024-introduction-and-accc-keynote-address</vt:lpwstr>
      </vt:variant>
      <vt:variant>
        <vt:lpwstr/>
      </vt:variant>
      <vt:variant>
        <vt:i4>6357111</vt:i4>
      </vt:variant>
      <vt:variant>
        <vt:i4>15</vt:i4>
      </vt:variant>
      <vt:variant>
        <vt:i4>0</vt:i4>
      </vt:variant>
      <vt:variant>
        <vt:i4>5</vt:i4>
      </vt:variant>
      <vt:variant>
        <vt:lpwstr>https://www.pc.gov.au/inquiries/completed/competition-analysis/report/competition-analysis-with-appendices.pdf</vt:lpwstr>
      </vt:variant>
      <vt:variant>
        <vt:lpwstr/>
      </vt:variant>
      <vt:variant>
        <vt:i4>393222</vt:i4>
      </vt:variant>
      <vt:variant>
        <vt:i4>12</vt:i4>
      </vt:variant>
      <vt:variant>
        <vt:i4>0</vt:i4>
      </vt:variant>
      <vt:variant>
        <vt:i4>5</vt:i4>
      </vt:variant>
      <vt:variant>
        <vt:lpwstr>https://www.regulatoryreform.gov.au/sites/default/files/Regulatory-Policy-Practice-and-Performance-Framework.pdf</vt:lpwstr>
      </vt:variant>
      <vt:variant>
        <vt:lpwstr/>
      </vt:variant>
      <vt:variant>
        <vt:i4>6357111</vt:i4>
      </vt:variant>
      <vt:variant>
        <vt:i4>9</vt:i4>
      </vt:variant>
      <vt:variant>
        <vt:i4>0</vt:i4>
      </vt:variant>
      <vt:variant>
        <vt:i4>5</vt:i4>
      </vt:variant>
      <vt:variant>
        <vt:lpwstr>https://www.pc.gov.au/inquiries/completed/competition-analysis/report/competition-analysis-with-appendices.pdf</vt:lpwstr>
      </vt:variant>
      <vt:variant>
        <vt:lpwstr/>
      </vt:variant>
      <vt:variant>
        <vt:i4>3932205</vt:i4>
      </vt:variant>
      <vt:variant>
        <vt:i4>6</vt:i4>
      </vt:variant>
      <vt:variant>
        <vt:i4>0</vt:i4>
      </vt:variant>
      <vt:variant>
        <vt:i4>5</vt:i4>
      </vt:variant>
      <vt:variant>
        <vt:lpwstr>https://federalfinancialrelations.gov.au/sites/federalfinancialrelations.gov.au/files/2025-03/Signed - FFA National Competition Policy.pdf</vt:lpwstr>
      </vt:variant>
      <vt:variant>
        <vt:lpwstr/>
      </vt:variant>
      <vt:variant>
        <vt:i4>3276911</vt:i4>
      </vt:variant>
      <vt:variant>
        <vt:i4>3</vt:i4>
      </vt:variant>
      <vt:variant>
        <vt:i4>0</vt:i4>
      </vt:variant>
      <vt:variant>
        <vt:i4>5</vt:i4>
      </vt:variant>
      <vt:variant>
        <vt:lpwstr>https://federalfinancialrelations.gov.au/agreements/national-competition-policy</vt:lpwstr>
      </vt:variant>
      <vt:variant>
        <vt:lpwstr/>
      </vt:variant>
      <vt:variant>
        <vt:i4>1507411</vt:i4>
      </vt:variant>
      <vt:variant>
        <vt:i4>0</vt:i4>
      </vt:variant>
      <vt:variant>
        <vt:i4>0</vt:i4>
      </vt:variant>
      <vt:variant>
        <vt:i4>5</vt:i4>
      </vt:variant>
      <vt:variant>
        <vt:lpwstr>https://ministers.treasury.gov.au/ministers/jim-chalmers-2022/media-releases/national-agreement-revitalise-competition-consumers</vt:lpwstr>
      </vt:variant>
      <vt:variant>
        <vt:lpwstr/>
      </vt:variant>
      <vt:variant>
        <vt:i4>5308541</vt:i4>
      </vt:variant>
      <vt:variant>
        <vt:i4>9</vt:i4>
      </vt:variant>
      <vt:variant>
        <vt:i4>0</vt:i4>
      </vt:variant>
      <vt:variant>
        <vt:i4>5</vt:i4>
      </vt:variant>
      <vt:variant>
        <vt:lpwstr>mailto:Timothy.Fong@TREASURY.GOV.AU</vt:lpwstr>
      </vt:variant>
      <vt:variant>
        <vt:lpwstr/>
      </vt:variant>
      <vt:variant>
        <vt:i4>5308541</vt:i4>
      </vt:variant>
      <vt:variant>
        <vt:i4>6</vt:i4>
      </vt:variant>
      <vt:variant>
        <vt:i4>0</vt:i4>
      </vt:variant>
      <vt:variant>
        <vt:i4>5</vt:i4>
      </vt:variant>
      <vt:variant>
        <vt:lpwstr>mailto:Timothy.Fong@TREASURY.GOV.AU</vt:lpwstr>
      </vt:variant>
      <vt:variant>
        <vt:lpwstr/>
      </vt:variant>
      <vt:variant>
        <vt:i4>5308541</vt:i4>
      </vt:variant>
      <vt:variant>
        <vt:i4>3</vt:i4>
      </vt:variant>
      <vt:variant>
        <vt:i4>0</vt:i4>
      </vt:variant>
      <vt:variant>
        <vt:i4>5</vt:i4>
      </vt:variant>
      <vt:variant>
        <vt:lpwstr>mailto:Timothy.Fong@TREASURY.GOV.AU</vt:lpwstr>
      </vt:variant>
      <vt:variant>
        <vt:lpwstr/>
      </vt:variant>
      <vt:variant>
        <vt:i4>5308541</vt:i4>
      </vt:variant>
      <vt:variant>
        <vt:i4>0</vt:i4>
      </vt:variant>
      <vt:variant>
        <vt:i4>0</vt:i4>
      </vt:variant>
      <vt:variant>
        <vt:i4>5</vt:i4>
      </vt:variant>
      <vt:variant>
        <vt:lpwstr>mailto:Timothy.Fong@TREASURY.GOV.AU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paper: National Competition Policy – Lowering barriers to the adoption of international and overseas standards in regulation</dc:title>
  <dc:subject/>
  <dc:creator>Treasury; Department of Finance</dc:creator>
  <cp:keywords/>
  <dc:description/>
  <cp:lastModifiedBy/>
  <cp:revision>1</cp:revision>
  <dcterms:created xsi:type="dcterms:W3CDTF">2025-07-04T05:55:00Z</dcterms:created>
  <dcterms:modified xsi:type="dcterms:W3CDTF">2025-07-04T05:56:00Z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2025-07-04T05:56:06Z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68c8bd63-8ed8-4511-bf43-294ccfa6cab4</vt:lpwstr>
  </property>
  <property fmtid="{D5CDD505-2E9C-101B-9397-08002B2CF9AE}" pid="8" name="MSIP_Label_4f932d64-9ab1-4d9b-81d2-a3a8b82dd47d_ContentBits">
    <vt:lpwstr>0</vt:lpwstr>
  </property>
</Properties>
</file>