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5F719" w14:textId="376CE0D7" w:rsidR="00AF38A3" w:rsidRDefault="00AF38A3" w:rsidP="008E6292"/>
    <w:sdt>
      <w:sdtPr>
        <w:id w:val="-1206409104"/>
        <w:docPartObj>
          <w:docPartGallery w:val="Cover Pages"/>
          <w:docPartUnique/>
        </w:docPartObj>
      </w:sdtPr>
      <w:sdtEndPr/>
      <w:sdtContent>
        <w:p w14:paraId="04A9E17A"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678890FC" wp14:editId="667D8691">
                <wp:simplePos x="0" y="0"/>
                <wp:positionH relativeFrom="page">
                  <wp:align>left</wp:align>
                </wp:positionH>
                <wp:positionV relativeFrom="page">
                  <wp:align>top</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43BAB03" w14:textId="77777777" w:rsidR="00A652B8" w:rsidRPr="006D0240" w:rsidRDefault="00A652B8" w:rsidP="001D4EAA">
          <w:pPr>
            <w:pStyle w:val="Header"/>
            <w:spacing w:after="1320"/>
            <w:jc w:val="left"/>
          </w:pPr>
        </w:p>
        <w:p w14:paraId="001C5395" w14:textId="7D4DCDB6" w:rsidR="00A652B8" w:rsidRPr="001D4EAA" w:rsidRDefault="003C4711" w:rsidP="001D4EAA">
          <w:pPr>
            <w:pStyle w:val="Title"/>
          </w:pPr>
          <w:r>
            <w:t>Compensation Scheme of Last Resort: exceeding sub</w:t>
          </w:r>
          <w:r>
            <w:noBreakHyphen/>
            <w:t>sector levy caps</w:t>
          </w:r>
        </w:p>
        <w:p w14:paraId="59BF252A" w14:textId="77777777" w:rsidR="00A652B8" w:rsidRPr="001D4EAA" w:rsidRDefault="00A652B8" w:rsidP="00082FC2">
          <w:pPr>
            <w:pStyle w:val="Subtitle"/>
            <w:spacing w:after="240"/>
          </w:pPr>
          <w:r>
            <w:t>Consultation paper</w:t>
          </w:r>
        </w:p>
        <w:p w14:paraId="15019248" w14:textId="56BBB418" w:rsidR="00A652B8" w:rsidRDefault="00451F09" w:rsidP="001D4EAA">
          <w:pPr>
            <w:pStyle w:val="ReportDate"/>
            <w:rPr>
              <w:rFonts w:ascii="Rockwell" w:hAnsi="Rockwell"/>
              <w:sz w:val="24"/>
            </w:rPr>
          </w:pPr>
          <w:r>
            <w:rPr>
              <w:rStyle w:val="ReportDateChar"/>
            </w:rPr>
            <w:t>August</w:t>
          </w:r>
          <w:r w:rsidR="00433F41">
            <w:rPr>
              <w:rStyle w:val="ReportDateChar"/>
            </w:rPr>
            <w:t xml:space="preserve"> 2025</w:t>
          </w:r>
        </w:p>
        <w:p w14:paraId="40DB4CB3" w14:textId="77777777" w:rsidR="00A652B8" w:rsidRDefault="00A652B8" w:rsidP="00775702">
          <w:pPr>
            <w:spacing w:after="1640"/>
          </w:pPr>
        </w:p>
        <w:p w14:paraId="381A46FE" w14:textId="77777777" w:rsidR="00A652B8" w:rsidRDefault="00A652B8" w:rsidP="00775702">
          <w:pPr>
            <w:spacing w:after="1640"/>
          </w:pPr>
        </w:p>
        <w:p w14:paraId="6322618D" w14:textId="77777777" w:rsidR="00A652B8" w:rsidRDefault="00A652B8">
          <w:pPr>
            <w:spacing w:before="0" w:after="160" w:line="259" w:lineRule="auto"/>
          </w:pPr>
          <w:r>
            <w:br w:type="page"/>
          </w:r>
        </w:p>
      </w:sdtContent>
    </w:sdt>
    <w:p w14:paraId="390551EA"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63705C41" w14:textId="306C42B4" w:rsidR="000E0B74" w:rsidRDefault="000E0B74" w:rsidP="000E0B74">
      <w:pPr>
        <w:spacing w:before="240"/>
      </w:pPr>
      <w:r w:rsidRPr="00661BF0">
        <w:lastRenderedPageBreak/>
        <w:t xml:space="preserve">© Commonwealth of Australia </w:t>
      </w:r>
      <w:r w:rsidRPr="008C6BF3">
        <w:t>20</w:t>
      </w:r>
      <w:r w:rsidR="00EF2FBF" w:rsidRPr="008C6BF3">
        <w:t>2</w:t>
      </w:r>
      <w:r w:rsidR="008C6BF3">
        <w:t>5</w:t>
      </w:r>
    </w:p>
    <w:p w14:paraId="6890246B"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8"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9" w:history="1">
        <w:r w:rsidR="00283EEA">
          <w:rPr>
            <w:rStyle w:val="Hyperlink"/>
            <w:rFonts w:cstheme="minorHAnsi"/>
            <w:szCs w:val="22"/>
          </w:rPr>
          <w:t>creativecommons.org/licenses/by/4.0/</w:t>
        </w:r>
        <w:proofErr w:type="spellStart"/>
        <w:r w:rsidR="00283EEA">
          <w:rPr>
            <w:rStyle w:val="Hyperlink"/>
            <w:rFonts w:cstheme="minorHAnsi"/>
            <w:szCs w:val="22"/>
          </w:rPr>
          <w:t>legalcode</w:t>
        </w:r>
        <w:proofErr w:type="spellEnd"/>
      </w:hyperlink>
      <w:r w:rsidRPr="00D65E0B">
        <w:rPr>
          <w:rFonts w:cstheme="minorHAnsi"/>
          <w:szCs w:val="22"/>
        </w:rPr>
        <w:t>.</w:t>
      </w:r>
    </w:p>
    <w:p w14:paraId="7CD211E8" w14:textId="77777777" w:rsidR="000E0B74" w:rsidRDefault="000E0B74" w:rsidP="000E0B74">
      <w:pPr>
        <w:pStyle w:val="ChartGraphic"/>
        <w:jc w:val="left"/>
      </w:pPr>
      <w:r w:rsidRPr="00E56DFB">
        <w:rPr>
          <w:noProof/>
          <w:lang w:eastAsia="zh-CN"/>
        </w:rPr>
        <w:drawing>
          <wp:inline distT="0" distB="0" distL="0" distR="0" wp14:anchorId="65FBB96D" wp14:editId="050584CF">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205E6D9" w14:textId="77777777" w:rsidR="000E0B74" w:rsidRPr="006627B4" w:rsidRDefault="000E0B74" w:rsidP="000E0B74">
      <w:pPr>
        <w:tabs>
          <w:tab w:val="left" w:pos="1650"/>
        </w:tabs>
        <w:spacing w:before="240"/>
      </w:pPr>
      <w:r w:rsidRPr="006627B4">
        <w:t xml:space="preserve">Use of Treasury material </w:t>
      </w:r>
      <w:r w:rsidR="00D65E0B" w:rsidRPr="006627B4">
        <w:t>under a</w:t>
      </w:r>
      <w:r w:rsidR="00D65E0B" w:rsidRPr="00476F09">
        <w:rPr>
          <w:rFonts w:cstheme="minorHAnsi"/>
          <w:sz w:val="24"/>
          <w:szCs w:val="24"/>
        </w:rPr>
        <w:t xml:space="preserve"> </w:t>
      </w:r>
      <w:hyperlink r:id="rId11"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5775C628" w14:textId="77777777" w:rsidR="000E0B74" w:rsidRPr="00283EEA" w:rsidRDefault="000E0B74" w:rsidP="0031276E">
      <w:pPr>
        <w:spacing w:before="240"/>
        <w:rPr>
          <w:rStyle w:val="Strong"/>
        </w:rPr>
      </w:pPr>
      <w:r w:rsidRPr="00283EEA">
        <w:rPr>
          <w:rStyle w:val="Strong"/>
        </w:rPr>
        <w:t>Treasury material used ‘as supplied’.</w:t>
      </w:r>
    </w:p>
    <w:p w14:paraId="5C3FD6A1"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1819C01F"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2EEC32BD" w14:textId="77777777" w:rsidR="000E0B74" w:rsidRPr="00283EEA" w:rsidRDefault="000E0B74" w:rsidP="000E0B74">
      <w:pPr>
        <w:spacing w:before="240"/>
        <w:rPr>
          <w:rStyle w:val="Strong"/>
        </w:rPr>
      </w:pPr>
      <w:r w:rsidRPr="00283EEA">
        <w:rPr>
          <w:rStyle w:val="Strong"/>
        </w:rPr>
        <w:t>Derivative material</w:t>
      </w:r>
    </w:p>
    <w:p w14:paraId="36634F75"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AEC0A55"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6C5515A6" w14:textId="77777777" w:rsidR="000E0B74" w:rsidRPr="00283EEA" w:rsidRDefault="000E0B74" w:rsidP="000E0B74">
      <w:pPr>
        <w:spacing w:before="240"/>
        <w:rPr>
          <w:rStyle w:val="Strong"/>
        </w:rPr>
      </w:pPr>
      <w:r w:rsidRPr="00283EEA">
        <w:rPr>
          <w:rStyle w:val="Strong"/>
        </w:rPr>
        <w:t>Use of the Coat of Arms</w:t>
      </w:r>
    </w:p>
    <w:p w14:paraId="172C790B"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283EEA">
          <w:rPr>
            <w:rStyle w:val="Hyperlink"/>
          </w:rPr>
          <w:t>www.pmc.gov.au/government/commonwealth-coat-arms</w:t>
        </w:r>
      </w:hyperlink>
      <w:r w:rsidRPr="004A7BC2">
        <w:t>).</w:t>
      </w:r>
    </w:p>
    <w:p w14:paraId="202C58AA" w14:textId="77777777" w:rsidR="000E0B74" w:rsidRPr="00283EEA" w:rsidRDefault="000E0B74" w:rsidP="000E0B74">
      <w:pPr>
        <w:spacing w:before="240"/>
        <w:rPr>
          <w:rStyle w:val="Strong"/>
        </w:rPr>
      </w:pPr>
      <w:r w:rsidRPr="00283EEA">
        <w:rPr>
          <w:rStyle w:val="Strong"/>
        </w:rPr>
        <w:t>Other uses</w:t>
      </w:r>
    </w:p>
    <w:p w14:paraId="6052380A" w14:textId="77777777" w:rsidR="000E0B74" w:rsidRPr="006627B4" w:rsidRDefault="000E0B74" w:rsidP="000E0B74">
      <w:r>
        <w:t>E</w:t>
      </w:r>
      <w:r w:rsidRPr="006627B4">
        <w:t>nquiries regarding this licence and any other use of this document are welcome at:</w:t>
      </w:r>
    </w:p>
    <w:p w14:paraId="4D3CC002"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2E9EE78B"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212578AB" w14:textId="77777777" w:rsidR="00746881" w:rsidRPr="00746881" w:rsidRDefault="00746881" w:rsidP="00746881"/>
    <w:p w14:paraId="3593024D" w14:textId="77777777" w:rsidR="000E0B74" w:rsidRDefault="000E0B74" w:rsidP="000E0B74">
      <w:pPr>
        <w:pStyle w:val="SingleParagraph"/>
        <w:sectPr w:rsidR="000E0B74" w:rsidSect="008043EA">
          <w:headerReference w:type="even" r:id="rId14"/>
          <w:headerReference w:type="default" r:id="rId15"/>
          <w:footerReference w:type="even" r:id="rId16"/>
          <w:headerReference w:type="first" r:id="rId17"/>
          <w:pgSz w:w="11906" w:h="16838" w:code="9"/>
          <w:pgMar w:top="1843" w:right="1418" w:bottom="1418" w:left="1418" w:header="709" w:footer="709" w:gutter="0"/>
          <w:pgNumType w:fmt="lowerRoman"/>
          <w:cols w:space="708"/>
          <w:titlePg/>
          <w:docGrid w:linePitch="360"/>
        </w:sectPr>
      </w:pPr>
    </w:p>
    <w:p w14:paraId="63CC1711" w14:textId="77777777" w:rsidR="000E0B74" w:rsidRPr="00354FBB" w:rsidRDefault="000E0B74" w:rsidP="00354FBB">
      <w:pPr>
        <w:pStyle w:val="Heading1"/>
      </w:pPr>
      <w:bookmarkStart w:id="0" w:name="_Toc202542327"/>
      <w:r w:rsidRPr="00354FBB">
        <w:lastRenderedPageBreak/>
        <w:t>Contents</w:t>
      </w:r>
      <w:bookmarkEnd w:id="0"/>
    </w:p>
    <w:p w14:paraId="3115B2AC" w14:textId="3600C6C4" w:rsidR="00C7031F" w:rsidRDefault="00257AEE">
      <w:pPr>
        <w:pStyle w:val="TOC1"/>
        <w:rPr>
          <w:rFonts w:asciiTheme="minorHAnsi" w:eastAsiaTheme="minorEastAsia" w:hAnsiTheme="minorHAnsi" w:cstheme="minorBidi"/>
          <w:b w:val="0"/>
          <w:color w:val="auto"/>
          <w:kern w:val="2"/>
          <w:sz w:val="24"/>
          <w:szCs w:val="24"/>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202542327" w:history="1">
        <w:r w:rsidR="00C7031F" w:rsidRPr="00F06ED6">
          <w:rPr>
            <w:rStyle w:val="Hyperlink"/>
          </w:rPr>
          <w:t>Contents</w:t>
        </w:r>
        <w:r w:rsidR="00C7031F">
          <w:rPr>
            <w:webHidden/>
          </w:rPr>
          <w:tab/>
        </w:r>
        <w:r w:rsidR="00C7031F">
          <w:rPr>
            <w:webHidden/>
          </w:rPr>
          <w:fldChar w:fldCharType="begin"/>
        </w:r>
        <w:r w:rsidR="00C7031F">
          <w:rPr>
            <w:webHidden/>
          </w:rPr>
          <w:instrText xml:space="preserve"> PAGEREF _Toc202542327 \h </w:instrText>
        </w:r>
        <w:r w:rsidR="00C7031F">
          <w:rPr>
            <w:webHidden/>
          </w:rPr>
        </w:r>
        <w:r w:rsidR="00C7031F">
          <w:rPr>
            <w:webHidden/>
          </w:rPr>
          <w:fldChar w:fldCharType="separate"/>
        </w:r>
        <w:r w:rsidR="00B87979">
          <w:rPr>
            <w:webHidden/>
          </w:rPr>
          <w:t>ii</w:t>
        </w:r>
        <w:r w:rsidR="00C7031F">
          <w:rPr>
            <w:webHidden/>
          </w:rPr>
          <w:fldChar w:fldCharType="end"/>
        </w:r>
      </w:hyperlink>
    </w:p>
    <w:p w14:paraId="28743BA4" w14:textId="684AF531" w:rsidR="00C7031F" w:rsidRDefault="00C7031F">
      <w:pPr>
        <w:pStyle w:val="TOC1"/>
        <w:rPr>
          <w:rFonts w:asciiTheme="minorHAnsi" w:eastAsiaTheme="minorEastAsia" w:hAnsiTheme="minorHAnsi" w:cstheme="minorBidi"/>
          <w:b w:val="0"/>
          <w:color w:val="auto"/>
          <w:kern w:val="2"/>
          <w:sz w:val="24"/>
          <w:szCs w:val="24"/>
          <w14:ligatures w14:val="standardContextual"/>
        </w:rPr>
      </w:pPr>
      <w:hyperlink w:anchor="_Toc202542328" w:history="1">
        <w:r w:rsidRPr="00F06ED6">
          <w:rPr>
            <w:rStyle w:val="Hyperlink"/>
          </w:rPr>
          <w:t>Consultation process</w:t>
        </w:r>
        <w:r>
          <w:rPr>
            <w:webHidden/>
          </w:rPr>
          <w:tab/>
        </w:r>
        <w:r>
          <w:rPr>
            <w:webHidden/>
          </w:rPr>
          <w:fldChar w:fldCharType="begin"/>
        </w:r>
        <w:r>
          <w:rPr>
            <w:webHidden/>
          </w:rPr>
          <w:instrText xml:space="preserve"> PAGEREF _Toc202542328 \h </w:instrText>
        </w:r>
        <w:r>
          <w:rPr>
            <w:webHidden/>
          </w:rPr>
        </w:r>
        <w:r>
          <w:rPr>
            <w:webHidden/>
          </w:rPr>
          <w:fldChar w:fldCharType="separate"/>
        </w:r>
        <w:r w:rsidR="00B87979">
          <w:rPr>
            <w:webHidden/>
          </w:rPr>
          <w:t>1</w:t>
        </w:r>
        <w:r>
          <w:rPr>
            <w:webHidden/>
          </w:rPr>
          <w:fldChar w:fldCharType="end"/>
        </w:r>
      </w:hyperlink>
    </w:p>
    <w:p w14:paraId="0E20BD2D" w14:textId="7B1F8E53" w:rsidR="00C7031F" w:rsidRDefault="00C7031F">
      <w:pPr>
        <w:pStyle w:val="TOC2"/>
        <w:rPr>
          <w:rFonts w:asciiTheme="minorHAnsi" w:eastAsiaTheme="minorEastAsia" w:hAnsiTheme="minorHAnsi" w:cstheme="minorBidi"/>
          <w:color w:val="auto"/>
          <w:kern w:val="2"/>
          <w:sz w:val="24"/>
          <w:szCs w:val="24"/>
          <w14:ligatures w14:val="standardContextual"/>
        </w:rPr>
      </w:pPr>
      <w:hyperlink w:anchor="_Toc202542329" w:history="1">
        <w:r w:rsidRPr="00F06ED6">
          <w:rPr>
            <w:rStyle w:val="Hyperlink"/>
          </w:rPr>
          <w:t>Request for feedback and comments</w:t>
        </w:r>
        <w:r>
          <w:rPr>
            <w:webHidden/>
          </w:rPr>
          <w:tab/>
        </w:r>
        <w:r>
          <w:rPr>
            <w:webHidden/>
          </w:rPr>
          <w:fldChar w:fldCharType="begin"/>
        </w:r>
        <w:r>
          <w:rPr>
            <w:webHidden/>
          </w:rPr>
          <w:instrText xml:space="preserve"> PAGEREF _Toc202542329 \h </w:instrText>
        </w:r>
        <w:r>
          <w:rPr>
            <w:webHidden/>
          </w:rPr>
        </w:r>
        <w:r>
          <w:rPr>
            <w:webHidden/>
          </w:rPr>
          <w:fldChar w:fldCharType="separate"/>
        </w:r>
        <w:r w:rsidR="00B87979">
          <w:rPr>
            <w:webHidden/>
          </w:rPr>
          <w:t>1</w:t>
        </w:r>
        <w:r>
          <w:rPr>
            <w:webHidden/>
          </w:rPr>
          <w:fldChar w:fldCharType="end"/>
        </w:r>
      </w:hyperlink>
    </w:p>
    <w:p w14:paraId="19061C79" w14:textId="23F09EAB" w:rsidR="00C7031F" w:rsidRDefault="00C7031F">
      <w:pPr>
        <w:pStyle w:val="TOC1"/>
        <w:rPr>
          <w:rFonts w:asciiTheme="minorHAnsi" w:eastAsiaTheme="minorEastAsia" w:hAnsiTheme="minorHAnsi" w:cstheme="minorBidi"/>
          <w:b w:val="0"/>
          <w:color w:val="auto"/>
          <w:kern w:val="2"/>
          <w:sz w:val="24"/>
          <w:szCs w:val="24"/>
          <w14:ligatures w14:val="standardContextual"/>
        </w:rPr>
      </w:pPr>
      <w:hyperlink w:anchor="_Toc202542330" w:history="1">
        <w:r w:rsidRPr="00F06ED6">
          <w:rPr>
            <w:rStyle w:val="Hyperlink"/>
          </w:rPr>
          <w:t>Compensation Scheme of Last Resort: exceeding sub</w:t>
        </w:r>
        <w:r w:rsidRPr="00F06ED6">
          <w:rPr>
            <w:rStyle w:val="Hyperlink"/>
          </w:rPr>
          <w:noBreakHyphen/>
          <w:t>sector levy caps</w:t>
        </w:r>
        <w:r>
          <w:rPr>
            <w:webHidden/>
          </w:rPr>
          <w:tab/>
        </w:r>
        <w:r>
          <w:rPr>
            <w:webHidden/>
          </w:rPr>
          <w:fldChar w:fldCharType="begin"/>
        </w:r>
        <w:r>
          <w:rPr>
            <w:webHidden/>
          </w:rPr>
          <w:instrText xml:space="preserve"> PAGEREF _Toc202542330 \h </w:instrText>
        </w:r>
        <w:r>
          <w:rPr>
            <w:webHidden/>
          </w:rPr>
        </w:r>
        <w:r>
          <w:rPr>
            <w:webHidden/>
          </w:rPr>
          <w:fldChar w:fldCharType="separate"/>
        </w:r>
        <w:r w:rsidR="00B87979">
          <w:rPr>
            <w:webHidden/>
          </w:rPr>
          <w:t>2</w:t>
        </w:r>
        <w:r>
          <w:rPr>
            <w:webHidden/>
          </w:rPr>
          <w:fldChar w:fldCharType="end"/>
        </w:r>
      </w:hyperlink>
    </w:p>
    <w:p w14:paraId="1A7F1F7B" w14:textId="6B29E3C1" w:rsidR="00C7031F" w:rsidRDefault="00C7031F">
      <w:pPr>
        <w:pStyle w:val="TOC2"/>
        <w:rPr>
          <w:rFonts w:asciiTheme="minorHAnsi" w:eastAsiaTheme="minorEastAsia" w:hAnsiTheme="minorHAnsi" w:cstheme="minorBidi"/>
          <w:color w:val="auto"/>
          <w:kern w:val="2"/>
          <w:sz w:val="24"/>
          <w:szCs w:val="24"/>
          <w14:ligatures w14:val="standardContextual"/>
        </w:rPr>
      </w:pPr>
      <w:hyperlink w:anchor="_Toc202542331" w:history="1">
        <w:r w:rsidRPr="00F06ED6">
          <w:rPr>
            <w:rStyle w:val="Hyperlink"/>
          </w:rPr>
          <w:t>Background</w:t>
        </w:r>
        <w:r>
          <w:rPr>
            <w:webHidden/>
          </w:rPr>
          <w:tab/>
        </w:r>
        <w:r>
          <w:rPr>
            <w:webHidden/>
          </w:rPr>
          <w:fldChar w:fldCharType="begin"/>
        </w:r>
        <w:r>
          <w:rPr>
            <w:webHidden/>
          </w:rPr>
          <w:instrText xml:space="preserve"> PAGEREF _Toc202542331 \h </w:instrText>
        </w:r>
        <w:r>
          <w:rPr>
            <w:webHidden/>
          </w:rPr>
        </w:r>
        <w:r>
          <w:rPr>
            <w:webHidden/>
          </w:rPr>
          <w:fldChar w:fldCharType="separate"/>
        </w:r>
        <w:r w:rsidR="00B87979">
          <w:rPr>
            <w:webHidden/>
          </w:rPr>
          <w:t>2</w:t>
        </w:r>
        <w:r>
          <w:rPr>
            <w:webHidden/>
          </w:rPr>
          <w:fldChar w:fldCharType="end"/>
        </w:r>
      </w:hyperlink>
    </w:p>
    <w:p w14:paraId="19E77D24" w14:textId="1E23DFA1" w:rsidR="00C7031F" w:rsidRDefault="00C7031F">
      <w:pPr>
        <w:pStyle w:val="TOC2"/>
        <w:rPr>
          <w:rFonts w:asciiTheme="minorHAnsi" w:eastAsiaTheme="minorEastAsia" w:hAnsiTheme="minorHAnsi" w:cstheme="minorBidi"/>
          <w:color w:val="auto"/>
          <w:kern w:val="2"/>
          <w:sz w:val="24"/>
          <w:szCs w:val="24"/>
          <w14:ligatures w14:val="standardContextual"/>
        </w:rPr>
      </w:pPr>
      <w:hyperlink w:anchor="_Toc202542332" w:history="1">
        <w:r w:rsidRPr="00F06ED6">
          <w:rPr>
            <w:rStyle w:val="Hyperlink"/>
          </w:rPr>
          <w:t>Legislative framework</w:t>
        </w:r>
        <w:r>
          <w:rPr>
            <w:webHidden/>
          </w:rPr>
          <w:tab/>
        </w:r>
        <w:r>
          <w:rPr>
            <w:webHidden/>
          </w:rPr>
          <w:fldChar w:fldCharType="begin"/>
        </w:r>
        <w:r>
          <w:rPr>
            <w:webHidden/>
          </w:rPr>
          <w:instrText xml:space="preserve"> PAGEREF _Toc202542332 \h </w:instrText>
        </w:r>
        <w:r>
          <w:rPr>
            <w:webHidden/>
          </w:rPr>
        </w:r>
        <w:r>
          <w:rPr>
            <w:webHidden/>
          </w:rPr>
          <w:fldChar w:fldCharType="separate"/>
        </w:r>
        <w:r w:rsidR="00B87979">
          <w:rPr>
            <w:webHidden/>
          </w:rPr>
          <w:t>3</w:t>
        </w:r>
        <w:r>
          <w:rPr>
            <w:webHidden/>
          </w:rPr>
          <w:fldChar w:fldCharType="end"/>
        </w:r>
      </w:hyperlink>
    </w:p>
    <w:p w14:paraId="60B87E2E" w14:textId="76E52590" w:rsidR="00C7031F" w:rsidRDefault="00C7031F">
      <w:pPr>
        <w:pStyle w:val="TOC2"/>
        <w:rPr>
          <w:rFonts w:asciiTheme="minorHAnsi" w:eastAsiaTheme="minorEastAsia" w:hAnsiTheme="minorHAnsi" w:cstheme="minorBidi"/>
          <w:color w:val="auto"/>
          <w:kern w:val="2"/>
          <w:sz w:val="24"/>
          <w:szCs w:val="24"/>
          <w14:ligatures w14:val="standardContextual"/>
        </w:rPr>
      </w:pPr>
      <w:hyperlink w:anchor="_Toc202542333" w:history="1">
        <w:r w:rsidRPr="00F06ED6">
          <w:rPr>
            <w:rStyle w:val="Hyperlink"/>
          </w:rPr>
          <w:t>High-level options under section 1069H</w:t>
        </w:r>
        <w:r>
          <w:rPr>
            <w:webHidden/>
          </w:rPr>
          <w:tab/>
        </w:r>
        <w:r>
          <w:rPr>
            <w:webHidden/>
          </w:rPr>
          <w:fldChar w:fldCharType="begin"/>
        </w:r>
        <w:r>
          <w:rPr>
            <w:webHidden/>
          </w:rPr>
          <w:instrText xml:space="preserve"> PAGEREF _Toc202542333 \h </w:instrText>
        </w:r>
        <w:r>
          <w:rPr>
            <w:webHidden/>
          </w:rPr>
        </w:r>
        <w:r>
          <w:rPr>
            <w:webHidden/>
          </w:rPr>
          <w:fldChar w:fldCharType="separate"/>
        </w:r>
        <w:r w:rsidR="00B87979">
          <w:rPr>
            <w:webHidden/>
          </w:rPr>
          <w:t>5</w:t>
        </w:r>
        <w:r>
          <w:rPr>
            <w:webHidden/>
          </w:rPr>
          <w:fldChar w:fldCharType="end"/>
        </w:r>
      </w:hyperlink>
    </w:p>
    <w:p w14:paraId="20CD9C14" w14:textId="36FAEC1F" w:rsidR="00C7031F" w:rsidRDefault="00C7031F">
      <w:pPr>
        <w:pStyle w:val="TOC3"/>
        <w:rPr>
          <w:rFonts w:asciiTheme="minorHAnsi" w:eastAsiaTheme="minorEastAsia" w:hAnsiTheme="minorHAnsi" w:cstheme="minorBidi"/>
          <w:kern w:val="2"/>
          <w:sz w:val="24"/>
          <w:szCs w:val="24"/>
          <w14:ligatures w14:val="standardContextual"/>
        </w:rPr>
      </w:pPr>
      <w:hyperlink w:anchor="_Toc202542334" w:history="1">
        <w:r w:rsidRPr="00F06ED6">
          <w:rPr>
            <w:rStyle w:val="Hyperlink"/>
          </w:rPr>
          <w:t>Principles for dealing with an estimated excess</w:t>
        </w:r>
        <w:r>
          <w:rPr>
            <w:webHidden/>
          </w:rPr>
          <w:tab/>
        </w:r>
        <w:r>
          <w:rPr>
            <w:webHidden/>
          </w:rPr>
          <w:fldChar w:fldCharType="begin"/>
        </w:r>
        <w:r>
          <w:rPr>
            <w:webHidden/>
          </w:rPr>
          <w:instrText xml:space="preserve"> PAGEREF _Toc202542334 \h </w:instrText>
        </w:r>
        <w:r>
          <w:rPr>
            <w:webHidden/>
          </w:rPr>
        </w:r>
        <w:r>
          <w:rPr>
            <w:webHidden/>
          </w:rPr>
          <w:fldChar w:fldCharType="separate"/>
        </w:r>
        <w:r w:rsidR="00B87979">
          <w:rPr>
            <w:webHidden/>
          </w:rPr>
          <w:t>5</w:t>
        </w:r>
        <w:r>
          <w:rPr>
            <w:webHidden/>
          </w:rPr>
          <w:fldChar w:fldCharType="end"/>
        </w:r>
      </w:hyperlink>
    </w:p>
    <w:p w14:paraId="0AE97E4A" w14:textId="076E52AA" w:rsidR="00C7031F" w:rsidRDefault="00C7031F">
      <w:pPr>
        <w:pStyle w:val="TOC3"/>
        <w:rPr>
          <w:rFonts w:asciiTheme="minorHAnsi" w:eastAsiaTheme="minorEastAsia" w:hAnsiTheme="minorHAnsi" w:cstheme="minorBidi"/>
          <w:kern w:val="2"/>
          <w:sz w:val="24"/>
          <w:szCs w:val="24"/>
          <w14:ligatures w14:val="standardContextual"/>
        </w:rPr>
      </w:pPr>
      <w:hyperlink w:anchor="_Toc202542335" w:history="1">
        <w:r w:rsidRPr="00F06ED6">
          <w:rPr>
            <w:rStyle w:val="Hyperlink"/>
          </w:rPr>
          <w:t>Taking no action</w:t>
        </w:r>
        <w:r>
          <w:rPr>
            <w:webHidden/>
          </w:rPr>
          <w:tab/>
        </w:r>
        <w:r>
          <w:rPr>
            <w:webHidden/>
          </w:rPr>
          <w:fldChar w:fldCharType="begin"/>
        </w:r>
        <w:r>
          <w:rPr>
            <w:webHidden/>
          </w:rPr>
          <w:instrText xml:space="preserve"> PAGEREF _Toc202542335 \h </w:instrText>
        </w:r>
        <w:r>
          <w:rPr>
            <w:webHidden/>
          </w:rPr>
        </w:r>
        <w:r>
          <w:rPr>
            <w:webHidden/>
          </w:rPr>
          <w:fldChar w:fldCharType="separate"/>
        </w:r>
        <w:r w:rsidR="00B87979">
          <w:rPr>
            <w:webHidden/>
          </w:rPr>
          <w:t>6</w:t>
        </w:r>
        <w:r>
          <w:rPr>
            <w:webHidden/>
          </w:rPr>
          <w:fldChar w:fldCharType="end"/>
        </w:r>
      </w:hyperlink>
    </w:p>
    <w:p w14:paraId="3A9E9A40" w14:textId="1B234F71" w:rsidR="00C7031F" w:rsidRDefault="00C7031F">
      <w:pPr>
        <w:pStyle w:val="TOC3"/>
        <w:rPr>
          <w:rFonts w:asciiTheme="minorHAnsi" w:eastAsiaTheme="minorEastAsia" w:hAnsiTheme="minorHAnsi" w:cstheme="minorBidi"/>
          <w:kern w:val="2"/>
          <w:sz w:val="24"/>
          <w:szCs w:val="24"/>
          <w14:ligatures w14:val="standardContextual"/>
        </w:rPr>
      </w:pPr>
      <w:hyperlink w:anchor="_Toc202542336" w:history="1">
        <w:r w:rsidRPr="00F06ED6">
          <w:rPr>
            <w:rStyle w:val="Hyperlink"/>
          </w:rPr>
          <w:t>Subsection 1069H(3) – spreading compensation over time</w:t>
        </w:r>
        <w:r>
          <w:rPr>
            <w:webHidden/>
          </w:rPr>
          <w:tab/>
        </w:r>
        <w:r>
          <w:rPr>
            <w:webHidden/>
          </w:rPr>
          <w:fldChar w:fldCharType="begin"/>
        </w:r>
        <w:r>
          <w:rPr>
            <w:webHidden/>
          </w:rPr>
          <w:instrText xml:space="preserve"> PAGEREF _Toc202542336 \h </w:instrText>
        </w:r>
        <w:r>
          <w:rPr>
            <w:webHidden/>
          </w:rPr>
        </w:r>
        <w:r>
          <w:rPr>
            <w:webHidden/>
          </w:rPr>
          <w:fldChar w:fldCharType="separate"/>
        </w:r>
        <w:r w:rsidR="00B87979">
          <w:rPr>
            <w:webHidden/>
          </w:rPr>
          <w:t>6</w:t>
        </w:r>
        <w:r>
          <w:rPr>
            <w:webHidden/>
          </w:rPr>
          <w:fldChar w:fldCharType="end"/>
        </w:r>
      </w:hyperlink>
    </w:p>
    <w:p w14:paraId="71905A05" w14:textId="2F136A27" w:rsidR="00C7031F" w:rsidRDefault="00C7031F">
      <w:pPr>
        <w:pStyle w:val="TOC3"/>
        <w:rPr>
          <w:rFonts w:asciiTheme="minorHAnsi" w:eastAsiaTheme="minorEastAsia" w:hAnsiTheme="minorHAnsi" w:cstheme="minorBidi"/>
          <w:kern w:val="2"/>
          <w:sz w:val="24"/>
          <w:szCs w:val="24"/>
          <w14:ligatures w14:val="standardContextual"/>
        </w:rPr>
      </w:pPr>
      <w:hyperlink w:anchor="_Toc202542337" w:history="1">
        <w:r w:rsidRPr="00F06ED6">
          <w:rPr>
            <w:rStyle w:val="Hyperlink"/>
          </w:rPr>
          <w:t>Subsection 1069H(4) – special levy for just the primary sub</w:t>
        </w:r>
        <w:r w:rsidRPr="00F06ED6">
          <w:rPr>
            <w:rStyle w:val="Hyperlink"/>
          </w:rPr>
          <w:noBreakHyphen/>
          <w:t>sector</w:t>
        </w:r>
        <w:r>
          <w:rPr>
            <w:webHidden/>
          </w:rPr>
          <w:tab/>
        </w:r>
        <w:r>
          <w:rPr>
            <w:webHidden/>
          </w:rPr>
          <w:fldChar w:fldCharType="begin"/>
        </w:r>
        <w:r>
          <w:rPr>
            <w:webHidden/>
          </w:rPr>
          <w:instrText xml:space="preserve"> PAGEREF _Toc202542337 \h </w:instrText>
        </w:r>
        <w:r>
          <w:rPr>
            <w:webHidden/>
          </w:rPr>
        </w:r>
        <w:r>
          <w:rPr>
            <w:webHidden/>
          </w:rPr>
          <w:fldChar w:fldCharType="separate"/>
        </w:r>
        <w:r w:rsidR="00B87979">
          <w:rPr>
            <w:webHidden/>
          </w:rPr>
          <w:t>7</w:t>
        </w:r>
        <w:r>
          <w:rPr>
            <w:webHidden/>
          </w:rPr>
          <w:fldChar w:fldCharType="end"/>
        </w:r>
      </w:hyperlink>
    </w:p>
    <w:p w14:paraId="49DA6AAD" w14:textId="15968700" w:rsidR="00C7031F" w:rsidRDefault="00C7031F">
      <w:pPr>
        <w:pStyle w:val="TOC3"/>
        <w:rPr>
          <w:rFonts w:asciiTheme="minorHAnsi" w:eastAsiaTheme="minorEastAsia" w:hAnsiTheme="minorHAnsi" w:cstheme="minorBidi"/>
          <w:kern w:val="2"/>
          <w:sz w:val="24"/>
          <w:szCs w:val="24"/>
          <w14:ligatures w14:val="standardContextual"/>
        </w:rPr>
      </w:pPr>
      <w:hyperlink w:anchor="_Toc202542338" w:history="1">
        <w:r w:rsidRPr="00F06ED6">
          <w:rPr>
            <w:rStyle w:val="Hyperlink"/>
          </w:rPr>
          <w:t>Subsection 1069H(5) – special levy for several sub</w:t>
        </w:r>
        <w:r w:rsidRPr="00F06ED6">
          <w:rPr>
            <w:rStyle w:val="Hyperlink"/>
          </w:rPr>
          <w:noBreakHyphen/>
          <w:t>sectors</w:t>
        </w:r>
        <w:r>
          <w:rPr>
            <w:webHidden/>
          </w:rPr>
          <w:tab/>
        </w:r>
        <w:r>
          <w:rPr>
            <w:webHidden/>
          </w:rPr>
          <w:fldChar w:fldCharType="begin"/>
        </w:r>
        <w:r>
          <w:rPr>
            <w:webHidden/>
          </w:rPr>
          <w:instrText xml:space="preserve"> PAGEREF _Toc202542338 \h </w:instrText>
        </w:r>
        <w:r>
          <w:rPr>
            <w:webHidden/>
          </w:rPr>
        </w:r>
        <w:r>
          <w:rPr>
            <w:webHidden/>
          </w:rPr>
          <w:fldChar w:fldCharType="separate"/>
        </w:r>
        <w:r w:rsidR="00B87979">
          <w:rPr>
            <w:webHidden/>
          </w:rPr>
          <w:t>8</w:t>
        </w:r>
        <w:r>
          <w:rPr>
            <w:webHidden/>
          </w:rPr>
          <w:fldChar w:fldCharType="end"/>
        </w:r>
      </w:hyperlink>
    </w:p>
    <w:p w14:paraId="5B3B483C" w14:textId="21652642" w:rsidR="00C7031F" w:rsidRDefault="00C7031F">
      <w:pPr>
        <w:pStyle w:val="TOC2"/>
        <w:rPr>
          <w:rFonts w:asciiTheme="minorHAnsi" w:eastAsiaTheme="minorEastAsia" w:hAnsiTheme="minorHAnsi" w:cstheme="minorBidi"/>
          <w:color w:val="auto"/>
          <w:kern w:val="2"/>
          <w:sz w:val="24"/>
          <w:szCs w:val="24"/>
          <w14:ligatures w14:val="standardContextual"/>
        </w:rPr>
      </w:pPr>
      <w:hyperlink w:anchor="_Toc202542339" w:history="1">
        <w:r w:rsidRPr="00F06ED6">
          <w:rPr>
            <w:rStyle w:val="Hyperlink"/>
          </w:rPr>
          <w:t>Options for a special levy not just on the primary sub</w:t>
        </w:r>
        <w:r w:rsidRPr="00F06ED6">
          <w:rPr>
            <w:rStyle w:val="Hyperlink"/>
          </w:rPr>
          <w:noBreakHyphen/>
          <w:t>sector</w:t>
        </w:r>
        <w:r>
          <w:rPr>
            <w:webHidden/>
          </w:rPr>
          <w:tab/>
        </w:r>
        <w:r>
          <w:rPr>
            <w:webHidden/>
          </w:rPr>
          <w:fldChar w:fldCharType="begin"/>
        </w:r>
        <w:r>
          <w:rPr>
            <w:webHidden/>
          </w:rPr>
          <w:instrText xml:space="preserve"> PAGEREF _Toc202542339 \h </w:instrText>
        </w:r>
        <w:r>
          <w:rPr>
            <w:webHidden/>
          </w:rPr>
        </w:r>
        <w:r>
          <w:rPr>
            <w:webHidden/>
          </w:rPr>
          <w:fldChar w:fldCharType="separate"/>
        </w:r>
        <w:r w:rsidR="00B87979">
          <w:rPr>
            <w:webHidden/>
          </w:rPr>
          <w:t>9</w:t>
        </w:r>
        <w:r>
          <w:rPr>
            <w:webHidden/>
          </w:rPr>
          <w:fldChar w:fldCharType="end"/>
        </w:r>
      </w:hyperlink>
    </w:p>
    <w:p w14:paraId="0C4F1A64" w14:textId="0FB99C56" w:rsidR="00C7031F" w:rsidRDefault="00C7031F">
      <w:pPr>
        <w:pStyle w:val="TOC3"/>
        <w:rPr>
          <w:rFonts w:asciiTheme="minorHAnsi" w:eastAsiaTheme="minorEastAsia" w:hAnsiTheme="minorHAnsi" w:cstheme="minorBidi"/>
          <w:kern w:val="2"/>
          <w:sz w:val="24"/>
          <w:szCs w:val="24"/>
          <w14:ligatures w14:val="standardContextual"/>
        </w:rPr>
      </w:pPr>
      <w:hyperlink w:anchor="_Toc202542340" w:history="1">
        <w:r w:rsidRPr="00F06ED6">
          <w:rPr>
            <w:rStyle w:val="Hyperlink"/>
          </w:rPr>
          <w:t>Capturing a sub</w:t>
        </w:r>
        <w:r w:rsidRPr="00F06ED6">
          <w:rPr>
            <w:rStyle w:val="Hyperlink"/>
          </w:rPr>
          <w:noBreakHyphen/>
          <w:t>sector connected to the underlying conduct</w:t>
        </w:r>
        <w:r>
          <w:rPr>
            <w:webHidden/>
          </w:rPr>
          <w:tab/>
        </w:r>
        <w:r>
          <w:rPr>
            <w:webHidden/>
          </w:rPr>
          <w:fldChar w:fldCharType="begin"/>
        </w:r>
        <w:r>
          <w:rPr>
            <w:webHidden/>
          </w:rPr>
          <w:instrText xml:space="preserve"> PAGEREF _Toc202542340 \h </w:instrText>
        </w:r>
        <w:r>
          <w:rPr>
            <w:webHidden/>
          </w:rPr>
        </w:r>
        <w:r>
          <w:rPr>
            <w:webHidden/>
          </w:rPr>
          <w:fldChar w:fldCharType="separate"/>
        </w:r>
        <w:r w:rsidR="00B87979">
          <w:rPr>
            <w:webHidden/>
          </w:rPr>
          <w:t>10</w:t>
        </w:r>
        <w:r>
          <w:rPr>
            <w:webHidden/>
          </w:rPr>
          <w:fldChar w:fldCharType="end"/>
        </w:r>
      </w:hyperlink>
    </w:p>
    <w:p w14:paraId="51B413B7" w14:textId="06B8E656" w:rsidR="00C7031F" w:rsidRDefault="00C7031F">
      <w:pPr>
        <w:pStyle w:val="TOC3"/>
        <w:rPr>
          <w:rFonts w:asciiTheme="minorHAnsi" w:eastAsiaTheme="minorEastAsia" w:hAnsiTheme="minorHAnsi" w:cstheme="minorBidi"/>
          <w:kern w:val="2"/>
          <w:sz w:val="24"/>
          <w:szCs w:val="24"/>
          <w14:ligatures w14:val="standardContextual"/>
        </w:rPr>
      </w:pPr>
      <w:hyperlink w:anchor="_Toc202542341" w:history="1">
        <w:r w:rsidRPr="00F06ED6">
          <w:rPr>
            <w:rStyle w:val="Hyperlink"/>
          </w:rPr>
          <w:t>Capturing ‘large’ entities</w:t>
        </w:r>
        <w:r>
          <w:rPr>
            <w:webHidden/>
          </w:rPr>
          <w:tab/>
        </w:r>
        <w:r>
          <w:rPr>
            <w:webHidden/>
          </w:rPr>
          <w:fldChar w:fldCharType="begin"/>
        </w:r>
        <w:r>
          <w:rPr>
            <w:webHidden/>
          </w:rPr>
          <w:instrText xml:space="preserve"> PAGEREF _Toc202542341 \h </w:instrText>
        </w:r>
        <w:r>
          <w:rPr>
            <w:webHidden/>
          </w:rPr>
        </w:r>
        <w:r>
          <w:rPr>
            <w:webHidden/>
          </w:rPr>
          <w:fldChar w:fldCharType="separate"/>
        </w:r>
        <w:r w:rsidR="00B87979">
          <w:rPr>
            <w:webHidden/>
          </w:rPr>
          <w:t>10</w:t>
        </w:r>
        <w:r>
          <w:rPr>
            <w:webHidden/>
          </w:rPr>
          <w:fldChar w:fldCharType="end"/>
        </w:r>
      </w:hyperlink>
    </w:p>
    <w:p w14:paraId="046545D3" w14:textId="221FDF1D" w:rsidR="00C7031F" w:rsidRDefault="00C7031F">
      <w:pPr>
        <w:pStyle w:val="TOC3"/>
        <w:rPr>
          <w:rFonts w:asciiTheme="minorHAnsi" w:eastAsiaTheme="minorEastAsia" w:hAnsiTheme="minorHAnsi" w:cstheme="minorBidi"/>
          <w:kern w:val="2"/>
          <w:sz w:val="24"/>
          <w:szCs w:val="24"/>
          <w14:ligatures w14:val="standardContextual"/>
        </w:rPr>
      </w:pPr>
      <w:hyperlink w:anchor="_Toc202542342" w:history="1">
        <w:r w:rsidRPr="00F06ED6">
          <w:rPr>
            <w:rStyle w:val="Hyperlink"/>
          </w:rPr>
          <w:t>Spreading the costs across ‘retail-facing’ sub</w:t>
        </w:r>
        <w:r w:rsidRPr="00F06ED6">
          <w:rPr>
            <w:rStyle w:val="Hyperlink"/>
          </w:rPr>
          <w:noBreakHyphen/>
          <w:t>sectors</w:t>
        </w:r>
        <w:r>
          <w:rPr>
            <w:webHidden/>
          </w:rPr>
          <w:tab/>
        </w:r>
        <w:r>
          <w:rPr>
            <w:webHidden/>
          </w:rPr>
          <w:fldChar w:fldCharType="begin"/>
        </w:r>
        <w:r>
          <w:rPr>
            <w:webHidden/>
          </w:rPr>
          <w:instrText xml:space="preserve"> PAGEREF _Toc202542342 \h </w:instrText>
        </w:r>
        <w:r>
          <w:rPr>
            <w:webHidden/>
          </w:rPr>
        </w:r>
        <w:r>
          <w:rPr>
            <w:webHidden/>
          </w:rPr>
          <w:fldChar w:fldCharType="separate"/>
        </w:r>
        <w:r w:rsidR="00B87979">
          <w:rPr>
            <w:webHidden/>
          </w:rPr>
          <w:t>11</w:t>
        </w:r>
        <w:r>
          <w:rPr>
            <w:webHidden/>
          </w:rPr>
          <w:fldChar w:fldCharType="end"/>
        </w:r>
      </w:hyperlink>
    </w:p>
    <w:p w14:paraId="3C346A2C" w14:textId="2E6198BA" w:rsidR="00C7031F" w:rsidRDefault="00C7031F">
      <w:pPr>
        <w:pStyle w:val="TOC3"/>
        <w:rPr>
          <w:rFonts w:asciiTheme="minorHAnsi" w:eastAsiaTheme="minorEastAsia" w:hAnsiTheme="minorHAnsi" w:cstheme="minorBidi"/>
          <w:kern w:val="2"/>
          <w:sz w:val="24"/>
          <w:szCs w:val="24"/>
          <w14:ligatures w14:val="standardContextual"/>
        </w:rPr>
      </w:pPr>
      <w:hyperlink w:anchor="_Toc202542343" w:history="1">
        <w:r w:rsidRPr="00F06ED6">
          <w:rPr>
            <w:rStyle w:val="Hyperlink"/>
          </w:rPr>
          <w:t>Options outside the current legislative framework</w:t>
        </w:r>
        <w:r>
          <w:rPr>
            <w:webHidden/>
          </w:rPr>
          <w:tab/>
        </w:r>
        <w:r>
          <w:rPr>
            <w:webHidden/>
          </w:rPr>
          <w:fldChar w:fldCharType="begin"/>
        </w:r>
        <w:r>
          <w:rPr>
            <w:webHidden/>
          </w:rPr>
          <w:instrText xml:space="preserve"> PAGEREF _Toc202542343 \h </w:instrText>
        </w:r>
        <w:r>
          <w:rPr>
            <w:webHidden/>
          </w:rPr>
        </w:r>
        <w:r>
          <w:rPr>
            <w:webHidden/>
          </w:rPr>
          <w:fldChar w:fldCharType="separate"/>
        </w:r>
        <w:r w:rsidR="00B87979">
          <w:rPr>
            <w:webHidden/>
          </w:rPr>
          <w:t>14</w:t>
        </w:r>
        <w:r>
          <w:rPr>
            <w:webHidden/>
          </w:rPr>
          <w:fldChar w:fldCharType="end"/>
        </w:r>
      </w:hyperlink>
    </w:p>
    <w:p w14:paraId="41D9EE81" w14:textId="5FA70F52" w:rsidR="00C7031F" w:rsidRDefault="00C7031F">
      <w:pPr>
        <w:pStyle w:val="TOC2"/>
        <w:rPr>
          <w:rFonts w:asciiTheme="minorHAnsi" w:eastAsiaTheme="minorEastAsia" w:hAnsiTheme="minorHAnsi" w:cstheme="minorBidi"/>
          <w:color w:val="auto"/>
          <w:kern w:val="2"/>
          <w:sz w:val="24"/>
          <w:szCs w:val="24"/>
          <w14:ligatures w14:val="standardContextual"/>
        </w:rPr>
      </w:pPr>
      <w:hyperlink w:anchor="_Toc202542344" w:history="1">
        <w:r w:rsidRPr="00F06ED6">
          <w:rPr>
            <w:rStyle w:val="Hyperlink"/>
          </w:rPr>
          <w:t>Next steps</w:t>
        </w:r>
        <w:r>
          <w:rPr>
            <w:webHidden/>
          </w:rPr>
          <w:tab/>
        </w:r>
        <w:r>
          <w:rPr>
            <w:webHidden/>
          </w:rPr>
          <w:fldChar w:fldCharType="begin"/>
        </w:r>
        <w:r>
          <w:rPr>
            <w:webHidden/>
          </w:rPr>
          <w:instrText xml:space="preserve"> PAGEREF _Toc202542344 \h </w:instrText>
        </w:r>
        <w:r>
          <w:rPr>
            <w:webHidden/>
          </w:rPr>
        </w:r>
        <w:r>
          <w:rPr>
            <w:webHidden/>
          </w:rPr>
          <w:fldChar w:fldCharType="separate"/>
        </w:r>
        <w:r w:rsidR="00B87979">
          <w:rPr>
            <w:webHidden/>
          </w:rPr>
          <w:t>15</w:t>
        </w:r>
        <w:r>
          <w:rPr>
            <w:webHidden/>
          </w:rPr>
          <w:fldChar w:fldCharType="end"/>
        </w:r>
      </w:hyperlink>
    </w:p>
    <w:p w14:paraId="609FA081" w14:textId="532BC854" w:rsidR="00C7031F" w:rsidRDefault="00C7031F">
      <w:pPr>
        <w:pStyle w:val="TOC1"/>
        <w:rPr>
          <w:rFonts w:asciiTheme="minorHAnsi" w:eastAsiaTheme="minorEastAsia" w:hAnsiTheme="minorHAnsi" w:cstheme="minorBidi"/>
          <w:b w:val="0"/>
          <w:color w:val="auto"/>
          <w:kern w:val="2"/>
          <w:sz w:val="24"/>
          <w:szCs w:val="24"/>
          <w14:ligatures w14:val="standardContextual"/>
        </w:rPr>
      </w:pPr>
      <w:hyperlink w:anchor="_Toc202542345" w:history="1">
        <w:r w:rsidRPr="00F06ED6">
          <w:rPr>
            <w:rStyle w:val="Hyperlink"/>
          </w:rPr>
          <w:t>Appendix A: ASIC IFM sub-sectors</w:t>
        </w:r>
        <w:r>
          <w:rPr>
            <w:webHidden/>
          </w:rPr>
          <w:tab/>
        </w:r>
        <w:r>
          <w:rPr>
            <w:webHidden/>
          </w:rPr>
          <w:fldChar w:fldCharType="begin"/>
        </w:r>
        <w:r>
          <w:rPr>
            <w:webHidden/>
          </w:rPr>
          <w:instrText xml:space="preserve"> PAGEREF _Toc202542345 \h </w:instrText>
        </w:r>
        <w:r>
          <w:rPr>
            <w:webHidden/>
          </w:rPr>
        </w:r>
        <w:r>
          <w:rPr>
            <w:webHidden/>
          </w:rPr>
          <w:fldChar w:fldCharType="separate"/>
        </w:r>
        <w:r w:rsidR="00B87979">
          <w:rPr>
            <w:webHidden/>
          </w:rPr>
          <w:t>16</w:t>
        </w:r>
        <w:r>
          <w:rPr>
            <w:webHidden/>
          </w:rPr>
          <w:fldChar w:fldCharType="end"/>
        </w:r>
      </w:hyperlink>
    </w:p>
    <w:p w14:paraId="66DD664D" w14:textId="11707333" w:rsidR="00C7031F" w:rsidRDefault="00C7031F">
      <w:pPr>
        <w:pStyle w:val="TOC1"/>
        <w:rPr>
          <w:rFonts w:asciiTheme="minorHAnsi" w:eastAsiaTheme="minorEastAsia" w:hAnsiTheme="minorHAnsi" w:cstheme="minorBidi"/>
          <w:b w:val="0"/>
          <w:color w:val="auto"/>
          <w:kern w:val="2"/>
          <w:sz w:val="24"/>
          <w:szCs w:val="24"/>
          <w14:ligatures w14:val="standardContextual"/>
        </w:rPr>
      </w:pPr>
      <w:hyperlink w:anchor="_Toc202542346" w:history="1">
        <w:r w:rsidRPr="00F06ED6">
          <w:rPr>
            <w:rStyle w:val="Hyperlink"/>
          </w:rPr>
          <w:t>Appendix B: Illustrative estimates of special levy options</w:t>
        </w:r>
        <w:r>
          <w:rPr>
            <w:webHidden/>
          </w:rPr>
          <w:tab/>
        </w:r>
        <w:r>
          <w:rPr>
            <w:webHidden/>
          </w:rPr>
          <w:fldChar w:fldCharType="begin"/>
        </w:r>
        <w:r>
          <w:rPr>
            <w:webHidden/>
          </w:rPr>
          <w:instrText xml:space="preserve"> PAGEREF _Toc202542346 \h </w:instrText>
        </w:r>
        <w:r>
          <w:rPr>
            <w:webHidden/>
          </w:rPr>
        </w:r>
        <w:r>
          <w:rPr>
            <w:webHidden/>
          </w:rPr>
          <w:fldChar w:fldCharType="separate"/>
        </w:r>
        <w:r w:rsidR="00B87979">
          <w:rPr>
            <w:webHidden/>
          </w:rPr>
          <w:t>20</w:t>
        </w:r>
        <w:r>
          <w:rPr>
            <w:webHidden/>
          </w:rPr>
          <w:fldChar w:fldCharType="end"/>
        </w:r>
      </w:hyperlink>
    </w:p>
    <w:p w14:paraId="56AA9853" w14:textId="7BC3233C" w:rsidR="00C7031F" w:rsidRDefault="00C7031F">
      <w:pPr>
        <w:pStyle w:val="TOC3"/>
        <w:rPr>
          <w:rFonts w:asciiTheme="minorHAnsi" w:eastAsiaTheme="minorEastAsia" w:hAnsiTheme="minorHAnsi" w:cstheme="minorBidi"/>
          <w:kern w:val="2"/>
          <w:sz w:val="24"/>
          <w:szCs w:val="24"/>
          <w14:ligatures w14:val="standardContextual"/>
        </w:rPr>
      </w:pPr>
      <w:hyperlink w:anchor="_Toc202542347" w:history="1">
        <w:r w:rsidRPr="00F06ED6">
          <w:rPr>
            <w:rStyle w:val="Hyperlink"/>
          </w:rPr>
          <w:t>Table B1: Options for spreading a special levy of the full amount of the excess across multiple retail-facing sub</w:t>
        </w:r>
        <w:r w:rsidRPr="00F06ED6">
          <w:rPr>
            <w:rStyle w:val="Hyperlink"/>
          </w:rPr>
          <w:noBreakHyphen/>
          <w:t>sectors</w:t>
        </w:r>
        <w:r>
          <w:rPr>
            <w:webHidden/>
          </w:rPr>
          <w:tab/>
        </w:r>
        <w:r>
          <w:rPr>
            <w:webHidden/>
          </w:rPr>
          <w:fldChar w:fldCharType="begin"/>
        </w:r>
        <w:r>
          <w:rPr>
            <w:webHidden/>
          </w:rPr>
          <w:instrText xml:space="preserve"> PAGEREF _Toc202542347 \h </w:instrText>
        </w:r>
        <w:r>
          <w:rPr>
            <w:webHidden/>
          </w:rPr>
        </w:r>
        <w:r>
          <w:rPr>
            <w:webHidden/>
          </w:rPr>
          <w:fldChar w:fldCharType="separate"/>
        </w:r>
        <w:r w:rsidR="00B87979">
          <w:rPr>
            <w:webHidden/>
          </w:rPr>
          <w:t>20</w:t>
        </w:r>
        <w:r>
          <w:rPr>
            <w:webHidden/>
          </w:rPr>
          <w:fldChar w:fldCharType="end"/>
        </w:r>
      </w:hyperlink>
    </w:p>
    <w:p w14:paraId="69A287C2" w14:textId="11134402" w:rsidR="00C7031F" w:rsidRDefault="00C7031F">
      <w:pPr>
        <w:pStyle w:val="TOC3"/>
        <w:rPr>
          <w:rFonts w:asciiTheme="minorHAnsi" w:eastAsiaTheme="minorEastAsia" w:hAnsiTheme="minorHAnsi" w:cstheme="minorBidi"/>
          <w:kern w:val="2"/>
          <w:sz w:val="24"/>
          <w:szCs w:val="24"/>
          <w14:ligatures w14:val="standardContextual"/>
        </w:rPr>
      </w:pPr>
      <w:hyperlink w:anchor="_Toc202542348" w:history="1">
        <w:r w:rsidRPr="00F06ED6">
          <w:rPr>
            <w:rStyle w:val="Hyperlink"/>
          </w:rPr>
          <w:t>Chart B1: Distribution of special levy spreading options by ASIC IFM sector</w:t>
        </w:r>
        <w:r>
          <w:rPr>
            <w:webHidden/>
          </w:rPr>
          <w:tab/>
        </w:r>
        <w:r>
          <w:rPr>
            <w:webHidden/>
          </w:rPr>
          <w:fldChar w:fldCharType="begin"/>
        </w:r>
        <w:r>
          <w:rPr>
            <w:webHidden/>
          </w:rPr>
          <w:instrText xml:space="preserve"> PAGEREF _Toc202542348 \h </w:instrText>
        </w:r>
        <w:r>
          <w:rPr>
            <w:webHidden/>
          </w:rPr>
        </w:r>
        <w:r>
          <w:rPr>
            <w:webHidden/>
          </w:rPr>
          <w:fldChar w:fldCharType="separate"/>
        </w:r>
        <w:r w:rsidR="00B87979">
          <w:rPr>
            <w:webHidden/>
          </w:rPr>
          <w:t>22</w:t>
        </w:r>
        <w:r>
          <w:rPr>
            <w:webHidden/>
          </w:rPr>
          <w:fldChar w:fldCharType="end"/>
        </w:r>
      </w:hyperlink>
    </w:p>
    <w:p w14:paraId="1B3F14FD" w14:textId="39B1E59B" w:rsidR="00C7031F" w:rsidRDefault="00C7031F">
      <w:pPr>
        <w:pStyle w:val="TOC3"/>
        <w:rPr>
          <w:rFonts w:asciiTheme="minorHAnsi" w:eastAsiaTheme="minorEastAsia" w:hAnsiTheme="minorHAnsi" w:cstheme="minorBidi"/>
          <w:kern w:val="2"/>
          <w:sz w:val="24"/>
          <w:szCs w:val="24"/>
          <w14:ligatures w14:val="standardContextual"/>
        </w:rPr>
      </w:pPr>
      <w:hyperlink w:anchor="_Toc202542349" w:history="1">
        <w:r w:rsidRPr="00F06ED6">
          <w:rPr>
            <w:rStyle w:val="Hyperlink"/>
          </w:rPr>
          <w:t>Table B2: Estimated graduated levy component (or flat levy) by sub</w:t>
        </w:r>
        <w:r w:rsidRPr="00F06ED6">
          <w:rPr>
            <w:rStyle w:val="Hyperlink"/>
          </w:rPr>
          <w:noBreakHyphen/>
          <w:t>sector under spreading options</w:t>
        </w:r>
        <w:r>
          <w:rPr>
            <w:webHidden/>
          </w:rPr>
          <w:tab/>
        </w:r>
        <w:r>
          <w:rPr>
            <w:webHidden/>
          </w:rPr>
          <w:fldChar w:fldCharType="begin"/>
        </w:r>
        <w:r>
          <w:rPr>
            <w:webHidden/>
          </w:rPr>
          <w:instrText xml:space="preserve"> PAGEREF _Toc202542349 \h </w:instrText>
        </w:r>
        <w:r>
          <w:rPr>
            <w:webHidden/>
          </w:rPr>
        </w:r>
        <w:r>
          <w:rPr>
            <w:webHidden/>
          </w:rPr>
          <w:fldChar w:fldCharType="separate"/>
        </w:r>
        <w:r w:rsidR="00B87979">
          <w:rPr>
            <w:webHidden/>
          </w:rPr>
          <w:t>23</w:t>
        </w:r>
        <w:r>
          <w:rPr>
            <w:webHidden/>
          </w:rPr>
          <w:fldChar w:fldCharType="end"/>
        </w:r>
      </w:hyperlink>
    </w:p>
    <w:p w14:paraId="7479E92B" w14:textId="5E14FCE2" w:rsidR="000E0B74" w:rsidRDefault="00257AEE" w:rsidP="00656356">
      <w:pPr>
        <w:pStyle w:val="SingleParagraph"/>
        <w:tabs>
          <w:tab w:val="right" w:leader="dot" w:pos="9072"/>
        </w:tabs>
        <w:ind w:right="-2"/>
        <w:sectPr w:rsidR="000E0B74" w:rsidSect="008043EA">
          <w:headerReference w:type="even" r:id="rId18"/>
          <w:headerReference w:type="default" r:id="rId19"/>
          <w:footerReference w:type="default" r:id="rId20"/>
          <w:headerReference w:type="first" r:id="rId21"/>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03F30645" w14:textId="44ADC22C" w:rsidR="000E0B74" w:rsidRDefault="000E0B74" w:rsidP="00354FBB">
      <w:pPr>
        <w:pStyle w:val="Heading1"/>
      </w:pPr>
      <w:bookmarkStart w:id="1" w:name="_Toc202542328"/>
      <w:bookmarkStart w:id="2" w:name="_Toc432067103"/>
      <w:r>
        <w:lastRenderedPageBreak/>
        <w:t xml:space="preserve">Consultation </w:t>
      </w:r>
      <w:r w:rsidR="0052624F">
        <w:t>p</w:t>
      </w:r>
      <w:r>
        <w:t>rocess</w:t>
      </w:r>
      <w:bookmarkEnd w:id="1"/>
    </w:p>
    <w:p w14:paraId="1D442B0F" w14:textId="77777777" w:rsidR="000E0B74" w:rsidRDefault="000E0B74" w:rsidP="000E0B74">
      <w:pPr>
        <w:pStyle w:val="Heading2"/>
      </w:pPr>
      <w:bookmarkStart w:id="3" w:name="_Toc202542329"/>
      <w:r>
        <w:t>Request for feedback and comments</w:t>
      </w:r>
      <w:bookmarkEnd w:id="3"/>
    </w:p>
    <w:p w14:paraId="4FC2975F" w14:textId="33F9353C" w:rsidR="00B76291" w:rsidRDefault="00B76291" w:rsidP="00B76291">
      <w:r>
        <w:t xml:space="preserve">The purpose of this consultation paper is to seek stakeholder views on options for the exercise of ministerial powers under section 1069H of the </w:t>
      </w:r>
      <w:r>
        <w:rPr>
          <w:i/>
          <w:iCs/>
        </w:rPr>
        <w:t>Corporations Act 2001</w:t>
      </w:r>
      <w:r>
        <w:t>. The consultation takes place in the context of the post</w:t>
      </w:r>
      <w:r w:rsidR="7792CED2">
        <w:t>-</w:t>
      </w:r>
      <w:r>
        <w:t xml:space="preserve">implementation review of the Compensation Scheme of Last Resort announced by the Government on </w:t>
      </w:r>
      <w:r w:rsidR="00113D67">
        <w:t>31 January 2025.</w:t>
      </w:r>
    </w:p>
    <w:p w14:paraId="6DF0CBFA" w14:textId="2786B2BF" w:rsidR="00B76291" w:rsidRDefault="00B76291" w:rsidP="00B76291">
      <w:r>
        <w:t xml:space="preserve">Interested stakeholders are invited to comment on the options discussed in this paper </w:t>
      </w:r>
      <w:r w:rsidRPr="00F72F81">
        <w:t xml:space="preserve">by </w:t>
      </w:r>
      <w:r w:rsidR="00F72F81" w:rsidRPr="00F72F81">
        <w:t>29</w:t>
      </w:r>
      <w:r w:rsidRPr="00F72F81">
        <w:t> </w:t>
      </w:r>
      <w:r w:rsidR="001B36A6" w:rsidRPr="00F72F81">
        <w:t>August</w:t>
      </w:r>
      <w:r w:rsidRPr="00F72F81">
        <w:t xml:space="preserve"> 2025.</w:t>
      </w:r>
    </w:p>
    <w:p w14:paraId="3E0EA03C" w14:textId="782696D2" w:rsidR="00B76291" w:rsidRDefault="00B76291" w:rsidP="00B76291">
      <w:r>
        <w:t xml:space="preserve">Submissions may be lodged electronically or by post, however electronic lodgement is preferred via email to </w:t>
      </w:r>
      <w:r w:rsidR="00C15579">
        <w:t>CSLR</w:t>
      </w:r>
      <w:r>
        <w:t>@treasury.gov.au. For accessibility reasons, please submit responses via email in a Word, RTF or PDF format.</w:t>
      </w:r>
    </w:p>
    <w:p w14:paraId="50CF54D2" w14:textId="3C05BC95" w:rsidR="00B76291" w:rsidRDefault="00B76291" w:rsidP="00B76291">
      <w:r>
        <w:t>Submissions will be shared with other Commonwealth agencies where necessary for the purposes of th</w:t>
      </w:r>
      <w:r w:rsidR="00C15579">
        <w:t>e</w:t>
      </w:r>
      <w:r>
        <w:t xml:space="preserve"> review. All information (including name and address details) contained in submissions may be made publicly available on the Australian Treasury website unless you indicate that you would like all or part of your submission to remain in</w:t>
      </w:r>
      <w:r w:rsidR="00C15579">
        <w:noBreakHyphen/>
      </w:r>
      <w:r>
        <w:t>confidence. Automatically</w:t>
      </w:r>
      <w:r w:rsidR="00C15579">
        <w:noBreakHyphen/>
      </w:r>
      <w:r>
        <w:t>generated confidentiality statements in emails are not sufficient for this purpose.</w:t>
      </w:r>
    </w:p>
    <w:p w14:paraId="5B349572" w14:textId="0145BD1B" w:rsidR="000E0B74" w:rsidRDefault="00B76291" w:rsidP="00B76291">
      <w:r>
        <w:t xml:space="preserve">If you would like only part of your submission to remain confidential, please provide this information clearly marked as such in a separate attachment. Legal requirements, such as those imposed by the </w:t>
      </w:r>
      <w:r w:rsidRPr="00B76291">
        <w:rPr>
          <w:i/>
          <w:iCs/>
        </w:rPr>
        <w:t>Freedom of Information Act 1982</w:t>
      </w:r>
      <w:r>
        <w:t>, may affect the confidentiality of your submission.</w:t>
      </w:r>
    </w:p>
    <w:p w14:paraId="0B561CB2" w14:textId="77777777" w:rsidR="002C2082" w:rsidRDefault="002C2082" w:rsidP="002C2082">
      <w:pPr>
        <w:pStyle w:val="SingleParagraph"/>
      </w:pPr>
    </w:p>
    <w:tbl>
      <w:tblPr>
        <w:tblStyle w:val="TableGrid"/>
        <w:tblW w:w="0" w:type="auto"/>
        <w:tblLook w:val="04A0" w:firstRow="1" w:lastRow="0" w:firstColumn="1" w:lastColumn="0" w:noHBand="0" w:noVBand="1"/>
      </w:tblPr>
      <w:tblGrid>
        <w:gridCol w:w="1517"/>
        <w:gridCol w:w="7553"/>
      </w:tblGrid>
      <w:tr w:rsidR="004735D4" w:rsidRPr="00B85F47" w14:paraId="609D5687" w14:textId="77777777" w:rsidTr="000A7ED0">
        <w:trPr>
          <w:cnfStyle w:val="100000000000" w:firstRow="1" w:lastRow="0" w:firstColumn="0" w:lastColumn="0" w:oddVBand="0" w:evenVBand="0" w:oddHBand="0" w:evenHBand="0" w:firstRowFirstColumn="0" w:firstRowLastColumn="0" w:lastRowFirstColumn="0" w:lastRowLastColumn="0"/>
        </w:trPr>
        <w:tc>
          <w:tcPr>
            <w:tcW w:w="1517" w:type="dxa"/>
          </w:tcPr>
          <w:p w14:paraId="019789D2" w14:textId="77777777" w:rsidR="000E0B74" w:rsidRPr="004E328C" w:rsidRDefault="000E0B74" w:rsidP="0017089D">
            <w:pPr>
              <w:spacing w:before="96" w:after="96"/>
              <w:rPr>
                <w:sz w:val="22"/>
                <w:szCs w:val="22"/>
              </w:rPr>
            </w:pPr>
            <w:r w:rsidRPr="004E328C">
              <w:rPr>
                <w:sz w:val="22"/>
                <w:szCs w:val="22"/>
              </w:rPr>
              <w:t>Email</w:t>
            </w:r>
          </w:p>
        </w:tc>
        <w:tc>
          <w:tcPr>
            <w:tcW w:w="7553" w:type="dxa"/>
          </w:tcPr>
          <w:p w14:paraId="2D8EF6C3" w14:textId="31E97699" w:rsidR="000E0B74" w:rsidRPr="004E328C" w:rsidRDefault="004E328C" w:rsidP="00516785">
            <w:pPr>
              <w:spacing w:before="96" w:after="96"/>
              <w:rPr>
                <w:sz w:val="22"/>
                <w:szCs w:val="22"/>
              </w:rPr>
            </w:pPr>
            <w:r w:rsidRPr="004E328C">
              <w:rPr>
                <w:rFonts w:cs="Arial"/>
                <w:sz w:val="22"/>
                <w:szCs w:val="22"/>
              </w:rPr>
              <w:t>CSLR@treasury.gov.au</w:t>
            </w:r>
          </w:p>
        </w:tc>
      </w:tr>
      <w:tr w:rsidR="000E0B74" w:rsidRPr="00B85F47" w14:paraId="2E68988D" w14:textId="77777777" w:rsidTr="000A7ED0">
        <w:tc>
          <w:tcPr>
            <w:tcW w:w="1517" w:type="dxa"/>
          </w:tcPr>
          <w:p w14:paraId="0F0D6D86" w14:textId="77777777" w:rsidR="008D7F38" w:rsidRPr="00B85F47" w:rsidRDefault="000E0B74" w:rsidP="0017089D">
            <w:pPr>
              <w:rPr>
                <w:sz w:val="22"/>
                <w:szCs w:val="22"/>
              </w:rPr>
            </w:pPr>
            <w:r w:rsidRPr="00B85F47">
              <w:rPr>
                <w:sz w:val="22"/>
                <w:szCs w:val="22"/>
              </w:rPr>
              <w:t>Mail</w:t>
            </w:r>
          </w:p>
        </w:tc>
        <w:tc>
          <w:tcPr>
            <w:tcW w:w="7553" w:type="dxa"/>
          </w:tcPr>
          <w:p w14:paraId="112F5BD7" w14:textId="181F078C" w:rsidR="000E0B74" w:rsidRPr="004E328C" w:rsidRDefault="004E328C" w:rsidP="0017089D">
            <w:pPr>
              <w:pStyle w:val="SingleParagraph"/>
              <w:rPr>
                <w:rFonts w:cs="Arial"/>
                <w:sz w:val="22"/>
                <w:szCs w:val="22"/>
              </w:rPr>
            </w:pPr>
            <w:r w:rsidRPr="004E328C">
              <w:rPr>
                <w:rFonts w:cs="Arial"/>
                <w:sz w:val="22"/>
                <w:szCs w:val="22"/>
              </w:rPr>
              <w:t>Director, Programs and Redress Unit</w:t>
            </w:r>
          </w:p>
          <w:p w14:paraId="60E2F662" w14:textId="6D42B1BA" w:rsidR="000E0B74" w:rsidRPr="004E328C" w:rsidRDefault="004E328C" w:rsidP="0017089D">
            <w:pPr>
              <w:pStyle w:val="SingleParagraph"/>
              <w:rPr>
                <w:rFonts w:cs="Arial"/>
                <w:sz w:val="22"/>
                <w:szCs w:val="22"/>
              </w:rPr>
            </w:pPr>
            <w:r w:rsidRPr="004E328C">
              <w:rPr>
                <w:rFonts w:cs="Arial"/>
                <w:sz w:val="22"/>
                <w:szCs w:val="22"/>
              </w:rPr>
              <w:t>Financial System Division</w:t>
            </w:r>
          </w:p>
          <w:p w14:paraId="7E12FF0A"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39CF22FC"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5A7DFD3B" w14:textId="51D355BB" w:rsidR="000E0B74" w:rsidRPr="00B85F47" w:rsidRDefault="000E0B74" w:rsidP="0017089D">
            <w:pPr>
              <w:pStyle w:val="SingleParagraph"/>
              <w:rPr>
                <w:sz w:val="22"/>
                <w:szCs w:val="22"/>
              </w:rPr>
            </w:pPr>
            <w:proofErr w:type="gramStart"/>
            <w:r w:rsidRPr="00B85F47">
              <w:rPr>
                <w:sz w:val="22"/>
                <w:szCs w:val="22"/>
              </w:rPr>
              <w:t>PARKES </w:t>
            </w:r>
            <w:r w:rsidR="003628D7">
              <w:rPr>
                <w:sz w:val="22"/>
                <w:szCs w:val="22"/>
              </w:rPr>
              <w:t> </w:t>
            </w:r>
            <w:r w:rsidRPr="00B85F47">
              <w:rPr>
                <w:sz w:val="22"/>
                <w:szCs w:val="22"/>
              </w:rPr>
              <w:t>ACT</w:t>
            </w:r>
            <w:proofErr w:type="gramEnd"/>
            <w:r w:rsidR="003628D7">
              <w:rPr>
                <w:sz w:val="22"/>
                <w:szCs w:val="22"/>
              </w:rPr>
              <w:t> </w:t>
            </w:r>
            <w:r w:rsidRPr="00B85F47">
              <w:rPr>
                <w:sz w:val="22"/>
                <w:szCs w:val="22"/>
              </w:rPr>
              <w:t> 2600</w:t>
            </w:r>
          </w:p>
        </w:tc>
      </w:tr>
      <w:tr w:rsidR="000E0B74" w:rsidRPr="00B85F47" w14:paraId="1A95BA75" w14:textId="77777777" w:rsidTr="000A7ED0">
        <w:tc>
          <w:tcPr>
            <w:tcW w:w="1517" w:type="dxa"/>
          </w:tcPr>
          <w:p w14:paraId="7DB12413" w14:textId="77777777" w:rsidR="000E0B74" w:rsidRPr="00B85F47" w:rsidRDefault="000E0B74" w:rsidP="0017089D">
            <w:pPr>
              <w:rPr>
                <w:sz w:val="22"/>
                <w:szCs w:val="22"/>
              </w:rPr>
            </w:pPr>
            <w:r w:rsidRPr="00B85F47">
              <w:rPr>
                <w:sz w:val="22"/>
                <w:szCs w:val="22"/>
              </w:rPr>
              <w:t>Enquiries</w:t>
            </w:r>
          </w:p>
        </w:tc>
        <w:tc>
          <w:tcPr>
            <w:tcW w:w="7553" w:type="dxa"/>
          </w:tcPr>
          <w:p w14:paraId="0FC1D85A" w14:textId="794BA7B4" w:rsidR="000E0B74" w:rsidRPr="00B85F47" w:rsidRDefault="000E0B74" w:rsidP="0017089D">
            <w:pPr>
              <w:rPr>
                <w:sz w:val="22"/>
                <w:szCs w:val="22"/>
              </w:rPr>
            </w:pPr>
            <w:r w:rsidRPr="00B85F47">
              <w:rPr>
                <w:rFonts w:cs="Arial"/>
                <w:sz w:val="22"/>
                <w:szCs w:val="22"/>
              </w:rPr>
              <w:t xml:space="preserve">Enquiries can be initially </w:t>
            </w:r>
            <w:r w:rsidRPr="004E328C">
              <w:rPr>
                <w:rFonts w:cs="Arial"/>
                <w:sz w:val="22"/>
                <w:szCs w:val="22"/>
              </w:rPr>
              <w:t xml:space="preserve">directed to </w:t>
            </w:r>
            <w:r w:rsidR="004E328C" w:rsidRPr="004E328C">
              <w:rPr>
                <w:rFonts w:cs="Arial"/>
                <w:sz w:val="22"/>
                <w:szCs w:val="22"/>
              </w:rPr>
              <w:t>CSLR@treasury.gov.au</w:t>
            </w:r>
          </w:p>
        </w:tc>
      </w:tr>
      <w:tr w:rsidR="000E0B74" w:rsidRPr="00B85F47" w14:paraId="177C5603" w14:textId="77777777" w:rsidTr="000A7ED0">
        <w:tc>
          <w:tcPr>
            <w:tcW w:w="1517" w:type="dxa"/>
          </w:tcPr>
          <w:p w14:paraId="7D1ED219" w14:textId="77777777" w:rsidR="000E0B74" w:rsidRPr="00B85F47" w:rsidRDefault="000E0B74" w:rsidP="0017089D">
            <w:pPr>
              <w:rPr>
                <w:sz w:val="22"/>
                <w:szCs w:val="22"/>
              </w:rPr>
            </w:pPr>
            <w:r w:rsidRPr="00B85F47">
              <w:rPr>
                <w:sz w:val="22"/>
                <w:szCs w:val="22"/>
              </w:rPr>
              <w:t>Phone</w:t>
            </w:r>
          </w:p>
        </w:tc>
        <w:tc>
          <w:tcPr>
            <w:tcW w:w="7553" w:type="dxa"/>
          </w:tcPr>
          <w:p w14:paraId="226F00BF" w14:textId="662FEF1E" w:rsidR="000E0B74" w:rsidRPr="00B85F47" w:rsidRDefault="000E0B74" w:rsidP="0017089D">
            <w:pPr>
              <w:rPr>
                <w:sz w:val="22"/>
                <w:szCs w:val="22"/>
              </w:rPr>
            </w:pPr>
            <w:r w:rsidRPr="00B85F47">
              <w:rPr>
                <w:rFonts w:cs="Arial"/>
                <w:sz w:val="22"/>
                <w:szCs w:val="22"/>
              </w:rPr>
              <w:t xml:space="preserve">02 </w:t>
            </w:r>
            <w:r w:rsidRPr="004E328C">
              <w:rPr>
                <w:rFonts w:cs="Arial"/>
                <w:sz w:val="22"/>
                <w:szCs w:val="22"/>
              </w:rPr>
              <w:t xml:space="preserve">6263 </w:t>
            </w:r>
            <w:r w:rsidR="004E328C" w:rsidRPr="004E328C">
              <w:rPr>
                <w:rFonts w:cs="Arial"/>
                <w:sz w:val="22"/>
                <w:szCs w:val="22"/>
              </w:rPr>
              <w:t>2</w:t>
            </w:r>
            <w:r w:rsidR="003628D7">
              <w:rPr>
                <w:rFonts w:cs="Arial"/>
                <w:sz w:val="22"/>
                <w:szCs w:val="22"/>
              </w:rPr>
              <w:t>111</w:t>
            </w:r>
          </w:p>
        </w:tc>
      </w:tr>
      <w:bookmarkEnd w:id="2"/>
    </w:tbl>
    <w:p w14:paraId="17FC7487" w14:textId="77777777" w:rsidR="00E10D39" w:rsidRDefault="00E10D39" w:rsidP="002C2082">
      <w:pPr>
        <w:pStyle w:val="SingleParagraph"/>
      </w:pPr>
    </w:p>
    <w:p w14:paraId="4B0F24CD" w14:textId="101022ED" w:rsidR="00A16E03" w:rsidRDefault="00A16E03" w:rsidP="00A16E03">
      <w:r>
        <w:t xml:space="preserve">The </w:t>
      </w:r>
      <w:r w:rsidR="004E328C">
        <w:t>options</w:t>
      </w:r>
      <w:r>
        <w:t xml:space="preserve"> outlined in this paper have not received Government approval and are not law. </w:t>
      </w:r>
      <w:proofErr w:type="gramStart"/>
      <w:r>
        <w:t>As a consequence</w:t>
      </w:r>
      <w:proofErr w:type="gramEnd"/>
      <w:r>
        <w:t xml:space="preserve">, this paper is merely </w:t>
      </w:r>
      <w:r w:rsidR="003C4711">
        <w:t>an exploration of</w:t>
      </w:r>
      <w:r>
        <w:t xml:space="preserve"> how the </w:t>
      </w:r>
      <w:r w:rsidR="004E328C">
        <w:t xml:space="preserve">options </w:t>
      </w:r>
      <w:r>
        <w:t>might operate.</w:t>
      </w:r>
      <w:r w:rsidR="001F583F">
        <w:t xml:space="preserve"> </w:t>
      </w:r>
      <w:r w:rsidR="009B3E10">
        <w:t>O</w:t>
      </w:r>
      <w:r w:rsidR="009B3E10" w:rsidRPr="00951CF7">
        <w:t>ptions have been included for comparison purposes and to illustrate the breadth of options available.</w:t>
      </w:r>
      <w:r w:rsidR="009B3E10">
        <w:t xml:space="preserve"> </w:t>
      </w:r>
      <w:r w:rsidR="00951CF7" w:rsidRPr="00951CF7">
        <w:t xml:space="preserve">The inclusion of an option in this paper should not be taken as an indication that it is under active consideration by the Government. </w:t>
      </w:r>
      <w:r w:rsidR="001F583F">
        <w:t>The estimates presented in this paper of potential lev</w:t>
      </w:r>
      <w:r w:rsidR="00951CF7">
        <w:t>ies</w:t>
      </w:r>
      <w:r w:rsidR="001F583F">
        <w:t xml:space="preserve"> are </w:t>
      </w:r>
      <w:r w:rsidR="005D4A99">
        <w:t xml:space="preserve">Treasury </w:t>
      </w:r>
      <w:r w:rsidR="001F583F">
        <w:t xml:space="preserve">estimates only and </w:t>
      </w:r>
      <w:r w:rsidR="005D4A99">
        <w:t>may not reflect final invoices in the event any of the options</w:t>
      </w:r>
      <w:r w:rsidR="0041267C">
        <w:t xml:space="preserve"> is adopted.</w:t>
      </w:r>
    </w:p>
    <w:p w14:paraId="1F03AA6F" w14:textId="77777777" w:rsidR="008D7F38" w:rsidRPr="008D7F38" w:rsidRDefault="008D7F38" w:rsidP="008D7F38"/>
    <w:p w14:paraId="6AAE359E" w14:textId="77777777" w:rsidR="00E10D39" w:rsidRDefault="00E10D39" w:rsidP="00D0797D">
      <w:r>
        <w:br w:type="page"/>
      </w:r>
    </w:p>
    <w:p w14:paraId="384BF1AC" w14:textId="68E24D68" w:rsidR="000E0B74" w:rsidRDefault="003C4711" w:rsidP="00354FBB">
      <w:pPr>
        <w:pStyle w:val="Heading1"/>
      </w:pPr>
      <w:bookmarkStart w:id="4" w:name="_Toc202542330"/>
      <w:r>
        <w:lastRenderedPageBreak/>
        <w:t>Compensation Scheme of Last Resort: exceeding sub</w:t>
      </w:r>
      <w:r>
        <w:noBreakHyphen/>
        <w:t>sector levy caps</w:t>
      </w:r>
      <w:bookmarkEnd w:id="4"/>
    </w:p>
    <w:p w14:paraId="54833650" w14:textId="039B9D94" w:rsidR="000E0B74" w:rsidRDefault="000E0B74" w:rsidP="008043EA">
      <w:pPr>
        <w:pStyle w:val="Heading2"/>
      </w:pPr>
      <w:bookmarkStart w:id="5" w:name="_Toc306887371"/>
      <w:bookmarkStart w:id="6" w:name="_Toc432064635"/>
      <w:bookmarkStart w:id="7" w:name="_Toc202542331"/>
      <w:r>
        <w:t>Background</w:t>
      </w:r>
      <w:bookmarkEnd w:id="5"/>
      <w:bookmarkEnd w:id="6"/>
      <w:bookmarkEnd w:id="7"/>
    </w:p>
    <w:p w14:paraId="58F691B9" w14:textId="4C20FA63" w:rsidR="00D21592" w:rsidRDefault="00D21592" w:rsidP="00C15579">
      <w:pPr>
        <w:pStyle w:val="OutlineNumbered1"/>
      </w:pPr>
      <w:r>
        <w:t xml:space="preserve">The Compensation Scheme of Last Resort (CSLR) </w:t>
      </w:r>
      <w:r w:rsidR="00B373C6">
        <w:t>pays compensation to claimants where a</w:t>
      </w:r>
      <w:r w:rsidR="007A1F23">
        <w:t>n eligible</w:t>
      </w:r>
      <w:r w:rsidR="00B373C6">
        <w:t xml:space="preserve"> determination issued by the Australian Fin</w:t>
      </w:r>
      <w:r w:rsidR="00C31363">
        <w:t>ancial Complaints Authority (AFCA) remains unpaid</w:t>
      </w:r>
      <w:r w:rsidR="007A1F23">
        <w:t xml:space="preserve">. The CSLR </w:t>
      </w:r>
      <w:r w:rsidR="007406FC">
        <w:t xml:space="preserve">was established by Part 7.10B of the </w:t>
      </w:r>
      <w:r w:rsidR="007406FC">
        <w:rPr>
          <w:i/>
          <w:iCs/>
        </w:rPr>
        <w:t>Corporations Act</w:t>
      </w:r>
      <w:r w:rsidR="007406FC" w:rsidRPr="007406FC">
        <w:rPr>
          <w:i/>
          <w:iCs/>
        </w:rPr>
        <w:t xml:space="preserve"> 2001</w:t>
      </w:r>
      <w:r w:rsidR="007406FC">
        <w:t xml:space="preserve"> </w:t>
      </w:r>
      <w:r w:rsidR="00FC75BF">
        <w:t>(Corporations Act)</w:t>
      </w:r>
      <w:r w:rsidR="00334DBF">
        <w:t xml:space="preserve">. The CSLR </w:t>
      </w:r>
      <w:r w:rsidR="002C5853">
        <w:t xml:space="preserve">is administered by the CSLR operator, </w:t>
      </w:r>
      <w:r w:rsidR="00256983">
        <w:t>a</w:t>
      </w:r>
      <w:r w:rsidR="002C5853">
        <w:t xml:space="preserve"> </w:t>
      </w:r>
      <w:r w:rsidR="0047245B">
        <w:t>not-for-profit company authorised by the Minister to operate the scheme</w:t>
      </w:r>
      <w:r w:rsidR="00256983">
        <w:t>, independently of Government.</w:t>
      </w:r>
      <w:r w:rsidR="0047245B">
        <w:t xml:space="preserve"> The Scheme commenced operations</w:t>
      </w:r>
      <w:r w:rsidR="007A1F23">
        <w:t xml:space="preserve"> in April 2024.</w:t>
      </w:r>
    </w:p>
    <w:p w14:paraId="6C388739" w14:textId="5273F447" w:rsidR="007C04B6" w:rsidRDefault="00930B71" w:rsidP="00C15579">
      <w:pPr>
        <w:pStyle w:val="OutlineNumbered1"/>
      </w:pPr>
      <w:r>
        <w:t xml:space="preserve">The CSLR is industry-funded. </w:t>
      </w:r>
      <w:r w:rsidR="00515048">
        <w:t xml:space="preserve">The funding </w:t>
      </w:r>
      <w:r w:rsidR="00532839">
        <w:t xml:space="preserve">model is established by the </w:t>
      </w:r>
      <w:r w:rsidR="002C2C9B">
        <w:rPr>
          <w:i/>
          <w:iCs/>
        </w:rPr>
        <w:t>Financial Services Compensation Scheme of Last Resort Levy Act 2023</w:t>
      </w:r>
      <w:r w:rsidR="002C2C9B">
        <w:t xml:space="preserve"> (CSLR Levy Act)</w:t>
      </w:r>
      <w:r w:rsidR="004B5E47">
        <w:t xml:space="preserve"> and the </w:t>
      </w:r>
      <w:r w:rsidR="004B5E47">
        <w:rPr>
          <w:i/>
          <w:iCs/>
        </w:rPr>
        <w:t>Financial Services Compensation Scheme of Last Resort (Collection) Act 2023</w:t>
      </w:r>
      <w:r w:rsidR="004B5E47">
        <w:t xml:space="preserve"> (CSLR Levy </w:t>
      </w:r>
      <w:r w:rsidR="00563076">
        <w:t>(</w:t>
      </w:r>
      <w:r w:rsidR="004B5E47">
        <w:t>Collection</w:t>
      </w:r>
      <w:r w:rsidR="00563076">
        <w:t>)</w:t>
      </w:r>
      <w:r w:rsidR="004B5E47">
        <w:t xml:space="preserve"> Act).</w:t>
      </w:r>
    </w:p>
    <w:p w14:paraId="50B5EAAD" w14:textId="42557B95" w:rsidR="001A7EA3" w:rsidRDefault="00C86F94" w:rsidP="00C15579">
      <w:pPr>
        <w:pStyle w:val="OutlineNumbered1"/>
      </w:pPr>
      <w:r>
        <w:t>For each levy period</w:t>
      </w:r>
      <w:r w:rsidR="0073226F" w:rsidRPr="0073226F">
        <w:t>—</w:t>
      </w:r>
      <w:r w:rsidR="00881A74">
        <w:t>that</w:t>
      </w:r>
      <w:r w:rsidR="007B3FD1">
        <w:t xml:space="preserve"> </w:t>
      </w:r>
      <w:r w:rsidR="00881A74">
        <w:t xml:space="preserve">is </w:t>
      </w:r>
      <w:r w:rsidR="001E6E82">
        <w:t>(</w:t>
      </w:r>
      <w:r w:rsidR="007B3FD1">
        <w:t>from 1 July 2024 onward</w:t>
      </w:r>
      <w:r w:rsidR="001E6E82">
        <w:t>), for</w:t>
      </w:r>
      <w:r w:rsidR="007B3FD1">
        <w:t xml:space="preserve"> each </w:t>
      </w:r>
      <w:r w:rsidR="00881A74">
        <w:t>financial year</w:t>
      </w:r>
      <w:r w:rsidR="0073226F" w:rsidRPr="0073226F">
        <w:t>—</w:t>
      </w:r>
      <w:r w:rsidR="00112108">
        <w:t>the</w:t>
      </w:r>
      <w:r w:rsidR="007B3FD1">
        <w:t xml:space="preserve"> </w:t>
      </w:r>
      <w:r w:rsidR="00112108">
        <w:t xml:space="preserve">CSLR </w:t>
      </w:r>
      <w:r w:rsidR="00C1700B">
        <w:t>operator</w:t>
      </w:r>
      <w:r w:rsidR="00334DBF">
        <w:t>, having regard to actuarial principles,</w:t>
      </w:r>
      <w:r w:rsidR="00C1700B">
        <w:t xml:space="preserve"> </w:t>
      </w:r>
      <w:r w:rsidR="00024EC6">
        <w:t xml:space="preserve">makes an </w:t>
      </w:r>
      <w:r w:rsidR="00BE5D93">
        <w:t>‘</w:t>
      </w:r>
      <w:r w:rsidR="00024EC6">
        <w:t>initial claims, fees and costs estimate</w:t>
      </w:r>
      <w:r w:rsidR="00BE5D93">
        <w:t>’</w:t>
      </w:r>
      <w:r w:rsidR="00024EC6">
        <w:t xml:space="preserve"> setting out the levy amount payable </w:t>
      </w:r>
      <w:r w:rsidR="00AB4787">
        <w:t xml:space="preserve">for each </w:t>
      </w:r>
      <w:r w:rsidR="00B675A6">
        <w:t xml:space="preserve">of the </w:t>
      </w:r>
      <w:r w:rsidR="006940EA">
        <w:t xml:space="preserve">four </w:t>
      </w:r>
      <w:r w:rsidR="00AB4787">
        <w:t>sub</w:t>
      </w:r>
      <w:r w:rsidR="00AB4787">
        <w:noBreakHyphen/>
        <w:t>sector</w:t>
      </w:r>
      <w:r w:rsidR="00B675A6">
        <w:t>s covered by the scheme (</w:t>
      </w:r>
      <w:r w:rsidR="00327B1E">
        <w:t xml:space="preserve">broadly: </w:t>
      </w:r>
      <w:r w:rsidR="00FC1660">
        <w:t xml:space="preserve">credit </w:t>
      </w:r>
      <w:r w:rsidR="006940EA">
        <w:t>provision, credit intermediaries</w:t>
      </w:r>
      <w:r w:rsidR="00FC1660">
        <w:t xml:space="preserve">, financial advice and </w:t>
      </w:r>
      <w:r w:rsidR="006940EA">
        <w:t xml:space="preserve">securities </w:t>
      </w:r>
      <w:r w:rsidR="00327B1E">
        <w:t>dealing)</w:t>
      </w:r>
      <w:r w:rsidR="00AB4787">
        <w:t>.</w:t>
      </w:r>
      <w:r w:rsidR="00C1700B">
        <w:t xml:space="preserve"> </w:t>
      </w:r>
    </w:p>
    <w:p w14:paraId="4008CFBF" w14:textId="5C0F4423" w:rsidR="007A1F23" w:rsidRDefault="00327B1E" w:rsidP="00C15579">
      <w:pPr>
        <w:pStyle w:val="OutlineNumbered1"/>
      </w:pPr>
      <w:r>
        <w:t xml:space="preserve">The Australian Securities and Investments Commission (ASIC) collects the levies. </w:t>
      </w:r>
      <w:r w:rsidR="009A0431">
        <w:t>The law sets</w:t>
      </w:r>
      <w:r w:rsidR="007369E9">
        <w:t xml:space="preserve"> a </w:t>
      </w:r>
      <w:r w:rsidR="00886220">
        <w:t>‘</w:t>
      </w:r>
      <w:r w:rsidR="007369E9">
        <w:t>scheme levy cap</w:t>
      </w:r>
      <w:r w:rsidR="00886220">
        <w:t>’</w:t>
      </w:r>
      <w:r w:rsidR="007369E9">
        <w:t xml:space="preserve"> of $250 million on </w:t>
      </w:r>
      <w:r w:rsidR="0045185C">
        <w:t xml:space="preserve">the total amount of levy that may be imposed for a levy period, and </w:t>
      </w:r>
      <w:r w:rsidR="00886220">
        <w:t>a ’sub</w:t>
      </w:r>
      <w:r w:rsidR="00886220">
        <w:noBreakHyphen/>
        <w:t>sector levy cap’ of $20 million on the total amount of levy that may be imposed across all members of a particular sub</w:t>
      </w:r>
      <w:r w:rsidR="00886220">
        <w:noBreakHyphen/>
        <w:t>sector.</w:t>
      </w:r>
    </w:p>
    <w:p w14:paraId="23898AA6" w14:textId="0AD9C1E6" w:rsidR="00DC764D" w:rsidRDefault="78BE03F4" w:rsidP="00C15579">
      <w:pPr>
        <w:pStyle w:val="OutlineNumbered1"/>
      </w:pPr>
      <w:r>
        <w:t xml:space="preserve">On 31 January 2025, the CSLR operator </w:t>
      </w:r>
      <w:r w:rsidR="0CB9024D">
        <w:t xml:space="preserve">released its initial estimate for </w:t>
      </w:r>
      <w:r w:rsidR="49772E8E" w:rsidRPr="008E5CD1">
        <w:t>2025-26</w:t>
      </w:r>
      <w:r w:rsidR="702BECA1">
        <w:t>, which was $77,97</w:t>
      </w:r>
      <w:r w:rsidR="00AD6A39">
        <w:t>4</w:t>
      </w:r>
      <w:r w:rsidR="702BECA1">
        <w:t>,</w:t>
      </w:r>
      <w:r w:rsidR="00F92256">
        <w:t>54</w:t>
      </w:r>
      <w:r w:rsidR="702BECA1">
        <w:t>0</w:t>
      </w:r>
      <w:r w:rsidR="0CB9024D">
        <w:t xml:space="preserve">. </w:t>
      </w:r>
      <w:r w:rsidR="72E589A1">
        <w:t>Of</w:t>
      </w:r>
      <w:r w:rsidR="13602C64">
        <w:t xml:space="preserve"> this amount, </w:t>
      </w:r>
      <w:r w:rsidR="51849810">
        <w:t>$</w:t>
      </w:r>
      <w:r w:rsidR="6581DDDB">
        <w:t>70,10</w:t>
      </w:r>
      <w:r w:rsidR="00602C65">
        <w:t>9</w:t>
      </w:r>
      <w:r w:rsidR="6581DDDB">
        <w:t>,</w:t>
      </w:r>
      <w:r w:rsidR="00D2660D">
        <w:t>667</w:t>
      </w:r>
      <w:r w:rsidR="6581DDDB">
        <w:t xml:space="preserve"> was attributed to the financial advice sub</w:t>
      </w:r>
      <w:r w:rsidR="00CC0BBA">
        <w:noBreakHyphen/>
      </w:r>
      <w:r w:rsidR="6581DDDB">
        <w:t>sector. As this amount exceeded</w:t>
      </w:r>
      <w:r w:rsidR="3604F1D3">
        <w:t xml:space="preserve"> the $20 million sub</w:t>
      </w:r>
      <w:r w:rsidR="00A35FF0">
        <w:noBreakHyphen/>
      </w:r>
      <w:r w:rsidR="3604F1D3">
        <w:t xml:space="preserve">sector cap, ASIC </w:t>
      </w:r>
      <w:r w:rsidR="24BCE880">
        <w:t>can only collect</w:t>
      </w:r>
      <w:r w:rsidR="3604F1D3">
        <w:t xml:space="preserve"> the first $20 million of that amount, leaving an </w:t>
      </w:r>
      <w:r w:rsidR="0B06EEBF">
        <w:t>estimate</w:t>
      </w:r>
      <w:r w:rsidR="298E4F90">
        <w:t>d shortfall</w:t>
      </w:r>
      <w:r w:rsidR="0B06EEBF">
        <w:t xml:space="preserve"> </w:t>
      </w:r>
      <w:r w:rsidR="3604F1D3">
        <w:t xml:space="preserve">of </w:t>
      </w:r>
      <w:r w:rsidR="0812FE1C">
        <w:t>$50,10</w:t>
      </w:r>
      <w:r w:rsidR="00C0422B">
        <w:t>9</w:t>
      </w:r>
      <w:r w:rsidR="0812FE1C">
        <w:t>,</w:t>
      </w:r>
      <w:r w:rsidR="00C0422B">
        <w:t>667</w:t>
      </w:r>
      <w:r w:rsidR="0812FE1C">
        <w:t>.</w:t>
      </w:r>
    </w:p>
    <w:p w14:paraId="3A286BF5" w14:textId="78EC6771" w:rsidR="00503490" w:rsidRDefault="00FC75BF" w:rsidP="00C15579">
      <w:pPr>
        <w:pStyle w:val="OutlineNumbered1"/>
      </w:pPr>
      <w:r>
        <w:t>O</w:t>
      </w:r>
      <w:r w:rsidR="00DC764D">
        <w:t xml:space="preserve">ptions to deal with an excess are </w:t>
      </w:r>
      <w:r>
        <w:t xml:space="preserve">set out in section 1069H of the </w:t>
      </w:r>
      <w:r w:rsidRPr="00C0422B">
        <w:t xml:space="preserve">Corporations Act </w:t>
      </w:r>
      <w:r>
        <w:t xml:space="preserve">and are </w:t>
      </w:r>
      <w:r w:rsidR="00DC764D">
        <w:t>enlivened only after</w:t>
      </w:r>
      <w:r w:rsidR="00865586">
        <w:t xml:space="preserve"> the CSLR operator makes a ‘revised claims, fees and costs estimate’</w:t>
      </w:r>
      <w:r w:rsidR="001F686D">
        <w:t xml:space="preserve"> under </w:t>
      </w:r>
      <w:r w:rsidR="007C4274">
        <w:t>section 10</w:t>
      </w:r>
      <w:r w:rsidR="00866B0A">
        <w:t xml:space="preserve"> of the </w:t>
      </w:r>
      <w:r w:rsidR="001E3B16">
        <w:t xml:space="preserve">CSLR Levy (Collection) Act </w:t>
      </w:r>
      <w:r w:rsidR="001F686D">
        <w:t xml:space="preserve">and notifies the Minister of </w:t>
      </w:r>
      <w:r w:rsidR="00CE517A">
        <w:t>the revised estimate under subsection 1069</w:t>
      </w:r>
      <w:proofErr w:type="gramStart"/>
      <w:r w:rsidR="00CE517A">
        <w:t>F(</w:t>
      </w:r>
      <w:proofErr w:type="gramEnd"/>
      <w:r w:rsidR="00CE517A">
        <w:t>3) of the Corporations Act</w:t>
      </w:r>
      <w:r w:rsidR="00865586">
        <w:t xml:space="preserve">. </w:t>
      </w:r>
      <w:r w:rsidR="00EB27B4">
        <w:t xml:space="preserve">A revised estimate cannot be made until the start of the </w:t>
      </w:r>
      <w:r w:rsidR="00C27FED">
        <w:t>levy period to which it applies.</w:t>
      </w:r>
    </w:p>
    <w:p w14:paraId="4271935C" w14:textId="3BA73388" w:rsidR="00E8694C" w:rsidRPr="00C0422B" w:rsidRDefault="004857A6" w:rsidP="00C15579">
      <w:pPr>
        <w:pStyle w:val="OutlineNumbered1"/>
      </w:pPr>
      <w:r w:rsidRPr="00C0422B">
        <w:t xml:space="preserve">On </w:t>
      </w:r>
      <w:r w:rsidR="005375AB">
        <w:t>1</w:t>
      </w:r>
      <w:r w:rsidRPr="00C0422B">
        <w:t xml:space="preserve"> July 2025, the CSLR operator </w:t>
      </w:r>
      <w:r w:rsidR="005375AB">
        <w:t xml:space="preserve">made </w:t>
      </w:r>
      <w:r w:rsidRPr="00C0422B">
        <w:t xml:space="preserve">a </w:t>
      </w:r>
      <w:r w:rsidR="00EB27B4" w:rsidRPr="00C0422B">
        <w:t xml:space="preserve">revised claims, fees and costs estimate for the </w:t>
      </w:r>
      <w:r w:rsidR="49772E8E" w:rsidRPr="00C0422B">
        <w:t>2025-26</w:t>
      </w:r>
      <w:r w:rsidR="00EB27B4" w:rsidRPr="00C0422B">
        <w:t xml:space="preserve"> </w:t>
      </w:r>
      <w:r w:rsidR="00C27FED" w:rsidRPr="00C0422B">
        <w:t xml:space="preserve">levy period. </w:t>
      </w:r>
      <w:r w:rsidR="0089431D" w:rsidRPr="00C0422B">
        <w:t>The revised estimate was</w:t>
      </w:r>
      <w:r w:rsidR="008C09FB" w:rsidRPr="00C0422B">
        <w:t xml:space="preserve"> $</w:t>
      </w:r>
      <w:r w:rsidR="00E073A6" w:rsidRPr="00C0422B">
        <w:t>75</w:t>
      </w:r>
      <w:r w:rsidR="008C09FB" w:rsidRPr="00C0422B">
        <w:t>,</w:t>
      </w:r>
      <w:r w:rsidR="00E073A6" w:rsidRPr="00C0422B">
        <w:t>698</w:t>
      </w:r>
      <w:r w:rsidR="008C09FB" w:rsidRPr="00C0422B">
        <w:t>,</w:t>
      </w:r>
      <w:r w:rsidR="00D01505" w:rsidRPr="00C0422B">
        <w:t>425</w:t>
      </w:r>
      <w:r w:rsidR="00C0422B">
        <w:t>,</w:t>
      </w:r>
      <w:r w:rsidR="008C09FB" w:rsidRPr="00C0422B">
        <w:t xml:space="preserve"> of which $</w:t>
      </w:r>
      <w:r w:rsidR="00701A29" w:rsidRPr="00C0422B">
        <w:t>67</w:t>
      </w:r>
      <w:r w:rsidR="008C09FB" w:rsidRPr="00C0422B">
        <w:t>,</w:t>
      </w:r>
      <w:r w:rsidR="00701A29" w:rsidRPr="00C0422B">
        <w:t>288</w:t>
      </w:r>
      <w:r w:rsidR="008C09FB" w:rsidRPr="00C0422B">
        <w:t>,</w:t>
      </w:r>
      <w:r w:rsidR="00701A29" w:rsidRPr="00C0422B">
        <w:t>9</w:t>
      </w:r>
      <w:r w:rsidR="004D009B" w:rsidRPr="00C0422B">
        <w:t>8</w:t>
      </w:r>
      <w:r w:rsidR="00701A29" w:rsidRPr="00C0422B">
        <w:t>6</w:t>
      </w:r>
      <w:r w:rsidR="008C09FB" w:rsidRPr="00C0422B">
        <w:t xml:space="preserve"> was attributed to the financial advice sub</w:t>
      </w:r>
      <w:r w:rsidR="00A35FF0" w:rsidRPr="00C0422B">
        <w:noBreakHyphen/>
      </w:r>
      <w:r w:rsidR="008C09FB" w:rsidRPr="00C0422B">
        <w:t xml:space="preserve">sector. </w:t>
      </w:r>
      <w:r w:rsidR="007E5899">
        <w:t>On 4 July</w:t>
      </w:r>
      <w:r w:rsidR="00F60EC1">
        <w:t xml:space="preserve"> 2025</w:t>
      </w:r>
      <w:r w:rsidR="007E5899">
        <w:t xml:space="preserve">, the </w:t>
      </w:r>
      <w:r w:rsidR="00E95E62" w:rsidRPr="00C0422B">
        <w:t>CSLR operator notifie</w:t>
      </w:r>
      <w:r w:rsidR="00862420">
        <w:t>d</w:t>
      </w:r>
      <w:r w:rsidR="00E95E62" w:rsidRPr="00C0422B">
        <w:t xml:space="preserve"> the Minister of the excess</w:t>
      </w:r>
      <w:r w:rsidR="006E4BC3" w:rsidRPr="00C0422B">
        <w:t xml:space="preserve">, </w:t>
      </w:r>
      <w:r w:rsidR="007E5899">
        <w:t>enlivening</w:t>
      </w:r>
      <w:r w:rsidR="00F60EC1">
        <w:t xml:space="preserve"> the</w:t>
      </w:r>
      <w:r w:rsidR="008371DE" w:rsidRPr="00C0422B">
        <w:t xml:space="preserve"> Minister’s </w:t>
      </w:r>
      <w:r w:rsidR="009529C2" w:rsidRPr="00C0422B">
        <w:t>powers</w:t>
      </w:r>
      <w:r w:rsidR="0085661D" w:rsidRPr="00C0422B" w:rsidDel="00D662D0">
        <w:t xml:space="preserve"> </w:t>
      </w:r>
      <w:r w:rsidR="0085661D" w:rsidRPr="00C0422B">
        <w:t xml:space="preserve">under </w:t>
      </w:r>
      <w:r w:rsidR="00834C54" w:rsidRPr="00C0422B">
        <w:t xml:space="preserve">section 1069H </w:t>
      </w:r>
      <w:r w:rsidR="006F28DE" w:rsidRPr="00C0422B">
        <w:t xml:space="preserve">to deal with </w:t>
      </w:r>
      <w:r w:rsidR="002C2860" w:rsidRPr="00C0422B">
        <w:t>the $</w:t>
      </w:r>
      <w:r w:rsidR="004D009B" w:rsidRPr="00C0422B">
        <w:t>47</w:t>
      </w:r>
      <w:r w:rsidR="002C2860" w:rsidRPr="00C0422B">
        <w:t>,</w:t>
      </w:r>
      <w:r w:rsidR="004D009B" w:rsidRPr="00C0422B">
        <w:t>288</w:t>
      </w:r>
      <w:r w:rsidR="002C2860" w:rsidRPr="00C0422B">
        <w:t>,</w:t>
      </w:r>
      <w:r w:rsidR="004D009B" w:rsidRPr="00C0422B">
        <w:t>986</w:t>
      </w:r>
      <w:r w:rsidR="002C2860" w:rsidRPr="00C0422B">
        <w:t xml:space="preserve"> excess</w:t>
      </w:r>
      <w:r w:rsidR="00AA1EDB" w:rsidRPr="00C0422B">
        <w:t>.</w:t>
      </w:r>
    </w:p>
    <w:p w14:paraId="06BDFF0A" w14:textId="6F1D2BAB" w:rsidR="002F1B76" w:rsidRDefault="00670414" w:rsidP="00670414">
      <w:pPr>
        <w:pStyle w:val="OutlineNumbered1"/>
      </w:pPr>
      <w:r>
        <w:t xml:space="preserve">On the day the CSLR operator made its initial estimate for </w:t>
      </w:r>
      <w:r w:rsidR="009137EE">
        <w:t>2025</w:t>
      </w:r>
      <w:r w:rsidR="009137EE">
        <w:noBreakHyphen/>
        <w:t>26</w:t>
      </w:r>
      <w:r>
        <w:t xml:space="preserve">, the former Assistant Treasurer and Minister for Financial Services, the Hon Stephen Jones, announced that the Government </w:t>
      </w:r>
      <w:r w:rsidR="00E77607">
        <w:t>had directed</w:t>
      </w:r>
      <w:r>
        <w:t xml:space="preserve"> Treasury to undertake a </w:t>
      </w:r>
      <w:r w:rsidR="00621CBE">
        <w:t>post</w:t>
      </w:r>
      <w:r w:rsidR="005E0629">
        <w:noBreakHyphen/>
      </w:r>
      <w:r w:rsidR="00621CBE">
        <w:t xml:space="preserve">implementation </w:t>
      </w:r>
      <w:r>
        <w:t xml:space="preserve">review of the CSLR, to ensure victims of financial misconduct have a sustainable avenue for redress. That review is ongoing. </w:t>
      </w:r>
      <w:r w:rsidR="0083032B">
        <w:t>A first round of consultation took place between 31 January and 28</w:t>
      </w:r>
      <w:r w:rsidR="00943883">
        <w:t> </w:t>
      </w:r>
      <w:r w:rsidR="0083032B">
        <w:t>February</w:t>
      </w:r>
      <w:r w:rsidR="00943883">
        <w:t> </w:t>
      </w:r>
      <w:r w:rsidR="0083032B">
        <w:t xml:space="preserve">2025, </w:t>
      </w:r>
      <w:r w:rsidR="000D2723">
        <w:t>seeking stakeholder feedback and comments in response to the review’s terms of reference.</w:t>
      </w:r>
    </w:p>
    <w:p w14:paraId="4480B579" w14:textId="07CC67B1" w:rsidR="00670414" w:rsidRDefault="00FD213B" w:rsidP="00670414">
      <w:pPr>
        <w:pStyle w:val="OutlineNumbered1"/>
      </w:pPr>
      <w:r>
        <w:lastRenderedPageBreak/>
        <w:t xml:space="preserve">Treasury is now consulting </w:t>
      </w:r>
      <w:r w:rsidR="0023334F">
        <w:t xml:space="preserve">specifically on the options for dealing with </w:t>
      </w:r>
      <w:r w:rsidR="001319A5">
        <w:t xml:space="preserve">a revised estimate that </w:t>
      </w:r>
      <w:r w:rsidR="0023334F">
        <w:t>exce</w:t>
      </w:r>
      <w:r w:rsidR="001319A5">
        <w:t>eds a sub</w:t>
      </w:r>
      <w:r w:rsidR="002919AF">
        <w:noBreakHyphen/>
      </w:r>
      <w:r w:rsidR="001319A5">
        <w:t>sector cap</w:t>
      </w:r>
      <w:r w:rsidR="00915CA6">
        <w:t>,</w:t>
      </w:r>
      <w:r w:rsidR="001319A5">
        <w:t xml:space="preserve"> to inform the </w:t>
      </w:r>
      <w:r w:rsidR="000337E2">
        <w:t>Minister</w:t>
      </w:r>
      <w:r w:rsidR="001319A5">
        <w:t xml:space="preserve">’s decision in relation to the </w:t>
      </w:r>
      <w:r w:rsidR="00463A28">
        <w:t>2025</w:t>
      </w:r>
      <w:r w:rsidR="463D0B76">
        <w:t>-</w:t>
      </w:r>
      <w:r w:rsidR="00463A28">
        <w:t>26</w:t>
      </w:r>
      <w:r w:rsidR="004E5037">
        <w:t xml:space="preserve"> revised estimate and to </w:t>
      </w:r>
      <w:r w:rsidR="00F26140">
        <w:t xml:space="preserve">allow for </w:t>
      </w:r>
      <w:r w:rsidR="0018252F">
        <w:t>tha</w:t>
      </w:r>
      <w:r w:rsidR="004E5037">
        <w:t xml:space="preserve">t </w:t>
      </w:r>
      <w:r w:rsidR="0018252F">
        <w:t xml:space="preserve">decision </w:t>
      </w:r>
      <w:r w:rsidR="00F26140">
        <w:t>to be</w:t>
      </w:r>
      <w:r w:rsidR="004E5037">
        <w:t xml:space="preserve"> </w:t>
      </w:r>
      <w:r w:rsidR="009D7970">
        <w:t xml:space="preserve">taken </w:t>
      </w:r>
      <w:r w:rsidR="002012FE">
        <w:t xml:space="preserve">in the context of the </w:t>
      </w:r>
      <w:r w:rsidR="005E0629">
        <w:t>longer</w:t>
      </w:r>
      <w:r w:rsidR="005E0629">
        <w:noBreakHyphen/>
        <w:t>term</w:t>
      </w:r>
      <w:r w:rsidR="00FF0F37">
        <w:t xml:space="preserve"> </w:t>
      </w:r>
      <w:r w:rsidR="002012FE">
        <w:t xml:space="preserve">considerations </w:t>
      </w:r>
      <w:r w:rsidR="000404C4">
        <w:t xml:space="preserve">arising out </w:t>
      </w:r>
      <w:r w:rsidR="00FF0F37">
        <w:t>of the review.</w:t>
      </w:r>
    </w:p>
    <w:p w14:paraId="52D6EFA4" w14:textId="70F4559D" w:rsidR="002F1B76" w:rsidRDefault="002F1B76" w:rsidP="00670414">
      <w:pPr>
        <w:pStyle w:val="OutlineNumbered1"/>
      </w:pPr>
      <w:r>
        <w:t xml:space="preserve">This paper contains Treasury estimates of the potential </w:t>
      </w:r>
      <w:r w:rsidR="00E43DAA">
        <w:t>levies</w:t>
      </w:r>
      <w:r>
        <w:t xml:space="preserve"> on </w:t>
      </w:r>
      <w:r w:rsidR="00AF12D6">
        <w:t xml:space="preserve">different </w:t>
      </w:r>
      <w:r w:rsidR="00181B11">
        <w:t xml:space="preserve">entities </w:t>
      </w:r>
      <w:r w:rsidR="00AF12D6">
        <w:t>of options for dealing with the excess in 2025</w:t>
      </w:r>
      <w:r w:rsidR="00463A28">
        <w:noBreakHyphen/>
      </w:r>
      <w:r w:rsidR="00AF12D6">
        <w:t xml:space="preserve">26. </w:t>
      </w:r>
      <w:r w:rsidR="008C1E28">
        <w:t>Options</w:t>
      </w:r>
      <w:r w:rsidR="008C1E28" w:rsidRPr="00951CF7">
        <w:t xml:space="preserve"> been </w:t>
      </w:r>
      <w:r w:rsidR="008C1E28">
        <w:t xml:space="preserve">developed </w:t>
      </w:r>
      <w:r w:rsidR="008C1E28" w:rsidRPr="00951CF7">
        <w:t>for comparison purposes and to illustrate the breadth of options available.</w:t>
      </w:r>
      <w:r w:rsidR="008C1E28">
        <w:t xml:space="preserve"> </w:t>
      </w:r>
      <w:r w:rsidR="006C3269" w:rsidRPr="00951CF7">
        <w:t xml:space="preserve">The inclusion of an option in this paper should not be taken as an indication that it is under active consideration by the Government. </w:t>
      </w:r>
      <w:r w:rsidR="006C3269">
        <w:t xml:space="preserve">Estimated levies </w:t>
      </w:r>
      <w:r w:rsidR="00AF12D6">
        <w:t xml:space="preserve">are illustrative only. </w:t>
      </w:r>
      <w:r w:rsidR="00554AE3">
        <w:t xml:space="preserve">They are based on </w:t>
      </w:r>
      <w:r w:rsidR="00516FDE">
        <w:t>de</w:t>
      </w:r>
      <w:r w:rsidR="00463A28">
        <w:noBreakHyphen/>
      </w:r>
      <w:r w:rsidR="00516FDE">
        <w:t xml:space="preserve">identified </w:t>
      </w:r>
      <w:r w:rsidR="00554AE3">
        <w:t xml:space="preserve">data made available to Treasury by the Australian Taxation Office </w:t>
      </w:r>
      <w:r w:rsidR="00001A09">
        <w:t>(ATO)</w:t>
      </w:r>
      <w:r w:rsidR="00554AE3">
        <w:t xml:space="preserve"> and </w:t>
      </w:r>
      <w:proofErr w:type="gramStart"/>
      <w:r w:rsidR="00554AE3">
        <w:t>ASIC, but</w:t>
      </w:r>
      <w:proofErr w:type="gramEnd"/>
      <w:r w:rsidR="00554AE3">
        <w:t xml:space="preserve"> </w:t>
      </w:r>
      <w:r w:rsidR="00A94974">
        <w:t xml:space="preserve">may not reflect every parameter that </w:t>
      </w:r>
      <w:r w:rsidR="00FA14B4">
        <w:t>would be factored into a levy invoice should the Minister make a special levy determination.</w:t>
      </w:r>
      <w:r w:rsidR="009D65AA">
        <w:t xml:space="preserve"> Consequently</w:t>
      </w:r>
      <w:r w:rsidR="00F83E60">
        <w:t>,</w:t>
      </w:r>
      <w:r w:rsidR="009D65AA">
        <w:t xml:space="preserve"> they should be treated as an indication of order of magnitude </w:t>
      </w:r>
      <w:r w:rsidR="00BD1A96">
        <w:t xml:space="preserve">for comparison between options, </w:t>
      </w:r>
      <w:r w:rsidR="009D65AA">
        <w:t>but not as a calculation of likely eventual invoice</w:t>
      </w:r>
      <w:r w:rsidR="00BD1A96">
        <w:t>s</w:t>
      </w:r>
      <w:r w:rsidR="009D65AA">
        <w:t>.</w:t>
      </w:r>
    </w:p>
    <w:p w14:paraId="2A380CEC" w14:textId="6FF1C23C" w:rsidR="000E0B74" w:rsidRDefault="00F63C09" w:rsidP="000E0B74">
      <w:pPr>
        <w:pStyle w:val="Heading2"/>
      </w:pPr>
      <w:bookmarkStart w:id="8" w:name="_Toc202542332"/>
      <w:r>
        <w:t>Legislative framework</w:t>
      </w:r>
      <w:bookmarkEnd w:id="8"/>
    </w:p>
    <w:p w14:paraId="43548E8E" w14:textId="2873F043" w:rsidR="000E0B74" w:rsidRDefault="006869BE" w:rsidP="00C15579">
      <w:pPr>
        <w:pStyle w:val="OutlineNumbered1"/>
      </w:pPr>
      <w:r>
        <w:t>S</w:t>
      </w:r>
      <w:r w:rsidR="009D5AF9">
        <w:t>ubs</w:t>
      </w:r>
      <w:r>
        <w:t>ection 1069</w:t>
      </w:r>
      <w:proofErr w:type="gramStart"/>
      <w:r>
        <w:t>H</w:t>
      </w:r>
      <w:r w:rsidR="00DD508B">
        <w:t>(</w:t>
      </w:r>
      <w:proofErr w:type="gramEnd"/>
      <w:r w:rsidR="00DD508B">
        <w:t xml:space="preserve">2) of the </w:t>
      </w:r>
      <w:r w:rsidR="00DD508B" w:rsidRPr="004469F1">
        <w:t xml:space="preserve">Corporations Act </w:t>
      </w:r>
      <w:r w:rsidR="00DD508B">
        <w:t xml:space="preserve">provides that the Minister may, by legislative instrument, make a determination </w:t>
      </w:r>
      <w:r w:rsidR="003400D5">
        <w:t xml:space="preserve">for the levy period dealing with </w:t>
      </w:r>
      <w:r w:rsidR="000249BC">
        <w:t xml:space="preserve">one or more of the matters mentioned in subsections (3) to (5). </w:t>
      </w:r>
      <w:r w:rsidR="00DE3A9C">
        <w:t xml:space="preserve">Those subsections set out options for dealing with </w:t>
      </w:r>
      <w:r w:rsidR="00591662">
        <w:t xml:space="preserve">a revised estimate </w:t>
      </w:r>
      <w:r w:rsidR="00520BDA">
        <w:t xml:space="preserve">that exceeds </w:t>
      </w:r>
      <w:r w:rsidR="00591662">
        <w:t>a sub</w:t>
      </w:r>
      <w:r w:rsidR="00520BDA">
        <w:noBreakHyphen/>
      </w:r>
      <w:r w:rsidR="00591662">
        <w:t>sector levy cap. At a high level, those options are:</w:t>
      </w:r>
    </w:p>
    <w:p w14:paraId="7D1AB69F" w14:textId="5A37C76A" w:rsidR="00591662" w:rsidRDefault="002A7337" w:rsidP="005C4B27">
      <w:pPr>
        <w:pStyle w:val="OutlineNumbered2"/>
        <w:tabs>
          <w:tab w:val="clear" w:pos="1134"/>
          <w:tab w:val="num" w:pos="1701"/>
        </w:tabs>
        <w:ind w:left="1702" w:hanging="851"/>
      </w:pPr>
      <w:r>
        <w:t>spreading compensation payable by the CSLR over a longer period of time (subsection </w:t>
      </w:r>
      <w:r w:rsidR="00B21472">
        <w:t>(3)</w:t>
      </w:r>
      <w:proofErr w:type="gramStart"/>
      <w:r w:rsidR="00B21472">
        <w:t>);</w:t>
      </w:r>
      <w:proofErr w:type="gramEnd"/>
    </w:p>
    <w:p w14:paraId="52469431" w14:textId="6AFC7C4B" w:rsidR="00B21472" w:rsidRDefault="00161EAA" w:rsidP="005C4B27">
      <w:pPr>
        <w:pStyle w:val="OutlineNumbered2"/>
        <w:tabs>
          <w:tab w:val="clear" w:pos="1134"/>
          <w:tab w:val="num" w:pos="1701"/>
        </w:tabs>
        <w:ind w:left="1702" w:hanging="851"/>
      </w:pPr>
      <w:r>
        <w:t>apply a ‘special levy’ just to the sub</w:t>
      </w:r>
      <w:r w:rsidR="00057855">
        <w:noBreakHyphen/>
      </w:r>
      <w:r w:rsidR="009C6331">
        <w:t xml:space="preserve">sector </w:t>
      </w:r>
      <w:r w:rsidR="00D74A4B">
        <w:t>whose cap has been exceeded</w:t>
      </w:r>
      <w:r w:rsidR="00E2240C">
        <w:t xml:space="preserve">, of no more than </w:t>
      </w:r>
      <w:r w:rsidR="00B71FF9">
        <w:t>difference between the revised sub</w:t>
      </w:r>
      <w:r w:rsidR="00057855">
        <w:noBreakHyphen/>
      </w:r>
      <w:r w:rsidR="00B71FF9">
        <w:t xml:space="preserve">sector </w:t>
      </w:r>
      <w:r>
        <w:t>estimate</w:t>
      </w:r>
      <w:r w:rsidR="00B71FF9">
        <w:t xml:space="preserve"> and the amount of levy already paid</w:t>
      </w:r>
      <w:r w:rsidR="00D74A4B">
        <w:t xml:space="preserve"> (subs</w:t>
      </w:r>
      <w:r w:rsidR="00C21C02">
        <w:t>ection (4)); and</w:t>
      </w:r>
    </w:p>
    <w:p w14:paraId="13D45680" w14:textId="401B1F5A" w:rsidR="00C21C02" w:rsidRDefault="00C21C02" w:rsidP="005C4B27">
      <w:pPr>
        <w:pStyle w:val="OutlineNumbered2"/>
        <w:tabs>
          <w:tab w:val="clear" w:pos="1134"/>
          <w:tab w:val="num" w:pos="1701"/>
        </w:tabs>
        <w:ind w:left="1702" w:hanging="851"/>
      </w:pPr>
      <w:r>
        <w:t xml:space="preserve">apply a ‘special levy’ </w:t>
      </w:r>
      <w:r w:rsidR="007C6DFF">
        <w:t>to several sub</w:t>
      </w:r>
      <w:r w:rsidR="007C6DFF">
        <w:noBreakHyphen/>
        <w:t>sectors</w:t>
      </w:r>
      <w:r w:rsidR="00741C81">
        <w:t xml:space="preserve">, again of no more than the difference between the revised </w:t>
      </w:r>
      <w:r w:rsidR="00765989">
        <w:t>estimate and the amount already paid (subsection (5))</w:t>
      </w:r>
      <w:r w:rsidR="007C6DFF">
        <w:t>.</w:t>
      </w:r>
    </w:p>
    <w:p w14:paraId="55179844" w14:textId="4C4F5B0F" w:rsidR="00096E2D" w:rsidRDefault="00F961DC" w:rsidP="00C15579">
      <w:pPr>
        <w:pStyle w:val="OutlineNumbered1"/>
      </w:pPr>
      <w:r>
        <w:t xml:space="preserve">The Minister’s power to </w:t>
      </w:r>
      <w:r w:rsidR="009A7D75">
        <w:t>exercise these options is discretionary</w:t>
      </w:r>
      <w:r w:rsidR="00107A4F">
        <w:t xml:space="preserve">. </w:t>
      </w:r>
      <w:r w:rsidR="0005362C">
        <w:t>N</w:t>
      </w:r>
      <w:r w:rsidR="00107A4F">
        <w:t>othing in section 1069H requires the Minister to take any particular action</w:t>
      </w:r>
      <w:r w:rsidR="009C448F">
        <w:t xml:space="preserve"> in response to a notification that a sub</w:t>
      </w:r>
      <w:r w:rsidR="009C448F">
        <w:noBreakHyphen/>
        <w:t>sector cap has been exceeded</w:t>
      </w:r>
      <w:r w:rsidR="00614698">
        <w:t xml:space="preserve">; there is no timeframe for the Minister to </w:t>
      </w:r>
      <w:proofErr w:type="gramStart"/>
      <w:r w:rsidR="00614698">
        <w:t xml:space="preserve">make a </w:t>
      </w:r>
      <w:r w:rsidR="00BE3D06">
        <w:t>determination</w:t>
      </w:r>
      <w:proofErr w:type="gramEnd"/>
      <w:r w:rsidR="00BE3D06">
        <w:t xml:space="preserve">, </w:t>
      </w:r>
      <w:r w:rsidR="00614698">
        <w:t xml:space="preserve">and no deemed </w:t>
      </w:r>
      <w:r w:rsidR="00BE3D06">
        <w:t xml:space="preserve">determination </w:t>
      </w:r>
      <w:r w:rsidR="00614698">
        <w:t>if</w:t>
      </w:r>
      <w:r w:rsidR="00BE3D06">
        <w:t xml:space="preserve"> the Minister takes no action.</w:t>
      </w:r>
    </w:p>
    <w:p w14:paraId="056D3DE4" w14:textId="62282A00" w:rsidR="006869BE" w:rsidRDefault="00CF5421" w:rsidP="00C15579">
      <w:pPr>
        <w:pStyle w:val="OutlineNumbered1"/>
      </w:pPr>
      <w:r>
        <w:t xml:space="preserve">The </w:t>
      </w:r>
      <w:r w:rsidR="00096E2D">
        <w:t xml:space="preserve">options are not mutually exclusive. The </w:t>
      </w:r>
      <w:r>
        <w:t>Minis</w:t>
      </w:r>
      <w:r w:rsidR="00096E2D">
        <w:t>ter</w:t>
      </w:r>
      <w:r>
        <w:t xml:space="preserve"> may choose to make</w:t>
      </w:r>
      <w:r w:rsidR="0005362C">
        <w:t xml:space="preserve"> a determination that both imposes a special levy </w:t>
      </w:r>
      <w:r w:rsidR="00F62CED">
        <w:t xml:space="preserve">and spreads compensation out over a longer </w:t>
      </w:r>
      <w:proofErr w:type="gramStart"/>
      <w:r w:rsidR="00F62CED">
        <w:t>period, and</w:t>
      </w:r>
      <w:proofErr w:type="gramEnd"/>
      <w:r w:rsidR="00F62CED">
        <w:t xml:space="preserve"> m</w:t>
      </w:r>
      <w:r w:rsidR="00932385">
        <w:t xml:space="preserve">ay choose to make a determination that imposes a special levy that does not recover the </w:t>
      </w:r>
      <w:r w:rsidR="00C73526">
        <w:t xml:space="preserve">full amount of the excess. In circumstances where </w:t>
      </w:r>
      <w:r w:rsidR="0071531E">
        <w:t xml:space="preserve">an amount that is </w:t>
      </w:r>
      <w:r w:rsidR="00C73526">
        <w:t xml:space="preserve">less than the full </w:t>
      </w:r>
      <w:r w:rsidR="0071531E">
        <w:t xml:space="preserve">excess </w:t>
      </w:r>
      <w:r w:rsidR="00C73526">
        <w:t xml:space="preserve">is </w:t>
      </w:r>
      <w:r w:rsidR="0071531E">
        <w:t>levied</w:t>
      </w:r>
      <w:r w:rsidR="00036F15">
        <w:t xml:space="preserve"> (including when no special levy is imposed), the amount of shortfall would be added to the CSLR operator’s estimates for subsequent levy periods.</w:t>
      </w:r>
    </w:p>
    <w:p w14:paraId="39D6AEAF" w14:textId="3BC3CE5E" w:rsidR="004217E1" w:rsidRDefault="004217E1" w:rsidP="00C15579">
      <w:pPr>
        <w:pStyle w:val="OutlineNumbered1"/>
      </w:pPr>
      <w:r>
        <w:t>If the Minister determines to apply a special levy to several sub</w:t>
      </w:r>
      <w:r>
        <w:noBreakHyphen/>
        <w:t xml:space="preserve">sectors, that levy </w:t>
      </w:r>
      <w:r w:rsidR="00F854BA">
        <w:t xml:space="preserve">may </w:t>
      </w:r>
      <w:r w:rsidR="00F7057B">
        <w:t>(</w:t>
      </w:r>
      <w:r w:rsidR="00F854BA">
        <w:t>but need not</w:t>
      </w:r>
      <w:r w:rsidR="004B194E">
        <w:t xml:space="preserve"> </w:t>
      </w:r>
      <w:r w:rsidR="00F854BA">
        <w:t>be</w:t>
      </w:r>
      <w:r w:rsidR="00F7057B">
        <w:t>)</w:t>
      </w:r>
      <w:r w:rsidR="00F854BA">
        <w:t xml:space="preserve"> imposed on the sub</w:t>
      </w:r>
      <w:r w:rsidR="00F854BA">
        <w:noBreakHyphen/>
        <w:t xml:space="preserve">sector to which the </w:t>
      </w:r>
      <w:r w:rsidR="00A86BD7">
        <w:t xml:space="preserve">estimated </w:t>
      </w:r>
      <w:r w:rsidR="00F854BA">
        <w:t>excess is</w:t>
      </w:r>
      <w:r w:rsidR="00A86BD7">
        <w:t xml:space="preserve"> attributed (under subparagraph 9(b)(ii) of the CSLR Levy Act)</w:t>
      </w:r>
      <w:r w:rsidR="00F854BA">
        <w:t>.</w:t>
      </w:r>
    </w:p>
    <w:p w14:paraId="7E04C466" w14:textId="327828C6" w:rsidR="00F961DC" w:rsidRPr="00A342F4" w:rsidRDefault="008B7505" w:rsidP="00C15579">
      <w:pPr>
        <w:pStyle w:val="OutlineNumbered1"/>
      </w:pPr>
      <w:r>
        <w:t xml:space="preserve">If the Minister determines to apply a special levy to </w:t>
      </w:r>
      <w:r w:rsidR="004F52B5">
        <w:t>several sub</w:t>
      </w:r>
      <w:r w:rsidR="004F52B5">
        <w:noBreakHyphen/>
        <w:t xml:space="preserve">sectors, </w:t>
      </w:r>
      <w:r w:rsidR="00142373">
        <w:t xml:space="preserve">he or she </w:t>
      </w:r>
      <w:r w:rsidR="00C619E6">
        <w:t xml:space="preserve">specifies which </w:t>
      </w:r>
      <w:r w:rsidR="00452FBA">
        <w:t>sub</w:t>
      </w:r>
      <w:r w:rsidR="00452FBA">
        <w:noBreakHyphen/>
        <w:t xml:space="preserve">sectors are to pay and the amount </w:t>
      </w:r>
      <w:r w:rsidR="00252DC3">
        <w:t xml:space="preserve">that </w:t>
      </w:r>
      <w:r w:rsidR="00AE78A9">
        <w:t>is to</w:t>
      </w:r>
      <w:r w:rsidR="00FF2CE2">
        <w:t xml:space="preserve"> be</w:t>
      </w:r>
      <w:r w:rsidR="00252DC3">
        <w:t xml:space="preserve"> imposed across all members of each specified sub</w:t>
      </w:r>
      <w:r w:rsidR="00252DC3">
        <w:noBreakHyphen/>
        <w:t>sector</w:t>
      </w:r>
      <w:r w:rsidR="008D306A">
        <w:t xml:space="preserve"> (paragraph </w:t>
      </w:r>
      <w:r w:rsidR="008E3AAB">
        <w:t>1069H(5)(b) of the Corporations Act)</w:t>
      </w:r>
      <w:r w:rsidR="00252DC3">
        <w:t>.</w:t>
      </w:r>
      <w:r w:rsidR="008E3AAB">
        <w:t xml:space="preserve"> </w:t>
      </w:r>
      <w:r w:rsidR="00EC52EF">
        <w:t xml:space="preserve">Subject to certain conditions, the Minister may </w:t>
      </w:r>
      <w:r w:rsidR="00F9552A">
        <w:t>specify any of the sub</w:t>
      </w:r>
      <w:r w:rsidR="00F9552A">
        <w:noBreakHyphen/>
        <w:t xml:space="preserve">sectors </w:t>
      </w:r>
      <w:r w:rsidR="00710AF4">
        <w:t xml:space="preserve">defined in the </w:t>
      </w:r>
      <w:r w:rsidR="00710AF4">
        <w:rPr>
          <w:i/>
          <w:iCs/>
        </w:rPr>
        <w:t>ASIC Supervisory Cost Recovery Levy Regulations 2017</w:t>
      </w:r>
      <w:r w:rsidR="00D17D21">
        <w:t xml:space="preserve"> (</w:t>
      </w:r>
      <w:r w:rsidR="00CA2456">
        <w:t xml:space="preserve">the ASIC Industry Funding Model (IFM), </w:t>
      </w:r>
      <w:r w:rsidR="00D17D21">
        <w:t xml:space="preserve">see </w:t>
      </w:r>
      <w:r w:rsidR="00D17D21">
        <w:rPr>
          <w:u w:val="single"/>
        </w:rPr>
        <w:t>Appendix</w:t>
      </w:r>
      <w:r w:rsidR="00AC5C5F">
        <w:rPr>
          <w:u w:val="single"/>
        </w:rPr>
        <w:t> A</w:t>
      </w:r>
      <w:r w:rsidR="00D17D21">
        <w:t>)</w:t>
      </w:r>
      <w:r w:rsidR="00D734FA">
        <w:t xml:space="preserve">, but </w:t>
      </w:r>
      <w:r w:rsidR="00280551">
        <w:t xml:space="preserve">the special levy would be imposed only on the leviable entities within </w:t>
      </w:r>
      <w:r w:rsidR="00280551">
        <w:lastRenderedPageBreak/>
        <w:t>each sub</w:t>
      </w:r>
      <w:r w:rsidR="00280551">
        <w:noBreakHyphen/>
        <w:t xml:space="preserve">sector that are </w:t>
      </w:r>
      <w:r w:rsidR="00235CA2">
        <w:t xml:space="preserve">required </w:t>
      </w:r>
      <w:r w:rsidR="00B11643">
        <w:t>(</w:t>
      </w:r>
      <w:r w:rsidR="003A0038">
        <w:t xml:space="preserve">directly or indirectly) </w:t>
      </w:r>
      <w:r w:rsidR="009D3E17">
        <w:t xml:space="preserve">by a law of the Commonwealth </w:t>
      </w:r>
      <w:r w:rsidR="00235CA2">
        <w:t xml:space="preserve">to be members of AFCA (regulation 8 of the </w:t>
      </w:r>
      <w:r w:rsidR="00235CA2">
        <w:rPr>
          <w:i/>
          <w:iCs/>
        </w:rPr>
        <w:t>Financial Services Compensation Scheme of Last Resort Levy Regulations 2023</w:t>
      </w:r>
      <w:r w:rsidR="00261585">
        <w:t>, the ‘CSLR Levy Regulations’</w:t>
      </w:r>
      <w:r w:rsidR="00235CA2">
        <w:t>).</w:t>
      </w:r>
      <w:r w:rsidR="00261585">
        <w:t xml:space="preserve"> The Minister does not </w:t>
      </w:r>
      <w:r w:rsidR="00245D86">
        <w:t>further determine how a special levy is to be apportioned between entities within a specified sub</w:t>
      </w:r>
      <w:r w:rsidR="00245D86">
        <w:noBreakHyphen/>
        <w:t>sector; this is a function of formulae set out in regulations 16 and</w:t>
      </w:r>
      <w:r w:rsidR="00A342F4">
        <w:t> 17 of the CSLR Levy Regulations.</w:t>
      </w:r>
    </w:p>
    <w:p w14:paraId="1EA60416" w14:textId="75099A04" w:rsidR="00A7718B" w:rsidRDefault="00A7718B" w:rsidP="00A7718B">
      <w:pPr>
        <w:pStyle w:val="OutlineNumbered1"/>
      </w:pPr>
      <w:r>
        <w:t xml:space="preserve">The legislative framework does not contemplate the Commonwealth’s making a financial contribution to deal with an excess claims, fees and costs estimate. This option is not available under section 1069H. </w:t>
      </w:r>
      <w:r w:rsidR="00D750B7">
        <w:t xml:space="preserve">The legislation </w:t>
      </w:r>
      <w:r w:rsidR="00D750B7" w:rsidRPr="00B54831">
        <w:t xml:space="preserve">provides for the Commonwealth to pay </w:t>
      </w:r>
      <w:r w:rsidR="00A836C3">
        <w:t xml:space="preserve">the CSLR’s costs </w:t>
      </w:r>
      <w:r w:rsidR="00D750B7" w:rsidRPr="00B54831">
        <w:t>for the first levy period (which ran from 2 April to 30 June 2024). But beyond that point, section 1069P sets out the funding sources of the CSLR operator (that is, the amounts ASIC has collected under the CSLR Levy (Collection) Act).</w:t>
      </w:r>
    </w:p>
    <w:p w14:paraId="3BC0B500" w14:textId="4F977EDA" w:rsidR="009D2C74" w:rsidRDefault="009D2C74" w:rsidP="00C15579">
      <w:pPr>
        <w:pStyle w:val="OutlineNumbered1"/>
      </w:pPr>
      <w:r>
        <w:t>While the</w:t>
      </w:r>
      <w:r w:rsidR="003274D3">
        <w:t xml:space="preserve"> Minister’s options are discretionary, there are certain matters that he or she must have regard to or be satisfied of before imposing a special levy on several sub</w:t>
      </w:r>
      <w:r w:rsidR="003274D3">
        <w:noBreakHyphen/>
        <w:t>sectors.</w:t>
      </w:r>
      <w:r w:rsidR="00EC5EE4">
        <w:t xml:space="preserve"> These matters are set out</w:t>
      </w:r>
      <w:r w:rsidR="000F3B02">
        <w:t xml:space="preserve"> in the sections below. The matters do not apply expressly to </w:t>
      </w:r>
      <w:r w:rsidR="00861E4D">
        <w:t xml:space="preserve">a decision to deal with an excess under subsections 1069H(3) or (4); that is, </w:t>
      </w:r>
      <w:r w:rsidR="00082D5A">
        <w:t xml:space="preserve">the legislation prescribes </w:t>
      </w:r>
      <w:r w:rsidR="00861E4D">
        <w:t xml:space="preserve">no matters of which the </w:t>
      </w:r>
      <w:r w:rsidR="00082D5A">
        <w:t>Minister must be satisfied, or to which he or she must have regard, before determining to spread compensation payments over future years or imposing a special levy just on the primary sub</w:t>
      </w:r>
      <w:r w:rsidR="00082D5A">
        <w:noBreakHyphen/>
        <w:t>sector.</w:t>
      </w:r>
    </w:p>
    <w:p w14:paraId="7CB5A552" w14:textId="58920D29" w:rsidR="006E259C" w:rsidRDefault="00533CFA" w:rsidP="00533CFA">
      <w:pPr>
        <w:pStyle w:val="Heading4"/>
      </w:pPr>
      <w:r>
        <w:t>Special levy for several sub</w:t>
      </w:r>
      <w:r>
        <w:noBreakHyphen/>
        <w:t>sectors: m</w:t>
      </w:r>
      <w:r w:rsidR="006E259C">
        <w:t>atters of which the Minister must be satisfied</w:t>
      </w:r>
    </w:p>
    <w:p w14:paraId="2EB67E97" w14:textId="5E0C5428" w:rsidR="006E259C" w:rsidRDefault="009149AE" w:rsidP="00C15579">
      <w:pPr>
        <w:pStyle w:val="OutlineNumbered1"/>
      </w:pPr>
      <w:r>
        <w:t>Under</w:t>
      </w:r>
      <w:r w:rsidR="0031548F">
        <w:t xml:space="preserve"> p</w:t>
      </w:r>
      <w:r w:rsidR="00AC151D">
        <w:t>ara</w:t>
      </w:r>
      <w:r w:rsidR="0031548F">
        <w:t>graph 1069H</w:t>
      </w:r>
      <w:r w:rsidR="00AC151D">
        <w:t>(5)(a)</w:t>
      </w:r>
      <w:r w:rsidR="0031548F">
        <w:t xml:space="preserve"> of the Corporations Act, </w:t>
      </w:r>
      <w:r w:rsidR="005F689B">
        <w:t>a special levy can be imposed on several sub</w:t>
      </w:r>
      <w:r w:rsidR="005F689B">
        <w:noBreakHyphen/>
        <w:t>sectors only if the Minister is satisfied that imposing the levy:</w:t>
      </w:r>
    </w:p>
    <w:p w14:paraId="4E621BFA" w14:textId="28E7DEE1" w:rsidR="005F689B" w:rsidRPr="007B4E97" w:rsidRDefault="003907F2" w:rsidP="005F689B">
      <w:pPr>
        <w:pStyle w:val="OutlineNumbered2"/>
        <w:tabs>
          <w:tab w:val="clear" w:pos="1134"/>
          <w:tab w:val="num" w:pos="1701"/>
        </w:tabs>
        <w:ind w:left="1702" w:hanging="851"/>
      </w:pPr>
      <w:r>
        <w:t xml:space="preserve">is because of the </w:t>
      </w:r>
      <w:r w:rsidR="001F38A8">
        <w:t xml:space="preserve">number and value of </w:t>
      </w:r>
      <w:r w:rsidR="0031176F">
        <w:t xml:space="preserve">CSLR </w:t>
      </w:r>
      <w:r w:rsidR="001F38A8">
        <w:t xml:space="preserve">claims being paid </w:t>
      </w:r>
      <w:r w:rsidR="0031176F">
        <w:t>in the financial year for the sub</w:t>
      </w:r>
      <w:r w:rsidR="0031176F">
        <w:noBreakHyphen/>
        <w:t xml:space="preserve">sector </w:t>
      </w:r>
      <w:r w:rsidR="007B4E97">
        <w:t xml:space="preserve">whose cap has been exceeded; </w:t>
      </w:r>
      <w:r w:rsidR="007B4E97" w:rsidRPr="00E74C3C">
        <w:t>and</w:t>
      </w:r>
    </w:p>
    <w:p w14:paraId="19ECBBA7" w14:textId="045514D2" w:rsidR="007B4E97" w:rsidRPr="007B4E97" w:rsidRDefault="007B4E97" w:rsidP="005F689B">
      <w:pPr>
        <w:pStyle w:val="OutlineNumbered2"/>
        <w:tabs>
          <w:tab w:val="clear" w:pos="1134"/>
          <w:tab w:val="num" w:pos="1701"/>
        </w:tabs>
        <w:ind w:left="1702" w:hanging="851"/>
      </w:pPr>
      <w:r w:rsidRPr="007B4E97">
        <w:t>is the most</w:t>
      </w:r>
      <w:r>
        <w:t xml:space="preserve"> effective way of </w:t>
      </w:r>
      <w:r w:rsidR="00E74C3C">
        <w:t>enabling those claims to be paid in a timely manner.</w:t>
      </w:r>
    </w:p>
    <w:p w14:paraId="4C261012" w14:textId="3B7D2014" w:rsidR="00AC151D" w:rsidRDefault="00941AAE" w:rsidP="00C15579">
      <w:pPr>
        <w:pStyle w:val="OutlineNumbered1"/>
      </w:pPr>
      <w:r>
        <w:t xml:space="preserve">The legislation and extrinsic material do not </w:t>
      </w:r>
      <w:r w:rsidR="00A11537">
        <w:t>offer further guidance on how to assess whether the special levy is ‘the most effective</w:t>
      </w:r>
      <w:r w:rsidR="003A66F3">
        <w:t>’ way of meeting the CSLR’s funding needs</w:t>
      </w:r>
      <w:r w:rsidR="005F2209">
        <w:t xml:space="preserve"> to enable </w:t>
      </w:r>
      <w:r w:rsidR="007E53AB">
        <w:t xml:space="preserve">eligible claimants to receive </w:t>
      </w:r>
      <w:r w:rsidR="00174870">
        <w:t xml:space="preserve">timely </w:t>
      </w:r>
      <w:r w:rsidR="007E53AB">
        <w:t>compensation</w:t>
      </w:r>
      <w:r w:rsidR="003A66F3">
        <w:t>.</w:t>
      </w:r>
      <w:r w:rsidR="000C489A">
        <w:t xml:space="preserve"> </w:t>
      </w:r>
      <w:r w:rsidR="00BA2B63">
        <w:t xml:space="preserve">In context, </w:t>
      </w:r>
      <w:r w:rsidR="00312568">
        <w:t xml:space="preserve">‘most effective’ </w:t>
      </w:r>
      <w:r w:rsidR="00CF1047">
        <w:t xml:space="preserve">may </w:t>
      </w:r>
      <w:r w:rsidR="00312568">
        <w:t>mean</w:t>
      </w:r>
      <w:r w:rsidR="00CF1047">
        <w:t xml:space="preserve"> </w:t>
      </w:r>
      <w:r w:rsidR="00312568">
        <w:t>more effective than the other options available under section 1069H.</w:t>
      </w:r>
      <w:r w:rsidR="002A755B">
        <w:t xml:space="preserve"> It is notable that the statute does not use the word ‘efficient’, but</w:t>
      </w:r>
      <w:r w:rsidR="000F1BA4">
        <w:t xml:space="preserve"> the efficiency of a levy </w:t>
      </w:r>
      <w:r w:rsidR="00185B54">
        <w:t xml:space="preserve">(in terms of, say, its </w:t>
      </w:r>
      <w:r w:rsidR="00E14045">
        <w:t xml:space="preserve">marginal excess burden) </w:t>
      </w:r>
      <w:r w:rsidR="000F1BA4">
        <w:t>may be part of a broader consideration of the levy’s effectiveness.</w:t>
      </w:r>
      <w:r w:rsidR="00D3623E">
        <w:t xml:space="preserve"> Other elements </w:t>
      </w:r>
      <w:r w:rsidR="005F505B">
        <w:t xml:space="preserve">of effectiveness could include, for example, how reliably </w:t>
      </w:r>
      <w:r w:rsidR="00626373">
        <w:t xml:space="preserve">and cost-effectively </w:t>
      </w:r>
      <w:r w:rsidR="00722544">
        <w:t>a special</w:t>
      </w:r>
      <w:r w:rsidR="005F505B">
        <w:t xml:space="preserve"> levy can be collected (</w:t>
      </w:r>
      <w:r w:rsidR="005B4015">
        <w:t>that is,</w:t>
      </w:r>
      <w:r w:rsidR="007B50A3">
        <w:t xml:space="preserve"> whether an option present</w:t>
      </w:r>
      <w:r w:rsidR="00276851">
        <w:t>s a higher</w:t>
      </w:r>
      <w:r w:rsidR="007B50A3">
        <w:t xml:space="preserve"> risk of under</w:t>
      </w:r>
      <w:r w:rsidR="222EED15">
        <w:t>-</w:t>
      </w:r>
      <w:r w:rsidR="007B50A3">
        <w:t>collection</w:t>
      </w:r>
      <w:r w:rsidR="00626373">
        <w:t xml:space="preserve"> </w:t>
      </w:r>
      <w:r w:rsidR="00487B69">
        <w:t xml:space="preserve">because of a large number of levied entities, </w:t>
      </w:r>
      <w:r w:rsidR="005F05BA">
        <w:t>or</w:t>
      </w:r>
      <w:r w:rsidR="00BB5956">
        <w:t xml:space="preserve"> </w:t>
      </w:r>
      <w:r w:rsidR="00125672">
        <w:t xml:space="preserve">whether administrative </w:t>
      </w:r>
      <w:r w:rsidR="0064789B">
        <w:t>costs may be large relative to the amount to be raised</w:t>
      </w:r>
      <w:r w:rsidR="007B50A3">
        <w:t xml:space="preserve">), </w:t>
      </w:r>
      <w:r w:rsidR="00672926">
        <w:t xml:space="preserve">or whether </w:t>
      </w:r>
      <w:r w:rsidR="00722544">
        <w:t xml:space="preserve">a special levy sends an effective signal to industry to use its resources to </w:t>
      </w:r>
      <w:r w:rsidR="009B2636">
        <w:t>reduce misconduct.</w:t>
      </w:r>
    </w:p>
    <w:p w14:paraId="0E1D2E74" w14:textId="72E947E8" w:rsidR="00E74257" w:rsidRDefault="00533CFA" w:rsidP="00533CFA">
      <w:pPr>
        <w:pStyle w:val="Heading4"/>
      </w:pPr>
      <w:r>
        <w:t>Special levy for several sub</w:t>
      </w:r>
      <w:r>
        <w:noBreakHyphen/>
        <w:t>sectors: m</w:t>
      </w:r>
      <w:r w:rsidR="00E74257">
        <w:t>atters to which the Minister must have regard</w:t>
      </w:r>
    </w:p>
    <w:p w14:paraId="2DC0F984" w14:textId="496F5327" w:rsidR="00E74257" w:rsidRDefault="00202E11" w:rsidP="00C15579">
      <w:pPr>
        <w:pStyle w:val="OutlineNumbered1"/>
      </w:pPr>
      <w:r>
        <w:t>Under paragraph 1069H</w:t>
      </w:r>
      <w:r w:rsidR="00AC151D">
        <w:t>(5)(b)</w:t>
      </w:r>
      <w:r>
        <w:t xml:space="preserve"> of the Corporations Act, </w:t>
      </w:r>
      <w:r w:rsidR="00F07410">
        <w:t>the Minister may specify an amount of special levy that is to be imposed across all members of a specified sub</w:t>
      </w:r>
      <w:r w:rsidR="00F07410">
        <w:noBreakHyphen/>
        <w:t>sector if</w:t>
      </w:r>
      <w:r w:rsidR="00F170C1">
        <w:t xml:space="preserve"> he or she has had regard to:</w:t>
      </w:r>
    </w:p>
    <w:p w14:paraId="4AA87D81" w14:textId="0637100F" w:rsidR="00F170C1" w:rsidRDefault="00BD1AA4" w:rsidP="00F170C1">
      <w:pPr>
        <w:pStyle w:val="OutlineNumbered2"/>
        <w:tabs>
          <w:tab w:val="clear" w:pos="1134"/>
          <w:tab w:val="num" w:pos="1701"/>
        </w:tabs>
        <w:ind w:left="1702" w:hanging="851"/>
      </w:pPr>
      <w:r>
        <w:t>t</w:t>
      </w:r>
      <w:r w:rsidR="00A87F41">
        <w:t xml:space="preserve">he impact </w:t>
      </w:r>
      <w:r w:rsidR="003B2708">
        <w:t>the special levy may have on the sub</w:t>
      </w:r>
      <w:r w:rsidR="003B2708">
        <w:noBreakHyphen/>
        <w:t>sector’s financial sustainability and viability; and</w:t>
      </w:r>
    </w:p>
    <w:p w14:paraId="3C745A18" w14:textId="60C6FC9B" w:rsidR="003B2708" w:rsidRDefault="00F23038" w:rsidP="00F170C1">
      <w:pPr>
        <w:pStyle w:val="OutlineNumbered2"/>
        <w:tabs>
          <w:tab w:val="clear" w:pos="1134"/>
          <w:tab w:val="num" w:pos="1701"/>
        </w:tabs>
        <w:ind w:left="1702" w:hanging="851"/>
      </w:pPr>
      <w:r>
        <w:t>the impact the special levy may have on the financial system more broadly.</w:t>
      </w:r>
    </w:p>
    <w:p w14:paraId="1C3DFF88" w14:textId="0408D9AB" w:rsidR="00776D7B" w:rsidRDefault="00776D7B" w:rsidP="00776D7B">
      <w:pPr>
        <w:pStyle w:val="OutlineNumbered1"/>
      </w:pPr>
      <w:r>
        <w:lastRenderedPageBreak/>
        <w:t>Again, the legislation and extrinsic material do not shed further light</w:t>
      </w:r>
      <w:r w:rsidR="009B7E82">
        <w:t xml:space="preserve"> on how financial sustainability and viability are to be assessed. </w:t>
      </w:r>
      <w:r w:rsidR="002247AF">
        <w:t xml:space="preserve">Some data on the financial position of leviable entities </w:t>
      </w:r>
      <w:r w:rsidR="002247AF" w:rsidDel="0018327B">
        <w:t xml:space="preserve">are </w:t>
      </w:r>
      <w:r w:rsidR="002247AF">
        <w:t xml:space="preserve">available, but </w:t>
      </w:r>
      <w:r w:rsidR="006112C7">
        <w:t xml:space="preserve">measures of average revenue or profitability may not </w:t>
      </w:r>
      <w:r w:rsidR="009C300A">
        <w:t xml:space="preserve">perfectly </w:t>
      </w:r>
      <w:r w:rsidR="006112C7">
        <w:t>reflect a sub</w:t>
      </w:r>
      <w:r w:rsidR="006112C7">
        <w:noBreakHyphen/>
        <w:t xml:space="preserve">sector’s capacity to pay without becoming </w:t>
      </w:r>
      <w:r w:rsidR="009C300A">
        <w:t>financial</w:t>
      </w:r>
      <w:r w:rsidR="008A1BB8">
        <w:t>ly</w:t>
      </w:r>
      <w:r w:rsidR="009C300A">
        <w:t xml:space="preserve"> unsustainable or non</w:t>
      </w:r>
      <w:r w:rsidR="009C300A">
        <w:noBreakHyphen/>
        <w:t>viable</w:t>
      </w:r>
      <w:r w:rsidR="00B76ACE">
        <w:t>, especially in circumstances where leviable entities are</w:t>
      </w:r>
      <w:r w:rsidR="00C20D55">
        <w:t xml:space="preserve"> accustomed to passing the cost of levies onto other parties (such as their authorised representatives)</w:t>
      </w:r>
      <w:r w:rsidR="009C300A">
        <w:t>.</w:t>
      </w:r>
    </w:p>
    <w:p w14:paraId="1DEDA8BE" w14:textId="34AC707C" w:rsidR="000E0B74" w:rsidRDefault="00F63C09" w:rsidP="000E0B74">
      <w:pPr>
        <w:pStyle w:val="Heading2"/>
      </w:pPr>
      <w:bookmarkStart w:id="9" w:name="_Toc202542333"/>
      <w:r>
        <w:t>High-level options under section 1069H</w:t>
      </w:r>
      <w:bookmarkEnd w:id="9"/>
    </w:p>
    <w:p w14:paraId="643D9C33" w14:textId="3B7B476A" w:rsidR="002C65EF" w:rsidRDefault="002C65EF" w:rsidP="002C65EF">
      <w:pPr>
        <w:pStyle w:val="Heading3"/>
      </w:pPr>
      <w:bookmarkStart w:id="10" w:name="_Toc202542334"/>
      <w:r>
        <w:t>Principles</w:t>
      </w:r>
      <w:r w:rsidR="00CA3863">
        <w:t xml:space="preserve"> for dealing with an estimated excess</w:t>
      </w:r>
      <w:bookmarkEnd w:id="10"/>
    </w:p>
    <w:p w14:paraId="6655E2AD" w14:textId="2DDBF342" w:rsidR="00AF2E87" w:rsidRDefault="54C10299" w:rsidP="002C65EF">
      <w:pPr>
        <w:pStyle w:val="OutlineNumbered1"/>
      </w:pPr>
      <w:r>
        <w:t>I</w:t>
      </w:r>
      <w:r w:rsidR="008C7D6E">
        <w:t xml:space="preserve">n assessing the </w:t>
      </w:r>
      <w:r w:rsidR="00BE53BD">
        <w:t>options available to the Minister under section 1069H i</w:t>
      </w:r>
      <w:r>
        <w:t xml:space="preserve">t may be reasonable to </w:t>
      </w:r>
      <w:r w:rsidR="00554B17">
        <w:t xml:space="preserve">consider </w:t>
      </w:r>
      <w:r w:rsidR="00CE4DC6">
        <w:t xml:space="preserve">the </w:t>
      </w:r>
      <w:r w:rsidR="00554B17">
        <w:t>relative burdens</w:t>
      </w:r>
      <w:r w:rsidR="00931569">
        <w:t xml:space="preserve">, on both levy-payers and potential claimants, of each option. That </w:t>
      </w:r>
      <w:r w:rsidR="5A5E6AD7">
        <w:t xml:space="preserve">is, </w:t>
      </w:r>
      <w:r w:rsidR="00931569">
        <w:t>the Minister m</w:t>
      </w:r>
      <w:r w:rsidR="007D23B7">
        <w:t>ight</w:t>
      </w:r>
      <w:r w:rsidR="5A5E6AD7">
        <w:t xml:space="preserve"> consider what burdens </w:t>
      </w:r>
      <w:r w:rsidR="1E5FE8E6">
        <w:t>are imposed by each option, who bears them</w:t>
      </w:r>
      <w:r w:rsidR="359E2EEC">
        <w:t xml:space="preserve"> (</w:t>
      </w:r>
      <w:r w:rsidR="007D23B7">
        <w:t xml:space="preserve">in </w:t>
      </w:r>
      <w:r w:rsidR="359E2EEC">
        <w:t>both their legal and economic incidence)</w:t>
      </w:r>
      <w:r w:rsidR="1E5FE8E6">
        <w:t xml:space="preserve"> and </w:t>
      </w:r>
      <w:r w:rsidR="003E4268">
        <w:t>the extent to which</w:t>
      </w:r>
      <w:r w:rsidR="1E5FE8E6">
        <w:t xml:space="preserve"> they have the capacity to bear them.</w:t>
      </w:r>
      <w:r w:rsidR="424ABCA4">
        <w:t xml:space="preserve"> This burden can be thought of both in terms of the potential cost of a levy to </w:t>
      </w:r>
      <w:r w:rsidR="320D0584">
        <w:t xml:space="preserve">industry (which may, at least in part, be passed through to consumers) </w:t>
      </w:r>
      <w:r w:rsidR="00F01AB4">
        <w:t>and in terms of</w:t>
      </w:r>
      <w:r w:rsidR="320D0584">
        <w:t xml:space="preserve"> the potential burden to CSLR claimants who may have their claims paid o</w:t>
      </w:r>
      <w:r w:rsidR="6682103F">
        <w:t>ver a longer period, or not at all for a period.</w:t>
      </w:r>
    </w:p>
    <w:p w14:paraId="0877E10C" w14:textId="53B15A85" w:rsidR="00564393" w:rsidRDefault="551ED387" w:rsidP="002C65EF">
      <w:pPr>
        <w:pStyle w:val="OutlineNumbered1"/>
      </w:pPr>
      <w:r>
        <w:t xml:space="preserve">Other considerations that may be relevant </w:t>
      </w:r>
      <w:r w:rsidR="193C1F17">
        <w:t xml:space="preserve">to </w:t>
      </w:r>
      <w:r w:rsidR="4682D3E6">
        <w:t xml:space="preserve">whether any </w:t>
      </w:r>
      <w:proofErr w:type="gramStart"/>
      <w:r w:rsidR="4682D3E6">
        <w:t>particular option</w:t>
      </w:r>
      <w:proofErr w:type="gramEnd"/>
      <w:r w:rsidR="4682D3E6">
        <w:t xml:space="preserve"> is </w:t>
      </w:r>
      <w:r w:rsidR="2E0E9DAE">
        <w:t>the most effective option</w:t>
      </w:r>
      <w:r w:rsidR="4682D3E6">
        <w:t xml:space="preserve"> could include the complexity of the resulting levy</w:t>
      </w:r>
      <w:r w:rsidR="2E0E9DAE">
        <w:t xml:space="preserve"> arrangements, the number of entities or sub</w:t>
      </w:r>
      <w:r w:rsidR="00C31AFF">
        <w:noBreakHyphen/>
      </w:r>
      <w:r w:rsidR="2E0E9DAE">
        <w:t xml:space="preserve">sectors to be levied, </w:t>
      </w:r>
      <w:r w:rsidR="201148C4">
        <w:t>the administrability of the levy by ASIC, and other matters associated with the efficient collection</w:t>
      </w:r>
      <w:r w:rsidR="202363AA">
        <w:t xml:space="preserve"> of the CSLR’s industry funding</w:t>
      </w:r>
      <w:r w:rsidR="720D7626">
        <w:t>.</w:t>
      </w:r>
      <w:r w:rsidR="4E9174AF">
        <w:t xml:space="preserve"> While there are significant economies of scale, it does cost ASIC marginally more to </w:t>
      </w:r>
      <w:r w:rsidR="116B3450">
        <w:t>administer the levy the more sub</w:t>
      </w:r>
      <w:r w:rsidR="00C31AFF">
        <w:noBreakHyphen/>
      </w:r>
      <w:r w:rsidR="116B3450">
        <w:t>sectors are included.</w:t>
      </w:r>
    </w:p>
    <w:p w14:paraId="6A54FBC7" w14:textId="76219E12" w:rsidR="000D4B0E" w:rsidRDefault="007570F7" w:rsidP="002C65EF">
      <w:pPr>
        <w:pStyle w:val="OutlineNumbered1"/>
      </w:pPr>
      <w:r>
        <w:t xml:space="preserve">Questions of ‘justice’ do not </w:t>
      </w:r>
      <w:r w:rsidR="00DB1B0F">
        <w:t xml:space="preserve">necessarily </w:t>
      </w:r>
      <w:r>
        <w:t xml:space="preserve">arise under the </w:t>
      </w:r>
      <w:r w:rsidR="00895ADE">
        <w:t xml:space="preserve">legislative framework. That is, the Minister is not asked to </w:t>
      </w:r>
      <w:r w:rsidR="00145648">
        <w:t>attribute collective fault to a particular sub</w:t>
      </w:r>
      <w:r w:rsidR="00145648">
        <w:noBreakHyphen/>
        <w:t>sector or set of sub</w:t>
      </w:r>
      <w:r w:rsidR="00145648">
        <w:noBreakHyphen/>
        <w:t>sectors</w:t>
      </w:r>
      <w:r w:rsidR="00F63326">
        <w:t xml:space="preserve"> in </w:t>
      </w:r>
      <w:proofErr w:type="gramStart"/>
      <w:r w:rsidR="00F63326">
        <w:t>making a determination</w:t>
      </w:r>
      <w:proofErr w:type="gramEnd"/>
      <w:r w:rsidR="00F63326">
        <w:t xml:space="preserve"> under section 1069H. A decision </w:t>
      </w:r>
      <w:r w:rsidR="00DB1B0F">
        <w:t>under subsection 1069</w:t>
      </w:r>
      <w:proofErr w:type="gramStart"/>
      <w:r w:rsidR="00DB1B0F">
        <w:t>H(</w:t>
      </w:r>
      <w:proofErr w:type="gramEnd"/>
      <w:r w:rsidR="00DB1B0F">
        <w:t xml:space="preserve">5) </w:t>
      </w:r>
      <w:r w:rsidR="00F63326">
        <w:t xml:space="preserve">to impose a special levy on </w:t>
      </w:r>
      <w:r w:rsidR="00287A2C">
        <w:t xml:space="preserve">several </w:t>
      </w:r>
      <w:r w:rsidR="00F63326">
        <w:t>sub</w:t>
      </w:r>
      <w:r w:rsidR="00F63326">
        <w:noBreakHyphen/>
        <w:t>sector</w:t>
      </w:r>
      <w:r w:rsidR="00287A2C">
        <w:t>s</w:t>
      </w:r>
      <w:r w:rsidR="00F63326">
        <w:t>, for example, is not a determination that th</w:t>
      </w:r>
      <w:r w:rsidR="00287A2C">
        <w:t>ose</w:t>
      </w:r>
      <w:r w:rsidR="00F63326">
        <w:t xml:space="preserve"> sub</w:t>
      </w:r>
      <w:r w:rsidR="00F63326">
        <w:noBreakHyphen/>
        <w:t>sector</w:t>
      </w:r>
      <w:r w:rsidR="00287A2C">
        <w:t>s</w:t>
      </w:r>
      <w:r w:rsidR="00F63326">
        <w:t xml:space="preserve"> engaged in misconduct or </w:t>
      </w:r>
      <w:r w:rsidR="00287A2C">
        <w:t>are</w:t>
      </w:r>
      <w:r w:rsidR="00F63326">
        <w:t xml:space="preserve"> otherwise responsible at law for the </w:t>
      </w:r>
      <w:r w:rsidR="002601E6">
        <w:t xml:space="preserve">CSLR </w:t>
      </w:r>
      <w:r w:rsidR="00F63326">
        <w:t>costs</w:t>
      </w:r>
      <w:r w:rsidR="002601E6">
        <w:t xml:space="preserve"> in excess of the sub</w:t>
      </w:r>
      <w:r w:rsidR="002601E6">
        <w:noBreakHyphen/>
        <w:t>sector cap.</w:t>
      </w:r>
      <w:r w:rsidR="00D32F4B">
        <w:t xml:space="preserve"> The Minister does, of course, have the option</w:t>
      </w:r>
      <w:r w:rsidR="005A184D">
        <w:t xml:space="preserve"> </w:t>
      </w:r>
      <w:r w:rsidR="004A3A9A">
        <w:t>under subsection 1069</w:t>
      </w:r>
      <w:proofErr w:type="gramStart"/>
      <w:r w:rsidR="004A3A9A">
        <w:t>H(</w:t>
      </w:r>
      <w:proofErr w:type="gramEnd"/>
      <w:r w:rsidR="004A3A9A">
        <w:t xml:space="preserve">4) </w:t>
      </w:r>
      <w:r w:rsidR="005A184D">
        <w:t>to impose a special levy just on the ‘primary sub</w:t>
      </w:r>
      <w:r w:rsidR="005A184D">
        <w:noBreakHyphen/>
        <w:t>sector’ (that is, the sub</w:t>
      </w:r>
      <w:r w:rsidR="005A184D">
        <w:noBreakHyphen/>
        <w:t>sector whose estimated costs exceed the sub</w:t>
      </w:r>
      <w:r w:rsidR="005A184D">
        <w:noBreakHyphen/>
        <w:t>sector cap)</w:t>
      </w:r>
      <w:r w:rsidR="00B31D56">
        <w:t>, but there is no indication in the legislation that this option is a recognition of culpability on the part of the primary sub</w:t>
      </w:r>
      <w:r w:rsidR="00B31D56">
        <w:noBreakHyphen/>
        <w:t>sector</w:t>
      </w:r>
      <w:r w:rsidR="0019268D">
        <w:t xml:space="preserve">. Indeed, no element of the CSLR’s industry funding model is predicated on </w:t>
      </w:r>
      <w:r w:rsidR="00535062">
        <w:t>direct</w:t>
      </w:r>
      <w:r w:rsidR="0019268D">
        <w:t xml:space="preserve"> industry culpability for </w:t>
      </w:r>
      <w:proofErr w:type="gramStart"/>
      <w:r w:rsidR="00E63BB8">
        <w:t>particular instances</w:t>
      </w:r>
      <w:proofErr w:type="gramEnd"/>
      <w:r w:rsidR="00E63BB8">
        <w:t xml:space="preserve"> or classes of </w:t>
      </w:r>
      <w:r w:rsidR="0019268D">
        <w:t>misconduct.</w:t>
      </w:r>
    </w:p>
    <w:p w14:paraId="2C9F6C14" w14:textId="3019B97B" w:rsidR="00AA6661" w:rsidRDefault="00680BA3" w:rsidP="002C65EF">
      <w:pPr>
        <w:pStyle w:val="OutlineNumbered1"/>
      </w:pPr>
      <w:r>
        <w:t xml:space="preserve">In the context of </w:t>
      </w:r>
      <w:r w:rsidR="1229E1CF">
        <w:t>th</w:t>
      </w:r>
      <w:r w:rsidR="00964413">
        <w:t>e</w:t>
      </w:r>
      <w:r>
        <w:t xml:space="preserve"> </w:t>
      </w:r>
      <w:r w:rsidR="180C0130">
        <w:t>post-</w:t>
      </w:r>
      <w:r>
        <w:t xml:space="preserve">implementation review, one important consideration may be repeatability of </w:t>
      </w:r>
      <w:r w:rsidR="008F1EEC">
        <w:t xml:space="preserve">the decision. That is, if the CSLR’s claims, fees and costs estimates regularly or routinely </w:t>
      </w:r>
      <w:r w:rsidR="00366A5A">
        <w:t>exceed a sub</w:t>
      </w:r>
      <w:r w:rsidR="00057855">
        <w:noBreakHyphen/>
      </w:r>
      <w:r w:rsidR="00366A5A">
        <w:t xml:space="preserve">sector cap, </w:t>
      </w:r>
      <w:r w:rsidR="00CF3D13">
        <w:t>it may be desirable to choose a section 1069H option that would be</w:t>
      </w:r>
      <w:r w:rsidR="00366A5A">
        <w:t xml:space="preserve"> viable or reasonable </w:t>
      </w:r>
      <w:r w:rsidR="00CF3D13">
        <w:t xml:space="preserve">to apply </w:t>
      </w:r>
      <w:r w:rsidR="000415DE">
        <w:t>in a subsequent claim period, or periods</w:t>
      </w:r>
      <w:r w:rsidR="00CF3D13">
        <w:t xml:space="preserve">. </w:t>
      </w:r>
      <w:r w:rsidR="00586862">
        <w:t>For example, an option might be considered viable for a single levy period, because a single impost would not threaten the financial sustainability of a sub</w:t>
      </w:r>
      <w:r w:rsidR="00057855">
        <w:noBreakHyphen/>
      </w:r>
      <w:proofErr w:type="gramStart"/>
      <w:r w:rsidR="00586862">
        <w:t>sector, but</w:t>
      </w:r>
      <w:proofErr w:type="gramEnd"/>
      <w:r w:rsidR="00586862">
        <w:t xml:space="preserve"> </w:t>
      </w:r>
      <w:r w:rsidR="00CD59CF">
        <w:t xml:space="preserve">not be </w:t>
      </w:r>
      <w:r w:rsidR="006F1977">
        <w:t xml:space="preserve">deemed </w:t>
      </w:r>
      <w:r w:rsidR="00CD59CF">
        <w:t xml:space="preserve">repeatable because </w:t>
      </w:r>
      <w:r w:rsidR="00CC6FA2">
        <w:t>several successive imposts of a similar magnitude may threaten the sub</w:t>
      </w:r>
      <w:r w:rsidR="00057855">
        <w:noBreakHyphen/>
      </w:r>
      <w:r w:rsidR="00CC6FA2">
        <w:t>sector’s financial sustainability.</w:t>
      </w:r>
      <w:r w:rsidR="004731C2">
        <w:t xml:space="preserve"> Or repeating an </w:t>
      </w:r>
      <w:r w:rsidR="007243ED">
        <w:t xml:space="preserve">approach </w:t>
      </w:r>
      <w:r w:rsidR="004731C2">
        <w:t xml:space="preserve">may lead to </w:t>
      </w:r>
      <w:r w:rsidR="002F6F98">
        <w:t xml:space="preserve">other undesired </w:t>
      </w:r>
      <w:r w:rsidR="001D21DC">
        <w:t>outcomes</w:t>
      </w:r>
      <w:r w:rsidR="00A2791B">
        <w:t xml:space="preserve"> or changes in behaviour</w:t>
      </w:r>
      <w:r w:rsidR="001D21DC">
        <w:t>; for example</w:t>
      </w:r>
      <w:r w:rsidR="000955BE">
        <w:t>,</w:t>
      </w:r>
      <w:r w:rsidR="001D21DC">
        <w:t xml:space="preserve"> </w:t>
      </w:r>
      <w:r w:rsidR="00D473ED">
        <w:t xml:space="preserve">leading firms to exit an industry, </w:t>
      </w:r>
      <w:r w:rsidR="0041204D">
        <w:t xml:space="preserve">give up </w:t>
      </w:r>
      <w:r w:rsidR="00607D1F">
        <w:t xml:space="preserve">a licence, </w:t>
      </w:r>
      <w:r w:rsidR="00D473ED">
        <w:t xml:space="preserve">or </w:t>
      </w:r>
      <w:r w:rsidR="006A1601">
        <w:t xml:space="preserve">inefficiently alter </w:t>
      </w:r>
      <w:r w:rsidR="0041204D">
        <w:t>its</w:t>
      </w:r>
      <w:r w:rsidR="006A1601">
        <w:t xml:space="preserve"> corporate structure</w:t>
      </w:r>
      <w:r w:rsidR="0041204D">
        <w:t xml:space="preserve"> </w:t>
      </w:r>
      <w:r w:rsidR="00670F6B">
        <w:t xml:space="preserve">or avoiding certain clients </w:t>
      </w:r>
      <w:r w:rsidR="0041204D">
        <w:t xml:space="preserve">to </w:t>
      </w:r>
      <w:r w:rsidR="00670F6B">
        <w:t>minimise</w:t>
      </w:r>
      <w:r w:rsidR="00CF6C46">
        <w:t xml:space="preserve"> exposure to a levy.</w:t>
      </w:r>
    </w:p>
    <w:p w14:paraId="12F410FE" w14:textId="7EE39D66" w:rsidR="002C65EF" w:rsidRDefault="00380455" w:rsidP="002C65EF">
      <w:pPr>
        <w:pStyle w:val="OutlineNumbered1"/>
      </w:pPr>
      <w:r>
        <w:lastRenderedPageBreak/>
        <w:t xml:space="preserve">A </w:t>
      </w:r>
      <w:r w:rsidR="00AA6661">
        <w:t xml:space="preserve">repeatable </w:t>
      </w:r>
      <w:r>
        <w:t>approach to this question</w:t>
      </w:r>
      <w:r w:rsidR="00AA6661">
        <w:t xml:space="preserve">, </w:t>
      </w:r>
      <w:r w:rsidR="00A32111" w:rsidRPr="009162D6">
        <w:t>which can also be adopted if app</w:t>
      </w:r>
      <w:r w:rsidR="00746ACE" w:rsidRPr="009162D6">
        <w:t>ropriate</w:t>
      </w:r>
      <w:r w:rsidR="00AA6661">
        <w:t xml:space="preserve"> </w:t>
      </w:r>
      <w:proofErr w:type="gramStart"/>
      <w:r w:rsidR="00AA6661">
        <w:t>if and when</w:t>
      </w:r>
      <w:proofErr w:type="gramEnd"/>
      <w:r w:rsidR="00AA6661">
        <w:t xml:space="preserve"> the issue arises in future,</w:t>
      </w:r>
      <w:r>
        <w:t xml:space="preserve"> </w:t>
      </w:r>
      <w:r w:rsidR="00500C79">
        <w:t>may</w:t>
      </w:r>
      <w:r>
        <w:t xml:space="preserve"> </w:t>
      </w:r>
      <w:r w:rsidR="00642000">
        <w:t xml:space="preserve">also </w:t>
      </w:r>
      <w:r>
        <w:t>provide industry with greater certainty in advance of special levy dec</w:t>
      </w:r>
      <w:r w:rsidR="00DA7BFF">
        <w:t>isions</w:t>
      </w:r>
      <w:r w:rsidR="00DB14E3">
        <w:t>. T</w:t>
      </w:r>
      <w:r w:rsidR="00DA7BFF">
        <w:t>hough industry would not know the</w:t>
      </w:r>
      <w:r w:rsidR="00500C79">
        <w:t xml:space="preserve"> final</w:t>
      </w:r>
      <w:r w:rsidR="00DA7BFF">
        <w:t xml:space="preserve"> quantum of an excess before the CSLR </w:t>
      </w:r>
      <w:r w:rsidR="0019212C">
        <w:t xml:space="preserve">operator </w:t>
      </w:r>
      <w:r w:rsidR="00DA7BFF">
        <w:t xml:space="preserve">makes an estimate, it would </w:t>
      </w:r>
      <w:r w:rsidR="00CC075E">
        <w:t xml:space="preserve">have a sense of its scale as soon as an initial estimate is </w:t>
      </w:r>
      <w:proofErr w:type="gramStart"/>
      <w:r w:rsidR="00CC075E">
        <w:t>made, and</w:t>
      </w:r>
      <w:proofErr w:type="gramEnd"/>
      <w:r w:rsidR="00CC075E">
        <w:t xml:space="preserve"> would </w:t>
      </w:r>
      <w:r w:rsidR="007B2345">
        <w:t>have a</w:t>
      </w:r>
      <w:r w:rsidR="00BD10F6">
        <w:t xml:space="preserve"> strong</w:t>
      </w:r>
      <w:r w:rsidR="000100B8">
        <w:t xml:space="preserve"> indication </w:t>
      </w:r>
      <w:r w:rsidR="00DA7BFF">
        <w:t>how that quantum would be raised.</w:t>
      </w:r>
      <w:r w:rsidR="00801579">
        <w:t xml:space="preserve"> </w:t>
      </w:r>
      <w:r w:rsidR="00F011A7">
        <w:t>A repeated approach may also be more cost-effective to administer.</w:t>
      </w:r>
    </w:p>
    <w:p w14:paraId="514EE1F6" w14:textId="77777777" w:rsidR="00486D13" w:rsidRDefault="00486D13"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486D13" w14:paraId="3B7475FF" w14:textId="77777777" w:rsidTr="000A7ED0">
        <w:tc>
          <w:tcPr>
            <w:tcW w:w="5000" w:type="pct"/>
            <w:shd w:val="clear" w:color="auto" w:fill="EEEEEE" w:themeFill="background2"/>
          </w:tcPr>
          <w:p w14:paraId="125068EB" w14:textId="6F77681C" w:rsidR="00486D13" w:rsidRPr="000D1284" w:rsidRDefault="00486D13" w:rsidP="0019212C">
            <w:pPr>
              <w:pStyle w:val="BoxHeading"/>
              <w:spacing w:before="0"/>
            </w:pPr>
            <w:r>
              <w:t>Question</w:t>
            </w:r>
            <w:r w:rsidR="00FA5BB4">
              <w:t>s</w:t>
            </w:r>
          </w:p>
          <w:p w14:paraId="6122AD8E" w14:textId="0E4A808C" w:rsidR="00486D13" w:rsidRDefault="00A0600E" w:rsidP="00486D13">
            <w:pPr>
              <w:pStyle w:val="BoxText"/>
              <w:ind w:left="482" w:hanging="357"/>
            </w:pPr>
            <w:r>
              <w:t>1</w:t>
            </w:r>
            <w:r w:rsidR="00486D13">
              <w:t>.</w:t>
            </w:r>
            <w:r w:rsidR="00486D13">
              <w:tab/>
            </w:r>
            <w:r w:rsidR="006D2365">
              <w:t>What principles should the Minister have in mind when considering high</w:t>
            </w:r>
            <w:r w:rsidR="088C1E70">
              <w:t>-</w:t>
            </w:r>
            <w:r w:rsidR="006D2365">
              <w:t>level options for dealing with an excess</w:t>
            </w:r>
            <w:r w:rsidR="0088222B">
              <w:t xml:space="preserve"> estimate?</w:t>
            </w:r>
          </w:p>
          <w:p w14:paraId="7EB37F87" w14:textId="5B322D23" w:rsidR="003C3284" w:rsidRDefault="00A0600E" w:rsidP="00486D13">
            <w:pPr>
              <w:pStyle w:val="BoxText"/>
              <w:ind w:left="482" w:hanging="357"/>
            </w:pPr>
            <w:r>
              <w:t>2</w:t>
            </w:r>
            <w:r w:rsidR="003C3284">
              <w:t>.</w:t>
            </w:r>
            <w:r w:rsidR="003C3284">
              <w:tab/>
              <w:t xml:space="preserve">Are there any matters the Minister should not have regard to </w:t>
            </w:r>
            <w:r w:rsidR="007D401E">
              <w:t xml:space="preserve">(including any outlined in the text above) </w:t>
            </w:r>
            <w:r w:rsidR="003C3284">
              <w:t xml:space="preserve">when considering </w:t>
            </w:r>
            <w:r w:rsidR="007D401E">
              <w:t>these options?</w:t>
            </w:r>
          </w:p>
          <w:p w14:paraId="4DA7DA74" w14:textId="42C16C2C" w:rsidR="005D6F7E" w:rsidRPr="000D1284" w:rsidRDefault="00A0600E" w:rsidP="00486D13">
            <w:pPr>
              <w:pStyle w:val="BoxText"/>
              <w:ind w:left="482" w:hanging="357"/>
            </w:pPr>
            <w:r>
              <w:t>3</w:t>
            </w:r>
            <w:r w:rsidR="005D6F7E">
              <w:t>.</w:t>
            </w:r>
            <w:r w:rsidR="005D6F7E">
              <w:tab/>
              <w:t>Is ‘repeatability’ an important consideration?</w:t>
            </w:r>
            <w:r w:rsidR="00DD7A0C">
              <w:t xml:space="preserve"> </w:t>
            </w:r>
          </w:p>
        </w:tc>
      </w:tr>
    </w:tbl>
    <w:p w14:paraId="416F3B9E" w14:textId="61D8DC01" w:rsidR="008361B4" w:rsidRDefault="00A45D58" w:rsidP="002C65EF">
      <w:pPr>
        <w:pStyle w:val="Heading3"/>
      </w:pPr>
      <w:bookmarkStart w:id="11" w:name="_Toc202542335"/>
      <w:r>
        <w:t>Taking no action</w:t>
      </w:r>
      <w:bookmarkEnd w:id="11"/>
    </w:p>
    <w:p w14:paraId="5C13B7A5" w14:textId="4E26CB67" w:rsidR="002C65EF" w:rsidRDefault="005B0D94" w:rsidP="00C15579">
      <w:pPr>
        <w:pStyle w:val="OutlineNumbered1"/>
      </w:pPr>
      <w:r>
        <w:t xml:space="preserve">As there is nothing in section 1069H that requires the Minister to take a particular decision, and no deemed outcome if he or she does not </w:t>
      </w:r>
      <w:r w:rsidR="00EC42DB">
        <w:t>t</w:t>
      </w:r>
      <w:r>
        <w:t xml:space="preserve">ake a decision, </w:t>
      </w:r>
      <w:r w:rsidR="00661ECA">
        <w:t>it is useful to consider the implications should no determination be made.</w:t>
      </w:r>
    </w:p>
    <w:p w14:paraId="3499EBB1" w14:textId="78DA4A12" w:rsidR="00661ECA" w:rsidRDefault="00822AF6" w:rsidP="00C15579">
      <w:pPr>
        <w:pStyle w:val="OutlineNumbered1"/>
      </w:pPr>
      <w:r>
        <w:t xml:space="preserve">Section 1063 of the </w:t>
      </w:r>
      <w:r w:rsidRPr="008C2954">
        <w:t>Corporations Act</w:t>
      </w:r>
      <w:r>
        <w:t xml:space="preserve"> provides that the CSLR operator </w:t>
      </w:r>
      <w:r>
        <w:rPr>
          <w:i/>
          <w:iCs/>
        </w:rPr>
        <w:t>must</w:t>
      </w:r>
      <w:r>
        <w:t xml:space="preserve"> </w:t>
      </w:r>
      <w:r w:rsidR="001D2F87">
        <w:t xml:space="preserve">pay compensation to persons who meet the eligibility criteria set out in the </w:t>
      </w:r>
      <w:r w:rsidR="008A70CD">
        <w:t>legislation</w:t>
      </w:r>
      <w:r w:rsidR="001D2F87">
        <w:t xml:space="preserve">. </w:t>
      </w:r>
      <w:r w:rsidR="00515FBF">
        <w:t>If the CSLR operator is not fully funded</w:t>
      </w:r>
      <w:r w:rsidR="00E74C4F">
        <w:t xml:space="preserve">, once any reserves are depleted it will not be able to make these payments. There is no </w:t>
      </w:r>
      <w:r w:rsidR="003F1884">
        <w:t xml:space="preserve">deadline by which the CSLR must make a payment, but its obligation to make a payment does not </w:t>
      </w:r>
      <w:r w:rsidR="00C02C93">
        <w:t xml:space="preserve">fall away merely because </w:t>
      </w:r>
      <w:r w:rsidR="005D3399">
        <w:t xml:space="preserve">it does not have the funds to do so in a particular financial year. </w:t>
      </w:r>
      <w:r w:rsidR="00A3125A">
        <w:t xml:space="preserve">Such </w:t>
      </w:r>
      <w:r w:rsidR="00C9492E">
        <w:t xml:space="preserve">unpaid claims </w:t>
      </w:r>
      <w:r w:rsidR="00A3125A">
        <w:t xml:space="preserve">would be added to </w:t>
      </w:r>
      <w:r w:rsidR="0011461F">
        <w:t xml:space="preserve">initial </w:t>
      </w:r>
      <w:r w:rsidR="00A3125A">
        <w:t>estimates for the next financial year</w:t>
      </w:r>
      <w:r w:rsidR="009E6D4A">
        <w:t xml:space="preserve"> </w:t>
      </w:r>
      <w:r w:rsidR="0011461F">
        <w:t>(</w:t>
      </w:r>
      <w:r w:rsidR="009E6D4A">
        <w:t>under section 9 of the CSLR Levy (Collection) Act</w:t>
      </w:r>
      <w:r w:rsidR="0011461F">
        <w:t xml:space="preserve">) </w:t>
      </w:r>
      <w:r w:rsidR="006330E3">
        <w:t>to be paid by the next financial year’s annual levy payers</w:t>
      </w:r>
      <w:r w:rsidR="009E6D4A">
        <w:t>.</w:t>
      </w:r>
    </w:p>
    <w:p w14:paraId="5DC293D9" w14:textId="1D3C904C" w:rsidR="00A03C3C" w:rsidRDefault="00A03C3C" w:rsidP="00C15579">
      <w:pPr>
        <w:pStyle w:val="OutlineNumbered1"/>
      </w:pPr>
      <w:r>
        <w:t xml:space="preserve">The burden of this option falls chiefly on persons who are entitled to and would otherwise receive compensation in the relevant financial year. </w:t>
      </w:r>
      <w:r w:rsidR="00553C8A">
        <w:t>But it also falls on leviable entities who will contribute to CSLR</w:t>
      </w:r>
      <w:r w:rsidR="00BA6627">
        <w:t xml:space="preserve">’s costs in subsequent financial years (which may not be the same entities that would pay a special levy this year). </w:t>
      </w:r>
      <w:r w:rsidR="009F7B79">
        <w:t xml:space="preserve">This option is </w:t>
      </w:r>
      <w:r w:rsidR="00945A24">
        <w:t xml:space="preserve">repeatable only if it is expected that future CSLR estimates </w:t>
      </w:r>
      <w:r w:rsidR="00A01B58">
        <w:t>for the primary sub</w:t>
      </w:r>
      <w:r w:rsidR="00A01B58">
        <w:noBreakHyphen/>
        <w:t xml:space="preserve">sector </w:t>
      </w:r>
      <w:r w:rsidR="00945A24">
        <w:t xml:space="preserve">will be so low that </w:t>
      </w:r>
      <w:r w:rsidR="00B74362">
        <w:t xml:space="preserve">this year’s shortfall will be recovered in future years (that is, future estimates will fall well short of sub-sector caps for an extended period) or </w:t>
      </w:r>
      <w:r w:rsidR="00137EA0">
        <w:t xml:space="preserve">if it is accepted that </w:t>
      </w:r>
      <w:r w:rsidR="00F14497">
        <w:t xml:space="preserve">the scheme will </w:t>
      </w:r>
      <w:r w:rsidR="008B6023">
        <w:t xml:space="preserve">only be funded </w:t>
      </w:r>
      <w:r w:rsidR="00E226E7">
        <w:t>up to the $20 million sub</w:t>
      </w:r>
      <w:r w:rsidR="00E226E7">
        <w:noBreakHyphen/>
        <w:t xml:space="preserve">sector cap </w:t>
      </w:r>
      <w:r w:rsidR="00124D6B">
        <w:t xml:space="preserve">each year and risk </w:t>
      </w:r>
      <w:r w:rsidR="00F14497">
        <w:t>stall</w:t>
      </w:r>
      <w:r w:rsidR="00124D6B">
        <w:t>ing</w:t>
      </w:r>
      <w:r w:rsidR="00F14497">
        <w:t xml:space="preserve"> under the weight of ongoing claims that have </w:t>
      </w:r>
      <w:r w:rsidR="001433FA">
        <w:t>n</w:t>
      </w:r>
      <w:r w:rsidR="00F14497">
        <w:t>o expectation of being paid.</w:t>
      </w:r>
    </w:p>
    <w:p w14:paraId="7D2AD5A1" w14:textId="1DFC0280" w:rsidR="00A45D58" w:rsidRDefault="00C733EB" w:rsidP="00434C23">
      <w:pPr>
        <w:pStyle w:val="Heading3"/>
      </w:pPr>
      <w:bookmarkStart w:id="12" w:name="_Toc202542336"/>
      <w:r>
        <w:t>Subsection 10</w:t>
      </w:r>
      <w:r w:rsidR="002A374F">
        <w:t>69</w:t>
      </w:r>
      <w:proofErr w:type="gramStart"/>
      <w:r w:rsidR="002A374F">
        <w:t>H(</w:t>
      </w:r>
      <w:proofErr w:type="gramEnd"/>
      <w:r w:rsidR="001852AE">
        <w:t>3</w:t>
      </w:r>
      <w:r w:rsidR="002A374F">
        <w:t>) – spreading compensation over time</w:t>
      </w:r>
      <w:bookmarkEnd w:id="12"/>
    </w:p>
    <w:p w14:paraId="229CC228" w14:textId="60BC9535" w:rsidR="002A374F" w:rsidRDefault="00231B1C" w:rsidP="00C15579">
      <w:pPr>
        <w:pStyle w:val="OutlineNumbered1"/>
      </w:pPr>
      <w:r>
        <w:t>Subsection 1069</w:t>
      </w:r>
      <w:proofErr w:type="gramStart"/>
      <w:r>
        <w:t>H(</w:t>
      </w:r>
      <w:proofErr w:type="gramEnd"/>
      <w:r>
        <w:t xml:space="preserve">3) </w:t>
      </w:r>
      <w:r w:rsidR="006A6E71">
        <w:t>allows</w:t>
      </w:r>
      <w:r w:rsidR="005B2531">
        <w:t xml:space="preserve"> the CSLR’s costs in the financial year to be reduced by </w:t>
      </w:r>
      <w:r w:rsidR="004C28EC">
        <w:t xml:space="preserve">delaying compensation payments </w:t>
      </w:r>
      <w:r w:rsidR="005B2531">
        <w:t>into future</w:t>
      </w:r>
      <w:r w:rsidR="004C28EC">
        <w:t xml:space="preserve"> financial years. </w:t>
      </w:r>
      <w:r w:rsidR="00857771">
        <w:t>Directing</w:t>
      </w:r>
      <w:r w:rsidR="0070489F">
        <w:t xml:space="preserve"> that compensation to a specified class of persons be </w:t>
      </w:r>
      <w:r w:rsidR="00857771">
        <w:t xml:space="preserve">paid in specified instalments over a specified </w:t>
      </w:r>
      <w:proofErr w:type="gramStart"/>
      <w:r w:rsidR="00857771">
        <w:t>period of time</w:t>
      </w:r>
      <w:proofErr w:type="gramEnd"/>
      <w:r w:rsidR="00857771">
        <w:t xml:space="preserve"> </w:t>
      </w:r>
      <w:r w:rsidR="00457828">
        <w:t>would mean that only part of the scheme’s cost needs to be met by the levy in this financial year, with higher levies in subsequent financial years to continue the instalments</w:t>
      </w:r>
      <w:r w:rsidR="00857771">
        <w:t>.</w:t>
      </w:r>
      <w:r w:rsidR="00A52D40">
        <w:t xml:space="preserve"> A determination under subsection (3) cannot altogether extinguish the CSLR operator’s obligation to make a payment or payments to a class of persons.</w:t>
      </w:r>
    </w:p>
    <w:p w14:paraId="4F187037" w14:textId="2B298862" w:rsidR="00363714" w:rsidRDefault="00926E05" w:rsidP="00C15579">
      <w:pPr>
        <w:pStyle w:val="OutlineNumbered1"/>
      </w:pPr>
      <w:r>
        <w:lastRenderedPageBreak/>
        <w:t xml:space="preserve">This option </w:t>
      </w:r>
      <w:r w:rsidR="003A6F23">
        <w:t>avoids placing the full</w:t>
      </w:r>
      <w:r w:rsidR="007F5504">
        <w:t xml:space="preserve"> burden </w:t>
      </w:r>
      <w:r w:rsidR="003A6F23">
        <w:t xml:space="preserve">of the </w:t>
      </w:r>
      <w:r w:rsidR="00FB0089">
        <w:t xml:space="preserve">shortfall </w:t>
      </w:r>
      <w:r w:rsidR="007F5504">
        <w:t>on</w:t>
      </w:r>
      <w:r w:rsidR="00FB0089">
        <w:t>to</w:t>
      </w:r>
      <w:r>
        <w:t xml:space="preserve"> leviable entities in the current financial year. However, the burden </w:t>
      </w:r>
      <w:r w:rsidR="00F20F25">
        <w:t xml:space="preserve">would </w:t>
      </w:r>
      <w:r>
        <w:t xml:space="preserve">fall both on </w:t>
      </w:r>
      <w:r w:rsidR="00F20F25">
        <w:t>claimants who would have to wait longer to receive their full entitlements (</w:t>
      </w:r>
      <w:r w:rsidR="00207E20">
        <w:t xml:space="preserve">but they </w:t>
      </w:r>
      <w:r w:rsidR="008B6857">
        <w:t xml:space="preserve">would receive interest, if the AFCA determination specifies </w:t>
      </w:r>
      <w:r w:rsidR="00C60BDF">
        <w:t xml:space="preserve">interest is payable </w:t>
      </w:r>
      <w:r w:rsidR="004174BA">
        <w:t>until the date of payment</w:t>
      </w:r>
      <w:r w:rsidR="00332BA3">
        <w:t xml:space="preserve">) </w:t>
      </w:r>
      <w:r w:rsidR="00E666BF">
        <w:t>and on future levy payers, which may not be the same as current levy payers.</w:t>
      </w:r>
    </w:p>
    <w:p w14:paraId="3AA69692" w14:textId="28EFA72B" w:rsidR="00E666BF" w:rsidRDefault="0058541E" w:rsidP="00C15579">
      <w:pPr>
        <w:pStyle w:val="OutlineNumbered1"/>
      </w:pPr>
      <w:r>
        <w:t xml:space="preserve">If there </w:t>
      </w:r>
      <w:r w:rsidR="005B0281">
        <w:t xml:space="preserve">are limited </w:t>
      </w:r>
      <w:r>
        <w:t xml:space="preserve">or uncertain prospects that in future years the scheme will be able to complete payment of </w:t>
      </w:r>
      <w:r w:rsidR="0004333D">
        <w:t xml:space="preserve">the current year’s delayed payments and make good on future claims, this option </w:t>
      </w:r>
      <w:r w:rsidR="006F6393">
        <w:t>would</w:t>
      </w:r>
      <w:r w:rsidR="00731774">
        <w:t xml:space="preserve"> not </w:t>
      </w:r>
      <w:r w:rsidR="006F6393">
        <w:t xml:space="preserve">appear to be </w:t>
      </w:r>
      <w:r w:rsidR="00731774">
        <w:t>sustainable.</w:t>
      </w:r>
    </w:p>
    <w:p w14:paraId="418F43D8" w14:textId="53E350C7" w:rsidR="00A52D40" w:rsidRDefault="001B262A" w:rsidP="00C15579">
      <w:pPr>
        <w:pStyle w:val="OutlineNumbered1"/>
      </w:pPr>
      <w:r>
        <w:t xml:space="preserve">This option could be used in conjunction with a special levy under subsections (4) or (5). </w:t>
      </w:r>
      <w:r w:rsidR="00731774">
        <w:t>A</w:t>
      </w:r>
      <w:r w:rsidR="00B24AC4">
        <w:t> </w:t>
      </w:r>
      <w:r w:rsidR="00746D5D">
        <w:t>special levy of less than the total amount of the excess could be imposed, with the timing of compensation payments adjusted</w:t>
      </w:r>
      <w:r w:rsidR="00B17B18">
        <w:t xml:space="preserve"> accordingly. There </w:t>
      </w:r>
      <w:r w:rsidR="00153EC9">
        <w:t xml:space="preserve">is no </w:t>
      </w:r>
      <w:r w:rsidR="00B85C30">
        <w:t xml:space="preserve">existing guidance on how </w:t>
      </w:r>
      <w:r w:rsidR="00B24AC4">
        <w:t xml:space="preserve">a Minister might consider </w:t>
      </w:r>
      <w:r w:rsidR="00E208A8">
        <w:t>combining</w:t>
      </w:r>
      <w:r w:rsidR="00B24AC4">
        <w:t xml:space="preserve"> </w:t>
      </w:r>
      <w:r w:rsidR="00B85C30">
        <w:t>the options</w:t>
      </w:r>
      <w:r w:rsidR="007F031B">
        <w:t>; it may turn on the capacity to pay of the primary or other sub</w:t>
      </w:r>
      <w:r w:rsidR="007F031B">
        <w:noBreakHyphen/>
        <w:t xml:space="preserve">sectors. </w:t>
      </w:r>
      <w:r w:rsidR="00BA44F1">
        <w:t>Again, the sustainability of this option would depend on an assessment of how likely costs are to be below the sub</w:t>
      </w:r>
      <w:r w:rsidR="00BA44F1">
        <w:noBreakHyphen/>
        <w:t xml:space="preserve">sector caps in future </w:t>
      </w:r>
      <w:proofErr w:type="gramStart"/>
      <w:r w:rsidR="00BA44F1">
        <w:t>years, but</w:t>
      </w:r>
      <w:proofErr w:type="gramEnd"/>
      <w:r w:rsidR="00BA44F1">
        <w:t xml:space="preserve"> </w:t>
      </w:r>
      <w:r w:rsidR="007F1C27">
        <w:t xml:space="preserve">spreading compensation with a reduced special levy is </w:t>
      </w:r>
      <w:r w:rsidR="007F1C27" w:rsidRPr="002D1AAE">
        <w:t>likel</w:t>
      </w:r>
      <w:r w:rsidR="00E67970" w:rsidRPr="002D1AAE">
        <w:t>ier</w:t>
      </w:r>
      <w:r w:rsidR="00E67970">
        <w:t xml:space="preserve"> to be sustainable and repeatable than merely spreading compensation without collecting any special levy.</w:t>
      </w:r>
    </w:p>
    <w:p w14:paraId="185E8F4D" w14:textId="5659CED7" w:rsidR="002C65EF" w:rsidRDefault="002A374F" w:rsidP="00434C23">
      <w:pPr>
        <w:pStyle w:val="Heading3"/>
      </w:pPr>
      <w:bookmarkStart w:id="13" w:name="_Toc202542337"/>
      <w:r>
        <w:t>Subsec</w:t>
      </w:r>
      <w:r w:rsidR="00F7467D">
        <w:t>t</w:t>
      </w:r>
      <w:r>
        <w:t>ion </w:t>
      </w:r>
      <w:r w:rsidR="001852AE">
        <w:t>1069</w:t>
      </w:r>
      <w:proofErr w:type="gramStart"/>
      <w:r w:rsidR="001852AE">
        <w:t>H(</w:t>
      </w:r>
      <w:proofErr w:type="gramEnd"/>
      <w:r w:rsidR="001852AE">
        <w:t xml:space="preserve">4) – special levy for just the primary </w:t>
      </w:r>
      <w:r w:rsidR="413ACCBE">
        <w:t>sub</w:t>
      </w:r>
      <w:r w:rsidR="00FF5093">
        <w:noBreakHyphen/>
      </w:r>
      <w:r w:rsidR="413ACCBE">
        <w:t>sector</w:t>
      </w:r>
      <w:bookmarkEnd w:id="13"/>
    </w:p>
    <w:p w14:paraId="5CF782BE" w14:textId="41A4865C" w:rsidR="00F160D7" w:rsidRDefault="00F160D7" w:rsidP="00C15579">
      <w:pPr>
        <w:pStyle w:val="OutlineNumbered1"/>
      </w:pPr>
      <w:r>
        <w:t>The primary sub</w:t>
      </w:r>
      <w:r w:rsidR="00747BA3">
        <w:noBreakHyphen/>
      </w:r>
      <w:r>
        <w:t xml:space="preserve">sector is the </w:t>
      </w:r>
      <w:r w:rsidR="005974CE">
        <w:t>sub</w:t>
      </w:r>
      <w:r w:rsidR="00747BA3">
        <w:noBreakHyphen/>
      </w:r>
      <w:r w:rsidR="005974CE">
        <w:t xml:space="preserve">sector whose </w:t>
      </w:r>
      <w:r w:rsidR="00AB43BE">
        <w:t xml:space="preserve">revised claims, fees and costs estimate </w:t>
      </w:r>
      <w:r w:rsidR="00221786">
        <w:t xml:space="preserve">results in </w:t>
      </w:r>
      <w:r w:rsidR="00AB43BE">
        <w:t>the sub</w:t>
      </w:r>
      <w:r w:rsidR="00747BA3">
        <w:noBreakHyphen/>
      </w:r>
      <w:r w:rsidR="00AB43BE">
        <w:t>sector levy cap</w:t>
      </w:r>
      <w:r w:rsidR="008331E9">
        <w:t>’s</w:t>
      </w:r>
      <w:r w:rsidR="00AB43BE">
        <w:t xml:space="preserve"> be</w:t>
      </w:r>
      <w:r w:rsidR="00386A6F">
        <w:t>ing</w:t>
      </w:r>
      <w:r w:rsidR="00AB43BE">
        <w:t xml:space="preserve"> exceeded. </w:t>
      </w:r>
      <w:r w:rsidR="00DC4E80">
        <w:t>In</w:t>
      </w:r>
      <w:r w:rsidR="6F630D8A">
        <w:t xml:space="preserve"> the</w:t>
      </w:r>
      <w:r w:rsidR="00DC4E80">
        <w:t xml:space="preserve"> </w:t>
      </w:r>
      <w:r w:rsidR="00A872CF">
        <w:t xml:space="preserve">CSLR operator’s revised estimate for </w:t>
      </w:r>
      <w:r w:rsidR="49772E8E">
        <w:t>2025</w:t>
      </w:r>
      <w:r w:rsidR="00EE11B2">
        <w:noBreakHyphen/>
      </w:r>
      <w:r w:rsidR="49772E8E">
        <w:t>26</w:t>
      </w:r>
      <w:r w:rsidR="00AB43BE">
        <w:t xml:space="preserve">, </w:t>
      </w:r>
      <w:r w:rsidR="008331E9">
        <w:t xml:space="preserve">the </w:t>
      </w:r>
      <w:r w:rsidR="003A1663">
        <w:t>sub</w:t>
      </w:r>
      <w:r w:rsidR="00747BA3">
        <w:noBreakHyphen/>
      </w:r>
      <w:r w:rsidR="003A1663">
        <w:t xml:space="preserve">sector of </w:t>
      </w:r>
      <w:r w:rsidR="00DC4E80">
        <w:t>licensees that provide personal advice on relevant financial products to retail clients (the ‘financial advice sub</w:t>
      </w:r>
      <w:r w:rsidR="00747BA3">
        <w:noBreakHyphen/>
      </w:r>
      <w:r w:rsidR="00DC4E80">
        <w:t>sector’) is the only primary sub</w:t>
      </w:r>
      <w:r w:rsidR="00747BA3">
        <w:noBreakHyphen/>
      </w:r>
      <w:r w:rsidR="00DC4E80">
        <w:t>sector.</w:t>
      </w:r>
    </w:p>
    <w:p w14:paraId="5A6E25D9" w14:textId="01DC4E79" w:rsidR="00176921" w:rsidRDefault="00AC031A" w:rsidP="00C15579">
      <w:pPr>
        <w:pStyle w:val="OutlineNumbered1"/>
      </w:pPr>
      <w:r>
        <w:t xml:space="preserve">This option reflects the </w:t>
      </w:r>
      <w:r w:rsidR="00A665CD">
        <w:t xml:space="preserve">same principle that </w:t>
      </w:r>
      <w:r w:rsidR="007E55C8">
        <w:t>underlies</w:t>
      </w:r>
      <w:r w:rsidR="00A665CD">
        <w:t xml:space="preserve"> the annual levy: that the sub-sector</w:t>
      </w:r>
      <w:r w:rsidR="009D3E17">
        <w:t xml:space="preserve"> </w:t>
      </w:r>
      <w:r w:rsidR="001E2BFF">
        <w:t xml:space="preserve">to </w:t>
      </w:r>
      <w:r w:rsidR="009D3E17">
        <w:t xml:space="preserve">which the conduct </w:t>
      </w:r>
      <w:r w:rsidR="00C0043B">
        <w:t xml:space="preserve">that </w:t>
      </w:r>
      <w:r w:rsidR="003B7172">
        <w:t xml:space="preserve">led to the claims </w:t>
      </w:r>
      <w:r w:rsidR="009D3E17">
        <w:t>relates</w:t>
      </w:r>
      <w:r w:rsidR="00BB17F1">
        <w:t xml:space="preserve"> </w:t>
      </w:r>
      <w:r w:rsidR="009D3E17">
        <w:t xml:space="preserve">pays the </w:t>
      </w:r>
      <w:r w:rsidR="003B7172">
        <w:t>cost</w:t>
      </w:r>
      <w:r w:rsidR="00786949">
        <w:t>, even though the entities that pay the levy did not themselves engage in misconduct</w:t>
      </w:r>
      <w:r w:rsidR="00977474">
        <w:t xml:space="preserve">. </w:t>
      </w:r>
      <w:r w:rsidR="00CC55A9">
        <w:t>There is some element of ‘cross-subsidisation’, broadly defined, inherent in the design of the CSLR</w:t>
      </w:r>
      <w:r w:rsidR="007856B7">
        <w:t>:</w:t>
      </w:r>
      <w:r w:rsidR="00116E71">
        <w:t xml:space="preserve"> solvent firms</w:t>
      </w:r>
      <w:r w:rsidR="007856B7">
        <w:t xml:space="preserve"> that were not </w:t>
      </w:r>
      <w:r w:rsidR="00E94CA0">
        <w:t>res</w:t>
      </w:r>
      <w:r w:rsidR="00870D13">
        <w:t xml:space="preserve">ponsible for specific consumer losses must nevertheless </w:t>
      </w:r>
      <w:r w:rsidR="00601B78">
        <w:t>collectively bear</w:t>
      </w:r>
      <w:r w:rsidR="00F80AE5">
        <w:t xml:space="preserve"> the cost of compensating losses</w:t>
      </w:r>
      <w:r w:rsidR="00845BB4">
        <w:t xml:space="preserve"> caused by failed firms</w:t>
      </w:r>
      <w:r w:rsidR="00473593">
        <w:t>, including in some circumstances via a special levy</w:t>
      </w:r>
      <w:r w:rsidR="00F80AE5">
        <w:t xml:space="preserve">. </w:t>
      </w:r>
      <w:r w:rsidR="00B64D9B">
        <w:t>Applying a special levy just to the primary sub</w:t>
      </w:r>
      <w:r w:rsidR="00B64D9B">
        <w:noBreakHyphen/>
        <w:t xml:space="preserve">sector </w:t>
      </w:r>
      <w:r w:rsidR="00BF1E56">
        <w:t xml:space="preserve">need not </w:t>
      </w:r>
      <w:r w:rsidR="00B0574D">
        <w:t>imply</w:t>
      </w:r>
      <w:r w:rsidR="00E8276A">
        <w:t xml:space="preserve"> </w:t>
      </w:r>
      <w:r w:rsidR="009B40A7">
        <w:t xml:space="preserve">any </w:t>
      </w:r>
      <w:r w:rsidR="00E8276A">
        <w:t xml:space="preserve">collective responsibility of the sub-sector for the </w:t>
      </w:r>
      <w:r w:rsidR="00BF1E56">
        <w:t xml:space="preserve">relevant </w:t>
      </w:r>
      <w:r w:rsidR="009B40A7">
        <w:t>mis</w:t>
      </w:r>
      <w:r w:rsidR="00E8276A">
        <w:t>conduct.</w:t>
      </w:r>
    </w:p>
    <w:p w14:paraId="7C611332" w14:textId="3B7A0FC9" w:rsidR="00A872CF" w:rsidRDefault="00F945E4" w:rsidP="00AD17B8">
      <w:pPr>
        <w:pStyle w:val="OutlineNumbered1"/>
      </w:pPr>
      <w:r>
        <w:t xml:space="preserve">It has been suggested that </w:t>
      </w:r>
      <w:r w:rsidR="00D854A0">
        <w:t xml:space="preserve">this </w:t>
      </w:r>
      <w:r w:rsidR="00FB47B7">
        <w:t xml:space="preserve">approach </w:t>
      </w:r>
      <w:r>
        <w:t xml:space="preserve">can be thought of </w:t>
      </w:r>
      <w:r w:rsidR="00FB47B7">
        <w:t xml:space="preserve">as </w:t>
      </w:r>
      <w:r w:rsidR="00F91A11">
        <w:t>s</w:t>
      </w:r>
      <w:r w:rsidR="00040BAF">
        <w:t>ignalling</w:t>
      </w:r>
      <w:r w:rsidR="00D42C43">
        <w:t xml:space="preserve"> </w:t>
      </w:r>
      <w:r w:rsidR="00E75791">
        <w:t xml:space="preserve">to </w:t>
      </w:r>
      <w:r w:rsidR="00151429">
        <w:t xml:space="preserve">an </w:t>
      </w:r>
      <w:r w:rsidR="00E75791">
        <w:t xml:space="preserve">industry the cost of misconduct </w:t>
      </w:r>
      <w:r w:rsidR="002521A8">
        <w:t>within that</w:t>
      </w:r>
      <w:r w:rsidR="00151429">
        <w:t xml:space="preserve"> industry, </w:t>
      </w:r>
      <w:r w:rsidR="00E75791">
        <w:t>and encourag</w:t>
      </w:r>
      <w:r w:rsidR="008618DE">
        <w:t>ing</w:t>
      </w:r>
      <w:r w:rsidR="00E75791">
        <w:t xml:space="preserve"> industry </w:t>
      </w:r>
      <w:r w:rsidR="00CA7FF8">
        <w:t>self</w:t>
      </w:r>
      <w:r w:rsidR="00D42C43">
        <w:noBreakHyphen/>
      </w:r>
      <w:r w:rsidR="0071603E">
        <w:t>regulation</w:t>
      </w:r>
      <w:r w:rsidR="00C57280">
        <w:t xml:space="preserve">, </w:t>
      </w:r>
      <w:r w:rsidR="0071603E">
        <w:t>reduc</w:t>
      </w:r>
      <w:r w:rsidR="00C57280">
        <w:t>ing</w:t>
      </w:r>
      <w:r w:rsidR="0071603E">
        <w:t xml:space="preserve"> the scale and frequency of</w:t>
      </w:r>
      <w:r w:rsidR="007E6D1C">
        <w:t xml:space="preserve"> </w:t>
      </w:r>
      <w:r w:rsidR="00F04DD5">
        <w:t>future conduct that could le</w:t>
      </w:r>
      <w:r w:rsidR="00EF4550">
        <w:t>a</w:t>
      </w:r>
      <w:r w:rsidR="00F04DD5">
        <w:t>d to CSLR claims.</w:t>
      </w:r>
      <w:r w:rsidR="00151429">
        <w:t xml:space="preserve"> </w:t>
      </w:r>
      <w:r w:rsidR="00EB3054">
        <w:t>Levying just the primary sub</w:t>
      </w:r>
      <w:r w:rsidR="00EB3054">
        <w:noBreakHyphen/>
        <w:t xml:space="preserve">sector with the expectation that it will reduce future claims on the CSLR relies on there being </w:t>
      </w:r>
      <w:r w:rsidR="00D35A22">
        <w:t xml:space="preserve">clear and </w:t>
      </w:r>
      <w:r w:rsidR="00EB3054">
        <w:t>effective</w:t>
      </w:r>
      <w:r w:rsidR="00EB3054" w:rsidDel="00EB3054">
        <w:t xml:space="preserve"> </w:t>
      </w:r>
      <w:r w:rsidR="00A648E2">
        <w:t xml:space="preserve">mechanisms by </w:t>
      </w:r>
      <w:r w:rsidR="00314A1F">
        <w:t>wh</w:t>
      </w:r>
      <w:r w:rsidR="00A835AA">
        <w:t>ich a given sub-sector</w:t>
      </w:r>
      <w:r w:rsidR="00A648E2">
        <w:t xml:space="preserve"> </w:t>
      </w:r>
      <w:r w:rsidR="004D7E1D">
        <w:t xml:space="preserve">could </w:t>
      </w:r>
      <w:r w:rsidR="00261FCE">
        <w:t>det</w:t>
      </w:r>
      <w:r w:rsidR="003A6101">
        <w:t xml:space="preserve">ect and </w:t>
      </w:r>
      <w:r w:rsidR="0078262B">
        <w:t>deter</w:t>
      </w:r>
      <w:r w:rsidR="00261FCE">
        <w:t xml:space="preserve"> poor practices</w:t>
      </w:r>
      <w:r w:rsidR="0059652C">
        <w:t>.</w:t>
      </w:r>
      <w:r w:rsidR="00364D6D">
        <w:t xml:space="preserve"> </w:t>
      </w:r>
      <w:r w:rsidR="00D254C2">
        <w:t>In practice, t</w:t>
      </w:r>
      <w:r w:rsidR="00364D6D">
        <w:t xml:space="preserve">he </w:t>
      </w:r>
      <w:r w:rsidR="00CC151A">
        <w:t>potential for</w:t>
      </w:r>
      <w:r w:rsidR="00364D6D">
        <w:t xml:space="preserve"> </w:t>
      </w:r>
      <w:r w:rsidR="00E94A71">
        <w:t>such</w:t>
      </w:r>
      <w:r w:rsidR="00CC151A">
        <w:t xml:space="preserve"> </w:t>
      </w:r>
      <w:r w:rsidR="00364D6D">
        <w:t>‘self-regulat</w:t>
      </w:r>
      <w:r w:rsidR="00F25C72">
        <w:t>ion</w:t>
      </w:r>
      <w:r w:rsidR="00364D6D">
        <w:t>’</w:t>
      </w:r>
      <w:r w:rsidR="00162735">
        <w:t xml:space="preserve"> </w:t>
      </w:r>
      <w:r w:rsidR="0071029C">
        <w:t xml:space="preserve">would </w:t>
      </w:r>
      <w:r w:rsidR="00162735">
        <w:t xml:space="preserve">vary depending on </w:t>
      </w:r>
      <w:r w:rsidR="00D61FAB">
        <w:t>industry structure</w:t>
      </w:r>
      <w:r w:rsidR="005950FD">
        <w:t>,</w:t>
      </w:r>
      <w:r w:rsidR="0071029C">
        <w:t xml:space="preserve"> </w:t>
      </w:r>
      <w:r w:rsidR="00775299">
        <w:t xml:space="preserve">but in general </w:t>
      </w:r>
      <w:r w:rsidR="009169FC">
        <w:t>appear</w:t>
      </w:r>
      <w:r w:rsidR="00A03118">
        <w:t>s</w:t>
      </w:r>
      <w:r w:rsidR="009169FC">
        <w:t xml:space="preserve"> limited</w:t>
      </w:r>
      <w:r w:rsidR="00571419">
        <w:t>, and in none of the in</w:t>
      </w:r>
      <w:r w:rsidR="00571419">
        <w:noBreakHyphen/>
        <w:t>scope sub</w:t>
      </w:r>
      <w:r w:rsidR="00571419">
        <w:noBreakHyphen/>
        <w:t>sectors is the industry itself considered primarily responsible for its own</w:t>
      </w:r>
      <w:r w:rsidR="00517099">
        <w:t xml:space="preserve"> </w:t>
      </w:r>
      <w:r w:rsidR="00261FCE">
        <w:t>regulation.</w:t>
      </w:r>
      <w:r w:rsidR="006577F9">
        <w:t xml:space="preserve"> </w:t>
      </w:r>
    </w:p>
    <w:p w14:paraId="148A569D" w14:textId="2CF4E13B" w:rsidR="00D900F3" w:rsidRDefault="00F62089" w:rsidP="00C15579">
      <w:pPr>
        <w:pStyle w:val="OutlineNumbered1"/>
      </w:pPr>
      <w:r>
        <w:t>This option is less administratively</w:t>
      </w:r>
      <w:r w:rsidR="00D900F3">
        <w:t xml:space="preserve"> complex</w:t>
      </w:r>
      <w:r w:rsidR="002B5375">
        <w:t xml:space="preserve"> </w:t>
      </w:r>
      <w:r>
        <w:t xml:space="preserve">compared to other options. </w:t>
      </w:r>
      <w:r w:rsidR="006903A9">
        <w:t>There is</w:t>
      </w:r>
      <w:r w:rsidR="002B5375">
        <w:t xml:space="preserve"> only one set of levy payers</w:t>
      </w:r>
      <w:r w:rsidR="00C27AE9">
        <w:t>,</w:t>
      </w:r>
      <w:r w:rsidR="006903A9">
        <w:t xml:space="preserve"> </w:t>
      </w:r>
      <w:r w:rsidR="00754230">
        <w:t xml:space="preserve">and it is the same population that </w:t>
      </w:r>
      <w:r w:rsidR="000F207A">
        <w:t xml:space="preserve">has </w:t>
      </w:r>
      <w:r w:rsidR="00754230">
        <w:t>paid the annual levy.</w:t>
      </w:r>
    </w:p>
    <w:p w14:paraId="69B84C9B" w14:textId="6F2D3988" w:rsidR="0045713F" w:rsidRDefault="00DE3F11" w:rsidP="00C15579">
      <w:pPr>
        <w:pStyle w:val="OutlineNumbered1"/>
      </w:pPr>
      <w:r>
        <w:t xml:space="preserve">Although </w:t>
      </w:r>
      <w:r w:rsidR="00770DEC">
        <w:t xml:space="preserve">the </w:t>
      </w:r>
      <w:r>
        <w:t xml:space="preserve">statutory </w:t>
      </w:r>
      <w:r w:rsidR="00770DEC">
        <w:t>considerations in subsection 1069</w:t>
      </w:r>
      <w:proofErr w:type="gramStart"/>
      <w:r w:rsidR="00770DEC">
        <w:t>H(</w:t>
      </w:r>
      <w:proofErr w:type="gramEnd"/>
      <w:r w:rsidR="00770DEC">
        <w:t xml:space="preserve">5) </w:t>
      </w:r>
      <w:r w:rsidR="00BB2A1E">
        <w:t>are not mandated</w:t>
      </w:r>
      <w:r w:rsidR="00770DEC">
        <w:t xml:space="preserve"> </w:t>
      </w:r>
      <w:r>
        <w:t xml:space="preserve">before </w:t>
      </w:r>
      <w:r w:rsidR="00EF50A4">
        <w:t>a special levy can be imposed on the primary sub</w:t>
      </w:r>
      <w:r w:rsidR="00EF50A4">
        <w:noBreakHyphen/>
        <w:t>sector, a</w:t>
      </w:r>
      <w:r w:rsidR="008E128D">
        <w:t xml:space="preserve"> consideration </w:t>
      </w:r>
      <w:r w:rsidR="00E653C0">
        <w:t>may be</w:t>
      </w:r>
      <w:r w:rsidR="00B926BD">
        <w:t xml:space="preserve"> </w:t>
      </w:r>
      <w:r w:rsidR="0051001E">
        <w:t xml:space="preserve">how </w:t>
      </w:r>
      <w:r w:rsidR="00BB2A1E">
        <w:t>such a levy would</w:t>
      </w:r>
      <w:r w:rsidR="0051001E">
        <w:t xml:space="preserve"> impact the financial advice sector</w:t>
      </w:r>
      <w:r w:rsidR="00762137">
        <w:t xml:space="preserve">. </w:t>
      </w:r>
      <w:r w:rsidR="00676C10">
        <w:t xml:space="preserve">While the sub-sector may be able to bear the costs as a once-off or on an infrequent </w:t>
      </w:r>
      <w:r w:rsidR="00A77AC6">
        <w:t>occurrence</w:t>
      </w:r>
      <w:r w:rsidR="00676C10">
        <w:t xml:space="preserve">, </w:t>
      </w:r>
      <w:r w:rsidR="00A77AC6">
        <w:t>the</w:t>
      </w:r>
      <w:r w:rsidR="00676C10">
        <w:t xml:space="preserve"> </w:t>
      </w:r>
      <w:r w:rsidR="007A6979">
        <w:t>consequences of the sub-sector</w:t>
      </w:r>
      <w:r w:rsidR="009D674D">
        <w:t>’s</w:t>
      </w:r>
      <w:r w:rsidR="007A6979">
        <w:t xml:space="preserve"> bearing </w:t>
      </w:r>
      <w:r w:rsidR="00DA0954">
        <w:t xml:space="preserve">the potential for </w:t>
      </w:r>
      <w:r w:rsidR="007A6979">
        <w:t xml:space="preserve">successive special levies is also </w:t>
      </w:r>
      <w:proofErr w:type="gramStart"/>
      <w:r w:rsidR="007A6979">
        <w:t>relevant</w:t>
      </w:r>
      <w:r w:rsidR="001D086E">
        <w:t>, and</w:t>
      </w:r>
      <w:proofErr w:type="gramEnd"/>
      <w:r w:rsidR="001D086E">
        <w:t xml:space="preserve"> may </w:t>
      </w:r>
      <w:r w:rsidR="00620685">
        <w:t xml:space="preserve">render </w:t>
      </w:r>
      <w:r w:rsidR="001D086E">
        <w:t>other high</w:t>
      </w:r>
      <w:r w:rsidR="001D086E">
        <w:noBreakHyphen/>
        <w:t>level options more effective</w:t>
      </w:r>
      <w:r w:rsidR="007A6979">
        <w:t>.</w:t>
      </w:r>
      <w:r w:rsidR="00256CAF">
        <w:t xml:space="preserve"> </w:t>
      </w:r>
      <w:r w:rsidR="008F1C78">
        <w:t xml:space="preserve">The distributional impact on </w:t>
      </w:r>
      <w:proofErr w:type="gramStart"/>
      <w:r w:rsidR="008F1C78">
        <w:t>particular financial</w:t>
      </w:r>
      <w:proofErr w:type="gramEnd"/>
      <w:r w:rsidR="008F1C78">
        <w:t xml:space="preserve"> advice licensees may also be relevant; though a special levy would be imposed on a licensee in </w:t>
      </w:r>
      <w:r w:rsidR="008F1C78">
        <w:lastRenderedPageBreak/>
        <w:t>proportion to the number of authorised advisers, this may not be a perfect measure of capacity to pay (that is, larger practices may have a disproportionately greater capacity to absorb a levy without impacting their financial viability).</w:t>
      </w:r>
    </w:p>
    <w:p w14:paraId="46A2AEB8" w14:textId="604AF6FB" w:rsidR="00D900F3" w:rsidRDefault="00A77AC6" w:rsidP="00C15579">
      <w:pPr>
        <w:pStyle w:val="OutlineNumbered1"/>
      </w:pPr>
      <w:r>
        <w:t>For c</w:t>
      </w:r>
      <w:r w:rsidR="00DC6C02">
        <w:t xml:space="preserve">laimants, this option </w:t>
      </w:r>
      <w:r w:rsidR="004273EC">
        <w:t xml:space="preserve">would </w:t>
      </w:r>
      <w:r w:rsidR="00DC6C02">
        <w:t xml:space="preserve">result </w:t>
      </w:r>
      <w:r w:rsidR="004273EC">
        <w:t xml:space="preserve">in </w:t>
      </w:r>
      <w:r w:rsidR="00DC6C02">
        <w:t>claims being paid up to the compensation cap or the AFCA determination</w:t>
      </w:r>
      <w:r w:rsidR="00955CDF">
        <w:t xml:space="preserve"> (whichever is lower)</w:t>
      </w:r>
      <w:r w:rsidR="001832D7">
        <w:t>,</w:t>
      </w:r>
      <w:r w:rsidR="00DC6C02">
        <w:t xml:space="preserve"> and in a timely manner.</w:t>
      </w:r>
    </w:p>
    <w:p w14:paraId="6E259B8F" w14:textId="48528D01" w:rsidR="001852AE" w:rsidRDefault="001852AE" w:rsidP="00434C23">
      <w:pPr>
        <w:pStyle w:val="Heading3"/>
      </w:pPr>
      <w:bookmarkStart w:id="14" w:name="_Toc202542338"/>
      <w:r>
        <w:t>Subsection 1069</w:t>
      </w:r>
      <w:proofErr w:type="gramStart"/>
      <w:r>
        <w:t>H(</w:t>
      </w:r>
      <w:proofErr w:type="gramEnd"/>
      <w:r>
        <w:t>5) – special levy</w:t>
      </w:r>
      <w:r w:rsidR="00CA3863">
        <w:t xml:space="preserve"> </w:t>
      </w:r>
      <w:r w:rsidR="00434C23">
        <w:t>for several sub</w:t>
      </w:r>
      <w:r w:rsidR="0048333E">
        <w:noBreakHyphen/>
      </w:r>
      <w:r w:rsidR="00434C23">
        <w:t>sectors</w:t>
      </w:r>
      <w:bookmarkEnd w:id="14"/>
    </w:p>
    <w:p w14:paraId="7D4ABE9D" w14:textId="59F41C28" w:rsidR="00E032DA" w:rsidRDefault="00CD737B" w:rsidP="00C15579">
      <w:pPr>
        <w:pStyle w:val="OutlineNumbered1"/>
      </w:pPr>
      <w:r>
        <w:t>The option to spread the levy across several sub-sectors y</w:t>
      </w:r>
      <w:r w:rsidR="00E032DA">
        <w:t xml:space="preserve">ields many distinct </w:t>
      </w:r>
      <w:r>
        <w:t>sub-</w:t>
      </w:r>
      <w:r w:rsidR="00E032DA">
        <w:t>options</w:t>
      </w:r>
      <w:r>
        <w:t xml:space="preserve">, which are </w:t>
      </w:r>
      <w:r w:rsidR="00E032DA">
        <w:t>discussed in</w:t>
      </w:r>
      <w:r w:rsidR="001A3603">
        <w:t xml:space="preserve"> the</w:t>
      </w:r>
      <w:r w:rsidR="00E032DA">
        <w:t xml:space="preserve"> next section.</w:t>
      </w:r>
    </w:p>
    <w:p w14:paraId="1B7FC657" w14:textId="2BA1018B" w:rsidR="002C65EF" w:rsidRDefault="006858D8" w:rsidP="0055262B">
      <w:pPr>
        <w:pStyle w:val="OutlineNumbered1"/>
      </w:pPr>
      <w:r>
        <w:t xml:space="preserve">Like other </w:t>
      </w:r>
      <w:r w:rsidR="007D689C">
        <w:t>aspects of the CSLR funding model this</w:t>
      </w:r>
      <w:r w:rsidR="001E7E83">
        <w:t xml:space="preserve"> option involves cross</w:t>
      </w:r>
      <w:r w:rsidR="001E7E83">
        <w:noBreakHyphen/>
        <w:t>subsidisation</w:t>
      </w:r>
      <w:r w:rsidR="00305A55">
        <w:t>, in this instance</w:t>
      </w:r>
      <w:r w:rsidR="001E7E83">
        <w:t xml:space="preserve"> a</w:t>
      </w:r>
      <w:r w:rsidR="00430A54">
        <w:t>cross sub</w:t>
      </w:r>
      <w:r w:rsidR="00430A54">
        <w:noBreakHyphen/>
        <w:t>sectors</w:t>
      </w:r>
      <w:r w:rsidR="008A24D8">
        <w:t>.</w:t>
      </w:r>
      <w:r w:rsidR="00430A54">
        <w:t xml:space="preserve"> </w:t>
      </w:r>
      <w:r w:rsidR="00833796">
        <w:t>W</w:t>
      </w:r>
      <w:r w:rsidR="00430A54">
        <w:t xml:space="preserve">hile not </w:t>
      </w:r>
      <w:r w:rsidR="000600F4">
        <w:t xml:space="preserve">the default </w:t>
      </w:r>
      <w:proofErr w:type="gramStart"/>
      <w:r w:rsidR="000600F4">
        <w:t>manner in which</w:t>
      </w:r>
      <w:proofErr w:type="gramEnd"/>
      <w:r w:rsidR="000600F4">
        <w:t xml:space="preserve"> the CSLR is funded, </w:t>
      </w:r>
      <w:r w:rsidR="00F24557">
        <w:t xml:space="preserve">this </w:t>
      </w:r>
      <w:r w:rsidR="00430A54">
        <w:t>may be necessary</w:t>
      </w:r>
      <w:r w:rsidR="00F24557">
        <w:t xml:space="preserve"> in circumstances where it is the most effective means of </w:t>
      </w:r>
      <w:r w:rsidR="00C02C6A">
        <w:t>paying timely compensation to eligible claimants</w:t>
      </w:r>
      <w:r w:rsidR="00430A54">
        <w:t xml:space="preserve">. </w:t>
      </w:r>
      <w:r w:rsidR="00F41C13">
        <w:t xml:space="preserve">Spreading the costs to several sub-sectors </w:t>
      </w:r>
      <w:r w:rsidR="00CD737B">
        <w:t>r</w:t>
      </w:r>
      <w:r w:rsidR="0056785A">
        <w:t>ecognises benefits of the scheme to the financial sector more broadly.</w:t>
      </w:r>
      <w:r w:rsidR="00F7467D">
        <w:t xml:space="preserve"> </w:t>
      </w:r>
      <w:r w:rsidR="00994C6A">
        <w:t xml:space="preserve">For example, the </w:t>
      </w:r>
      <w:r w:rsidR="00C30EC7">
        <w:t xml:space="preserve">scheme strengthens trust in the financial system and </w:t>
      </w:r>
      <w:r w:rsidR="00D570C6">
        <w:t>promotes consumer participation in the system. T</w:t>
      </w:r>
      <w:r w:rsidR="00CE5705">
        <w:t xml:space="preserve">he CSLR </w:t>
      </w:r>
      <w:r w:rsidR="00D570C6">
        <w:t>also</w:t>
      </w:r>
      <w:r w:rsidR="00994C6A">
        <w:t xml:space="preserve"> str</w:t>
      </w:r>
      <w:r w:rsidR="00D5655A">
        <w:t xml:space="preserve">engthens the external dispute resolution </w:t>
      </w:r>
      <w:r w:rsidR="00C64E54">
        <w:t>framework</w:t>
      </w:r>
      <w:r w:rsidR="00D5655A">
        <w:t xml:space="preserve"> </w:t>
      </w:r>
      <w:r w:rsidR="00C64E54">
        <w:t>b</w:t>
      </w:r>
      <w:r w:rsidR="003B7228">
        <w:t>y</w:t>
      </w:r>
      <w:r w:rsidR="00C64E54">
        <w:t xml:space="preserve"> ensuring (certain) AFCA determinations are enforceable even if the entity no longer exists</w:t>
      </w:r>
      <w:r w:rsidR="00C30EC7">
        <w:t>, giving consumers some redress.</w:t>
      </w:r>
      <w:r w:rsidR="00CE5705">
        <w:t xml:space="preserve"> </w:t>
      </w:r>
      <w:r w:rsidR="00D570C6">
        <w:t xml:space="preserve">These benefits accrue to all </w:t>
      </w:r>
      <w:r w:rsidR="008619AC">
        <w:t xml:space="preserve">industry participants in the financial system, not just the </w:t>
      </w:r>
      <w:r w:rsidR="0068345B">
        <w:t>primary sub-sector that gives rise to an excess.</w:t>
      </w:r>
    </w:p>
    <w:p w14:paraId="1697AD3D" w14:textId="5AC4FE72" w:rsidR="009F48C9" w:rsidRDefault="00F41C13" w:rsidP="00C15579">
      <w:pPr>
        <w:pStyle w:val="OutlineNumbered1"/>
      </w:pPr>
      <w:r>
        <w:t xml:space="preserve">This </w:t>
      </w:r>
      <w:r w:rsidR="009F48C9">
        <w:t xml:space="preserve">option </w:t>
      </w:r>
      <w:r>
        <w:t>also spreads the financial</w:t>
      </w:r>
      <w:r w:rsidR="009F48C9">
        <w:t xml:space="preserve"> burden </w:t>
      </w:r>
      <w:r>
        <w:t>widely</w:t>
      </w:r>
      <w:r w:rsidR="00541BC7">
        <w:t xml:space="preserve"> and </w:t>
      </w:r>
      <w:r w:rsidR="00261FCE">
        <w:t>limits</w:t>
      </w:r>
      <w:r w:rsidR="0041442F">
        <w:t xml:space="preserve"> any</w:t>
      </w:r>
      <w:r w:rsidR="0068345B">
        <w:t xml:space="preserve"> impact </w:t>
      </w:r>
      <w:r w:rsidR="00261FCE">
        <w:t>on</w:t>
      </w:r>
      <w:r w:rsidR="0068345B">
        <w:t xml:space="preserve"> the financial viability of a</w:t>
      </w:r>
      <w:r w:rsidR="00541BC7">
        <w:t xml:space="preserve"> particular sub-sector </w:t>
      </w:r>
      <w:r w:rsidR="0068345B">
        <w:t xml:space="preserve">or other unintended </w:t>
      </w:r>
      <w:r w:rsidR="00541BC7">
        <w:t>effects</w:t>
      </w:r>
      <w:r w:rsidR="0068345B">
        <w:t xml:space="preserve">. </w:t>
      </w:r>
      <w:r w:rsidR="00D138E7">
        <w:t xml:space="preserve">It would </w:t>
      </w:r>
      <w:r w:rsidR="001C0355">
        <w:t>reduce the cost for leviable entities in the primary sub</w:t>
      </w:r>
      <w:r w:rsidR="001C0355">
        <w:noBreakHyphen/>
        <w:t>sector</w:t>
      </w:r>
      <w:r w:rsidR="00387504">
        <w:t xml:space="preserve"> as compared to a special levy under subsection 1069</w:t>
      </w:r>
      <w:proofErr w:type="gramStart"/>
      <w:r w:rsidR="00387504">
        <w:t>H(</w:t>
      </w:r>
      <w:proofErr w:type="gramEnd"/>
      <w:r w:rsidR="00387504">
        <w:t>4).</w:t>
      </w:r>
    </w:p>
    <w:p w14:paraId="35C7CA71" w14:textId="1FC3CC35" w:rsidR="0068345B" w:rsidRDefault="0068345B" w:rsidP="0068345B">
      <w:pPr>
        <w:pStyle w:val="OutlineNumbered1"/>
      </w:pPr>
      <w:r>
        <w:t>Further, depending on how the levy is spread among the sub-sectors, the option is likely to be more repeatable.</w:t>
      </w:r>
    </w:p>
    <w:p w14:paraId="401A4B27" w14:textId="106DA74F" w:rsidR="001453E5" w:rsidRDefault="00556277" w:rsidP="001453E5">
      <w:pPr>
        <w:pStyle w:val="OutlineNumbered1"/>
      </w:pPr>
      <w:r>
        <w:t xml:space="preserve">The </w:t>
      </w:r>
      <w:r w:rsidR="001453E5">
        <w:t>administrative</w:t>
      </w:r>
      <w:r>
        <w:t xml:space="preserve"> complexity and cost of</w:t>
      </w:r>
      <w:r w:rsidR="001453E5">
        <w:t xml:space="preserve"> this option </w:t>
      </w:r>
      <w:r>
        <w:t xml:space="preserve">depends on the </w:t>
      </w:r>
      <w:r w:rsidR="003B1852">
        <w:t>number</w:t>
      </w:r>
      <w:r w:rsidR="00353B75">
        <w:t xml:space="preserve"> and type of sub-sectors bearing the special levy</w:t>
      </w:r>
      <w:r w:rsidR="001453E5">
        <w:t>. For example, targeting sub-sectors with large entities and a high capacity to pay</w:t>
      </w:r>
      <w:r w:rsidR="00353B75">
        <w:t xml:space="preserve"> would likely be simpler, compared to spreading the costs among a larger number of sub-sectors and levy payers. </w:t>
      </w:r>
    </w:p>
    <w:p w14:paraId="238AF3F7" w14:textId="63E6AC92" w:rsidR="007A3386" w:rsidRDefault="007A3386" w:rsidP="007A3386">
      <w:pPr>
        <w:pStyle w:val="OutlineNumbered1"/>
      </w:pPr>
      <w:r>
        <w:t xml:space="preserve">For claimants, this option </w:t>
      </w:r>
      <w:r w:rsidR="00E56B70">
        <w:t>would</w:t>
      </w:r>
      <w:r>
        <w:t xml:space="preserve"> result </w:t>
      </w:r>
      <w:r w:rsidR="00E56B70">
        <w:t xml:space="preserve">in </w:t>
      </w:r>
      <w:r>
        <w:t>claims being paid up to the compensation cap or the AFCA determination</w:t>
      </w:r>
      <w:r w:rsidR="00955CDF">
        <w:t xml:space="preserve"> (whichever is lower)</w:t>
      </w:r>
      <w:r w:rsidR="001832D7">
        <w:t>,</w:t>
      </w:r>
      <w:r>
        <w:t xml:space="preserve"> and in a timely manner. </w:t>
      </w:r>
    </w:p>
    <w:p w14:paraId="456FAB34" w14:textId="77777777" w:rsidR="000D4EEB" w:rsidRDefault="000D4EEB" w:rsidP="000D4EEB">
      <w:pPr>
        <w:spacing w:before="0" w:after="0"/>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E53164" w14:paraId="18E38E49" w14:textId="77777777" w:rsidTr="000A7ED0">
        <w:tc>
          <w:tcPr>
            <w:tcW w:w="5000" w:type="pct"/>
            <w:shd w:val="clear" w:color="auto" w:fill="EEEEEE" w:themeFill="background2"/>
          </w:tcPr>
          <w:p w14:paraId="1872B604" w14:textId="620276FF" w:rsidR="00E53164" w:rsidRDefault="00E53164" w:rsidP="00874BF1">
            <w:pPr>
              <w:pStyle w:val="BoxHeading"/>
              <w:keepNext w:val="0"/>
              <w:spacing w:before="0"/>
            </w:pPr>
            <w:r>
              <w:t>Questions</w:t>
            </w:r>
          </w:p>
          <w:p w14:paraId="0613FC7A" w14:textId="3D0AFC39" w:rsidR="00844DAB" w:rsidRDefault="000C7869" w:rsidP="003313D6">
            <w:pPr>
              <w:pStyle w:val="BoxText"/>
              <w:ind w:left="482" w:hanging="357"/>
            </w:pPr>
            <w:r>
              <w:t>4</w:t>
            </w:r>
            <w:r w:rsidR="003313D6">
              <w:t>.</w:t>
            </w:r>
            <w:r w:rsidR="003313D6">
              <w:tab/>
            </w:r>
            <w:r w:rsidR="00B40050">
              <w:t xml:space="preserve">Which </w:t>
            </w:r>
            <w:r w:rsidR="0006352E">
              <w:t xml:space="preserve">one or more </w:t>
            </w:r>
            <w:r w:rsidR="00B40050">
              <w:t xml:space="preserve">of the </w:t>
            </w:r>
            <w:r w:rsidR="1A0E64AE">
              <w:t>high</w:t>
            </w:r>
            <w:r w:rsidR="00E259B7">
              <w:noBreakHyphen/>
            </w:r>
            <w:r w:rsidR="1A0E64AE">
              <w:t>level</w:t>
            </w:r>
            <w:r w:rsidR="00B40050">
              <w:t xml:space="preserve"> options would be most appropriate for dealing with the excess</w:t>
            </w:r>
            <w:r w:rsidR="00DF2258">
              <w:t xml:space="preserve"> </w:t>
            </w:r>
            <w:r w:rsidR="00D64F45">
              <w:t xml:space="preserve">in the </w:t>
            </w:r>
            <w:r w:rsidR="49772E8E">
              <w:t>2025</w:t>
            </w:r>
            <w:r w:rsidR="00A70C3C">
              <w:noBreakHyphen/>
            </w:r>
            <w:r w:rsidR="49772E8E">
              <w:t>26</w:t>
            </w:r>
            <w:r w:rsidR="00D64F45">
              <w:t xml:space="preserve"> financial year?</w:t>
            </w:r>
          </w:p>
          <w:p w14:paraId="494C44BC" w14:textId="697AE01E" w:rsidR="008E1920" w:rsidRDefault="000C7869" w:rsidP="003313D6">
            <w:pPr>
              <w:pStyle w:val="BoxText"/>
              <w:ind w:left="482" w:hanging="357"/>
            </w:pPr>
            <w:r>
              <w:t>5</w:t>
            </w:r>
            <w:r w:rsidR="008E1920">
              <w:t>.</w:t>
            </w:r>
            <w:r w:rsidR="008E1920">
              <w:tab/>
            </w:r>
            <w:r w:rsidR="00EB448F">
              <w:t>Who bears the burden</w:t>
            </w:r>
            <w:r w:rsidR="00297A0B">
              <w:t>s – financial and non-financial –</w:t>
            </w:r>
            <w:r w:rsidR="00EB448F">
              <w:t xml:space="preserve"> of your preferred option, and what is their capacity to bear it?</w:t>
            </w:r>
            <w:r w:rsidR="002F2D95">
              <w:t xml:space="preserve"> Would your preferred option impact the viability of a sub</w:t>
            </w:r>
            <w:r w:rsidR="002F2D95">
              <w:noBreakHyphen/>
              <w:t>sector?</w:t>
            </w:r>
          </w:p>
          <w:p w14:paraId="1080A1D1" w14:textId="29F4C0E8" w:rsidR="00D7272F" w:rsidRDefault="000C7869" w:rsidP="003313D6">
            <w:pPr>
              <w:pStyle w:val="BoxText"/>
              <w:ind w:left="482" w:hanging="357"/>
            </w:pPr>
            <w:r>
              <w:t>6</w:t>
            </w:r>
            <w:r w:rsidR="0006352E">
              <w:t>.</w:t>
            </w:r>
            <w:r w:rsidR="0006352E">
              <w:tab/>
            </w:r>
            <w:r w:rsidR="00EB448F">
              <w:t>Is your preferred option repeatable</w:t>
            </w:r>
            <w:r w:rsidR="00EE3B4B">
              <w:t xml:space="preserve"> if </w:t>
            </w:r>
            <w:proofErr w:type="gramStart"/>
            <w:r w:rsidR="00EE3B4B">
              <w:t>necessary</w:t>
            </w:r>
            <w:proofErr w:type="gramEnd"/>
            <w:r w:rsidR="00EE3B4B">
              <w:t xml:space="preserve"> in the future</w:t>
            </w:r>
            <w:r w:rsidR="00EB448F">
              <w:t>?</w:t>
            </w:r>
          </w:p>
          <w:p w14:paraId="03BD86A8" w14:textId="2D994E3D" w:rsidR="00EB448F" w:rsidRPr="000D1284" w:rsidRDefault="000C7869" w:rsidP="00EB448F">
            <w:pPr>
              <w:pStyle w:val="BoxText"/>
              <w:ind w:left="482" w:hanging="357"/>
            </w:pPr>
            <w:r>
              <w:t>7</w:t>
            </w:r>
            <w:r w:rsidR="00D7272F">
              <w:t>.</w:t>
            </w:r>
            <w:r w:rsidR="002E1D87">
              <w:tab/>
            </w:r>
            <w:r w:rsidR="00EB448F">
              <w:t xml:space="preserve">If your preferred option is a combination of </w:t>
            </w:r>
            <w:r w:rsidR="003F06C8">
              <w:t xml:space="preserve">a </w:t>
            </w:r>
            <w:r w:rsidR="00EB448F">
              <w:t>special levy with a determination to spread compensation over time</w:t>
            </w:r>
            <w:r w:rsidR="003F06C8">
              <w:t xml:space="preserve"> (or taking no action)</w:t>
            </w:r>
            <w:r w:rsidR="00EB448F">
              <w:t>, how much</w:t>
            </w:r>
            <w:r w:rsidR="003F06C8">
              <w:t xml:space="preserve"> </w:t>
            </w:r>
            <w:r w:rsidR="004A4D55">
              <w:t>of the excess should be left unrecovered by the special levy?</w:t>
            </w:r>
            <w:r w:rsidR="007F031B">
              <w:t xml:space="preserve"> Why?</w:t>
            </w:r>
          </w:p>
        </w:tc>
      </w:tr>
    </w:tbl>
    <w:p w14:paraId="2945BC9C" w14:textId="52B65667" w:rsidR="00F63C09" w:rsidRDefault="00F63C09" w:rsidP="00F63C09">
      <w:pPr>
        <w:pStyle w:val="Heading2"/>
      </w:pPr>
      <w:bookmarkStart w:id="15" w:name="_Toc202542339"/>
      <w:r>
        <w:lastRenderedPageBreak/>
        <w:t>Options for a special levy</w:t>
      </w:r>
      <w:r w:rsidR="0048333E">
        <w:t xml:space="preserve"> </w:t>
      </w:r>
      <w:r w:rsidR="00314562">
        <w:t xml:space="preserve">not just </w:t>
      </w:r>
      <w:r w:rsidR="00C010FE">
        <w:t xml:space="preserve">on </w:t>
      </w:r>
      <w:r w:rsidR="00D042BD">
        <w:t xml:space="preserve">the </w:t>
      </w:r>
      <w:r w:rsidR="00C010FE">
        <w:t>primary</w:t>
      </w:r>
      <w:r w:rsidR="0048333E">
        <w:t xml:space="preserve"> sub</w:t>
      </w:r>
      <w:r w:rsidR="0048333E">
        <w:noBreakHyphen/>
        <w:t>sector</w:t>
      </w:r>
      <w:bookmarkEnd w:id="15"/>
    </w:p>
    <w:p w14:paraId="000B9424" w14:textId="0495B4EC" w:rsidR="00761510" w:rsidRDefault="00682617" w:rsidP="00F63C09">
      <w:pPr>
        <w:pStyle w:val="OutlineNumbered1"/>
      </w:pPr>
      <w:r>
        <w:t>Subject to the matters to which the Minister must have regard</w:t>
      </w:r>
      <w:r w:rsidR="00314562">
        <w:t xml:space="preserve">, and of which he or she must be satisfied, options for a special levy </w:t>
      </w:r>
      <w:r w:rsidR="00DA0699">
        <w:t>not just on the primary sub</w:t>
      </w:r>
      <w:r w:rsidR="00DA0699">
        <w:noBreakHyphen/>
        <w:t xml:space="preserve">sector </w:t>
      </w:r>
      <w:r w:rsidR="00481B00">
        <w:t xml:space="preserve">are broad. </w:t>
      </w:r>
      <w:r w:rsidR="004135BE">
        <w:t>Conceptually, the Minister may apportion costs to any of the 52 sub</w:t>
      </w:r>
      <w:r w:rsidR="004135BE">
        <w:noBreakHyphen/>
        <w:t xml:space="preserve">sectors in </w:t>
      </w:r>
      <w:r w:rsidR="005151C2">
        <w:t xml:space="preserve">ASIC’s IFM, but </w:t>
      </w:r>
      <w:r w:rsidR="00A1235D">
        <w:t xml:space="preserve">practically a </w:t>
      </w:r>
      <w:r w:rsidR="00246774">
        <w:t xml:space="preserve">special </w:t>
      </w:r>
      <w:r w:rsidR="00A1235D">
        <w:t xml:space="preserve">levy can only be collected from </w:t>
      </w:r>
      <w:r w:rsidR="00FC3B0C">
        <w:t xml:space="preserve">among </w:t>
      </w:r>
      <w:r w:rsidR="00A1235D">
        <w:t>the 36 sub</w:t>
      </w:r>
      <w:r w:rsidR="00A1235D">
        <w:noBreakHyphen/>
        <w:t>sectors with one or more AFCA members</w:t>
      </w:r>
      <w:r w:rsidR="00AC3923">
        <w:t xml:space="preserve"> (since only</w:t>
      </w:r>
      <w:r w:rsidR="00A635A9">
        <w:t xml:space="preserve"> an entity that is required to be an AFCA member is liable to a special levy)</w:t>
      </w:r>
      <w:r w:rsidR="00A1235D">
        <w:t>.</w:t>
      </w:r>
      <w:r w:rsidR="004135BE">
        <w:t xml:space="preserve"> </w:t>
      </w:r>
      <w:r w:rsidR="00761510">
        <w:t xml:space="preserve">The Minister </w:t>
      </w:r>
      <w:r w:rsidR="00A16ECC">
        <w:t>m</w:t>
      </w:r>
      <w:r w:rsidR="00761510">
        <w:t>a</w:t>
      </w:r>
      <w:r w:rsidR="00A16ECC">
        <w:t>y</w:t>
      </w:r>
      <w:r w:rsidR="00761510">
        <w:t xml:space="preserve"> specify </w:t>
      </w:r>
      <w:r w:rsidR="008831A5">
        <w:t>many sub</w:t>
      </w:r>
      <w:r w:rsidR="008831A5">
        <w:noBreakHyphen/>
        <w:t xml:space="preserve">sectors, a few </w:t>
      </w:r>
      <w:r w:rsidR="00C34C78">
        <w:t>sub</w:t>
      </w:r>
      <w:r w:rsidR="00C34C78">
        <w:noBreakHyphen/>
        <w:t xml:space="preserve">sectors </w:t>
      </w:r>
      <w:r w:rsidR="008831A5">
        <w:t>or only</w:t>
      </w:r>
      <w:r w:rsidR="00C34C78">
        <w:t xml:space="preserve"> one, and he or she may </w:t>
      </w:r>
      <w:r w:rsidR="00092875">
        <w:t>(</w:t>
      </w:r>
      <w:r w:rsidR="00C34C78">
        <w:t>but is not required to</w:t>
      </w:r>
      <w:r w:rsidR="00092875">
        <w:t>)</w:t>
      </w:r>
      <w:r w:rsidR="00C34C78">
        <w:t xml:space="preserve"> include the primary sub</w:t>
      </w:r>
      <w:r w:rsidR="00C34C78">
        <w:noBreakHyphen/>
        <w:t>sector in a special levy</w:t>
      </w:r>
      <w:r w:rsidR="00F366F3">
        <w:t xml:space="preserve"> under subsection</w:t>
      </w:r>
      <w:r w:rsidR="00092875">
        <w:t> 1069</w:t>
      </w:r>
      <w:proofErr w:type="gramStart"/>
      <w:r w:rsidR="00092875">
        <w:t>H(</w:t>
      </w:r>
      <w:proofErr w:type="gramEnd"/>
      <w:r w:rsidR="00092875">
        <w:t>5)</w:t>
      </w:r>
      <w:r w:rsidR="00C34C78">
        <w:t>.</w:t>
      </w:r>
    </w:p>
    <w:p w14:paraId="15920B4D" w14:textId="5C03E913" w:rsidR="00C34C78" w:rsidRDefault="002251B2" w:rsidP="00F63C09">
      <w:pPr>
        <w:pStyle w:val="OutlineNumbered1"/>
      </w:pPr>
      <w:r>
        <w:t>Some</w:t>
      </w:r>
      <w:r w:rsidR="006D1E7D">
        <w:t xml:space="preserve"> broad</w:t>
      </w:r>
      <w:r w:rsidR="00E66613">
        <w:t>, non</w:t>
      </w:r>
      <w:r w:rsidR="001E14E6">
        <w:noBreakHyphen/>
      </w:r>
      <w:r w:rsidR="00E66613">
        <w:t>mutu</w:t>
      </w:r>
      <w:r w:rsidR="001E14E6">
        <w:t>ally exclusive</w:t>
      </w:r>
      <w:r w:rsidR="006D1E7D">
        <w:t xml:space="preserve"> options for imposing a special levy </w:t>
      </w:r>
      <w:r w:rsidR="00512230">
        <w:t>are:</w:t>
      </w:r>
    </w:p>
    <w:p w14:paraId="1A89610B" w14:textId="424CB11B" w:rsidR="00512230" w:rsidRDefault="004C2F7F" w:rsidP="00E72E01">
      <w:pPr>
        <w:pStyle w:val="OutlineNumbered2"/>
        <w:tabs>
          <w:tab w:val="clear" w:pos="1134"/>
          <w:tab w:val="num" w:pos="1701"/>
        </w:tabs>
        <w:ind w:left="1702" w:hanging="851"/>
      </w:pPr>
      <w:r>
        <w:t xml:space="preserve">to </w:t>
      </w:r>
      <w:r w:rsidR="0050086F">
        <w:t xml:space="preserve">apportion the </w:t>
      </w:r>
      <w:r w:rsidR="00F66F1E">
        <w:t xml:space="preserve">special </w:t>
      </w:r>
      <w:r w:rsidR="0050086F">
        <w:t>levy to one or more sub</w:t>
      </w:r>
      <w:r w:rsidR="0050086F">
        <w:noBreakHyphen/>
        <w:t xml:space="preserve">sectors that are considered to be responsible for the </w:t>
      </w:r>
      <w:r w:rsidR="00894A51">
        <w:t>costs exceeding a sub</w:t>
      </w:r>
      <w:r w:rsidR="00894A51">
        <w:noBreakHyphen/>
        <w:t xml:space="preserve">sector cap (which may or may not be </w:t>
      </w:r>
      <w:r w:rsidR="00313581">
        <w:t>the primary sub</w:t>
      </w:r>
      <w:r w:rsidR="00313581">
        <w:noBreakHyphen/>
        <w:t>sector</w:t>
      </w:r>
      <w:proofErr w:type="gramStart"/>
      <w:r w:rsidR="00313581">
        <w:t>);</w:t>
      </w:r>
      <w:proofErr w:type="gramEnd"/>
    </w:p>
    <w:p w14:paraId="658DA555" w14:textId="6A4F2F81" w:rsidR="00313581" w:rsidRDefault="00313581" w:rsidP="00E72E01">
      <w:pPr>
        <w:pStyle w:val="OutlineNumbered2"/>
        <w:tabs>
          <w:tab w:val="clear" w:pos="1134"/>
          <w:tab w:val="num" w:pos="1701"/>
        </w:tabs>
        <w:ind w:left="1702" w:hanging="851"/>
      </w:pPr>
      <w:r>
        <w:t xml:space="preserve">to </w:t>
      </w:r>
      <w:r w:rsidR="008A084A">
        <w:t xml:space="preserve">apportion the </w:t>
      </w:r>
      <w:r w:rsidR="00F66F1E">
        <w:t xml:space="preserve">special </w:t>
      </w:r>
      <w:r w:rsidR="008A084A">
        <w:t>levy to sub</w:t>
      </w:r>
      <w:r w:rsidR="008A084A">
        <w:noBreakHyphen/>
        <w:t>sectors with the greatest capacity to pay; or</w:t>
      </w:r>
    </w:p>
    <w:p w14:paraId="0AD3D756" w14:textId="50D9786A" w:rsidR="008A084A" w:rsidRDefault="008A084A" w:rsidP="00E72E01">
      <w:pPr>
        <w:pStyle w:val="OutlineNumbered2"/>
        <w:tabs>
          <w:tab w:val="clear" w:pos="1134"/>
          <w:tab w:val="num" w:pos="1701"/>
        </w:tabs>
        <w:ind w:left="1702" w:hanging="851"/>
      </w:pPr>
      <w:r>
        <w:t xml:space="preserve">to </w:t>
      </w:r>
      <w:r w:rsidR="00F66F1E">
        <w:t>apportion the special levy broadly across</w:t>
      </w:r>
      <w:r w:rsidR="00965C7D">
        <w:t xml:space="preserve"> a wide range of sub</w:t>
      </w:r>
      <w:r w:rsidR="00965C7D">
        <w:noBreakHyphen/>
        <w:t>sectors that have exposure to retail clients.</w:t>
      </w:r>
    </w:p>
    <w:p w14:paraId="6B80C0B3" w14:textId="698ECB4F" w:rsidR="00E2573E" w:rsidRDefault="00881DB8" w:rsidP="00E2573E">
      <w:pPr>
        <w:pStyle w:val="Heading4"/>
      </w:pPr>
      <w:r>
        <w:t>Note on s</w:t>
      </w:r>
      <w:r w:rsidR="00103D1B">
        <w:t>election of options and e</w:t>
      </w:r>
      <w:r w:rsidR="00E2573E">
        <w:t>stimated levies</w:t>
      </w:r>
    </w:p>
    <w:p w14:paraId="7E62A866" w14:textId="358A26C7" w:rsidR="008D0100" w:rsidRDefault="00FD54ED" w:rsidP="00F63C09">
      <w:pPr>
        <w:pStyle w:val="OutlineNumbered1"/>
      </w:pPr>
      <w:r>
        <w:t xml:space="preserve">This paper sets out a wide range of options </w:t>
      </w:r>
      <w:r w:rsidR="001C1BA3">
        <w:t>that are available to the Minister under subsection </w:t>
      </w:r>
      <w:r w:rsidR="0016222E">
        <w:t>1</w:t>
      </w:r>
      <w:r w:rsidR="002517DD">
        <w:t>0</w:t>
      </w:r>
      <w:r w:rsidR="0016222E">
        <w:t>69</w:t>
      </w:r>
      <w:proofErr w:type="gramStart"/>
      <w:r w:rsidR="0016222E">
        <w:t>H(</w:t>
      </w:r>
      <w:proofErr w:type="gramEnd"/>
      <w:r w:rsidR="0016222E">
        <w:t xml:space="preserve">5) of the </w:t>
      </w:r>
      <w:r w:rsidR="0016222E" w:rsidRPr="001E4093">
        <w:t xml:space="preserve">Corporations Act </w:t>
      </w:r>
      <w:r w:rsidR="0016222E">
        <w:t xml:space="preserve">and the current settings of ASIC’s Industry Funding Model. </w:t>
      </w:r>
      <w:r w:rsidR="00631966">
        <w:t xml:space="preserve">Where possible, Treasury has prepared </w:t>
      </w:r>
      <w:r w:rsidR="00C73F40">
        <w:t xml:space="preserve">indicative </w:t>
      </w:r>
      <w:r w:rsidR="00631966">
        <w:t xml:space="preserve">preliminary estimates of </w:t>
      </w:r>
      <w:r w:rsidR="00215A2F">
        <w:t xml:space="preserve">the </w:t>
      </w:r>
      <w:r w:rsidR="00F403DA">
        <w:t>levies that would be payable under</w:t>
      </w:r>
      <w:r w:rsidR="00215A2F">
        <w:t xml:space="preserve"> these options, so that their practical</w:t>
      </w:r>
      <w:r w:rsidR="00F403DA">
        <w:t xml:space="preserve"> financial impacts can be illustrated </w:t>
      </w:r>
      <w:r w:rsidR="0074020E">
        <w:t xml:space="preserve">and assessed </w:t>
      </w:r>
      <w:r w:rsidR="00F403DA">
        <w:t xml:space="preserve">as well as considering their benefits and drawbacks </w:t>
      </w:r>
      <w:r w:rsidR="003D56E9">
        <w:t>on</w:t>
      </w:r>
      <w:r w:rsidR="00F403DA">
        <w:t xml:space="preserve"> a principle</w:t>
      </w:r>
      <w:r w:rsidR="00E2573E">
        <w:t>d</w:t>
      </w:r>
      <w:r w:rsidR="00F403DA">
        <w:t xml:space="preserve"> basis.</w:t>
      </w:r>
    </w:p>
    <w:p w14:paraId="3D98ECA5" w14:textId="2E9091B2" w:rsidR="00AD4D0E" w:rsidRDefault="00811E63" w:rsidP="00F63C09">
      <w:pPr>
        <w:pStyle w:val="OutlineNumbered1"/>
      </w:pPr>
      <w:bookmarkStart w:id="16" w:name="_Ref202436212"/>
      <w:bookmarkStart w:id="17" w:name="_Ref201245178"/>
      <w:r>
        <w:t>These estimates are based on</w:t>
      </w:r>
      <w:r w:rsidR="005B765B">
        <w:t xml:space="preserve"> </w:t>
      </w:r>
      <w:r w:rsidR="00F863D0">
        <w:t>data provided by ASIC and the ATO</w:t>
      </w:r>
      <w:r w:rsidR="00F22902">
        <w:t>.</w:t>
      </w:r>
      <w:bookmarkEnd w:id="16"/>
      <w:r w:rsidR="003D6839">
        <w:t xml:space="preserve"> The data reflect </w:t>
      </w:r>
      <w:proofErr w:type="gramStart"/>
      <w:r w:rsidR="003D6839">
        <w:t>particular points</w:t>
      </w:r>
      <w:proofErr w:type="gramEnd"/>
      <w:r w:rsidR="003D6839">
        <w:t xml:space="preserve"> in time, as detailed below, and are subject to some limitations, such that the estimates are necessarily indicative only. Treasury welcomes submissions about the appropriate use of these data sources and any alternative data sources that might appropriately inform consideration of these options.</w:t>
      </w:r>
    </w:p>
    <w:p w14:paraId="589DE003" w14:textId="69C088DA" w:rsidR="00AD4D0E" w:rsidRDefault="00F22902" w:rsidP="00AD4D0E">
      <w:pPr>
        <w:pStyle w:val="OutlineNumbered2"/>
        <w:tabs>
          <w:tab w:val="clear" w:pos="1134"/>
          <w:tab w:val="num" w:pos="1701"/>
        </w:tabs>
        <w:ind w:left="1702" w:hanging="851"/>
      </w:pPr>
      <w:r>
        <w:t xml:space="preserve">ASIC </w:t>
      </w:r>
      <w:r w:rsidR="00693895">
        <w:t xml:space="preserve">provided </w:t>
      </w:r>
      <w:r w:rsidR="00605E3F">
        <w:t xml:space="preserve">data on the </w:t>
      </w:r>
      <w:r w:rsidR="006E62FA">
        <w:t xml:space="preserve">total </w:t>
      </w:r>
      <w:r w:rsidR="00605E3F">
        <w:t xml:space="preserve">number of entities </w:t>
      </w:r>
      <w:r w:rsidR="00A71948">
        <w:t xml:space="preserve">in each IFM </w:t>
      </w:r>
      <w:r w:rsidR="136E8E88">
        <w:t>sub</w:t>
      </w:r>
      <w:r w:rsidR="00FF5093">
        <w:noBreakHyphen/>
      </w:r>
      <w:r w:rsidR="136E8E88">
        <w:t>sector</w:t>
      </w:r>
      <w:r w:rsidR="00665BF6">
        <w:t xml:space="preserve"> </w:t>
      </w:r>
      <w:r w:rsidR="00620E32">
        <w:t>der</w:t>
      </w:r>
      <w:r w:rsidR="00F66EC1">
        <w:t xml:space="preserve">ived from </w:t>
      </w:r>
      <w:r w:rsidR="00C61F2D">
        <w:t xml:space="preserve">the </w:t>
      </w:r>
      <w:r w:rsidR="00F66EC1">
        <w:rPr>
          <w:i/>
          <w:iCs/>
        </w:rPr>
        <w:t>ASIC (Supervisory Cost Recovery Levy – Annual Determination</w:t>
      </w:r>
      <w:r w:rsidR="00F66EC1" w:rsidRPr="00C61F2D">
        <w:rPr>
          <w:i/>
          <w:iCs/>
        </w:rPr>
        <w:t>) Instrument 2024/822</w:t>
      </w:r>
      <w:r w:rsidR="00C61F2D">
        <w:t xml:space="preserve">, </w:t>
      </w:r>
      <w:r w:rsidR="00665BF6">
        <w:t xml:space="preserve">and the number within each </w:t>
      </w:r>
      <w:r w:rsidR="4E1065FC">
        <w:t>sub</w:t>
      </w:r>
      <w:r w:rsidR="00FF5093">
        <w:noBreakHyphen/>
      </w:r>
      <w:r w:rsidR="4E1065FC">
        <w:t>sector</w:t>
      </w:r>
      <w:r w:rsidR="00665BF6">
        <w:t xml:space="preserve"> that are required to be members of AFCA</w:t>
      </w:r>
      <w:r w:rsidR="00D9540F">
        <w:t xml:space="preserve"> </w:t>
      </w:r>
      <w:r w:rsidR="00876108">
        <w:t xml:space="preserve">based only on the licence conditions of Australian Financial Services Licensees or Credit Licensees </w:t>
      </w:r>
      <w:r w:rsidR="00D9540F">
        <w:t xml:space="preserve">(as </w:t>
      </w:r>
      <w:proofErr w:type="gramStart"/>
      <w:r w:rsidR="00D9540F">
        <w:t>at</w:t>
      </w:r>
      <w:proofErr w:type="gramEnd"/>
      <w:r w:rsidR="00D9540F">
        <w:t xml:space="preserve"> 30 June 2024)</w:t>
      </w:r>
      <w:r w:rsidR="00A71948">
        <w:t xml:space="preserve">. </w:t>
      </w:r>
      <w:r w:rsidR="00035505">
        <w:t xml:space="preserve">They reflect the number of entities that would likely be subject to a special levy if it were imposed </w:t>
      </w:r>
      <w:r w:rsidR="00D9540F">
        <w:t xml:space="preserve">on </w:t>
      </w:r>
      <w:r w:rsidR="00035505">
        <w:t xml:space="preserve">that </w:t>
      </w:r>
      <w:r w:rsidR="00D9540F">
        <w:t>sub</w:t>
      </w:r>
      <w:r w:rsidR="00D9540F">
        <w:noBreakHyphen/>
        <w:t>sector</w:t>
      </w:r>
      <w:r w:rsidR="003937D4">
        <w:t>.</w:t>
      </w:r>
    </w:p>
    <w:p w14:paraId="4E7AE3A9" w14:textId="77777777" w:rsidR="00530061" w:rsidRDefault="00665BF6" w:rsidP="00AD4D0E">
      <w:pPr>
        <w:pStyle w:val="OutlineNumbered2"/>
        <w:tabs>
          <w:tab w:val="clear" w:pos="1134"/>
          <w:tab w:val="num" w:pos="1701"/>
        </w:tabs>
        <w:ind w:left="1702" w:hanging="851"/>
      </w:pPr>
      <w:r>
        <w:t xml:space="preserve">The ATO provided estimates of average revenue and profit </w:t>
      </w:r>
      <w:r w:rsidR="00506547">
        <w:t xml:space="preserve">of the entities </w:t>
      </w:r>
      <w:r w:rsidR="002C6BFA">
        <w:t xml:space="preserve">within a </w:t>
      </w:r>
      <w:r w:rsidR="00C47ED1">
        <w:t xml:space="preserve">specified range of </w:t>
      </w:r>
      <w:r w:rsidR="2B2B183C">
        <w:t>sub</w:t>
      </w:r>
      <w:r w:rsidR="00FF5093">
        <w:noBreakHyphen/>
      </w:r>
      <w:r w:rsidR="2B2B183C">
        <w:t>sectors.</w:t>
      </w:r>
      <w:r w:rsidR="00C47ED1">
        <w:t xml:space="preserve"> The ATO’s estimates are based on </w:t>
      </w:r>
      <w:r w:rsidR="00AA7778">
        <w:t xml:space="preserve">the </w:t>
      </w:r>
      <w:r w:rsidR="006A4061">
        <w:t xml:space="preserve">entities within those </w:t>
      </w:r>
      <w:r w:rsidR="3CF889DA">
        <w:t>sub</w:t>
      </w:r>
      <w:r w:rsidR="001963F3">
        <w:noBreakHyphen/>
      </w:r>
      <w:r w:rsidR="3CF889DA">
        <w:t>sectors</w:t>
      </w:r>
      <w:r w:rsidR="006A4061">
        <w:t xml:space="preserve"> who had lodged an income tax return in the 2023 income year (</w:t>
      </w:r>
      <w:r w:rsidR="00F2657B">
        <w:t>around two thirds</w:t>
      </w:r>
      <w:r w:rsidR="00393FE4">
        <w:t xml:space="preserve"> of entities).</w:t>
      </w:r>
    </w:p>
    <w:p w14:paraId="0F3304F6" w14:textId="7D0C32F5" w:rsidR="00FD54ED" w:rsidRDefault="003845D7" w:rsidP="00AD4D0E">
      <w:pPr>
        <w:pStyle w:val="OutlineNumbered2"/>
        <w:tabs>
          <w:tab w:val="clear" w:pos="1134"/>
          <w:tab w:val="num" w:pos="1701"/>
        </w:tabs>
        <w:ind w:left="1702" w:hanging="851"/>
      </w:pPr>
      <w:r>
        <w:t xml:space="preserve">These data are set out in </w:t>
      </w:r>
      <w:r w:rsidRPr="00AD4D0E">
        <w:rPr>
          <w:u w:val="single"/>
        </w:rPr>
        <w:t>Appendix A</w:t>
      </w:r>
      <w:r w:rsidR="003620C1">
        <w:t xml:space="preserve"> (the ATO’s </w:t>
      </w:r>
      <w:r w:rsidR="001F1DA6">
        <w:t>data have been rounded)</w:t>
      </w:r>
      <w:r>
        <w:t>.</w:t>
      </w:r>
      <w:r w:rsidR="00C76831">
        <w:t xml:space="preserve"> Treasury’s </w:t>
      </w:r>
      <w:r w:rsidR="00021D33">
        <w:t>extrapolations from th</w:t>
      </w:r>
      <w:r w:rsidR="00CE7473">
        <w:t xml:space="preserve">ose data </w:t>
      </w:r>
      <w:r w:rsidR="00B46AAC">
        <w:t xml:space="preserve">are also included in </w:t>
      </w:r>
      <w:r w:rsidR="00B46AAC" w:rsidRPr="00AD4D0E">
        <w:rPr>
          <w:u w:val="single"/>
        </w:rPr>
        <w:t>Appendix A</w:t>
      </w:r>
      <w:r w:rsidR="00B46AAC">
        <w:t>, and its calculation</w:t>
      </w:r>
      <w:r w:rsidR="00272727">
        <w:t xml:space="preserve"> of illustrative levies under </w:t>
      </w:r>
      <w:r w:rsidR="00E96296">
        <w:t>some of the</w:t>
      </w:r>
      <w:r w:rsidR="008C45C0">
        <w:t xml:space="preserve"> options set out below are in </w:t>
      </w:r>
      <w:r w:rsidR="008C45C0" w:rsidRPr="00AD4D0E">
        <w:rPr>
          <w:u w:val="single"/>
        </w:rPr>
        <w:t>Appendix B</w:t>
      </w:r>
      <w:r w:rsidR="008C45C0">
        <w:t>.</w:t>
      </w:r>
      <w:bookmarkEnd w:id="17"/>
    </w:p>
    <w:p w14:paraId="776F2A43" w14:textId="7FA0A487" w:rsidR="0074020E" w:rsidRDefault="00580B82" w:rsidP="00F63C09">
      <w:pPr>
        <w:pStyle w:val="OutlineNumbered1"/>
      </w:pPr>
      <w:r>
        <w:lastRenderedPageBreak/>
        <w:t>The inclusion of an option in this paper should not be taken as an indication that it is under active consideration</w:t>
      </w:r>
      <w:r w:rsidR="00207EAF">
        <w:t xml:space="preserve"> by the Government. </w:t>
      </w:r>
      <w:r w:rsidR="009E14E4">
        <w:t>Stakeholders are invited to</w:t>
      </w:r>
      <w:r w:rsidR="003A33D1">
        <w:t xml:space="preserve"> identify any additional options not presented in this paper that </w:t>
      </w:r>
      <w:r w:rsidR="00BA46DB">
        <w:t>the Minister may wish to consider.</w:t>
      </w:r>
    </w:p>
    <w:p w14:paraId="7C11D33A" w14:textId="161397A4" w:rsidR="005B5705" w:rsidRDefault="0043123C" w:rsidP="00C8412B">
      <w:pPr>
        <w:pStyle w:val="Heading3"/>
      </w:pPr>
      <w:bookmarkStart w:id="18" w:name="_Toc202542340"/>
      <w:r>
        <w:t>Captur</w:t>
      </w:r>
      <w:r w:rsidR="00C8412B">
        <w:t>ing a sub</w:t>
      </w:r>
      <w:r w:rsidR="001963F3">
        <w:noBreakHyphen/>
      </w:r>
      <w:r w:rsidR="00C8412B">
        <w:t>sector</w:t>
      </w:r>
      <w:r w:rsidR="0048671B">
        <w:t xml:space="preserve"> </w:t>
      </w:r>
      <w:r w:rsidR="00CE7704">
        <w:t>connected to the underlying conduct</w:t>
      </w:r>
      <w:bookmarkEnd w:id="18"/>
    </w:p>
    <w:p w14:paraId="3B6519B1" w14:textId="038A6E76" w:rsidR="003B05DC" w:rsidRDefault="009C0DE4" w:rsidP="00F63C09">
      <w:pPr>
        <w:pStyle w:val="OutlineNumbered1"/>
      </w:pPr>
      <w:r>
        <w:t>One option is to assign the cost</w:t>
      </w:r>
      <w:r w:rsidR="00F144B7">
        <w:t xml:space="preserve"> of the excess</w:t>
      </w:r>
      <w:r w:rsidR="000430DE">
        <w:t>, in whole</w:t>
      </w:r>
      <w:r w:rsidR="00AF0DDF">
        <w:t>,</w:t>
      </w:r>
      <w:r w:rsidR="000430DE">
        <w:t xml:space="preserve"> </w:t>
      </w:r>
      <w:r w:rsidR="00F144B7">
        <w:t xml:space="preserve">to </w:t>
      </w:r>
      <w:r w:rsidR="00C43603">
        <w:t>a</w:t>
      </w:r>
      <w:r w:rsidR="00591DD1">
        <w:t xml:space="preserve"> sub</w:t>
      </w:r>
      <w:r w:rsidR="00591DD1">
        <w:noBreakHyphen/>
        <w:t xml:space="preserve">sector other than the </w:t>
      </w:r>
      <w:r w:rsidR="00F144B7">
        <w:t>primary sub-sector</w:t>
      </w:r>
      <w:r w:rsidR="003B05DC">
        <w:t xml:space="preserve">, </w:t>
      </w:r>
      <w:r w:rsidR="000430DE">
        <w:t xml:space="preserve">on the basis </w:t>
      </w:r>
      <w:r w:rsidR="00591DD1">
        <w:t xml:space="preserve">that </w:t>
      </w:r>
      <w:r w:rsidR="000430DE">
        <w:t>that sub-sector</w:t>
      </w:r>
      <w:r w:rsidR="003B05DC">
        <w:t xml:space="preserve"> is connected to the underlying conduct that led to the claims.</w:t>
      </w:r>
      <w:r w:rsidR="00F144B7">
        <w:t xml:space="preserve"> </w:t>
      </w:r>
      <w:r w:rsidR="00F53713">
        <w:t xml:space="preserve">A variation of this option is </w:t>
      </w:r>
      <w:r w:rsidR="00E968F3">
        <w:t xml:space="preserve">for </w:t>
      </w:r>
      <w:r w:rsidR="00F53713">
        <w:t xml:space="preserve">that non-primary sector to bear </w:t>
      </w:r>
      <w:r w:rsidR="00E968F3">
        <w:t xml:space="preserve">some portion </w:t>
      </w:r>
      <w:r w:rsidR="00F53713">
        <w:t xml:space="preserve">of the cost of the excess, in </w:t>
      </w:r>
      <w:r w:rsidR="00E968F3">
        <w:t xml:space="preserve">combination </w:t>
      </w:r>
      <w:r w:rsidR="00F53713">
        <w:t>with the primary sub-sector.</w:t>
      </w:r>
    </w:p>
    <w:p w14:paraId="14E2C4C3" w14:textId="3BC0F6BC" w:rsidR="00FF27A5" w:rsidRPr="007F3CA6" w:rsidRDefault="00660552" w:rsidP="00AD17B8">
      <w:pPr>
        <w:pStyle w:val="OutlineNumbered1"/>
      </w:pPr>
      <w:r>
        <w:t>This option</w:t>
      </w:r>
      <w:r w:rsidR="000A6616">
        <w:t xml:space="preserve"> </w:t>
      </w:r>
      <w:r w:rsidR="0018547F">
        <w:t xml:space="preserve">has </w:t>
      </w:r>
      <w:r w:rsidR="00FE525E">
        <w:t>an</w:t>
      </w:r>
      <w:r w:rsidR="0018547F">
        <w:t xml:space="preserve"> inherent difficulty</w:t>
      </w:r>
      <w:r w:rsidR="00795D2A">
        <w:t xml:space="preserve"> </w:t>
      </w:r>
      <w:r w:rsidR="00FE525E">
        <w:t>in requiring the determination of responsibility for the conduct</w:t>
      </w:r>
      <w:r w:rsidR="009F426D">
        <w:t xml:space="preserve"> driving the costs. </w:t>
      </w:r>
      <w:r w:rsidR="00771BD3">
        <w:t>S</w:t>
      </w:r>
      <w:r w:rsidR="0063402F">
        <w:t>ome s</w:t>
      </w:r>
      <w:r w:rsidR="007B235E">
        <w:t>takeholders</w:t>
      </w:r>
      <w:r w:rsidR="003B05DC">
        <w:t xml:space="preserve"> </w:t>
      </w:r>
      <w:r w:rsidR="007B235E">
        <w:t xml:space="preserve">have </w:t>
      </w:r>
      <w:r w:rsidR="0063402F">
        <w:t xml:space="preserve">suggested </w:t>
      </w:r>
      <w:r w:rsidR="00360AB4">
        <w:t>that ‘financial product failures’</w:t>
      </w:r>
      <w:r w:rsidR="007F57BD">
        <w:t xml:space="preserve">, </w:t>
      </w:r>
      <w:proofErr w:type="gramStart"/>
      <w:r w:rsidR="007F57BD">
        <w:t>in particular in</w:t>
      </w:r>
      <w:proofErr w:type="gramEnd"/>
      <w:r w:rsidR="007F57BD">
        <w:t xml:space="preserve"> relation to managed investment schemes,</w:t>
      </w:r>
      <w:r w:rsidR="00360AB4">
        <w:t xml:space="preserve"> are </w:t>
      </w:r>
      <w:r w:rsidR="007F57BD">
        <w:t xml:space="preserve">a </w:t>
      </w:r>
      <w:r w:rsidR="00360AB4">
        <w:t>driv</w:t>
      </w:r>
      <w:r w:rsidR="007F57BD">
        <w:t>er of the</w:t>
      </w:r>
      <w:r w:rsidR="00360AB4">
        <w:t xml:space="preserve"> </w:t>
      </w:r>
      <w:r w:rsidR="00B87BA5">
        <w:t>CSLR</w:t>
      </w:r>
      <w:r w:rsidR="007F57BD">
        <w:t>’s</w:t>
      </w:r>
      <w:r w:rsidR="00B87BA5">
        <w:t xml:space="preserve"> costs</w:t>
      </w:r>
      <w:r w:rsidR="0090517C">
        <w:t>.</w:t>
      </w:r>
    </w:p>
    <w:p w14:paraId="7E6BF186" w14:textId="77777777" w:rsidR="00B95B94" w:rsidRDefault="00B95B94" w:rsidP="00E94E67">
      <w:pPr>
        <w:spacing w:before="0" w:after="0"/>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B95B94" w14:paraId="4A1E5420" w14:textId="77777777" w:rsidTr="000A7ED0">
        <w:tc>
          <w:tcPr>
            <w:tcW w:w="5000" w:type="pct"/>
            <w:shd w:val="clear" w:color="auto" w:fill="EEEEEE" w:themeFill="background2"/>
          </w:tcPr>
          <w:p w14:paraId="0E1D9D2A" w14:textId="77777777" w:rsidR="00B95B94" w:rsidRDefault="00B95B94" w:rsidP="00847630">
            <w:pPr>
              <w:pStyle w:val="BoxHeading"/>
              <w:keepNext w:val="0"/>
              <w:spacing w:before="0"/>
            </w:pPr>
            <w:r>
              <w:t>Questions</w:t>
            </w:r>
          </w:p>
          <w:p w14:paraId="212314EC" w14:textId="6D5B3859" w:rsidR="00B95B94" w:rsidRDefault="000C7869">
            <w:pPr>
              <w:pStyle w:val="BoxText"/>
              <w:ind w:left="482" w:hanging="357"/>
            </w:pPr>
            <w:r>
              <w:t>8</w:t>
            </w:r>
            <w:r w:rsidR="00B95B94">
              <w:t>.</w:t>
            </w:r>
            <w:r w:rsidR="00B95B94">
              <w:tab/>
            </w:r>
            <w:r w:rsidR="00D90D93">
              <w:t xml:space="preserve">Should a Minister consider </w:t>
            </w:r>
            <w:r w:rsidR="001168BA">
              <w:t>impos</w:t>
            </w:r>
            <w:r w:rsidR="00B622D5">
              <w:t>ing</w:t>
            </w:r>
            <w:r w:rsidR="001168BA">
              <w:t xml:space="preserve"> a special levy on a sub</w:t>
            </w:r>
            <w:r w:rsidR="008C759F">
              <w:noBreakHyphen/>
            </w:r>
            <w:r w:rsidR="001168BA">
              <w:t xml:space="preserve">sector because of its </w:t>
            </w:r>
            <w:r w:rsidR="00D542C6">
              <w:t xml:space="preserve">connection to </w:t>
            </w:r>
            <w:r w:rsidR="002817AA">
              <w:t xml:space="preserve">the losses that have driven an excess? </w:t>
            </w:r>
            <w:r w:rsidR="00244B83">
              <w:t xml:space="preserve">If </w:t>
            </w:r>
            <w:r w:rsidR="005A0985">
              <w:t>so</w:t>
            </w:r>
            <w:r w:rsidR="00244B83">
              <w:t xml:space="preserve">, </w:t>
            </w:r>
            <w:r w:rsidR="00913A21">
              <w:t>what are the factors that</w:t>
            </w:r>
            <w:r w:rsidR="00AC5461">
              <w:t xml:space="preserve"> should be </w:t>
            </w:r>
            <w:proofErr w:type="gramStart"/>
            <w:r w:rsidR="00AC5461">
              <w:t>taken into account</w:t>
            </w:r>
            <w:proofErr w:type="gramEnd"/>
            <w:r w:rsidR="00AC5461">
              <w:t xml:space="preserve"> in the Minister’s consideration</w:t>
            </w:r>
            <w:r w:rsidR="002817AA">
              <w:t>?</w:t>
            </w:r>
          </w:p>
          <w:p w14:paraId="4E5265F5" w14:textId="5F8DA564" w:rsidR="00B95B94" w:rsidRPr="000D1284" w:rsidRDefault="000C7869" w:rsidP="00045C52">
            <w:pPr>
              <w:pStyle w:val="BoxText"/>
              <w:ind w:left="482" w:hanging="357"/>
            </w:pPr>
            <w:r>
              <w:t>9</w:t>
            </w:r>
            <w:r w:rsidR="00B95B94">
              <w:t>.</w:t>
            </w:r>
            <w:r w:rsidR="00B95B94">
              <w:tab/>
            </w:r>
            <w:r w:rsidR="00045C52">
              <w:t xml:space="preserve">What evidence should a Minister require, or what process should be undertaken, before determining </w:t>
            </w:r>
            <w:r w:rsidR="00FE7B7D">
              <w:t>that there exists a</w:t>
            </w:r>
            <w:r w:rsidR="00045C52">
              <w:t xml:space="preserve"> subjective responsibility</w:t>
            </w:r>
            <w:r w:rsidR="00FE7B7D">
              <w:t xml:space="preserve"> that should be reflected in a special levy</w:t>
            </w:r>
            <w:r w:rsidR="00045C52">
              <w:t>?</w:t>
            </w:r>
          </w:p>
        </w:tc>
      </w:tr>
    </w:tbl>
    <w:p w14:paraId="7FC5F1CF" w14:textId="2FE45380" w:rsidR="00103E10" w:rsidRDefault="0043123C" w:rsidP="0043123C">
      <w:pPr>
        <w:pStyle w:val="Heading3"/>
      </w:pPr>
      <w:bookmarkStart w:id="19" w:name="_Toc202542341"/>
      <w:r>
        <w:t>Capturing ‘large’ entities</w:t>
      </w:r>
      <w:bookmarkEnd w:id="19"/>
    </w:p>
    <w:p w14:paraId="79AD31AE" w14:textId="77777777" w:rsidR="00640DDE" w:rsidRDefault="0028165B" w:rsidP="00F63C09">
      <w:pPr>
        <w:pStyle w:val="OutlineNumbered1"/>
      </w:pPr>
      <w:r>
        <w:t xml:space="preserve">As the Minister is required to </w:t>
      </w:r>
      <w:r w:rsidR="008D0666">
        <w:t>have regard to the impact a special levy may have on a sub</w:t>
      </w:r>
      <w:r w:rsidR="008D0666">
        <w:noBreakHyphen/>
        <w:t xml:space="preserve">sector’s financial sustainability, </w:t>
      </w:r>
      <w:r w:rsidR="00C81741">
        <w:t xml:space="preserve">one way to minimise this impact may be to impose the levy on </w:t>
      </w:r>
      <w:r w:rsidR="00CB4A73">
        <w:t>sub</w:t>
      </w:r>
      <w:r w:rsidR="00CB4A73">
        <w:noBreakHyphen/>
        <w:t xml:space="preserve">sectors whose </w:t>
      </w:r>
      <w:r w:rsidR="002F6696">
        <w:t>entities have the greatest capacity to pay</w:t>
      </w:r>
      <w:r w:rsidR="00FE3BD4">
        <w:t>.</w:t>
      </w:r>
    </w:p>
    <w:p w14:paraId="672ACDFC" w14:textId="539D7171" w:rsidR="00684486" w:rsidRDefault="00307DB2" w:rsidP="00F63C09">
      <w:pPr>
        <w:pStyle w:val="OutlineNumbered1"/>
      </w:pPr>
      <w:r>
        <w:t>A similar approach was taken at the inception of the CSLR levy framework with the ‘pre</w:t>
      </w:r>
      <w:r>
        <w:noBreakHyphen/>
        <w:t xml:space="preserve">CSLR levy’, </w:t>
      </w:r>
      <w:r w:rsidR="00B943DC">
        <w:t>which funds pre</w:t>
      </w:r>
      <w:r w:rsidR="00B943DC">
        <w:noBreakHyphen/>
        <w:t xml:space="preserve">CSLR complaints. </w:t>
      </w:r>
      <w:r w:rsidR="00FC0C90">
        <w:t xml:space="preserve">Under section 10 of the CSLR Levy Act, the </w:t>
      </w:r>
      <w:r w:rsidR="00B65E23">
        <w:t>pre</w:t>
      </w:r>
      <w:r w:rsidR="00B65E23">
        <w:noBreakHyphen/>
        <w:t xml:space="preserve">CSLR levy was imposed on the ten </w:t>
      </w:r>
      <w:r w:rsidR="00875CA4">
        <w:t xml:space="preserve">highest-income </w:t>
      </w:r>
      <w:r w:rsidR="00916A33">
        <w:t>APRA</w:t>
      </w:r>
      <w:r w:rsidR="00916A33">
        <w:noBreakHyphen/>
        <w:t xml:space="preserve">regulated </w:t>
      </w:r>
      <w:r w:rsidR="00FE2F9E">
        <w:t>entities</w:t>
      </w:r>
      <w:r w:rsidR="00ED7F7B">
        <w:t xml:space="preserve"> (other than private health insurers)</w:t>
      </w:r>
      <w:r w:rsidR="00A03A88">
        <w:t xml:space="preserve">. </w:t>
      </w:r>
      <w:r w:rsidR="0068167B">
        <w:t xml:space="preserve">The </w:t>
      </w:r>
      <w:r w:rsidR="0068167B" w:rsidRPr="00651494">
        <w:rPr>
          <w:i/>
        </w:rPr>
        <w:t>Financial Services Compensation Scheme of Last Resort Levy (Collection) (Initial Estimate of Unpaid Claims and Fees) Determination 2024</w:t>
      </w:r>
      <w:r w:rsidR="00245D94">
        <w:t xml:space="preserve"> </w:t>
      </w:r>
      <w:r w:rsidR="005F72C9">
        <w:t xml:space="preserve">led to </w:t>
      </w:r>
      <w:r w:rsidR="004F2264">
        <w:t>a</w:t>
      </w:r>
      <w:r w:rsidR="005F72C9">
        <w:t xml:space="preserve"> levy of </w:t>
      </w:r>
      <w:r w:rsidR="00651494">
        <w:t xml:space="preserve">$240.9 million </w:t>
      </w:r>
      <w:r w:rsidR="00534FE7">
        <w:t xml:space="preserve">paid </w:t>
      </w:r>
      <w:r w:rsidR="00D16273">
        <w:t xml:space="preserve">by the ten ‘largest’ </w:t>
      </w:r>
      <w:proofErr w:type="gramStart"/>
      <w:r w:rsidR="00F23D9D">
        <w:t>prudentially-regulated</w:t>
      </w:r>
      <w:proofErr w:type="gramEnd"/>
      <w:r w:rsidR="00F23D9D">
        <w:t xml:space="preserve"> firms</w:t>
      </w:r>
      <w:r w:rsidR="004F2264">
        <w:t>.</w:t>
      </w:r>
    </w:p>
    <w:p w14:paraId="1BE76990" w14:textId="05A3BFC0" w:rsidR="00720F2F" w:rsidRDefault="008B007D" w:rsidP="00F63C09">
      <w:pPr>
        <w:pStyle w:val="OutlineNumbered1"/>
      </w:pPr>
      <w:r>
        <w:t>Th</w:t>
      </w:r>
      <w:r w:rsidR="00C70AA5">
        <w:t>at</w:t>
      </w:r>
      <w:r w:rsidR="00680D9A">
        <w:t xml:space="preserve"> mechanism </w:t>
      </w:r>
      <w:r w:rsidR="00FF6F39">
        <w:t xml:space="preserve">was a ‘once-off’; it </w:t>
      </w:r>
      <w:r w:rsidR="00680D9A">
        <w:t xml:space="preserve">cannot be repeated for future </w:t>
      </w:r>
      <w:r w:rsidR="006103F0">
        <w:t xml:space="preserve">levy periods </w:t>
      </w:r>
      <w:r w:rsidR="007C7884">
        <w:t>under the existing legislat</w:t>
      </w:r>
      <w:r w:rsidR="00E3258A">
        <w:t xml:space="preserve">ed framework. </w:t>
      </w:r>
      <w:r w:rsidR="00EB7732">
        <w:t xml:space="preserve">However, it may be possible to </w:t>
      </w:r>
      <w:r w:rsidR="006F3D18">
        <w:t>generate</w:t>
      </w:r>
      <w:r w:rsidR="00EB7732">
        <w:t xml:space="preserve"> a similar outcome </w:t>
      </w:r>
      <w:r w:rsidR="006F3D18">
        <w:t xml:space="preserve">by </w:t>
      </w:r>
      <w:r w:rsidR="00B506A5">
        <w:t xml:space="preserve">using one or more of the ASIC IFM </w:t>
      </w:r>
      <w:proofErr w:type="gramStart"/>
      <w:r w:rsidR="00B506A5">
        <w:t>sub</w:t>
      </w:r>
      <w:proofErr w:type="gramEnd"/>
      <w:r w:rsidR="00B506A5">
        <w:noBreakHyphen/>
        <w:t xml:space="preserve">sectors </w:t>
      </w:r>
      <w:r w:rsidR="00C3243E">
        <w:t>as a proxy</w:t>
      </w:r>
      <w:r w:rsidR="0088247C">
        <w:t xml:space="preserve">; that is, by identifying </w:t>
      </w:r>
      <w:r w:rsidR="005A2B4C">
        <w:t>sub</w:t>
      </w:r>
      <w:r w:rsidR="005A2B4C">
        <w:noBreakHyphen/>
        <w:t>sectors with a small number of AFCA members who have a significant capacity to pay.</w:t>
      </w:r>
    </w:p>
    <w:p w14:paraId="6D491E67" w14:textId="65708A37" w:rsidR="005E3FE2" w:rsidRPr="00281150" w:rsidRDefault="005E3FE2" w:rsidP="005E3FE2">
      <w:pPr>
        <w:pStyle w:val="OutlineNumbered1"/>
      </w:pPr>
      <w:r w:rsidRPr="00281150">
        <w:t xml:space="preserve">This option could </w:t>
      </w:r>
      <w:r w:rsidR="00281150" w:rsidRPr="00281150">
        <w:t xml:space="preserve">address </w:t>
      </w:r>
      <w:r w:rsidR="00571593">
        <w:t>the mandatory considerations in paragraph 1069H(5)(b)</w:t>
      </w:r>
      <w:r w:rsidR="00C36DD0">
        <w:t>, insofar as</w:t>
      </w:r>
      <w:r w:rsidR="00740CA7">
        <w:t xml:space="preserve"> it </w:t>
      </w:r>
      <w:r w:rsidR="00C36DD0">
        <w:t xml:space="preserve">may result in a </w:t>
      </w:r>
      <w:r w:rsidRPr="00281150">
        <w:t xml:space="preserve">special levy </w:t>
      </w:r>
      <w:r w:rsidR="00C36DD0">
        <w:t xml:space="preserve">that </w:t>
      </w:r>
      <w:r w:rsidRPr="00281150">
        <w:t>has less impact on the financial sustainability and viability on the sub-sectors</w:t>
      </w:r>
      <w:r w:rsidR="00C36DD0">
        <w:t xml:space="preserve"> to which it is imposed. It may also</w:t>
      </w:r>
      <w:r w:rsidRPr="00281150">
        <w:t xml:space="preserve">, by extension, </w:t>
      </w:r>
      <w:r w:rsidR="00C36DD0">
        <w:t xml:space="preserve">have </w:t>
      </w:r>
      <w:r w:rsidRPr="00281150">
        <w:t>less impact on the financial system more broadly.</w:t>
      </w:r>
    </w:p>
    <w:p w14:paraId="0E83EE36" w14:textId="718C86C9" w:rsidR="00206ABA" w:rsidRDefault="008C3557" w:rsidP="00F63C09">
      <w:pPr>
        <w:pStyle w:val="OutlineNumbered1"/>
      </w:pPr>
      <w:r>
        <w:t xml:space="preserve">There is no one obvious metric that </w:t>
      </w:r>
      <w:r w:rsidR="00787656">
        <w:t>measure</w:t>
      </w:r>
      <w:r w:rsidR="006B00A8">
        <w:t>s</w:t>
      </w:r>
      <w:r w:rsidR="00787656">
        <w:t xml:space="preserve"> a sub</w:t>
      </w:r>
      <w:r w:rsidR="00787656">
        <w:noBreakHyphen/>
        <w:t>sector’s capacity to pay</w:t>
      </w:r>
      <w:r w:rsidR="006B00A8">
        <w:t>, but there may be data points that are indicative of this capacity</w:t>
      </w:r>
      <w:r w:rsidR="00787656">
        <w:t xml:space="preserve">. </w:t>
      </w:r>
      <w:r w:rsidR="00787656">
        <w:rPr>
          <w:u w:val="single"/>
        </w:rPr>
        <w:t>Appendix A</w:t>
      </w:r>
      <w:r w:rsidR="00787656">
        <w:t xml:space="preserve"> sets out all ASIC IFM sub</w:t>
      </w:r>
      <w:r w:rsidR="00787656">
        <w:noBreakHyphen/>
        <w:t xml:space="preserve">sectors, with the number of AFCA members in each (that is, the number of entities that </w:t>
      </w:r>
      <w:r w:rsidR="00787656">
        <w:lastRenderedPageBreak/>
        <w:t xml:space="preserve">would </w:t>
      </w:r>
      <w:r w:rsidR="00582472">
        <w:t xml:space="preserve">be liable to </w:t>
      </w:r>
      <w:r w:rsidR="00787656">
        <w:t>pay a special levy)</w:t>
      </w:r>
      <w:r w:rsidR="00582472">
        <w:t xml:space="preserve">, </w:t>
      </w:r>
      <w:r w:rsidR="006D176A">
        <w:t>and some estimates of average revenues and profits in the sub</w:t>
      </w:r>
      <w:r w:rsidR="006D176A">
        <w:noBreakHyphen/>
        <w:t>sectors.</w:t>
      </w:r>
      <w:r w:rsidR="00EB4D7A">
        <w:t xml:space="preserve"> These data may provide some</w:t>
      </w:r>
      <w:r w:rsidR="00EA4656">
        <w:t xml:space="preserve"> sense of </w:t>
      </w:r>
      <w:r w:rsidR="00923C53">
        <w:t>each sub</w:t>
      </w:r>
      <w:r w:rsidR="00923C53">
        <w:noBreakHyphen/>
        <w:t>sector’s notional</w:t>
      </w:r>
      <w:r w:rsidR="00475459">
        <w:t xml:space="preserve"> capacity to pay.</w:t>
      </w:r>
    </w:p>
    <w:p w14:paraId="6E1258D3" w14:textId="2D9B1473" w:rsidR="00A225C2" w:rsidRDefault="00A225C2" w:rsidP="00F63C09">
      <w:pPr>
        <w:pStyle w:val="OutlineNumbered1"/>
      </w:pPr>
      <w:r>
        <w:t>In prescribing a sub</w:t>
      </w:r>
      <w:r>
        <w:noBreakHyphen/>
        <w:t xml:space="preserve">sector </w:t>
      </w:r>
      <w:proofErr w:type="gramStart"/>
      <w:r>
        <w:t>on the basis of</w:t>
      </w:r>
      <w:proofErr w:type="gramEnd"/>
      <w:r>
        <w:t xml:space="preserve"> capacity to pay, </w:t>
      </w:r>
      <w:r w:rsidR="00234EAE">
        <w:t>a consideration would be how the operation of the levy formulae in the ASIC IFM would impact distribution</w:t>
      </w:r>
      <w:r w:rsidR="00F11E09">
        <w:t xml:space="preserve"> of the levy within the sub</w:t>
      </w:r>
      <w:r w:rsidR="00F11E09">
        <w:noBreakHyphen/>
        <w:t>sector. For example, a formula that imposes a maximum levy thresho</w:t>
      </w:r>
      <w:r w:rsidR="006F0330">
        <w:t>ld for the purposes of the ASIC IFM may be less appropriate for a special levy</w:t>
      </w:r>
      <w:r w:rsidR="00A12E91">
        <w:t>, where it would impose a greater proportional levy burden on smaller entities than on entities above the threshold.</w:t>
      </w:r>
    </w:p>
    <w:p w14:paraId="247CB18D" w14:textId="32CA6C7C" w:rsidR="00712A05" w:rsidRDefault="00712A05" w:rsidP="00F63C09">
      <w:pPr>
        <w:pStyle w:val="OutlineNumbered1"/>
      </w:pPr>
      <w:r>
        <w:t xml:space="preserve">It would be open to the Minister to </w:t>
      </w:r>
      <w:r w:rsidR="00A72A1F">
        <w:t>prescribe more than one sub</w:t>
      </w:r>
      <w:r w:rsidR="00A72A1F">
        <w:noBreakHyphen/>
        <w:t xml:space="preserve">sector with large entities, prescribing either an equal </w:t>
      </w:r>
      <w:r w:rsidR="00743390">
        <w:t>share of the special levy amount or some proportion. Again</w:t>
      </w:r>
      <w:r w:rsidR="006B00A8">
        <w:t>,</w:t>
      </w:r>
      <w:r w:rsidR="00743390">
        <w:t xml:space="preserve"> </w:t>
      </w:r>
      <w:r w:rsidR="005D0250">
        <w:t>while</w:t>
      </w:r>
      <w:r w:rsidR="00743390">
        <w:t xml:space="preserve"> there is no one obvious metric that suggest</w:t>
      </w:r>
      <w:r w:rsidR="006B00A8">
        <w:t>s</w:t>
      </w:r>
      <w:r w:rsidR="00743390">
        <w:t xml:space="preserve"> an appropriate apportionment bet</w:t>
      </w:r>
      <w:r w:rsidR="00A225C2">
        <w:t>ween multiple sub</w:t>
      </w:r>
      <w:r w:rsidR="006B00A8">
        <w:noBreakHyphen/>
      </w:r>
      <w:r w:rsidR="00A225C2">
        <w:t>sectors</w:t>
      </w:r>
      <w:r w:rsidR="002C55B2">
        <w:t>, there are data available that provide some indication of the relative sizes of sub</w:t>
      </w:r>
      <w:r w:rsidR="002C55B2">
        <w:noBreakHyphen/>
      </w:r>
      <w:r w:rsidR="00A225C2">
        <w:t>sectors.</w:t>
      </w:r>
    </w:p>
    <w:p w14:paraId="347BDBFE" w14:textId="77777777" w:rsidR="002F7180" w:rsidRDefault="002F7180" w:rsidP="00A846BA">
      <w:pPr>
        <w:spacing w:before="0" w:after="0"/>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617D2D" w14:paraId="6A01DA01" w14:textId="77777777" w:rsidTr="000A7ED0">
        <w:tc>
          <w:tcPr>
            <w:tcW w:w="5000" w:type="pct"/>
            <w:shd w:val="clear" w:color="auto" w:fill="EEEEEE" w:themeFill="background2"/>
          </w:tcPr>
          <w:p w14:paraId="74AB241E" w14:textId="77777777" w:rsidR="00617D2D" w:rsidRDefault="00617D2D" w:rsidP="00573106">
            <w:pPr>
              <w:pStyle w:val="BoxHeading"/>
              <w:keepNext w:val="0"/>
              <w:spacing w:before="0"/>
            </w:pPr>
            <w:r>
              <w:t>Questions</w:t>
            </w:r>
          </w:p>
          <w:p w14:paraId="6495840A" w14:textId="580EDF4B" w:rsidR="00617D2D" w:rsidRDefault="00617D2D">
            <w:pPr>
              <w:pStyle w:val="BoxText"/>
              <w:ind w:left="482" w:hanging="357"/>
            </w:pPr>
            <w:r>
              <w:t>1</w:t>
            </w:r>
            <w:r w:rsidR="000C7869">
              <w:t>0</w:t>
            </w:r>
            <w:r>
              <w:t>.</w:t>
            </w:r>
            <w:r>
              <w:tab/>
              <w:t>Should a Minister consider impos</w:t>
            </w:r>
            <w:r w:rsidR="00B622D5">
              <w:t>ing</w:t>
            </w:r>
            <w:r>
              <w:t xml:space="preserve"> a special levy on a sub</w:t>
            </w:r>
            <w:r>
              <w:noBreakHyphen/>
              <w:t xml:space="preserve">sector because of </w:t>
            </w:r>
            <w:r w:rsidR="00FC383B">
              <w:t>its capacity to pay</w:t>
            </w:r>
            <w:r>
              <w:t>? Is this approach supported by the legislation (is it ‘most effective’)?</w:t>
            </w:r>
            <w:r w:rsidR="00E0492D">
              <w:t xml:space="preserve"> How would the Minister assess a sub</w:t>
            </w:r>
            <w:r w:rsidR="00E0492D">
              <w:noBreakHyphen/>
              <w:t>sector’s capacity to pay?</w:t>
            </w:r>
          </w:p>
          <w:p w14:paraId="5D14D7F5" w14:textId="1C24D5D8" w:rsidR="003A1A8C" w:rsidRDefault="00617D2D" w:rsidP="00150842">
            <w:pPr>
              <w:pStyle w:val="BoxText"/>
              <w:ind w:left="482" w:hanging="357"/>
            </w:pPr>
            <w:r>
              <w:t>1</w:t>
            </w:r>
            <w:r w:rsidR="000C7869">
              <w:t>1</w:t>
            </w:r>
            <w:r>
              <w:t>.</w:t>
            </w:r>
            <w:r>
              <w:tab/>
            </w:r>
            <w:r w:rsidR="00206ABA">
              <w:t>Is</w:t>
            </w:r>
            <w:r w:rsidR="00FC383B">
              <w:t xml:space="preserve"> any of </w:t>
            </w:r>
            <w:r w:rsidR="00A140B6">
              <w:t>the ASIC IFM sub</w:t>
            </w:r>
            <w:r w:rsidR="00A140B6">
              <w:noBreakHyphen/>
              <w:t>sectors</w:t>
            </w:r>
            <w:r w:rsidR="00A16BA7">
              <w:t xml:space="preserve"> </w:t>
            </w:r>
            <w:r w:rsidR="00206ABA">
              <w:t xml:space="preserve">a </w:t>
            </w:r>
            <w:r w:rsidR="00A16BA7">
              <w:t>good prox</w:t>
            </w:r>
            <w:r w:rsidR="00206ABA">
              <w:t>y</w:t>
            </w:r>
            <w:r w:rsidR="00A16BA7">
              <w:t xml:space="preserve"> for </w:t>
            </w:r>
            <w:r w:rsidR="007F64C7">
              <w:t>financial sector entities with the greatest capacity to pay</w:t>
            </w:r>
            <w:r w:rsidR="003A1A8C">
              <w:t>?</w:t>
            </w:r>
          </w:p>
          <w:p w14:paraId="56F75843" w14:textId="071FDD6F" w:rsidR="00713BAF" w:rsidRPr="000D1284" w:rsidRDefault="00713BAF" w:rsidP="00713BAF">
            <w:pPr>
              <w:pStyle w:val="BoxText"/>
              <w:ind w:left="482" w:hanging="357"/>
            </w:pPr>
            <w:r>
              <w:t>1</w:t>
            </w:r>
            <w:r w:rsidR="000C7869">
              <w:t>2</w:t>
            </w:r>
            <w:r>
              <w:t>.</w:t>
            </w:r>
            <w:r>
              <w:tab/>
              <w:t xml:space="preserve">Should the Minister consider </w:t>
            </w:r>
            <w:r w:rsidR="00E94E67">
              <w:t xml:space="preserve">specifying </w:t>
            </w:r>
            <w:r w:rsidR="002076A4">
              <w:t>more than one</w:t>
            </w:r>
            <w:r w:rsidR="00E94E67">
              <w:t xml:space="preserve"> sub</w:t>
            </w:r>
            <w:r w:rsidR="00E94E67">
              <w:noBreakHyphen/>
              <w:t xml:space="preserve">sector with </w:t>
            </w:r>
            <w:r w:rsidR="0048732C">
              <w:t>‘</w:t>
            </w:r>
            <w:r w:rsidR="00E94E67">
              <w:t>large</w:t>
            </w:r>
            <w:r w:rsidR="0048732C">
              <w:t>’</w:t>
            </w:r>
            <w:r w:rsidR="00E94E67">
              <w:t xml:space="preserve"> entities? If so, how should the special levy amount be </w:t>
            </w:r>
            <w:r w:rsidR="000A7C8A">
              <w:t>apportioned</w:t>
            </w:r>
            <w:r w:rsidR="00FA76E7">
              <w:t xml:space="preserve"> between them</w:t>
            </w:r>
            <w:r w:rsidR="00E94E67">
              <w:t>?</w:t>
            </w:r>
          </w:p>
        </w:tc>
      </w:tr>
    </w:tbl>
    <w:p w14:paraId="66207DFF" w14:textId="16C41097" w:rsidR="00103E10" w:rsidRDefault="009E153A" w:rsidP="009E153A">
      <w:pPr>
        <w:pStyle w:val="Heading3"/>
      </w:pPr>
      <w:bookmarkStart w:id="20" w:name="_Toc202542342"/>
      <w:r>
        <w:t xml:space="preserve">Spreading the </w:t>
      </w:r>
      <w:r w:rsidR="002C0A39">
        <w:t>costs across ‘retail-facing’ sub</w:t>
      </w:r>
      <w:r w:rsidR="0095798C">
        <w:noBreakHyphen/>
      </w:r>
      <w:r w:rsidR="002C0A39">
        <w:t>sectors</w:t>
      </w:r>
      <w:bookmarkEnd w:id="20"/>
    </w:p>
    <w:p w14:paraId="51FF84EF" w14:textId="77777777" w:rsidR="0095798C" w:rsidRDefault="00497BAE" w:rsidP="00F63C09">
      <w:pPr>
        <w:pStyle w:val="OutlineNumbered1"/>
      </w:pPr>
      <w:r>
        <w:t>As the CSLR</w:t>
      </w:r>
      <w:r w:rsidR="00AC6E27">
        <w:t xml:space="preserve"> is </w:t>
      </w:r>
      <w:r w:rsidR="0095798C">
        <w:t xml:space="preserve">available </w:t>
      </w:r>
      <w:r w:rsidR="001C093D">
        <w:t xml:space="preserve">to provide compensation </w:t>
      </w:r>
      <w:r w:rsidR="00AC6E27">
        <w:t>to retail clients</w:t>
      </w:r>
      <w:r w:rsidR="0095798C">
        <w:t>, and it has been suggested that the scheme contributes to maintaining retail clients’ confidence in the parts of the financial system with which they interact, an option the Minister may consider is applying a special levy to all ‘retail-facing’ sub</w:t>
      </w:r>
      <w:r w:rsidR="0095798C">
        <w:noBreakHyphen/>
        <w:t>sectors.</w:t>
      </w:r>
    </w:p>
    <w:p w14:paraId="3AB6417C" w14:textId="35A78D71" w:rsidR="00E94E67" w:rsidRDefault="006D489B" w:rsidP="00F63C09">
      <w:pPr>
        <w:pStyle w:val="OutlineNumbered1"/>
      </w:pPr>
      <w:r>
        <w:t>In July 2021</w:t>
      </w:r>
      <w:r w:rsidR="008E68C4">
        <w:t>, Treasury released a consultation paper on the key design features of the CSLR</w:t>
      </w:r>
      <w:r w:rsidR="000E4421">
        <w:t xml:space="preserve"> to inform the processes of policy decision-making and legislative drafting. </w:t>
      </w:r>
      <w:r w:rsidR="000035B1">
        <w:t>The paper included a list of</w:t>
      </w:r>
      <w:r w:rsidR="008B4D13">
        <w:t xml:space="preserve"> </w:t>
      </w:r>
      <w:r w:rsidR="00573F36">
        <w:t>22</w:t>
      </w:r>
      <w:r w:rsidR="008B4D13">
        <w:t xml:space="preserve"> ‘financial product and service </w:t>
      </w:r>
      <w:r w:rsidR="00872D9A">
        <w:t>sub-sector</w:t>
      </w:r>
      <w:r w:rsidR="008B4D13">
        <w:t>s’ which, it was suggested, might</w:t>
      </w:r>
      <w:r w:rsidR="00566532">
        <w:t xml:space="preserve"> be liable to</w:t>
      </w:r>
      <w:r w:rsidR="00CE36E4">
        <w:t xml:space="preserve"> pay</w:t>
      </w:r>
      <w:r w:rsidR="00566532">
        <w:t xml:space="preserve"> a levy in the event of a shortfall.</w:t>
      </w:r>
      <w:r w:rsidR="006B00E0">
        <w:t xml:space="preserve"> Those s</w:t>
      </w:r>
      <w:r w:rsidR="000A220F">
        <w:t>ub</w:t>
      </w:r>
      <w:r w:rsidR="000A220F">
        <w:noBreakHyphen/>
        <w:t xml:space="preserve">sectors are indicated in the table in </w:t>
      </w:r>
      <w:r w:rsidR="000A220F" w:rsidRPr="000A220F">
        <w:rPr>
          <w:u w:val="single"/>
        </w:rPr>
        <w:t>Appendix A</w:t>
      </w:r>
      <w:r w:rsidR="000A220F">
        <w:t xml:space="preserve">. That table </w:t>
      </w:r>
      <w:r w:rsidR="00B82D21">
        <w:t>also</w:t>
      </w:r>
      <w:r w:rsidR="000A220F">
        <w:t xml:space="preserve"> </w:t>
      </w:r>
      <w:r w:rsidR="00B5228D">
        <w:t>indicates two other sub</w:t>
      </w:r>
      <w:r w:rsidR="00B5228D">
        <w:noBreakHyphen/>
        <w:t>sectors as ‘retail-facing’:</w:t>
      </w:r>
    </w:p>
    <w:p w14:paraId="25B01F65" w14:textId="52F73F6A" w:rsidR="00B5228D" w:rsidRDefault="00843A05" w:rsidP="00B5228D">
      <w:pPr>
        <w:pStyle w:val="OutlineNumbered2"/>
        <w:tabs>
          <w:tab w:val="clear" w:pos="1134"/>
          <w:tab w:val="num" w:pos="1701"/>
        </w:tabs>
        <w:ind w:left="1702" w:hanging="851"/>
      </w:pPr>
      <w:r>
        <w:t>small and medium amount credit providers (captured under ‘credit providers’ in the 2021 list); and</w:t>
      </w:r>
    </w:p>
    <w:p w14:paraId="030B961D" w14:textId="2D082AE8" w:rsidR="00843A05" w:rsidRDefault="000D41F7" w:rsidP="00B5228D">
      <w:pPr>
        <w:pStyle w:val="OutlineNumbered2"/>
        <w:tabs>
          <w:tab w:val="clear" w:pos="1134"/>
          <w:tab w:val="num" w:pos="1701"/>
        </w:tabs>
        <w:ind w:left="1702" w:hanging="851"/>
      </w:pPr>
      <w:r>
        <w:t>c</w:t>
      </w:r>
      <w:r w:rsidRPr="000D41F7">
        <w:t>laims handling and settling services providers</w:t>
      </w:r>
      <w:r>
        <w:t xml:space="preserve"> (</w:t>
      </w:r>
      <w:r w:rsidR="006318BB">
        <w:t>created as a sub</w:t>
      </w:r>
      <w:r w:rsidR="006318BB">
        <w:noBreakHyphen/>
        <w:t>sector after the 2021 paper).</w:t>
      </w:r>
    </w:p>
    <w:p w14:paraId="72192BFF" w14:textId="1A81E70B" w:rsidR="00095BD1" w:rsidRDefault="00EE22F4" w:rsidP="00F63C09">
      <w:pPr>
        <w:pStyle w:val="OutlineNumbered1"/>
      </w:pPr>
      <w:r>
        <w:t xml:space="preserve">For technical reasons, </w:t>
      </w:r>
      <w:r w:rsidR="00F416A2">
        <w:t>three</w:t>
      </w:r>
      <w:r>
        <w:t xml:space="preserve"> of these sub</w:t>
      </w:r>
      <w:r>
        <w:noBreakHyphen/>
        <w:t xml:space="preserve">sectors </w:t>
      </w:r>
      <w:r w:rsidR="00990248">
        <w:t xml:space="preserve">may </w:t>
      </w:r>
      <w:r w:rsidR="00F416A2">
        <w:t xml:space="preserve">not </w:t>
      </w:r>
      <w:r w:rsidR="00990248">
        <w:t>be</w:t>
      </w:r>
      <w:r>
        <w:t xml:space="preserve"> capable of being levied under the legislation </w:t>
      </w:r>
      <w:r w:rsidR="00CF5157">
        <w:t>governing special levies.</w:t>
      </w:r>
    </w:p>
    <w:p w14:paraId="4B4A5340" w14:textId="16AD510F" w:rsidR="00EE22F4" w:rsidRDefault="00B5142A" w:rsidP="00095BD1">
      <w:pPr>
        <w:pStyle w:val="OutlineNumbered2"/>
        <w:tabs>
          <w:tab w:val="clear" w:pos="1134"/>
          <w:tab w:val="num" w:pos="1701"/>
        </w:tabs>
        <w:ind w:left="1702" w:hanging="851"/>
      </w:pPr>
      <w:r>
        <w:t xml:space="preserve">The </w:t>
      </w:r>
      <w:r w:rsidR="006D0DB0">
        <w:t xml:space="preserve">large </w:t>
      </w:r>
      <w:r w:rsidR="00A81AEC">
        <w:t>securities</w:t>
      </w:r>
      <w:r w:rsidR="00762435">
        <w:t xml:space="preserve"> exchange participants sub</w:t>
      </w:r>
      <w:r w:rsidR="00762435">
        <w:noBreakHyphen/>
        <w:t>sector and the large futures exchange participants sub</w:t>
      </w:r>
      <w:r w:rsidR="00762435">
        <w:noBreakHyphen/>
        <w:t xml:space="preserve">sector </w:t>
      </w:r>
      <w:r w:rsidR="007D2F68">
        <w:t>each</w:t>
      </w:r>
      <w:r w:rsidR="00052E59">
        <w:t xml:space="preserve"> have </w:t>
      </w:r>
      <w:r w:rsidR="002C6A4F">
        <w:t>two</w:t>
      </w:r>
      <w:r w:rsidR="008C4E05">
        <w:t xml:space="preserve"> </w:t>
      </w:r>
      <w:r w:rsidR="005040DF">
        <w:t>graduated</w:t>
      </w:r>
      <w:r w:rsidR="008C4E05">
        <w:t xml:space="preserve"> </w:t>
      </w:r>
      <w:r w:rsidR="004D049E">
        <w:t xml:space="preserve">entity metrics under the ASIC IFM: </w:t>
      </w:r>
      <w:r w:rsidR="00F7546C">
        <w:t>one</w:t>
      </w:r>
      <w:r w:rsidR="009A480D">
        <w:t xml:space="preserve"> based on messages </w:t>
      </w:r>
      <w:r w:rsidR="00392648">
        <w:t xml:space="preserve">(10 per cent of the </w:t>
      </w:r>
      <w:r w:rsidR="005062A9">
        <w:t xml:space="preserve">IFM’s </w:t>
      </w:r>
      <w:r w:rsidR="00392648">
        <w:t xml:space="preserve">graduated levy </w:t>
      </w:r>
      <w:r w:rsidR="00392648">
        <w:lastRenderedPageBreak/>
        <w:t xml:space="preserve">component) </w:t>
      </w:r>
      <w:r w:rsidR="009A480D">
        <w:t xml:space="preserve">and </w:t>
      </w:r>
      <w:r w:rsidR="00F7546C">
        <w:t>another</w:t>
      </w:r>
      <w:r w:rsidR="009A480D">
        <w:t xml:space="preserve"> based on </w:t>
      </w:r>
      <w:r w:rsidR="00DD0992">
        <w:t xml:space="preserve">transactions </w:t>
      </w:r>
      <w:r w:rsidR="00D9208B">
        <w:t xml:space="preserve">or </w:t>
      </w:r>
      <w:r w:rsidR="00DD0992">
        <w:t>lots (</w:t>
      </w:r>
      <w:r w:rsidR="00D9208B">
        <w:t xml:space="preserve">90 per cent of the </w:t>
      </w:r>
      <w:r w:rsidR="005062A9">
        <w:t xml:space="preserve">IFM’s </w:t>
      </w:r>
      <w:r w:rsidR="00D9208B">
        <w:t>graduated levy component).</w:t>
      </w:r>
      <w:r w:rsidR="00FD02CF">
        <w:t xml:space="preserve"> However, the CSLR </w:t>
      </w:r>
      <w:r w:rsidR="00090F34">
        <w:t xml:space="preserve">Regulations do not provide for multiple </w:t>
      </w:r>
      <w:r w:rsidR="00F946B5">
        <w:t>graduated entity metrics</w:t>
      </w:r>
      <w:r w:rsidR="00A95972">
        <w:t xml:space="preserve"> to apply, </w:t>
      </w:r>
      <w:r w:rsidR="00A84934">
        <w:t>meaning there are two potential definitions of the graduated entity metric but no</w:t>
      </w:r>
      <w:r w:rsidR="00B327A8">
        <w:t xml:space="preserve"> rule governing </w:t>
      </w:r>
      <w:r w:rsidR="002C4704">
        <w:t>in what proportion the metrics apply</w:t>
      </w:r>
      <w:r w:rsidR="003839EE">
        <w:t xml:space="preserve"> in the context of a special levy</w:t>
      </w:r>
      <w:r w:rsidR="002C4704">
        <w:t>.</w:t>
      </w:r>
    </w:p>
    <w:p w14:paraId="6E5EB443" w14:textId="28D99D8D" w:rsidR="00095BD1" w:rsidRDefault="00F93E25" w:rsidP="00095BD1">
      <w:pPr>
        <w:pStyle w:val="OutlineNumbered2"/>
        <w:tabs>
          <w:tab w:val="clear" w:pos="1134"/>
          <w:tab w:val="num" w:pos="1701"/>
        </w:tabs>
        <w:ind w:left="1702" w:hanging="851"/>
      </w:pPr>
      <w:r>
        <w:t>Credit rating agencies</w:t>
      </w:r>
      <w:r w:rsidR="00DA3F0C">
        <w:t xml:space="preserve"> is a very small sub</w:t>
      </w:r>
      <w:r w:rsidR="00DA3F0C">
        <w:noBreakHyphen/>
        <w:t>sector, with around half a dozen entit</w:t>
      </w:r>
      <w:r w:rsidR="00A93ED9">
        <w:t xml:space="preserve">ies only one of which is required to be a member of AFCA. </w:t>
      </w:r>
      <w:r w:rsidR="007E2128">
        <w:t>The entity metric for this sub</w:t>
      </w:r>
      <w:r w:rsidR="007E2128">
        <w:noBreakHyphen/>
        <w:t xml:space="preserve">sector </w:t>
      </w:r>
      <w:r w:rsidR="00861C58">
        <w:t xml:space="preserve">is the number of days in the financial year on which there is a supervisory college for the </w:t>
      </w:r>
      <w:r w:rsidR="00721F26">
        <w:t xml:space="preserve">licensed </w:t>
      </w:r>
      <w:r w:rsidR="00861C58">
        <w:t>entity</w:t>
      </w:r>
      <w:r w:rsidR="00682DBD">
        <w:t>, so for</w:t>
      </w:r>
      <w:r w:rsidR="00390A66">
        <w:t xml:space="preserve"> most entities will be either 365 (or 366) or nil. </w:t>
      </w:r>
      <w:r w:rsidR="00B939C4">
        <w:t>An AFCA member in this sub</w:t>
      </w:r>
      <w:r w:rsidR="00B939C4">
        <w:noBreakHyphen/>
        <w:t xml:space="preserve">sector </w:t>
      </w:r>
      <w:r w:rsidR="001705D3">
        <w:t>whose entity metric is nil could</w:t>
      </w:r>
      <w:r w:rsidR="0084338F">
        <w:t xml:space="preserve"> not be subject to a special levy (nor, of course, </w:t>
      </w:r>
      <w:r w:rsidR="00F25F10">
        <w:t xml:space="preserve">entities that are not required to be AFCA </w:t>
      </w:r>
      <w:r w:rsidR="0084338F">
        <w:t>members).</w:t>
      </w:r>
    </w:p>
    <w:p w14:paraId="33D49D65" w14:textId="4BB1F72D" w:rsidR="00B3630F" w:rsidRDefault="00C43A60" w:rsidP="00F63C09">
      <w:pPr>
        <w:pStyle w:val="OutlineNumbered1"/>
      </w:pPr>
      <w:r>
        <w:t>If a special levy were imposed on a</w:t>
      </w:r>
      <w:r w:rsidR="00AC5674">
        <w:t xml:space="preserve">ll </w:t>
      </w:r>
      <w:proofErr w:type="gramStart"/>
      <w:r w:rsidR="004308D6">
        <w:t>2</w:t>
      </w:r>
      <w:r w:rsidR="00DA42A4">
        <w:t>1 remaining</w:t>
      </w:r>
      <w:proofErr w:type="gramEnd"/>
      <w:r w:rsidR="004308D6">
        <w:t xml:space="preserve"> </w:t>
      </w:r>
      <w:r w:rsidR="00AC5674">
        <w:t>retail</w:t>
      </w:r>
      <w:r w:rsidR="00AC5674">
        <w:noBreakHyphen/>
        <w:t>facing sub</w:t>
      </w:r>
      <w:r w:rsidR="00AC5674">
        <w:noBreakHyphen/>
        <w:t>sectors, the question would arise as to how to apportion or spread the levy across the sub</w:t>
      </w:r>
      <w:r w:rsidR="00AC5674">
        <w:noBreakHyphen/>
        <w:t>sectors.</w:t>
      </w:r>
      <w:r w:rsidR="004E2829">
        <w:t xml:space="preserve"> Five options are set out below</w:t>
      </w:r>
      <w:r w:rsidR="00722E68">
        <w:t xml:space="preserve">; </w:t>
      </w:r>
      <w:r w:rsidR="00345BF0">
        <w:t>ranging in complexity</w:t>
      </w:r>
      <w:r w:rsidR="00722E68">
        <w:t xml:space="preserve">, some are more targeted to </w:t>
      </w:r>
      <w:proofErr w:type="gramStart"/>
      <w:r w:rsidR="00722E68">
        <w:t>particular characteristics</w:t>
      </w:r>
      <w:proofErr w:type="gramEnd"/>
      <w:r w:rsidR="00722E68">
        <w:t xml:space="preserve"> of the sub</w:t>
      </w:r>
      <w:r w:rsidR="00722E68">
        <w:noBreakHyphen/>
        <w:t>sectors</w:t>
      </w:r>
      <w:r w:rsidR="004E2829">
        <w:t>.</w:t>
      </w:r>
      <w:r w:rsidR="004A2EE7">
        <w:t xml:space="preserve"> </w:t>
      </w:r>
      <w:r w:rsidR="004F5E35">
        <w:rPr>
          <w:u w:val="single"/>
        </w:rPr>
        <w:t>Appendix B</w:t>
      </w:r>
      <w:r w:rsidR="004F5E35">
        <w:t xml:space="preserve"> sets out</w:t>
      </w:r>
      <w:r w:rsidR="004A2EE7">
        <w:t xml:space="preserve"> </w:t>
      </w:r>
      <w:r w:rsidR="004A2EE7" w:rsidRPr="004A2EE7">
        <w:t>Treasury’s preliminary, illustrative estimate</w:t>
      </w:r>
      <w:r w:rsidR="004A2EE7">
        <w:t>s</w:t>
      </w:r>
      <w:r w:rsidR="004A2EE7" w:rsidRPr="004A2EE7">
        <w:t xml:space="preserve"> of </w:t>
      </w:r>
      <w:r w:rsidR="003D21D2">
        <w:t xml:space="preserve">how </w:t>
      </w:r>
      <w:r w:rsidR="004A2EE7">
        <w:t>these</w:t>
      </w:r>
      <w:r w:rsidR="004A2EE7" w:rsidRPr="004A2EE7">
        <w:t xml:space="preserve"> special levy</w:t>
      </w:r>
      <w:r w:rsidR="004A2EE7">
        <w:t xml:space="preserve"> options </w:t>
      </w:r>
      <w:r w:rsidR="003D21D2">
        <w:t>would be apportioned by sub</w:t>
      </w:r>
      <w:r w:rsidR="003D21D2">
        <w:noBreakHyphen/>
        <w:t>sector (Table B</w:t>
      </w:r>
      <w:r w:rsidR="006E7B9A">
        <w:t>1</w:t>
      </w:r>
      <w:r w:rsidR="003D21D2">
        <w:t>)</w:t>
      </w:r>
      <w:r w:rsidR="00DE6A21">
        <w:t xml:space="preserve"> of what the </w:t>
      </w:r>
      <w:r w:rsidR="005851D9">
        <w:t xml:space="preserve">graduated </w:t>
      </w:r>
      <w:r w:rsidR="00DE6A21">
        <w:t xml:space="preserve">levy </w:t>
      </w:r>
      <w:r w:rsidR="005851D9">
        <w:t xml:space="preserve">component (or flat levy, where applicable) </w:t>
      </w:r>
      <w:r w:rsidR="00DE6A21">
        <w:t>would be for each sub</w:t>
      </w:r>
      <w:r w:rsidR="00DE6A21">
        <w:noBreakHyphen/>
        <w:t>sector (Table B</w:t>
      </w:r>
      <w:r w:rsidR="006E7B9A">
        <w:t>2</w:t>
      </w:r>
      <w:r w:rsidR="00DE6A21">
        <w:t>),</w:t>
      </w:r>
      <w:r w:rsidR="00D26E88">
        <w:t xml:space="preserve"> and </w:t>
      </w:r>
      <w:r w:rsidR="006912FF">
        <w:t xml:space="preserve">an illustration of </w:t>
      </w:r>
      <w:r w:rsidR="00D26E88">
        <w:t>the</w:t>
      </w:r>
      <w:r w:rsidR="006912FF">
        <w:t xml:space="preserve"> options’</w:t>
      </w:r>
      <w:r w:rsidR="00D26E88">
        <w:t xml:space="preserve"> distribution</w:t>
      </w:r>
      <w:r w:rsidR="00331381">
        <w:t>s</w:t>
      </w:r>
      <w:r w:rsidR="00D26E88">
        <w:t xml:space="preserve"> across ASIC IFM sectors </w:t>
      </w:r>
      <w:r w:rsidR="006912FF">
        <w:t>(</w:t>
      </w:r>
      <w:r w:rsidR="00331381">
        <w:t>Chart B1</w:t>
      </w:r>
      <w:r w:rsidR="006912FF">
        <w:t>)</w:t>
      </w:r>
      <w:r w:rsidR="004A2EE7">
        <w:t>.</w:t>
      </w:r>
    </w:p>
    <w:p w14:paraId="49F83CD0" w14:textId="0DA7C8BB" w:rsidR="00D8698A" w:rsidRPr="008151EF" w:rsidRDefault="00D8698A" w:rsidP="00E10143">
      <w:pPr>
        <w:pStyle w:val="Heading4"/>
      </w:pPr>
      <w:r w:rsidRPr="008151EF">
        <w:t>Spreading equally</w:t>
      </w:r>
    </w:p>
    <w:p w14:paraId="1095B13C" w14:textId="1BAD654C" w:rsidR="006C145E" w:rsidRPr="008151EF" w:rsidRDefault="006C145E" w:rsidP="006C145E">
      <w:pPr>
        <w:pStyle w:val="OutlineNumbered1"/>
      </w:pPr>
      <w:r w:rsidRPr="008151EF">
        <w:t xml:space="preserve">A straightforward method for allocating </w:t>
      </w:r>
      <w:r w:rsidR="003E67A7" w:rsidRPr="008151EF">
        <w:t>a</w:t>
      </w:r>
      <w:r w:rsidRPr="008151EF">
        <w:t xml:space="preserve"> special levy across all retail-facing sub-sectors is to distribute it equally. </w:t>
      </w:r>
      <w:r w:rsidR="005C7FCE" w:rsidRPr="008151EF">
        <w:t xml:space="preserve">That is, the </w:t>
      </w:r>
      <w:r w:rsidR="00997F4C" w:rsidRPr="008151EF">
        <w:t>determination</w:t>
      </w:r>
      <w:r w:rsidR="005C7FCE" w:rsidRPr="008151EF">
        <w:t xml:space="preserve"> would </w:t>
      </w:r>
      <w:r w:rsidR="00E678D0" w:rsidRPr="008151EF">
        <w:t xml:space="preserve">specify </w:t>
      </w:r>
      <w:r w:rsidR="0026595A" w:rsidRPr="008151EF">
        <w:t xml:space="preserve">that </w:t>
      </w:r>
      <w:r w:rsidR="00AA0C48" w:rsidRPr="008151EF">
        <w:t>special levy of around $2.</w:t>
      </w:r>
      <w:r w:rsidR="00E573D3" w:rsidRPr="008151EF">
        <w:t>25</w:t>
      </w:r>
      <w:r w:rsidR="00AA0C48" w:rsidRPr="008151EF">
        <w:t xml:space="preserve"> million would be imposed on </w:t>
      </w:r>
      <w:r w:rsidR="0026595A" w:rsidRPr="008151EF">
        <w:t>each retail</w:t>
      </w:r>
      <w:r w:rsidR="0026595A" w:rsidRPr="008151EF">
        <w:noBreakHyphen/>
        <w:t>facing sub</w:t>
      </w:r>
      <w:r w:rsidR="0026595A" w:rsidRPr="008151EF">
        <w:noBreakHyphen/>
        <w:t>sector</w:t>
      </w:r>
      <w:r w:rsidRPr="008151EF">
        <w:t>.</w:t>
      </w:r>
    </w:p>
    <w:p w14:paraId="18E85988" w14:textId="0C8539CA" w:rsidR="00981268" w:rsidRDefault="00541EDB" w:rsidP="006C145E">
      <w:pPr>
        <w:pStyle w:val="OutlineNumbered1"/>
      </w:pPr>
      <w:r>
        <w:t>While retail</w:t>
      </w:r>
      <w:r>
        <w:noBreakHyphen/>
        <w:t>facing sub</w:t>
      </w:r>
      <w:r>
        <w:noBreakHyphen/>
        <w:t>sectors share the quality of being exposed more directly to retail clients, they are otherwise quite diverse</w:t>
      </w:r>
      <w:r w:rsidR="00B2052E">
        <w:t>. They vary significantly by number of entities</w:t>
      </w:r>
      <w:r w:rsidR="00951EFE">
        <w:t>, size of</w:t>
      </w:r>
      <w:r w:rsidR="003361B0">
        <w:t xml:space="preserve"> entities </w:t>
      </w:r>
      <w:r w:rsidR="002D0492">
        <w:t xml:space="preserve">(including </w:t>
      </w:r>
      <w:r w:rsidR="003361B0">
        <w:t>distribution</w:t>
      </w:r>
      <w:r w:rsidR="002D0492">
        <w:t xml:space="preserve">, that is, proportion of different-sized entities), </w:t>
      </w:r>
      <w:r w:rsidR="009E34F5">
        <w:t xml:space="preserve">proportion of entities that are required to be AFCA members, </w:t>
      </w:r>
      <w:r w:rsidR="002D0492">
        <w:t>and by factors such as revenues and profitability.</w:t>
      </w:r>
      <w:r w:rsidR="008524B4">
        <w:t xml:space="preserve"> A special levy that is spread equally over all retail</w:t>
      </w:r>
      <w:r w:rsidR="008524B4">
        <w:noBreakHyphen/>
        <w:t>facing sub</w:t>
      </w:r>
      <w:r w:rsidR="008524B4">
        <w:noBreakHyphen/>
        <w:t xml:space="preserve">sectors </w:t>
      </w:r>
      <w:r w:rsidR="002200BA">
        <w:t>is unlikely to reflect every sub</w:t>
      </w:r>
      <w:r w:rsidR="002200BA">
        <w:noBreakHyphen/>
        <w:t xml:space="preserve">sector’s capacity to </w:t>
      </w:r>
      <w:proofErr w:type="gramStart"/>
      <w:r w:rsidR="002200BA">
        <w:t>pay, and</w:t>
      </w:r>
      <w:proofErr w:type="gramEnd"/>
      <w:r w:rsidR="002200BA">
        <w:t xml:space="preserve"> </w:t>
      </w:r>
      <w:r w:rsidR="008524B4">
        <w:t xml:space="preserve">may not </w:t>
      </w:r>
      <w:r w:rsidR="00955639">
        <w:t xml:space="preserve">address </w:t>
      </w:r>
      <w:r w:rsidR="002200BA">
        <w:t xml:space="preserve">the </w:t>
      </w:r>
      <w:r w:rsidR="00955639">
        <w:t xml:space="preserve">statutory consideration </w:t>
      </w:r>
      <w:r w:rsidR="009C27FB">
        <w:t>of the impact of a special levy on each sub</w:t>
      </w:r>
      <w:r w:rsidR="009C27FB">
        <w:noBreakHyphen/>
        <w:t>sector’s financial s</w:t>
      </w:r>
      <w:r w:rsidR="009E34F5">
        <w:t>u</w:t>
      </w:r>
      <w:r w:rsidR="009C27FB">
        <w:t>stainability.</w:t>
      </w:r>
      <w:r w:rsidR="00DB01EB">
        <w:t xml:space="preserve"> </w:t>
      </w:r>
      <w:r w:rsidR="0076116A">
        <w:t>It may also introduce a significant risk of under</w:t>
      </w:r>
      <w:r w:rsidR="0076116A">
        <w:noBreakHyphen/>
      </w:r>
      <w:r w:rsidR="00A75EB7">
        <w:t>collection if</w:t>
      </w:r>
      <w:r w:rsidR="0076116A">
        <w:t xml:space="preserve"> </w:t>
      </w:r>
      <w:r w:rsidR="00A35F86">
        <w:t>substantial levies are apportioned to sub</w:t>
      </w:r>
      <w:r w:rsidR="00A35F86">
        <w:noBreakHyphen/>
        <w:t>sectors that do not have capacity to pay them.</w:t>
      </w:r>
    </w:p>
    <w:p w14:paraId="6F62C651" w14:textId="2E3A9810" w:rsidR="00537C98" w:rsidRDefault="00724DB2" w:rsidP="006C145E">
      <w:pPr>
        <w:pStyle w:val="OutlineNumbered1"/>
      </w:pPr>
      <w:r>
        <w:t>Of course, within each sub</w:t>
      </w:r>
      <w:r>
        <w:noBreakHyphen/>
        <w:t xml:space="preserve">sector that has a graduated levy component, </w:t>
      </w:r>
      <w:r w:rsidR="00295CA6">
        <w:t>a special levy spread equally across sub</w:t>
      </w:r>
      <w:r w:rsidR="00295CA6">
        <w:noBreakHyphen/>
        <w:t>sectors would still impose</w:t>
      </w:r>
      <w:r w:rsidR="0011747C">
        <w:t xml:space="preserve"> more levy on entities that are in some sense ‘larger’. But a large entity in a sub</w:t>
      </w:r>
      <w:r w:rsidR="0011747C">
        <w:noBreakHyphen/>
        <w:t>sector with generally low capacity to pay would face</w:t>
      </w:r>
      <w:r w:rsidR="00981268">
        <w:t xml:space="preserve"> a higher relative burden than a similarly large entity in a sub</w:t>
      </w:r>
      <w:r w:rsidR="00981268">
        <w:noBreakHyphen/>
        <w:t>sector with generally greater capacity to pay.</w:t>
      </w:r>
    </w:p>
    <w:p w14:paraId="7D5D7BFF" w14:textId="28449FC9" w:rsidR="008C4849" w:rsidRDefault="008C4849" w:rsidP="008C4849">
      <w:pPr>
        <w:pStyle w:val="Heading4"/>
      </w:pPr>
      <w:r>
        <w:t>Spreading by population</w:t>
      </w:r>
    </w:p>
    <w:p w14:paraId="7E9D3C2A" w14:textId="68B09681" w:rsidR="008C4849" w:rsidRDefault="00CB754F" w:rsidP="008C4849">
      <w:pPr>
        <w:pStyle w:val="OutlineNumbered1"/>
      </w:pPr>
      <w:r>
        <w:t>A</w:t>
      </w:r>
      <w:r w:rsidR="0039527F">
        <w:t>n alternative</w:t>
      </w:r>
      <w:r>
        <w:t xml:space="preserve"> method would be to weigh</w:t>
      </w:r>
      <w:r w:rsidR="00B065BA">
        <w:t>t</w:t>
      </w:r>
      <w:r>
        <w:t xml:space="preserve"> </w:t>
      </w:r>
      <w:r w:rsidR="003E67A7">
        <w:t>a</w:t>
      </w:r>
      <w:r>
        <w:t xml:space="preserve"> special levy according to </w:t>
      </w:r>
      <w:r w:rsidR="007C4632">
        <w:t xml:space="preserve">the number of </w:t>
      </w:r>
      <w:r w:rsidR="00980F2E">
        <w:t xml:space="preserve">entities within each </w:t>
      </w:r>
      <w:r w:rsidR="00BB22D9">
        <w:t>sub</w:t>
      </w:r>
      <w:r w:rsidR="00980F2E">
        <w:noBreakHyphen/>
        <w:t>sector that are required to be AFCA members</w:t>
      </w:r>
      <w:r w:rsidR="00BB22D9">
        <w:t xml:space="preserve">. Under this </w:t>
      </w:r>
      <w:r w:rsidR="004F219B">
        <w:t xml:space="preserve">method, </w:t>
      </w:r>
      <w:r w:rsidR="0028760F">
        <w:t>sub</w:t>
      </w:r>
      <w:r w:rsidR="00647A0B">
        <w:noBreakHyphen/>
      </w:r>
      <w:r w:rsidR="0028760F">
        <w:t xml:space="preserve">sectors with smaller populations of AFCA members would </w:t>
      </w:r>
      <w:r w:rsidR="00D50383">
        <w:t xml:space="preserve">face </w:t>
      </w:r>
      <w:r w:rsidR="002D364C">
        <w:t xml:space="preserve">proportionally </w:t>
      </w:r>
      <w:r w:rsidR="00D50383">
        <w:t xml:space="preserve">lower </w:t>
      </w:r>
      <w:r w:rsidR="00CA1841">
        <w:t>levies</w:t>
      </w:r>
      <w:r w:rsidR="00DB0BB8">
        <w:t>.</w:t>
      </w:r>
      <w:r w:rsidR="002D364C">
        <w:t xml:space="preserve"> </w:t>
      </w:r>
      <w:r w:rsidR="002D364C" w:rsidRPr="004A2EE7">
        <w:t>Treasury’s preliminary, illustrative estimate</w:t>
      </w:r>
      <w:r w:rsidR="002D364C">
        <w:t>s</w:t>
      </w:r>
      <w:r w:rsidR="002D364C" w:rsidRPr="004A2EE7">
        <w:t xml:space="preserve"> of</w:t>
      </w:r>
      <w:r w:rsidR="002D364C">
        <w:t xml:space="preserve"> how such a special levy would be apportioned are presented in </w:t>
      </w:r>
      <w:r w:rsidR="002D364C">
        <w:rPr>
          <w:u w:val="single"/>
        </w:rPr>
        <w:t>Appendix B</w:t>
      </w:r>
      <w:r w:rsidR="002D364C">
        <w:t>.</w:t>
      </w:r>
    </w:p>
    <w:p w14:paraId="066AEF95" w14:textId="33692150" w:rsidR="008C4849" w:rsidRDefault="003D69A9" w:rsidP="008C4849">
      <w:pPr>
        <w:pStyle w:val="OutlineNumbered1"/>
      </w:pPr>
      <w:r>
        <w:lastRenderedPageBreak/>
        <w:t xml:space="preserve">This </w:t>
      </w:r>
      <w:r w:rsidR="003578EE">
        <w:t>approach focuses to a greater degree on the capacity of</w:t>
      </w:r>
      <w:r w:rsidR="00A96D1C">
        <w:t xml:space="preserve"> </w:t>
      </w:r>
      <w:r w:rsidR="003E6861">
        <w:t>each sub</w:t>
      </w:r>
      <w:r w:rsidR="003E6861">
        <w:noBreakHyphen/>
        <w:t xml:space="preserve">sector </w:t>
      </w:r>
      <w:r w:rsidR="005B4BA2">
        <w:t xml:space="preserve">to contribute to a </w:t>
      </w:r>
      <w:r w:rsidR="00B12F2E">
        <w:t xml:space="preserve">special levy. However, </w:t>
      </w:r>
      <w:r w:rsidR="00AA2C3E">
        <w:t>though again the graduated levy component would operate to impose more levy on larger entities within sub</w:t>
      </w:r>
      <w:r w:rsidR="00AA2C3E">
        <w:noBreakHyphen/>
        <w:t xml:space="preserve">sectors, </w:t>
      </w:r>
      <w:r w:rsidR="00DA7D43">
        <w:t>still this method would not directly reflect the relative financial position of each sub</w:t>
      </w:r>
      <w:r w:rsidR="00DA7D43">
        <w:noBreakHyphen/>
        <w:t>sector.</w:t>
      </w:r>
    </w:p>
    <w:p w14:paraId="2BA3AEA4" w14:textId="4BA2347D" w:rsidR="00103E10" w:rsidRDefault="009E5C5C" w:rsidP="00E10143">
      <w:pPr>
        <w:pStyle w:val="Heading4"/>
      </w:pPr>
      <w:r>
        <w:t>Spreading by revenue</w:t>
      </w:r>
      <w:r w:rsidR="00046CE3">
        <w:t>s</w:t>
      </w:r>
      <w:r w:rsidR="0075371E">
        <w:t xml:space="preserve"> or by profit</w:t>
      </w:r>
      <w:r w:rsidR="00046CE3">
        <w:t>s</w:t>
      </w:r>
    </w:p>
    <w:p w14:paraId="06D0A4B4" w14:textId="1D8D8B80" w:rsidR="00EE6905" w:rsidRDefault="00EE6905" w:rsidP="004950F4">
      <w:pPr>
        <w:pStyle w:val="OutlineNumbered1"/>
      </w:pPr>
      <w:r>
        <w:t xml:space="preserve">Two metrics suggest themselves </w:t>
      </w:r>
      <w:r w:rsidR="004070F5">
        <w:t>for assessing sub</w:t>
      </w:r>
      <w:r w:rsidR="004070F5">
        <w:noBreakHyphen/>
        <w:t xml:space="preserve">sectors’ capacity to pay more directly: revenue and profitability. </w:t>
      </w:r>
      <w:r w:rsidR="004A4D7E">
        <w:t xml:space="preserve">It </w:t>
      </w:r>
      <w:r w:rsidR="00353A68">
        <w:t xml:space="preserve">may be appropriate </w:t>
      </w:r>
      <w:r w:rsidR="00076B5F">
        <w:t xml:space="preserve">to </w:t>
      </w:r>
      <w:r w:rsidR="00434C19">
        <w:t>spread a special levy across retail</w:t>
      </w:r>
      <w:r w:rsidR="00434C19">
        <w:noBreakHyphen/>
        <w:t xml:space="preserve">facing </w:t>
      </w:r>
      <w:r w:rsidR="007F094A">
        <w:t>sub</w:t>
      </w:r>
      <w:r w:rsidR="007F094A">
        <w:noBreakHyphen/>
        <w:t>sectors in proportion to their estimated aggregate revenues or profits.</w:t>
      </w:r>
    </w:p>
    <w:p w14:paraId="50DE754C" w14:textId="77777777" w:rsidR="00876A23" w:rsidRPr="00874BF1" w:rsidRDefault="00876A23" w:rsidP="00876A23">
      <w:pPr>
        <w:pStyle w:val="Heading5"/>
        <w:rPr>
          <w:b w:val="0"/>
          <w:i/>
        </w:rPr>
      </w:pPr>
      <w:r w:rsidRPr="00874BF1">
        <w:rPr>
          <w:b w:val="0"/>
          <w:i/>
        </w:rPr>
        <w:t>Data and approach</w:t>
      </w:r>
    </w:p>
    <w:p w14:paraId="3B7DEEF8" w14:textId="4E867777" w:rsidR="0020411C" w:rsidRDefault="00E565B2" w:rsidP="004950F4">
      <w:pPr>
        <w:pStyle w:val="OutlineNumbered1"/>
      </w:pPr>
      <w:r>
        <w:t>As discussed</w:t>
      </w:r>
      <w:r w:rsidR="00923833">
        <w:t xml:space="preserve"> </w:t>
      </w:r>
      <w:r w:rsidR="00923833" w:rsidRPr="00A64953">
        <w:t xml:space="preserve">at </w:t>
      </w:r>
      <w:r w:rsidR="0008500A" w:rsidRPr="00A64953">
        <w:t>p</w:t>
      </w:r>
      <w:r w:rsidR="00923833" w:rsidRPr="00A64953">
        <w:t xml:space="preserve">aragraph </w:t>
      </w:r>
      <w:r w:rsidR="00BB67F4">
        <w:t>49</w:t>
      </w:r>
      <w:r w:rsidR="00B87979">
        <w:t>49</w:t>
      </w:r>
      <w:r w:rsidR="00A64953">
        <w:t>,</w:t>
      </w:r>
      <w:r w:rsidR="004333D9">
        <w:t xml:space="preserve"> the ATO has </w:t>
      </w:r>
      <w:r w:rsidR="005F1793">
        <w:t xml:space="preserve">provided to Treasury estimated average </w:t>
      </w:r>
      <w:r w:rsidR="00D36AC6">
        <w:t xml:space="preserve">revenues and profits for </w:t>
      </w:r>
      <w:r w:rsidR="00DB2F3F">
        <w:t xml:space="preserve">entities within each of the </w:t>
      </w:r>
      <w:r w:rsidR="00BC6CDF">
        <w:t>retail</w:t>
      </w:r>
      <w:r w:rsidR="41A455F9">
        <w:t xml:space="preserve"> </w:t>
      </w:r>
      <w:r w:rsidR="00BC6CDF">
        <w:t>facing sub</w:t>
      </w:r>
      <w:r w:rsidR="001963F3">
        <w:noBreakHyphen/>
      </w:r>
      <w:r w:rsidR="00BC6CDF">
        <w:t>sectors,</w:t>
      </w:r>
      <w:r w:rsidR="005138F6">
        <w:t xml:space="preserve"> except where the sub</w:t>
      </w:r>
      <w:r w:rsidR="007D314D">
        <w:noBreakHyphen/>
      </w:r>
      <w:r w:rsidR="005138F6">
        <w:t>sectors were too small</w:t>
      </w:r>
      <w:r w:rsidR="002A738C">
        <w:t xml:space="preserve"> to provide data</w:t>
      </w:r>
      <w:r w:rsidR="007D314D">
        <w:t xml:space="preserve"> owing to the risk of identifying taxpayers</w:t>
      </w:r>
      <w:r w:rsidR="002A738C">
        <w:t>.</w:t>
      </w:r>
      <w:r w:rsidR="004C50D5">
        <w:t xml:space="preserve"> Treasury has scaled these up by the number of </w:t>
      </w:r>
      <w:r w:rsidR="00521239">
        <w:t>entities in each sub</w:t>
      </w:r>
      <w:r w:rsidR="00022462">
        <w:noBreakHyphen/>
      </w:r>
      <w:r w:rsidR="00521239">
        <w:t>sector that are required to be AFCA members</w:t>
      </w:r>
      <w:r w:rsidR="00A90E8C">
        <w:t xml:space="preserve"> (</w:t>
      </w:r>
      <w:proofErr w:type="gramStart"/>
      <w:r w:rsidR="00A90E8C">
        <w:t>at</w:t>
      </w:r>
      <w:proofErr w:type="gramEnd"/>
      <w:r w:rsidR="00A90E8C">
        <w:t xml:space="preserve"> </w:t>
      </w:r>
      <w:r w:rsidR="00B32AAA">
        <w:t>30 June 2024)</w:t>
      </w:r>
      <w:r w:rsidR="00521239">
        <w:t>, as a</w:t>
      </w:r>
      <w:r w:rsidR="003A5374">
        <w:t>n indicative</w:t>
      </w:r>
      <w:r w:rsidR="00521239">
        <w:t xml:space="preserve"> estimate of the</w:t>
      </w:r>
      <w:r w:rsidR="00372F78">
        <w:t xml:space="preserve"> total</w:t>
      </w:r>
      <w:r w:rsidR="00521239">
        <w:t xml:space="preserve"> </w:t>
      </w:r>
      <w:r w:rsidR="00550F73">
        <w:t xml:space="preserve">revenues or profits that </w:t>
      </w:r>
      <w:r w:rsidR="005E0B26">
        <w:t xml:space="preserve">are available within each </w:t>
      </w:r>
      <w:r w:rsidR="0049236F">
        <w:t>sub</w:t>
      </w:r>
      <w:r w:rsidR="00022462">
        <w:noBreakHyphen/>
      </w:r>
      <w:r w:rsidR="0049236F">
        <w:t xml:space="preserve">sector to support payment of a special levy. </w:t>
      </w:r>
      <w:r w:rsidR="00DA4D64">
        <w:t xml:space="preserve">These calculations are presented </w:t>
      </w:r>
      <w:r w:rsidR="00B577D1">
        <w:t xml:space="preserve">in the table </w:t>
      </w:r>
      <w:r w:rsidR="00DA4D64">
        <w:t xml:space="preserve">in </w:t>
      </w:r>
      <w:r w:rsidR="00DA4D64">
        <w:rPr>
          <w:u w:val="single"/>
        </w:rPr>
        <w:t>Appendix A</w:t>
      </w:r>
      <w:r w:rsidR="0020411C">
        <w:t>.</w:t>
      </w:r>
    </w:p>
    <w:p w14:paraId="4D53D67F" w14:textId="7790B508" w:rsidR="00134C19" w:rsidRDefault="0020411C" w:rsidP="004950F4">
      <w:pPr>
        <w:pStyle w:val="OutlineNumbered1"/>
      </w:pPr>
      <w:r>
        <w:t>The table also</w:t>
      </w:r>
      <w:r w:rsidR="00B577D1">
        <w:t xml:space="preserve"> </w:t>
      </w:r>
      <w:r w:rsidR="00DE2ED4">
        <w:t>includes</w:t>
      </w:r>
      <w:r w:rsidR="00512C96">
        <w:t xml:space="preserve"> a percentage figure as an illustration of the share</w:t>
      </w:r>
      <w:r w:rsidR="00AD5452">
        <w:t xml:space="preserve"> of a special levy that the </w:t>
      </w:r>
      <w:r w:rsidR="00C42C08">
        <w:t>estimated totals imply.</w:t>
      </w:r>
      <w:r>
        <w:t xml:space="preserve"> </w:t>
      </w:r>
      <w:r w:rsidR="00C42C08">
        <w:t xml:space="preserve">The percentage figures should </w:t>
      </w:r>
      <w:r w:rsidR="00C42C08">
        <w:rPr>
          <w:i/>
          <w:iCs/>
        </w:rPr>
        <w:t>not</w:t>
      </w:r>
      <w:r w:rsidR="00C42C08">
        <w:t xml:space="preserve"> be </w:t>
      </w:r>
      <w:r w:rsidR="00F53ACE">
        <w:t xml:space="preserve">understood </w:t>
      </w:r>
      <w:r w:rsidR="00C42C08">
        <w:t>as a</w:t>
      </w:r>
      <w:r w:rsidR="00F53ACE">
        <w:t xml:space="preserve"> proportion of some imagined total </w:t>
      </w:r>
      <w:r w:rsidR="00882FC3">
        <w:t>of all revenue and profit across all retail-facing sub</w:t>
      </w:r>
      <w:r w:rsidR="00882FC3">
        <w:noBreakHyphen/>
        <w:t xml:space="preserve">sectors, principally because </w:t>
      </w:r>
      <w:r w:rsidR="00331A0F">
        <w:t>many entities</w:t>
      </w:r>
      <w:r w:rsidR="00164A14">
        <w:t xml:space="preserve"> belong to multiple sub</w:t>
      </w:r>
      <w:r w:rsidR="00164A14">
        <w:noBreakHyphen/>
        <w:t xml:space="preserve">sectors and so a </w:t>
      </w:r>
      <w:r w:rsidR="003E2366">
        <w:t>putative ‘</w:t>
      </w:r>
      <w:r w:rsidR="00164A14">
        <w:t>total</w:t>
      </w:r>
      <w:r w:rsidR="003E2366">
        <w:t>’</w:t>
      </w:r>
      <w:r w:rsidR="00164A14">
        <w:t xml:space="preserve"> would be double-counting their revenues and profits. Rather, the percentages can be thought of as relativities</w:t>
      </w:r>
      <w:r w:rsidR="00D26269">
        <w:t xml:space="preserve"> of revenue</w:t>
      </w:r>
      <w:r w:rsidR="0005695B">
        <w:t xml:space="preserve"> and profits</w:t>
      </w:r>
      <w:r w:rsidR="003A446B">
        <w:t>. For example,</w:t>
      </w:r>
      <w:r w:rsidR="00164A14">
        <w:t xml:space="preserve"> a sub</w:t>
      </w:r>
      <w:r w:rsidR="00164A14">
        <w:noBreakHyphen/>
        <w:t>sector</w:t>
      </w:r>
      <w:r w:rsidR="0005695B">
        <w:t xml:space="preserve"> with </w:t>
      </w:r>
      <w:r w:rsidR="00F229FA">
        <w:t xml:space="preserve">a </w:t>
      </w:r>
      <w:r w:rsidR="0005695B">
        <w:t>4 per cent</w:t>
      </w:r>
      <w:r w:rsidR="00F229FA">
        <w:t xml:space="preserve"> </w:t>
      </w:r>
      <w:r w:rsidR="0087329C">
        <w:t xml:space="preserve">illustrative </w:t>
      </w:r>
      <w:r w:rsidR="00F229FA">
        <w:t xml:space="preserve">share of </w:t>
      </w:r>
      <w:r w:rsidR="0087329C">
        <w:t xml:space="preserve">a special levy has twice </w:t>
      </w:r>
      <w:r w:rsidR="00FF410F">
        <w:t xml:space="preserve">as much </w:t>
      </w:r>
      <w:r w:rsidR="00931579">
        <w:t xml:space="preserve">estimated aggregate </w:t>
      </w:r>
      <w:r w:rsidR="00FF410F">
        <w:t xml:space="preserve">revenue (or profit) as a </w:t>
      </w:r>
      <w:r w:rsidR="00DA50CB">
        <w:t>sub</w:t>
      </w:r>
      <w:r w:rsidR="00DA50CB">
        <w:noBreakHyphen/>
        <w:t>sector with a 2 per cent illustrative share.</w:t>
      </w:r>
    </w:p>
    <w:p w14:paraId="0B760079" w14:textId="758B3329" w:rsidR="00EA77BF" w:rsidRDefault="00022CB0" w:rsidP="004950F4">
      <w:pPr>
        <w:pStyle w:val="OutlineNumbered1"/>
      </w:pPr>
      <w:r>
        <w:t xml:space="preserve">Average revenue and profit data are not available for the </w:t>
      </w:r>
      <w:r w:rsidR="004E6656">
        <w:t>t</w:t>
      </w:r>
      <w:r w:rsidR="004E6656" w:rsidRPr="004E6656">
        <w:t>raditional trustee company service providers</w:t>
      </w:r>
      <w:r w:rsidR="001519F3">
        <w:t xml:space="preserve"> sub</w:t>
      </w:r>
      <w:r w:rsidR="001519F3">
        <w:noBreakHyphen/>
        <w:t xml:space="preserve">sector, </w:t>
      </w:r>
      <w:r>
        <w:t>owing to its small size. Consequently, this retail</w:t>
      </w:r>
      <w:r>
        <w:noBreakHyphen/>
        <w:t>facing sub</w:t>
      </w:r>
      <w:r>
        <w:noBreakHyphen/>
        <w:t xml:space="preserve">sector is excluded from </w:t>
      </w:r>
      <w:r w:rsidR="00741FCB">
        <w:t xml:space="preserve">these options. A special levy spread </w:t>
      </w:r>
      <w:proofErr w:type="gramStart"/>
      <w:r w:rsidR="003E1DBA">
        <w:t>on the basis of</w:t>
      </w:r>
      <w:proofErr w:type="gramEnd"/>
      <w:r w:rsidR="003E1DBA">
        <w:t xml:space="preserve"> relative revenue</w:t>
      </w:r>
      <w:r w:rsidR="000B32B0">
        <w:t>s</w:t>
      </w:r>
      <w:r w:rsidR="003E1DBA">
        <w:t xml:space="preserve"> or profit</w:t>
      </w:r>
      <w:r w:rsidR="000B32B0">
        <w:t>s</w:t>
      </w:r>
      <w:r w:rsidR="003E1DBA">
        <w:t xml:space="preserve"> </w:t>
      </w:r>
      <w:r w:rsidR="008E21C6">
        <w:t>would therefore apply to 20 sub</w:t>
      </w:r>
      <w:r w:rsidR="008E21C6">
        <w:noBreakHyphen/>
        <w:t>sectors</w:t>
      </w:r>
      <w:r w:rsidR="007B34C9">
        <w:t xml:space="preserve"> (unless a</w:t>
      </w:r>
      <w:r w:rsidR="00DE7647">
        <w:t xml:space="preserve"> reliable</w:t>
      </w:r>
      <w:r w:rsidR="007B34C9">
        <w:t xml:space="preserve"> alternative source of data</w:t>
      </w:r>
      <w:r w:rsidR="00EA3420">
        <w:t xml:space="preserve"> were available for use</w:t>
      </w:r>
      <w:r w:rsidR="00E661CA">
        <w:t xml:space="preserve"> that includes</w:t>
      </w:r>
      <w:r w:rsidR="00507483">
        <w:t xml:space="preserve"> traditional trustee company service providers)</w:t>
      </w:r>
      <w:r w:rsidR="008E21C6">
        <w:t>.</w:t>
      </w:r>
    </w:p>
    <w:p w14:paraId="09F1D121" w14:textId="3B936854" w:rsidR="00876A23" w:rsidRPr="00874BF1" w:rsidRDefault="00876A23" w:rsidP="00876A23">
      <w:pPr>
        <w:pStyle w:val="Heading5"/>
        <w:rPr>
          <w:b w:val="0"/>
          <w:i/>
        </w:rPr>
      </w:pPr>
      <w:r w:rsidRPr="00874BF1">
        <w:rPr>
          <w:b w:val="0"/>
          <w:i/>
        </w:rPr>
        <w:t>Options</w:t>
      </w:r>
    </w:p>
    <w:p w14:paraId="32EA46B4" w14:textId="77777777" w:rsidR="006D15C1" w:rsidRDefault="006D15C1" w:rsidP="006D15C1">
      <w:pPr>
        <w:pStyle w:val="OutlineNumbered1"/>
      </w:pPr>
      <w:r w:rsidRPr="004A2EE7">
        <w:t>Treasury’s preliminary, illustrative estimate</w:t>
      </w:r>
      <w:r>
        <w:t>s</w:t>
      </w:r>
      <w:r w:rsidRPr="004A2EE7">
        <w:t xml:space="preserve"> of</w:t>
      </w:r>
      <w:r>
        <w:t xml:space="preserve"> how a special levy would be apportioned on the bases of revenue and profits are presented in separate columns in </w:t>
      </w:r>
      <w:r>
        <w:rPr>
          <w:u w:val="single"/>
        </w:rPr>
        <w:t>Appendix B</w:t>
      </w:r>
      <w:r>
        <w:t>.</w:t>
      </w:r>
    </w:p>
    <w:p w14:paraId="3B2DD4DB" w14:textId="1C6D17A2" w:rsidR="00244E11" w:rsidRDefault="00480C4A" w:rsidP="004950F4">
      <w:pPr>
        <w:pStyle w:val="OutlineNumbered1"/>
      </w:pPr>
      <w:r>
        <w:t>R</w:t>
      </w:r>
      <w:r w:rsidR="005545C1">
        <w:t xml:space="preserve">evenue </w:t>
      </w:r>
      <w:r>
        <w:t>and</w:t>
      </w:r>
      <w:r w:rsidR="005545C1">
        <w:t xml:space="preserve"> profitability go much more directly to the statutory considerations of financial sustainability. </w:t>
      </w:r>
      <w:r w:rsidR="004E62A5">
        <w:t xml:space="preserve">Revenue is, generally, a more objective </w:t>
      </w:r>
      <w:r w:rsidR="00D92620">
        <w:t>criterion</w:t>
      </w:r>
      <w:r w:rsidR="00282AB0">
        <w:t xml:space="preserve">, less susceptible to variation </w:t>
      </w:r>
      <w:proofErr w:type="gramStart"/>
      <w:r w:rsidR="00282AB0">
        <w:t>on the basis of</w:t>
      </w:r>
      <w:proofErr w:type="gramEnd"/>
      <w:r w:rsidR="00282AB0">
        <w:t xml:space="preserve"> accounting treatment decisions than profits. </w:t>
      </w:r>
      <w:r w:rsidR="00A62675">
        <w:t>Profits are, conceptually, more reflective</w:t>
      </w:r>
      <w:r w:rsidR="0052610C">
        <w:t xml:space="preserve"> of capacity to pay. </w:t>
      </w:r>
      <w:r w:rsidR="001176EE">
        <w:t>An advantage of spreading by profits rather than revenue may be that it avoids burdening sub</w:t>
      </w:r>
      <w:r w:rsidR="001176EE">
        <w:noBreakHyphen/>
        <w:t>sectors that are typified by high revenues but low margins.</w:t>
      </w:r>
      <w:r w:rsidR="00704B40">
        <w:t xml:space="preserve"> That said, under the methodology</w:t>
      </w:r>
      <w:r w:rsidR="00D53300">
        <w:t xml:space="preserve"> adopted here</w:t>
      </w:r>
      <w:r w:rsidR="001340E3">
        <w:t>, which captures just the most recent data</w:t>
      </w:r>
      <w:r w:rsidR="006679DF">
        <w:t xml:space="preserve">, </w:t>
      </w:r>
      <w:r w:rsidR="00465DCC">
        <w:t xml:space="preserve">apportioning by profits </w:t>
      </w:r>
      <w:proofErr w:type="gramStart"/>
      <w:r w:rsidR="00465DCC">
        <w:t>in a given year</w:t>
      </w:r>
      <w:proofErr w:type="gramEnd"/>
      <w:r w:rsidR="00465DCC">
        <w:t xml:space="preserve"> may not reflect longer-term capacity to pay</w:t>
      </w:r>
      <w:r w:rsidR="00A60256">
        <w:t xml:space="preserve"> (which may be relevant to </w:t>
      </w:r>
      <w:r w:rsidR="00D33053">
        <w:t xml:space="preserve">the options’ </w:t>
      </w:r>
      <w:r w:rsidR="00F86832">
        <w:t>repeatability).</w:t>
      </w:r>
    </w:p>
    <w:p w14:paraId="4384EF0E" w14:textId="11D0DC6D" w:rsidR="004950F4" w:rsidRDefault="00A93624" w:rsidP="004950F4">
      <w:pPr>
        <w:pStyle w:val="OutlineNumbered1"/>
      </w:pPr>
      <w:r>
        <w:t xml:space="preserve">Options that focus on revenue and </w:t>
      </w:r>
      <w:r w:rsidR="00F6053A">
        <w:t xml:space="preserve">profits do not necessarily reflect </w:t>
      </w:r>
      <w:r w:rsidR="00D871FD">
        <w:t xml:space="preserve">other considerations that </w:t>
      </w:r>
      <w:r w:rsidR="004B0F95">
        <w:t xml:space="preserve">may </w:t>
      </w:r>
      <w:r w:rsidR="004E553D">
        <w:t xml:space="preserve">impact the effectiveness of </w:t>
      </w:r>
      <w:r w:rsidR="00E97AA9">
        <w:t>a</w:t>
      </w:r>
      <w:r w:rsidR="004E553D">
        <w:t xml:space="preserve"> special levy option. </w:t>
      </w:r>
      <w:r w:rsidR="00246B34">
        <w:t xml:space="preserve">They are not necessarily risk-reflective; </w:t>
      </w:r>
      <w:r w:rsidR="004950F4" w:rsidRPr="004950F4">
        <w:t xml:space="preserve">sub-sectors </w:t>
      </w:r>
      <w:r w:rsidR="004D7710">
        <w:t xml:space="preserve">with high revenues and profits </w:t>
      </w:r>
      <w:r w:rsidR="004950F4" w:rsidRPr="004950F4">
        <w:t xml:space="preserve">might be well-regulated and low-risk, while smaller ones could pose greater risks but contribute less </w:t>
      </w:r>
      <w:r w:rsidR="00ED2B3C">
        <w:t>to the special levy</w:t>
      </w:r>
      <w:r w:rsidR="004950F4" w:rsidRPr="004950F4">
        <w:t>.</w:t>
      </w:r>
      <w:r w:rsidR="00C3130A">
        <w:t xml:space="preserve"> While ‘cross-subsidisation’ is a design feature of the CSLR</w:t>
      </w:r>
      <w:r w:rsidR="009237BA">
        <w:t>’s funding</w:t>
      </w:r>
      <w:r w:rsidR="004950F4" w:rsidRPr="004950F4">
        <w:t xml:space="preserve"> model</w:t>
      </w:r>
      <w:r w:rsidR="009237BA">
        <w:t xml:space="preserve"> </w:t>
      </w:r>
      <w:r w:rsidR="0026500D">
        <w:t xml:space="preserve">in general (existing firms </w:t>
      </w:r>
      <w:r w:rsidR="0026500D">
        <w:lastRenderedPageBreak/>
        <w:t xml:space="preserve">pay for the consequences of </w:t>
      </w:r>
      <w:r w:rsidR="00D03938">
        <w:t xml:space="preserve">the misconduct of failed </w:t>
      </w:r>
      <w:r w:rsidR="0026500D">
        <w:t>fir</w:t>
      </w:r>
      <w:r w:rsidR="00D03938">
        <w:t>ms)</w:t>
      </w:r>
      <w:r w:rsidR="00CC118C">
        <w:t xml:space="preserve"> and specifically</w:t>
      </w:r>
      <w:r w:rsidR="00B96183">
        <w:t xml:space="preserve"> </w:t>
      </w:r>
      <w:r w:rsidR="00737AFE">
        <w:t xml:space="preserve">of </w:t>
      </w:r>
      <w:r w:rsidR="00E67065">
        <w:t xml:space="preserve">all </w:t>
      </w:r>
      <w:r w:rsidR="00737AFE">
        <w:t xml:space="preserve">subsection 1069H(5) special levy options, </w:t>
      </w:r>
      <w:r w:rsidR="009456EA">
        <w:t xml:space="preserve">apportioning by </w:t>
      </w:r>
      <w:r w:rsidR="002A5AC5">
        <w:t xml:space="preserve">revenue or profits </w:t>
      </w:r>
      <w:r w:rsidR="00381579">
        <w:t xml:space="preserve">places much more </w:t>
      </w:r>
      <w:r w:rsidR="00C75B40">
        <w:t xml:space="preserve">weight on capacity to pay </w:t>
      </w:r>
      <w:r w:rsidR="00DE297D">
        <w:t>than o</w:t>
      </w:r>
      <w:r w:rsidR="000245B4">
        <w:t>n, say, proximity</w:t>
      </w:r>
      <w:r w:rsidR="009321D1">
        <w:t xml:space="preserve"> of </w:t>
      </w:r>
      <w:r w:rsidR="00214773">
        <w:t>the sub</w:t>
      </w:r>
      <w:r w:rsidR="00214773">
        <w:noBreakHyphen/>
        <w:t xml:space="preserve">sector to </w:t>
      </w:r>
      <w:r w:rsidR="00923580">
        <w:t>financial sector misconduct.</w:t>
      </w:r>
    </w:p>
    <w:p w14:paraId="17EDBCE2" w14:textId="39CC29A7" w:rsidR="009E5C5C" w:rsidRDefault="009E5C5C" w:rsidP="00E10143">
      <w:pPr>
        <w:pStyle w:val="Heading4"/>
      </w:pPr>
      <w:r>
        <w:t>Spreading by regulatory effort</w:t>
      </w:r>
    </w:p>
    <w:p w14:paraId="0F92E8E4" w14:textId="7BF26A68" w:rsidR="00250AAE" w:rsidRDefault="00923580" w:rsidP="00F63C09">
      <w:pPr>
        <w:pStyle w:val="OutlineNumbered1"/>
      </w:pPr>
      <w:r>
        <w:t>F</w:t>
      </w:r>
      <w:r w:rsidR="00731909" w:rsidRPr="00731909">
        <w:t>inal</w:t>
      </w:r>
      <w:r w:rsidR="00217786">
        <w:t xml:space="preserve">ly, </w:t>
      </w:r>
      <w:r w:rsidR="00D6500E">
        <w:t xml:space="preserve">an </w:t>
      </w:r>
      <w:r w:rsidR="00731909" w:rsidRPr="00731909">
        <w:t xml:space="preserve">approach </w:t>
      </w:r>
      <w:r w:rsidR="00D6500E">
        <w:t xml:space="preserve">to </w:t>
      </w:r>
      <w:r w:rsidR="00950470">
        <w:t xml:space="preserve">spreading </w:t>
      </w:r>
      <w:r w:rsidR="00D6500E">
        <w:t>a</w:t>
      </w:r>
      <w:r w:rsidR="00731909" w:rsidRPr="00731909">
        <w:t xml:space="preserve"> special levy </w:t>
      </w:r>
      <w:r w:rsidR="00FF6D00">
        <w:t xml:space="preserve">may be to apportion it </w:t>
      </w:r>
      <w:proofErr w:type="gramStart"/>
      <w:r w:rsidR="00FF6D00">
        <w:t xml:space="preserve">on </w:t>
      </w:r>
      <w:r w:rsidR="00731909" w:rsidRPr="00731909">
        <w:t xml:space="preserve">the </w:t>
      </w:r>
      <w:r w:rsidR="00FF6D00">
        <w:t>basis of</w:t>
      </w:r>
      <w:proofErr w:type="gramEnd"/>
      <w:r w:rsidR="00FF6D00">
        <w:t xml:space="preserve"> </w:t>
      </w:r>
      <w:r w:rsidR="00731909" w:rsidRPr="00731909">
        <w:t xml:space="preserve">the regulatory </w:t>
      </w:r>
      <w:r w:rsidR="00380738">
        <w:t xml:space="preserve">effort </w:t>
      </w:r>
      <w:r w:rsidR="0025088E">
        <w:t>applied to</w:t>
      </w:r>
      <w:r w:rsidR="00731909" w:rsidRPr="00731909">
        <w:t xml:space="preserve"> each sub</w:t>
      </w:r>
      <w:r w:rsidR="0025088E">
        <w:noBreakHyphen/>
      </w:r>
      <w:r w:rsidR="00731909" w:rsidRPr="00731909">
        <w:t xml:space="preserve">sector as </w:t>
      </w:r>
      <w:r w:rsidR="0025088E">
        <w:t>reflected</w:t>
      </w:r>
      <w:r w:rsidR="00731909" w:rsidRPr="00731909">
        <w:t xml:space="preserve"> in ASIC’s </w:t>
      </w:r>
      <w:r w:rsidR="0025088E">
        <w:t>most recent</w:t>
      </w:r>
      <w:r w:rsidR="00731909" w:rsidRPr="00731909">
        <w:t xml:space="preserve"> IFM </w:t>
      </w:r>
      <w:r w:rsidR="0025088E">
        <w:t>determination</w:t>
      </w:r>
      <w:r w:rsidR="00731909" w:rsidRPr="00731909">
        <w:t xml:space="preserve">. </w:t>
      </w:r>
      <w:r w:rsidR="00627157">
        <w:t>This</w:t>
      </w:r>
      <w:r w:rsidR="00731909" w:rsidRPr="00731909">
        <w:t xml:space="preserve"> does not assign blame to any sub-sector</w:t>
      </w:r>
      <w:r w:rsidR="00003FEC">
        <w:t xml:space="preserve"> for contributing to the specific losses that will be covered by a special levy</w:t>
      </w:r>
      <w:r w:rsidR="00731909" w:rsidRPr="00731909">
        <w:t xml:space="preserve">, </w:t>
      </w:r>
      <w:r w:rsidR="003A1A2B">
        <w:t>but it</w:t>
      </w:r>
      <w:r w:rsidR="00E1531D">
        <w:t xml:space="preserve"> is in harmony with the</w:t>
      </w:r>
      <w:r w:rsidR="0040584A">
        <w:t xml:space="preserve"> principles underpinning the </w:t>
      </w:r>
      <w:r w:rsidR="006F761B">
        <w:t xml:space="preserve">CSLR’s annual levy process where costs are apportioned according to the </w:t>
      </w:r>
      <w:r w:rsidR="00BE08C4">
        <w:t>sub</w:t>
      </w:r>
      <w:r w:rsidR="00BE08C4">
        <w:noBreakHyphen/>
        <w:t xml:space="preserve">sector driving those costs. If a special levy </w:t>
      </w:r>
      <w:r w:rsidR="00741EA3">
        <w:t>were</w:t>
      </w:r>
      <w:r w:rsidR="00BE08C4">
        <w:t xml:space="preserve"> applied broadly across retail</w:t>
      </w:r>
      <w:r w:rsidR="00BE08C4">
        <w:noBreakHyphen/>
        <w:t>facing sub</w:t>
      </w:r>
      <w:r w:rsidR="00BE08C4">
        <w:noBreakHyphen/>
        <w:t xml:space="preserve">sectors to reflect the broader benefit and impact of the CSLR on retail clients, </w:t>
      </w:r>
      <w:r w:rsidR="00F476AD">
        <w:t xml:space="preserve">apportioning based on regulatory effort </w:t>
      </w:r>
      <w:r w:rsidR="001B2878">
        <w:t xml:space="preserve">may be </w:t>
      </w:r>
      <w:r w:rsidR="00BE08C4">
        <w:t>an</w:t>
      </w:r>
      <w:r w:rsidR="00F476AD">
        <w:t xml:space="preserve"> analogous approach.</w:t>
      </w:r>
    </w:p>
    <w:p w14:paraId="172726A6" w14:textId="5DCAB71C" w:rsidR="00731909" w:rsidRDefault="0035342B" w:rsidP="00F63C09">
      <w:pPr>
        <w:pStyle w:val="OutlineNumbered1"/>
      </w:pPr>
      <w:r>
        <w:t>This method would not directly reflect</w:t>
      </w:r>
      <w:r w:rsidR="003331E5">
        <w:t xml:space="preserve"> </w:t>
      </w:r>
      <w:r w:rsidR="005F5426">
        <w:t>a sub</w:t>
      </w:r>
      <w:r w:rsidR="005F5426">
        <w:noBreakHyphen/>
        <w:t xml:space="preserve">sector’s </w:t>
      </w:r>
      <w:r w:rsidR="003331E5">
        <w:t>capacity to pay</w:t>
      </w:r>
      <w:r w:rsidR="005F5426">
        <w:t xml:space="preserve">. </w:t>
      </w:r>
      <w:r w:rsidR="00B13B3F">
        <w:t xml:space="preserve">The financial sustainability of </w:t>
      </w:r>
      <w:r w:rsidR="0002490B">
        <w:t xml:space="preserve">such a special </w:t>
      </w:r>
      <w:r w:rsidR="00B13B3F">
        <w:t>levy (and its</w:t>
      </w:r>
      <w:r w:rsidR="0002490B">
        <w:t xml:space="preserve"> repeatability) could be assessed on a sub</w:t>
      </w:r>
      <w:r w:rsidR="0002490B">
        <w:noBreakHyphen/>
        <w:t>sector</w:t>
      </w:r>
      <w:r w:rsidR="00EC50F9">
        <w:t>–</w:t>
      </w:r>
      <w:r w:rsidR="0002490B">
        <w:t>by</w:t>
      </w:r>
      <w:r w:rsidR="00EC50F9">
        <w:t>–</w:t>
      </w:r>
      <w:r w:rsidR="007D39D4">
        <w:t>sub</w:t>
      </w:r>
      <w:r w:rsidR="007D39D4">
        <w:noBreakHyphen/>
        <w:t>sector basis.</w:t>
      </w:r>
      <w:r w:rsidR="005F5426">
        <w:t xml:space="preserve"> </w:t>
      </w:r>
      <w:r w:rsidR="0070754C">
        <w:t xml:space="preserve">But certainly, </w:t>
      </w:r>
      <w:r w:rsidR="00A9263B">
        <w:t>in the case of the primary sub-sector</w:t>
      </w:r>
      <w:r w:rsidR="0070754C">
        <w:t xml:space="preserve">, this method would </w:t>
      </w:r>
      <w:r w:rsidR="00A9263B">
        <w:t>result in a lower levy than a subs</w:t>
      </w:r>
      <w:r w:rsidR="0070754C">
        <w:t>ection</w:t>
      </w:r>
      <w:r w:rsidR="00A9263B">
        <w:t> (4)</w:t>
      </w:r>
      <w:r w:rsidR="00DA3C12">
        <w:t xml:space="preserve"> special levy</w:t>
      </w:r>
      <w:r w:rsidR="0070754C">
        <w:t xml:space="preserve"> applied only to </w:t>
      </w:r>
      <w:proofErr w:type="gramStart"/>
      <w:r w:rsidR="0070754C">
        <w:t>it</w:t>
      </w:r>
      <w:r w:rsidR="009C6B5E">
        <w:t>, and</w:t>
      </w:r>
      <w:proofErr w:type="gramEnd"/>
      <w:r w:rsidR="009C6B5E">
        <w:t xml:space="preserve"> would </w:t>
      </w:r>
      <w:r w:rsidR="00A9263B">
        <w:t xml:space="preserve">therefore </w:t>
      </w:r>
      <w:r w:rsidR="00206400">
        <w:t>be relatively more financially sustainable</w:t>
      </w:r>
      <w:r w:rsidR="00DA3C12">
        <w:t>.</w:t>
      </w:r>
      <w:r w:rsidR="00731909" w:rsidRPr="00731909">
        <w:t xml:space="preserve"> </w:t>
      </w:r>
      <w:r w:rsidR="00702AD6">
        <w:t>This method may also</w:t>
      </w:r>
      <w:r w:rsidR="00731909" w:rsidRPr="00731909">
        <w:t xml:space="preserve"> serve as a</w:t>
      </w:r>
      <w:r w:rsidR="00702AD6">
        <w:t xml:space="preserve"> signal to sub</w:t>
      </w:r>
      <w:r w:rsidR="00702AD6">
        <w:noBreakHyphen/>
        <w:t>sectors to improve their</w:t>
      </w:r>
      <w:r w:rsidR="00731909" w:rsidRPr="00731909">
        <w:t xml:space="preserve"> practices</w:t>
      </w:r>
      <w:r w:rsidR="00731909">
        <w:t xml:space="preserve">, as </w:t>
      </w:r>
      <w:r w:rsidR="00731909" w:rsidRPr="00731909">
        <w:t>sub</w:t>
      </w:r>
      <w:r w:rsidR="00BC66D5">
        <w:noBreakHyphen/>
      </w:r>
      <w:r w:rsidR="00731909" w:rsidRPr="00731909">
        <w:t xml:space="preserve">sectors that reduce their </w:t>
      </w:r>
      <w:r w:rsidR="00BC66D5">
        <w:t xml:space="preserve">call on ASIC’s </w:t>
      </w:r>
      <w:r w:rsidR="00731909" w:rsidRPr="00731909">
        <w:t xml:space="preserve">regulatory </w:t>
      </w:r>
      <w:r w:rsidR="00BC66D5">
        <w:t>effort</w:t>
      </w:r>
      <w:r w:rsidR="00731909" w:rsidRPr="00731909">
        <w:t xml:space="preserve"> would, in turn, lower their </w:t>
      </w:r>
      <w:r w:rsidR="00BC66D5">
        <w:t xml:space="preserve">potential special </w:t>
      </w:r>
      <w:r w:rsidR="00731909" w:rsidRPr="00731909">
        <w:t>levy contribution</w:t>
      </w:r>
      <w:r w:rsidR="00BC66D5">
        <w:t>s</w:t>
      </w:r>
      <w:r w:rsidR="00731909" w:rsidRPr="00731909">
        <w:t>.</w:t>
      </w:r>
    </w:p>
    <w:p w14:paraId="325D6DB7" w14:textId="77777777" w:rsidR="00172BE3" w:rsidRDefault="00172BE3" w:rsidP="00172BE3">
      <w:pPr>
        <w:spacing w:before="0" w:after="0"/>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172BE3" w14:paraId="20DD50A2" w14:textId="77777777" w:rsidTr="000A7ED0">
        <w:tc>
          <w:tcPr>
            <w:tcW w:w="5000" w:type="pct"/>
            <w:shd w:val="clear" w:color="auto" w:fill="EEEEEE" w:themeFill="background2"/>
          </w:tcPr>
          <w:p w14:paraId="4546CFE2" w14:textId="77777777" w:rsidR="00172BE3" w:rsidRDefault="00172BE3" w:rsidP="00741EA3">
            <w:pPr>
              <w:pStyle w:val="BoxHeading"/>
              <w:keepNext w:val="0"/>
              <w:spacing w:before="0"/>
            </w:pPr>
            <w:r>
              <w:t>Questions</w:t>
            </w:r>
          </w:p>
          <w:p w14:paraId="48A1F91A" w14:textId="6C7E98BA" w:rsidR="00172BE3" w:rsidRDefault="00172BE3">
            <w:pPr>
              <w:pStyle w:val="BoxText"/>
              <w:ind w:left="482" w:hanging="357"/>
            </w:pPr>
            <w:r>
              <w:t>1</w:t>
            </w:r>
            <w:r w:rsidR="000C7869">
              <w:t>3</w:t>
            </w:r>
            <w:r>
              <w:t>.</w:t>
            </w:r>
            <w:r>
              <w:tab/>
              <w:t>Should a Minister consider imposing a special levy on a</w:t>
            </w:r>
            <w:r w:rsidR="00D63724">
              <w:t>ll retail-facing</w:t>
            </w:r>
            <w:r>
              <w:t xml:space="preserve"> sub</w:t>
            </w:r>
            <w:r>
              <w:noBreakHyphen/>
              <w:t>sector</w:t>
            </w:r>
            <w:r w:rsidR="00D63724">
              <w:t>s</w:t>
            </w:r>
            <w:r>
              <w:t>? Is this approach supported by the legislation (is it ‘most effective’)?</w:t>
            </w:r>
          </w:p>
          <w:p w14:paraId="08DE38C9" w14:textId="4FB61A9F" w:rsidR="00172BE3" w:rsidRDefault="00172BE3">
            <w:pPr>
              <w:pStyle w:val="BoxText"/>
              <w:ind w:left="482" w:hanging="357"/>
            </w:pPr>
            <w:r>
              <w:t>1</w:t>
            </w:r>
            <w:r w:rsidR="000C7869">
              <w:t>4</w:t>
            </w:r>
            <w:r>
              <w:t>.</w:t>
            </w:r>
            <w:r>
              <w:tab/>
            </w:r>
            <w:r w:rsidR="00304865">
              <w:t xml:space="preserve">If so, what is the best method for apportioning the special levy among </w:t>
            </w:r>
            <w:r w:rsidR="00BF55E3">
              <w:t>retail</w:t>
            </w:r>
            <w:r w:rsidR="00BF55E3">
              <w:noBreakHyphen/>
              <w:t>facing sub</w:t>
            </w:r>
            <w:r w:rsidR="00BF55E3">
              <w:noBreakHyphen/>
              <w:t xml:space="preserve">sectors? </w:t>
            </w:r>
            <w:r w:rsidR="00833593">
              <w:t xml:space="preserve">To what extent is capacity to pay </w:t>
            </w:r>
            <w:r w:rsidR="00161D94">
              <w:t xml:space="preserve">relevant, and what is the best means of assessing this? </w:t>
            </w:r>
            <w:r w:rsidR="00BF55E3">
              <w:t xml:space="preserve">What data are available to inform this </w:t>
            </w:r>
            <w:r w:rsidR="00E5286C">
              <w:t>assessment</w:t>
            </w:r>
            <w:r w:rsidR="00BF55E3">
              <w:t>?</w:t>
            </w:r>
          </w:p>
          <w:p w14:paraId="50351E6E" w14:textId="182813C4" w:rsidR="00172BE3" w:rsidRPr="000D1284" w:rsidRDefault="00172BE3">
            <w:pPr>
              <w:pStyle w:val="BoxText"/>
              <w:ind w:left="482" w:hanging="357"/>
            </w:pPr>
            <w:r>
              <w:t>1</w:t>
            </w:r>
            <w:r w:rsidR="000C7869">
              <w:t>5</w:t>
            </w:r>
            <w:r>
              <w:t>.</w:t>
            </w:r>
            <w:r>
              <w:tab/>
            </w:r>
            <w:r w:rsidR="00F505FE">
              <w:t>Are the data and methodologies used by Treasury in calculating illustrative estimates</w:t>
            </w:r>
            <w:r w:rsidR="008B70E5">
              <w:t xml:space="preserve"> of these options</w:t>
            </w:r>
            <w:r w:rsidR="009D4070">
              <w:t xml:space="preserve"> reliable and appropriate?</w:t>
            </w:r>
            <w:r w:rsidR="00082C3E">
              <w:t xml:space="preserve"> What alternative approaches exist?</w:t>
            </w:r>
          </w:p>
        </w:tc>
      </w:tr>
    </w:tbl>
    <w:p w14:paraId="20CA85C2" w14:textId="22674925" w:rsidR="00103E10" w:rsidRDefault="00F51EC1" w:rsidP="00F51EC1">
      <w:pPr>
        <w:pStyle w:val="Heading3"/>
      </w:pPr>
      <w:bookmarkStart w:id="21" w:name="_Toc202542343"/>
      <w:r>
        <w:t>Options outside the current legislative framework</w:t>
      </w:r>
      <w:bookmarkEnd w:id="21"/>
    </w:p>
    <w:p w14:paraId="0BC1EB6F" w14:textId="0EF71694" w:rsidR="003B17CC" w:rsidRDefault="00B10A6A" w:rsidP="00F63C09">
      <w:pPr>
        <w:pStyle w:val="OutlineNumbered1"/>
      </w:pPr>
      <w:r>
        <w:t xml:space="preserve">While the </w:t>
      </w:r>
      <w:r w:rsidR="00A943B8">
        <w:t xml:space="preserve">excess </w:t>
      </w:r>
      <w:r w:rsidR="00F44E90">
        <w:t xml:space="preserve">costs </w:t>
      </w:r>
      <w:r w:rsidR="00A943B8">
        <w:t xml:space="preserve">for the </w:t>
      </w:r>
      <w:r w:rsidR="49772E8E">
        <w:t>2025-26</w:t>
      </w:r>
      <w:r w:rsidR="00A943B8">
        <w:t xml:space="preserve"> </w:t>
      </w:r>
      <w:r w:rsidR="0035161D">
        <w:t xml:space="preserve">financial year will be dealt with using the existing legislative framework, </w:t>
      </w:r>
      <w:r w:rsidR="004F563B">
        <w:t xml:space="preserve">in the context of the </w:t>
      </w:r>
      <w:r w:rsidR="180C0130">
        <w:t>post-</w:t>
      </w:r>
      <w:r w:rsidR="004F563B">
        <w:t xml:space="preserve">implementation review, </w:t>
      </w:r>
      <w:r w:rsidR="0035161D">
        <w:t xml:space="preserve">Treasury invites </w:t>
      </w:r>
      <w:r w:rsidR="000273DF">
        <w:t xml:space="preserve">stakeholder </w:t>
      </w:r>
      <w:r w:rsidR="0035161D">
        <w:t xml:space="preserve">views </w:t>
      </w:r>
      <w:r w:rsidR="000273DF">
        <w:t xml:space="preserve">on whether </w:t>
      </w:r>
      <w:r w:rsidR="00DF6F4D">
        <w:t xml:space="preserve">alternative options exist that could be </w:t>
      </w:r>
      <w:r w:rsidR="00037FAB">
        <w:t>considered by Government</w:t>
      </w:r>
      <w:r w:rsidR="00B42C6F">
        <w:t>.</w:t>
      </w:r>
    </w:p>
    <w:p w14:paraId="5D08CD56" w14:textId="523F2250" w:rsidR="005B5705" w:rsidRDefault="00010D11" w:rsidP="00F63C09">
      <w:pPr>
        <w:pStyle w:val="OutlineNumbered1"/>
      </w:pPr>
      <w:r>
        <w:t xml:space="preserve">For example, </w:t>
      </w:r>
      <w:r w:rsidR="00C30B2F">
        <w:t xml:space="preserve">if options </w:t>
      </w:r>
      <w:r w:rsidR="00F44E90">
        <w:t>to spread the excess costs across ‘retail-facing sub</w:t>
      </w:r>
      <w:r w:rsidR="00F44E90">
        <w:noBreakHyphen/>
        <w:t xml:space="preserve">sectors’ are appropriate, then an appropriate metric for apportioning a special levy may be the number of retail clients </w:t>
      </w:r>
      <w:r w:rsidR="005638DC">
        <w:t xml:space="preserve">served by each </w:t>
      </w:r>
      <w:r w:rsidR="007F1B02">
        <w:t>sub</w:t>
      </w:r>
      <w:r w:rsidR="007F1B02">
        <w:noBreakHyphen/>
        <w:t xml:space="preserve">sector. </w:t>
      </w:r>
      <w:r w:rsidR="00763FD5">
        <w:t xml:space="preserve">This would </w:t>
      </w:r>
      <w:r w:rsidR="007E5BD4">
        <w:t>ensure sub</w:t>
      </w:r>
      <w:r w:rsidR="007E5BD4">
        <w:noBreakHyphen/>
        <w:t xml:space="preserve">sectors with </w:t>
      </w:r>
      <w:r w:rsidR="00101F8B">
        <w:t>more exposure to retail clients</w:t>
      </w:r>
      <w:r w:rsidR="00153364">
        <w:t xml:space="preserve"> bear more of the cost. </w:t>
      </w:r>
      <w:r w:rsidR="009E48D8">
        <w:t xml:space="preserve">Entities do not </w:t>
      </w:r>
      <w:r w:rsidR="00C12325">
        <w:t xml:space="preserve">currently </w:t>
      </w:r>
      <w:r w:rsidR="009E48D8">
        <w:t xml:space="preserve">report to ASIC on the number of retail </w:t>
      </w:r>
      <w:r w:rsidR="00025C83">
        <w:t>clients they</w:t>
      </w:r>
      <w:r w:rsidR="00C12325">
        <w:t xml:space="preserve"> have (or had during a reporting year)</w:t>
      </w:r>
      <w:r w:rsidR="00A42905">
        <w:t xml:space="preserve"> and no reliable alternative estimates of these numbers exists. </w:t>
      </w:r>
      <w:r w:rsidR="000D16C6">
        <w:t>However, if</w:t>
      </w:r>
      <w:r w:rsidR="00F461CF">
        <w:t xml:space="preserve"> entit</w:t>
      </w:r>
      <w:r w:rsidR="00B00614">
        <w:t xml:space="preserve">ies </w:t>
      </w:r>
      <w:r w:rsidR="00DF4F83">
        <w:t>in retail</w:t>
      </w:r>
      <w:r w:rsidR="00DF4F83">
        <w:noBreakHyphen/>
        <w:t>facing sub</w:t>
      </w:r>
      <w:r w:rsidR="00DF4F83">
        <w:noBreakHyphen/>
        <w:t>sectors were required to report to ASIC the</w:t>
      </w:r>
      <w:r w:rsidR="007F1B01">
        <w:t xml:space="preserve"> number of retail clients with whom they had dealings</w:t>
      </w:r>
      <w:r w:rsidR="002E39BF">
        <w:t xml:space="preserve"> each financial year</w:t>
      </w:r>
      <w:r w:rsidR="007F1B01">
        <w:t xml:space="preserve">, </w:t>
      </w:r>
      <w:r w:rsidR="002E39BF">
        <w:t>this could be used to</w:t>
      </w:r>
      <w:r w:rsidR="005E1953">
        <w:t xml:space="preserve"> apportion</w:t>
      </w:r>
      <w:r w:rsidR="007C4D56">
        <w:t xml:space="preserve"> a special levy.</w:t>
      </w:r>
    </w:p>
    <w:p w14:paraId="68B6ED12" w14:textId="3829DDF8" w:rsidR="0043123C" w:rsidRDefault="00DB316E" w:rsidP="00F63C09">
      <w:pPr>
        <w:pStyle w:val="OutlineNumbered1"/>
      </w:pPr>
      <w:r>
        <w:lastRenderedPageBreak/>
        <w:t xml:space="preserve">Alternatively, an option </w:t>
      </w:r>
      <w:r w:rsidR="00BC3832">
        <w:t>like the p</w:t>
      </w:r>
      <w:r w:rsidR="0043123C">
        <w:t>re-CSLR</w:t>
      </w:r>
      <w:r>
        <w:t xml:space="preserve"> </w:t>
      </w:r>
      <w:r w:rsidR="00CB3911">
        <w:t xml:space="preserve">levy could also be made available for future levy periods subject to legislative amendment. </w:t>
      </w:r>
      <w:r w:rsidR="000B44B3">
        <w:t xml:space="preserve">That is, </w:t>
      </w:r>
      <w:r w:rsidR="00AE625C">
        <w:t xml:space="preserve">the law could be changed to </w:t>
      </w:r>
      <w:r w:rsidR="00DF1EC6">
        <w:t xml:space="preserve">allow for a special levy to be levied on the ten (or some other number) </w:t>
      </w:r>
      <w:r w:rsidR="00E82446">
        <w:t>highest</w:t>
      </w:r>
      <w:r w:rsidR="00E82446">
        <w:noBreakHyphen/>
        <w:t>income APRA-regulated</w:t>
      </w:r>
      <w:r w:rsidR="0068489B">
        <w:t xml:space="preserve"> </w:t>
      </w:r>
      <w:r w:rsidR="00814BF9">
        <w:t>entities</w:t>
      </w:r>
      <w:r w:rsidR="00853710">
        <w:t xml:space="preserve"> (other than health insurers, consistently with the pre</w:t>
      </w:r>
      <w:r w:rsidR="00853710">
        <w:noBreakHyphen/>
        <w:t>CSLR levy)</w:t>
      </w:r>
      <w:r w:rsidR="00814BF9">
        <w:t>, calculated by reference to data collected and published by the ATO.</w:t>
      </w:r>
    </w:p>
    <w:p w14:paraId="049B37E7" w14:textId="77777777" w:rsidR="00814BF9" w:rsidRDefault="00814BF9" w:rsidP="00814BF9">
      <w:pPr>
        <w:spacing w:before="0" w:after="0"/>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814BF9" w14:paraId="63F02C7F" w14:textId="77777777" w:rsidTr="000A7ED0">
        <w:tc>
          <w:tcPr>
            <w:tcW w:w="5000" w:type="pct"/>
            <w:shd w:val="clear" w:color="auto" w:fill="EEEEEE" w:themeFill="background2"/>
          </w:tcPr>
          <w:p w14:paraId="51BC5DED" w14:textId="496FF970" w:rsidR="00814BF9" w:rsidRDefault="00814BF9" w:rsidP="00791C05">
            <w:pPr>
              <w:pStyle w:val="BoxHeading"/>
              <w:spacing w:before="0"/>
            </w:pPr>
            <w:r>
              <w:t>Question</w:t>
            </w:r>
          </w:p>
          <w:p w14:paraId="4189F105" w14:textId="548AFD0D" w:rsidR="00814BF9" w:rsidRPr="000D1284" w:rsidRDefault="006713ED" w:rsidP="00814BF9">
            <w:pPr>
              <w:pStyle w:val="BoxText"/>
              <w:ind w:left="482" w:hanging="357"/>
            </w:pPr>
            <w:r>
              <w:t>1</w:t>
            </w:r>
            <w:r w:rsidR="000C7869">
              <w:t>6</w:t>
            </w:r>
            <w:r w:rsidR="00814BF9">
              <w:t>.</w:t>
            </w:r>
            <w:r w:rsidR="00814BF9">
              <w:tab/>
              <w:t xml:space="preserve">Are there options outside the current legislative </w:t>
            </w:r>
            <w:r w:rsidR="0070285C">
              <w:t xml:space="preserve">framework that </w:t>
            </w:r>
            <w:r w:rsidR="003450DF">
              <w:t xml:space="preserve">may be a more effective way of </w:t>
            </w:r>
            <w:r w:rsidR="009B6CD5">
              <w:t>dealing with excess cost estimates in future</w:t>
            </w:r>
            <w:r w:rsidR="00814BF9">
              <w:t>?</w:t>
            </w:r>
          </w:p>
        </w:tc>
      </w:tr>
    </w:tbl>
    <w:p w14:paraId="634EF7E2" w14:textId="55AF456C" w:rsidR="00082FC2" w:rsidRDefault="00C15579" w:rsidP="00C15579">
      <w:pPr>
        <w:pStyle w:val="Heading2"/>
      </w:pPr>
      <w:bookmarkStart w:id="22" w:name="_Toc202542344"/>
      <w:r>
        <w:t>Next steps</w:t>
      </w:r>
      <w:bookmarkEnd w:id="22"/>
    </w:p>
    <w:p w14:paraId="0E5B3752" w14:textId="4ED26ACE" w:rsidR="00432051" w:rsidRDefault="00DE6472" w:rsidP="00F63C09">
      <w:pPr>
        <w:pStyle w:val="OutlineNumbered1"/>
      </w:pPr>
      <w:r>
        <w:t xml:space="preserve">Timely responses to this </w:t>
      </w:r>
      <w:r w:rsidR="0062194E">
        <w:t xml:space="preserve">consultation paper will </w:t>
      </w:r>
      <w:r w:rsidR="00E34AC3">
        <w:t xml:space="preserve">inform consideration of the </w:t>
      </w:r>
      <w:r w:rsidR="0034415E">
        <w:t xml:space="preserve">CSLR operator’s notification of </w:t>
      </w:r>
      <w:r w:rsidR="006C27B5">
        <w:t>a revised costs estimate that exceeds the financial</w:t>
      </w:r>
      <w:r w:rsidR="00BC0194">
        <w:t xml:space="preserve"> adviser sub</w:t>
      </w:r>
      <w:r w:rsidR="009E6043">
        <w:noBreakHyphen/>
      </w:r>
      <w:r w:rsidR="00BC0194">
        <w:t xml:space="preserve">sector cap. </w:t>
      </w:r>
      <w:r w:rsidR="004B6456">
        <w:t xml:space="preserve">They will also inform </w:t>
      </w:r>
      <w:r w:rsidR="00432051">
        <w:t xml:space="preserve">Treasury’s consideration of matters within the terms of reference of the </w:t>
      </w:r>
      <w:r w:rsidR="180C0130">
        <w:t>post-</w:t>
      </w:r>
      <w:r w:rsidR="00432051">
        <w:t>implementation review.</w:t>
      </w:r>
    </w:p>
    <w:p w14:paraId="5250F5A6" w14:textId="1B728A53" w:rsidR="00B41BE7" w:rsidRDefault="00743B86" w:rsidP="00950006">
      <w:pPr>
        <w:pStyle w:val="OutlineNumbered1"/>
      </w:pPr>
      <w:r>
        <w:t xml:space="preserve">Whether or not to </w:t>
      </w:r>
      <w:proofErr w:type="gramStart"/>
      <w:r>
        <w:t>make a determination</w:t>
      </w:r>
      <w:proofErr w:type="gramEnd"/>
      <w:r>
        <w:t xml:space="preserve"> under section 1069H is a matter for the Minister. If the Minister were minded </w:t>
      </w:r>
      <w:proofErr w:type="gramStart"/>
      <w:r>
        <w:t>to make</w:t>
      </w:r>
      <w:proofErr w:type="gramEnd"/>
      <w:r>
        <w:t xml:space="preserve"> a determination, there is no </w:t>
      </w:r>
      <w:r w:rsidR="002C3C8A">
        <w:t>statutory timeframe for such a decision (other than that it cannot be made before the Minister is notified of the excess).</w:t>
      </w:r>
      <w:r w:rsidR="00B51F3E">
        <w:t xml:space="preserve"> </w:t>
      </w:r>
      <w:r w:rsidR="00B41BE7">
        <w:t xml:space="preserve">Were the Minister to decide to </w:t>
      </w:r>
      <w:r w:rsidR="007A614F">
        <w:t>require a special levy, that decision would be given legal effect by means of a legislative instrument.</w:t>
      </w:r>
    </w:p>
    <w:p w14:paraId="47432728" w14:textId="77777777" w:rsidR="00CB0486" w:rsidRDefault="00CB0486" w:rsidP="00675922">
      <w:pPr>
        <w:sectPr w:rsidR="00CB0486" w:rsidSect="002C2082">
          <w:headerReference w:type="even" r:id="rId22"/>
          <w:headerReference w:type="default" r:id="rId23"/>
          <w:footerReference w:type="even" r:id="rId24"/>
          <w:footerReference w:type="default" r:id="rId25"/>
          <w:headerReference w:type="first" r:id="rId26"/>
          <w:footerReference w:type="first" r:id="rId27"/>
          <w:pgSz w:w="11906" w:h="16838" w:code="9"/>
          <w:pgMar w:top="1843" w:right="1418" w:bottom="1418" w:left="1418" w:header="709" w:footer="709" w:gutter="0"/>
          <w:pgNumType w:start="1"/>
          <w:cols w:space="708"/>
          <w:docGrid w:linePitch="360"/>
        </w:sectPr>
      </w:pPr>
    </w:p>
    <w:p w14:paraId="0398E5E0" w14:textId="1357B178" w:rsidR="00CB0486" w:rsidRDefault="00CB0486" w:rsidP="00CB0486">
      <w:pPr>
        <w:pStyle w:val="Heading1"/>
      </w:pPr>
      <w:bookmarkStart w:id="23" w:name="_Toc202542345"/>
      <w:r>
        <w:lastRenderedPageBreak/>
        <w:t>Appendix</w:t>
      </w:r>
      <w:r w:rsidR="00AC5C5F">
        <w:t xml:space="preserve"> A</w:t>
      </w:r>
      <w:r>
        <w:t>: ASIC IFM sub-sectors</w:t>
      </w:r>
      <w:bookmarkEnd w:id="23"/>
    </w:p>
    <w:tbl>
      <w:tblPr>
        <w:tblW w:w="4918" w:type="pct"/>
        <w:tblLook w:val="01E0" w:firstRow="1" w:lastRow="1" w:firstColumn="1" w:lastColumn="1" w:noHBand="0" w:noVBand="0"/>
      </w:tblPr>
      <w:tblGrid>
        <w:gridCol w:w="2807"/>
        <w:gridCol w:w="1026"/>
        <w:gridCol w:w="1482"/>
        <w:gridCol w:w="839"/>
        <w:gridCol w:w="1442"/>
        <w:gridCol w:w="1536"/>
        <w:gridCol w:w="1351"/>
        <w:gridCol w:w="1442"/>
        <w:gridCol w:w="1429"/>
      </w:tblGrid>
      <w:tr w:rsidR="00C72FED" w:rsidRPr="00605EF6" w14:paraId="78BD8129" w14:textId="5C5A7CA1" w:rsidTr="000A7ED0">
        <w:trPr>
          <w:cantSplit/>
          <w:trHeight w:val="270"/>
          <w:tblHeader/>
        </w:trPr>
        <w:tc>
          <w:tcPr>
            <w:tcW w:w="1051" w:type="pct"/>
            <w:shd w:val="clear" w:color="auto" w:fill="E5E5E5"/>
            <w:vAlign w:val="center"/>
          </w:tcPr>
          <w:p w14:paraId="73DBBEA1" w14:textId="61FFA485" w:rsidR="003876AE" w:rsidRPr="00605EF6" w:rsidRDefault="003876AE" w:rsidP="00F56CDE">
            <w:pPr>
              <w:pStyle w:val="TableTextLeft"/>
              <w:keepNext/>
              <w:rPr>
                <w:b/>
                <w:bCs/>
              </w:rPr>
            </w:pPr>
            <w:r w:rsidRPr="00605EF6">
              <w:rPr>
                <w:b/>
                <w:bCs/>
              </w:rPr>
              <w:t>Sub</w:t>
            </w:r>
            <w:r w:rsidR="00E4451B">
              <w:rPr>
                <w:b/>
                <w:bCs/>
              </w:rPr>
              <w:t>-</w:t>
            </w:r>
            <w:r w:rsidRPr="00605EF6">
              <w:rPr>
                <w:b/>
                <w:bCs/>
              </w:rPr>
              <w:t>sector</w:t>
            </w:r>
          </w:p>
        </w:tc>
        <w:tc>
          <w:tcPr>
            <w:tcW w:w="384" w:type="pct"/>
            <w:shd w:val="clear" w:color="auto" w:fill="E5E5E5"/>
            <w:vAlign w:val="center"/>
          </w:tcPr>
          <w:p w14:paraId="502D2DBC" w14:textId="7DBFBA93" w:rsidR="003876AE" w:rsidRPr="00605EF6" w:rsidRDefault="003876AE" w:rsidP="00F56CDE">
            <w:pPr>
              <w:pStyle w:val="TableTextLeft"/>
              <w:keepNext/>
              <w:rPr>
                <w:b/>
                <w:bCs/>
              </w:rPr>
            </w:pPr>
            <w:r w:rsidRPr="00605EF6">
              <w:rPr>
                <w:b/>
                <w:bCs/>
              </w:rPr>
              <w:t>Number of entities</w:t>
            </w:r>
            <w:r w:rsidR="00E839E9">
              <w:rPr>
                <w:rStyle w:val="FootnoteReference"/>
                <w:b/>
                <w:bCs/>
              </w:rPr>
              <w:footnoteReference w:id="2"/>
            </w:r>
          </w:p>
        </w:tc>
        <w:tc>
          <w:tcPr>
            <w:tcW w:w="555" w:type="pct"/>
            <w:shd w:val="clear" w:color="auto" w:fill="E5E5E5"/>
            <w:vAlign w:val="center"/>
          </w:tcPr>
          <w:p w14:paraId="704059E3" w14:textId="02CDB4C8" w:rsidR="003876AE" w:rsidRPr="00605EF6" w:rsidRDefault="009E2207" w:rsidP="00F56CDE">
            <w:pPr>
              <w:pStyle w:val="TableTextLeft"/>
              <w:keepNext/>
              <w:rPr>
                <w:b/>
                <w:bCs/>
              </w:rPr>
            </w:pPr>
            <w:r>
              <w:rPr>
                <w:b/>
                <w:bCs/>
              </w:rPr>
              <w:t>CSLR levy liable entities</w:t>
            </w:r>
            <w:r w:rsidR="00154DA8">
              <w:rPr>
                <w:rStyle w:val="FootnoteReference"/>
                <w:b/>
                <w:bCs/>
              </w:rPr>
              <w:footnoteReference w:id="3"/>
            </w:r>
            <w:r w:rsidR="00E60589">
              <w:rPr>
                <w:b/>
                <w:bCs/>
              </w:rPr>
              <w:t xml:space="preserve"> (A)</w:t>
            </w:r>
          </w:p>
        </w:tc>
        <w:tc>
          <w:tcPr>
            <w:tcW w:w="314" w:type="pct"/>
            <w:shd w:val="clear" w:color="auto" w:fill="E5E5E5"/>
            <w:vAlign w:val="center"/>
          </w:tcPr>
          <w:p w14:paraId="5A588E92" w14:textId="4F521B06" w:rsidR="003876AE" w:rsidRPr="00605EF6" w:rsidRDefault="003876AE" w:rsidP="00F56CDE">
            <w:pPr>
              <w:pStyle w:val="TableTextLeft"/>
              <w:keepNext/>
              <w:rPr>
                <w:b/>
                <w:bCs/>
              </w:rPr>
            </w:pPr>
            <w:r>
              <w:rPr>
                <w:b/>
                <w:bCs/>
              </w:rPr>
              <w:t>‘R</w:t>
            </w:r>
            <w:bookmarkStart w:id="24" w:name="_Ref201225093"/>
            <w:r>
              <w:rPr>
                <w:b/>
                <w:bCs/>
              </w:rPr>
              <w:t>e</w:t>
            </w:r>
            <w:bookmarkEnd w:id="24"/>
            <w:r>
              <w:rPr>
                <w:b/>
                <w:bCs/>
              </w:rPr>
              <w:t>tail-facing’?</w:t>
            </w:r>
            <w:r w:rsidR="00154DA8">
              <w:rPr>
                <w:rStyle w:val="FootnoteReference"/>
                <w:b/>
                <w:bCs/>
              </w:rPr>
              <w:footnoteReference w:id="4"/>
            </w:r>
          </w:p>
        </w:tc>
        <w:tc>
          <w:tcPr>
            <w:tcW w:w="540" w:type="pct"/>
            <w:shd w:val="clear" w:color="auto" w:fill="E5E5E5"/>
            <w:vAlign w:val="center"/>
          </w:tcPr>
          <w:p w14:paraId="6FC55C70" w14:textId="219B1513" w:rsidR="003876AE" w:rsidRPr="00605EF6" w:rsidRDefault="003876AE" w:rsidP="00F56CDE">
            <w:pPr>
              <w:pStyle w:val="TableTextLeft"/>
              <w:keepNext/>
              <w:rPr>
                <w:b/>
                <w:bCs/>
              </w:rPr>
            </w:pPr>
            <w:r w:rsidRPr="00605EF6">
              <w:rPr>
                <w:b/>
                <w:bCs/>
              </w:rPr>
              <w:t>Average revenue</w:t>
            </w:r>
            <w:r w:rsidR="00A042E1">
              <w:rPr>
                <w:rStyle w:val="FootnoteReference"/>
                <w:b/>
                <w:bCs/>
              </w:rPr>
              <w:footnoteReference w:id="5"/>
            </w:r>
            <w:r w:rsidR="0038683E">
              <w:rPr>
                <w:b/>
                <w:bCs/>
              </w:rPr>
              <w:t xml:space="preserve"> </w:t>
            </w:r>
            <w:r w:rsidR="000B2925">
              <w:rPr>
                <w:b/>
                <w:bCs/>
              </w:rPr>
              <w:t xml:space="preserve">($000s) </w:t>
            </w:r>
            <w:r w:rsidR="0038683E">
              <w:rPr>
                <w:b/>
                <w:bCs/>
              </w:rPr>
              <w:t>(B)</w:t>
            </w:r>
          </w:p>
        </w:tc>
        <w:tc>
          <w:tcPr>
            <w:tcW w:w="575" w:type="pct"/>
            <w:shd w:val="clear" w:color="auto" w:fill="E5E5E5"/>
            <w:vAlign w:val="center"/>
          </w:tcPr>
          <w:p w14:paraId="380C02DE" w14:textId="64245922" w:rsidR="0038683E" w:rsidRPr="00605EF6" w:rsidRDefault="00F3731C" w:rsidP="00F56CDE">
            <w:pPr>
              <w:pStyle w:val="TableTextLeft"/>
              <w:keepNext/>
              <w:rPr>
                <w:b/>
                <w:bCs/>
              </w:rPr>
            </w:pPr>
            <w:r>
              <w:rPr>
                <w:b/>
                <w:bCs/>
              </w:rPr>
              <w:t>(A) x (B)</w:t>
            </w:r>
            <w:r w:rsidR="008F198D">
              <w:rPr>
                <w:rStyle w:val="FootnoteReference"/>
                <w:b/>
                <w:bCs/>
              </w:rPr>
              <w:footnoteReference w:id="6"/>
            </w:r>
          </w:p>
        </w:tc>
        <w:tc>
          <w:tcPr>
            <w:tcW w:w="506" w:type="pct"/>
            <w:shd w:val="clear" w:color="auto" w:fill="E5E5E5"/>
            <w:vAlign w:val="center"/>
          </w:tcPr>
          <w:p w14:paraId="01782203" w14:textId="0A65DFBC" w:rsidR="003876AE" w:rsidRPr="00605EF6" w:rsidRDefault="003876AE" w:rsidP="00F56CDE">
            <w:pPr>
              <w:pStyle w:val="TableTextLeft"/>
              <w:keepNext/>
              <w:rPr>
                <w:b/>
                <w:bCs/>
              </w:rPr>
            </w:pPr>
            <w:r w:rsidRPr="00605EF6">
              <w:rPr>
                <w:b/>
                <w:bCs/>
              </w:rPr>
              <w:t>Average profit</w:t>
            </w:r>
            <w:r w:rsidR="00A042E1">
              <w:rPr>
                <w:rStyle w:val="FootnoteReference"/>
                <w:b/>
                <w:bCs/>
              </w:rPr>
              <w:footnoteReference w:id="7"/>
            </w:r>
            <w:r w:rsidR="0038683E">
              <w:rPr>
                <w:b/>
                <w:bCs/>
              </w:rPr>
              <w:t xml:space="preserve"> </w:t>
            </w:r>
            <w:r w:rsidR="006B5E95">
              <w:rPr>
                <w:b/>
                <w:bCs/>
              </w:rPr>
              <w:t xml:space="preserve">($000s) </w:t>
            </w:r>
            <w:r w:rsidR="0038683E">
              <w:rPr>
                <w:b/>
                <w:bCs/>
              </w:rPr>
              <w:t>(C)</w:t>
            </w:r>
          </w:p>
        </w:tc>
        <w:tc>
          <w:tcPr>
            <w:tcW w:w="540" w:type="pct"/>
            <w:shd w:val="clear" w:color="auto" w:fill="E5E5E5"/>
            <w:vAlign w:val="center"/>
          </w:tcPr>
          <w:p w14:paraId="74DDCB05" w14:textId="235AAD36" w:rsidR="00BE2490" w:rsidRDefault="00BE2490" w:rsidP="00F56CDE">
            <w:pPr>
              <w:pStyle w:val="TableTextLeft"/>
              <w:keepNext/>
              <w:rPr>
                <w:b/>
                <w:bCs/>
              </w:rPr>
            </w:pPr>
            <w:r>
              <w:rPr>
                <w:b/>
                <w:bCs/>
              </w:rPr>
              <w:t>(A) x (C)</w:t>
            </w:r>
            <w:r w:rsidR="00B42767">
              <w:rPr>
                <w:rStyle w:val="FootnoteReference"/>
                <w:b/>
                <w:bCs/>
              </w:rPr>
              <w:footnoteReference w:id="8"/>
            </w:r>
          </w:p>
        </w:tc>
        <w:tc>
          <w:tcPr>
            <w:tcW w:w="535" w:type="pct"/>
            <w:shd w:val="clear" w:color="auto" w:fill="E5E5E5"/>
            <w:vAlign w:val="center"/>
          </w:tcPr>
          <w:p w14:paraId="166C2294" w14:textId="2AB20E91" w:rsidR="003876AE" w:rsidRPr="00605EF6" w:rsidRDefault="003876AE" w:rsidP="00F56CDE">
            <w:pPr>
              <w:pStyle w:val="TableTextLeft"/>
              <w:keepNext/>
              <w:rPr>
                <w:b/>
                <w:bCs/>
              </w:rPr>
            </w:pPr>
            <w:r>
              <w:rPr>
                <w:b/>
                <w:bCs/>
              </w:rPr>
              <w:t>ASIC</w:t>
            </w:r>
            <w:r w:rsidRPr="00605EF6">
              <w:rPr>
                <w:b/>
                <w:bCs/>
              </w:rPr>
              <w:t xml:space="preserve"> regulatory </w:t>
            </w:r>
            <w:r w:rsidR="0040363B">
              <w:rPr>
                <w:b/>
                <w:bCs/>
              </w:rPr>
              <w:t>costs</w:t>
            </w:r>
            <w:r w:rsidR="00A042E1">
              <w:rPr>
                <w:rStyle w:val="FootnoteReference"/>
                <w:b/>
                <w:bCs/>
              </w:rPr>
              <w:footnoteReference w:id="9"/>
            </w:r>
            <w:r w:rsidR="00817481">
              <w:rPr>
                <w:b/>
                <w:bCs/>
              </w:rPr>
              <w:t xml:space="preserve"> ($000s)</w:t>
            </w:r>
          </w:p>
        </w:tc>
      </w:tr>
      <w:tr w:rsidR="003876AE" w:rsidRPr="007B2931" w14:paraId="1B86F678" w14:textId="2DD917AF" w:rsidTr="000A7ED0">
        <w:trPr>
          <w:cantSplit/>
          <w:trHeight w:val="270"/>
        </w:trPr>
        <w:tc>
          <w:tcPr>
            <w:tcW w:w="5000" w:type="pct"/>
            <w:gridSpan w:val="9"/>
            <w:shd w:val="clear" w:color="auto" w:fill="F2F2F2" w:themeFill="background1" w:themeFillShade="F2"/>
          </w:tcPr>
          <w:p w14:paraId="7C6E6F75" w14:textId="6FBEA4A7" w:rsidR="003876AE" w:rsidRPr="007B2931" w:rsidRDefault="003876AE" w:rsidP="00F56CDE">
            <w:pPr>
              <w:pStyle w:val="TableTextLeft"/>
              <w:keepNext/>
              <w:rPr>
                <w:b/>
                <w:bCs/>
              </w:rPr>
            </w:pPr>
            <w:r w:rsidRPr="007B2931">
              <w:rPr>
                <w:b/>
                <w:bCs/>
              </w:rPr>
              <w:t>Corporate sector</w:t>
            </w:r>
          </w:p>
        </w:tc>
      </w:tr>
      <w:tr w:rsidR="0036384F" w14:paraId="468EFB4F" w14:textId="77777777" w:rsidTr="000A7ED0">
        <w:trPr>
          <w:cantSplit/>
          <w:trHeight w:val="270"/>
        </w:trPr>
        <w:tc>
          <w:tcPr>
            <w:tcW w:w="1051" w:type="pct"/>
          </w:tcPr>
          <w:p w14:paraId="233A9B84" w14:textId="0BA8E35D" w:rsidR="003876AE" w:rsidRDefault="003876AE" w:rsidP="00CF07B7">
            <w:pPr>
              <w:pStyle w:val="TableTextLeft"/>
            </w:pPr>
            <w:r>
              <w:t>Listed corporations</w:t>
            </w:r>
          </w:p>
        </w:tc>
        <w:tc>
          <w:tcPr>
            <w:tcW w:w="384" w:type="pct"/>
          </w:tcPr>
          <w:p w14:paraId="1A6CDFA3" w14:textId="221D90B6" w:rsidR="003876AE" w:rsidRDefault="006706E7" w:rsidP="006706E7">
            <w:pPr>
              <w:pStyle w:val="TableTextLeft"/>
            </w:pPr>
            <w:r>
              <w:t>2,097</w:t>
            </w:r>
          </w:p>
        </w:tc>
        <w:tc>
          <w:tcPr>
            <w:tcW w:w="555" w:type="pct"/>
          </w:tcPr>
          <w:p w14:paraId="5DCC2B08" w14:textId="438C660A" w:rsidR="003876AE" w:rsidRDefault="005618C7" w:rsidP="005618C7">
            <w:pPr>
              <w:pStyle w:val="TableTextLeft"/>
            </w:pPr>
            <w:r>
              <w:t>22</w:t>
            </w:r>
          </w:p>
        </w:tc>
        <w:tc>
          <w:tcPr>
            <w:tcW w:w="314" w:type="pct"/>
          </w:tcPr>
          <w:p w14:paraId="62A91837" w14:textId="21E40380" w:rsidR="003876AE" w:rsidRDefault="00DF35C2">
            <w:pPr>
              <w:pStyle w:val="TableTextLeft"/>
            </w:pPr>
            <w:r>
              <w:t>N</w:t>
            </w:r>
          </w:p>
        </w:tc>
        <w:tc>
          <w:tcPr>
            <w:tcW w:w="540" w:type="pct"/>
          </w:tcPr>
          <w:p w14:paraId="7C9BC24C" w14:textId="2914A9F2" w:rsidR="003876AE" w:rsidRDefault="00F048AD">
            <w:pPr>
              <w:pStyle w:val="TableTextLeft"/>
            </w:pPr>
            <w:r>
              <w:t>N/A</w:t>
            </w:r>
          </w:p>
        </w:tc>
        <w:tc>
          <w:tcPr>
            <w:tcW w:w="575" w:type="pct"/>
          </w:tcPr>
          <w:p w14:paraId="3C4BD832" w14:textId="7C57E595" w:rsidR="0038683E" w:rsidRDefault="008F198D">
            <w:pPr>
              <w:pStyle w:val="TableTextLeft"/>
            </w:pPr>
            <w:r w:rsidRPr="00DA6E00">
              <w:t>N/A</w:t>
            </w:r>
          </w:p>
        </w:tc>
        <w:tc>
          <w:tcPr>
            <w:tcW w:w="506" w:type="pct"/>
          </w:tcPr>
          <w:p w14:paraId="7E79C921" w14:textId="37AE84EF" w:rsidR="003876AE" w:rsidRDefault="00F048AD">
            <w:pPr>
              <w:pStyle w:val="TableTextLeft"/>
            </w:pPr>
            <w:r>
              <w:t>N/A</w:t>
            </w:r>
          </w:p>
        </w:tc>
        <w:tc>
          <w:tcPr>
            <w:tcW w:w="540" w:type="pct"/>
          </w:tcPr>
          <w:p w14:paraId="6D2B01EF" w14:textId="2A437598" w:rsidR="00BE2490" w:rsidRDefault="008F198D">
            <w:pPr>
              <w:pStyle w:val="TableTextLeft"/>
            </w:pPr>
            <w:r w:rsidRPr="00CA571E">
              <w:t>N/A</w:t>
            </w:r>
          </w:p>
        </w:tc>
        <w:tc>
          <w:tcPr>
            <w:tcW w:w="535" w:type="pct"/>
          </w:tcPr>
          <w:p w14:paraId="2125EA01" w14:textId="49012FBA" w:rsidR="003876AE" w:rsidRDefault="00E415EC">
            <w:pPr>
              <w:pStyle w:val="TableTextLeft"/>
            </w:pPr>
            <w:r>
              <w:t>N/A</w:t>
            </w:r>
          </w:p>
        </w:tc>
      </w:tr>
      <w:tr w:rsidR="0036384F" w14:paraId="0F674E73" w14:textId="77777777" w:rsidTr="000A7ED0">
        <w:trPr>
          <w:cantSplit/>
          <w:trHeight w:val="270"/>
        </w:trPr>
        <w:tc>
          <w:tcPr>
            <w:tcW w:w="1051" w:type="pct"/>
          </w:tcPr>
          <w:p w14:paraId="31E08884" w14:textId="6A825CBE" w:rsidR="003876AE" w:rsidRDefault="003876AE" w:rsidP="00CF07B7">
            <w:pPr>
              <w:pStyle w:val="TableTextLeft"/>
            </w:pPr>
            <w:r>
              <w:t xml:space="preserve">Unlisted public companies </w:t>
            </w:r>
          </w:p>
        </w:tc>
        <w:tc>
          <w:tcPr>
            <w:tcW w:w="384" w:type="pct"/>
          </w:tcPr>
          <w:p w14:paraId="0DE207D9" w14:textId="125D5AFE" w:rsidR="003876AE" w:rsidRDefault="006706E7" w:rsidP="006706E7">
            <w:pPr>
              <w:pStyle w:val="TableTextLeft"/>
            </w:pPr>
            <w:r>
              <w:t>14,725</w:t>
            </w:r>
          </w:p>
        </w:tc>
        <w:tc>
          <w:tcPr>
            <w:tcW w:w="555" w:type="pct"/>
          </w:tcPr>
          <w:p w14:paraId="3353C5C8" w14:textId="5564569A" w:rsidR="003876AE" w:rsidRDefault="005618C7" w:rsidP="005618C7">
            <w:pPr>
              <w:pStyle w:val="TableTextLeft"/>
            </w:pPr>
            <w:r>
              <w:t>763</w:t>
            </w:r>
          </w:p>
        </w:tc>
        <w:tc>
          <w:tcPr>
            <w:tcW w:w="314" w:type="pct"/>
          </w:tcPr>
          <w:p w14:paraId="405396C2" w14:textId="0FFF733E" w:rsidR="003876AE" w:rsidRDefault="00DF35C2">
            <w:pPr>
              <w:pStyle w:val="TableTextLeft"/>
            </w:pPr>
            <w:r>
              <w:t>N</w:t>
            </w:r>
          </w:p>
        </w:tc>
        <w:tc>
          <w:tcPr>
            <w:tcW w:w="540" w:type="pct"/>
          </w:tcPr>
          <w:p w14:paraId="2FD75B1B" w14:textId="00459739" w:rsidR="003876AE" w:rsidRDefault="00F048AD">
            <w:pPr>
              <w:pStyle w:val="TableTextLeft"/>
            </w:pPr>
            <w:r>
              <w:t>N/A</w:t>
            </w:r>
          </w:p>
        </w:tc>
        <w:tc>
          <w:tcPr>
            <w:tcW w:w="575" w:type="pct"/>
          </w:tcPr>
          <w:p w14:paraId="03674B75" w14:textId="530F8209" w:rsidR="0038683E" w:rsidRDefault="008F198D">
            <w:pPr>
              <w:pStyle w:val="TableTextLeft"/>
            </w:pPr>
            <w:r w:rsidRPr="00DA6E00">
              <w:t>N/A</w:t>
            </w:r>
          </w:p>
        </w:tc>
        <w:tc>
          <w:tcPr>
            <w:tcW w:w="506" w:type="pct"/>
          </w:tcPr>
          <w:p w14:paraId="73CEDF4A" w14:textId="7D2AF543" w:rsidR="003876AE" w:rsidRDefault="00F048AD">
            <w:pPr>
              <w:pStyle w:val="TableTextLeft"/>
            </w:pPr>
            <w:r>
              <w:t>N/A</w:t>
            </w:r>
          </w:p>
        </w:tc>
        <w:tc>
          <w:tcPr>
            <w:tcW w:w="540" w:type="pct"/>
          </w:tcPr>
          <w:p w14:paraId="5B49FB09" w14:textId="79030C40" w:rsidR="00BE2490" w:rsidRDefault="008F198D">
            <w:pPr>
              <w:pStyle w:val="TableTextLeft"/>
            </w:pPr>
            <w:r w:rsidRPr="00CA571E">
              <w:t>N/A</w:t>
            </w:r>
          </w:p>
        </w:tc>
        <w:tc>
          <w:tcPr>
            <w:tcW w:w="535" w:type="pct"/>
          </w:tcPr>
          <w:p w14:paraId="62591AD5" w14:textId="748E7920" w:rsidR="003876AE" w:rsidRDefault="00E415EC">
            <w:pPr>
              <w:pStyle w:val="TableTextLeft"/>
            </w:pPr>
            <w:r>
              <w:t>N/A</w:t>
            </w:r>
          </w:p>
        </w:tc>
      </w:tr>
      <w:tr w:rsidR="0036384F" w14:paraId="4F3F7645" w14:textId="77777777" w:rsidTr="000A7ED0">
        <w:trPr>
          <w:cantSplit/>
          <w:trHeight w:val="270"/>
        </w:trPr>
        <w:tc>
          <w:tcPr>
            <w:tcW w:w="1051" w:type="pct"/>
          </w:tcPr>
          <w:p w14:paraId="3EE09402" w14:textId="77F8F5CD" w:rsidR="003876AE" w:rsidRDefault="003876AE" w:rsidP="00CF07B7">
            <w:pPr>
              <w:pStyle w:val="TableTextLeft"/>
            </w:pPr>
            <w:r>
              <w:t xml:space="preserve">Large proprietary companies </w:t>
            </w:r>
          </w:p>
        </w:tc>
        <w:tc>
          <w:tcPr>
            <w:tcW w:w="384" w:type="pct"/>
          </w:tcPr>
          <w:p w14:paraId="489ADBF4" w14:textId="51EB6CDD" w:rsidR="003876AE" w:rsidRDefault="006706E7" w:rsidP="006706E7">
            <w:pPr>
              <w:pStyle w:val="TableTextLeft"/>
            </w:pPr>
            <w:r>
              <w:t>11,377</w:t>
            </w:r>
          </w:p>
        </w:tc>
        <w:tc>
          <w:tcPr>
            <w:tcW w:w="555" w:type="pct"/>
          </w:tcPr>
          <w:p w14:paraId="77F50790" w14:textId="7E5ABFCD" w:rsidR="003876AE" w:rsidRDefault="005618C7" w:rsidP="005618C7">
            <w:pPr>
              <w:pStyle w:val="TableTextLeft"/>
            </w:pPr>
            <w:r>
              <w:t>174</w:t>
            </w:r>
          </w:p>
        </w:tc>
        <w:tc>
          <w:tcPr>
            <w:tcW w:w="314" w:type="pct"/>
          </w:tcPr>
          <w:p w14:paraId="55025320" w14:textId="32E3E238" w:rsidR="003876AE" w:rsidRDefault="00DF35C2">
            <w:pPr>
              <w:pStyle w:val="TableTextLeft"/>
            </w:pPr>
            <w:r>
              <w:t>N</w:t>
            </w:r>
          </w:p>
        </w:tc>
        <w:tc>
          <w:tcPr>
            <w:tcW w:w="540" w:type="pct"/>
          </w:tcPr>
          <w:p w14:paraId="0E301D0C" w14:textId="35E2C60A" w:rsidR="003876AE" w:rsidRDefault="00F048AD">
            <w:pPr>
              <w:pStyle w:val="TableTextLeft"/>
            </w:pPr>
            <w:r>
              <w:t>N/A</w:t>
            </w:r>
          </w:p>
        </w:tc>
        <w:tc>
          <w:tcPr>
            <w:tcW w:w="575" w:type="pct"/>
          </w:tcPr>
          <w:p w14:paraId="508CC0FE" w14:textId="14FC6552" w:rsidR="0038683E" w:rsidRDefault="008F198D">
            <w:pPr>
              <w:pStyle w:val="TableTextLeft"/>
            </w:pPr>
            <w:r w:rsidRPr="00DA6E00">
              <w:t>N/A</w:t>
            </w:r>
          </w:p>
        </w:tc>
        <w:tc>
          <w:tcPr>
            <w:tcW w:w="506" w:type="pct"/>
          </w:tcPr>
          <w:p w14:paraId="66D7010A" w14:textId="6E84EEA9" w:rsidR="003876AE" w:rsidRDefault="00F048AD">
            <w:pPr>
              <w:pStyle w:val="TableTextLeft"/>
            </w:pPr>
            <w:r>
              <w:t>N/A</w:t>
            </w:r>
          </w:p>
        </w:tc>
        <w:tc>
          <w:tcPr>
            <w:tcW w:w="540" w:type="pct"/>
          </w:tcPr>
          <w:p w14:paraId="286436D0" w14:textId="04F9F0C2" w:rsidR="00BE2490" w:rsidRDefault="008F198D">
            <w:pPr>
              <w:pStyle w:val="TableTextLeft"/>
            </w:pPr>
            <w:r w:rsidRPr="00CA571E">
              <w:t>N/A</w:t>
            </w:r>
          </w:p>
        </w:tc>
        <w:tc>
          <w:tcPr>
            <w:tcW w:w="535" w:type="pct"/>
          </w:tcPr>
          <w:p w14:paraId="614FD8DD" w14:textId="3DE92334" w:rsidR="003876AE" w:rsidRDefault="00E415EC">
            <w:pPr>
              <w:pStyle w:val="TableTextLeft"/>
            </w:pPr>
            <w:r>
              <w:t>N/A</w:t>
            </w:r>
          </w:p>
        </w:tc>
      </w:tr>
      <w:tr w:rsidR="0036384F" w14:paraId="7AB5817B" w14:textId="77777777" w:rsidTr="000A7ED0">
        <w:trPr>
          <w:cantSplit/>
          <w:trHeight w:val="270"/>
        </w:trPr>
        <w:tc>
          <w:tcPr>
            <w:tcW w:w="1051" w:type="pct"/>
          </w:tcPr>
          <w:p w14:paraId="7EA0B7CC" w14:textId="624629F3" w:rsidR="003876AE" w:rsidRDefault="003876AE" w:rsidP="00CF07B7">
            <w:pPr>
              <w:pStyle w:val="TableTextLeft"/>
            </w:pPr>
            <w:r>
              <w:t xml:space="preserve">Auditors of disclosing entities </w:t>
            </w:r>
          </w:p>
        </w:tc>
        <w:tc>
          <w:tcPr>
            <w:tcW w:w="384" w:type="pct"/>
          </w:tcPr>
          <w:p w14:paraId="76B80238" w14:textId="71E799F4" w:rsidR="003876AE" w:rsidRDefault="006706E7" w:rsidP="006706E7">
            <w:pPr>
              <w:pStyle w:val="TableTextLeft"/>
            </w:pPr>
            <w:r>
              <w:t>121</w:t>
            </w:r>
          </w:p>
        </w:tc>
        <w:tc>
          <w:tcPr>
            <w:tcW w:w="555" w:type="pct"/>
          </w:tcPr>
          <w:p w14:paraId="0C3A1AF4" w14:textId="6EE9E205" w:rsidR="003876AE" w:rsidRDefault="005618C7" w:rsidP="005618C7">
            <w:pPr>
              <w:pStyle w:val="TableTextLeft"/>
            </w:pPr>
            <w:r>
              <w:t>1</w:t>
            </w:r>
          </w:p>
        </w:tc>
        <w:tc>
          <w:tcPr>
            <w:tcW w:w="314" w:type="pct"/>
          </w:tcPr>
          <w:p w14:paraId="69B562A9" w14:textId="542B4482" w:rsidR="003876AE" w:rsidRDefault="00DF35C2">
            <w:pPr>
              <w:pStyle w:val="TableTextLeft"/>
            </w:pPr>
            <w:r>
              <w:t>N</w:t>
            </w:r>
          </w:p>
        </w:tc>
        <w:tc>
          <w:tcPr>
            <w:tcW w:w="540" w:type="pct"/>
          </w:tcPr>
          <w:p w14:paraId="2C28B8D1" w14:textId="5CB1223B" w:rsidR="003876AE" w:rsidRDefault="00F048AD">
            <w:pPr>
              <w:pStyle w:val="TableTextLeft"/>
            </w:pPr>
            <w:r>
              <w:t>N/A</w:t>
            </w:r>
          </w:p>
        </w:tc>
        <w:tc>
          <w:tcPr>
            <w:tcW w:w="575" w:type="pct"/>
          </w:tcPr>
          <w:p w14:paraId="58A1569C" w14:textId="31C7AA4B" w:rsidR="0038683E" w:rsidRDefault="008F198D">
            <w:pPr>
              <w:pStyle w:val="TableTextLeft"/>
            </w:pPr>
            <w:r w:rsidRPr="00DA6E00">
              <w:t>N/A</w:t>
            </w:r>
          </w:p>
        </w:tc>
        <w:tc>
          <w:tcPr>
            <w:tcW w:w="506" w:type="pct"/>
          </w:tcPr>
          <w:p w14:paraId="3146E9EA" w14:textId="0ACAEFCD" w:rsidR="003876AE" w:rsidRDefault="00F048AD">
            <w:pPr>
              <w:pStyle w:val="TableTextLeft"/>
            </w:pPr>
            <w:r>
              <w:t>N/A</w:t>
            </w:r>
          </w:p>
        </w:tc>
        <w:tc>
          <w:tcPr>
            <w:tcW w:w="540" w:type="pct"/>
          </w:tcPr>
          <w:p w14:paraId="74E0FB52" w14:textId="0395FF8C" w:rsidR="00BE2490" w:rsidRDefault="008F198D">
            <w:pPr>
              <w:pStyle w:val="TableTextLeft"/>
            </w:pPr>
            <w:r w:rsidRPr="00CA571E">
              <w:t>N/A</w:t>
            </w:r>
          </w:p>
        </w:tc>
        <w:tc>
          <w:tcPr>
            <w:tcW w:w="535" w:type="pct"/>
          </w:tcPr>
          <w:p w14:paraId="0888947F" w14:textId="34D5E73E" w:rsidR="003876AE" w:rsidRDefault="00E415EC">
            <w:pPr>
              <w:pStyle w:val="TableTextLeft"/>
            </w:pPr>
            <w:r>
              <w:t>N/A</w:t>
            </w:r>
          </w:p>
        </w:tc>
      </w:tr>
      <w:tr w:rsidR="0036384F" w14:paraId="4B357D43" w14:textId="77777777" w:rsidTr="000A7ED0">
        <w:trPr>
          <w:cantSplit/>
          <w:trHeight w:val="270"/>
        </w:trPr>
        <w:tc>
          <w:tcPr>
            <w:tcW w:w="1051" w:type="pct"/>
          </w:tcPr>
          <w:p w14:paraId="1396895F" w14:textId="67288898" w:rsidR="003876AE" w:rsidRDefault="003876AE" w:rsidP="007B2931">
            <w:pPr>
              <w:pStyle w:val="TableTextLeft"/>
            </w:pPr>
            <w:r>
              <w:t xml:space="preserve">Registered company auditors </w:t>
            </w:r>
          </w:p>
        </w:tc>
        <w:tc>
          <w:tcPr>
            <w:tcW w:w="384" w:type="pct"/>
          </w:tcPr>
          <w:p w14:paraId="1120C360" w14:textId="24E1CEAA" w:rsidR="003876AE" w:rsidRDefault="006706E7" w:rsidP="006706E7">
            <w:pPr>
              <w:pStyle w:val="TableTextLeft"/>
            </w:pPr>
            <w:r>
              <w:t>3,177</w:t>
            </w:r>
          </w:p>
        </w:tc>
        <w:tc>
          <w:tcPr>
            <w:tcW w:w="555" w:type="pct"/>
          </w:tcPr>
          <w:p w14:paraId="30F406C1" w14:textId="740B73A7" w:rsidR="003876AE" w:rsidRDefault="005618C7" w:rsidP="005618C7">
            <w:pPr>
              <w:pStyle w:val="TableTextLeft"/>
            </w:pPr>
            <w:r>
              <w:t>3</w:t>
            </w:r>
          </w:p>
        </w:tc>
        <w:tc>
          <w:tcPr>
            <w:tcW w:w="314" w:type="pct"/>
          </w:tcPr>
          <w:p w14:paraId="7BC680F3" w14:textId="275AF98C" w:rsidR="003876AE" w:rsidRDefault="00DF35C2">
            <w:pPr>
              <w:pStyle w:val="TableTextLeft"/>
            </w:pPr>
            <w:r>
              <w:t>N</w:t>
            </w:r>
          </w:p>
        </w:tc>
        <w:tc>
          <w:tcPr>
            <w:tcW w:w="540" w:type="pct"/>
          </w:tcPr>
          <w:p w14:paraId="1CB3DB87" w14:textId="46B48CA7" w:rsidR="003876AE" w:rsidRDefault="00F048AD">
            <w:pPr>
              <w:pStyle w:val="TableTextLeft"/>
            </w:pPr>
            <w:r>
              <w:t>N/A</w:t>
            </w:r>
          </w:p>
        </w:tc>
        <w:tc>
          <w:tcPr>
            <w:tcW w:w="575" w:type="pct"/>
          </w:tcPr>
          <w:p w14:paraId="72748C26" w14:textId="53DCDF3A" w:rsidR="0038683E" w:rsidRDefault="008F198D">
            <w:pPr>
              <w:pStyle w:val="TableTextLeft"/>
            </w:pPr>
            <w:r w:rsidRPr="00DA6E00">
              <w:t>N/A</w:t>
            </w:r>
          </w:p>
        </w:tc>
        <w:tc>
          <w:tcPr>
            <w:tcW w:w="506" w:type="pct"/>
          </w:tcPr>
          <w:p w14:paraId="3AF99379" w14:textId="34220204" w:rsidR="003876AE" w:rsidRDefault="00F048AD">
            <w:pPr>
              <w:pStyle w:val="TableTextLeft"/>
            </w:pPr>
            <w:r>
              <w:t>N/A</w:t>
            </w:r>
          </w:p>
        </w:tc>
        <w:tc>
          <w:tcPr>
            <w:tcW w:w="540" w:type="pct"/>
          </w:tcPr>
          <w:p w14:paraId="3F0602E0" w14:textId="2C7952C3" w:rsidR="00BE2490" w:rsidRDefault="008F198D">
            <w:pPr>
              <w:pStyle w:val="TableTextLeft"/>
            </w:pPr>
            <w:r w:rsidRPr="00CA571E">
              <w:t>N/A</w:t>
            </w:r>
          </w:p>
        </w:tc>
        <w:tc>
          <w:tcPr>
            <w:tcW w:w="535" w:type="pct"/>
          </w:tcPr>
          <w:p w14:paraId="139B6319" w14:textId="03ABDC14" w:rsidR="003876AE" w:rsidRDefault="00E415EC">
            <w:pPr>
              <w:pStyle w:val="TableTextLeft"/>
            </w:pPr>
            <w:r>
              <w:t>N/A</w:t>
            </w:r>
          </w:p>
        </w:tc>
      </w:tr>
      <w:tr w:rsidR="0036384F" w14:paraId="1A4DDAA7" w14:textId="77777777" w:rsidTr="000A7ED0">
        <w:trPr>
          <w:cantSplit/>
          <w:trHeight w:val="270"/>
        </w:trPr>
        <w:tc>
          <w:tcPr>
            <w:tcW w:w="1051" w:type="pct"/>
          </w:tcPr>
          <w:p w14:paraId="7F4776C2" w14:textId="390CAF45" w:rsidR="003876AE" w:rsidRDefault="003876AE" w:rsidP="00CF07B7">
            <w:pPr>
              <w:pStyle w:val="TableTextLeft"/>
            </w:pPr>
            <w:r>
              <w:t>Registered liquidators</w:t>
            </w:r>
          </w:p>
        </w:tc>
        <w:tc>
          <w:tcPr>
            <w:tcW w:w="384" w:type="pct"/>
          </w:tcPr>
          <w:p w14:paraId="73A3DB19" w14:textId="7EA42E52" w:rsidR="003876AE" w:rsidRDefault="006706E7">
            <w:pPr>
              <w:pStyle w:val="TableTextLeft"/>
            </w:pPr>
            <w:r>
              <w:t>671</w:t>
            </w:r>
          </w:p>
        </w:tc>
        <w:tc>
          <w:tcPr>
            <w:tcW w:w="555" w:type="pct"/>
          </w:tcPr>
          <w:p w14:paraId="70193A33" w14:textId="34F72D18" w:rsidR="003876AE" w:rsidRDefault="005618C7">
            <w:pPr>
              <w:pStyle w:val="TableTextLeft"/>
            </w:pPr>
            <w:r>
              <w:t>0</w:t>
            </w:r>
          </w:p>
        </w:tc>
        <w:tc>
          <w:tcPr>
            <w:tcW w:w="314" w:type="pct"/>
          </w:tcPr>
          <w:p w14:paraId="78049449" w14:textId="1B1BCA25" w:rsidR="003876AE" w:rsidRDefault="00DF35C2">
            <w:pPr>
              <w:pStyle w:val="TableTextLeft"/>
            </w:pPr>
            <w:r>
              <w:t>N</w:t>
            </w:r>
          </w:p>
        </w:tc>
        <w:tc>
          <w:tcPr>
            <w:tcW w:w="540" w:type="pct"/>
          </w:tcPr>
          <w:p w14:paraId="12DABAEE" w14:textId="210B4E78" w:rsidR="003876AE" w:rsidRDefault="00F048AD">
            <w:pPr>
              <w:pStyle w:val="TableTextLeft"/>
            </w:pPr>
            <w:r>
              <w:t>N/A</w:t>
            </w:r>
          </w:p>
        </w:tc>
        <w:tc>
          <w:tcPr>
            <w:tcW w:w="575" w:type="pct"/>
          </w:tcPr>
          <w:p w14:paraId="6F4DB2CF" w14:textId="5B6CA80F" w:rsidR="0038683E" w:rsidRDefault="008F198D">
            <w:pPr>
              <w:pStyle w:val="TableTextLeft"/>
            </w:pPr>
            <w:r w:rsidRPr="00DA6E00">
              <w:t>N/A</w:t>
            </w:r>
          </w:p>
        </w:tc>
        <w:tc>
          <w:tcPr>
            <w:tcW w:w="506" w:type="pct"/>
          </w:tcPr>
          <w:p w14:paraId="6C41EE70" w14:textId="6BED115E" w:rsidR="003876AE" w:rsidRDefault="00F048AD">
            <w:pPr>
              <w:pStyle w:val="TableTextLeft"/>
            </w:pPr>
            <w:r>
              <w:t>N/A</w:t>
            </w:r>
          </w:p>
        </w:tc>
        <w:tc>
          <w:tcPr>
            <w:tcW w:w="540" w:type="pct"/>
          </w:tcPr>
          <w:p w14:paraId="4D456F4C" w14:textId="4568BF75" w:rsidR="00BE2490" w:rsidRDefault="008F198D">
            <w:pPr>
              <w:pStyle w:val="TableTextLeft"/>
            </w:pPr>
            <w:r w:rsidRPr="00CA571E">
              <w:t>N/A</w:t>
            </w:r>
          </w:p>
        </w:tc>
        <w:tc>
          <w:tcPr>
            <w:tcW w:w="535" w:type="pct"/>
          </w:tcPr>
          <w:p w14:paraId="38651E72" w14:textId="034706B2" w:rsidR="003876AE" w:rsidRDefault="00E415EC">
            <w:pPr>
              <w:pStyle w:val="TableTextLeft"/>
            </w:pPr>
            <w:r>
              <w:t>N/A</w:t>
            </w:r>
          </w:p>
        </w:tc>
      </w:tr>
      <w:tr w:rsidR="003876AE" w:rsidRPr="000D6872" w14:paraId="6DBCBD9E" w14:textId="77777777" w:rsidTr="000A7ED0">
        <w:trPr>
          <w:cantSplit/>
          <w:trHeight w:val="270"/>
        </w:trPr>
        <w:tc>
          <w:tcPr>
            <w:tcW w:w="5000" w:type="pct"/>
            <w:gridSpan w:val="9"/>
            <w:shd w:val="clear" w:color="auto" w:fill="F2F2F2" w:themeFill="background1" w:themeFillShade="F2"/>
          </w:tcPr>
          <w:p w14:paraId="65D66A66" w14:textId="4F704A5B" w:rsidR="003876AE" w:rsidRPr="000D6872" w:rsidRDefault="003876AE" w:rsidP="00F56CDE">
            <w:pPr>
              <w:pStyle w:val="TableTextLeft"/>
              <w:keepNext/>
              <w:rPr>
                <w:b/>
                <w:bCs/>
              </w:rPr>
            </w:pPr>
            <w:r w:rsidRPr="000D6872">
              <w:rPr>
                <w:b/>
                <w:bCs/>
              </w:rPr>
              <w:t>Deposit taking and credit sector</w:t>
            </w:r>
          </w:p>
        </w:tc>
      </w:tr>
      <w:tr w:rsidR="0036384F" w14:paraId="4F473C27" w14:textId="77777777" w:rsidTr="000A7ED0">
        <w:trPr>
          <w:cantSplit/>
          <w:trHeight w:val="270"/>
        </w:trPr>
        <w:tc>
          <w:tcPr>
            <w:tcW w:w="1051" w:type="pct"/>
          </w:tcPr>
          <w:p w14:paraId="43D4F4F4" w14:textId="372388BA" w:rsidR="003876AE" w:rsidRDefault="003876AE" w:rsidP="00D438AE">
            <w:pPr>
              <w:pStyle w:val="TableTextLeft"/>
            </w:pPr>
            <w:r>
              <w:t xml:space="preserve">Credit providers </w:t>
            </w:r>
          </w:p>
        </w:tc>
        <w:tc>
          <w:tcPr>
            <w:tcW w:w="384" w:type="pct"/>
          </w:tcPr>
          <w:p w14:paraId="5BC618AB" w14:textId="67131D6B" w:rsidR="003876AE" w:rsidRDefault="000F6CC0">
            <w:pPr>
              <w:pStyle w:val="TableTextLeft"/>
            </w:pPr>
            <w:r>
              <w:t>1,013</w:t>
            </w:r>
          </w:p>
        </w:tc>
        <w:tc>
          <w:tcPr>
            <w:tcW w:w="555" w:type="pct"/>
          </w:tcPr>
          <w:p w14:paraId="59AD44C4" w14:textId="61BDD19D" w:rsidR="003876AE" w:rsidRDefault="000F6CC0">
            <w:pPr>
              <w:pStyle w:val="TableTextLeft"/>
            </w:pPr>
            <w:r>
              <w:t>1,013</w:t>
            </w:r>
          </w:p>
        </w:tc>
        <w:tc>
          <w:tcPr>
            <w:tcW w:w="314" w:type="pct"/>
          </w:tcPr>
          <w:p w14:paraId="7403211F" w14:textId="6973ECE1" w:rsidR="003876AE" w:rsidRDefault="0044526E">
            <w:pPr>
              <w:pStyle w:val="TableTextLeft"/>
            </w:pPr>
            <w:r>
              <w:t>Y</w:t>
            </w:r>
          </w:p>
        </w:tc>
        <w:tc>
          <w:tcPr>
            <w:tcW w:w="540" w:type="pct"/>
          </w:tcPr>
          <w:p w14:paraId="6733FB93" w14:textId="6D8EDA1A" w:rsidR="003876AE" w:rsidRDefault="00383EB6">
            <w:pPr>
              <w:pStyle w:val="TableTextLeft"/>
            </w:pPr>
            <w:r w:rsidRPr="00383EB6">
              <w:t>308,645</w:t>
            </w:r>
          </w:p>
        </w:tc>
        <w:tc>
          <w:tcPr>
            <w:tcW w:w="575" w:type="pct"/>
          </w:tcPr>
          <w:p w14:paraId="4CED2164" w14:textId="2C7965DF" w:rsidR="00BE2490" w:rsidRDefault="006A54FA" w:rsidP="00151AC4">
            <w:pPr>
              <w:pStyle w:val="TableTextLeft"/>
              <w:keepNext/>
              <w:spacing w:after="0"/>
            </w:pPr>
            <w:r w:rsidRPr="006A54FA">
              <w:t>312,657,473</w:t>
            </w:r>
          </w:p>
          <w:p w14:paraId="78FD0DB1" w14:textId="279F5552" w:rsidR="0038683E" w:rsidRDefault="00151AC4" w:rsidP="00151AC4">
            <w:pPr>
              <w:pStyle w:val="TableTextLeft"/>
              <w:spacing w:before="0"/>
            </w:pPr>
            <w:r>
              <w:t>(11.9%)</w:t>
            </w:r>
          </w:p>
        </w:tc>
        <w:tc>
          <w:tcPr>
            <w:tcW w:w="506" w:type="pct"/>
          </w:tcPr>
          <w:p w14:paraId="50473794" w14:textId="6022DBD2" w:rsidR="003876AE" w:rsidRDefault="00383EB6">
            <w:pPr>
              <w:pStyle w:val="TableTextLeft"/>
            </w:pPr>
            <w:r w:rsidRPr="00383EB6">
              <w:t>68,947</w:t>
            </w:r>
          </w:p>
        </w:tc>
        <w:tc>
          <w:tcPr>
            <w:tcW w:w="540" w:type="pct"/>
          </w:tcPr>
          <w:p w14:paraId="503B5F09" w14:textId="70824520" w:rsidR="00BE2490" w:rsidRDefault="00C57C3E" w:rsidP="00151AC4">
            <w:pPr>
              <w:pStyle w:val="TableTextLeft"/>
              <w:keepNext/>
              <w:spacing w:after="0"/>
            </w:pPr>
            <w:r w:rsidRPr="00C57C3E">
              <w:t>69,843,730</w:t>
            </w:r>
          </w:p>
          <w:p w14:paraId="4FEC8A0E" w14:textId="11FD4541" w:rsidR="00BE2490" w:rsidRDefault="00151AC4" w:rsidP="00151AC4">
            <w:pPr>
              <w:pStyle w:val="TableTextLeft"/>
              <w:spacing w:before="0"/>
            </w:pPr>
            <w:r>
              <w:t>(12.0%)</w:t>
            </w:r>
          </w:p>
        </w:tc>
        <w:tc>
          <w:tcPr>
            <w:tcW w:w="535" w:type="pct"/>
          </w:tcPr>
          <w:p w14:paraId="2AE2A2D1" w14:textId="502B2EC0" w:rsidR="00BE2490" w:rsidRDefault="008E48E2" w:rsidP="00A3138D">
            <w:pPr>
              <w:pStyle w:val="TableTextLeft"/>
              <w:keepNext/>
              <w:spacing w:after="0"/>
            </w:pPr>
            <w:r w:rsidRPr="008E48E2">
              <w:t>31,32</w:t>
            </w:r>
            <w:r w:rsidR="00433EB6">
              <w:t>5</w:t>
            </w:r>
          </w:p>
          <w:p w14:paraId="572C084C" w14:textId="13F6BFC1" w:rsidR="003876AE" w:rsidRDefault="00A3138D" w:rsidP="00A3138D">
            <w:pPr>
              <w:pStyle w:val="TableTextLeft"/>
              <w:spacing w:before="0"/>
            </w:pPr>
            <w:r>
              <w:t>(15.3%)</w:t>
            </w:r>
          </w:p>
        </w:tc>
      </w:tr>
      <w:tr w:rsidR="0036384F" w14:paraId="1198F8FD" w14:textId="77777777" w:rsidTr="000A7ED0">
        <w:trPr>
          <w:cantSplit/>
          <w:trHeight w:val="270"/>
        </w:trPr>
        <w:tc>
          <w:tcPr>
            <w:tcW w:w="1051" w:type="pct"/>
          </w:tcPr>
          <w:p w14:paraId="32AA05AA" w14:textId="22503628" w:rsidR="003876AE" w:rsidRDefault="003876AE" w:rsidP="00D438AE">
            <w:pPr>
              <w:pStyle w:val="TableTextLeft"/>
            </w:pPr>
            <w:r>
              <w:t>Small and medium amount credit providers</w:t>
            </w:r>
          </w:p>
        </w:tc>
        <w:tc>
          <w:tcPr>
            <w:tcW w:w="384" w:type="pct"/>
          </w:tcPr>
          <w:p w14:paraId="3FA815E9" w14:textId="32DC0978" w:rsidR="003876AE" w:rsidRDefault="00E034AB">
            <w:pPr>
              <w:pStyle w:val="TableTextLeft"/>
            </w:pPr>
            <w:r>
              <w:t>196</w:t>
            </w:r>
          </w:p>
        </w:tc>
        <w:tc>
          <w:tcPr>
            <w:tcW w:w="555" w:type="pct"/>
          </w:tcPr>
          <w:p w14:paraId="2E5D6C9A" w14:textId="19504383" w:rsidR="003876AE" w:rsidRDefault="00E034AB">
            <w:pPr>
              <w:pStyle w:val="TableTextLeft"/>
            </w:pPr>
            <w:r>
              <w:t>196</w:t>
            </w:r>
          </w:p>
        </w:tc>
        <w:tc>
          <w:tcPr>
            <w:tcW w:w="314" w:type="pct"/>
          </w:tcPr>
          <w:p w14:paraId="67C62977" w14:textId="079D7606" w:rsidR="003876AE" w:rsidRDefault="0044526E">
            <w:pPr>
              <w:pStyle w:val="TableTextLeft"/>
            </w:pPr>
            <w:r>
              <w:t>Y</w:t>
            </w:r>
          </w:p>
        </w:tc>
        <w:tc>
          <w:tcPr>
            <w:tcW w:w="540" w:type="pct"/>
          </w:tcPr>
          <w:p w14:paraId="511C2B6F" w14:textId="0B6612DA" w:rsidR="003876AE" w:rsidRDefault="00295B88">
            <w:pPr>
              <w:pStyle w:val="TableTextLeft"/>
            </w:pPr>
            <w:r w:rsidRPr="00295B88">
              <w:t>9,869</w:t>
            </w:r>
          </w:p>
        </w:tc>
        <w:tc>
          <w:tcPr>
            <w:tcW w:w="575" w:type="pct"/>
          </w:tcPr>
          <w:p w14:paraId="4C4907C1" w14:textId="000E3082" w:rsidR="00BE2490" w:rsidRDefault="0029191B" w:rsidP="00A9155C">
            <w:pPr>
              <w:pStyle w:val="TableTextLeft"/>
              <w:spacing w:after="0"/>
            </w:pPr>
            <w:r w:rsidRPr="0029191B">
              <w:t>1,934,396</w:t>
            </w:r>
          </w:p>
          <w:p w14:paraId="1915E587" w14:textId="2CD44499" w:rsidR="0038683E" w:rsidRDefault="00157F2F" w:rsidP="00A9155C">
            <w:pPr>
              <w:pStyle w:val="TableTextLeft"/>
              <w:spacing w:before="0"/>
            </w:pPr>
            <w:r>
              <w:t>(&lt;0.1%)</w:t>
            </w:r>
          </w:p>
        </w:tc>
        <w:tc>
          <w:tcPr>
            <w:tcW w:w="506" w:type="pct"/>
          </w:tcPr>
          <w:p w14:paraId="40BB12D9" w14:textId="229DF0B7" w:rsidR="003876AE" w:rsidRDefault="00B30AF4">
            <w:pPr>
              <w:pStyle w:val="TableTextLeft"/>
            </w:pPr>
            <w:r w:rsidRPr="00B30AF4">
              <w:t>26</w:t>
            </w:r>
            <w:r w:rsidR="003E5172">
              <w:t>8</w:t>
            </w:r>
          </w:p>
        </w:tc>
        <w:tc>
          <w:tcPr>
            <w:tcW w:w="540" w:type="pct"/>
          </w:tcPr>
          <w:p w14:paraId="4B8AB1EB" w14:textId="1DC16F66" w:rsidR="00BE2490" w:rsidRDefault="00AE45E8" w:rsidP="00200994">
            <w:pPr>
              <w:pStyle w:val="TableTextLeft"/>
              <w:keepNext/>
              <w:spacing w:after="0"/>
            </w:pPr>
            <w:r w:rsidRPr="00AE45E8">
              <w:t>52,432</w:t>
            </w:r>
          </w:p>
          <w:p w14:paraId="09637B47" w14:textId="20285341" w:rsidR="00BE2490" w:rsidRDefault="00200994" w:rsidP="00200994">
            <w:pPr>
              <w:pStyle w:val="TableTextLeft"/>
              <w:spacing w:before="0"/>
            </w:pPr>
            <w:r>
              <w:t>(</w:t>
            </w:r>
            <w:r w:rsidR="006B0B8F">
              <w:t>&lt;</w:t>
            </w:r>
            <w:r>
              <w:t>0.</w:t>
            </w:r>
            <w:r w:rsidR="006B0B8F">
              <w:t>1</w:t>
            </w:r>
            <w:r>
              <w:t>%)</w:t>
            </w:r>
          </w:p>
        </w:tc>
        <w:tc>
          <w:tcPr>
            <w:tcW w:w="535" w:type="pct"/>
          </w:tcPr>
          <w:p w14:paraId="2B8495CB" w14:textId="4DF6A1ED" w:rsidR="00BE2490" w:rsidRDefault="00B32343" w:rsidP="00D77A58">
            <w:pPr>
              <w:pStyle w:val="TableTextLeft"/>
              <w:keepNext/>
              <w:spacing w:after="0"/>
            </w:pPr>
            <w:r w:rsidRPr="00B32343">
              <w:t>7,103</w:t>
            </w:r>
          </w:p>
          <w:p w14:paraId="63CEDA48" w14:textId="7E85DBA6" w:rsidR="003876AE" w:rsidRDefault="00D77A58" w:rsidP="00D77A58">
            <w:pPr>
              <w:pStyle w:val="TableTextLeft"/>
              <w:spacing w:before="0"/>
            </w:pPr>
            <w:r>
              <w:t>(3.5%)</w:t>
            </w:r>
          </w:p>
        </w:tc>
      </w:tr>
      <w:tr w:rsidR="0036384F" w14:paraId="56A9DFD3" w14:textId="77777777" w:rsidTr="000A7ED0">
        <w:trPr>
          <w:cantSplit/>
          <w:trHeight w:val="270"/>
        </w:trPr>
        <w:tc>
          <w:tcPr>
            <w:tcW w:w="1051" w:type="pct"/>
          </w:tcPr>
          <w:p w14:paraId="65498442" w14:textId="3E5DA5F9" w:rsidR="003876AE" w:rsidRDefault="003876AE" w:rsidP="00D438AE">
            <w:pPr>
              <w:pStyle w:val="TableTextLeft"/>
            </w:pPr>
            <w:r>
              <w:lastRenderedPageBreak/>
              <w:t>Credit intermediaries</w:t>
            </w:r>
          </w:p>
        </w:tc>
        <w:tc>
          <w:tcPr>
            <w:tcW w:w="384" w:type="pct"/>
          </w:tcPr>
          <w:p w14:paraId="5063D196" w14:textId="366B5B37" w:rsidR="003876AE" w:rsidRDefault="000F6CC0" w:rsidP="000F6CC0">
            <w:pPr>
              <w:pStyle w:val="TableTextLeft"/>
            </w:pPr>
            <w:r>
              <w:t>4,137</w:t>
            </w:r>
          </w:p>
        </w:tc>
        <w:tc>
          <w:tcPr>
            <w:tcW w:w="555" w:type="pct"/>
          </w:tcPr>
          <w:p w14:paraId="206C39C4" w14:textId="596E126B" w:rsidR="003876AE" w:rsidRDefault="00AC303D" w:rsidP="00AC303D">
            <w:pPr>
              <w:pStyle w:val="TableTextLeft"/>
            </w:pPr>
            <w:r>
              <w:t>4,137</w:t>
            </w:r>
          </w:p>
        </w:tc>
        <w:tc>
          <w:tcPr>
            <w:tcW w:w="314" w:type="pct"/>
          </w:tcPr>
          <w:p w14:paraId="0B46DE3E" w14:textId="2D32CDB0" w:rsidR="003876AE" w:rsidRDefault="0044526E">
            <w:pPr>
              <w:pStyle w:val="TableTextLeft"/>
            </w:pPr>
            <w:r>
              <w:t>Y</w:t>
            </w:r>
          </w:p>
        </w:tc>
        <w:tc>
          <w:tcPr>
            <w:tcW w:w="540" w:type="pct"/>
          </w:tcPr>
          <w:p w14:paraId="72F0D89C" w14:textId="6C8C92CE" w:rsidR="003876AE" w:rsidRDefault="00A262EE">
            <w:pPr>
              <w:pStyle w:val="TableTextLeft"/>
            </w:pPr>
            <w:r w:rsidRPr="00A262EE">
              <w:t>43,312</w:t>
            </w:r>
          </w:p>
        </w:tc>
        <w:tc>
          <w:tcPr>
            <w:tcW w:w="575" w:type="pct"/>
          </w:tcPr>
          <w:p w14:paraId="586F9D5D" w14:textId="7726C2AE" w:rsidR="00BE2490" w:rsidRDefault="00DE2006" w:rsidP="00946AAC">
            <w:pPr>
              <w:pStyle w:val="TableTextLeft"/>
              <w:keepNext/>
              <w:spacing w:after="0"/>
            </w:pPr>
            <w:r w:rsidRPr="00DE2006">
              <w:t>179,180,75</w:t>
            </w:r>
            <w:r w:rsidR="00433EB6">
              <w:t>9</w:t>
            </w:r>
          </w:p>
          <w:p w14:paraId="4525D764" w14:textId="46E423C7" w:rsidR="0038683E" w:rsidRDefault="006716F2" w:rsidP="00946AAC">
            <w:pPr>
              <w:pStyle w:val="TableTextLeft"/>
              <w:spacing w:before="0"/>
            </w:pPr>
            <w:r>
              <w:t>(</w:t>
            </w:r>
            <w:r w:rsidR="00B248F3">
              <w:t>6.8%)</w:t>
            </w:r>
          </w:p>
        </w:tc>
        <w:tc>
          <w:tcPr>
            <w:tcW w:w="506" w:type="pct"/>
          </w:tcPr>
          <w:p w14:paraId="1CB2D2A8" w14:textId="697AFC4E" w:rsidR="003876AE" w:rsidRDefault="009A3D5B">
            <w:pPr>
              <w:pStyle w:val="TableTextLeft"/>
            </w:pPr>
            <w:r w:rsidRPr="009A3D5B">
              <w:t>9,43</w:t>
            </w:r>
            <w:r w:rsidR="00BD6924">
              <w:t>4</w:t>
            </w:r>
          </w:p>
        </w:tc>
        <w:tc>
          <w:tcPr>
            <w:tcW w:w="540" w:type="pct"/>
          </w:tcPr>
          <w:p w14:paraId="7392BBA9" w14:textId="42558892" w:rsidR="00BE2490" w:rsidRDefault="008A022F" w:rsidP="00946AAC">
            <w:pPr>
              <w:pStyle w:val="TableTextLeft"/>
              <w:keepNext/>
              <w:spacing w:after="0"/>
            </w:pPr>
            <w:r w:rsidRPr="008A022F">
              <w:t>39,027,842</w:t>
            </w:r>
          </w:p>
          <w:p w14:paraId="1723BE4B" w14:textId="765E951F" w:rsidR="00BE2490" w:rsidRDefault="00B248F3" w:rsidP="00946AAC">
            <w:pPr>
              <w:pStyle w:val="TableTextLeft"/>
              <w:spacing w:before="0"/>
            </w:pPr>
            <w:r>
              <w:t>(</w:t>
            </w:r>
            <w:r w:rsidR="00946AAC">
              <w:t>6.7%)</w:t>
            </w:r>
          </w:p>
        </w:tc>
        <w:tc>
          <w:tcPr>
            <w:tcW w:w="535" w:type="pct"/>
          </w:tcPr>
          <w:p w14:paraId="7F74ED0A" w14:textId="6F3FE53D" w:rsidR="00BE2490" w:rsidRDefault="00F07D7B" w:rsidP="00A3138D">
            <w:pPr>
              <w:pStyle w:val="TableTextLeft"/>
              <w:keepNext/>
              <w:spacing w:after="0"/>
            </w:pPr>
            <w:r w:rsidRPr="00F07D7B">
              <w:t>2,89</w:t>
            </w:r>
            <w:r w:rsidR="00433EB6">
              <w:t>2</w:t>
            </w:r>
          </w:p>
          <w:p w14:paraId="134845C9" w14:textId="6BC9AE3A" w:rsidR="003876AE" w:rsidRDefault="00A3138D" w:rsidP="00A3138D">
            <w:pPr>
              <w:pStyle w:val="TableTextLeft"/>
              <w:spacing w:before="0"/>
            </w:pPr>
            <w:r>
              <w:t>(1.4%)</w:t>
            </w:r>
          </w:p>
        </w:tc>
      </w:tr>
      <w:tr w:rsidR="0036384F" w14:paraId="078F0C3D" w14:textId="77777777" w:rsidTr="000A7ED0">
        <w:trPr>
          <w:cantSplit/>
          <w:trHeight w:val="270"/>
        </w:trPr>
        <w:tc>
          <w:tcPr>
            <w:tcW w:w="1051" w:type="pct"/>
          </w:tcPr>
          <w:p w14:paraId="01A4399C" w14:textId="3A2631D2" w:rsidR="003876AE" w:rsidRDefault="003876AE" w:rsidP="00D438AE">
            <w:pPr>
              <w:pStyle w:val="TableTextLeft"/>
            </w:pPr>
            <w:r>
              <w:t>Deposit product providers</w:t>
            </w:r>
          </w:p>
        </w:tc>
        <w:tc>
          <w:tcPr>
            <w:tcW w:w="384" w:type="pct"/>
          </w:tcPr>
          <w:p w14:paraId="1442BAD7" w14:textId="42D60E25" w:rsidR="003876AE" w:rsidRDefault="000F6CC0" w:rsidP="000F6CC0">
            <w:pPr>
              <w:pStyle w:val="TableTextLeft"/>
            </w:pPr>
            <w:r>
              <w:t>178</w:t>
            </w:r>
          </w:p>
        </w:tc>
        <w:tc>
          <w:tcPr>
            <w:tcW w:w="555" w:type="pct"/>
          </w:tcPr>
          <w:p w14:paraId="5F06812D" w14:textId="64BC510B" w:rsidR="003876AE" w:rsidRDefault="00AC303D" w:rsidP="00AC303D">
            <w:pPr>
              <w:pStyle w:val="TableTextLeft"/>
            </w:pPr>
            <w:r>
              <w:t>135</w:t>
            </w:r>
          </w:p>
        </w:tc>
        <w:tc>
          <w:tcPr>
            <w:tcW w:w="314" w:type="pct"/>
          </w:tcPr>
          <w:p w14:paraId="052BFA21" w14:textId="54D0444E" w:rsidR="003876AE" w:rsidRDefault="0044526E">
            <w:pPr>
              <w:pStyle w:val="TableTextLeft"/>
            </w:pPr>
            <w:r>
              <w:t>Y</w:t>
            </w:r>
          </w:p>
        </w:tc>
        <w:tc>
          <w:tcPr>
            <w:tcW w:w="540" w:type="pct"/>
          </w:tcPr>
          <w:p w14:paraId="17969419" w14:textId="41B119F4" w:rsidR="003876AE" w:rsidRDefault="008C75E2">
            <w:pPr>
              <w:pStyle w:val="TableTextLeft"/>
            </w:pPr>
            <w:r w:rsidRPr="008C75E2">
              <w:t>1,530,482</w:t>
            </w:r>
          </w:p>
        </w:tc>
        <w:tc>
          <w:tcPr>
            <w:tcW w:w="575" w:type="pct"/>
          </w:tcPr>
          <w:p w14:paraId="55699FD9" w14:textId="41B25CA4" w:rsidR="00BE2490" w:rsidRDefault="00100BBE" w:rsidP="00551CDC">
            <w:pPr>
              <w:pStyle w:val="TableTextLeft"/>
              <w:keepNext/>
              <w:spacing w:after="0"/>
            </w:pPr>
            <w:r w:rsidRPr="00100BBE">
              <w:t>206,615,114</w:t>
            </w:r>
          </w:p>
          <w:p w14:paraId="5CB4BBB0" w14:textId="33C2982A" w:rsidR="0038683E" w:rsidRDefault="005E2FE5" w:rsidP="00551CDC">
            <w:pPr>
              <w:pStyle w:val="TableTextLeft"/>
              <w:spacing w:before="0"/>
            </w:pPr>
            <w:r>
              <w:t>(</w:t>
            </w:r>
            <w:r w:rsidR="00551CDC">
              <w:t>7.8%)</w:t>
            </w:r>
          </w:p>
        </w:tc>
        <w:tc>
          <w:tcPr>
            <w:tcW w:w="506" w:type="pct"/>
          </w:tcPr>
          <w:p w14:paraId="06BC3EBB" w14:textId="02C63CE8" w:rsidR="003876AE" w:rsidRDefault="00B61486">
            <w:pPr>
              <w:pStyle w:val="TableTextLeft"/>
            </w:pPr>
            <w:r w:rsidRPr="00B61486">
              <w:t>361,86</w:t>
            </w:r>
            <w:r w:rsidR="00064B39">
              <w:t>2</w:t>
            </w:r>
          </w:p>
        </w:tc>
        <w:tc>
          <w:tcPr>
            <w:tcW w:w="540" w:type="pct"/>
          </w:tcPr>
          <w:p w14:paraId="4DCDE37E" w14:textId="4A9E7AB3" w:rsidR="00BE2490" w:rsidRDefault="001D36AC" w:rsidP="00551CDC">
            <w:pPr>
              <w:pStyle w:val="TableTextLeft"/>
              <w:spacing w:after="0"/>
            </w:pPr>
            <w:r w:rsidRPr="001D36AC">
              <w:t>48,851,306</w:t>
            </w:r>
          </w:p>
          <w:p w14:paraId="19E75BB9" w14:textId="6A03726B" w:rsidR="00BE2490" w:rsidRDefault="00551CDC" w:rsidP="00551CDC">
            <w:pPr>
              <w:pStyle w:val="TableTextLeft"/>
              <w:spacing w:before="0"/>
            </w:pPr>
            <w:r>
              <w:t>(8.4%)</w:t>
            </w:r>
          </w:p>
        </w:tc>
        <w:tc>
          <w:tcPr>
            <w:tcW w:w="535" w:type="pct"/>
          </w:tcPr>
          <w:p w14:paraId="174E0E7D" w14:textId="6514FC83" w:rsidR="00BE2490" w:rsidRDefault="00846C34" w:rsidP="00204736">
            <w:pPr>
              <w:pStyle w:val="TableTextLeft"/>
              <w:keepNext/>
              <w:spacing w:after="0"/>
            </w:pPr>
            <w:r w:rsidRPr="00846C34">
              <w:t>4,355</w:t>
            </w:r>
          </w:p>
          <w:p w14:paraId="7EBF2F85" w14:textId="7417B912" w:rsidR="003876AE" w:rsidRDefault="00204736" w:rsidP="00204736">
            <w:pPr>
              <w:pStyle w:val="TableTextLeft"/>
              <w:spacing w:before="0"/>
            </w:pPr>
            <w:r>
              <w:t>(2.1%)</w:t>
            </w:r>
          </w:p>
        </w:tc>
      </w:tr>
      <w:tr w:rsidR="0036384F" w14:paraId="7806E440" w14:textId="77777777" w:rsidTr="000A7ED0">
        <w:trPr>
          <w:cantSplit/>
          <w:trHeight w:val="270"/>
        </w:trPr>
        <w:tc>
          <w:tcPr>
            <w:tcW w:w="1051" w:type="pct"/>
          </w:tcPr>
          <w:p w14:paraId="4D42EE28" w14:textId="50288B6F" w:rsidR="003876AE" w:rsidRDefault="003876AE" w:rsidP="00DA75B6">
            <w:pPr>
              <w:pStyle w:val="TableTextLeft"/>
            </w:pPr>
            <w:r>
              <w:t>Payment product providers</w:t>
            </w:r>
          </w:p>
        </w:tc>
        <w:tc>
          <w:tcPr>
            <w:tcW w:w="384" w:type="pct"/>
          </w:tcPr>
          <w:p w14:paraId="1BB74887" w14:textId="3058D441" w:rsidR="003876AE" w:rsidRDefault="000F6CC0" w:rsidP="000F6CC0">
            <w:pPr>
              <w:pStyle w:val="TableTextLeft"/>
            </w:pPr>
            <w:r>
              <w:t>651</w:t>
            </w:r>
          </w:p>
        </w:tc>
        <w:tc>
          <w:tcPr>
            <w:tcW w:w="555" w:type="pct"/>
          </w:tcPr>
          <w:p w14:paraId="61662E45" w14:textId="0F55F1D6" w:rsidR="003876AE" w:rsidRDefault="00AC303D" w:rsidP="00AC303D">
            <w:pPr>
              <w:pStyle w:val="TableTextLeft"/>
            </w:pPr>
            <w:r>
              <w:t>506</w:t>
            </w:r>
          </w:p>
        </w:tc>
        <w:tc>
          <w:tcPr>
            <w:tcW w:w="314" w:type="pct"/>
          </w:tcPr>
          <w:p w14:paraId="025A7B7D" w14:textId="171BEC5C" w:rsidR="003876AE" w:rsidRDefault="0044526E">
            <w:pPr>
              <w:pStyle w:val="TableTextLeft"/>
            </w:pPr>
            <w:r>
              <w:t>Y</w:t>
            </w:r>
          </w:p>
        </w:tc>
        <w:tc>
          <w:tcPr>
            <w:tcW w:w="540" w:type="pct"/>
          </w:tcPr>
          <w:p w14:paraId="2809F4FE" w14:textId="0A98DFF8" w:rsidR="003876AE" w:rsidRDefault="007824EC">
            <w:pPr>
              <w:pStyle w:val="TableTextLeft"/>
            </w:pPr>
            <w:r w:rsidRPr="007824EC">
              <w:t>573,70</w:t>
            </w:r>
            <w:r w:rsidR="00C51195">
              <w:t>7</w:t>
            </w:r>
          </w:p>
        </w:tc>
        <w:tc>
          <w:tcPr>
            <w:tcW w:w="575" w:type="pct"/>
          </w:tcPr>
          <w:p w14:paraId="0735F004" w14:textId="6FA29162" w:rsidR="00BE2490" w:rsidRDefault="004F764F" w:rsidP="00FA0D0F">
            <w:pPr>
              <w:pStyle w:val="TableTextLeft"/>
              <w:keepNext/>
              <w:spacing w:after="0"/>
            </w:pPr>
            <w:r w:rsidRPr="004F764F">
              <w:t>290,295,652</w:t>
            </w:r>
          </w:p>
          <w:p w14:paraId="2F870604" w14:textId="1472D2E3" w:rsidR="0038683E" w:rsidRDefault="00FA0D0F" w:rsidP="00FA0D0F">
            <w:pPr>
              <w:pStyle w:val="TableTextLeft"/>
              <w:spacing w:before="0"/>
            </w:pPr>
            <w:r>
              <w:t>(11.0%)</w:t>
            </w:r>
          </w:p>
        </w:tc>
        <w:tc>
          <w:tcPr>
            <w:tcW w:w="506" w:type="pct"/>
          </w:tcPr>
          <w:p w14:paraId="21088BA4" w14:textId="6E76F3F7" w:rsidR="003876AE" w:rsidRDefault="00654DF9">
            <w:pPr>
              <w:pStyle w:val="TableTextLeft"/>
            </w:pPr>
            <w:r w:rsidRPr="00654DF9">
              <w:t>132,861</w:t>
            </w:r>
          </w:p>
        </w:tc>
        <w:tc>
          <w:tcPr>
            <w:tcW w:w="540" w:type="pct"/>
          </w:tcPr>
          <w:p w14:paraId="314613F2" w14:textId="5CD00FEB" w:rsidR="00BE2490" w:rsidRDefault="00524E49" w:rsidP="000952B1">
            <w:pPr>
              <w:pStyle w:val="TableTextLeft"/>
              <w:keepNext/>
              <w:spacing w:after="0"/>
            </w:pPr>
            <w:r w:rsidRPr="00524E49">
              <w:t>67,227,74</w:t>
            </w:r>
            <w:r w:rsidR="00433EB6">
              <w:t>1</w:t>
            </w:r>
          </w:p>
          <w:p w14:paraId="43467C0C" w14:textId="0BCCEACD" w:rsidR="00BE2490" w:rsidRDefault="00FA0D0F" w:rsidP="000952B1">
            <w:pPr>
              <w:pStyle w:val="TableTextLeft"/>
              <w:spacing w:before="0"/>
            </w:pPr>
            <w:r>
              <w:t>(</w:t>
            </w:r>
            <w:r w:rsidR="000952B1">
              <w:t>11.5%)</w:t>
            </w:r>
          </w:p>
        </w:tc>
        <w:tc>
          <w:tcPr>
            <w:tcW w:w="535" w:type="pct"/>
          </w:tcPr>
          <w:p w14:paraId="3AAAF7A6" w14:textId="079B9611" w:rsidR="00BE2490" w:rsidRDefault="008F4605" w:rsidP="0076321D">
            <w:pPr>
              <w:pStyle w:val="TableTextLeft"/>
              <w:spacing w:after="0"/>
            </w:pPr>
            <w:r w:rsidRPr="008F4605">
              <w:t>5,24</w:t>
            </w:r>
            <w:r w:rsidR="00433EB6">
              <w:t>1</w:t>
            </w:r>
          </w:p>
          <w:p w14:paraId="5FE1E479" w14:textId="7944BEE3" w:rsidR="003876AE" w:rsidRDefault="0076321D" w:rsidP="0076321D">
            <w:pPr>
              <w:pStyle w:val="TableTextLeft"/>
              <w:spacing w:before="0"/>
            </w:pPr>
            <w:r>
              <w:t>(2.6%)</w:t>
            </w:r>
          </w:p>
        </w:tc>
      </w:tr>
      <w:tr w:rsidR="0036384F" w14:paraId="2EE2B442" w14:textId="77777777" w:rsidTr="000A7ED0">
        <w:trPr>
          <w:cantSplit/>
          <w:trHeight w:val="270"/>
        </w:trPr>
        <w:tc>
          <w:tcPr>
            <w:tcW w:w="1051" w:type="pct"/>
          </w:tcPr>
          <w:p w14:paraId="30E8C84F" w14:textId="4A5ED3F3" w:rsidR="003876AE" w:rsidRDefault="003876AE" w:rsidP="00CF07B7">
            <w:pPr>
              <w:pStyle w:val="TableTextLeft"/>
            </w:pPr>
            <w:r>
              <w:t>Margin lenders</w:t>
            </w:r>
          </w:p>
        </w:tc>
        <w:tc>
          <w:tcPr>
            <w:tcW w:w="384" w:type="pct"/>
          </w:tcPr>
          <w:p w14:paraId="6D593DB6" w14:textId="5CD24CDA" w:rsidR="003876AE" w:rsidRDefault="000F6CC0">
            <w:pPr>
              <w:pStyle w:val="TableTextLeft"/>
            </w:pPr>
            <w:r>
              <w:t>25</w:t>
            </w:r>
          </w:p>
        </w:tc>
        <w:tc>
          <w:tcPr>
            <w:tcW w:w="555" w:type="pct"/>
          </w:tcPr>
          <w:p w14:paraId="13A1661B" w14:textId="208C9CAF" w:rsidR="003876AE" w:rsidRDefault="00AC303D">
            <w:pPr>
              <w:pStyle w:val="TableTextLeft"/>
            </w:pPr>
            <w:r>
              <w:t>22</w:t>
            </w:r>
          </w:p>
        </w:tc>
        <w:tc>
          <w:tcPr>
            <w:tcW w:w="314" w:type="pct"/>
          </w:tcPr>
          <w:p w14:paraId="415CF25D" w14:textId="37CDF09C" w:rsidR="003876AE" w:rsidRDefault="0044526E">
            <w:pPr>
              <w:pStyle w:val="TableTextLeft"/>
            </w:pPr>
            <w:r>
              <w:t>Y</w:t>
            </w:r>
          </w:p>
        </w:tc>
        <w:tc>
          <w:tcPr>
            <w:tcW w:w="540" w:type="pct"/>
          </w:tcPr>
          <w:p w14:paraId="31D6DE5F" w14:textId="44306D3E" w:rsidR="003876AE" w:rsidRDefault="00032E70">
            <w:pPr>
              <w:pStyle w:val="TableTextLeft"/>
            </w:pPr>
            <w:r w:rsidRPr="00032E70">
              <w:t>12,883,9</w:t>
            </w:r>
            <w:r w:rsidR="00C51195">
              <w:t>1</w:t>
            </w:r>
            <w:r w:rsidRPr="00032E70">
              <w:t>0</w:t>
            </w:r>
          </w:p>
        </w:tc>
        <w:tc>
          <w:tcPr>
            <w:tcW w:w="575" w:type="pct"/>
          </w:tcPr>
          <w:p w14:paraId="143F1266" w14:textId="5762E5E7" w:rsidR="00BE2490" w:rsidRDefault="00C0621D" w:rsidP="00013125">
            <w:pPr>
              <w:pStyle w:val="TableTextLeft"/>
              <w:keepNext/>
              <w:spacing w:after="0"/>
            </w:pPr>
            <w:r w:rsidRPr="00C0621D">
              <w:t>283,446,019</w:t>
            </w:r>
          </w:p>
          <w:p w14:paraId="7590461E" w14:textId="21978945" w:rsidR="0038683E" w:rsidRDefault="00013125" w:rsidP="00013125">
            <w:pPr>
              <w:pStyle w:val="TableTextLeft"/>
              <w:spacing w:before="0"/>
            </w:pPr>
            <w:r>
              <w:t>(10.8%)</w:t>
            </w:r>
          </w:p>
        </w:tc>
        <w:tc>
          <w:tcPr>
            <w:tcW w:w="506" w:type="pct"/>
          </w:tcPr>
          <w:p w14:paraId="1B1D9DB5" w14:textId="738B1137" w:rsidR="003876AE" w:rsidRDefault="007764D0">
            <w:pPr>
              <w:pStyle w:val="TableTextLeft"/>
            </w:pPr>
            <w:r w:rsidRPr="007764D0">
              <w:t>3,248,43</w:t>
            </w:r>
            <w:r w:rsidR="00F71C35">
              <w:t>4</w:t>
            </w:r>
          </w:p>
        </w:tc>
        <w:tc>
          <w:tcPr>
            <w:tcW w:w="540" w:type="pct"/>
          </w:tcPr>
          <w:p w14:paraId="40AB4BA3" w14:textId="1033B9D5" w:rsidR="00BE2490" w:rsidRDefault="00BA0DA8" w:rsidP="00C97011">
            <w:pPr>
              <w:pStyle w:val="TableTextLeft"/>
              <w:keepNext/>
              <w:spacing w:after="0"/>
            </w:pPr>
            <w:r w:rsidRPr="00BA0DA8">
              <w:t>71,465,544</w:t>
            </w:r>
          </w:p>
          <w:p w14:paraId="1D79C063" w14:textId="1F02B9FA" w:rsidR="00BE2490" w:rsidRDefault="00C97011" w:rsidP="00C97011">
            <w:pPr>
              <w:pStyle w:val="TableTextLeft"/>
              <w:spacing w:before="0"/>
            </w:pPr>
            <w:r>
              <w:t>(12.2%)</w:t>
            </w:r>
          </w:p>
        </w:tc>
        <w:tc>
          <w:tcPr>
            <w:tcW w:w="535" w:type="pct"/>
          </w:tcPr>
          <w:p w14:paraId="07173D83" w14:textId="5783DBA8" w:rsidR="00BE2490" w:rsidRDefault="00391EC9" w:rsidP="00C06550">
            <w:pPr>
              <w:pStyle w:val="TableTextLeft"/>
              <w:keepNext/>
              <w:spacing w:after="0"/>
            </w:pPr>
            <w:r w:rsidRPr="00391EC9">
              <w:t>5</w:t>
            </w:r>
          </w:p>
          <w:p w14:paraId="5A37EF43" w14:textId="2E2E2CF4" w:rsidR="003876AE" w:rsidRDefault="005E30A4" w:rsidP="00C06550">
            <w:pPr>
              <w:pStyle w:val="TableTextLeft"/>
              <w:spacing w:before="0"/>
            </w:pPr>
            <w:r>
              <w:t>(&lt;0.1%)</w:t>
            </w:r>
          </w:p>
        </w:tc>
      </w:tr>
      <w:tr w:rsidR="003876AE" w14:paraId="6A635BD2" w14:textId="77777777" w:rsidTr="000A7ED0">
        <w:trPr>
          <w:cantSplit/>
          <w:trHeight w:val="270"/>
        </w:trPr>
        <w:tc>
          <w:tcPr>
            <w:tcW w:w="5000" w:type="pct"/>
            <w:gridSpan w:val="9"/>
            <w:shd w:val="clear" w:color="auto" w:fill="F2F2F2" w:themeFill="background1" w:themeFillShade="F2"/>
          </w:tcPr>
          <w:p w14:paraId="0D6803B8" w14:textId="4EFEB6AB" w:rsidR="003876AE" w:rsidRPr="002B579C" w:rsidRDefault="003876AE" w:rsidP="00F56CDE">
            <w:pPr>
              <w:pStyle w:val="TableTextLeft"/>
              <w:keepNext/>
              <w:rPr>
                <w:b/>
                <w:bCs/>
              </w:rPr>
            </w:pPr>
            <w:r w:rsidRPr="002B579C">
              <w:rPr>
                <w:b/>
                <w:bCs/>
              </w:rPr>
              <w:t>Investment management, superannuation and related services sector</w:t>
            </w:r>
          </w:p>
        </w:tc>
      </w:tr>
      <w:tr w:rsidR="0036384F" w14:paraId="5879E166" w14:textId="77777777" w:rsidTr="000A7ED0">
        <w:trPr>
          <w:cantSplit/>
          <w:trHeight w:val="270"/>
        </w:trPr>
        <w:tc>
          <w:tcPr>
            <w:tcW w:w="1051" w:type="pct"/>
          </w:tcPr>
          <w:p w14:paraId="185BC904" w14:textId="7DFE69FD" w:rsidR="003876AE" w:rsidRDefault="003876AE" w:rsidP="00F56CDE">
            <w:pPr>
              <w:pStyle w:val="TableTextLeft"/>
            </w:pPr>
            <w:r>
              <w:t>Superannuation trustees</w:t>
            </w:r>
          </w:p>
        </w:tc>
        <w:tc>
          <w:tcPr>
            <w:tcW w:w="384" w:type="pct"/>
          </w:tcPr>
          <w:p w14:paraId="143B645D" w14:textId="10438D1D" w:rsidR="003876AE" w:rsidRDefault="00E12016" w:rsidP="00E12016">
            <w:pPr>
              <w:pStyle w:val="TableTextLeft"/>
            </w:pPr>
            <w:r>
              <w:t>78</w:t>
            </w:r>
          </w:p>
        </w:tc>
        <w:tc>
          <w:tcPr>
            <w:tcW w:w="555" w:type="pct"/>
          </w:tcPr>
          <w:p w14:paraId="45860952" w14:textId="27489E6F" w:rsidR="003876AE" w:rsidRDefault="007D1A66" w:rsidP="007D1A66">
            <w:pPr>
              <w:pStyle w:val="TableTextLeft"/>
            </w:pPr>
            <w:r>
              <w:t>78</w:t>
            </w:r>
          </w:p>
        </w:tc>
        <w:tc>
          <w:tcPr>
            <w:tcW w:w="314" w:type="pct"/>
          </w:tcPr>
          <w:p w14:paraId="7038B2C2" w14:textId="376469CA" w:rsidR="003876AE" w:rsidRDefault="0044526E">
            <w:pPr>
              <w:pStyle w:val="TableTextLeft"/>
            </w:pPr>
            <w:r>
              <w:t>Y</w:t>
            </w:r>
          </w:p>
        </w:tc>
        <w:tc>
          <w:tcPr>
            <w:tcW w:w="540" w:type="pct"/>
          </w:tcPr>
          <w:p w14:paraId="422057D8" w14:textId="21232A4C" w:rsidR="003876AE" w:rsidRDefault="00E37F01">
            <w:pPr>
              <w:pStyle w:val="TableTextLeft"/>
            </w:pPr>
            <w:r w:rsidRPr="00E37F01">
              <w:t>13,459</w:t>
            </w:r>
          </w:p>
        </w:tc>
        <w:tc>
          <w:tcPr>
            <w:tcW w:w="575" w:type="pct"/>
          </w:tcPr>
          <w:p w14:paraId="2E463EF4" w14:textId="407D17B0" w:rsidR="00BE2490" w:rsidRDefault="00BF55B5" w:rsidP="008F2203">
            <w:pPr>
              <w:pStyle w:val="TableTextLeft"/>
              <w:keepNext/>
              <w:spacing w:after="0"/>
            </w:pPr>
            <w:r w:rsidRPr="00BF55B5">
              <w:t>1,049,804</w:t>
            </w:r>
          </w:p>
          <w:p w14:paraId="25621333" w14:textId="7E93EDF7" w:rsidR="0038683E" w:rsidRDefault="00157F2F" w:rsidP="008F2203">
            <w:pPr>
              <w:pStyle w:val="TableTextLeft"/>
              <w:spacing w:before="0"/>
            </w:pPr>
            <w:r>
              <w:t>(&lt;0.1%)</w:t>
            </w:r>
          </w:p>
        </w:tc>
        <w:tc>
          <w:tcPr>
            <w:tcW w:w="506" w:type="pct"/>
          </w:tcPr>
          <w:p w14:paraId="6DD6D720" w14:textId="53E707B0" w:rsidR="003876AE" w:rsidRDefault="00BB7244">
            <w:pPr>
              <w:pStyle w:val="TableTextLeft"/>
            </w:pPr>
            <w:r w:rsidRPr="00BB7244">
              <w:t>3,91</w:t>
            </w:r>
            <w:r w:rsidR="00F71C35">
              <w:t>5</w:t>
            </w:r>
          </w:p>
        </w:tc>
        <w:tc>
          <w:tcPr>
            <w:tcW w:w="540" w:type="pct"/>
          </w:tcPr>
          <w:p w14:paraId="540ADBD3" w14:textId="3DF160FD" w:rsidR="00BE2490" w:rsidRDefault="007E128F" w:rsidP="00072C3D">
            <w:pPr>
              <w:pStyle w:val="TableTextLeft"/>
              <w:keepNext/>
              <w:spacing w:after="0"/>
            </w:pPr>
            <w:r w:rsidRPr="007E128F">
              <w:t>305,364</w:t>
            </w:r>
          </w:p>
          <w:p w14:paraId="650CC73B" w14:textId="0C1D1020" w:rsidR="00BE2490" w:rsidRDefault="00D722A1" w:rsidP="00072C3D">
            <w:pPr>
              <w:pStyle w:val="TableTextLeft"/>
              <w:spacing w:before="0"/>
            </w:pPr>
            <w:r>
              <w:t>(&lt;0.1%)</w:t>
            </w:r>
          </w:p>
        </w:tc>
        <w:tc>
          <w:tcPr>
            <w:tcW w:w="535" w:type="pct"/>
          </w:tcPr>
          <w:p w14:paraId="62CFE29A" w14:textId="1E0E6273" w:rsidR="00BE2490" w:rsidRDefault="00FD0818" w:rsidP="00B66941">
            <w:pPr>
              <w:pStyle w:val="TableTextLeft"/>
              <w:keepNext/>
              <w:spacing w:after="0"/>
            </w:pPr>
            <w:r w:rsidRPr="00FD0818">
              <w:t>26,428</w:t>
            </w:r>
          </w:p>
          <w:p w14:paraId="6607E8C6" w14:textId="574EDD07" w:rsidR="003876AE" w:rsidRDefault="00B66941" w:rsidP="00B66941">
            <w:pPr>
              <w:pStyle w:val="TableTextLeft"/>
              <w:spacing w:before="0"/>
            </w:pPr>
            <w:r>
              <w:t>(12.9%)</w:t>
            </w:r>
          </w:p>
        </w:tc>
      </w:tr>
      <w:tr w:rsidR="0036384F" w14:paraId="0979B6FC" w14:textId="77777777" w:rsidTr="000A7ED0">
        <w:trPr>
          <w:cantSplit/>
          <w:trHeight w:val="270"/>
        </w:trPr>
        <w:tc>
          <w:tcPr>
            <w:tcW w:w="1051" w:type="pct"/>
          </w:tcPr>
          <w:p w14:paraId="065F477B" w14:textId="7793E6CE" w:rsidR="003876AE" w:rsidRDefault="003876AE" w:rsidP="00F56CDE">
            <w:pPr>
              <w:pStyle w:val="TableTextLeft"/>
            </w:pPr>
            <w:r>
              <w:t>Responsible entities</w:t>
            </w:r>
          </w:p>
        </w:tc>
        <w:tc>
          <w:tcPr>
            <w:tcW w:w="384" w:type="pct"/>
          </w:tcPr>
          <w:p w14:paraId="1045F45B" w14:textId="2E7C8B47" w:rsidR="003876AE" w:rsidRDefault="007D1A66" w:rsidP="007D1A66">
            <w:pPr>
              <w:pStyle w:val="TableTextLeft"/>
            </w:pPr>
            <w:r>
              <w:t>416</w:t>
            </w:r>
          </w:p>
        </w:tc>
        <w:tc>
          <w:tcPr>
            <w:tcW w:w="555" w:type="pct"/>
          </w:tcPr>
          <w:p w14:paraId="66BC0326" w14:textId="6C9BDA8D" w:rsidR="003876AE" w:rsidRDefault="007D1A66" w:rsidP="007D1A66">
            <w:pPr>
              <w:pStyle w:val="TableTextLeft"/>
            </w:pPr>
            <w:r>
              <w:t>400</w:t>
            </w:r>
          </w:p>
        </w:tc>
        <w:tc>
          <w:tcPr>
            <w:tcW w:w="314" w:type="pct"/>
          </w:tcPr>
          <w:p w14:paraId="679AED84" w14:textId="71F2FAA7" w:rsidR="003876AE" w:rsidRDefault="0044526E">
            <w:pPr>
              <w:pStyle w:val="TableTextLeft"/>
            </w:pPr>
            <w:r>
              <w:t>Y</w:t>
            </w:r>
          </w:p>
        </w:tc>
        <w:tc>
          <w:tcPr>
            <w:tcW w:w="540" w:type="pct"/>
          </w:tcPr>
          <w:p w14:paraId="55D1BC91" w14:textId="6C503B35" w:rsidR="003876AE" w:rsidRDefault="00654DF9">
            <w:pPr>
              <w:pStyle w:val="TableTextLeft"/>
            </w:pPr>
            <w:r w:rsidRPr="00654DF9">
              <w:t>11,64</w:t>
            </w:r>
            <w:r w:rsidR="00CD5DA9">
              <w:t>3</w:t>
            </w:r>
          </w:p>
        </w:tc>
        <w:tc>
          <w:tcPr>
            <w:tcW w:w="575" w:type="pct"/>
          </w:tcPr>
          <w:p w14:paraId="0BB93654" w14:textId="78463613" w:rsidR="00BE2490" w:rsidRDefault="002B3ABF" w:rsidP="006161AC">
            <w:pPr>
              <w:pStyle w:val="TableTextLeft"/>
              <w:keepNext/>
              <w:spacing w:after="0"/>
            </w:pPr>
            <w:r w:rsidRPr="002B3ABF">
              <w:t>4,657,15</w:t>
            </w:r>
            <w:r w:rsidR="009A4679">
              <w:t>4</w:t>
            </w:r>
          </w:p>
          <w:p w14:paraId="4FD5D706" w14:textId="55A67647" w:rsidR="0038683E" w:rsidRDefault="00F75D27" w:rsidP="00F75D27">
            <w:pPr>
              <w:pStyle w:val="TableTextLeft"/>
              <w:spacing w:before="0"/>
            </w:pPr>
            <w:r>
              <w:t>(0.2%)</w:t>
            </w:r>
          </w:p>
        </w:tc>
        <w:tc>
          <w:tcPr>
            <w:tcW w:w="506" w:type="pct"/>
          </w:tcPr>
          <w:p w14:paraId="6A3BF8DD" w14:textId="718F9056" w:rsidR="003876AE" w:rsidRDefault="00BE068F">
            <w:pPr>
              <w:pStyle w:val="TableTextLeft"/>
            </w:pPr>
            <w:r w:rsidRPr="00BE068F">
              <w:t>1,438</w:t>
            </w:r>
          </w:p>
        </w:tc>
        <w:tc>
          <w:tcPr>
            <w:tcW w:w="540" w:type="pct"/>
          </w:tcPr>
          <w:p w14:paraId="5BC3EF55" w14:textId="2CBF7E5C" w:rsidR="00BE2490" w:rsidRDefault="00DD5102" w:rsidP="002C6111">
            <w:pPr>
              <w:pStyle w:val="TableTextLeft"/>
              <w:keepNext/>
              <w:spacing w:after="0"/>
            </w:pPr>
            <w:r w:rsidRPr="00DD5102">
              <w:t>575,363</w:t>
            </w:r>
          </w:p>
          <w:p w14:paraId="6F648341" w14:textId="479C38D0" w:rsidR="00BE2490" w:rsidRDefault="006161AC" w:rsidP="002C6111">
            <w:pPr>
              <w:pStyle w:val="TableTextLeft"/>
              <w:spacing w:before="0"/>
            </w:pPr>
            <w:r>
              <w:t>(</w:t>
            </w:r>
            <w:r w:rsidR="002C6111">
              <w:t>0.1%)</w:t>
            </w:r>
          </w:p>
        </w:tc>
        <w:tc>
          <w:tcPr>
            <w:tcW w:w="535" w:type="pct"/>
          </w:tcPr>
          <w:p w14:paraId="2577B287" w14:textId="618E9E02" w:rsidR="00BE2490" w:rsidRDefault="00AB7DF0" w:rsidP="00A3138D">
            <w:pPr>
              <w:pStyle w:val="TableTextLeft"/>
              <w:keepNext/>
              <w:spacing w:after="0"/>
            </w:pPr>
            <w:r w:rsidRPr="00AB7DF0">
              <w:t>28,11</w:t>
            </w:r>
            <w:r w:rsidR="008D5F8E">
              <w:t>5</w:t>
            </w:r>
          </w:p>
          <w:p w14:paraId="19C72F99" w14:textId="6980B0DB" w:rsidR="003876AE" w:rsidRDefault="00A3138D" w:rsidP="00A3138D">
            <w:pPr>
              <w:pStyle w:val="TableTextLeft"/>
              <w:spacing w:before="0"/>
            </w:pPr>
            <w:r>
              <w:t>(13.7%)</w:t>
            </w:r>
          </w:p>
        </w:tc>
      </w:tr>
      <w:tr w:rsidR="0036384F" w14:paraId="0E5D7B7C" w14:textId="77777777" w:rsidTr="000A7ED0">
        <w:trPr>
          <w:cantSplit/>
          <w:trHeight w:val="270"/>
        </w:trPr>
        <w:tc>
          <w:tcPr>
            <w:tcW w:w="1051" w:type="pct"/>
          </w:tcPr>
          <w:p w14:paraId="26D54E8B" w14:textId="63EF97F4" w:rsidR="003876AE" w:rsidRDefault="003876AE" w:rsidP="00F56CDE">
            <w:pPr>
              <w:pStyle w:val="TableTextLeft"/>
            </w:pPr>
            <w:r>
              <w:t>Wholesale trustees</w:t>
            </w:r>
          </w:p>
        </w:tc>
        <w:tc>
          <w:tcPr>
            <w:tcW w:w="384" w:type="pct"/>
          </w:tcPr>
          <w:p w14:paraId="6032F13A" w14:textId="16451665" w:rsidR="003876AE" w:rsidRDefault="007D1A66">
            <w:pPr>
              <w:pStyle w:val="TableTextLeft"/>
            </w:pPr>
            <w:r>
              <w:t>1,961</w:t>
            </w:r>
          </w:p>
        </w:tc>
        <w:tc>
          <w:tcPr>
            <w:tcW w:w="555" w:type="pct"/>
          </w:tcPr>
          <w:p w14:paraId="1D5D29E5" w14:textId="7D9C83B3" w:rsidR="003876AE" w:rsidRDefault="007D1A66">
            <w:pPr>
              <w:pStyle w:val="TableTextLeft"/>
            </w:pPr>
            <w:r>
              <w:t>688</w:t>
            </w:r>
          </w:p>
        </w:tc>
        <w:tc>
          <w:tcPr>
            <w:tcW w:w="314" w:type="pct"/>
          </w:tcPr>
          <w:p w14:paraId="163B6D7F" w14:textId="47E9F9ED" w:rsidR="003876AE" w:rsidRDefault="0044526E">
            <w:pPr>
              <w:pStyle w:val="TableTextLeft"/>
            </w:pPr>
            <w:r>
              <w:t>N</w:t>
            </w:r>
          </w:p>
        </w:tc>
        <w:tc>
          <w:tcPr>
            <w:tcW w:w="540" w:type="pct"/>
          </w:tcPr>
          <w:p w14:paraId="1A1CF848" w14:textId="5E8DC974" w:rsidR="003876AE" w:rsidRDefault="00F048AD">
            <w:pPr>
              <w:pStyle w:val="TableTextLeft"/>
            </w:pPr>
            <w:r>
              <w:t>N/A</w:t>
            </w:r>
          </w:p>
        </w:tc>
        <w:tc>
          <w:tcPr>
            <w:tcW w:w="575" w:type="pct"/>
          </w:tcPr>
          <w:p w14:paraId="37AC2A09" w14:textId="40609A2D" w:rsidR="0038683E" w:rsidRDefault="008F198D">
            <w:pPr>
              <w:pStyle w:val="TableTextLeft"/>
            </w:pPr>
            <w:r w:rsidRPr="000B39D9">
              <w:t>N/A</w:t>
            </w:r>
          </w:p>
        </w:tc>
        <w:tc>
          <w:tcPr>
            <w:tcW w:w="506" w:type="pct"/>
          </w:tcPr>
          <w:p w14:paraId="646D9D93" w14:textId="09465213" w:rsidR="003876AE" w:rsidRDefault="00EF78E6">
            <w:pPr>
              <w:pStyle w:val="TableTextLeft"/>
            </w:pPr>
            <w:r>
              <w:t>N/A</w:t>
            </w:r>
          </w:p>
        </w:tc>
        <w:tc>
          <w:tcPr>
            <w:tcW w:w="540" w:type="pct"/>
          </w:tcPr>
          <w:p w14:paraId="54F73E06" w14:textId="11FBF875" w:rsidR="00BE2490" w:rsidRDefault="008F198D">
            <w:pPr>
              <w:pStyle w:val="TableTextLeft"/>
            </w:pPr>
            <w:r w:rsidRPr="00D04E64">
              <w:t>N/A</w:t>
            </w:r>
          </w:p>
        </w:tc>
        <w:tc>
          <w:tcPr>
            <w:tcW w:w="535" w:type="pct"/>
          </w:tcPr>
          <w:p w14:paraId="5C42EBD0" w14:textId="21B230AF" w:rsidR="003876AE" w:rsidRDefault="00E415EC">
            <w:pPr>
              <w:pStyle w:val="TableTextLeft"/>
            </w:pPr>
            <w:r>
              <w:t>N/A</w:t>
            </w:r>
          </w:p>
        </w:tc>
      </w:tr>
      <w:tr w:rsidR="0036384F" w14:paraId="4B7202AC" w14:textId="77777777" w:rsidTr="000A7ED0">
        <w:trPr>
          <w:cantSplit/>
          <w:trHeight w:val="270"/>
        </w:trPr>
        <w:tc>
          <w:tcPr>
            <w:tcW w:w="1051" w:type="pct"/>
          </w:tcPr>
          <w:p w14:paraId="6A535CAF" w14:textId="192DC089" w:rsidR="003876AE" w:rsidRDefault="003876AE" w:rsidP="00F56CDE">
            <w:pPr>
              <w:pStyle w:val="TableTextLeft"/>
            </w:pPr>
            <w:r>
              <w:t>Operators of notified foreign passport funds and regulated former notified funds</w:t>
            </w:r>
          </w:p>
        </w:tc>
        <w:tc>
          <w:tcPr>
            <w:tcW w:w="384" w:type="pct"/>
          </w:tcPr>
          <w:p w14:paraId="1B179572" w14:textId="1157E456" w:rsidR="003876AE" w:rsidRDefault="00425B3F">
            <w:pPr>
              <w:pStyle w:val="TableTextLeft"/>
            </w:pPr>
            <w:r>
              <w:t>0</w:t>
            </w:r>
          </w:p>
        </w:tc>
        <w:tc>
          <w:tcPr>
            <w:tcW w:w="555" w:type="pct"/>
          </w:tcPr>
          <w:p w14:paraId="72CCF128" w14:textId="1FAF8025" w:rsidR="003876AE" w:rsidRDefault="00425B3F">
            <w:pPr>
              <w:pStyle w:val="TableTextLeft"/>
            </w:pPr>
            <w:r>
              <w:t>0</w:t>
            </w:r>
          </w:p>
        </w:tc>
        <w:tc>
          <w:tcPr>
            <w:tcW w:w="314" w:type="pct"/>
          </w:tcPr>
          <w:p w14:paraId="0CF579C4" w14:textId="4E3F84B0" w:rsidR="003876AE" w:rsidRDefault="0044526E">
            <w:pPr>
              <w:pStyle w:val="TableTextLeft"/>
            </w:pPr>
            <w:r>
              <w:t>N</w:t>
            </w:r>
          </w:p>
        </w:tc>
        <w:tc>
          <w:tcPr>
            <w:tcW w:w="540" w:type="pct"/>
          </w:tcPr>
          <w:p w14:paraId="3B4C74F5" w14:textId="230AA445" w:rsidR="003876AE" w:rsidRDefault="00F048AD">
            <w:pPr>
              <w:pStyle w:val="TableTextLeft"/>
            </w:pPr>
            <w:r>
              <w:t>N/A</w:t>
            </w:r>
          </w:p>
        </w:tc>
        <w:tc>
          <w:tcPr>
            <w:tcW w:w="575" w:type="pct"/>
          </w:tcPr>
          <w:p w14:paraId="03724732" w14:textId="55077F53" w:rsidR="0038683E" w:rsidRDefault="008F198D">
            <w:pPr>
              <w:pStyle w:val="TableTextLeft"/>
            </w:pPr>
            <w:r w:rsidRPr="000B39D9">
              <w:t>N/A</w:t>
            </w:r>
          </w:p>
        </w:tc>
        <w:tc>
          <w:tcPr>
            <w:tcW w:w="506" w:type="pct"/>
          </w:tcPr>
          <w:p w14:paraId="7F2FA45B" w14:textId="081C3051" w:rsidR="003876AE" w:rsidRDefault="00EF78E6">
            <w:pPr>
              <w:pStyle w:val="TableTextLeft"/>
            </w:pPr>
            <w:r>
              <w:t>N/A</w:t>
            </w:r>
          </w:p>
        </w:tc>
        <w:tc>
          <w:tcPr>
            <w:tcW w:w="540" w:type="pct"/>
          </w:tcPr>
          <w:p w14:paraId="0BA186AE" w14:textId="0A77515C" w:rsidR="00BE2490" w:rsidRDefault="008F198D">
            <w:pPr>
              <w:pStyle w:val="TableTextLeft"/>
            </w:pPr>
            <w:r w:rsidRPr="00D04E64">
              <w:t>N/A</w:t>
            </w:r>
          </w:p>
        </w:tc>
        <w:tc>
          <w:tcPr>
            <w:tcW w:w="535" w:type="pct"/>
          </w:tcPr>
          <w:p w14:paraId="61C13097" w14:textId="39829FFD" w:rsidR="003876AE" w:rsidRDefault="00E415EC">
            <w:pPr>
              <w:pStyle w:val="TableTextLeft"/>
            </w:pPr>
            <w:r>
              <w:t>N/A</w:t>
            </w:r>
          </w:p>
        </w:tc>
      </w:tr>
      <w:tr w:rsidR="0036384F" w14:paraId="4DE2E403" w14:textId="77777777" w:rsidTr="000A7ED0">
        <w:trPr>
          <w:cantSplit/>
          <w:trHeight w:val="270"/>
        </w:trPr>
        <w:tc>
          <w:tcPr>
            <w:tcW w:w="1051" w:type="pct"/>
          </w:tcPr>
          <w:p w14:paraId="7A4C8EA6" w14:textId="27825716" w:rsidR="003876AE" w:rsidRDefault="003876AE" w:rsidP="00491FC7">
            <w:pPr>
              <w:pStyle w:val="TableTextLeft"/>
            </w:pPr>
            <w:r>
              <w:t>Custodians</w:t>
            </w:r>
          </w:p>
        </w:tc>
        <w:tc>
          <w:tcPr>
            <w:tcW w:w="384" w:type="pct"/>
          </w:tcPr>
          <w:p w14:paraId="660961D3" w14:textId="05321119" w:rsidR="003876AE" w:rsidRDefault="00D4131F">
            <w:pPr>
              <w:pStyle w:val="TableTextLeft"/>
            </w:pPr>
            <w:r w:rsidRPr="00D4131F">
              <w:t>1,42</w:t>
            </w:r>
            <w:r>
              <w:t>3</w:t>
            </w:r>
          </w:p>
        </w:tc>
        <w:tc>
          <w:tcPr>
            <w:tcW w:w="555" w:type="pct"/>
          </w:tcPr>
          <w:p w14:paraId="10FACEAC" w14:textId="38BAF998" w:rsidR="003876AE" w:rsidRDefault="00D4131F">
            <w:pPr>
              <w:pStyle w:val="TableTextLeft"/>
            </w:pPr>
            <w:r>
              <w:t>476</w:t>
            </w:r>
          </w:p>
        </w:tc>
        <w:tc>
          <w:tcPr>
            <w:tcW w:w="314" w:type="pct"/>
          </w:tcPr>
          <w:p w14:paraId="69AC146E" w14:textId="7EC88FB9" w:rsidR="003876AE" w:rsidRDefault="0044526E">
            <w:pPr>
              <w:pStyle w:val="TableTextLeft"/>
            </w:pPr>
            <w:r>
              <w:t>Y</w:t>
            </w:r>
          </w:p>
        </w:tc>
        <w:tc>
          <w:tcPr>
            <w:tcW w:w="540" w:type="pct"/>
          </w:tcPr>
          <w:p w14:paraId="00D748FF" w14:textId="2C3A0E8D" w:rsidR="003876AE" w:rsidRDefault="0043218C">
            <w:pPr>
              <w:pStyle w:val="TableTextLeft"/>
            </w:pPr>
            <w:r w:rsidRPr="0043218C">
              <w:t>700,6</w:t>
            </w:r>
            <w:r w:rsidR="00CD5DA9">
              <w:t>40</w:t>
            </w:r>
          </w:p>
        </w:tc>
        <w:tc>
          <w:tcPr>
            <w:tcW w:w="575" w:type="pct"/>
          </w:tcPr>
          <w:p w14:paraId="0D28C387" w14:textId="7F776DA8" w:rsidR="00BE2490" w:rsidRDefault="00F20029" w:rsidP="00A3087A">
            <w:pPr>
              <w:pStyle w:val="TableTextLeft"/>
              <w:keepNext/>
              <w:spacing w:after="0"/>
            </w:pPr>
            <w:r w:rsidRPr="00F20029">
              <w:t>333,504,555</w:t>
            </w:r>
          </w:p>
          <w:p w14:paraId="77098B01" w14:textId="041059F1" w:rsidR="0038683E" w:rsidRDefault="00E971BC" w:rsidP="00A3087A">
            <w:pPr>
              <w:pStyle w:val="TableTextLeft"/>
              <w:spacing w:before="0"/>
            </w:pPr>
            <w:r>
              <w:t>(</w:t>
            </w:r>
            <w:r w:rsidR="00A3087A">
              <w:t>12.7%)</w:t>
            </w:r>
          </w:p>
        </w:tc>
        <w:tc>
          <w:tcPr>
            <w:tcW w:w="506" w:type="pct"/>
          </w:tcPr>
          <w:p w14:paraId="5E180E11" w14:textId="272BD353" w:rsidR="003876AE" w:rsidRDefault="00C46ECD">
            <w:pPr>
              <w:pStyle w:val="TableTextLeft"/>
            </w:pPr>
            <w:r w:rsidRPr="00C46ECD">
              <w:t>171,374</w:t>
            </w:r>
          </w:p>
        </w:tc>
        <w:tc>
          <w:tcPr>
            <w:tcW w:w="540" w:type="pct"/>
          </w:tcPr>
          <w:p w14:paraId="5A81BFCB" w14:textId="7F1F3E01" w:rsidR="00BE2490" w:rsidRDefault="00264CEE" w:rsidP="00C60C85">
            <w:pPr>
              <w:pStyle w:val="TableTextLeft"/>
              <w:keepNext/>
              <w:spacing w:after="0"/>
            </w:pPr>
            <w:r w:rsidRPr="00264CEE">
              <w:t>81,574,125</w:t>
            </w:r>
          </w:p>
          <w:p w14:paraId="1D663E31" w14:textId="0BCF696D" w:rsidR="00BE2490" w:rsidRDefault="00A3087A" w:rsidP="00C60C85">
            <w:pPr>
              <w:pStyle w:val="TableTextLeft"/>
              <w:spacing w:before="0"/>
            </w:pPr>
            <w:r>
              <w:t>(</w:t>
            </w:r>
            <w:r w:rsidR="00C60C85">
              <w:t>14.0%)</w:t>
            </w:r>
          </w:p>
        </w:tc>
        <w:tc>
          <w:tcPr>
            <w:tcW w:w="535" w:type="pct"/>
          </w:tcPr>
          <w:p w14:paraId="0AF4B277" w14:textId="5BBC757A" w:rsidR="00BE2490" w:rsidRDefault="00871927" w:rsidP="00087124">
            <w:pPr>
              <w:pStyle w:val="TableTextLeft"/>
              <w:spacing w:after="0"/>
            </w:pPr>
            <w:r w:rsidRPr="00871927">
              <w:t>636</w:t>
            </w:r>
          </w:p>
          <w:p w14:paraId="5BE07B31" w14:textId="65DFCE9A" w:rsidR="003876AE" w:rsidRDefault="00087124" w:rsidP="00087124">
            <w:pPr>
              <w:pStyle w:val="TableTextLeft"/>
              <w:spacing w:before="0"/>
            </w:pPr>
            <w:r>
              <w:t>(0.3%)</w:t>
            </w:r>
          </w:p>
        </w:tc>
      </w:tr>
      <w:tr w:rsidR="0036384F" w14:paraId="4D545E29" w14:textId="77777777" w:rsidTr="000A7ED0">
        <w:trPr>
          <w:cantSplit/>
          <w:trHeight w:val="270"/>
        </w:trPr>
        <w:tc>
          <w:tcPr>
            <w:tcW w:w="1051" w:type="pct"/>
          </w:tcPr>
          <w:p w14:paraId="3F53A007" w14:textId="52157D36" w:rsidR="003876AE" w:rsidRDefault="003876AE" w:rsidP="00491FC7">
            <w:pPr>
              <w:pStyle w:val="TableTextLeft"/>
            </w:pPr>
            <w:r>
              <w:t>Investor directed portfolio services (IDPS) operators</w:t>
            </w:r>
          </w:p>
        </w:tc>
        <w:tc>
          <w:tcPr>
            <w:tcW w:w="384" w:type="pct"/>
          </w:tcPr>
          <w:p w14:paraId="062F0EDA" w14:textId="2886A0DC" w:rsidR="003876AE" w:rsidRDefault="008D6336">
            <w:pPr>
              <w:pStyle w:val="TableTextLeft"/>
            </w:pPr>
            <w:r>
              <w:t>76</w:t>
            </w:r>
          </w:p>
        </w:tc>
        <w:tc>
          <w:tcPr>
            <w:tcW w:w="555" w:type="pct"/>
          </w:tcPr>
          <w:p w14:paraId="565980A9" w14:textId="2785A0EA" w:rsidR="003876AE" w:rsidRDefault="008D6336">
            <w:pPr>
              <w:pStyle w:val="TableTextLeft"/>
            </w:pPr>
            <w:r>
              <w:t>70</w:t>
            </w:r>
          </w:p>
        </w:tc>
        <w:tc>
          <w:tcPr>
            <w:tcW w:w="314" w:type="pct"/>
          </w:tcPr>
          <w:p w14:paraId="1F5C9BC2" w14:textId="7737FD0F" w:rsidR="003876AE" w:rsidRDefault="0044526E">
            <w:pPr>
              <w:pStyle w:val="TableTextLeft"/>
            </w:pPr>
            <w:r>
              <w:t>Y</w:t>
            </w:r>
          </w:p>
        </w:tc>
        <w:tc>
          <w:tcPr>
            <w:tcW w:w="540" w:type="pct"/>
          </w:tcPr>
          <w:p w14:paraId="42A9A777" w14:textId="41C4CE89" w:rsidR="003876AE" w:rsidRDefault="00D827A2">
            <w:pPr>
              <w:pStyle w:val="TableTextLeft"/>
            </w:pPr>
            <w:r w:rsidRPr="00D827A2">
              <w:t>5,327,159</w:t>
            </w:r>
          </w:p>
        </w:tc>
        <w:tc>
          <w:tcPr>
            <w:tcW w:w="575" w:type="pct"/>
          </w:tcPr>
          <w:p w14:paraId="433DCACD" w14:textId="530FB96A" w:rsidR="00BE2490" w:rsidRDefault="00E04ABE" w:rsidP="00F80D9B">
            <w:pPr>
              <w:pStyle w:val="TableTextLeft"/>
              <w:keepNext/>
              <w:spacing w:after="0"/>
            </w:pPr>
            <w:r w:rsidRPr="00E04ABE">
              <w:t>372,901,140</w:t>
            </w:r>
          </w:p>
          <w:p w14:paraId="11021C28" w14:textId="5B8FE4AD" w:rsidR="0038683E" w:rsidRDefault="001D0F5C" w:rsidP="001D0F5C">
            <w:pPr>
              <w:pStyle w:val="TableTextLeft"/>
              <w:spacing w:before="0"/>
            </w:pPr>
            <w:r>
              <w:t>(14.2%)</w:t>
            </w:r>
          </w:p>
        </w:tc>
        <w:tc>
          <w:tcPr>
            <w:tcW w:w="506" w:type="pct"/>
          </w:tcPr>
          <w:p w14:paraId="018A526E" w14:textId="18398173" w:rsidR="003876AE" w:rsidRDefault="00D827A2">
            <w:pPr>
              <w:pStyle w:val="TableTextLeft"/>
            </w:pPr>
            <w:r w:rsidRPr="00D827A2">
              <w:t>1,264,46</w:t>
            </w:r>
            <w:r w:rsidR="00F71C35">
              <w:t>1</w:t>
            </w:r>
          </w:p>
        </w:tc>
        <w:tc>
          <w:tcPr>
            <w:tcW w:w="540" w:type="pct"/>
          </w:tcPr>
          <w:p w14:paraId="780D0B43" w14:textId="474BA4FD" w:rsidR="00BE2490" w:rsidRDefault="00712D2A" w:rsidP="006B42D3">
            <w:pPr>
              <w:pStyle w:val="TableTextLeft"/>
              <w:spacing w:after="0"/>
            </w:pPr>
            <w:r w:rsidRPr="00712D2A">
              <w:t>88,512,26</w:t>
            </w:r>
            <w:r w:rsidR="00433EB6">
              <w:t>2</w:t>
            </w:r>
          </w:p>
          <w:p w14:paraId="21E3330D" w14:textId="79DC0D4E" w:rsidR="00BE2490" w:rsidRDefault="006B42D3" w:rsidP="006B42D3">
            <w:pPr>
              <w:pStyle w:val="TableTextLeft"/>
              <w:spacing w:before="0"/>
            </w:pPr>
            <w:r>
              <w:t>(15.1%)</w:t>
            </w:r>
          </w:p>
        </w:tc>
        <w:tc>
          <w:tcPr>
            <w:tcW w:w="535" w:type="pct"/>
          </w:tcPr>
          <w:p w14:paraId="35690C4E" w14:textId="7713DB4F" w:rsidR="00BE2490" w:rsidRDefault="004242DF" w:rsidP="00CA48BA">
            <w:pPr>
              <w:pStyle w:val="TableTextLeft"/>
              <w:spacing w:after="0"/>
            </w:pPr>
            <w:r w:rsidRPr="004242DF">
              <w:t>13</w:t>
            </w:r>
            <w:r w:rsidR="008D5F8E">
              <w:t>2</w:t>
            </w:r>
          </w:p>
          <w:p w14:paraId="32890367" w14:textId="7674ECD7" w:rsidR="003876AE" w:rsidRDefault="00CA48BA" w:rsidP="00CA48BA">
            <w:pPr>
              <w:pStyle w:val="TableTextLeft"/>
              <w:spacing w:before="0"/>
            </w:pPr>
            <w:r>
              <w:t>(0.1%)</w:t>
            </w:r>
          </w:p>
        </w:tc>
      </w:tr>
      <w:tr w:rsidR="0036384F" w14:paraId="4928F4EC" w14:textId="77777777" w:rsidTr="000A7ED0">
        <w:trPr>
          <w:cantSplit/>
          <w:trHeight w:val="270"/>
        </w:trPr>
        <w:tc>
          <w:tcPr>
            <w:tcW w:w="1051" w:type="pct"/>
          </w:tcPr>
          <w:p w14:paraId="25D875B4" w14:textId="787E21B2" w:rsidR="003876AE" w:rsidRDefault="003876AE" w:rsidP="00491FC7">
            <w:pPr>
              <w:pStyle w:val="TableTextLeft"/>
            </w:pPr>
            <w:r>
              <w:t>Managed discretionary account (MDA) providers</w:t>
            </w:r>
          </w:p>
        </w:tc>
        <w:tc>
          <w:tcPr>
            <w:tcW w:w="384" w:type="pct"/>
          </w:tcPr>
          <w:p w14:paraId="7C283761" w14:textId="4164CA1C" w:rsidR="003876AE" w:rsidRDefault="008D6336">
            <w:pPr>
              <w:pStyle w:val="TableTextLeft"/>
            </w:pPr>
            <w:r>
              <w:t>252</w:t>
            </w:r>
          </w:p>
        </w:tc>
        <w:tc>
          <w:tcPr>
            <w:tcW w:w="555" w:type="pct"/>
          </w:tcPr>
          <w:p w14:paraId="2DE17EE6" w14:textId="71B272DE" w:rsidR="003876AE" w:rsidRDefault="008D6336">
            <w:pPr>
              <w:pStyle w:val="TableTextLeft"/>
            </w:pPr>
            <w:r>
              <w:t>208</w:t>
            </w:r>
          </w:p>
        </w:tc>
        <w:tc>
          <w:tcPr>
            <w:tcW w:w="314" w:type="pct"/>
          </w:tcPr>
          <w:p w14:paraId="3712C94F" w14:textId="6A590384" w:rsidR="003876AE" w:rsidRDefault="0044526E">
            <w:pPr>
              <w:pStyle w:val="TableTextLeft"/>
            </w:pPr>
            <w:r>
              <w:t>Y</w:t>
            </w:r>
          </w:p>
        </w:tc>
        <w:tc>
          <w:tcPr>
            <w:tcW w:w="540" w:type="pct"/>
          </w:tcPr>
          <w:p w14:paraId="3ECDFE5E" w14:textId="4F099E67" w:rsidR="003876AE" w:rsidRDefault="007833E1">
            <w:pPr>
              <w:pStyle w:val="TableTextLeft"/>
            </w:pPr>
            <w:r w:rsidRPr="007833E1">
              <w:t>9,473</w:t>
            </w:r>
          </w:p>
        </w:tc>
        <w:tc>
          <w:tcPr>
            <w:tcW w:w="575" w:type="pct"/>
          </w:tcPr>
          <w:p w14:paraId="3594E9D3" w14:textId="079AC0BE" w:rsidR="00BE2490" w:rsidRDefault="00734103" w:rsidP="0005735F">
            <w:pPr>
              <w:pStyle w:val="TableTextLeft"/>
              <w:keepNext/>
              <w:spacing w:after="0"/>
            </w:pPr>
            <w:r w:rsidRPr="00734103">
              <w:t>1,970,420</w:t>
            </w:r>
          </w:p>
          <w:p w14:paraId="66651726" w14:textId="2A5CF199" w:rsidR="0038683E" w:rsidRDefault="00157F2F" w:rsidP="0005735F">
            <w:pPr>
              <w:pStyle w:val="TableTextLeft"/>
              <w:spacing w:before="0"/>
            </w:pPr>
            <w:r>
              <w:t>(&lt;0.1%)</w:t>
            </w:r>
          </w:p>
        </w:tc>
        <w:tc>
          <w:tcPr>
            <w:tcW w:w="506" w:type="pct"/>
          </w:tcPr>
          <w:p w14:paraId="7FA43A8E" w14:textId="26A32603" w:rsidR="003876AE" w:rsidRDefault="00032E70">
            <w:pPr>
              <w:pStyle w:val="TableTextLeft"/>
            </w:pPr>
            <w:r w:rsidRPr="00032E70">
              <w:t>1,054</w:t>
            </w:r>
          </w:p>
        </w:tc>
        <w:tc>
          <w:tcPr>
            <w:tcW w:w="540" w:type="pct"/>
          </w:tcPr>
          <w:p w14:paraId="3A134DA1" w14:textId="14B1E83C" w:rsidR="00BE2490" w:rsidRDefault="002E5F81" w:rsidP="0005735F">
            <w:pPr>
              <w:pStyle w:val="TableTextLeft"/>
              <w:keepNext/>
              <w:spacing w:after="0"/>
            </w:pPr>
            <w:r w:rsidRPr="002E5F81">
              <w:t>219,304</w:t>
            </w:r>
          </w:p>
          <w:p w14:paraId="595E68A8" w14:textId="4AAD3ACC" w:rsidR="00BE2490" w:rsidRDefault="00D722A1" w:rsidP="0005735F">
            <w:pPr>
              <w:pStyle w:val="TableTextLeft"/>
              <w:spacing w:before="0"/>
            </w:pPr>
            <w:r>
              <w:t>(&lt;0.1%)</w:t>
            </w:r>
          </w:p>
        </w:tc>
        <w:tc>
          <w:tcPr>
            <w:tcW w:w="535" w:type="pct"/>
          </w:tcPr>
          <w:p w14:paraId="20F41B61" w14:textId="75A242FF" w:rsidR="00BE2490" w:rsidRDefault="00B20CF6" w:rsidP="000F70B9">
            <w:pPr>
              <w:pStyle w:val="TableTextLeft"/>
              <w:spacing w:after="0"/>
            </w:pPr>
            <w:r w:rsidRPr="00B20CF6">
              <w:t>96</w:t>
            </w:r>
            <w:r w:rsidR="008D5F8E">
              <w:t>2</w:t>
            </w:r>
          </w:p>
          <w:p w14:paraId="5A6754B1" w14:textId="0FF769C5" w:rsidR="003876AE" w:rsidRDefault="000F70B9" w:rsidP="000F70B9">
            <w:pPr>
              <w:pStyle w:val="TableTextLeft"/>
              <w:spacing w:before="0"/>
            </w:pPr>
            <w:r>
              <w:t>(0.5%)</w:t>
            </w:r>
          </w:p>
        </w:tc>
      </w:tr>
      <w:tr w:rsidR="0036384F" w14:paraId="02C5A636" w14:textId="77777777" w:rsidTr="000A7ED0">
        <w:trPr>
          <w:cantSplit/>
          <w:trHeight w:val="270"/>
        </w:trPr>
        <w:tc>
          <w:tcPr>
            <w:tcW w:w="1051" w:type="pct"/>
          </w:tcPr>
          <w:p w14:paraId="6C48AF03" w14:textId="65DA8395" w:rsidR="003876AE" w:rsidRDefault="003876AE" w:rsidP="00CF07B7">
            <w:pPr>
              <w:pStyle w:val="TableTextLeft"/>
            </w:pPr>
            <w:r>
              <w:t>Traditional trustee company service providers</w:t>
            </w:r>
          </w:p>
        </w:tc>
        <w:tc>
          <w:tcPr>
            <w:tcW w:w="384" w:type="pct"/>
          </w:tcPr>
          <w:p w14:paraId="3B6EEE3E" w14:textId="11FFD1B6" w:rsidR="003876AE" w:rsidRDefault="00BD0FF5">
            <w:pPr>
              <w:pStyle w:val="TableTextLeft"/>
            </w:pPr>
            <w:r>
              <w:t>11</w:t>
            </w:r>
          </w:p>
        </w:tc>
        <w:tc>
          <w:tcPr>
            <w:tcW w:w="555" w:type="pct"/>
          </w:tcPr>
          <w:p w14:paraId="29B68695" w14:textId="3BE4AD09" w:rsidR="003876AE" w:rsidRDefault="00BD0FF5">
            <w:pPr>
              <w:pStyle w:val="TableTextLeft"/>
            </w:pPr>
            <w:r>
              <w:t>9</w:t>
            </w:r>
          </w:p>
        </w:tc>
        <w:tc>
          <w:tcPr>
            <w:tcW w:w="314" w:type="pct"/>
          </w:tcPr>
          <w:p w14:paraId="764ADB46" w14:textId="36799D04" w:rsidR="003876AE" w:rsidRDefault="0044526E">
            <w:pPr>
              <w:pStyle w:val="TableTextLeft"/>
            </w:pPr>
            <w:r>
              <w:t>Y</w:t>
            </w:r>
          </w:p>
        </w:tc>
        <w:tc>
          <w:tcPr>
            <w:tcW w:w="540" w:type="pct"/>
          </w:tcPr>
          <w:p w14:paraId="5A55D599" w14:textId="0B1BD9DE" w:rsidR="003876AE" w:rsidRDefault="00B71EE0">
            <w:pPr>
              <w:pStyle w:val="TableTextLeft"/>
            </w:pPr>
            <w:r>
              <w:t>Unavailable</w:t>
            </w:r>
            <w:bookmarkStart w:id="25" w:name="_Ref201225250"/>
            <w:r>
              <w:rPr>
                <w:rStyle w:val="FootnoteReference"/>
              </w:rPr>
              <w:footnoteReference w:id="10"/>
            </w:r>
            <w:bookmarkEnd w:id="25"/>
          </w:p>
        </w:tc>
        <w:tc>
          <w:tcPr>
            <w:tcW w:w="575" w:type="pct"/>
          </w:tcPr>
          <w:p w14:paraId="21FB488D" w14:textId="2910925A" w:rsidR="0038683E" w:rsidRDefault="008F198D">
            <w:pPr>
              <w:pStyle w:val="TableTextLeft"/>
            </w:pPr>
            <w:r>
              <w:t>N/A</w:t>
            </w:r>
          </w:p>
        </w:tc>
        <w:tc>
          <w:tcPr>
            <w:tcW w:w="506" w:type="pct"/>
          </w:tcPr>
          <w:p w14:paraId="29F035C3" w14:textId="0E97C34D" w:rsidR="003876AE" w:rsidRDefault="00B71EE0">
            <w:pPr>
              <w:pStyle w:val="TableTextLeft"/>
            </w:pPr>
            <w:r>
              <w:t>Unavailabl</w:t>
            </w:r>
            <w:r w:rsidR="00AC0860">
              <w:t>e</w:t>
            </w:r>
            <w:r w:rsidR="00F8286F">
              <w:fldChar w:fldCharType="begin"/>
            </w:r>
            <w:r w:rsidR="00F8286F">
              <w:instrText xml:space="preserve"> NOTEREF _Ref201225250 \f \h </w:instrText>
            </w:r>
            <w:r w:rsidR="00F8286F">
              <w:fldChar w:fldCharType="separate"/>
            </w:r>
            <w:r w:rsidR="00B87979" w:rsidRPr="00B87979">
              <w:rPr>
                <w:rStyle w:val="FootnoteReference"/>
              </w:rPr>
              <w:t>9</w:t>
            </w:r>
            <w:r w:rsidR="00F8286F">
              <w:fldChar w:fldCharType="end"/>
            </w:r>
          </w:p>
        </w:tc>
        <w:tc>
          <w:tcPr>
            <w:tcW w:w="540" w:type="pct"/>
          </w:tcPr>
          <w:p w14:paraId="1E1E4C9D" w14:textId="063170C6" w:rsidR="00BE2490" w:rsidRDefault="008F198D">
            <w:pPr>
              <w:pStyle w:val="TableTextLeft"/>
            </w:pPr>
            <w:r>
              <w:t>N/A</w:t>
            </w:r>
          </w:p>
        </w:tc>
        <w:tc>
          <w:tcPr>
            <w:tcW w:w="535" w:type="pct"/>
          </w:tcPr>
          <w:p w14:paraId="0EE06973" w14:textId="6AD5EC09" w:rsidR="00BE2490" w:rsidRDefault="00FB06F2" w:rsidP="00E73414">
            <w:pPr>
              <w:pStyle w:val="TableTextLeft"/>
              <w:spacing w:after="0"/>
            </w:pPr>
            <w:r w:rsidRPr="00FB06F2">
              <w:t>49</w:t>
            </w:r>
            <w:r w:rsidR="00122D67">
              <w:t>4</w:t>
            </w:r>
          </w:p>
          <w:p w14:paraId="7F4B31E2" w14:textId="08B50043" w:rsidR="003876AE" w:rsidRDefault="00A46228" w:rsidP="00E73414">
            <w:pPr>
              <w:pStyle w:val="TableTextLeft"/>
              <w:spacing w:before="0"/>
            </w:pPr>
            <w:r>
              <w:t>(</w:t>
            </w:r>
            <w:r w:rsidR="00E73414">
              <w:t>0.2%)</w:t>
            </w:r>
          </w:p>
        </w:tc>
      </w:tr>
      <w:tr w:rsidR="003876AE" w14:paraId="616253CA" w14:textId="77777777" w:rsidTr="000A7ED0">
        <w:trPr>
          <w:cantSplit/>
          <w:trHeight w:val="270"/>
        </w:trPr>
        <w:tc>
          <w:tcPr>
            <w:tcW w:w="5000" w:type="pct"/>
            <w:gridSpan w:val="9"/>
            <w:shd w:val="clear" w:color="auto" w:fill="F2F2F2" w:themeFill="background1" w:themeFillShade="F2"/>
          </w:tcPr>
          <w:p w14:paraId="5D38A6C2" w14:textId="7B46D990" w:rsidR="003876AE" w:rsidRPr="00C278C9" w:rsidRDefault="003876AE" w:rsidP="003876AE">
            <w:pPr>
              <w:pStyle w:val="TableTextLeft"/>
              <w:keepNext/>
              <w:rPr>
                <w:b/>
                <w:bCs/>
              </w:rPr>
            </w:pPr>
            <w:r w:rsidRPr="00C278C9">
              <w:rPr>
                <w:b/>
                <w:bCs/>
              </w:rPr>
              <w:t>Market infrastructure sector</w:t>
            </w:r>
          </w:p>
        </w:tc>
      </w:tr>
      <w:tr w:rsidR="0036384F" w14:paraId="020D2A31" w14:textId="77777777" w:rsidTr="000A7ED0">
        <w:trPr>
          <w:cantSplit/>
          <w:trHeight w:val="270"/>
        </w:trPr>
        <w:tc>
          <w:tcPr>
            <w:tcW w:w="1051" w:type="pct"/>
          </w:tcPr>
          <w:p w14:paraId="1273CC15" w14:textId="71FFA745" w:rsidR="003876AE" w:rsidRDefault="003876AE" w:rsidP="00C121C7">
            <w:pPr>
              <w:pStyle w:val="TableTextLeft"/>
            </w:pPr>
            <w:r>
              <w:t>Large securities exchange operators</w:t>
            </w:r>
          </w:p>
        </w:tc>
        <w:tc>
          <w:tcPr>
            <w:tcW w:w="384" w:type="pct"/>
          </w:tcPr>
          <w:p w14:paraId="7F68F507" w14:textId="7DA1ED8E" w:rsidR="003876AE" w:rsidRDefault="009C2673">
            <w:pPr>
              <w:pStyle w:val="TableTextLeft"/>
            </w:pPr>
            <w:r>
              <w:t>2</w:t>
            </w:r>
          </w:p>
        </w:tc>
        <w:tc>
          <w:tcPr>
            <w:tcW w:w="555" w:type="pct"/>
          </w:tcPr>
          <w:p w14:paraId="788CFE9B" w14:textId="6282219F" w:rsidR="003876AE" w:rsidRDefault="009C2673">
            <w:pPr>
              <w:pStyle w:val="TableTextLeft"/>
            </w:pPr>
            <w:r>
              <w:t>0</w:t>
            </w:r>
          </w:p>
        </w:tc>
        <w:tc>
          <w:tcPr>
            <w:tcW w:w="314" w:type="pct"/>
          </w:tcPr>
          <w:p w14:paraId="7CB51746" w14:textId="51726CCC" w:rsidR="003876AE" w:rsidRDefault="0044526E">
            <w:pPr>
              <w:pStyle w:val="TableTextLeft"/>
            </w:pPr>
            <w:r>
              <w:t>N</w:t>
            </w:r>
          </w:p>
        </w:tc>
        <w:tc>
          <w:tcPr>
            <w:tcW w:w="540" w:type="pct"/>
          </w:tcPr>
          <w:p w14:paraId="54108442" w14:textId="05D5F971" w:rsidR="003876AE" w:rsidRDefault="00F048AD">
            <w:pPr>
              <w:pStyle w:val="TableTextLeft"/>
            </w:pPr>
            <w:r>
              <w:t>N/A</w:t>
            </w:r>
          </w:p>
        </w:tc>
        <w:tc>
          <w:tcPr>
            <w:tcW w:w="575" w:type="pct"/>
          </w:tcPr>
          <w:p w14:paraId="2956CDD3" w14:textId="163152D3" w:rsidR="0038683E" w:rsidRDefault="008F198D">
            <w:pPr>
              <w:pStyle w:val="TableTextLeft"/>
            </w:pPr>
            <w:r w:rsidRPr="00173174">
              <w:t>N/A</w:t>
            </w:r>
          </w:p>
        </w:tc>
        <w:tc>
          <w:tcPr>
            <w:tcW w:w="506" w:type="pct"/>
          </w:tcPr>
          <w:p w14:paraId="18AEACDF" w14:textId="129D9B82" w:rsidR="003876AE" w:rsidRDefault="00EF78E6">
            <w:pPr>
              <w:pStyle w:val="TableTextLeft"/>
            </w:pPr>
            <w:r>
              <w:t>N/A</w:t>
            </w:r>
          </w:p>
        </w:tc>
        <w:tc>
          <w:tcPr>
            <w:tcW w:w="540" w:type="pct"/>
          </w:tcPr>
          <w:p w14:paraId="1708BD9F" w14:textId="5FA5C3C3" w:rsidR="00BE2490" w:rsidRDefault="008F198D">
            <w:pPr>
              <w:pStyle w:val="TableTextLeft"/>
            </w:pPr>
            <w:r w:rsidRPr="00F025D3">
              <w:t>N/A</w:t>
            </w:r>
          </w:p>
        </w:tc>
        <w:tc>
          <w:tcPr>
            <w:tcW w:w="535" w:type="pct"/>
          </w:tcPr>
          <w:p w14:paraId="002AB923" w14:textId="07F2E372" w:rsidR="003876AE" w:rsidRDefault="00E415EC">
            <w:pPr>
              <w:pStyle w:val="TableTextLeft"/>
            </w:pPr>
            <w:r>
              <w:t>N/A</w:t>
            </w:r>
          </w:p>
        </w:tc>
      </w:tr>
      <w:tr w:rsidR="0036384F" w14:paraId="61DFBD64" w14:textId="77777777" w:rsidTr="000A7ED0">
        <w:trPr>
          <w:cantSplit/>
          <w:trHeight w:val="270"/>
        </w:trPr>
        <w:tc>
          <w:tcPr>
            <w:tcW w:w="1051" w:type="pct"/>
          </w:tcPr>
          <w:p w14:paraId="069E8B97" w14:textId="158FDACD" w:rsidR="003876AE" w:rsidRDefault="003876AE" w:rsidP="00A025A5">
            <w:pPr>
              <w:pStyle w:val="TableTextLeft"/>
            </w:pPr>
            <w:r>
              <w:t>Large futures exchange operators</w:t>
            </w:r>
          </w:p>
        </w:tc>
        <w:tc>
          <w:tcPr>
            <w:tcW w:w="384" w:type="pct"/>
          </w:tcPr>
          <w:p w14:paraId="0B5DE398" w14:textId="78F1CBF4" w:rsidR="003876AE" w:rsidRDefault="009C2673">
            <w:pPr>
              <w:pStyle w:val="TableTextLeft"/>
            </w:pPr>
            <w:r>
              <w:t>1</w:t>
            </w:r>
          </w:p>
        </w:tc>
        <w:tc>
          <w:tcPr>
            <w:tcW w:w="555" w:type="pct"/>
          </w:tcPr>
          <w:p w14:paraId="2BF0F97D" w14:textId="062EBA02" w:rsidR="003876AE" w:rsidRDefault="009C2673">
            <w:pPr>
              <w:pStyle w:val="TableTextLeft"/>
            </w:pPr>
            <w:r>
              <w:t>0</w:t>
            </w:r>
          </w:p>
        </w:tc>
        <w:tc>
          <w:tcPr>
            <w:tcW w:w="314" w:type="pct"/>
          </w:tcPr>
          <w:p w14:paraId="308AC16C" w14:textId="421F877F" w:rsidR="003876AE" w:rsidRDefault="0044526E">
            <w:pPr>
              <w:pStyle w:val="TableTextLeft"/>
            </w:pPr>
            <w:r>
              <w:t>N</w:t>
            </w:r>
          </w:p>
        </w:tc>
        <w:tc>
          <w:tcPr>
            <w:tcW w:w="540" w:type="pct"/>
          </w:tcPr>
          <w:p w14:paraId="569FFDE3" w14:textId="44137587" w:rsidR="003876AE" w:rsidRDefault="00F048AD">
            <w:pPr>
              <w:pStyle w:val="TableTextLeft"/>
            </w:pPr>
            <w:r>
              <w:t>N/A</w:t>
            </w:r>
          </w:p>
        </w:tc>
        <w:tc>
          <w:tcPr>
            <w:tcW w:w="575" w:type="pct"/>
          </w:tcPr>
          <w:p w14:paraId="6D3257F6" w14:textId="7D431EA3" w:rsidR="0038683E" w:rsidRDefault="008F198D">
            <w:pPr>
              <w:pStyle w:val="TableTextLeft"/>
            </w:pPr>
            <w:r w:rsidRPr="00173174">
              <w:t>N/A</w:t>
            </w:r>
          </w:p>
        </w:tc>
        <w:tc>
          <w:tcPr>
            <w:tcW w:w="506" w:type="pct"/>
          </w:tcPr>
          <w:p w14:paraId="52DBC043" w14:textId="1BBAB4CA" w:rsidR="003876AE" w:rsidRDefault="00EF78E6">
            <w:pPr>
              <w:pStyle w:val="TableTextLeft"/>
            </w:pPr>
            <w:r>
              <w:t>N/A</w:t>
            </w:r>
          </w:p>
        </w:tc>
        <w:tc>
          <w:tcPr>
            <w:tcW w:w="540" w:type="pct"/>
          </w:tcPr>
          <w:p w14:paraId="7B8721E6" w14:textId="7553EC4C" w:rsidR="00BE2490" w:rsidRDefault="008F198D">
            <w:pPr>
              <w:pStyle w:val="TableTextLeft"/>
            </w:pPr>
            <w:r w:rsidRPr="00F025D3">
              <w:t>N/A</w:t>
            </w:r>
          </w:p>
        </w:tc>
        <w:tc>
          <w:tcPr>
            <w:tcW w:w="535" w:type="pct"/>
          </w:tcPr>
          <w:p w14:paraId="536B992A" w14:textId="0B691FE0" w:rsidR="003876AE" w:rsidRDefault="00E415EC">
            <w:pPr>
              <w:pStyle w:val="TableTextLeft"/>
            </w:pPr>
            <w:r>
              <w:t>N/A</w:t>
            </w:r>
          </w:p>
        </w:tc>
      </w:tr>
      <w:tr w:rsidR="0036384F" w14:paraId="0A9027E7" w14:textId="77777777" w:rsidTr="000A7ED0">
        <w:trPr>
          <w:cantSplit/>
          <w:trHeight w:val="270"/>
        </w:trPr>
        <w:tc>
          <w:tcPr>
            <w:tcW w:w="1051" w:type="pct"/>
          </w:tcPr>
          <w:p w14:paraId="0366BB66" w14:textId="548855A3" w:rsidR="003876AE" w:rsidRDefault="003876AE" w:rsidP="00A025A5">
            <w:pPr>
              <w:pStyle w:val="TableTextLeft"/>
            </w:pPr>
            <w:r>
              <w:lastRenderedPageBreak/>
              <w:t>Small futures exchange operators</w:t>
            </w:r>
          </w:p>
        </w:tc>
        <w:tc>
          <w:tcPr>
            <w:tcW w:w="384" w:type="pct"/>
          </w:tcPr>
          <w:p w14:paraId="172FE6BD" w14:textId="5015E6DD" w:rsidR="003876AE" w:rsidRDefault="00AF75EC">
            <w:pPr>
              <w:pStyle w:val="TableTextLeft"/>
            </w:pPr>
            <w:r>
              <w:t>1</w:t>
            </w:r>
          </w:p>
        </w:tc>
        <w:tc>
          <w:tcPr>
            <w:tcW w:w="555" w:type="pct"/>
          </w:tcPr>
          <w:p w14:paraId="23B39A5B" w14:textId="5B6F4B03" w:rsidR="003876AE" w:rsidRDefault="00AF75EC">
            <w:pPr>
              <w:pStyle w:val="TableTextLeft"/>
            </w:pPr>
            <w:r>
              <w:t>0</w:t>
            </w:r>
          </w:p>
        </w:tc>
        <w:tc>
          <w:tcPr>
            <w:tcW w:w="314" w:type="pct"/>
          </w:tcPr>
          <w:p w14:paraId="12560B78" w14:textId="6AEF04FD" w:rsidR="003876AE" w:rsidRDefault="0044526E">
            <w:pPr>
              <w:pStyle w:val="TableTextLeft"/>
            </w:pPr>
            <w:r>
              <w:t>N</w:t>
            </w:r>
          </w:p>
        </w:tc>
        <w:tc>
          <w:tcPr>
            <w:tcW w:w="540" w:type="pct"/>
          </w:tcPr>
          <w:p w14:paraId="3C3569A7" w14:textId="75798351" w:rsidR="003876AE" w:rsidRDefault="00F048AD">
            <w:pPr>
              <w:pStyle w:val="TableTextLeft"/>
            </w:pPr>
            <w:r>
              <w:t>N/A</w:t>
            </w:r>
          </w:p>
        </w:tc>
        <w:tc>
          <w:tcPr>
            <w:tcW w:w="575" w:type="pct"/>
          </w:tcPr>
          <w:p w14:paraId="193FF018" w14:textId="12FB3B55" w:rsidR="0038683E" w:rsidRDefault="008F198D">
            <w:pPr>
              <w:pStyle w:val="TableTextLeft"/>
            </w:pPr>
            <w:r w:rsidRPr="00173174">
              <w:t>N/A</w:t>
            </w:r>
          </w:p>
        </w:tc>
        <w:tc>
          <w:tcPr>
            <w:tcW w:w="506" w:type="pct"/>
          </w:tcPr>
          <w:p w14:paraId="68230847" w14:textId="50481689" w:rsidR="003876AE" w:rsidRDefault="00EF78E6">
            <w:pPr>
              <w:pStyle w:val="TableTextLeft"/>
            </w:pPr>
            <w:r>
              <w:t>N/A</w:t>
            </w:r>
          </w:p>
        </w:tc>
        <w:tc>
          <w:tcPr>
            <w:tcW w:w="540" w:type="pct"/>
          </w:tcPr>
          <w:p w14:paraId="52055615" w14:textId="2F9D255C" w:rsidR="00BE2490" w:rsidRDefault="008F198D">
            <w:pPr>
              <w:pStyle w:val="TableTextLeft"/>
            </w:pPr>
            <w:r w:rsidRPr="00F025D3">
              <w:t>N/A</w:t>
            </w:r>
          </w:p>
        </w:tc>
        <w:tc>
          <w:tcPr>
            <w:tcW w:w="535" w:type="pct"/>
          </w:tcPr>
          <w:p w14:paraId="2301791E" w14:textId="472779D1" w:rsidR="003876AE" w:rsidRDefault="00E415EC">
            <w:pPr>
              <w:pStyle w:val="TableTextLeft"/>
            </w:pPr>
            <w:r>
              <w:t>N/A</w:t>
            </w:r>
          </w:p>
        </w:tc>
      </w:tr>
      <w:tr w:rsidR="0036384F" w14:paraId="4A01D209" w14:textId="77777777" w:rsidTr="000A7ED0">
        <w:trPr>
          <w:cantSplit/>
          <w:trHeight w:val="270"/>
        </w:trPr>
        <w:tc>
          <w:tcPr>
            <w:tcW w:w="1051" w:type="pct"/>
          </w:tcPr>
          <w:p w14:paraId="59111398" w14:textId="4146ED38" w:rsidR="003876AE" w:rsidRDefault="003876AE" w:rsidP="00A025A5">
            <w:pPr>
              <w:pStyle w:val="TableTextLeft"/>
            </w:pPr>
            <w:r>
              <w:t>Small securities exchange operators</w:t>
            </w:r>
          </w:p>
        </w:tc>
        <w:tc>
          <w:tcPr>
            <w:tcW w:w="384" w:type="pct"/>
          </w:tcPr>
          <w:p w14:paraId="7F29A247" w14:textId="27EBAD1C" w:rsidR="003876AE" w:rsidRDefault="00AF75EC">
            <w:pPr>
              <w:pStyle w:val="TableTextLeft"/>
            </w:pPr>
            <w:r>
              <w:t>2</w:t>
            </w:r>
          </w:p>
        </w:tc>
        <w:tc>
          <w:tcPr>
            <w:tcW w:w="555" w:type="pct"/>
          </w:tcPr>
          <w:p w14:paraId="7B438BDB" w14:textId="71D6FDE9" w:rsidR="003876AE" w:rsidRDefault="00AF75EC">
            <w:pPr>
              <w:pStyle w:val="TableTextLeft"/>
            </w:pPr>
            <w:r>
              <w:t>0</w:t>
            </w:r>
          </w:p>
        </w:tc>
        <w:tc>
          <w:tcPr>
            <w:tcW w:w="314" w:type="pct"/>
          </w:tcPr>
          <w:p w14:paraId="44EE2F80" w14:textId="2048788E" w:rsidR="003876AE" w:rsidRDefault="0044526E">
            <w:pPr>
              <w:pStyle w:val="TableTextLeft"/>
            </w:pPr>
            <w:r>
              <w:t>N</w:t>
            </w:r>
          </w:p>
        </w:tc>
        <w:tc>
          <w:tcPr>
            <w:tcW w:w="540" w:type="pct"/>
          </w:tcPr>
          <w:p w14:paraId="69593962" w14:textId="39B31AC2" w:rsidR="003876AE" w:rsidRDefault="00F048AD">
            <w:pPr>
              <w:pStyle w:val="TableTextLeft"/>
            </w:pPr>
            <w:r>
              <w:t>N/A</w:t>
            </w:r>
          </w:p>
        </w:tc>
        <w:tc>
          <w:tcPr>
            <w:tcW w:w="575" w:type="pct"/>
          </w:tcPr>
          <w:p w14:paraId="4A38BB37" w14:textId="4B1FDB29" w:rsidR="0038683E" w:rsidRDefault="008F198D">
            <w:pPr>
              <w:pStyle w:val="TableTextLeft"/>
            </w:pPr>
            <w:r w:rsidRPr="00173174">
              <w:t>N/A</w:t>
            </w:r>
          </w:p>
        </w:tc>
        <w:tc>
          <w:tcPr>
            <w:tcW w:w="506" w:type="pct"/>
          </w:tcPr>
          <w:p w14:paraId="1EFB42F0" w14:textId="293539B9" w:rsidR="003876AE" w:rsidRDefault="00EF78E6">
            <w:pPr>
              <w:pStyle w:val="TableTextLeft"/>
            </w:pPr>
            <w:r>
              <w:t>N/A</w:t>
            </w:r>
          </w:p>
        </w:tc>
        <w:tc>
          <w:tcPr>
            <w:tcW w:w="540" w:type="pct"/>
          </w:tcPr>
          <w:p w14:paraId="321F4B50" w14:textId="3AAEF6BD" w:rsidR="00BE2490" w:rsidRDefault="008F198D">
            <w:pPr>
              <w:pStyle w:val="TableTextLeft"/>
            </w:pPr>
            <w:r w:rsidRPr="00F025D3">
              <w:t>N/A</w:t>
            </w:r>
          </w:p>
        </w:tc>
        <w:tc>
          <w:tcPr>
            <w:tcW w:w="535" w:type="pct"/>
          </w:tcPr>
          <w:p w14:paraId="2843BEF7" w14:textId="7C7461FF" w:rsidR="003876AE" w:rsidRDefault="00E415EC">
            <w:pPr>
              <w:pStyle w:val="TableTextLeft"/>
            </w:pPr>
            <w:r>
              <w:t>N/A</w:t>
            </w:r>
          </w:p>
        </w:tc>
      </w:tr>
      <w:tr w:rsidR="0036384F" w14:paraId="3ADE5CBA" w14:textId="77777777" w:rsidTr="000A7ED0">
        <w:trPr>
          <w:cantSplit/>
          <w:trHeight w:val="270"/>
        </w:trPr>
        <w:tc>
          <w:tcPr>
            <w:tcW w:w="1051" w:type="pct"/>
          </w:tcPr>
          <w:p w14:paraId="096FE331" w14:textId="08B10668" w:rsidR="003876AE" w:rsidRDefault="003876AE" w:rsidP="00A025A5">
            <w:pPr>
              <w:pStyle w:val="TableTextLeft"/>
            </w:pPr>
            <w:r>
              <w:t>Small securities exchange operators with self-listing function only</w:t>
            </w:r>
          </w:p>
        </w:tc>
        <w:tc>
          <w:tcPr>
            <w:tcW w:w="384" w:type="pct"/>
          </w:tcPr>
          <w:p w14:paraId="246B971C" w14:textId="71889FEE" w:rsidR="003876AE" w:rsidRDefault="001D1EB0">
            <w:pPr>
              <w:pStyle w:val="TableTextLeft"/>
            </w:pPr>
            <w:r>
              <w:t>1</w:t>
            </w:r>
          </w:p>
        </w:tc>
        <w:tc>
          <w:tcPr>
            <w:tcW w:w="555" w:type="pct"/>
          </w:tcPr>
          <w:p w14:paraId="4E90CB83" w14:textId="0CDF977E" w:rsidR="003876AE" w:rsidRDefault="001D1EB0">
            <w:pPr>
              <w:pStyle w:val="TableTextLeft"/>
            </w:pPr>
            <w:r>
              <w:t>1</w:t>
            </w:r>
          </w:p>
        </w:tc>
        <w:tc>
          <w:tcPr>
            <w:tcW w:w="314" w:type="pct"/>
          </w:tcPr>
          <w:p w14:paraId="3C4D9658" w14:textId="17DF154F" w:rsidR="003876AE" w:rsidRDefault="0044526E">
            <w:pPr>
              <w:pStyle w:val="TableTextLeft"/>
            </w:pPr>
            <w:r>
              <w:t>N</w:t>
            </w:r>
          </w:p>
        </w:tc>
        <w:tc>
          <w:tcPr>
            <w:tcW w:w="540" w:type="pct"/>
          </w:tcPr>
          <w:p w14:paraId="23DC3F3A" w14:textId="055D0663" w:rsidR="003876AE" w:rsidRDefault="00F048AD">
            <w:pPr>
              <w:pStyle w:val="TableTextLeft"/>
            </w:pPr>
            <w:r>
              <w:t>N/A</w:t>
            </w:r>
          </w:p>
        </w:tc>
        <w:tc>
          <w:tcPr>
            <w:tcW w:w="575" w:type="pct"/>
          </w:tcPr>
          <w:p w14:paraId="0B52BC0C" w14:textId="20277EFA" w:rsidR="0038683E" w:rsidRDefault="008F198D">
            <w:pPr>
              <w:pStyle w:val="TableTextLeft"/>
            </w:pPr>
            <w:r w:rsidRPr="00173174">
              <w:t>N/A</w:t>
            </w:r>
          </w:p>
        </w:tc>
        <w:tc>
          <w:tcPr>
            <w:tcW w:w="506" w:type="pct"/>
          </w:tcPr>
          <w:p w14:paraId="5372575B" w14:textId="62327471" w:rsidR="003876AE" w:rsidRDefault="00EF78E6">
            <w:pPr>
              <w:pStyle w:val="TableTextLeft"/>
            </w:pPr>
            <w:r>
              <w:t>N/A</w:t>
            </w:r>
          </w:p>
        </w:tc>
        <w:tc>
          <w:tcPr>
            <w:tcW w:w="540" w:type="pct"/>
          </w:tcPr>
          <w:p w14:paraId="54C0546E" w14:textId="653C92F7" w:rsidR="00BE2490" w:rsidRDefault="008F198D">
            <w:pPr>
              <w:pStyle w:val="TableTextLeft"/>
            </w:pPr>
            <w:r w:rsidRPr="00F025D3">
              <w:t>N/A</w:t>
            </w:r>
          </w:p>
        </w:tc>
        <w:tc>
          <w:tcPr>
            <w:tcW w:w="535" w:type="pct"/>
          </w:tcPr>
          <w:p w14:paraId="648E1C3E" w14:textId="7DB11892" w:rsidR="003876AE" w:rsidRDefault="00E415EC">
            <w:pPr>
              <w:pStyle w:val="TableTextLeft"/>
            </w:pPr>
            <w:r>
              <w:t>N/A</w:t>
            </w:r>
          </w:p>
        </w:tc>
      </w:tr>
      <w:tr w:rsidR="0036384F" w14:paraId="157DD441" w14:textId="77777777" w:rsidTr="000A7ED0">
        <w:trPr>
          <w:cantSplit/>
          <w:trHeight w:val="270"/>
        </w:trPr>
        <w:tc>
          <w:tcPr>
            <w:tcW w:w="1051" w:type="pct"/>
          </w:tcPr>
          <w:p w14:paraId="4B881955" w14:textId="2EE4BBCE" w:rsidR="003876AE" w:rsidRDefault="003876AE" w:rsidP="00A025A5">
            <w:pPr>
              <w:pStyle w:val="TableTextLeft"/>
            </w:pPr>
            <w:r>
              <w:t>New specialised market operators</w:t>
            </w:r>
          </w:p>
        </w:tc>
        <w:tc>
          <w:tcPr>
            <w:tcW w:w="384" w:type="pct"/>
          </w:tcPr>
          <w:p w14:paraId="3F40A1FA" w14:textId="703C74B9" w:rsidR="003876AE" w:rsidRDefault="003F6B40">
            <w:pPr>
              <w:pStyle w:val="TableTextLeft"/>
            </w:pPr>
            <w:r>
              <w:t>1 entity operating 1 market</w:t>
            </w:r>
          </w:p>
        </w:tc>
        <w:tc>
          <w:tcPr>
            <w:tcW w:w="555" w:type="pct"/>
          </w:tcPr>
          <w:p w14:paraId="2D92D454" w14:textId="37B064BE" w:rsidR="003876AE" w:rsidRDefault="003F6B40">
            <w:pPr>
              <w:pStyle w:val="TableTextLeft"/>
            </w:pPr>
            <w:r>
              <w:t>0</w:t>
            </w:r>
          </w:p>
        </w:tc>
        <w:tc>
          <w:tcPr>
            <w:tcW w:w="314" w:type="pct"/>
          </w:tcPr>
          <w:p w14:paraId="21CA418A" w14:textId="6B5E4A2D" w:rsidR="003876AE" w:rsidRDefault="0044526E">
            <w:pPr>
              <w:pStyle w:val="TableTextLeft"/>
            </w:pPr>
            <w:r>
              <w:t>N</w:t>
            </w:r>
          </w:p>
        </w:tc>
        <w:tc>
          <w:tcPr>
            <w:tcW w:w="540" w:type="pct"/>
          </w:tcPr>
          <w:p w14:paraId="74E8728E" w14:textId="33FEE67C" w:rsidR="003876AE" w:rsidRDefault="00F048AD">
            <w:pPr>
              <w:pStyle w:val="TableTextLeft"/>
            </w:pPr>
            <w:r>
              <w:t>N/A</w:t>
            </w:r>
          </w:p>
        </w:tc>
        <w:tc>
          <w:tcPr>
            <w:tcW w:w="575" w:type="pct"/>
          </w:tcPr>
          <w:p w14:paraId="6248612D" w14:textId="263EF073" w:rsidR="0038683E" w:rsidRDefault="008F198D">
            <w:pPr>
              <w:pStyle w:val="TableTextLeft"/>
            </w:pPr>
            <w:r w:rsidRPr="00173174">
              <w:t>N/A</w:t>
            </w:r>
          </w:p>
        </w:tc>
        <w:tc>
          <w:tcPr>
            <w:tcW w:w="506" w:type="pct"/>
          </w:tcPr>
          <w:p w14:paraId="147F9BD6" w14:textId="38E07C40" w:rsidR="003876AE" w:rsidRDefault="00EF78E6">
            <w:pPr>
              <w:pStyle w:val="TableTextLeft"/>
            </w:pPr>
            <w:r>
              <w:t>N/A</w:t>
            </w:r>
          </w:p>
        </w:tc>
        <w:tc>
          <w:tcPr>
            <w:tcW w:w="540" w:type="pct"/>
          </w:tcPr>
          <w:p w14:paraId="743200F4" w14:textId="5FDEF38E" w:rsidR="00BE2490" w:rsidRDefault="008F198D">
            <w:pPr>
              <w:pStyle w:val="TableTextLeft"/>
            </w:pPr>
            <w:r w:rsidRPr="00F025D3">
              <w:t>N/A</w:t>
            </w:r>
          </w:p>
        </w:tc>
        <w:tc>
          <w:tcPr>
            <w:tcW w:w="535" w:type="pct"/>
          </w:tcPr>
          <w:p w14:paraId="7E8A2A18" w14:textId="0DF3256D" w:rsidR="003876AE" w:rsidRDefault="00E415EC">
            <w:pPr>
              <w:pStyle w:val="TableTextLeft"/>
            </w:pPr>
            <w:r>
              <w:t>N/A</w:t>
            </w:r>
          </w:p>
        </w:tc>
      </w:tr>
      <w:tr w:rsidR="0036384F" w14:paraId="20489B43" w14:textId="77777777" w:rsidTr="000A7ED0">
        <w:trPr>
          <w:cantSplit/>
          <w:trHeight w:val="270"/>
        </w:trPr>
        <w:tc>
          <w:tcPr>
            <w:tcW w:w="1051" w:type="pct"/>
          </w:tcPr>
          <w:p w14:paraId="09A179DC" w14:textId="40123691" w:rsidR="003876AE" w:rsidRDefault="003876AE" w:rsidP="00A025A5">
            <w:pPr>
              <w:pStyle w:val="TableTextLeft"/>
            </w:pPr>
            <w:r>
              <w:t>Established specialised market operators</w:t>
            </w:r>
          </w:p>
        </w:tc>
        <w:tc>
          <w:tcPr>
            <w:tcW w:w="384" w:type="pct"/>
          </w:tcPr>
          <w:p w14:paraId="12CCA559" w14:textId="4EB5A815" w:rsidR="003876AE" w:rsidRDefault="00187844">
            <w:pPr>
              <w:pStyle w:val="TableTextLeft"/>
            </w:pPr>
            <w:r>
              <w:t>16 entities operating 23 markets</w:t>
            </w:r>
          </w:p>
        </w:tc>
        <w:tc>
          <w:tcPr>
            <w:tcW w:w="555" w:type="pct"/>
          </w:tcPr>
          <w:p w14:paraId="4FEFF231" w14:textId="0536DBA2" w:rsidR="003876AE" w:rsidRDefault="00187844">
            <w:pPr>
              <w:pStyle w:val="TableTextLeft"/>
            </w:pPr>
            <w:r>
              <w:t>0</w:t>
            </w:r>
          </w:p>
        </w:tc>
        <w:tc>
          <w:tcPr>
            <w:tcW w:w="314" w:type="pct"/>
          </w:tcPr>
          <w:p w14:paraId="2C0A29C6" w14:textId="598121E9" w:rsidR="003876AE" w:rsidRDefault="0044526E">
            <w:pPr>
              <w:pStyle w:val="TableTextLeft"/>
            </w:pPr>
            <w:r>
              <w:t>N</w:t>
            </w:r>
          </w:p>
        </w:tc>
        <w:tc>
          <w:tcPr>
            <w:tcW w:w="540" w:type="pct"/>
          </w:tcPr>
          <w:p w14:paraId="432B17BE" w14:textId="18CC0155" w:rsidR="003876AE" w:rsidRDefault="00F048AD" w:rsidP="00F048AD">
            <w:pPr>
              <w:pStyle w:val="FootnoteText"/>
              <w:ind w:left="142" w:hanging="142"/>
            </w:pPr>
            <w:r>
              <w:t>N/A</w:t>
            </w:r>
          </w:p>
        </w:tc>
        <w:tc>
          <w:tcPr>
            <w:tcW w:w="575" w:type="pct"/>
          </w:tcPr>
          <w:p w14:paraId="2A96BA9C" w14:textId="579B2505" w:rsidR="0038683E" w:rsidRDefault="008F198D">
            <w:pPr>
              <w:pStyle w:val="TableTextLeft"/>
            </w:pPr>
            <w:r w:rsidRPr="00173174">
              <w:t>N/A</w:t>
            </w:r>
          </w:p>
        </w:tc>
        <w:tc>
          <w:tcPr>
            <w:tcW w:w="506" w:type="pct"/>
          </w:tcPr>
          <w:p w14:paraId="673ABAF9" w14:textId="1B448561" w:rsidR="003876AE" w:rsidRDefault="00EF78E6">
            <w:pPr>
              <w:pStyle w:val="TableTextLeft"/>
            </w:pPr>
            <w:r>
              <w:t>N/A</w:t>
            </w:r>
          </w:p>
        </w:tc>
        <w:tc>
          <w:tcPr>
            <w:tcW w:w="540" w:type="pct"/>
          </w:tcPr>
          <w:p w14:paraId="4B538F7F" w14:textId="07328906" w:rsidR="00BE2490" w:rsidRDefault="008F198D">
            <w:pPr>
              <w:pStyle w:val="TableTextLeft"/>
            </w:pPr>
            <w:r w:rsidRPr="00F025D3">
              <w:t>N/A</w:t>
            </w:r>
          </w:p>
        </w:tc>
        <w:tc>
          <w:tcPr>
            <w:tcW w:w="535" w:type="pct"/>
          </w:tcPr>
          <w:p w14:paraId="5323D253" w14:textId="25BAB501" w:rsidR="003876AE" w:rsidRDefault="00E415EC">
            <w:pPr>
              <w:pStyle w:val="TableTextLeft"/>
            </w:pPr>
            <w:r>
              <w:t>N/A</w:t>
            </w:r>
          </w:p>
        </w:tc>
      </w:tr>
      <w:tr w:rsidR="0036384F" w14:paraId="73099216" w14:textId="77777777" w:rsidTr="000A7ED0">
        <w:trPr>
          <w:cantSplit/>
          <w:trHeight w:val="270"/>
        </w:trPr>
        <w:tc>
          <w:tcPr>
            <w:tcW w:w="1051" w:type="pct"/>
          </w:tcPr>
          <w:p w14:paraId="30F63FF8" w14:textId="15751BD8" w:rsidR="003876AE" w:rsidRDefault="003876AE" w:rsidP="00A025A5">
            <w:pPr>
              <w:pStyle w:val="TableTextLeft"/>
            </w:pPr>
            <w:r>
              <w:t>Overseas market operators</w:t>
            </w:r>
          </w:p>
        </w:tc>
        <w:tc>
          <w:tcPr>
            <w:tcW w:w="384" w:type="pct"/>
          </w:tcPr>
          <w:p w14:paraId="7200D805" w14:textId="1FE7FCDF" w:rsidR="003876AE" w:rsidRDefault="00187844">
            <w:pPr>
              <w:pStyle w:val="TableTextLeft"/>
            </w:pPr>
            <w:r>
              <w:t>32 entities operating 32 markets</w:t>
            </w:r>
          </w:p>
        </w:tc>
        <w:tc>
          <w:tcPr>
            <w:tcW w:w="555" w:type="pct"/>
          </w:tcPr>
          <w:p w14:paraId="256C2A3C" w14:textId="174143C3" w:rsidR="003876AE" w:rsidRDefault="00BB4091">
            <w:pPr>
              <w:pStyle w:val="TableTextLeft"/>
            </w:pPr>
            <w:r>
              <w:t>0</w:t>
            </w:r>
          </w:p>
        </w:tc>
        <w:tc>
          <w:tcPr>
            <w:tcW w:w="314" w:type="pct"/>
          </w:tcPr>
          <w:p w14:paraId="7CE22E21" w14:textId="43C7E949" w:rsidR="003876AE" w:rsidRDefault="0044526E">
            <w:pPr>
              <w:pStyle w:val="TableTextLeft"/>
            </w:pPr>
            <w:r>
              <w:t>N</w:t>
            </w:r>
          </w:p>
        </w:tc>
        <w:tc>
          <w:tcPr>
            <w:tcW w:w="540" w:type="pct"/>
          </w:tcPr>
          <w:p w14:paraId="419D015C" w14:textId="7BD6A468" w:rsidR="003876AE" w:rsidRDefault="00F048AD">
            <w:pPr>
              <w:pStyle w:val="TableTextLeft"/>
            </w:pPr>
            <w:r>
              <w:t>N/A</w:t>
            </w:r>
          </w:p>
        </w:tc>
        <w:tc>
          <w:tcPr>
            <w:tcW w:w="575" w:type="pct"/>
          </w:tcPr>
          <w:p w14:paraId="556A3D4A" w14:textId="1B040906" w:rsidR="0038683E" w:rsidRDefault="008F198D">
            <w:pPr>
              <w:pStyle w:val="TableTextLeft"/>
            </w:pPr>
            <w:r w:rsidRPr="009170A3">
              <w:t>N/A</w:t>
            </w:r>
          </w:p>
        </w:tc>
        <w:tc>
          <w:tcPr>
            <w:tcW w:w="506" w:type="pct"/>
          </w:tcPr>
          <w:p w14:paraId="3F49FDCA" w14:textId="7614DB09" w:rsidR="003876AE" w:rsidRDefault="00EF78E6">
            <w:pPr>
              <w:pStyle w:val="TableTextLeft"/>
            </w:pPr>
            <w:r>
              <w:t>N/A</w:t>
            </w:r>
          </w:p>
        </w:tc>
        <w:tc>
          <w:tcPr>
            <w:tcW w:w="540" w:type="pct"/>
          </w:tcPr>
          <w:p w14:paraId="52D13D6C" w14:textId="78AE0C9D" w:rsidR="00BE2490" w:rsidRDefault="008F198D">
            <w:pPr>
              <w:pStyle w:val="TableTextLeft"/>
            </w:pPr>
            <w:r w:rsidRPr="0019185E">
              <w:t>N/A</w:t>
            </w:r>
          </w:p>
        </w:tc>
        <w:tc>
          <w:tcPr>
            <w:tcW w:w="535" w:type="pct"/>
          </w:tcPr>
          <w:p w14:paraId="149A0048" w14:textId="5F82E137" w:rsidR="003876AE" w:rsidRDefault="00E415EC">
            <w:pPr>
              <w:pStyle w:val="TableTextLeft"/>
            </w:pPr>
            <w:r>
              <w:t>N/A</w:t>
            </w:r>
          </w:p>
        </w:tc>
      </w:tr>
      <w:tr w:rsidR="0036384F" w14:paraId="4CDE34DA" w14:textId="77777777" w:rsidTr="000A7ED0">
        <w:trPr>
          <w:cantSplit/>
          <w:trHeight w:val="270"/>
        </w:trPr>
        <w:tc>
          <w:tcPr>
            <w:tcW w:w="1051" w:type="pct"/>
          </w:tcPr>
          <w:p w14:paraId="571A4462" w14:textId="07177865" w:rsidR="003876AE" w:rsidRDefault="003876AE" w:rsidP="00A025A5">
            <w:pPr>
              <w:pStyle w:val="TableTextLeft"/>
            </w:pPr>
            <w:r>
              <w:t>Tier 1 clearing and settlement (CS) facility operators</w:t>
            </w:r>
          </w:p>
        </w:tc>
        <w:tc>
          <w:tcPr>
            <w:tcW w:w="384" w:type="pct"/>
          </w:tcPr>
          <w:p w14:paraId="25BE5079" w14:textId="4B3A67D4" w:rsidR="003876AE" w:rsidRDefault="00FB4981" w:rsidP="00FB4981">
            <w:pPr>
              <w:pStyle w:val="TableTextLeft"/>
            </w:pPr>
            <w:r>
              <w:t>4</w:t>
            </w:r>
          </w:p>
        </w:tc>
        <w:tc>
          <w:tcPr>
            <w:tcW w:w="555" w:type="pct"/>
          </w:tcPr>
          <w:p w14:paraId="112208E1" w14:textId="34FD42EE" w:rsidR="003876AE" w:rsidRDefault="003019A5" w:rsidP="003019A5">
            <w:pPr>
              <w:pStyle w:val="TableTextLeft"/>
            </w:pPr>
            <w:r>
              <w:t>0</w:t>
            </w:r>
          </w:p>
        </w:tc>
        <w:tc>
          <w:tcPr>
            <w:tcW w:w="314" w:type="pct"/>
          </w:tcPr>
          <w:p w14:paraId="4D43D852" w14:textId="346ABCD1" w:rsidR="003876AE" w:rsidRDefault="0044526E">
            <w:pPr>
              <w:pStyle w:val="TableTextLeft"/>
            </w:pPr>
            <w:r>
              <w:t>N</w:t>
            </w:r>
          </w:p>
        </w:tc>
        <w:tc>
          <w:tcPr>
            <w:tcW w:w="540" w:type="pct"/>
          </w:tcPr>
          <w:p w14:paraId="61BB47D3" w14:textId="0AC6AB6C" w:rsidR="003876AE" w:rsidRDefault="00F048AD">
            <w:pPr>
              <w:pStyle w:val="TableTextLeft"/>
            </w:pPr>
            <w:r>
              <w:t>N/A</w:t>
            </w:r>
          </w:p>
        </w:tc>
        <w:tc>
          <w:tcPr>
            <w:tcW w:w="575" w:type="pct"/>
          </w:tcPr>
          <w:p w14:paraId="076F4789" w14:textId="04DAF9EF" w:rsidR="0038683E" w:rsidRDefault="008F198D">
            <w:pPr>
              <w:pStyle w:val="TableTextLeft"/>
            </w:pPr>
            <w:r w:rsidRPr="009170A3">
              <w:t>N/A</w:t>
            </w:r>
          </w:p>
        </w:tc>
        <w:tc>
          <w:tcPr>
            <w:tcW w:w="506" w:type="pct"/>
          </w:tcPr>
          <w:p w14:paraId="68BF4A4F" w14:textId="159A3226" w:rsidR="003876AE" w:rsidRDefault="00EF78E6">
            <w:pPr>
              <w:pStyle w:val="TableTextLeft"/>
            </w:pPr>
            <w:r>
              <w:t>N/A</w:t>
            </w:r>
          </w:p>
        </w:tc>
        <w:tc>
          <w:tcPr>
            <w:tcW w:w="540" w:type="pct"/>
          </w:tcPr>
          <w:p w14:paraId="1906E175" w14:textId="4826D1B4" w:rsidR="00BE2490" w:rsidRDefault="008F198D">
            <w:pPr>
              <w:pStyle w:val="TableTextLeft"/>
            </w:pPr>
            <w:r w:rsidRPr="0019185E">
              <w:t>N/A</w:t>
            </w:r>
          </w:p>
        </w:tc>
        <w:tc>
          <w:tcPr>
            <w:tcW w:w="535" w:type="pct"/>
          </w:tcPr>
          <w:p w14:paraId="0D929EAE" w14:textId="05F6CA13" w:rsidR="003876AE" w:rsidRDefault="00E415EC">
            <w:pPr>
              <w:pStyle w:val="TableTextLeft"/>
            </w:pPr>
            <w:r>
              <w:t>N/A</w:t>
            </w:r>
          </w:p>
        </w:tc>
      </w:tr>
      <w:tr w:rsidR="0036384F" w14:paraId="778A008C" w14:textId="77777777" w:rsidTr="000A7ED0">
        <w:trPr>
          <w:cantSplit/>
          <w:trHeight w:val="270"/>
        </w:trPr>
        <w:tc>
          <w:tcPr>
            <w:tcW w:w="1051" w:type="pct"/>
          </w:tcPr>
          <w:p w14:paraId="0F718BE9" w14:textId="38DC8D8C" w:rsidR="003876AE" w:rsidRDefault="003876AE" w:rsidP="00A025A5">
            <w:pPr>
              <w:pStyle w:val="TableTextLeft"/>
            </w:pPr>
            <w:r>
              <w:t>Tier 2 CS facility operators</w:t>
            </w:r>
          </w:p>
        </w:tc>
        <w:tc>
          <w:tcPr>
            <w:tcW w:w="384" w:type="pct"/>
          </w:tcPr>
          <w:p w14:paraId="12111209" w14:textId="6EB23DAB" w:rsidR="003876AE" w:rsidRDefault="00FB4981" w:rsidP="00FB4981">
            <w:pPr>
              <w:pStyle w:val="TableTextLeft"/>
            </w:pPr>
            <w:r>
              <w:t>1</w:t>
            </w:r>
          </w:p>
        </w:tc>
        <w:tc>
          <w:tcPr>
            <w:tcW w:w="555" w:type="pct"/>
          </w:tcPr>
          <w:p w14:paraId="33ED9313" w14:textId="0EB4D2CF" w:rsidR="003876AE" w:rsidRDefault="003019A5" w:rsidP="003019A5">
            <w:pPr>
              <w:pStyle w:val="TableTextLeft"/>
            </w:pPr>
            <w:r>
              <w:t>0</w:t>
            </w:r>
          </w:p>
        </w:tc>
        <w:tc>
          <w:tcPr>
            <w:tcW w:w="314" w:type="pct"/>
          </w:tcPr>
          <w:p w14:paraId="382A2BC6" w14:textId="0000CA9F" w:rsidR="003876AE" w:rsidRDefault="0044526E">
            <w:pPr>
              <w:pStyle w:val="TableTextLeft"/>
            </w:pPr>
            <w:r>
              <w:t>N</w:t>
            </w:r>
          </w:p>
        </w:tc>
        <w:tc>
          <w:tcPr>
            <w:tcW w:w="540" w:type="pct"/>
          </w:tcPr>
          <w:p w14:paraId="3C301565" w14:textId="3BEFC314" w:rsidR="003876AE" w:rsidRDefault="00F048AD">
            <w:pPr>
              <w:pStyle w:val="TableTextLeft"/>
            </w:pPr>
            <w:r>
              <w:t>N/A</w:t>
            </w:r>
          </w:p>
        </w:tc>
        <w:tc>
          <w:tcPr>
            <w:tcW w:w="575" w:type="pct"/>
          </w:tcPr>
          <w:p w14:paraId="5C4CA30D" w14:textId="5FB2F5A0" w:rsidR="0038683E" w:rsidRDefault="008F198D">
            <w:pPr>
              <w:pStyle w:val="TableTextLeft"/>
            </w:pPr>
            <w:r w:rsidRPr="009170A3">
              <w:t>N/A</w:t>
            </w:r>
          </w:p>
        </w:tc>
        <w:tc>
          <w:tcPr>
            <w:tcW w:w="506" w:type="pct"/>
          </w:tcPr>
          <w:p w14:paraId="1BB1A733" w14:textId="771199C6" w:rsidR="003876AE" w:rsidRDefault="00EF78E6">
            <w:pPr>
              <w:pStyle w:val="TableTextLeft"/>
            </w:pPr>
            <w:r>
              <w:t>N/A</w:t>
            </w:r>
          </w:p>
        </w:tc>
        <w:tc>
          <w:tcPr>
            <w:tcW w:w="540" w:type="pct"/>
          </w:tcPr>
          <w:p w14:paraId="46B1ABB6" w14:textId="1447CB2C" w:rsidR="00BE2490" w:rsidRDefault="008F198D">
            <w:pPr>
              <w:pStyle w:val="TableTextLeft"/>
            </w:pPr>
            <w:r w:rsidRPr="0019185E">
              <w:t>N/A</w:t>
            </w:r>
          </w:p>
        </w:tc>
        <w:tc>
          <w:tcPr>
            <w:tcW w:w="535" w:type="pct"/>
          </w:tcPr>
          <w:p w14:paraId="09680B66" w14:textId="0C568F2D" w:rsidR="003876AE" w:rsidRDefault="00E415EC">
            <w:pPr>
              <w:pStyle w:val="TableTextLeft"/>
            </w:pPr>
            <w:r>
              <w:t>N/A</w:t>
            </w:r>
          </w:p>
        </w:tc>
      </w:tr>
      <w:tr w:rsidR="0036384F" w14:paraId="7A5FE2A4" w14:textId="77777777" w:rsidTr="000A7ED0">
        <w:trPr>
          <w:cantSplit/>
          <w:trHeight w:val="270"/>
        </w:trPr>
        <w:tc>
          <w:tcPr>
            <w:tcW w:w="1051" w:type="pct"/>
          </w:tcPr>
          <w:p w14:paraId="6A752143" w14:textId="0FA9D102" w:rsidR="003876AE" w:rsidRDefault="003876AE" w:rsidP="00A025A5">
            <w:pPr>
              <w:pStyle w:val="TableTextLeft"/>
            </w:pPr>
            <w:r>
              <w:t>Tier 3 CS facility operators</w:t>
            </w:r>
          </w:p>
        </w:tc>
        <w:tc>
          <w:tcPr>
            <w:tcW w:w="384" w:type="pct"/>
          </w:tcPr>
          <w:p w14:paraId="2A89EB72" w14:textId="79659E33" w:rsidR="003876AE" w:rsidRDefault="00FB4981" w:rsidP="00FB4981">
            <w:pPr>
              <w:pStyle w:val="TableTextLeft"/>
            </w:pPr>
            <w:r>
              <w:t>1</w:t>
            </w:r>
          </w:p>
        </w:tc>
        <w:tc>
          <w:tcPr>
            <w:tcW w:w="555" w:type="pct"/>
          </w:tcPr>
          <w:p w14:paraId="081A41AB" w14:textId="3CC8EF70" w:rsidR="003876AE" w:rsidRDefault="003019A5" w:rsidP="003019A5">
            <w:pPr>
              <w:pStyle w:val="TableTextLeft"/>
            </w:pPr>
            <w:r>
              <w:t>0</w:t>
            </w:r>
          </w:p>
        </w:tc>
        <w:tc>
          <w:tcPr>
            <w:tcW w:w="314" w:type="pct"/>
          </w:tcPr>
          <w:p w14:paraId="6B4FF628" w14:textId="7EA451CD" w:rsidR="003876AE" w:rsidRDefault="0044526E">
            <w:pPr>
              <w:pStyle w:val="TableTextLeft"/>
            </w:pPr>
            <w:r>
              <w:t>N</w:t>
            </w:r>
          </w:p>
        </w:tc>
        <w:tc>
          <w:tcPr>
            <w:tcW w:w="540" w:type="pct"/>
          </w:tcPr>
          <w:p w14:paraId="7255FB02" w14:textId="66A48FED" w:rsidR="003876AE" w:rsidRDefault="00F048AD">
            <w:pPr>
              <w:pStyle w:val="TableTextLeft"/>
            </w:pPr>
            <w:r>
              <w:t>N/A</w:t>
            </w:r>
          </w:p>
        </w:tc>
        <w:tc>
          <w:tcPr>
            <w:tcW w:w="575" w:type="pct"/>
          </w:tcPr>
          <w:p w14:paraId="403C426D" w14:textId="6F85F6FB" w:rsidR="0038683E" w:rsidRDefault="008F198D">
            <w:pPr>
              <w:pStyle w:val="TableTextLeft"/>
            </w:pPr>
            <w:r w:rsidRPr="009170A3">
              <w:t>N/A</w:t>
            </w:r>
          </w:p>
        </w:tc>
        <w:tc>
          <w:tcPr>
            <w:tcW w:w="506" w:type="pct"/>
          </w:tcPr>
          <w:p w14:paraId="678B7D47" w14:textId="18D3FF4D" w:rsidR="003876AE" w:rsidRDefault="00EF78E6">
            <w:pPr>
              <w:pStyle w:val="TableTextLeft"/>
            </w:pPr>
            <w:r>
              <w:t>N/A</w:t>
            </w:r>
          </w:p>
        </w:tc>
        <w:tc>
          <w:tcPr>
            <w:tcW w:w="540" w:type="pct"/>
          </w:tcPr>
          <w:p w14:paraId="7A7A4C8A" w14:textId="214A163A" w:rsidR="00BE2490" w:rsidRDefault="008F198D">
            <w:pPr>
              <w:pStyle w:val="TableTextLeft"/>
            </w:pPr>
            <w:r w:rsidRPr="0019185E">
              <w:t>N/A</w:t>
            </w:r>
          </w:p>
        </w:tc>
        <w:tc>
          <w:tcPr>
            <w:tcW w:w="535" w:type="pct"/>
          </w:tcPr>
          <w:p w14:paraId="6D51E8E1" w14:textId="5371DB94" w:rsidR="003876AE" w:rsidRDefault="00E415EC">
            <w:pPr>
              <w:pStyle w:val="TableTextLeft"/>
            </w:pPr>
            <w:r>
              <w:t>N/A</w:t>
            </w:r>
          </w:p>
        </w:tc>
      </w:tr>
      <w:tr w:rsidR="0036384F" w14:paraId="7CFCD814" w14:textId="77777777" w:rsidTr="000A7ED0">
        <w:trPr>
          <w:cantSplit/>
          <w:trHeight w:val="270"/>
        </w:trPr>
        <w:tc>
          <w:tcPr>
            <w:tcW w:w="1051" w:type="pct"/>
          </w:tcPr>
          <w:p w14:paraId="2F34DD28" w14:textId="17529554" w:rsidR="003876AE" w:rsidRDefault="003876AE" w:rsidP="00A025A5">
            <w:pPr>
              <w:pStyle w:val="TableTextLeft"/>
            </w:pPr>
            <w:r>
              <w:t>Tier 4 CS facility operators</w:t>
            </w:r>
          </w:p>
        </w:tc>
        <w:tc>
          <w:tcPr>
            <w:tcW w:w="384" w:type="pct"/>
          </w:tcPr>
          <w:p w14:paraId="1A1522DF" w14:textId="58ECFF89" w:rsidR="003876AE" w:rsidRDefault="00FB4981" w:rsidP="00FB4981">
            <w:pPr>
              <w:pStyle w:val="TableTextLeft"/>
            </w:pPr>
            <w:r>
              <w:t>1</w:t>
            </w:r>
          </w:p>
        </w:tc>
        <w:tc>
          <w:tcPr>
            <w:tcW w:w="555" w:type="pct"/>
          </w:tcPr>
          <w:p w14:paraId="37E78899" w14:textId="24776225" w:rsidR="003876AE" w:rsidRDefault="003019A5" w:rsidP="003019A5">
            <w:pPr>
              <w:pStyle w:val="TableTextLeft"/>
            </w:pPr>
            <w:r>
              <w:t>1</w:t>
            </w:r>
          </w:p>
        </w:tc>
        <w:tc>
          <w:tcPr>
            <w:tcW w:w="314" w:type="pct"/>
          </w:tcPr>
          <w:p w14:paraId="2529A99B" w14:textId="19A59688" w:rsidR="003876AE" w:rsidRDefault="0044526E">
            <w:pPr>
              <w:pStyle w:val="TableTextLeft"/>
            </w:pPr>
            <w:r>
              <w:t>N</w:t>
            </w:r>
          </w:p>
        </w:tc>
        <w:tc>
          <w:tcPr>
            <w:tcW w:w="540" w:type="pct"/>
          </w:tcPr>
          <w:p w14:paraId="48702947" w14:textId="4403CDF8" w:rsidR="003876AE" w:rsidRDefault="00F048AD">
            <w:pPr>
              <w:pStyle w:val="TableTextLeft"/>
            </w:pPr>
            <w:r>
              <w:t>N/A</w:t>
            </w:r>
          </w:p>
        </w:tc>
        <w:tc>
          <w:tcPr>
            <w:tcW w:w="575" w:type="pct"/>
          </w:tcPr>
          <w:p w14:paraId="33F4271F" w14:textId="0160DEB1" w:rsidR="0038683E" w:rsidRDefault="008F198D">
            <w:pPr>
              <w:pStyle w:val="TableTextLeft"/>
            </w:pPr>
            <w:r w:rsidRPr="009170A3">
              <w:t>N/A</w:t>
            </w:r>
          </w:p>
        </w:tc>
        <w:tc>
          <w:tcPr>
            <w:tcW w:w="506" w:type="pct"/>
          </w:tcPr>
          <w:p w14:paraId="11EC5E84" w14:textId="600E50DE" w:rsidR="003876AE" w:rsidRDefault="00EF78E6">
            <w:pPr>
              <w:pStyle w:val="TableTextLeft"/>
            </w:pPr>
            <w:r>
              <w:t>N/A</w:t>
            </w:r>
          </w:p>
        </w:tc>
        <w:tc>
          <w:tcPr>
            <w:tcW w:w="540" w:type="pct"/>
          </w:tcPr>
          <w:p w14:paraId="1F7EEB2A" w14:textId="32436E3C" w:rsidR="00BE2490" w:rsidRDefault="008F198D">
            <w:pPr>
              <w:pStyle w:val="TableTextLeft"/>
            </w:pPr>
            <w:r w:rsidRPr="0019185E">
              <w:t>N/A</w:t>
            </w:r>
          </w:p>
        </w:tc>
        <w:tc>
          <w:tcPr>
            <w:tcW w:w="535" w:type="pct"/>
          </w:tcPr>
          <w:p w14:paraId="33F299A3" w14:textId="27D92D3F" w:rsidR="003876AE" w:rsidRDefault="00E415EC">
            <w:pPr>
              <w:pStyle w:val="TableTextLeft"/>
            </w:pPr>
            <w:r>
              <w:t>N/A</w:t>
            </w:r>
          </w:p>
        </w:tc>
      </w:tr>
      <w:tr w:rsidR="0036384F" w14:paraId="13FDC38F" w14:textId="77777777" w:rsidTr="000A7ED0">
        <w:trPr>
          <w:cantSplit/>
          <w:trHeight w:val="270"/>
        </w:trPr>
        <w:tc>
          <w:tcPr>
            <w:tcW w:w="1051" w:type="pct"/>
          </w:tcPr>
          <w:p w14:paraId="0923DD9D" w14:textId="4F575F2E" w:rsidR="003876AE" w:rsidRDefault="003876AE" w:rsidP="00BD76C7">
            <w:pPr>
              <w:pStyle w:val="TableTextLeft"/>
            </w:pPr>
            <w:r>
              <w:t>Exempt CS facility operators</w:t>
            </w:r>
          </w:p>
        </w:tc>
        <w:tc>
          <w:tcPr>
            <w:tcW w:w="384" w:type="pct"/>
          </w:tcPr>
          <w:p w14:paraId="3FF980E4" w14:textId="658008D6" w:rsidR="003876AE" w:rsidRDefault="00FB4981">
            <w:pPr>
              <w:pStyle w:val="TableTextLeft"/>
            </w:pPr>
            <w:r>
              <w:t>4</w:t>
            </w:r>
          </w:p>
        </w:tc>
        <w:tc>
          <w:tcPr>
            <w:tcW w:w="555" w:type="pct"/>
          </w:tcPr>
          <w:p w14:paraId="61D26EC9" w14:textId="1963897F" w:rsidR="003876AE" w:rsidRDefault="003019A5">
            <w:pPr>
              <w:pStyle w:val="TableTextLeft"/>
            </w:pPr>
            <w:r>
              <w:t>1</w:t>
            </w:r>
          </w:p>
        </w:tc>
        <w:tc>
          <w:tcPr>
            <w:tcW w:w="314" w:type="pct"/>
          </w:tcPr>
          <w:p w14:paraId="1B4128E7" w14:textId="00593B3B" w:rsidR="003876AE" w:rsidRDefault="0044526E">
            <w:pPr>
              <w:pStyle w:val="TableTextLeft"/>
            </w:pPr>
            <w:r>
              <w:t>N</w:t>
            </w:r>
          </w:p>
        </w:tc>
        <w:tc>
          <w:tcPr>
            <w:tcW w:w="540" w:type="pct"/>
          </w:tcPr>
          <w:p w14:paraId="60F10B8E" w14:textId="3E6CC0B0" w:rsidR="003876AE" w:rsidRDefault="00F048AD">
            <w:pPr>
              <w:pStyle w:val="TableTextLeft"/>
            </w:pPr>
            <w:r>
              <w:t>N/A</w:t>
            </w:r>
          </w:p>
        </w:tc>
        <w:tc>
          <w:tcPr>
            <w:tcW w:w="575" w:type="pct"/>
          </w:tcPr>
          <w:p w14:paraId="7B9D9E0D" w14:textId="7C4BE82A" w:rsidR="0038683E" w:rsidRDefault="008F198D">
            <w:pPr>
              <w:pStyle w:val="TableTextLeft"/>
            </w:pPr>
            <w:r w:rsidRPr="009170A3">
              <w:t>N/A</w:t>
            </w:r>
          </w:p>
        </w:tc>
        <w:tc>
          <w:tcPr>
            <w:tcW w:w="506" w:type="pct"/>
          </w:tcPr>
          <w:p w14:paraId="1A552E11" w14:textId="6B8EF769" w:rsidR="003876AE" w:rsidRDefault="00EF78E6">
            <w:pPr>
              <w:pStyle w:val="TableTextLeft"/>
            </w:pPr>
            <w:r>
              <w:t>N/A</w:t>
            </w:r>
          </w:p>
        </w:tc>
        <w:tc>
          <w:tcPr>
            <w:tcW w:w="540" w:type="pct"/>
          </w:tcPr>
          <w:p w14:paraId="228E97FF" w14:textId="5FE8D25B" w:rsidR="00BE2490" w:rsidRDefault="008F198D">
            <w:pPr>
              <w:pStyle w:val="TableTextLeft"/>
            </w:pPr>
            <w:r w:rsidRPr="0019185E">
              <w:t>N/A</w:t>
            </w:r>
          </w:p>
        </w:tc>
        <w:tc>
          <w:tcPr>
            <w:tcW w:w="535" w:type="pct"/>
          </w:tcPr>
          <w:p w14:paraId="50D4EFBB" w14:textId="20661F00" w:rsidR="003876AE" w:rsidRDefault="00E415EC">
            <w:pPr>
              <w:pStyle w:val="TableTextLeft"/>
            </w:pPr>
            <w:r>
              <w:t>N/A</w:t>
            </w:r>
          </w:p>
        </w:tc>
      </w:tr>
      <w:tr w:rsidR="0036384F" w14:paraId="78162B4C" w14:textId="77777777" w:rsidTr="000A7ED0">
        <w:trPr>
          <w:cantSplit/>
          <w:trHeight w:val="270"/>
        </w:trPr>
        <w:tc>
          <w:tcPr>
            <w:tcW w:w="1051" w:type="pct"/>
          </w:tcPr>
          <w:p w14:paraId="628325D3" w14:textId="4E59515C" w:rsidR="003876AE" w:rsidRDefault="003876AE" w:rsidP="00BD76C7">
            <w:pPr>
              <w:pStyle w:val="TableTextLeft"/>
            </w:pPr>
            <w:r>
              <w:t>Australian derivative trade repository operators</w:t>
            </w:r>
          </w:p>
        </w:tc>
        <w:tc>
          <w:tcPr>
            <w:tcW w:w="384" w:type="pct"/>
          </w:tcPr>
          <w:p w14:paraId="5C4F0A9C" w14:textId="421789C0" w:rsidR="003876AE" w:rsidRDefault="00CE3DA8">
            <w:pPr>
              <w:pStyle w:val="TableTextLeft"/>
            </w:pPr>
            <w:r>
              <w:t>2</w:t>
            </w:r>
          </w:p>
        </w:tc>
        <w:tc>
          <w:tcPr>
            <w:tcW w:w="555" w:type="pct"/>
          </w:tcPr>
          <w:p w14:paraId="5F56DF48" w14:textId="65820684" w:rsidR="003876AE" w:rsidRDefault="00CE3DA8">
            <w:pPr>
              <w:pStyle w:val="TableTextLeft"/>
            </w:pPr>
            <w:r>
              <w:t>0</w:t>
            </w:r>
          </w:p>
        </w:tc>
        <w:tc>
          <w:tcPr>
            <w:tcW w:w="314" w:type="pct"/>
          </w:tcPr>
          <w:p w14:paraId="3C1CC3D4" w14:textId="1C741A2D" w:rsidR="003876AE" w:rsidRDefault="0044526E">
            <w:pPr>
              <w:pStyle w:val="TableTextLeft"/>
            </w:pPr>
            <w:r>
              <w:t>N</w:t>
            </w:r>
          </w:p>
        </w:tc>
        <w:tc>
          <w:tcPr>
            <w:tcW w:w="540" w:type="pct"/>
          </w:tcPr>
          <w:p w14:paraId="22C0BA7B" w14:textId="09E733CB" w:rsidR="003876AE" w:rsidRDefault="00F048AD">
            <w:pPr>
              <w:pStyle w:val="TableTextLeft"/>
            </w:pPr>
            <w:r>
              <w:t>N/A</w:t>
            </w:r>
          </w:p>
        </w:tc>
        <w:tc>
          <w:tcPr>
            <w:tcW w:w="575" w:type="pct"/>
          </w:tcPr>
          <w:p w14:paraId="4B16E4B2" w14:textId="0716987C" w:rsidR="0038683E" w:rsidRDefault="008F198D">
            <w:pPr>
              <w:pStyle w:val="TableTextLeft"/>
            </w:pPr>
            <w:r w:rsidRPr="009170A3">
              <w:t>N/A</w:t>
            </w:r>
          </w:p>
        </w:tc>
        <w:tc>
          <w:tcPr>
            <w:tcW w:w="506" w:type="pct"/>
          </w:tcPr>
          <w:p w14:paraId="56BEB4AF" w14:textId="3AE1089E" w:rsidR="003876AE" w:rsidRDefault="00EF78E6">
            <w:pPr>
              <w:pStyle w:val="TableTextLeft"/>
            </w:pPr>
            <w:r>
              <w:t>N/A</w:t>
            </w:r>
          </w:p>
        </w:tc>
        <w:tc>
          <w:tcPr>
            <w:tcW w:w="540" w:type="pct"/>
          </w:tcPr>
          <w:p w14:paraId="4F5EE9D5" w14:textId="01DACFBE" w:rsidR="00BE2490" w:rsidRDefault="008F198D">
            <w:pPr>
              <w:pStyle w:val="TableTextLeft"/>
            </w:pPr>
            <w:r w:rsidRPr="0019185E">
              <w:t>N/A</w:t>
            </w:r>
          </w:p>
        </w:tc>
        <w:tc>
          <w:tcPr>
            <w:tcW w:w="535" w:type="pct"/>
          </w:tcPr>
          <w:p w14:paraId="6D2679A9" w14:textId="63831598" w:rsidR="003876AE" w:rsidRDefault="00E415EC">
            <w:pPr>
              <w:pStyle w:val="TableTextLeft"/>
            </w:pPr>
            <w:r>
              <w:t>N/A</w:t>
            </w:r>
          </w:p>
        </w:tc>
      </w:tr>
      <w:tr w:rsidR="0036384F" w14:paraId="61B7E482" w14:textId="77777777" w:rsidTr="000A7ED0">
        <w:trPr>
          <w:cantSplit/>
          <w:trHeight w:val="270"/>
        </w:trPr>
        <w:tc>
          <w:tcPr>
            <w:tcW w:w="1051" w:type="pct"/>
          </w:tcPr>
          <w:p w14:paraId="229C292A" w14:textId="00DC99FF" w:rsidR="003876AE" w:rsidRDefault="003876AE" w:rsidP="006555ED">
            <w:pPr>
              <w:pStyle w:val="TableTextLeft"/>
            </w:pPr>
            <w:r>
              <w:t>Exempt market operators</w:t>
            </w:r>
          </w:p>
        </w:tc>
        <w:tc>
          <w:tcPr>
            <w:tcW w:w="384" w:type="pct"/>
          </w:tcPr>
          <w:p w14:paraId="5BE40500" w14:textId="12B3FE70" w:rsidR="003876AE" w:rsidRDefault="00CE3DA8">
            <w:pPr>
              <w:pStyle w:val="TableTextLeft"/>
            </w:pPr>
            <w:r>
              <w:t>3</w:t>
            </w:r>
          </w:p>
        </w:tc>
        <w:tc>
          <w:tcPr>
            <w:tcW w:w="555" w:type="pct"/>
          </w:tcPr>
          <w:p w14:paraId="55A0BB8C" w14:textId="74239DFD" w:rsidR="003876AE" w:rsidRDefault="00CE3DA8">
            <w:pPr>
              <w:pStyle w:val="TableTextLeft"/>
            </w:pPr>
            <w:r>
              <w:t>0</w:t>
            </w:r>
          </w:p>
        </w:tc>
        <w:tc>
          <w:tcPr>
            <w:tcW w:w="314" w:type="pct"/>
          </w:tcPr>
          <w:p w14:paraId="2A34F515" w14:textId="531746A6" w:rsidR="003876AE" w:rsidRDefault="0044526E">
            <w:pPr>
              <w:pStyle w:val="TableTextLeft"/>
            </w:pPr>
            <w:r>
              <w:t>N</w:t>
            </w:r>
          </w:p>
        </w:tc>
        <w:tc>
          <w:tcPr>
            <w:tcW w:w="540" w:type="pct"/>
          </w:tcPr>
          <w:p w14:paraId="1247CEF1" w14:textId="5CBB80BB" w:rsidR="003876AE" w:rsidRDefault="00F048AD">
            <w:pPr>
              <w:pStyle w:val="TableTextLeft"/>
            </w:pPr>
            <w:r>
              <w:t>N/A</w:t>
            </w:r>
          </w:p>
        </w:tc>
        <w:tc>
          <w:tcPr>
            <w:tcW w:w="575" w:type="pct"/>
          </w:tcPr>
          <w:p w14:paraId="049EAE2B" w14:textId="08E48A6B" w:rsidR="0038683E" w:rsidRDefault="008F198D">
            <w:pPr>
              <w:pStyle w:val="TableTextLeft"/>
            </w:pPr>
            <w:r w:rsidRPr="009170A3">
              <w:t>N/A</w:t>
            </w:r>
          </w:p>
        </w:tc>
        <w:tc>
          <w:tcPr>
            <w:tcW w:w="506" w:type="pct"/>
          </w:tcPr>
          <w:p w14:paraId="67DAA84C" w14:textId="23F89759" w:rsidR="003876AE" w:rsidRDefault="00EF78E6">
            <w:pPr>
              <w:pStyle w:val="TableTextLeft"/>
            </w:pPr>
            <w:r>
              <w:t>N/A</w:t>
            </w:r>
          </w:p>
        </w:tc>
        <w:tc>
          <w:tcPr>
            <w:tcW w:w="540" w:type="pct"/>
          </w:tcPr>
          <w:p w14:paraId="07ECFDA6" w14:textId="426067F7" w:rsidR="00BE2490" w:rsidRDefault="008F198D">
            <w:pPr>
              <w:pStyle w:val="TableTextLeft"/>
            </w:pPr>
            <w:r w:rsidRPr="0019185E">
              <w:t>N/A</w:t>
            </w:r>
          </w:p>
        </w:tc>
        <w:tc>
          <w:tcPr>
            <w:tcW w:w="535" w:type="pct"/>
          </w:tcPr>
          <w:p w14:paraId="4A776704" w14:textId="54CB9196" w:rsidR="003876AE" w:rsidRDefault="00E415EC">
            <w:pPr>
              <w:pStyle w:val="TableTextLeft"/>
            </w:pPr>
            <w:r>
              <w:t>N/A</w:t>
            </w:r>
          </w:p>
        </w:tc>
      </w:tr>
      <w:tr w:rsidR="0036384F" w14:paraId="6A6DA1C9" w14:textId="77777777" w:rsidTr="000A7ED0">
        <w:trPr>
          <w:cantSplit/>
          <w:trHeight w:val="270"/>
        </w:trPr>
        <w:tc>
          <w:tcPr>
            <w:tcW w:w="1051" w:type="pct"/>
          </w:tcPr>
          <w:p w14:paraId="3E8F4A94" w14:textId="57EDDDF7" w:rsidR="003876AE" w:rsidRDefault="003876AE" w:rsidP="006555ED">
            <w:pPr>
              <w:pStyle w:val="TableTextLeft"/>
            </w:pPr>
            <w:r>
              <w:t>Credit rating agencies</w:t>
            </w:r>
          </w:p>
        </w:tc>
        <w:tc>
          <w:tcPr>
            <w:tcW w:w="384" w:type="pct"/>
          </w:tcPr>
          <w:p w14:paraId="1A2CEBC8" w14:textId="65667292" w:rsidR="003876AE" w:rsidRDefault="001D65C8">
            <w:pPr>
              <w:pStyle w:val="TableTextLeft"/>
            </w:pPr>
            <w:r>
              <w:t>6</w:t>
            </w:r>
          </w:p>
        </w:tc>
        <w:tc>
          <w:tcPr>
            <w:tcW w:w="555" w:type="pct"/>
          </w:tcPr>
          <w:p w14:paraId="485E0D3B" w14:textId="4E2402DD" w:rsidR="003876AE" w:rsidRDefault="001D65C8">
            <w:pPr>
              <w:pStyle w:val="TableTextLeft"/>
            </w:pPr>
            <w:r>
              <w:t>1</w:t>
            </w:r>
          </w:p>
        </w:tc>
        <w:tc>
          <w:tcPr>
            <w:tcW w:w="314" w:type="pct"/>
          </w:tcPr>
          <w:p w14:paraId="5707B43B" w14:textId="3B1B32E7" w:rsidR="003876AE" w:rsidRDefault="0044526E">
            <w:pPr>
              <w:pStyle w:val="TableTextLeft"/>
            </w:pPr>
            <w:r>
              <w:t>Y</w:t>
            </w:r>
          </w:p>
        </w:tc>
        <w:tc>
          <w:tcPr>
            <w:tcW w:w="540" w:type="pct"/>
          </w:tcPr>
          <w:p w14:paraId="5B2E6567" w14:textId="11CFE54E" w:rsidR="003876AE" w:rsidRDefault="004D2E0A">
            <w:pPr>
              <w:pStyle w:val="TableTextLeft"/>
            </w:pPr>
            <w:r>
              <w:t>Unavailable</w:t>
            </w:r>
            <w:bookmarkStart w:id="26" w:name="_Ref202363419"/>
            <w:r w:rsidR="00B868A3">
              <w:rPr>
                <w:rStyle w:val="FootnoteReference"/>
              </w:rPr>
              <w:footnoteReference w:id="11"/>
            </w:r>
            <w:bookmarkEnd w:id="26"/>
          </w:p>
        </w:tc>
        <w:tc>
          <w:tcPr>
            <w:tcW w:w="575" w:type="pct"/>
          </w:tcPr>
          <w:p w14:paraId="761EF2D4" w14:textId="429ED548" w:rsidR="0038683E" w:rsidRDefault="008F198D">
            <w:pPr>
              <w:pStyle w:val="TableTextLeft"/>
            </w:pPr>
            <w:r w:rsidRPr="009170A3">
              <w:t>N/A</w:t>
            </w:r>
          </w:p>
        </w:tc>
        <w:tc>
          <w:tcPr>
            <w:tcW w:w="506" w:type="pct"/>
          </w:tcPr>
          <w:p w14:paraId="1DF4F983" w14:textId="0A3304C7" w:rsidR="003876AE" w:rsidRDefault="004D2E0A">
            <w:pPr>
              <w:pStyle w:val="TableTextLeft"/>
            </w:pPr>
            <w:r>
              <w:t>Unavailable</w:t>
            </w:r>
            <w:r w:rsidR="00356068">
              <w:fldChar w:fldCharType="begin"/>
            </w:r>
            <w:r w:rsidR="00356068">
              <w:instrText xml:space="preserve"> NOTEREF _Ref202363419 \f \h </w:instrText>
            </w:r>
            <w:r w:rsidR="00356068">
              <w:fldChar w:fldCharType="separate"/>
            </w:r>
            <w:r w:rsidR="00B87979" w:rsidRPr="00B87979">
              <w:rPr>
                <w:rStyle w:val="FootnoteReference"/>
              </w:rPr>
              <w:t>10</w:t>
            </w:r>
            <w:r w:rsidR="00356068">
              <w:fldChar w:fldCharType="end"/>
            </w:r>
          </w:p>
        </w:tc>
        <w:tc>
          <w:tcPr>
            <w:tcW w:w="540" w:type="pct"/>
          </w:tcPr>
          <w:p w14:paraId="321261D0" w14:textId="07815490" w:rsidR="00BE2490" w:rsidRDefault="008F198D">
            <w:pPr>
              <w:pStyle w:val="TableTextLeft"/>
            </w:pPr>
            <w:r w:rsidRPr="0019185E">
              <w:t>N/A</w:t>
            </w:r>
          </w:p>
        </w:tc>
        <w:tc>
          <w:tcPr>
            <w:tcW w:w="535" w:type="pct"/>
          </w:tcPr>
          <w:p w14:paraId="2C248EA8" w14:textId="56CCD52F" w:rsidR="008F198D" w:rsidRDefault="00F737C6" w:rsidP="000706B0">
            <w:pPr>
              <w:pStyle w:val="TableTextLeft"/>
              <w:keepNext/>
              <w:spacing w:after="0"/>
            </w:pPr>
            <w:r w:rsidRPr="00F737C6">
              <w:t>41</w:t>
            </w:r>
          </w:p>
          <w:p w14:paraId="5A14C8F1" w14:textId="35C21B11" w:rsidR="003876AE" w:rsidRDefault="00157F2F" w:rsidP="000706B0">
            <w:pPr>
              <w:pStyle w:val="TableTextLeft"/>
              <w:spacing w:before="0"/>
            </w:pPr>
            <w:r>
              <w:t>(&lt;0.1%)</w:t>
            </w:r>
          </w:p>
        </w:tc>
      </w:tr>
      <w:tr w:rsidR="0036384F" w14:paraId="76CEE88C" w14:textId="77777777" w:rsidTr="000A7ED0">
        <w:trPr>
          <w:cantSplit/>
          <w:trHeight w:val="270"/>
        </w:trPr>
        <w:tc>
          <w:tcPr>
            <w:tcW w:w="1051" w:type="pct"/>
          </w:tcPr>
          <w:p w14:paraId="5A70EE29" w14:textId="449423BC" w:rsidR="003876AE" w:rsidRDefault="003876AE" w:rsidP="006555ED">
            <w:pPr>
              <w:pStyle w:val="TableTextLeft"/>
            </w:pPr>
            <w:r>
              <w:t>Benchmark administrator licensees</w:t>
            </w:r>
          </w:p>
        </w:tc>
        <w:tc>
          <w:tcPr>
            <w:tcW w:w="384" w:type="pct"/>
          </w:tcPr>
          <w:p w14:paraId="396D7389" w14:textId="1BBF1C49" w:rsidR="003876AE" w:rsidRDefault="001D65C8">
            <w:pPr>
              <w:pStyle w:val="TableTextLeft"/>
            </w:pPr>
            <w:r>
              <w:t>2</w:t>
            </w:r>
          </w:p>
        </w:tc>
        <w:tc>
          <w:tcPr>
            <w:tcW w:w="555" w:type="pct"/>
          </w:tcPr>
          <w:p w14:paraId="36F6240A" w14:textId="4E43F429" w:rsidR="003876AE" w:rsidRDefault="001D65C8">
            <w:pPr>
              <w:pStyle w:val="TableTextLeft"/>
            </w:pPr>
            <w:r>
              <w:t>0</w:t>
            </w:r>
          </w:p>
        </w:tc>
        <w:tc>
          <w:tcPr>
            <w:tcW w:w="314" w:type="pct"/>
          </w:tcPr>
          <w:p w14:paraId="74022FDD" w14:textId="5A1FCE81" w:rsidR="003876AE" w:rsidRDefault="00AC7B6A">
            <w:pPr>
              <w:pStyle w:val="TableTextLeft"/>
            </w:pPr>
            <w:r>
              <w:t>N</w:t>
            </w:r>
          </w:p>
        </w:tc>
        <w:tc>
          <w:tcPr>
            <w:tcW w:w="540" w:type="pct"/>
          </w:tcPr>
          <w:p w14:paraId="1BD1623C" w14:textId="0ADE146E" w:rsidR="003876AE" w:rsidRDefault="00F048AD">
            <w:pPr>
              <w:pStyle w:val="TableTextLeft"/>
            </w:pPr>
            <w:r>
              <w:t>N/A</w:t>
            </w:r>
          </w:p>
        </w:tc>
        <w:tc>
          <w:tcPr>
            <w:tcW w:w="575" w:type="pct"/>
          </w:tcPr>
          <w:p w14:paraId="37572C47" w14:textId="6268FDA7" w:rsidR="0038683E" w:rsidRDefault="008F198D">
            <w:pPr>
              <w:pStyle w:val="TableTextLeft"/>
            </w:pPr>
            <w:r w:rsidRPr="009170A3">
              <w:t>N/A</w:t>
            </w:r>
          </w:p>
        </w:tc>
        <w:tc>
          <w:tcPr>
            <w:tcW w:w="506" w:type="pct"/>
          </w:tcPr>
          <w:p w14:paraId="4AB26007" w14:textId="3F21F5ED" w:rsidR="003876AE" w:rsidRDefault="00EF78E6">
            <w:pPr>
              <w:pStyle w:val="TableTextLeft"/>
            </w:pPr>
            <w:r>
              <w:t>N/A</w:t>
            </w:r>
          </w:p>
        </w:tc>
        <w:tc>
          <w:tcPr>
            <w:tcW w:w="540" w:type="pct"/>
          </w:tcPr>
          <w:p w14:paraId="1F26D306" w14:textId="0795DD07" w:rsidR="00BE2490" w:rsidRDefault="008F198D">
            <w:pPr>
              <w:pStyle w:val="TableTextLeft"/>
            </w:pPr>
            <w:r w:rsidRPr="0019185E">
              <w:t>N/A</w:t>
            </w:r>
          </w:p>
        </w:tc>
        <w:tc>
          <w:tcPr>
            <w:tcW w:w="535" w:type="pct"/>
          </w:tcPr>
          <w:p w14:paraId="381ACA47" w14:textId="362545A1" w:rsidR="003876AE" w:rsidRDefault="00E415EC">
            <w:pPr>
              <w:pStyle w:val="TableTextLeft"/>
            </w:pPr>
            <w:r>
              <w:t>N/A</w:t>
            </w:r>
          </w:p>
        </w:tc>
      </w:tr>
      <w:tr w:rsidR="0036384F" w14:paraId="370E04B1" w14:textId="77777777" w:rsidTr="000A7ED0">
        <w:trPr>
          <w:cantSplit/>
          <w:trHeight w:val="270"/>
        </w:trPr>
        <w:tc>
          <w:tcPr>
            <w:tcW w:w="1051" w:type="pct"/>
          </w:tcPr>
          <w:p w14:paraId="7EAC00CD" w14:textId="76490968" w:rsidR="003876AE" w:rsidRDefault="003876AE" w:rsidP="006555ED">
            <w:pPr>
              <w:pStyle w:val="TableTextLeft"/>
            </w:pPr>
            <w:r>
              <w:t>Large securities exchange participants</w:t>
            </w:r>
          </w:p>
        </w:tc>
        <w:tc>
          <w:tcPr>
            <w:tcW w:w="384" w:type="pct"/>
          </w:tcPr>
          <w:p w14:paraId="27A7B827" w14:textId="7995F652" w:rsidR="003876AE" w:rsidRDefault="00BF0587">
            <w:pPr>
              <w:pStyle w:val="TableTextLeft"/>
            </w:pPr>
            <w:r>
              <w:t>60</w:t>
            </w:r>
          </w:p>
        </w:tc>
        <w:tc>
          <w:tcPr>
            <w:tcW w:w="555" w:type="pct"/>
          </w:tcPr>
          <w:p w14:paraId="6850776C" w14:textId="1A698A1C" w:rsidR="003876AE" w:rsidRDefault="00BF0587">
            <w:pPr>
              <w:pStyle w:val="TableTextLeft"/>
            </w:pPr>
            <w:r>
              <w:t>46</w:t>
            </w:r>
          </w:p>
        </w:tc>
        <w:tc>
          <w:tcPr>
            <w:tcW w:w="314" w:type="pct"/>
          </w:tcPr>
          <w:p w14:paraId="5404B94F" w14:textId="6F2994CB" w:rsidR="003876AE" w:rsidRDefault="00AC7B6A">
            <w:pPr>
              <w:pStyle w:val="TableTextLeft"/>
            </w:pPr>
            <w:r>
              <w:t>Y</w:t>
            </w:r>
          </w:p>
        </w:tc>
        <w:tc>
          <w:tcPr>
            <w:tcW w:w="540" w:type="pct"/>
          </w:tcPr>
          <w:p w14:paraId="72026078" w14:textId="5175764D" w:rsidR="003876AE" w:rsidRDefault="00D33B7E">
            <w:pPr>
              <w:pStyle w:val="TableTextLeft"/>
            </w:pPr>
            <w:r w:rsidRPr="00D33B7E">
              <w:t>292,84</w:t>
            </w:r>
            <w:r w:rsidR="00CD5DA9">
              <w:t>5</w:t>
            </w:r>
          </w:p>
        </w:tc>
        <w:tc>
          <w:tcPr>
            <w:tcW w:w="575" w:type="pct"/>
          </w:tcPr>
          <w:p w14:paraId="27BF1B97" w14:textId="5837851B" w:rsidR="00BE2490" w:rsidRDefault="00DB0C4F" w:rsidP="005D310E">
            <w:pPr>
              <w:pStyle w:val="TableTextLeft"/>
              <w:keepNext/>
              <w:spacing w:after="0"/>
            </w:pPr>
            <w:r w:rsidRPr="00DB0C4F">
              <w:t>13,470,865</w:t>
            </w:r>
          </w:p>
          <w:p w14:paraId="08EF4B4F" w14:textId="1EA51E53" w:rsidR="0038683E" w:rsidRDefault="005D310E" w:rsidP="005D310E">
            <w:pPr>
              <w:pStyle w:val="TableTextLeft"/>
              <w:spacing w:before="0"/>
            </w:pPr>
            <w:r>
              <w:t>(0.5%)</w:t>
            </w:r>
          </w:p>
        </w:tc>
        <w:tc>
          <w:tcPr>
            <w:tcW w:w="506" w:type="pct"/>
          </w:tcPr>
          <w:p w14:paraId="603BCD8F" w14:textId="2DF27D72" w:rsidR="003876AE" w:rsidRDefault="00D33B7E">
            <w:pPr>
              <w:pStyle w:val="TableTextLeft"/>
            </w:pPr>
            <w:r w:rsidRPr="00D33B7E">
              <w:t>43,69</w:t>
            </w:r>
            <w:r w:rsidR="00433EB6">
              <w:t>6</w:t>
            </w:r>
          </w:p>
        </w:tc>
        <w:tc>
          <w:tcPr>
            <w:tcW w:w="540" w:type="pct"/>
          </w:tcPr>
          <w:p w14:paraId="15CD347F" w14:textId="5E572B92" w:rsidR="00BE2490" w:rsidRDefault="00F07606" w:rsidP="005D310E">
            <w:pPr>
              <w:pStyle w:val="TableTextLeft"/>
              <w:keepNext/>
              <w:spacing w:after="0"/>
            </w:pPr>
            <w:r w:rsidRPr="00F07606">
              <w:t>2,010,009</w:t>
            </w:r>
          </w:p>
          <w:p w14:paraId="3D7C2AB3" w14:textId="5C7C9F8E" w:rsidR="00BE2490" w:rsidRDefault="005D310E" w:rsidP="005D310E">
            <w:pPr>
              <w:pStyle w:val="TableTextLeft"/>
              <w:spacing w:before="0"/>
            </w:pPr>
            <w:r>
              <w:t>(0.3%)</w:t>
            </w:r>
          </w:p>
        </w:tc>
        <w:tc>
          <w:tcPr>
            <w:tcW w:w="535" w:type="pct"/>
          </w:tcPr>
          <w:p w14:paraId="64652C11" w14:textId="4BE48CCD" w:rsidR="00BE2490" w:rsidRDefault="00A72B5F" w:rsidP="007737A4">
            <w:pPr>
              <w:pStyle w:val="TableTextLeft"/>
              <w:spacing w:after="0"/>
            </w:pPr>
            <w:r w:rsidRPr="00A72B5F">
              <w:t>19,093</w:t>
            </w:r>
          </w:p>
          <w:p w14:paraId="7149CB6D" w14:textId="3A2A8B66" w:rsidR="003876AE" w:rsidRDefault="007737A4" w:rsidP="007737A4">
            <w:pPr>
              <w:pStyle w:val="TableTextLeft"/>
              <w:spacing w:before="0"/>
            </w:pPr>
            <w:r>
              <w:t>(9.3%)</w:t>
            </w:r>
          </w:p>
        </w:tc>
      </w:tr>
      <w:tr w:rsidR="0036384F" w14:paraId="07B9FE5A" w14:textId="77777777" w:rsidTr="000A7ED0">
        <w:trPr>
          <w:cantSplit/>
          <w:trHeight w:val="270"/>
        </w:trPr>
        <w:tc>
          <w:tcPr>
            <w:tcW w:w="1051" w:type="pct"/>
          </w:tcPr>
          <w:p w14:paraId="7B78013D" w14:textId="69EB5B3A" w:rsidR="003876AE" w:rsidRDefault="003876AE" w:rsidP="006555ED">
            <w:pPr>
              <w:pStyle w:val="TableTextLeft"/>
            </w:pPr>
            <w:r>
              <w:lastRenderedPageBreak/>
              <w:t>Large futures exchange participants</w:t>
            </w:r>
          </w:p>
        </w:tc>
        <w:tc>
          <w:tcPr>
            <w:tcW w:w="384" w:type="pct"/>
          </w:tcPr>
          <w:p w14:paraId="45D48243" w14:textId="483E3141" w:rsidR="003876AE" w:rsidRDefault="00BF0587">
            <w:pPr>
              <w:pStyle w:val="TableTextLeft"/>
            </w:pPr>
            <w:r>
              <w:t>33</w:t>
            </w:r>
          </w:p>
        </w:tc>
        <w:tc>
          <w:tcPr>
            <w:tcW w:w="555" w:type="pct"/>
          </w:tcPr>
          <w:p w14:paraId="04961CFC" w14:textId="717B223E" w:rsidR="003876AE" w:rsidRDefault="00BF0587">
            <w:pPr>
              <w:pStyle w:val="TableTextLeft"/>
            </w:pPr>
            <w:r>
              <w:t>25</w:t>
            </w:r>
          </w:p>
        </w:tc>
        <w:tc>
          <w:tcPr>
            <w:tcW w:w="314" w:type="pct"/>
          </w:tcPr>
          <w:p w14:paraId="72CAA965" w14:textId="7C24AD0A" w:rsidR="003876AE" w:rsidRDefault="00AC7B6A">
            <w:pPr>
              <w:pStyle w:val="TableTextLeft"/>
            </w:pPr>
            <w:r>
              <w:t>Y</w:t>
            </w:r>
          </w:p>
        </w:tc>
        <w:tc>
          <w:tcPr>
            <w:tcW w:w="540" w:type="pct"/>
          </w:tcPr>
          <w:p w14:paraId="0DE29E75" w14:textId="5C637D20" w:rsidR="003876AE" w:rsidRDefault="009D3BB7">
            <w:pPr>
              <w:pStyle w:val="TableTextLeft"/>
            </w:pPr>
            <w:r w:rsidRPr="009D3BB7">
              <w:t>96,83</w:t>
            </w:r>
            <w:r w:rsidR="00CD5DA9">
              <w:t>2</w:t>
            </w:r>
          </w:p>
        </w:tc>
        <w:tc>
          <w:tcPr>
            <w:tcW w:w="575" w:type="pct"/>
          </w:tcPr>
          <w:p w14:paraId="1447B010" w14:textId="2EF250EF" w:rsidR="00BE2490" w:rsidRDefault="004E23F6" w:rsidP="00556AE9">
            <w:pPr>
              <w:pStyle w:val="TableTextLeft"/>
              <w:keepNext/>
              <w:spacing w:after="0"/>
            </w:pPr>
            <w:r w:rsidRPr="004E23F6">
              <w:t>2,420,789</w:t>
            </w:r>
          </w:p>
          <w:p w14:paraId="28F2B513" w14:textId="361EAAE9" w:rsidR="0038683E" w:rsidRDefault="00556AE9" w:rsidP="00556AE9">
            <w:pPr>
              <w:pStyle w:val="TableTextLeft"/>
              <w:spacing w:before="0"/>
            </w:pPr>
            <w:r>
              <w:t>(0.1%)</w:t>
            </w:r>
          </w:p>
        </w:tc>
        <w:tc>
          <w:tcPr>
            <w:tcW w:w="506" w:type="pct"/>
          </w:tcPr>
          <w:p w14:paraId="49E596BD" w14:textId="12998F86" w:rsidR="003876AE" w:rsidRDefault="009D3BB7">
            <w:pPr>
              <w:pStyle w:val="TableTextLeft"/>
            </w:pPr>
            <w:r w:rsidRPr="009D3BB7">
              <w:t>11,755</w:t>
            </w:r>
          </w:p>
        </w:tc>
        <w:tc>
          <w:tcPr>
            <w:tcW w:w="540" w:type="pct"/>
          </w:tcPr>
          <w:p w14:paraId="4B0270D8" w14:textId="67F406F2" w:rsidR="00BE2490" w:rsidRDefault="00E652B5" w:rsidP="00556AE9">
            <w:pPr>
              <w:pStyle w:val="TableTextLeft"/>
              <w:spacing w:after="0"/>
            </w:pPr>
            <w:r w:rsidRPr="00E652B5">
              <w:t>293,86</w:t>
            </w:r>
            <w:r w:rsidR="00433EB6">
              <w:t>6</w:t>
            </w:r>
          </w:p>
          <w:p w14:paraId="3747E7B5" w14:textId="3FADB5ED" w:rsidR="00BE2490" w:rsidRDefault="00556AE9" w:rsidP="00556AE9">
            <w:pPr>
              <w:pStyle w:val="TableTextLeft"/>
              <w:spacing w:before="0"/>
            </w:pPr>
            <w:r>
              <w:t>(0.1%)</w:t>
            </w:r>
          </w:p>
        </w:tc>
        <w:tc>
          <w:tcPr>
            <w:tcW w:w="535" w:type="pct"/>
          </w:tcPr>
          <w:p w14:paraId="5F58DAB0" w14:textId="459A0C9F" w:rsidR="00BE2490" w:rsidRDefault="007E427D" w:rsidP="00D54A2B">
            <w:pPr>
              <w:pStyle w:val="TableTextLeft"/>
              <w:keepNext/>
              <w:spacing w:after="0"/>
            </w:pPr>
            <w:r w:rsidRPr="007E427D">
              <w:t>85</w:t>
            </w:r>
            <w:r w:rsidR="00122D67">
              <w:t>1</w:t>
            </w:r>
          </w:p>
          <w:p w14:paraId="07D4BF42" w14:textId="6BEB18D0" w:rsidR="003876AE" w:rsidRDefault="00D54A2B" w:rsidP="00D54A2B">
            <w:pPr>
              <w:pStyle w:val="TableTextLeft"/>
              <w:spacing w:before="0"/>
            </w:pPr>
            <w:r>
              <w:t>(0.4%)</w:t>
            </w:r>
          </w:p>
        </w:tc>
      </w:tr>
      <w:tr w:rsidR="00D76B1B" w:rsidRPr="00D76B1B" w14:paraId="6D522F97" w14:textId="77777777" w:rsidTr="000A7ED0">
        <w:trPr>
          <w:cantSplit/>
          <w:trHeight w:val="270"/>
        </w:trPr>
        <w:tc>
          <w:tcPr>
            <w:tcW w:w="5000" w:type="pct"/>
            <w:gridSpan w:val="9"/>
            <w:shd w:val="clear" w:color="auto" w:fill="F2F2F2" w:themeFill="background1" w:themeFillShade="F2"/>
          </w:tcPr>
          <w:p w14:paraId="581D0B95" w14:textId="0D0AA8F2" w:rsidR="00D76B1B" w:rsidRPr="00D76B1B" w:rsidRDefault="00D76B1B" w:rsidP="007C7583">
            <w:pPr>
              <w:pStyle w:val="TableTextLeft"/>
              <w:keepNext/>
              <w:rPr>
                <w:b/>
                <w:bCs/>
              </w:rPr>
            </w:pPr>
            <w:r w:rsidRPr="00D76B1B">
              <w:rPr>
                <w:b/>
                <w:bCs/>
              </w:rPr>
              <w:t xml:space="preserve">Market </w:t>
            </w:r>
            <w:proofErr w:type="gramStart"/>
            <w:r w:rsidRPr="00D76B1B">
              <w:rPr>
                <w:b/>
                <w:bCs/>
              </w:rPr>
              <w:t>intermediaries</w:t>
            </w:r>
            <w:proofErr w:type="gramEnd"/>
            <w:r w:rsidRPr="00D76B1B">
              <w:rPr>
                <w:b/>
                <w:bCs/>
              </w:rPr>
              <w:t xml:space="preserve"> sector</w:t>
            </w:r>
          </w:p>
        </w:tc>
      </w:tr>
      <w:tr w:rsidR="0036384F" w14:paraId="53960CD9" w14:textId="77777777" w:rsidTr="000A7ED0">
        <w:trPr>
          <w:cantSplit/>
          <w:trHeight w:val="270"/>
        </w:trPr>
        <w:tc>
          <w:tcPr>
            <w:tcW w:w="1051" w:type="pct"/>
          </w:tcPr>
          <w:p w14:paraId="7BCC34D4" w14:textId="4A6D3F3E" w:rsidR="003876AE" w:rsidRDefault="003876AE" w:rsidP="006555ED">
            <w:pPr>
              <w:pStyle w:val="TableTextLeft"/>
            </w:pPr>
            <w:r>
              <w:t>Securities dealers</w:t>
            </w:r>
          </w:p>
        </w:tc>
        <w:tc>
          <w:tcPr>
            <w:tcW w:w="384" w:type="pct"/>
          </w:tcPr>
          <w:p w14:paraId="64139C67" w14:textId="2939FFC0" w:rsidR="003876AE" w:rsidRDefault="002B5C6C" w:rsidP="002B5C6C">
            <w:pPr>
              <w:pStyle w:val="TableTextLeft"/>
            </w:pPr>
            <w:r>
              <w:t>1,220</w:t>
            </w:r>
          </w:p>
        </w:tc>
        <w:tc>
          <w:tcPr>
            <w:tcW w:w="555" w:type="pct"/>
          </w:tcPr>
          <w:p w14:paraId="5F641121" w14:textId="55009C4F" w:rsidR="003876AE" w:rsidRDefault="00A928D1" w:rsidP="00A928D1">
            <w:pPr>
              <w:pStyle w:val="TableTextLeft"/>
            </w:pPr>
            <w:r>
              <w:t>1,133</w:t>
            </w:r>
          </w:p>
        </w:tc>
        <w:tc>
          <w:tcPr>
            <w:tcW w:w="314" w:type="pct"/>
          </w:tcPr>
          <w:p w14:paraId="3F56D71B" w14:textId="22A5F87E" w:rsidR="003876AE" w:rsidRDefault="00AC7B6A">
            <w:pPr>
              <w:pStyle w:val="TableTextLeft"/>
            </w:pPr>
            <w:r>
              <w:t>Y</w:t>
            </w:r>
          </w:p>
        </w:tc>
        <w:tc>
          <w:tcPr>
            <w:tcW w:w="540" w:type="pct"/>
          </w:tcPr>
          <w:p w14:paraId="1CF2068B" w14:textId="771F21A4" w:rsidR="003876AE" w:rsidRDefault="00486A81">
            <w:pPr>
              <w:pStyle w:val="TableTextLeft"/>
            </w:pPr>
            <w:r w:rsidRPr="00486A81">
              <w:t>62,667</w:t>
            </w:r>
          </w:p>
        </w:tc>
        <w:tc>
          <w:tcPr>
            <w:tcW w:w="575" w:type="pct"/>
          </w:tcPr>
          <w:p w14:paraId="5CB4B62C" w14:textId="61E2C63C" w:rsidR="00BE2490" w:rsidRDefault="00A842F8" w:rsidP="0028582B">
            <w:pPr>
              <w:pStyle w:val="TableTextLeft"/>
              <w:keepNext/>
              <w:spacing w:after="0"/>
            </w:pPr>
            <w:r w:rsidRPr="00A842F8">
              <w:t>71,001,46</w:t>
            </w:r>
            <w:r w:rsidR="009A4679">
              <w:t>1</w:t>
            </w:r>
          </w:p>
          <w:p w14:paraId="0B5C63BC" w14:textId="06255C50" w:rsidR="0038683E" w:rsidRDefault="0028582B" w:rsidP="0028582B">
            <w:pPr>
              <w:pStyle w:val="TableTextLeft"/>
              <w:spacing w:before="0"/>
            </w:pPr>
            <w:r>
              <w:t>(2.7%)</w:t>
            </w:r>
          </w:p>
        </w:tc>
        <w:tc>
          <w:tcPr>
            <w:tcW w:w="506" w:type="pct"/>
          </w:tcPr>
          <w:p w14:paraId="0BF1B706" w14:textId="43E666DF" w:rsidR="003876AE" w:rsidRDefault="008615DF">
            <w:pPr>
              <w:pStyle w:val="TableTextLeft"/>
            </w:pPr>
            <w:r w:rsidRPr="008615DF">
              <w:t>12,044</w:t>
            </w:r>
          </w:p>
        </w:tc>
        <w:tc>
          <w:tcPr>
            <w:tcW w:w="540" w:type="pct"/>
          </w:tcPr>
          <w:p w14:paraId="0BF1E407" w14:textId="0CF03002" w:rsidR="00BE2490" w:rsidRDefault="00404800" w:rsidP="0028582B">
            <w:pPr>
              <w:pStyle w:val="TableTextLeft"/>
              <w:keepNext/>
              <w:spacing w:after="0"/>
            </w:pPr>
            <w:r w:rsidRPr="00404800">
              <w:t>13,645,863</w:t>
            </w:r>
          </w:p>
          <w:p w14:paraId="0CECF0FE" w14:textId="255B19DD" w:rsidR="00BE2490" w:rsidRDefault="0028582B" w:rsidP="0028582B">
            <w:pPr>
              <w:pStyle w:val="TableTextLeft"/>
              <w:spacing w:before="0"/>
            </w:pPr>
            <w:r>
              <w:t>(2.3%)</w:t>
            </w:r>
          </w:p>
        </w:tc>
        <w:tc>
          <w:tcPr>
            <w:tcW w:w="535" w:type="pct"/>
          </w:tcPr>
          <w:p w14:paraId="4C28B91A" w14:textId="38A679BE" w:rsidR="00BE2490" w:rsidRDefault="00122AEA" w:rsidP="00A3138D">
            <w:pPr>
              <w:pStyle w:val="TableTextLeft"/>
              <w:keepNext/>
              <w:spacing w:after="0"/>
            </w:pPr>
            <w:r w:rsidRPr="00122AEA">
              <w:t>5,16</w:t>
            </w:r>
            <w:r w:rsidR="00122D67">
              <w:t>9</w:t>
            </w:r>
          </w:p>
          <w:p w14:paraId="53072151" w14:textId="546056D1" w:rsidR="003876AE" w:rsidRDefault="00A3138D" w:rsidP="00A3138D">
            <w:pPr>
              <w:pStyle w:val="TableTextLeft"/>
              <w:spacing w:before="0"/>
            </w:pPr>
            <w:r>
              <w:t>(2.5%)</w:t>
            </w:r>
          </w:p>
        </w:tc>
      </w:tr>
      <w:tr w:rsidR="0036384F" w14:paraId="1CA77DBF" w14:textId="77777777" w:rsidTr="000A7ED0">
        <w:trPr>
          <w:cantSplit/>
          <w:trHeight w:val="270"/>
        </w:trPr>
        <w:tc>
          <w:tcPr>
            <w:tcW w:w="1051" w:type="pct"/>
          </w:tcPr>
          <w:p w14:paraId="616B8E87" w14:textId="21E94D05" w:rsidR="003876AE" w:rsidRDefault="003876AE" w:rsidP="006555ED">
            <w:pPr>
              <w:pStyle w:val="TableTextLeft"/>
            </w:pPr>
            <w:r>
              <w:t>Corporate advisers</w:t>
            </w:r>
          </w:p>
        </w:tc>
        <w:tc>
          <w:tcPr>
            <w:tcW w:w="384" w:type="pct"/>
          </w:tcPr>
          <w:p w14:paraId="7647CDDF" w14:textId="37500DB2" w:rsidR="003876AE" w:rsidRDefault="002B5C6C" w:rsidP="002B5C6C">
            <w:pPr>
              <w:pStyle w:val="TableTextLeft"/>
            </w:pPr>
            <w:r>
              <w:t>290</w:t>
            </w:r>
          </w:p>
        </w:tc>
        <w:tc>
          <w:tcPr>
            <w:tcW w:w="555" w:type="pct"/>
          </w:tcPr>
          <w:p w14:paraId="3BB1D561" w14:textId="5E996A35" w:rsidR="003876AE" w:rsidRDefault="00A928D1" w:rsidP="00A928D1">
            <w:pPr>
              <w:pStyle w:val="TableTextLeft"/>
            </w:pPr>
            <w:r>
              <w:t>100</w:t>
            </w:r>
          </w:p>
        </w:tc>
        <w:tc>
          <w:tcPr>
            <w:tcW w:w="314" w:type="pct"/>
          </w:tcPr>
          <w:p w14:paraId="34477C66" w14:textId="3BEF68B4" w:rsidR="003876AE" w:rsidRDefault="00AC7B6A">
            <w:pPr>
              <w:pStyle w:val="TableTextLeft"/>
            </w:pPr>
            <w:r>
              <w:t>N</w:t>
            </w:r>
          </w:p>
        </w:tc>
        <w:tc>
          <w:tcPr>
            <w:tcW w:w="540" w:type="pct"/>
          </w:tcPr>
          <w:p w14:paraId="3053BD56" w14:textId="243E6EBC" w:rsidR="003876AE" w:rsidRDefault="00F048AD">
            <w:pPr>
              <w:pStyle w:val="TableTextLeft"/>
            </w:pPr>
            <w:r>
              <w:t>N/A</w:t>
            </w:r>
          </w:p>
        </w:tc>
        <w:tc>
          <w:tcPr>
            <w:tcW w:w="575" w:type="pct"/>
          </w:tcPr>
          <w:p w14:paraId="0B9F3B49" w14:textId="4F88819C" w:rsidR="0038683E" w:rsidRDefault="008F198D">
            <w:pPr>
              <w:pStyle w:val="TableTextLeft"/>
            </w:pPr>
            <w:r w:rsidRPr="0036688D">
              <w:t>N/A</w:t>
            </w:r>
          </w:p>
        </w:tc>
        <w:tc>
          <w:tcPr>
            <w:tcW w:w="506" w:type="pct"/>
          </w:tcPr>
          <w:p w14:paraId="17935094" w14:textId="0754C7F3" w:rsidR="003876AE" w:rsidRDefault="00EF78E6">
            <w:pPr>
              <w:pStyle w:val="TableTextLeft"/>
            </w:pPr>
            <w:r>
              <w:t>N/A</w:t>
            </w:r>
          </w:p>
        </w:tc>
        <w:tc>
          <w:tcPr>
            <w:tcW w:w="540" w:type="pct"/>
          </w:tcPr>
          <w:p w14:paraId="4E021E47" w14:textId="7A13A171" w:rsidR="00BE2490" w:rsidRDefault="008F198D">
            <w:pPr>
              <w:pStyle w:val="TableTextLeft"/>
            </w:pPr>
            <w:r w:rsidRPr="00EB616C">
              <w:t>N/A</w:t>
            </w:r>
          </w:p>
        </w:tc>
        <w:tc>
          <w:tcPr>
            <w:tcW w:w="535" w:type="pct"/>
          </w:tcPr>
          <w:p w14:paraId="09870A6C" w14:textId="3E00C132" w:rsidR="003876AE" w:rsidRDefault="00E415EC">
            <w:pPr>
              <w:pStyle w:val="TableTextLeft"/>
            </w:pPr>
            <w:r>
              <w:t>N/A</w:t>
            </w:r>
          </w:p>
        </w:tc>
      </w:tr>
      <w:tr w:rsidR="0036384F" w14:paraId="12A33A52" w14:textId="77777777" w:rsidTr="000A7ED0">
        <w:trPr>
          <w:cantSplit/>
          <w:trHeight w:val="270"/>
        </w:trPr>
        <w:tc>
          <w:tcPr>
            <w:tcW w:w="1051" w:type="pct"/>
          </w:tcPr>
          <w:p w14:paraId="56B0D33A" w14:textId="6D3E9689" w:rsidR="003876AE" w:rsidRDefault="003876AE" w:rsidP="006C0B16">
            <w:pPr>
              <w:pStyle w:val="TableTextLeft"/>
            </w:pPr>
            <w:proofErr w:type="gramStart"/>
            <w:r>
              <w:t>Over-the-counter</w:t>
            </w:r>
            <w:proofErr w:type="gramEnd"/>
            <w:r>
              <w:t xml:space="preserve"> (OTC) traders</w:t>
            </w:r>
          </w:p>
        </w:tc>
        <w:tc>
          <w:tcPr>
            <w:tcW w:w="384" w:type="pct"/>
          </w:tcPr>
          <w:p w14:paraId="58A42B04" w14:textId="490C3B95" w:rsidR="003876AE" w:rsidRDefault="002B5C6C" w:rsidP="002B5C6C">
            <w:pPr>
              <w:pStyle w:val="TableTextLeft"/>
            </w:pPr>
            <w:r>
              <w:t>55</w:t>
            </w:r>
          </w:p>
        </w:tc>
        <w:tc>
          <w:tcPr>
            <w:tcW w:w="555" w:type="pct"/>
          </w:tcPr>
          <w:p w14:paraId="2D131537" w14:textId="17F0DE18" w:rsidR="003876AE" w:rsidRDefault="00A928D1" w:rsidP="00A928D1">
            <w:pPr>
              <w:pStyle w:val="TableTextLeft"/>
            </w:pPr>
            <w:r>
              <w:t>22</w:t>
            </w:r>
          </w:p>
        </w:tc>
        <w:tc>
          <w:tcPr>
            <w:tcW w:w="314" w:type="pct"/>
          </w:tcPr>
          <w:p w14:paraId="1617B2B4" w14:textId="44ABB2FE" w:rsidR="003876AE" w:rsidRDefault="00AC7B6A">
            <w:pPr>
              <w:pStyle w:val="TableTextLeft"/>
            </w:pPr>
            <w:r>
              <w:t>N</w:t>
            </w:r>
          </w:p>
        </w:tc>
        <w:tc>
          <w:tcPr>
            <w:tcW w:w="540" w:type="pct"/>
          </w:tcPr>
          <w:p w14:paraId="5021B3E0" w14:textId="580BC911" w:rsidR="003876AE" w:rsidRDefault="00F048AD">
            <w:pPr>
              <w:pStyle w:val="TableTextLeft"/>
            </w:pPr>
            <w:r>
              <w:t>N/A</w:t>
            </w:r>
          </w:p>
        </w:tc>
        <w:tc>
          <w:tcPr>
            <w:tcW w:w="575" w:type="pct"/>
          </w:tcPr>
          <w:p w14:paraId="389CF042" w14:textId="42E13063" w:rsidR="0038683E" w:rsidRDefault="008F198D">
            <w:pPr>
              <w:pStyle w:val="TableTextLeft"/>
            </w:pPr>
            <w:r w:rsidRPr="0036688D">
              <w:t>N/A</w:t>
            </w:r>
          </w:p>
        </w:tc>
        <w:tc>
          <w:tcPr>
            <w:tcW w:w="506" w:type="pct"/>
          </w:tcPr>
          <w:p w14:paraId="37FE6A7F" w14:textId="2A6F8845" w:rsidR="003876AE" w:rsidRDefault="00EF78E6">
            <w:pPr>
              <w:pStyle w:val="TableTextLeft"/>
            </w:pPr>
            <w:r>
              <w:t>N/A</w:t>
            </w:r>
          </w:p>
        </w:tc>
        <w:tc>
          <w:tcPr>
            <w:tcW w:w="540" w:type="pct"/>
          </w:tcPr>
          <w:p w14:paraId="20EEC5D7" w14:textId="5E255BC4" w:rsidR="00BE2490" w:rsidRDefault="008F198D">
            <w:pPr>
              <w:pStyle w:val="TableTextLeft"/>
            </w:pPr>
            <w:r w:rsidRPr="00EB616C">
              <w:t>N/A</w:t>
            </w:r>
          </w:p>
        </w:tc>
        <w:tc>
          <w:tcPr>
            <w:tcW w:w="535" w:type="pct"/>
          </w:tcPr>
          <w:p w14:paraId="364866F9" w14:textId="66781FF4" w:rsidR="003876AE" w:rsidRDefault="00E415EC">
            <w:pPr>
              <w:pStyle w:val="TableTextLeft"/>
            </w:pPr>
            <w:r>
              <w:t>N/A</w:t>
            </w:r>
          </w:p>
        </w:tc>
      </w:tr>
      <w:tr w:rsidR="0036384F" w14:paraId="7D2666F4" w14:textId="77777777" w:rsidTr="000A7ED0">
        <w:trPr>
          <w:cantSplit/>
          <w:trHeight w:val="270"/>
        </w:trPr>
        <w:tc>
          <w:tcPr>
            <w:tcW w:w="1051" w:type="pct"/>
          </w:tcPr>
          <w:p w14:paraId="1D7532D1" w14:textId="021ABC28" w:rsidR="003876AE" w:rsidRDefault="003876AE" w:rsidP="006C0B16">
            <w:pPr>
              <w:pStyle w:val="TableTextLeft"/>
            </w:pPr>
            <w:r>
              <w:t>Retail OTC derivative issuers</w:t>
            </w:r>
          </w:p>
        </w:tc>
        <w:tc>
          <w:tcPr>
            <w:tcW w:w="384" w:type="pct"/>
          </w:tcPr>
          <w:p w14:paraId="342B3087" w14:textId="20CC1794" w:rsidR="003876AE" w:rsidRDefault="002B5C6C" w:rsidP="002B5C6C">
            <w:pPr>
              <w:pStyle w:val="TableTextLeft"/>
            </w:pPr>
            <w:r>
              <w:t>80</w:t>
            </w:r>
          </w:p>
        </w:tc>
        <w:tc>
          <w:tcPr>
            <w:tcW w:w="555" w:type="pct"/>
          </w:tcPr>
          <w:p w14:paraId="77F17226" w14:textId="5C4D1AC9" w:rsidR="003876AE" w:rsidRDefault="00A928D1" w:rsidP="00A928D1">
            <w:pPr>
              <w:pStyle w:val="TableTextLeft"/>
            </w:pPr>
            <w:r>
              <w:t>79</w:t>
            </w:r>
          </w:p>
        </w:tc>
        <w:tc>
          <w:tcPr>
            <w:tcW w:w="314" w:type="pct"/>
          </w:tcPr>
          <w:p w14:paraId="5CD5E95D" w14:textId="71E4A2D4" w:rsidR="003876AE" w:rsidRDefault="00AC7B6A">
            <w:pPr>
              <w:pStyle w:val="TableTextLeft"/>
            </w:pPr>
            <w:r>
              <w:t>Y</w:t>
            </w:r>
          </w:p>
        </w:tc>
        <w:tc>
          <w:tcPr>
            <w:tcW w:w="540" w:type="pct"/>
          </w:tcPr>
          <w:p w14:paraId="04B5041C" w14:textId="03D3064A" w:rsidR="003876AE" w:rsidRDefault="007739A1">
            <w:pPr>
              <w:pStyle w:val="TableTextLeft"/>
            </w:pPr>
            <w:r w:rsidRPr="007739A1">
              <w:t>23,3</w:t>
            </w:r>
            <w:r w:rsidR="00BB14FC">
              <w:t>40</w:t>
            </w:r>
          </w:p>
        </w:tc>
        <w:tc>
          <w:tcPr>
            <w:tcW w:w="575" w:type="pct"/>
          </w:tcPr>
          <w:p w14:paraId="27A496C5" w14:textId="0432FCF2" w:rsidR="00BE2490" w:rsidRDefault="00EE4AB5" w:rsidP="004F5C12">
            <w:pPr>
              <w:pStyle w:val="TableTextLeft"/>
              <w:keepNext/>
              <w:spacing w:after="0"/>
            </w:pPr>
            <w:r w:rsidRPr="00EE4AB5">
              <w:t>1,843,83</w:t>
            </w:r>
            <w:r w:rsidR="007273F9">
              <w:t>2</w:t>
            </w:r>
          </w:p>
          <w:p w14:paraId="2F6B780F" w14:textId="5D70D68B" w:rsidR="0038683E" w:rsidRDefault="00157F2F" w:rsidP="004F5C12">
            <w:pPr>
              <w:pStyle w:val="TableTextLeft"/>
              <w:spacing w:before="0"/>
            </w:pPr>
            <w:r>
              <w:t>(&lt;0.1%)</w:t>
            </w:r>
          </w:p>
        </w:tc>
        <w:tc>
          <w:tcPr>
            <w:tcW w:w="506" w:type="pct"/>
          </w:tcPr>
          <w:p w14:paraId="2F6B53A8" w14:textId="0EDDE577" w:rsidR="003876AE" w:rsidRDefault="007739A1">
            <w:pPr>
              <w:pStyle w:val="TableTextLeft"/>
            </w:pPr>
            <w:r w:rsidRPr="007739A1">
              <w:t>254</w:t>
            </w:r>
          </w:p>
        </w:tc>
        <w:tc>
          <w:tcPr>
            <w:tcW w:w="540" w:type="pct"/>
          </w:tcPr>
          <w:p w14:paraId="4DB7E92E" w14:textId="6D46EE9B" w:rsidR="00BE2490" w:rsidRDefault="00382A69" w:rsidP="004F5C12">
            <w:pPr>
              <w:pStyle w:val="TableTextLeft"/>
              <w:spacing w:after="0"/>
            </w:pPr>
            <w:r w:rsidRPr="00382A69">
              <w:t>20,105</w:t>
            </w:r>
          </w:p>
          <w:p w14:paraId="49A65A2D" w14:textId="4CE37507" w:rsidR="00BE2490" w:rsidRDefault="00D722A1" w:rsidP="004F5C12">
            <w:pPr>
              <w:pStyle w:val="TableTextLeft"/>
              <w:spacing w:before="0"/>
            </w:pPr>
            <w:r>
              <w:t>(&lt;0.1%)</w:t>
            </w:r>
          </w:p>
        </w:tc>
        <w:tc>
          <w:tcPr>
            <w:tcW w:w="535" w:type="pct"/>
          </w:tcPr>
          <w:p w14:paraId="02C4E1AA" w14:textId="2670C337" w:rsidR="00BE2490" w:rsidRDefault="00A44DC7" w:rsidP="00D77A58">
            <w:pPr>
              <w:pStyle w:val="TableTextLeft"/>
              <w:keepNext/>
              <w:spacing w:after="0"/>
            </w:pPr>
            <w:r w:rsidRPr="00A44DC7">
              <w:t>16,239</w:t>
            </w:r>
          </w:p>
          <w:p w14:paraId="43751153" w14:textId="6FF834B6" w:rsidR="003876AE" w:rsidRDefault="00D77A58" w:rsidP="00D77A58">
            <w:pPr>
              <w:pStyle w:val="TableTextLeft"/>
              <w:spacing w:before="0"/>
            </w:pPr>
            <w:r>
              <w:t>(2.5%)</w:t>
            </w:r>
          </w:p>
        </w:tc>
      </w:tr>
      <w:tr w:rsidR="0036384F" w14:paraId="19EEC68E" w14:textId="77777777" w:rsidTr="000A7ED0">
        <w:trPr>
          <w:cantSplit/>
          <w:trHeight w:val="270"/>
        </w:trPr>
        <w:tc>
          <w:tcPr>
            <w:tcW w:w="1051" w:type="pct"/>
          </w:tcPr>
          <w:p w14:paraId="5ECCF3F0" w14:textId="2EA32CCD" w:rsidR="003876AE" w:rsidRDefault="003876AE" w:rsidP="006C0B16">
            <w:pPr>
              <w:pStyle w:val="TableTextLeft"/>
            </w:pPr>
            <w:r>
              <w:t>Wholesale electricity dealers</w:t>
            </w:r>
          </w:p>
        </w:tc>
        <w:tc>
          <w:tcPr>
            <w:tcW w:w="384" w:type="pct"/>
          </w:tcPr>
          <w:p w14:paraId="77B7382B" w14:textId="5DE5AAA0" w:rsidR="003876AE" w:rsidRDefault="002B5C6C">
            <w:pPr>
              <w:pStyle w:val="TableTextLeft"/>
            </w:pPr>
            <w:r>
              <w:t>43</w:t>
            </w:r>
          </w:p>
        </w:tc>
        <w:tc>
          <w:tcPr>
            <w:tcW w:w="555" w:type="pct"/>
          </w:tcPr>
          <w:p w14:paraId="4AF2BEBC" w14:textId="44757DE7" w:rsidR="003876AE" w:rsidRDefault="00A928D1">
            <w:pPr>
              <w:pStyle w:val="TableTextLeft"/>
            </w:pPr>
            <w:r>
              <w:t>0</w:t>
            </w:r>
          </w:p>
        </w:tc>
        <w:tc>
          <w:tcPr>
            <w:tcW w:w="314" w:type="pct"/>
          </w:tcPr>
          <w:p w14:paraId="27681703" w14:textId="110A45F3" w:rsidR="003876AE" w:rsidRDefault="00AC7B6A">
            <w:pPr>
              <w:pStyle w:val="TableTextLeft"/>
            </w:pPr>
            <w:r>
              <w:t>N</w:t>
            </w:r>
          </w:p>
        </w:tc>
        <w:tc>
          <w:tcPr>
            <w:tcW w:w="540" w:type="pct"/>
          </w:tcPr>
          <w:p w14:paraId="5D8C088A" w14:textId="414BB77F" w:rsidR="003876AE" w:rsidRDefault="00F048AD">
            <w:pPr>
              <w:pStyle w:val="TableTextLeft"/>
            </w:pPr>
            <w:r>
              <w:t>N/A</w:t>
            </w:r>
          </w:p>
        </w:tc>
        <w:tc>
          <w:tcPr>
            <w:tcW w:w="575" w:type="pct"/>
          </w:tcPr>
          <w:p w14:paraId="630ECADB" w14:textId="45E42A76" w:rsidR="0038683E" w:rsidRDefault="008F198D">
            <w:pPr>
              <w:pStyle w:val="TableTextLeft"/>
            </w:pPr>
            <w:r>
              <w:t>N/A</w:t>
            </w:r>
          </w:p>
        </w:tc>
        <w:tc>
          <w:tcPr>
            <w:tcW w:w="506" w:type="pct"/>
          </w:tcPr>
          <w:p w14:paraId="60307298" w14:textId="31A01111" w:rsidR="003876AE" w:rsidRDefault="00EF78E6">
            <w:pPr>
              <w:pStyle w:val="TableTextLeft"/>
            </w:pPr>
            <w:r>
              <w:t>N/A</w:t>
            </w:r>
          </w:p>
        </w:tc>
        <w:tc>
          <w:tcPr>
            <w:tcW w:w="540" w:type="pct"/>
          </w:tcPr>
          <w:p w14:paraId="171514A9" w14:textId="29AC072B" w:rsidR="00BE2490" w:rsidRDefault="008F198D">
            <w:pPr>
              <w:pStyle w:val="TableTextLeft"/>
            </w:pPr>
            <w:r>
              <w:t>N/A</w:t>
            </w:r>
          </w:p>
        </w:tc>
        <w:tc>
          <w:tcPr>
            <w:tcW w:w="535" w:type="pct"/>
          </w:tcPr>
          <w:p w14:paraId="3DA9109A" w14:textId="639263C9" w:rsidR="003876AE" w:rsidRDefault="00E415EC">
            <w:pPr>
              <w:pStyle w:val="TableTextLeft"/>
            </w:pPr>
            <w:r>
              <w:t>N/A</w:t>
            </w:r>
          </w:p>
        </w:tc>
      </w:tr>
      <w:tr w:rsidR="003876AE" w:rsidRPr="0064108A" w14:paraId="2B96756F" w14:textId="77777777" w:rsidTr="000A7ED0">
        <w:trPr>
          <w:cantSplit/>
          <w:trHeight w:val="270"/>
        </w:trPr>
        <w:tc>
          <w:tcPr>
            <w:tcW w:w="5000" w:type="pct"/>
            <w:gridSpan w:val="9"/>
            <w:shd w:val="clear" w:color="auto" w:fill="F2F2F2" w:themeFill="background1" w:themeFillShade="F2"/>
          </w:tcPr>
          <w:p w14:paraId="3E4D03C5" w14:textId="31EFFC2D" w:rsidR="003876AE" w:rsidRPr="0064108A" w:rsidRDefault="003876AE" w:rsidP="003876AE">
            <w:pPr>
              <w:pStyle w:val="TableTextLeft"/>
              <w:keepNext/>
              <w:rPr>
                <w:b/>
                <w:bCs/>
              </w:rPr>
            </w:pPr>
            <w:r w:rsidRPr="0064108A">
              <w:rPr>
                <w:b/>
                <w:bCs/>
              </w:rPr>
              <w:t>Financial advice sector</w:t>
            </w:r>
          </w:p>
        </w:tc>
      </w:tr>
      <w:tr w:rsidR="0036384F" w14:paraId="394973F0" w14:textId="77777777" w:rsidTr="000A7ED0">
        <w:trPr>
          <w:cantSplit/>
          <w:trHeight w:val="270"/>
        </w:trPr>
        <w:tc>
          <w:tcPr>
            <w:tcW w:w="1051" w:type="pct"/>
          </w:tcPr>
          <w:p w14:paraId="0558976F" w14:textId="48730810" w:rsidR="003876AE" w:rsidRDefault="003876AE" w:rsidP="00564D18">
            <w:pPr>
              <w:pStyle w:val="TableTextLeft"/>
            </w:pPr>
            <w:r>
              <w:t>Licensees that provide personal advice to retail clients on relevant financial products</w:t>
            </w:r>
          </w:p>
        </w:tc>
        <w:tc>
          <w:tcPr>
            <w:tcW w:w="384" w:type="pct"/>
          </w:tcPr>
          <w:p w14:paraId="32B64242" w14:textId="15FCC0A4" w:rsidR="003876AE" w:rsidRDefault="008C0A63" w:rsidP="00564B25">
            <w:pPr>
              <w:pStyle w:val="TableTextLeft"/>
            </w:pPr>
            <w:r>
              <w:t>2,680</w:t>
            </w:r>
          </w:p>
        </w:tc>
        <w:tc>
          <w:tcPr>
            <w:tcW w:w="555" w:type="pct"/>
          </w:tcPr>
          <w:p w14:paraId="1518BC04" w14:textId="1E256C73" w:rsidR="003876AE" w:rsidRDefault="008C0A63" w:rsidP="000F5AC6">
            <w:pPr>
              <w:pStyle w:val="TableTextLeft"/>
            </w:pPr>
            <w:r>
              <w:t>2,680</w:t>
            </w:r>
          </w:p>
        </w:tc>
        <w:tc>
          <w:tcPr>
            <w:tcW w:w="314" w:type="pct"/>
          </w:tcPr>
          <w:p w14:paraId="0E50D2B5" w14:textId="5F7DDA19" w:rsidR="003876AE" w:rsidRDefault="00AC7B6A">
            <w:pPr>
              <w:pStyle w:val="TableTextLeft"/>
            </w:pPr>
            <w:r>
              <w:t>Y</w:t>
            </w:r>
          </w:p>
        </w:tc>
        <w:tc>
          <w:tcPr>
            <w:tcW w:w="540" w:type="pct"/>
          </w:tcPr>
          <w:p w14:paraId="70F1975A" w14:textId="1EC0E9A2" w:rsidR="003876AE" w:rsidRDefault="007B39CF">
            <w:pPr>
              <w:pStyle w:val="TableTextLeft"/>
            </w:pPr>
            <w:r w:rsidRPr="007B39CF">
              <w:t>89,1</w:t>
            </w:r>
            <w:r w:rsidR="00BB14FC">
              <w:t>80</w:t>
            </w:r>
          </w:p>
        </w:tc>
        <w:tc>
          <w:tcPr>
            <w:tcW w:w="575" w:type="pct"/>
          </w:tcPr>
          <w:p w14:paraId="44B15BD3" w14:textId="32492462" w:rsidR="00BE2490" w:rsidRDefault="00551B5A" w:rsidP="00D8009C">
            <w:pPr>
              <w:pStyle w:val="TableTextLeft"/>
              <w:keepNext/>
              <w:spacing w:after="0"/>
            </w:pPr>
            <w:r w:rsidRPr="00551B5A">
              <w:t>50,386,533</w:t>
            </w:r>
          </w:p>
          <w:p w14:paraId="73B483E4" w14:textId="7B81E997" w:rsidR="0038683E" w:rsidRDefault="00D8009C" w:rsidP="00D8009C">
            <w:pPr>
              <w:pStyle w:val="TableTextLeft"/>
              <w:spacing w:before="0"/>
            </w:pPr>
            <w:r>
              <w:t>(1.9%)</w:t>
            </w:r>
          </w:p>
        </w:tc>
        <w:tc>
          <w:tcPr>
            <w:tcW w:w="506" w:type="pct"/>
          </w:tcPr>
          <w:p w14:paraId="7F4856D8" w14:textId="68AFAD3C" w:rsidR="003876AE" w:rsidRDefault="006E086D">
            <w:pPr>
              <w:pStyle w:val="TableTextLeft"/>
            </w:pPr>
            <w:r w:rsidRPr="006E086D">
              <w:t>19,94</w:t>
            </w:r>
            <w:r w:rsidR="00433EB6">
              <w:t>6</w:t>
            </w:r>
          </w:p>
        </w:tc>
        <w:tc>
          <w:tcPr>
            <w:tcW w:w="540" w:type="pct"/>
          </w:tcPr>
          <w:p w14:paraId="46BDACF4" w14:textId="4631BAD5" w:rsidR="00BE2490" w:rsidRDefault="008E1001" w:rsidP="00CF136A">
            <w:pPr>
              <w:pStyle w:val="TableTextLeft"/>
              <w:keepNext/>
              <w:spacing w:after="0"/>
            </w:pPr>
            <w:r w:rsidRPr="008E1001">
              <w:t>11,269,411</w:t>
            </w:r>
          </w:p>
          <w:p w14:paraId="71D73DD3" w14:textId="6D6DAC99" w:rsidR="00BE2490" w:rsidRDefault="00CF136A" w:rsidP="00CF136A">
            <w:pPr>
              <w:pStyle w:val="TableTextLeft"/>
              <w:spacing w:before="0"/>
            </w:pPr>
            <w:r>
              <w:t>(1.9%)</w:t>
            </w:r>
          </w:p>
        </w:tc>
        <w:tc>
          <w:tcPr>
            <w:tcW w:w="535" w:type="pct"/>
          </w:tcPr>
          <w:p w14:paraId="09CA557A" w14:textId="39161FA5" w:rsidR="00BE2490" w:rsidRDefault="001C095B" w:rsidP="00302A81">
            <w:pPr>
              <w:pStyle w:val="TableTextLeft"/>
              <w:keepNext/>
              <w:spacing w:after="0"/>
            </w:pPr>
            <w:r w:rsidRPr="001C095B">
              <w:t>45,01</w:t>
            </w:r>
            <w:r w:rsidR="00122D67">
              <w:t>4</w:t>
            </w:r>
          </w:p>
          <w:p w14:paraId="1538A61D" w14:textId="636B537B" w:rsidR="003876AE" w:rsidRDefault="00302A81" w:rsidP="00302A81">
            <w:pPr>
              <w:pStyle w:val="TableTextLeft"/>
              <w:spacing w:before="0"/>
            </w:pPr>
            <w:r>
              <w:t>(22.0%)</w:t>
            </w:r>
          </w:p>
        </w:tc>
      </w:tr>
      <w:tr w:rsidR="0036384F" w14:paraId="48B4938D" w14:textId="77777777" w:rsidTr="000A7ED0">
        <w:trPr>
          <w:cantSplit/>
          <w:trHeight w:val="270"/>
        </w:trPr>
        <w:tc>
          <w:tcPr>
            <w:tcW w:w="1051" w:type="pct"/>
          </w:tcPr>
          <w:p w14:paraId="6EC22796" w14:textId="310021D1" w:rsidR="003876AE" w:rsidRDefault="003876AE" w:rsidP="00564D18">
            <w:pPr>
              <w:pStyle w:val="TableTextLeft"/>
            </w:pPr>
            <w:r>
              <w:t>Licensees that provide personal advice to retail clients on products that are not relevant financial products</w:t>
            </w:r>
          </w:p>
        </w:tc>
        <w:tc>
          <w:tcPr>
            <w:tcW w:w="384" w:type="pct"/>
          </w:tcPr>
          <w:p w14:paraId="297592F7" w14:textId="5374D9AE" w:rsidR="003876AE" w:rsidRDefault="008C0A63" w:rsidP="00564B25">
            <w:pPr>
              <w:pStyle w:val="TableTextLeft"/>
            </w:pPr>
            <w:r>
              <w:rPr>
                <w:lang w:eastAsia="en-US"/>
              </w:rPr>
              <w:t>565</w:t>
            </w:r>
          </w:p>
        </w:tc>
        <w:tc>
          <w:tcPr>
            <w:tcW w:w="555" w:type="pct"/>
          </w:tcPr>
          <w:p w14:paraId="1E93CFBF" w14:textId="7020AC3B" w:rsidR="003876AE" w:rsidRDefault="008C0A63" w:rsidP="000F5AC6">
            <w:pPr>
              <w:pStyle w:val="TableTextLeft"/>
            </w:pPr>
            <w:r>
              <w:rPr>
                <w:lang w:eastAsia="en-US"/>
              </w:rPr>
              <w:t>565</w:t>
            </w:r>
          </w:p>
        </w:tc>
        <w:tc>
          <w:tcPr>
            <w:tcW w:w="314" w:type="pct"/>
          </w:tcPr>
          <w:p w14:paraId="6F5077AB" w14:textId="0CDA3541" w:rsidR="003876AE" w:rsidRDefault="00AC7B6A">
            <w:pPr>
              <w:pStyle w:val="TableTextLeft"/>
            </w:pPr>
            <w:r>
              <w:t>Y</w:t>
            </w:r>
          </w:p>
        </w:tc>
        <w:tc>
          <w:tcPr>
            <w:tcW w:w="540" w:type="pct"/>
          </w:tcPr>
          <w:p w14:paraId="279586D7" w14:textId="24340CE7" w:rsidR="003876AE" w:rsidRDefault="006E086D">
            <w:pPr>
              <w:pStyle w:val="TableTextLeft"/>
            </w:pPr>
            <w:r w:rsidRPr="006E086D">
              <w:t>28,83</w:t>
            </w:r>
            <w:r w:rsidR="00BB14FC">
              <w:t>9</w:t>
            </w:r>
          </w:p>
        </w:tc>
        <w:tc>
          <w:tcPr>
            <w:tcW w:w="575" w:type="pct"/>
          </w:tcPr>
          <w:p w14:paraId="0BDE07ED" w14:textId="4A9721A1" w:rsidR="00BE2490" w:rsidRDefault="00C50AC2" w:rsidP="008F5563">
            <w:pPr>
              <w:pStyle w:val="TableTextLeft"/>
              <w:keepNext/>
              <w:spacing w:after="0"/>
            </w:pPr>
            <w:r w:rsidRPr="00C50AC2">
              <w:t>77,287,772</w:t>
            </w:r>
          </w:p>
          <w:p w14:paraId="48170DD2" w14:textId="38FAD63A" w:rsidR="0038683E" w:rsidRDefault="008F5563" w:rsidP="008F5563">
            <w:pPr>
              <w:pStyle w:val="TableTextLeft"/>
              <w:spacing w:before="0"/>
            </w:pPr>
            <w:r>
              <w:t>(2.9%)</w:t>
            </w:r>
          </w:p>
        </w:tc>
        <w:tc>
          <w:tcPr>
            <w:tcW w:w="506" w:type="pct"/>
          </w:tcPr>
          <w:p w14:paraId="2E629F47" w14:textId="1C54F8BF" w:rsidR="003876AE" w:rsidRDefault="006E086D">
            <w:pPr>
              <w:pStyle w:val="TableTextLeft"/>
            </w:pPr>
            <w:r w:rsidRPr="006E086D">
              <w:t>3,290</w:t>
            </w:r>
          </w:p>
        </w:tc>
        <w:tc>
          <w:tcPr>
            <w:tcW w:w="540" w:type="pct"/>
          </w:tcPr>
          <w:p w14:paraId="4E5C8739" w14:textId="49880DA3" w:rsidR="00BE2490" w:rsidRDefault="00A51B0A" w:rsidP="008F5563">
            <w:pPr>
              <w:pStyle w:val="TableTextLeft"/>
              <w:keepNext/>
              <w:spacing w:after="0"/>
            </w:pPr>
            <w:r w:rsidRPr="00A51B0A">
              <w:t>8,817,81</w:t>
            </w:r>
            <w:r w:rsidR="00433EB6">
              <w:t>5</w:t>
            </w:r>
          </w:p>
          <w:p w14:paraId="4F53FFA7" w14:textId="73C17C2B" w:rsidR="00BE2490" w:rsidRDefault="008F5563" w:rsidP="008F5563">
            <w:pPr>
              <w:pStyle w:val="TableTextLeft"/>
              <w:spacing w:before="0"/>
            </w:pPr>
            <w:r>
              <w:t>(1.5%)</w:t>
            </w:r>
          </w:p>
        </w:tc>
        <w:tc>
          <w:tcPr>
            <w:tcW w:w="535" w:type="pct"/>
          </w:tcPr>
          <w:p w14:paraId="6C944A82" w14:textId="32D30AC2" w:rsidR="00BE2490" w:rsidRDefault="00B8426F" w:rsidP="00893A96">
            <w:pPr>
              <w:pStyle w:val="TableTextLeft"/>
              <w:keepNext/>
              <w:spacing w:after="0"/>
            </w:pPr>
            <w:r w:rsidRPr="00B8426F">
              <w:t>91</w:t>
            </w:r>
          </w:p>
          <w:p w14:paraId="188530FA" w14:textId="4D0D61E9" w:rsidR="003876AE" w:rsidRDefault="00157F2F" w:rsidP="00893A96">
            <w:pPr>
              <w:pStyle w:val="TableTextLeft"/>
              <w:spacing w:before="0"/>
            </w:pPr>
            <w:r>
              <w:t>(&lt;0.1%)</w:t>
            </w:r>
          </w:p>
        </w:tc>
      </w:tr>
      <w:tr w:rsidR="0036384F" w14:paraId="66EE8ACA" w14:textId="77777777" w:rsidTr="000A7ED0">
        <w:trPr>
          <w:cantSplit/>
          <w:trHeight w:val="270"/>
        </w:trPr>
        <w:tc>
          <w:tcPr>
            <w:tcW w:w="1051" w:type="pct"/>
          </w:tcPr>
          <w:p w14:paraId="0AAEC77E" w14:textId="65C40E25" w:rsidR="003876AE" w:rsidRDefault="003876AE" w:rsidP="00564D18">
            <w:pPr>
              <w:pStyle w:val="TableTextLeft"/>
            </w:pPr>
            <w:r>
              <w:t>Licensees that provide general advice only</w:t>
            </w:r>
          </w:p>
        </w:tc>
        <w:tc>
          <w:tcPr>
            <w:tcW w:w="384" w:type="pct"/>
          </w:tcPr>
          <w:p w14:paraId="6E27D635" w14:textId="05A14952" w:rsidR="003876AE" w:rsidRDefault="00564B25" w:rsidP="00564B25">
            <w:pPr>
              <w:pStyle w:val="TableTextLeft"/>
            </w:pPr>
            <w:r>
              <w:t>1,122</w:t>
            </w:r>
          </w:p>
        </w:tc>
        <w:tc>
          <w:tcPr>
            <w:tcW w:w="555" w:type="pct"/>
          </w:tcPr>
          <w:p w14:paraId="09519A41" w14:textId="4840042F" w:rsidR="003876AE" w:rsidRDefault="000F5AC6" w:rsidP="000F5AC6">
            <w:pPr>
              <w:pStyle w:val="TableTextLeft"/>
            </w:pPr>
            <w:r>
              <w:t>993</w:t>
            </w:r>
          </w:p>
        </w:tc>
        <w:tc>
          <w:tcPr>
            <w:tcW w:w="314" w:type="pct"/>
          </w:tcPr>
          <w:p w14:paraId="76EEF0B7" w14:textId="750E5931" w:rsidR="003876AE" w:rsidRDefault="00AC7B6A">
            <w:pPr>
              <w:pStyle w:val="TableTextLeft"/>
            </w:pPr>
            <w:r>
              <w:t>Y</w:t>
            </w:r>
          </w:p>
        </w:tc>
        <w:tc>
          <w:tcPr>
            <w:tcW w:w="540" w:type="pct"/>
          </w:tcPr>
          <w:p w14:paraId="1A9771C7" w14:textId="60FD95FC" w:rsidR="003876AE" w:rsidRDefault="00752CF6">
            <w:pPr>
              <w:pStyle w:val="TableTextLeft"/>
            </w:pPr>
            <w:r w:rsidRPr="00752CF6">
              <w:t>71,458</w:t>
            </w:r>
          </w:p>
        </w:tc>
        <w:tc>
          <w:tcPr>
            <w:tcW w:w="575" w:type="pct"/>
          </w:tcPr>
          <w:p w14:paraId="28BCC49F" w14:textId="1E9E41B6" w:rsidR="00BE2490" w:rsidRDefault="00F7208D" w:rsidP="00D22ADB">
            <w:pPr>
              <w:pStyle w:val="TableTextLeft"/>
              <w:keepNext/>
              <w:spacing w:after="0"/>
            </w:pPr>
            <w:r w:rsidRPr="00F7208D">
              <w:t>70,957,994</w:t>
            </w:r>
          </w:p>
          <w:p w14:paraId="57615871" w14:textId="4093F4BD" w:rsidR="0038683E" w:rsidRDefault="00D22ADB" w:rsidP="00D22ADB">
            <w:pPr>
              <w:pStyle w:val="TableTextLeft"/>
              <w:spacing w:before="0"/>
            </w:pPr>
            <w:r>
              <w:t>(2.7%)</w:t>
            </w:r>
          </w:p>
        </w:tc>
        <w:tc>
          <w:tcPr>
            <w:tcW w:w="506" w:type="pct"/>
          </w:tcPr>
          <w:p w14:paraId="3EF4A1AE" w14:textId="78871806" w:rsidR="003876AE" w:rsidRDefault="007B39CF">
            <w:pPr>
              <w:pStyle w:val="TableTextLeft"/>
            </w:pPr>
            <w:r w:rsidRPr="007B39CF">
              <w:t>15,94</w:t>
            </w:r>
            <w:r w:rsidR="00433EB6">
              <w:t>1</w:t>
            </w:r>
          </w:p>
        </w:tc>
        <w:tc>
          <w:tcPr>
            <w:tcW w:w="540" w:type="pct"/>
          </w:tcPr>
          <w:p w14:paraId="4FB63704" w14:textId="51E0BC08" w:rsidR="00BE2490" w:rsidRDefault="00835412" w:rsidP="00D22ADB">
            <w:pPr>
              <w:pStyle w:val="TableTextLeft"/>
              <w:keepNext/>
              <w:spacing w:after="0"/>
            </w:pPr>
            <w:r w:rsidRPr="00835412">
              <w:t>15,829,030</w:t>
            </w:r>
          </w:p>
          <w:p w14:paraId="7B3C8CE5" w14:textId="0130EC2D" w:rsidR="00BE2490" w:rsidRDefault="00D22ADB" w:rsidP="00D22ADB">
            <w:pPr>
              <w:pStyle w:val="TableTextLeft"/>
              <w:spacing w:before="0"/>
            </w:pPr>
            <w:r>
              <w:t>(2.7%)</w:t>
            </w:r>
          </w:p>
        </w:tc>
        <w:tc>
          <w:tcPr>
            <w:tcW w:w="535" w:type="pct"/>
          </w:tcPr>
          <w:p w14:paraId="622F8916" w14:textId="0BB2A674" w:rsidR="00BE2490" w:rsidRDefault="000278F4" w:rsidP="00B74251">
            <w:pPr>
              <w:pStyle w:val="TableTextLeft"/>
              <w:spacing w:after="0"/>
            </w:pPr>
            <w:r w:rsidRPr="000278F4">
              <w:t>2,798</w:t>
            </w:r>
          </w:p>
          <w:p w14:paraId="49EB6781" w14:textId="6A8EB858" w:rsidR="003876AE" w:rsidRDefault="00B74251" w:rsidP="00B74251">
            <w:pPr>
              <w:pStyle w:val="TableTextLeft"/>
              <w:spacing w:before="0"/>
            </w:pPr>
            <w:r>
              <w:t>(1.4%)</w:t>
            </w:r>
          </w:p>
        </w:tc>
      </w:tr>
      <w:tr w:rsidR="0036384F" w14:paraId="7FC77A1E" w14:textId="77777777" w:rsidTr="000A7ED0">
        <w:trPr>
          <w:cantSplit/>
          <w:trHeight w:val="270"/>
        </w:trPr>
        <w:tc>
          <w:tcPr>
            <w:tcW w:w="1051" w:type="pct"/>
          </w:tcPr>
          <w:p w14:paraId="445AAC34" w14:textId="7BD09197" w:rsidR="003876AE" w:rsidRDefault="003876AE" w:rsidP="006C0B16">
            <w:pPr>
              <w:pStyle w:val="TableTextLeft"/>
            </w:pPr>
            <w:r>
              <w:t>Licensees that provide personal advice to wholesale clients only</w:t>
            </w:r>
          </w:p>
        </w:tc>
        <w:tc>
          <w:tcPr>
            <w:tcW w:w="384" w:type="pct"/>
          </w:tcPr>
          <w:p w14:paraId="658D272C" w14:textId="271CC81E" w:rsidR="003876AE" w:rsidRDefault="00564B25">
            <w:pPr>
              <w:pStyle w:val="TableTextLeft"/>
            </w:pPr>
            <w:r>
              <w:t>1,991</w:t>
            </w:r>
          </w:p>
        </w:tc>
        <w:tc>
          <w:tcPr>
            <w:tcW w:w="555" w:type="pct"/>
          </w:tcPr>
          <w:p w14:paraId="7324AC7B" w14:textId="42118B53" w:rsidR="003876AE" w:rsidRDefault="000F5AC6">
            <w:pPr>
              <w:pStyle w:val="TableTextLeft"/>
            </w:pPr>
            <w:r>
              <w:t>51</w:t>
            </w:r>
          </w:p>
        </w:tc>
        <w:tc>
          <w:tcPr>
            <w:tcW w:w="314" w:type="pct"/>
          </w:tcPr>
          <w:p w14:paraId="5A804464" w14:textId="2F3DEA55" w:rsidR="003876AE" w:rsidRDefault="00AC7B6A">
            <w:pPr>
              <w:pStyle w:val="TableTextLeft"/>
            </w:pPr>
            <w:r>
              <w:t>N</w:t>
            </w:r>
          </w:p>
        </w:tc>
        <w:tc>
          <w:tcPr>
            <w:tcW w:w="540" w:type="pct"/>
          </w:tcPr>
          <w:p w14:paraId="60F9E14B" w14:textId="4D495B10" w:rsidR="003876AE" w:rsidRDefault="005020EF">
            <w:pPr>
              <w:pStyle w:val="TableTextLeft"/>
            </w:pPr>
            <w:r>
              <w:t>N/A</w:t>
            </w:r>
          </w:p>
        </w:tc>
        <w:tc>
          <w:tcPr>
            <w:tcW w:w="575" w:type="pct"/>
          </w:tcPr>
          <w:p w14:paraId="22B38B0B" w14:textId="21FA5E2D" w:rsidR="0038683E" w:rsidRDefault="008F198D">
            <w:pPr>
              <w:pStyle w:val="TableTextLeft"/>
            </w:pPr>
            <w:r>
              <w:t>N/A</w:t>
            </w:r>
          </w:p>
        </w:tc>
        <w:tc>
          <w:tcPr>
            <w:tcW w:w="506" w:type="pct"/>
          </w:tcPr>
          <w:p w14:paraId="6D44E8C3" w14:textId="468969A3" w:rsidR="003876AE" w:rsidRDefault="00EF78E6">
            <w:pPr>
              <w:pStyle w:val="TableTextLeft"/>
            </w:pPr>
            <w:r>
              <w:t>N/A</w:t>
            </w:r>
          </w:p>
        </w:tc>
        <w:tc>
          <w:tcPr>
            <w:tcW w:w="540" w:type="pct"/>
          </w:tcPr>
          <w:p w14:paraId="2292AE73" w14:textId="25FB1D0D" w:rsidR="00BE2490" w:rsidRDefault="008F198D">
            <w:pPr>
              <w:pStyle w:val="TableTextLeft"/>
            </w:pPr>
            <w:r>
              <w:t>N/A</w:t>
            </w:r>
          </w:p>
        </w:tc>
        <w:tc>
          <w:tcPr>
            <w:tcW w:w="535" w:type="pct"/>
          </w:tcPr>
          <w:p w14:paraId="07A27DF9" w14:textId="4DC00D8A" w:rsidR="003876AE" w:rsidRDefault="00E415EC">
            <w:pPr>
              <w:pStyle w:val="TableTextLeft"/>
            </w:pPr>
            <w:r>
              <w:t>N/A</w:t>
            </w:r>
          </w:p>
        </w:tc>
      </w:tr>
      <w:tr w:rsidR="003876AE" w14:paraId="087FE294" w14:textId="77777777" w:rsidTr="000A7ED0">
        <w:trPr>
          <w:cantSplit/>
          <w:trHeight w:val="270"/>
        </w:trPr>
        <w:tc>
          <w:tcPr>
            <w:tcW w:w="5000" w:type="pct"/>
            <w:gridSpan w:val="9"/>
            <w:shd w:val="clear" w:color="auto" w:fill="F2F2F2" w:themeFill="background1" w:themeFillShade="F2"/>
          </w:tcPr>
          <w:p w14:paraId="45311F05" w14:textId="2AA741C2" w:rsidR="003876AE" w:rsidRPr="0051100D" w:rsidRDefault="003876AE" w:rsidP="003876AE">
            <w:pPr>
              <w:pStyle w:val="TableTextLeft"/>
              <w:keepNext/>
              <w:rPr>
                <w:b/>
                <w:bCs/>
              </w:rPr>
            </w:pPr>
            <w:r w:rsidRPr="0051100D">
              <w:rPr>
                <w:b/>
                <w:bCs/>
              </w:rPr>
              <w:t>Insurance sector</w:t>
            </w:r>
          </w:p>
        </w:tc>
      </w:tr>
      <w:tr w:rsidR="0036384F" w14:paraId="66682419" w14:textId="77777777" w:rsidTr="000A7ED0">
        <w:trPr>
          <w:cantSplit/>
          <w:trHeight w:val="270"/>
        </w:trPr>
        <w:tc>
          <w:tcPr>
            <w:tcW w:w="1051" w:type="pct"/>
          </w:tcPr>
          <w:p w14:paraId="4E5C3C15" w14:textId="4A185099" w:rsidR="003876AE" w:rsidRDefault="003876AE" w:rsidP="0037493B">
            <w:pPr>
              <w:pStyle w:val="TableTextLeft"/>
            </w:pPr>
            <w:r>
              <w:t>Insurance product providers</w:t>
            </w:r>
          </w:p>
        </w:tc>
        <w:tc>
          <w:tcPr>
            <w:tcW w:w="384" w:type="pct"/>
          </w:tcPr>
          <w:p w14:paraId="4379D848" w14:textId="57870998" w:rsidR="003876AE" w:rsidRDefault="005706FE" w:rsidP="005706FE">
            <w:pPr>
              <w:pStyle w:val="TableTextLeft"/>
            </w:pPr>
            <w:r>
              <w:t>102</w:t>
            </w:r>
          </w:p>
        </w:tc>
        <w:tc>
          <w:tcPr>
            <w:tcW w:w="555" w:type="pct"/>
          </w:tcPr>
          <w:p w14:paraId="346B1627" w14:textId="679EC4DF" w:rsidR="003876AE" w:rsidRDefault="00406793" w:rsidP="00406793">
            <w:pPr>
              <w:pStyle w:val="TableTextLeft"/>
            </w:pPr>
            <w:r>
              <w:t>100</w:t>
            </w:r>
          </w:p>
        </w:tc>
        <w:tc>
          <w:tcPr>
            <w:tcW w:w="314" w:type="pct"/>
          </w:tcPr>
          <w:p w14:paraId="0C04DB1C" w14:textId="76C0627B" w:rsidR="003876AE" w:rsidRDefault="00AC7B6A">
            <w:pPr>
              <w:pStyle w:val="TableTextLeft"/>
            </w:pPr>
            <w:r>
              <w:t>Y</w:t>
            </w:r>
          </w:p>
        </w:tc>
        <w:tc>
          <w:tcPr>
            <w:tcW w:w="540" w:type="pct"/>
          </w:tcPr>
          <w:p w14:paraId="0B3DA166" w14:textId="6C9F26B8" w:rsidR="003876AE" w:rsidRDefault="00F72842">
            <w:pPr>
              <w:pStyle w:val="TableTextLeft"/>
            </w:pPr>
            <w:r w:rsidRPr="00F72842">
              <w:t>1,303,777</w:t>
            </w:r>
          </w:p>
        </w:tc>
        <w:tc>
          <w:tcPr>
            <w:tcW w:w="575" w:type="pct"/>
          </w:tcPr>
          <w:p w14:paraId="5AE7D452" w14:textId="69A512D6" w:rsidR="00BE2490" w:rsidRDefault="00471B02" w:rsidP="00A00B44">
            <w:pPr>
              <w:pStyle w:val="TableTextLeft"/>
              <w:keepNext/>
              <w:spacing w:after="0"/>
            </w:pPr>
            <w:r w:rsidRPr="00471B02">
              <w:t>130,377,69</w:t>
            </w:r>
            <w:r w:rsidR="007273F9">
              <w:t>9</w:t>
            </w:r>
          </w:p>
          <w:p w14:paraId="0DD5774F" w14:textId="041A6C5D" w:rsidR="0038683E" w:rsidRDefault="00C63C23" w:rsidP="00A00B44">
            <w:pPr>
              <w:pStyle w:val="TableTextLeft"/>
              <w:spacing w:before="0"/>
            </w:pPr>
            <w:r>
              <w:t>(</w:t>
            </w:r>
            <w:r w:rsidR="00A00B44">
              <w:t>4.9%)</w:t>
            </w:r>
          </w:p>
        </w:tc>
        <w:tc>
          <w:tcPr>
            <w:tcW w:w="506" w:type="pct"/>
          </w:tcPr>
          <w:p w14:paraId="5665879E" w14:textId="7CC08429" w:rsidR="003876AE" w:rsidRDefault="00F72842">
            <w:pPr>
              <w:pStyle w:val="TableTextLeft"/>
            </w:pPr>
            <w:r w:rsidRPr="00F72842">
              <w:t>197,972</w:t>
            </w:r>
          </w:p>
        </w:tc>
        <w:tc>
          <w:tcPr>
            <w:tcW w:w="540" w:type="pct"/>
          </w:tcPr>
          <w:p w14:paraId="3EB122C4" w14:textId="4A66E2F7" w:rsidR="00BE2490" w:rsidRDefault="001376B3" w:rsidP="00A00B44">
            <w:pPr>
              <w:pStyle w:val="TableTextLeft"/>
              <w:keepNext/>
              <w:spacing w:after="0"/>
            </w:pPr>
            <w:r w:rsidRPr="001376B3">
              <w:t>19,797,232</w:t>
            </w:r>
          </w:p>
          <w:p w14:paraId="0A350A93" w14:textId="7B015FDF" w:rsidR="00BE2490" w:rsidRDefault="00A00B44" w:rsidP="00A00B44">
            <w:pPr>
              <w:pStyle w:val="TableTextLeft"/>
              <w:spacing w:before="0"/>
            </w:pPr>
            <w:r>
              <w:t>(3.4%)</w:t>
            </w:r>
          </w:p>
        </w:tc>
        <w:tc>
          <w:tcPr>
            <w:tcW w:w="535" w:type="pct"/>
          </w:tcPr>
          <w:p w14:paraId="443FDF14" w14:textId="30AC1ADD" w:rsidR="00BE2490" w:rsidRDefault="007E2037" w:rsidP="004D15AF">
            <w:pPr>
              <w:pStyle w:val="TableTextLeft"/>
              <w:keepNext/>
              <w:spacing w:after="0"/>
            </w:pPr>
            <w:r w:rsidRPr="007E2037">
              <w:t>11,255</w:t>
            </w:r>
          </w:p>
          <w:p w14:paraId="10108FC5" w14:textId="75DEF288" w:rsidR="003876AE" w:rsidRDefault="004D15AF" w:rsidP="004D15AF">
            <w:pPr>
              <w:pStyle w:val="TableTextLeft"/>
              <w:spacing w:before="0"/>
            </w:pPr>
            <w:r>
              <w:t>(5.5%)</w:t>
            </w:r>
          </w:p>
        </w:tc>
      </w:tr>
      <w:tr w:rsidR="0036384F" w14:paraId="2E0C3331" w14:textId="77777777" w:rsidTr="000A7ED0">
        <w:trPr>
          <w:cantSplit/>
          <w:trHeight w:val="270"/>
        </w:trPr>
        <w:tc>
          <w:tcPr>
            <w:tcW w:w="1051" w:type="pct"/>
          </w:tcPr>
          <w:p w14:paraId="7D3EE28D" w14:textId="21EC8065" w:rsidR="007C6503" w:rsidRDefault="007C6503" w:rsidP="007C6503">
            <w:pPr>
              <w:pStyle w:val="TableTextLeft"/>
            </w:pPr>
            <w:r>
              <w:t>Insurance product distributors</w:t>
            </w:r>
          </w:p>
        </w:tc>
        <w:tc>
          <w:tcPr>
            <w:tcW w:w="384" w:type="pct"/>
          </w:tcPr>
          <w:p w14:paraId="7086247F" w14:textId="3862831D" w:rsidR="007C6503" w:rsidRDefault="007C6503" w:rsidP="007C6503">
            <w:pPr>
              <w:pStyle w:val="TableTextLeft"/>
            </w:pPr>
            <w:r>
              <w:t>3,588</w:t>
            </w:r>
          </w:p>
        </w:tc>
        <w:tc>
          <w:tcPr>
            <w:tcW w:w="555" w:type="pct"/>
          </w:tcPr>
          <w:p w14:paraId="6532FDEB" w14:textId="1A7C63AB" w:rsidR="007C6503" w:rsidRDefault="007C6503" w:rsidP="007C6503">
            <w:pPr>
              <w:pStyle w:val="TableTextLeft"/>
            </w:pPr>
            <w:r>
              <w:t>2,978</w:t>
            </w:r>
          </w:p>
        </w:tc>
        <w:tc>
          <w:tcPr>
            <w:tcW w:w="314" w:type="pct"/>
          </w:tcPr>
          <w:p w14:paraId="666C8CC7" w14:textId="63348B9B" w:rsidR="007C6503" w:rsidRDefault="007C6503" w:rsidP="007C6503">
            <w:pPr>
              <w:pStyle w:val="TableTextLeft"/>
            </w:pPr>
            <w:r>
              <w:t>Y</w:t>
            </w:r>
          </w:p>
        </w:tc>
        <w:tc>
          <w:tcPr>
            <w:tcW w:w="540" w:type="pct"/>
          </w:tcPr>
          <w:p w14:paraId="7043FBDB" w14:textId="64044F71" w:rsidR="007C6503" w:rsidRDefault="007C6503" w:rsidP="007C6503">
            <w:pPr>
              <w:pStyle w:val="TableTextLeft"/>
            </w:pPr>
            <w:r w:rsidRPr="004B01FC">
              <w:t>58,459</w:t>
            </w:r>
          </w:p>
        </w:tc>
        <w:tc>
          <w:tcPr>
            <w:tcW w:w="575" w:type="pct"/>
          </w:tcPr>
          <w:p w14:paraId="6B84FFDB" w14:textId="66F07CFA" w:rsidR="00BE2490" w:rsidRDefault="00E56299" w:rsidP="00820850">
            <w:pPr>
              <w:pStyle w:val="TableTextLeft"/>
              <w:keepNext/>
              <w:spacing w:after="0"/>
            </w:pPr>
            <w:r w:rsidRPr="00E56299">
              <w:t>174,092,22</w:t>
            </w:r>
            <w:r w:rsidR="007273F9">
              <w:t>6</w:t>
            </w:r>
          </w:p>
          <w:p w14:paraId="6881A1FA" w14:textId="06BA9809" w:rsidR="0038683E" w:rsidRDefault="00820850" w:rsidP="00820850">
            <w:pPr>
              <w:pStyle w:val="TableTextLeft"/>
              <w:spacing w:before="0"/>
            </w:pPr>
            <w:r>
              <w:t>(6.6%)</w:t>
            </w:r>
          </w:p>
        </w:tc>
        <w:tc>
          <w:tcPr>
            <w:tcW w:w="506" w:type="pct"/>
          </w:tcPr>
          <w:p w14:paraId="7B21F871" w14:textId="7BA55DDA" w:rsidR="007C6503" w:rsidRDefault="007C6503" w:rsidP="007C6503">
            <w:pPr>
              <w:pStyle w:val="TableTextLeft"/>
            </w:pPr>
            <w:r w:rsidRPr="00993244">
              <w:t>14,130</w:t>
            </w:r>
          </w:p>
        </w:tc>
        <w:tc>
          <w:tcPr>
            <w:tcW w:w="540" w:type="pct"/>
          </w:tcPr>
          <w:p w14:paraId="2E34F95D" w14:textId="7466D9E0" w:rsidR="00BE2490" w:rsidRDefault="005D399C" w:rsidP="0063600D">
            <w:pPr>
              <w:pStyle w:val="TableTextLeft"/>
              <w:keepNext/>
              <w:spacing w:after="0"/>
            </w:pPr>
            <w:r w:rsidRPr="005D399C">
              <w:t>42,079,97</w:t>
            </w:r>
            <w:r w:rsidR="00433EB6">
              <w:t>4</w:t>
            </w:r>
          </w:p>
          <w:p w14:paraId="5FE621C8" w14:textId="38C0A104" w:rsidR="00BE2490" w:rsidRDefault="00820850" w:rsidP="0063600D">
            <w:pPr>
              <w:pStyle w:val="TableTextLeft"/>
              <w:spacing w:before="0"/>
            </w:pPr>
            <w:r>
              <w:t>(</w:t>
            </w:r>
            <w:r w:rsidR="0063600D">
              <w:t>7.2%)</w:t>
            </w:r>
          </w:p>
        </w:tc>
        <w:tc>
          <w:tcPr>
            <w:tcW w:w="535" w:type="pct"/>
          </w:tcPr>
          <w:p w14:paraId="3A3EA1D2" w14:textId="440ABC37" w:rsidR="00BE2490" w:rsidRDefault="00974A68" w:rsidP="00087124">
            <w:pPr>
              <w:pStyle w:val="TableTextLeft"/>
              <w:keepNext/>
              <w:spacing w:after="0"/>
            </w:pPr>
            <w:r w:rsidRPr="00974A68">
              <w:t>842</w:t>
            </w:r>
          </w:p>
          <w:p w14:paraId="6144F8DD" w14:textId="060DE92A" w:rsidR="007C6503" w:rsidRDefault="00087124" w:rsidP="00087124">
            <w:pPr>
              <w:pStyle w:val="TableTextLeft"/>
              <w:spacing w:before="0"/>
            </w:pPr>
            <w:r>
              <w:t>(0.4%)</w:t>
            </w:r>
          </w:p>
        </w:tc>
      </w:tr>
      <w:tr w:rsidR="0036384F" w14:paraId="13824463" w14:textId="77777777" w:rsidTr="000A7ED0">
        <w:trPr>
          <w:cantSplit/>
          <w:trHeight w:val="270"/>
        </w:trPr>
        <w:tc>
          <w:tcPr>
            <w:tcW w:w="1051" w:type="pct"/>
          </w:tcPr>
          <w:p w14:paraId="025052BB" w14:textId="1B0E10A7" w:rsidR="007C6503" w:rsidRDefault="007C6503" w:rsidP="007C6503">
            <w:pPr>
              <w:pStyle w:val="TableTextLeft"/>
            </w:pPr>
            <w:r>
              <w:t>Risk management product providers</w:t>
            </w:r>
          </w:p>
        </w:tc>
        <w:tc>
          <w:tcPr>
            <w:tcW w:w="384" w:type="pct"/>
          </w:tcPr>
          <w:p w14:paraId="5E828C66" w14:textId="493BDAFF" w:rsidR="007C6503" w:rsidRDefault="007C6503" w:rsidP="007C6503">
            <w:pPr>
              <w:pStyle w:val="TableTextLeft"/>
            </w:pPr>
            <w:r>
              <w:t>85</w:t>
            </w:r>
          </w:p>
        </w:tc>
        <w:tc>
          <w:tcPr>
            <w:tcW w:w="555" w:type="pct"/>
          </w:tcPr>
          <w:p w14:paraId="5151154D" w14:textId="7FEEF216" w:rsidR="007C6503" w:rsidRDefault="007C6503" w:rsidP="007C6503">
            <w:pPr>
              <w:pStyle w:val="TableTextLeft"/>
            </w:pPr>
            <w:r>
              <w:t>47</w:t>
            </w:r>
          </w:p>
        </w:tc>
        <w:tc>
          <w:tcPr>
            <w:tcW w:w="314" w:type="pct"/>
          </w:tcPr>
          <w:p w14:paraId="5B09F220" w14:textId="7C99A09C" w:rsidR="007C6503" w:rsidRDefault="007C6503" w:rsidP="007C6503">
            <w:pPr>
              <w:pStyle w:val="TableTextLeft"/>
            </w:pPr>
            <w:r>
              <w:t>Y</w:t>
            </w:r>
          </w:p>
        </w:tc>
        <w:tc>
          <w:tcPr>
            <w:tcW w:w="540" w:type="pct"/>
          </w:tcPr>
          <w:p w14:paraId="2EAAF933" w14:textId="5A33FAEB" w:rsidR="007C6503" w:rsidRDefault="00486A81" w:rsidP="007C6503">
            <w:pPr>
              <w:pStyle w:val="TableTextLeft"/>
            </w:pPr>
            <w:r w:rsidRPr="00486A81">
              <w:t>38,249</w:t>
            </w:r>
          </w:p>
        </w:tc>
        <w:tc>
          <w:tcPr>
            <w:tcW w:w="575" w:type="pct"/>
          </w:tcPr>
          <w:p w14:paraId="27BFD387" w14:textId="7E353995" w:rsidR="00BE2490" w:rsidRDefault="003A614E" w:rsidP="00D96257">
            <w:pPr>
              <w:pStyle w:val="TableTextLeft"/>
              <w:spacing w:after="0"/>
            </w:pPr>
            <w:r w:rsidRPr="003A614E">
              <w:t>1,797,724</w:t>
            </w:r>
          </w:p>
          <w:p w14:paraId="66C4D341" w14:textId="157215B8" w:rsidR="0038683E" w:rsidRDefault="00157F2F" w:rsidP="00D96257">
            <w:pPr>
              <w:pStyle w:val="TableTextLeft"/>
              <w:spacing w:before="0"/>
            </w:pPr>
            <w:r>
              <w:t>(&lt;0.1%)</w:t>
            </w:r>
          </w:p>
        </w:tc>
        <w:tc>
          <w:tcPr>
            <w:tcW w:w="506" w:type="pct"/>
          </w:tcPr>
          <w:p w14:paraId="7026E547" w14:textId="38D8EEBF" w:rsidR="007C6503" w:rsidRDefault="00486A81" w:rsidP="007C6503">
            <w:pPr>
              <w:pStyle w:val="TableTextLeft"/>
            </w:pPr>
            <w:r w:rsidRPr="00486A81">
              <w:t>2,963</w:t>
            </w:r>
          </w:p>
        </w:tc>
        <w:tc>
          <w:tcPr>
            <w:tcW w:w="540" w:type="pct"/>
          </w:tcPr>
          <w:p w14:paraId="0DA8CBA6" w14:textId="140ADF74" w:rsidR="00BE2490" w:rsidRDefault="00282A30" w:rsidP="00D96257">
            <w:pPr>
              <w:pStyle w:val="TableTextLeft"/>
              <w:keepNext/>
              <w:spacing w:after="0"/>
            </w:pPr>
            <w:r w:rsidRPr="00282A30">
              <w:t>139,263</w:t>
            </w:r>
          </w:p>
          <w:p w14:paraId="5AEA29A2" w14:textId="54B7E0CD" w:rsidR="00BE2490" w:rsidRDefault="00D722A1" w:rsidP="00D96257">
            <w:pPr>
              <w:pStyle w:val="TableTextLeft"/>
              <w:spacing w:before="0"/>
            </w:pPr>
            <w:r>
              <w:t>(&lt;0.1%)</w:t>
            </w:r>
          </w:p>
        </w:tc>
        <w:tc>
          <w:tcPr>
            <w:tcW w:w="535" w:type="pct"/>
          </w:tcPr>
          <w:p w14:paraId="5084A457" w14:textId="577AD7FF" w:rsidR="00BE2490" w:rsidRDefault="00423C81" w:rsidP="00B4164A">
            <w:pPr>
              <w:pStyle w:val="TableTextLeft"/>
              <w:spacing w:after="0"/>
            </w:pPr>
            <w:r w:rsidRPr="00423C81">
              <w:t>100</w:t>
            </w:r>
          </w:p>
          <w:p w14:paraId="1F36C723" w14:textId="2D37F1B7" w:rsidR="007C6503" w:rsidRDefault="00157F2F" w:rsidP="00B4164A">
            <w:pPr>
              <w:pStyle w:val="TableTextLeft"/>
              <w:spacing w:before="0"/>
            </w:pPr>
            <w:r>
              <w:t>(&lt;0.1%)</w:t>
            </w:r>
          </w:p>
        </w:tc>
      </w:tr>
      <w:tr w:rsidR="0036384F" w14:paraId="14FBB4A5" w14:textId="77777777" w:rsidTr="000A7ED0">
        <w:trPr>
          <w:cantSplit/>
          <w:trHeight w:val="270"/>
        </w:trPr>
        <w:tc>
          <w:tcPr>
            <w:tcW w:w="1051" w:type="pct"/>
          </w:tcPr>
          <w:p w14:paraId="05990324" w14:textId="47037605" w:rsidR="007C6503" w:rsidRDefault="007C6503" w:rsidP="007C6503">
            <w:pPr>
              <w:pStyle w:val="TableTextLeft"/>
            </w:pPr>
            <w:r>
              <w:t>Claims handling and settling services providers</w:t>
            </w:r>
          </w:p>
        </w:tc>
        <w:tc>
          <w:tcPr>
            <w:tcW w:w="384" w:type="pct"/>
          </w:tcPr>
          <w:p w14:paraId="5A1A376C" w14:textId="538EAD11" w:rsidR="007C6503" w:rsidRDefault="007C6503" w:rsidP="007C6503">
            <w:pPr>
              <w:pStyle w:val="TableTextLeft"/>
            </w:pPr>
            <w:r>
              <w:t>344</w:t>
            </w:r>
          </w:p>
        </w:tc>
        <w:tc>
          <w:tcPr>
            <w:tcW w:w="555" w:type="pct"/>
          </w:tcPr>
          <w:p w14:paraId="3ACCFEAE" w14:textId="231296E2" w:rsidR="007C6503" w:rsidRDefault="007C6503" w:rsidP="007C6503">
            <w:pPr>
              <w:pStyle w:val="TableTextLeft"/>
            </w:pPr>
            <w:r>
              <w:t>329</w:t>
            </w:r>
          </w:p>
        </w:tc>
        <w:tc>
          <w:tcPr>
            <w:tcW w:w="314" w:type="pct"/>
          </w:tcPr>
          <w:p w14:paraId="7292B4DE" w14:textId="148A45F2" w:rsidR="007C6503" w:rsidRDefault="007C6503" w:rsidP="007C6503">
            <w:pPr>
              <w:pStyle w:val="TableTextLeft"/>
            </w:pPr>
            <w:r>
              <w:t>Y</w:t>
            </w:r>
          </w:p>
        </w:tc>
        <w:tc>
          <w:tcPr>
            <w:tcW w:w="540" w:type="pct"/>
          </w:tcPr>
          <w:p w14:paraId="655327E2" w14:textId="7B58BDD9" w:rsidR="007C6503" w:rsidRDefault="007C6503" w:rsidP="007C6503">
            <w:pPr>
              <w:pStyle w:val="TableTextLeft"/>
            </w:pPr>
            <w:r w:rsidRPr="00F23C99">
              <w:t>161,500</w:t>
            </w:r>
          </w:p>
        </w:tc>
        <w:tc>
          <w:tcPr>
            <w:tcW w:w="575" w:type="pct"/>
          </w:tcPr>
          <w:p w14:paraId="20393CF0" w14:textId="7BCEEF98" w:rsidR="00BE2490" w:rsidRDefault="00BB64D5" w:rsidP="00ED573C">
            <w:pPr>
              <w:pStyle w:val="TableTextLeft"/>
              <w:keepNext/>
              <w:spacing w:after="0"/>
            </w:pPr>
            <w:r w:rsidRPr="00BB64D5">
              <w:t>53,133,532</w:t>
            </w:r>
          </w:p>
          <w:p w14:paraId="7F4106F6" w14:textId="0F0F185F" w:rsidR="0038683E" w:rsidRDefault="00581F7D" w:rsidP="00ED573C">
            <w:pPr>
              <w:pStyle w:val="TableTextLeft"/>
              <w:spacing w:before="0"/>
            </w:pPr>
            <w:r>
              <w:t>(2.0%)</w:t>
            </w:r>
          </w:p>
        </w:tc>
        <w:tc>
          <w:tcPr>
            <w:tcW w:w="506" w:type="pct"/>
          </w:tcPr>
          <w:p w14:paraId="422DFEAA" w14:textId="34F164A6" w:rsidR="007C6503" w:rsidRDefault="007C6503" w:rsidP="007C6503">
            <w:pPr>
              <w:pStyle w:val="TableTextLeft"/>
            </w:pPr>
            <w:r w:rsidRPr="00AF011D">
              <w:t>8,800</w:t>
            </w:r>
          </w:p>
        </w:tc>
        <w:tc>
          <w:tcPr>
            <w:tcW w:w="540" w:type="pct"/>
          </w:tcPr>
          <w:p w14:paraId="593ACE67" w14:textId="3A87EE77" w:rsidR="00BE2490" w:rsidRDefault="00DD618D" w:rsidP="00ED573C">
            <w:pPr>
              <w:pStyle w:val="TableTextLeft"/>
              <w:keepNext/>
              <w:spacing w:after="0"/>
            </w:pPr>
            <w:r w:rsidRPr="00DD618D">
              <w:t>2,895,262</w:t>
            </w:r>
          </w:p>
          <w:p w14:paraId="7ABA7C71" w14:textId="2FF6C018" w:rsidR="00BE2490" w:rsidRDefault="006716F2" w:rsidP="00ED573C">
            <w:pPr>
              <w:pStyle w:val="TableTextLeft"/>
              <w:spacing w:before="0"/>
            </w:pPr>
            <w:r>
              <w:t>(0.5%)</w:t>
            </w:r>
          </w:p>
        </w:tc>
        <w:tc>
          <w:tcPr>
            <w:tcW w:w="535" w:type="pct"/>
          </w:tcPr>
          <w:p w14:paraId="319A8EAF" w14:textId="268CDE07" w:rsidR="00BE2490" w:rsidRDefault="00E415EC" w:rsidP="00B47F81">
            <w:pPr>
              <w:pStyle w:val="TableTextLeft"/>
              <w:keepNext/>
              <w:spacing w:after="0"/>
            </w:pPr>
            <w:r w:rsidRPr="00E415EC">
              <w:t>6,903</w:t>
            </w:r>
          </w:p>
          <w:p w14:paraId="798F995E" w14:textId="758B7C3C" w:rsidR="007C6503" w:rsidRDefault="00B47F81" w:rsidP="00B47F81">
            <w:pPr>
              <w:pStyle w:val="TableTextLeft"/>
              <w:spacing w:before="0"/>
            </w:pPr>
            <w:r>
              <w:t>(3.4%)</w:t>
            </w:r>
          </w:p>
        </w:tc>
      </w:tr>
    </w:tbl>
    <w:p w14:paraId="58CA977E" w14:textId="77777777" w:rsidR="000A747E" w:rsidRDefault="000A747E" w:rsidP="00675922">
      <w:pPr>
        <w:sectPr w:rsidR="000A747E" w:rsidSect="007278A3">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418" w:right="1843" w:bottom="1418" w:left="1418" w:header="709" w:footer="709" w:gutter="0"/>
          <w:cols w:space="708"/>
          <w:docGrid w:linePitch="360"/>
        </w:sectPr>
      </w:pPr>
    </w:p>
    <w:p w14:paraId="4C0E3EA0" w14:textId="7514F2F9" w:rsidR="000A747E" w:rsidRDefault="000A747E" w:rsidP="000A747E">
      <w:pPr>
        <w:pStyle w:val="Heading1"/>
      </w:pPr>
      <w:bookmarkStart w:id="27" w:name="_Toc202542346"/>
      <w:r>
        <w:lastRenderedPageBreak/>
        <w:t xml:space="preserve">Appendix B: </w:t>
      </w:r>
      <w:r w:rsidR="00900F60">
        <w:t>Illustrative estimates of special levy options</w:t>
      </w:r>
      <w:bookmarkEnd w:id="27"/>
    </w:p>
    <w:p w14:paraId="1D8B67AE" w14:textId="5F25A0E9" w:rsidR="00E64110" w:rsidRPr="00EB68EC" w:rsidRDefault="008550DD" w:rsidP="008550DD">
      <w:pPr>
        <w:pStyle w:val="TableMainHeading"/>
      </w:pPr>
      <w:bookmarkStart w:id="28" w:name="_Toc202542347"/>
      <w:r w:rsidRPr="00EB68EC">
        <w:t>Table B</w:t>
      </w:r>
      <w:r w:rsidR="003455C4">
        <w:t>1</w:t>
      </w:r>
      <w:r w:rsidRPr="00EB68EC">
        <w:t xml:space="preserve">: </w:t>
      </w:r>
      <w:r w:rsidR="003C429C" w:rsidRPr="00EB68EC">
        <w:t>Options for spreading</w:t>
      </w:r>
      <w:r w:rsidR="005C3AF5" w:rsidRPr="00EB68EC">
        <w:t xml:space="preserve"> a special levy </w:t>
      </w:r>
      <w:r w:rsidR="00710C5F" w:rsidRPr="00EB68EC">
        <w:t xml:space="preserve">of the full amount of the excess </w:t>
      </w:r>
      <w:r w:rsidR="005C3AF5" w:rsidRPr="00EB68EC">
        <w:t>across multiple</w:t>
      </w:r>
      <w:r w:rsidR="0095097B" w:rsidRPr="00EB68EC">
        <w:t xml:space="preserve"> retail-facing sub</w:t>
      </w:r>
      <w:r w:rsidR="0095097B" w:rsidRPr="00EB68EC">
        <w:noBreakHyphen/>
        <w:t>sectors</w:t>
      </w:r>
      <w:bookmarkEnd w:id="28"/>
    </w:p>
    <w:tbl>
      <w:tblPr>
        <w:tblW w:w="5000" w:type="pct"/>
        <w:tblLook w:val="01E0" w:firstRow="1" w:lastRow="1" w:firstColumn="1" w:lastColumn="1" w:noHBand="0" w:noVBand="0"/>
        <w:tblCaption w:val="Table B1: Options for spreading a special levy of the full amount of the excess across multiple retail-facing sub sectors"/>
        <w:tblDescription w:val="Table B1 demonstrates the cost and percentage attributed of spreading the full amount of excess by special levy across the 'retail facing' sub-sectors based off various options: spread equally, spread by population, spread by revenue, spread by profits, and spread by regulatory effort. The table shows that the option for spreading the levy has significant impact on the amount of levy attributable to a sub-sector."/>
      </w:tblPr>
      <w:tblGrid>
        <w:gridCol w:w="2264"/>
        <w:gridCol w:w="2265"/>
        <w:gridCol w:w="2262"/>
        <w:gridCol w:w="2262"/>
        <w:gridCol w:w="2262"/>
        <w:gridCol w:w="2262"/>
      </w:tblGrid>
      <w:tr w:rsidR="0095097B" w14:paraId="782C22A7" w14:textId="77777777" w:rsidTr="005E685B">
        <w:trPr>
          <w:trHeight w:val="270"/>
          <w:tblHeader/>
        </w:trPr>
        <w:tc>
          <w:tcPr>
            <w:tcW w:w="834" w:type="pct"/>
            <w:shd w:val="clear" w:color="auto" w:fill="E5E5E5"/>
          </w:tcPr>
          <w:p w14:paraId="0E42453A" w14:textId="77777777" w:rsidR="0095097B" w:rsidRPr="00EB68EC" w:rsidRDefault="0095097B">
            <w:pPr>
              <w:pStyle w:val="TableTextLeft"/>
              <w:rPr>
                <w:b/>
                <w:bCs/>
              </w:rPr>
            </w:pPr>
          </w:p>
        </w:tc>
        <w:tc>
          <w:tcPr>
            <w:tcW w:w="834" w:type="pct"/>
            <w:shd w:val="clear" w:color="auto" w:fill="E5E5E5"/>
          </w:tcPr>
          <w:p w14:paraId="1F668655" w14:textId="352305A0" w:rsidR="0095097B" w:rsidRPr="00EB68EC" w:rsidRDefault="0095097B">
            <w:pPr>
              <w:pStyle w:val="TableTextLeft"/>
              <w:rPr>
                <w:b/>
                <w:bCs/>
              </w:rPr>
            </w:pPr>
            <w:r w:rsidRPr="00EB68EC">
              <w:rPr>
                <w:b/>
                <w:bCs/>
              </w:rPr>
              <w:t>Spread equally</w:t>
            </w:r>
            <w:r w:rsidR="003F4300" w:rsidRPr="00EB68EC">
              <w:rPr>
                <w:b/>
                <w:bCs/>
              </w:rPr>
              <w:br/>
              <w:t>($000s)</w:t>
            </w:r>
          </w:p>
        </w:tc>
        <w:tc>
          <w:tcPr>
            <w:tcW w:w="833" w:type="pct"/>
            <w:shd w:val="clear" w:color="auto" w:fill="E5E5E5"/>
          </w:tcPr>
          <w:p w14:paraId="3B3C3090" w14:textId="7C1D9AAD" w:rsidR="0095097B" w:rsidRPr="00EB68EC" w:rsidRDefault="0095097B">
            <w:pPr>
              <w:pStyle w:val="TableTextLeft"/>
              <w:rPr>
                <w:b/>
                <w:bCs/>
              </w:rPr>
            </w:pPr>
            <w:r w:rsidRPr="00EB68EC">
              <w:rPr>
                <w:b/>
                <w:bCs/>
              </w:rPr>
              <w:t>Spread by population</w:t>
            </w:r>
            <w:r w:rsidR="003F4300" w:rsidRPr="00EB68EC">
              <w:rPr>
                <w:b/>
                <w:bCs/>
              </w:rPr>
              <w:br/>
              <w:t>($000s)</w:t>
            </w:r>
          </w:p>
        </w:tc>
        <w:tc>
          <w:tcPr>
            <w:tcW w:w="833" w:type="pct"/>
            <w:shd w:val="clear" w:color="auto" w:fill="E5E5E5"/>
          </w:tcPr>
          <w:p w14:paraId="0F1FDB4F" w14:textId="63BEFB34" w:rsidR="0095097B" w:rsidRPr="00EB68EC" w:rsidRDefault="0095097B">
            <w:pPr>
              <w:pStyle w:val="TableTextLeft"/>
              <w:rPr>
                <w:b/>
                <w:bCs/>
              </w:rPr>
            </w:pPr>
            <w:r w:rsidRPr="00EB68EC">
              <w:rPr>
                <w:b/>
                <w:bCs/>
              </w:rPr>
              <w:t>Spread by revenue</w:t>
            </w:r>
            <w:r w:rsidR="003F4300" w:rsidRPr="00EB68EC">
              <w:rPr>
                <w:b/>
                <w:bCs/>
              </w:rPr>
              <w:br/>
              <w:t>($000s)</w:t>
            </w:r>
          </w:p>
        </w:tc>
        <w:tc>
          <w:tcPr>
            <w:tcW w:w="833" w:type="pct"/>
            <w:shd w:val="clear" w:color="auto" w:fill="E5E5E5"/>
          </w:tcPr>
          <w:p w14:paraId="542D14C1" w14:textId="65E524E5" w:rsidR="0095097B" w:rsidRPr="00EB68EC" w:rsidRDefault="0095097B">
            <w:pPr>
              <w:pStyle w:val="TableTextLeft"/>
              <w:rPr>
                <w:b/>
                <w:bCs/>
              </w:rPr>
            </w:pPr>
            <w:r w:rsidRPr="00EB68EC">
              <w:rPr>
                <w:b/>
                <w:bCs/>
              </w:rPr>
              <w:t>Spread by profits</w:t>
            </w:r>
            <w:r w:rsidR="00BE4ED9" w:rsidRPr="00EB68EC">
              <w:rPr>
                <w:b/>
                <w:bCs/>
              </w:rPr>
              <w:br/>
              <w:t>($000s)</w:t>
            </w:r>
          </w:p>
        </w:tc>
        <w:tc>
          <w:tcPr>
            <w:tcW w:w="833" w:type="pct"/>
            <w:shd w:val="clear" w:color="auto" w:fill="E5E5E5"/>
          </w:tcPr>
          <w:p w14:paraId="60820CA6" w14:textId="3E74D1BB" w:rsidR="0095097B" w:rsidRPr="00EB68EC" w:rsidRDefault="0095097B">
            <w:pPr>
              <w:pStyle w:val="TableTextLeft"/>
              <w:rPr>
                <w:b/>
                <w:bCs/>
              </w:rPr>
            </w:pPr>
            <w:r w:rsidRPr="00EB68EC">
              <w:rPr>
                <w:b/>
                <w:bCs/>
              </w:rPr>
              <w:t>Spread by regulatory effort</w:t>
            </w:r>
            <w:r w:rsidR="00BE4ED9" w:rsidRPr="00EB68EC">
              <w:rPr>
                <w:b/>
                <w:bCs/>
              </w:rPr>
              <w:br/>
              <w:t>($000s)</w:t>
            </w:r>
          </w:p>
        </w:tc>
      </w:tr>
      <w:tr w:rsidR="0095097B" w14:paraId="6B5554BD" w14:textId="77777777" w:rsidTr="005E685B">
        <w:trPr>
          <w:trHeight w:val="270"/>
        </w:trPr>
        <w:tc>
          <w:tcPr>
            <w:tcW w:w="5000" w:type="pct"/>
            <w:gridSpan w:val="6"/>
            <w:shd w:val="clear" w:color="auto" w:fill="F2F2F2" w:themeFill="background1" w:themeFillShade="F2"/>
          </w:tcPr>
          <w:p w14:paraId="503A6584" w14:textId="77777777" w:rsidR="0095097B" w:rsidRPr="000D6872" w:rsidRDefault="0095097B">
            <w:pPr>
              <w:pStyle w:val="TableTextLeft"/>
              <w:keepNext/>
              <w:rPr>
                <w:b/>
              </w:rPr>
            </w:pPr>
            <w:r w:rsidRPr="000D6872">
              <w:rPr>
                <w:b/>
                <w:bCs/>
              </w:rPr>
              <w:t>Deposit taking and credit sector</w:t>
            </w:r>
          </w:p>
        </w:tc>
      </w:tr>
      <w:tr w:rsidR="0095097B" w14:paraId="20F7FB43" w14:textId="77777777" w:rsidTr="005E685B">
        <w:trPr>
          <w:trHeight w:val="270"/>
        </w:trPr>
        <w:tc>
          <w:tcPr>
            <w:tcW w:w="834" w:type="pct"/>
          </w:tcPr>
          <w:p w14:paraId="43A0C40E" w14:textId="77777777" w:rsidR="0095097B" w:rsidRPr="000D6872" w:rsidRDefault="0095097B">
            <w:pPr>
              <w:pStyle w:val="TableTextLeft"/>
              <w:rPr>
                <w:b/>
                <w:bCs/>
              </w:rPr>
            </w:pPr>
            <w:r>
              <w:t xml:space="preserve">Credit providers </w:t>
            </w:r>
          </w:p>
        </w:tc>
        <w:tc>
          <w:tcPr>
            <w:tcW w:w="834" w:type="pct"/>
          </w:tcPr>
          <w:p w14:paraId="0392D0DB" w14:textId="5FF043E2" w:rsidR="0095097B" w:rsidRDefault="00D244F9" w:rsidP="00D244F9">
            <w:pPr>
              <w:spacing w:before="0" w:after="0"/>
              <w:rPr>
                <w:color w:val="000000"/>
                <w:sz w:val="18"/>
              </w:rPr>
            </w:pPr>
            <w:r w:rsidRPr="00D244F9">
              <w:rPr>
                <w:color w:val="000000"/>
                <w:sz w:val="18"/>
              </w:rPr>
              <w:t>2,</w:t>
            </w:r>
            <w:r w:rsidR="009E7F90">
              <w:rPr>
                <w:color w:val="000000"/>
                <w:sz w:val="18"/>
              </w:rPr>
              <w:t>252</w:t>
            </w:r>
          </w:p>
          <w:p w14:paraId="2E9796D7" w14:textId="2206734D" w:rsidR="0095097B" w:rsidRPr="00D244F9" w:rsidRDefault="00395B6B" w:rsidP="004455DF">
            <w:pPr>
              <w:spacing w:before="0" w:after="40"/>
              <w:rPr>
                <w:color w:val="000000"/>
                <w:sz w:val="18"/>
              </w:rPr>
            </w:pPr>
            <w:r>
              <w:rPr>
                <w:color w:val="000000"/>
                <w:sz w:val="18"/>
              </w:rPr>
              <w:t>(</w:t>
            </w:r>
            <w:r w:rsidR="004F0B56">
              <w:rPr>
                <w:color w:val="000000"/>
                <w:sz w:val="18"/>
              </w:rPr>
              <w:t>4.</w:t>
            </w:r>
            <w:r w:rsidR="00F656D6">
              <w:rPr>
                <w:color w:val="000000"/>
                <w:sz w:val="18"/>
              </w:rPr>
              <w:t>8</w:t>
            </w:r>
            <w:r>
              <w:rPr>
                <w:color w:val="000000"/>
                <w:sz w:val="18"/>
              </w:rPr>
              <w:t>%)</w:t>
            </w:r>
          </w:p>
        </w:tc>
        <w:tc>
          <w:tcPr>
            <w:tcW w:w="833" w:type="pct"/>
          </w:tcPr>
          <w:p w14:paraId="2FDC2D6D" w14:textId="305E70CC" w:rsidR="00A425D8" w:rsidRDefault="00FD260E" w:rsidP="00A425D8">
            <w:pPr>
              <w:spacing w:before="0" w:after="0"/>
              <w:rPr>
                <w:color w:val="000000"/>
                <w:sz w:val="18"/>
              </w:rPr>
            </w:pPr>
            <w:r>
              <w:rPr>
                <w:color w:val="000000"/>
                <w:sz w:val="18"/>
              </w:rPr>
              <w:t>2,966</w:t>
            </w:r>
          </w:p>
          <w:p w14:paraId="41FF9216" w14:textId="3DB98205" w:rsidR="0095097B" w:rsidRPr="00D66C8F" w:rsidRDefault="00C95DEE" w:rsidP="00D66C8F">
            <w:pPr>
              <w:spacing w:before="0" w:after="0"/>
              <w:rPr>
                <w:color w:val="000000"/>
                <w:sz w:val="18"/>
              </w:rPr>
            </w:pPr>
            <w:r>
              <w:rPr>
                <w:color w:val="000000"/>
                <w:sz w:val="18"/>
              </w:rPr>
              <w:t>(</w:t>
            </w:r>
            <w:r w:rsidR="00A425D8">
              <w:rPr>
                <w:color w:val="000000"/>
                <w:sz w:val="18"/>
              </w:rPr>
              <w:t>6.</w:t>
            </w:r>
            <w:r w:rsidR="007D1FEB">
              <w:rPr>
                <w:color w:val="000000"/>
                <w:sz w:val="18"/>
              </w:rPr>
              <w:t>3</w:t>
            </w:r>
            <w:r w:rsidR="00395B6B">
              <w:rPr>
                <w:color w:val="000000"/>
                <w:sz w:val="18"/>
              </w:rPr>
              <w:t>%)</w:t>
            </w:r>
          </w:p>
        </w:tc>
        <w:tc>
          <w:tcPr>
            <w:tcW w:w="833" w:type="pct"/>
          </w:tcPr>
          <w:p w14:paraId="138A573C" w14:textId="12AEDC8F" w:rsidR="00D414E5" w:rsidRPr="00EF77D7" w:rsidRDefault="00D414E5" w:rsidP="00D414E5">
            <w:pPr>
              <w:spacing w:before="0" w:after="0"/>
              <w:rPr>
                <w:color w:val="000000"/>
                <w:sz w:val="18"/>
              </w:rPr>
            </w:pPr>
            <w:r w:rsidRPr="00EF77D7">
              <w:rPr>
                <w:color w:val="000000"/>
                <w:sz w:val="18"/>
              </w:rPr>
              <w:t>5,</w:t>
            </w:r>
            <w:r w:rsidR="00217BFD">
              <w:rPr>
                <w:color w:val="000000"/>
                <w:sz w:val="18"/>
              </w:rPr>
              <w:t>645</w:t>
            </w:r>
          </w:p>
          <w:p w14:paraId="04942D10" w14:textId="64C2E0B1" w:rsidR="0095097B" w:rsidRPr="00EF77D7" w:rsidRDefault="00C95DEE" w:rsidP="00D414E5">
            <w:pPr>
              <w:spacing w:before="0" w:after="0"/>
              <w:rPr>
                <w:color w:val="000000"/>
                <w:sz w:val="18"/>
              </w:rPr>
            </w:pPr>
            <w:r>
              <w:rPr>
                <w:color w:val="000000"/>
                <w:sz w:val="18"/>
              </w:rPr>
              <w:t>(</w:t>
            </w:r>
            <w:r w:rsidR="00CC4F27">
              <w:rPr>
                <w:color w:val="000000"/>
                <w:sz w:val="18"/>
              </w:rPr>
              <w:t>12.0</w:t>
            </w:r>
            <w:r w:rsidR="00395B6B">
              <w:rPr>
                <w:color w:val="000000"/>
                <w:sz w:val="18"/>
              </w:rPr>
              <w:t>%)</w:t>
            </w:r>
          </w:p>
        </w:tc>
        <w:tc>
          <w:tcPr>
            <w:tcW w:w="833" w:type="pct"/>
          </w:tcPr>
          <w:p w14:paraId="0437010A" w14:textId="19C3685B" w:rsidR="001B3C94" w:rsidRDefault="002B2639" w:rsidP="001B3C94">
            <w:pPr>
              <w:spacing w:before="0" w:after="0"/>
              <w:rPr>
                <w:rFonts w:cs="Calibri Light"/>
                <w:color w:val="000000"/>
                <w:sz w:val="18"/>
                <w:szCs w:val="18"/>
              </w:rPr>
            </w:pPr>
            <w:r>
              <w:rPr>
                <w:rFonts w:cs="Calibri Light"/>
                <w:color w:val="000000"/>
                <w:sz w:val="18"/>
                <w:szCs w:val="18"/>
              </w:rPr>
              <w:t>5,674</w:t>
            </w:r>
          </w:p>
          <w:p w14:paraId="439174D6" w14:textId="3691E7F2" w:rsidR="0095097B" w:rsidRPr="00260784" w:rsidRDefault="00C95DEE" w:rsidP="00260784">
            <w:pPr>
              <w:spacing w:before="0" w:after="0"/>
              <w:rPr>
                <w:rFonts w:cs="Calibri Light"/>
                <w:color w:val="000000"/>
                <w:sz w:val="18"/>
                <w:szCs w:val="18"/>
              </w:rPr>
            </w:pPr>
            <w:r>
              <w:rPr>
                <w:rFonts w:cs="Calibri Light"/>
                <w:color w:val="000000"/>
                <w:sz w:val="18"/>
                <w:szCs w:val="18"/>
              </w:rPr>
              <w:t>(</w:t>
            </w:r>
            <w:r w:rsidR="001B3C94">
              <w:rPr>
                <w:rFonts w:cs="Calibri Light"/>
                <w:color w:val="000000"/>
                <w:sz w:val="18"/>
                <w:szCs w:val="18"/>
              </w:rPr>
              <w:t>12.0</w:t>
            </w:r>
            <w:r w:rsidR="00395B6B">
              <w:rPr>
                <w:rFonts w:cs="Calibri Light"/>
                <w:color w:val="000000"/>
                <w:sz w:val="18"/>
                <w:szCs w:val="18"/>
              </w:rPr>
              <w:t>%)</w:t>
            </w:r>
          </w:p>
        </w:tc>
        <w:tc>
          <w:tcPr>
            <w:tcW w:w="833" w:type="pct"/>
          </w:tcPr>
          <w:p w14:paraId="08B5F7FB" w14:textId="3429B256" w:rsidR="00A425D8" w:rsidRPr="00A406BE" w:rsidRDefault="00A425D8" w:rsidP="004455DF">
            <w:pPr>
              <w:pStyle w:val="TableTextLeft"/>
              <w:spacing w:before="0" w:after="0"/>
            </w:pPr>
            <w:r w:rsidRPr="00A406BE">
              <w:t>8,</w:t>
            </w:r>
            <w:r w:rsidR="002B2639">
              <w:t>010</w:t>
            </w:r>
          </w:p>
          <w:p w14:paraId="3E3C0E28" w14:textId="5EA05335" w:rsidR="0095097B" w:rsidRDefault="00C95DEE" w:rsidP="004455DF">
            <w:pPr>
              <w:pStyle w:val="TableTextLeft"/>
              <w:spacing w:before="0" w:after="0"/>
            </w:pPr>
            <w:r>
              <w:t>(</w:t>
            </w:r>
            <w:r w:rsidR="00A425D8" w:rsidRPr="00A406BE">
              <w:t>16.9</w:t>
            </w:r>
            <w:r w:rsidR="00395B6B">
              <w:t>%)</w:t>
            </w:r>
          </w:p>
        </w:tc>
      </w:tr>
      <w:tr w:rsidR="0095097B" w14:paraId="018009DD" w14:textId="77777777" w:rsidTr="005E685B">
        <w:trPr>
          <w:trHeight w:val="270"/>
        </w:trPr>
        <w:tc>
          <w:tcPr>
            <w:tcW w:w="834" w:type="pct"/>
          </w:tcPr>
          <w:p w14:paraId="646EEDF0" w14:textId="77777777" w:rsidR="0095097B" w:rsidRDefault="0095097B">
            <w:pPr>
              <w:pStyle w:val="TableTextLeft"/>
            </w:pPr>
            <w:r>
              <w:t>Small and medium amount credit providers</w:t>
            </w:r>
          </w:p>
        </w:tc>
        <w:tc>
          <w:tcPr>
            <w:tcW w:w="834" w:type="pct"/>
          </w:tcPr>
          <w:p w14:paraId="352AB9E9" w14:textId="77777777" w:rsidR="009E7F90" w:rsidRDefault="009E7F90" w:rsidP="009E7F90">
            <w:pPr>
              <w:spacing w:before="0" w:after="0"/>
              <w:rPr>
                <w:color w:val="000000"/>
                <w:sz w:val="18"/>
              </w:rPr>
            </w:pPr>
            <w:r w:rsidRPr="00D244F9">
              <w:rPr>
                <w:color w:val="000000"/>
                <w:sz w:val="18"/>
              </w:rPr>
              <w:t>2,</w:t>
            </w:r>
            <w:r>
              <w:rPr>
                <w:color w:val="000000"/>
                <w:sz w:val="18"/>
              </w:rPr>
              <w:t>252</w:t>
            </w:r>
          </w:p>
          <w:p w14:paraId="50D1FE55" w14:textId="2A9F7BDE" w:rsidR="0095097B" w:rsidRDefault="00395B6B" w:rsidP="009E7F90">
            <w:pPr>
              <w:pStyle w:val="TableTextLeft"/>
              <w:spacing w:before="0" w:after="0"/>
            </w:pPr>
            <w:r>
              <w:t>(</w:t>
            </w:r>
            <w:r w:rsidR="009E7F90">
              <w:t>4.</w:t>
            </w:r>
            <w:r w:rsidR="00F656D6">
              <w:t>8</w:t>
            </w:r>
            <w:r>
              <w:t>%)</w:t>
            </w:r>
          </w:p>
        </w:tc>
        <w:tc>
          <w:tcPr>
            <w:tcW w:w="833" w:type="pct"/>
          </w:tcPr>
          <w:p w14:paraId="124D7326" w14:textId="7A8F8604" w:rsidR="00A425D8" w:rsidRDefault="00873CA3" w:rsidP="00A425D8">
            <w:pPr>
              <w:spacing w:before="0" w:after="0"/>
              <w:rPr>
                <w:color w:val="000000"/>
                <w:sz w:val="18"/>
              </w:rPr>
            </w:pPr>
            <w:r>
              <w:rPr>
                <w:color w:val="000000"/>
                <w:sz w:val="18"/>
              </w:rPr>
              <w:t>571</w:t>
            </w:r>
          </w:p>
          <w:p w14:paraId="13029A18" w14:textId="2F225B9F" w:rsidR="0095097B" w:rsidRPr="00D66C8F" w:rsidRDefault="00C95DEE" w:rsidP="00D66C8F">
            <w:pPr>
              <w:spacing w:before="0" w:after="0"/>
              <w:rPr>
                <w:color w:val="000000"/>
                <w:sz w:val="18"/>
              </w:rPr>
            </w:pPr>
            <w:r>
              <w:rPr>
                <w:color w:val="000000"/>
                <w:sz w:val="18"/>
              </w:rPr>
              <w:t>(</w:t>
            </w:r>
            <w:r w:rsidR="00A425D8">
              <w:rPr>
                <w:color w:val="000000"/>
                <w:sz w:val="18"/>
              </w:rPr>
              <w:t>1.2</w:t>
            </w:r>
            <w:r w:rsidR="00395B6B">
              <w:rPr>
                <w:color w:val="000000"/>
                <w:sz w:val="18"/>
              </w:rPr>
              <w:t>%)</w:t>
            </w:r>
          </w:p>
        </w:tc>
        <w:tc>
          <w:tcPr>
            <w:tcW w:w="833" w:type="pct"/>
          </w:tcPr>
          <w:p w14:paraId="5E5D12CA" w14:textId="1D99DC97" w:rsidR="00D414E5" w:rsidRPr="00EF77D7" w:rsidRDefault="00D414E5" w:rsidP="00D414E5">
            <w:pPr>
              <w:spacing w:before="0" w:after="0"/>
              <w:rPr>
                <w:color w:val="000000"/>
                <w:sz w:val="18"/>
              </w:rPr>
            </w:pPr>
            <w:r w:rsidRPr="00EF77D7">
              <w:rPr>
                <w:color w:val="000000"/>
                <w:sz w:val="18"/>
              </w:rPr>
              <w:t>3</w:t>
            </w:r>
            <w:r w:rsidR="00217BFD">
              <w:rPr>
                <w:color w:val="000000"/>
                <w:sz w:val="18"/>
              </w:rPr>
              <w:t>5</w:t>
            </w:r>
          </w:p>
          <w:p w14:paraId="65DE3AF8" w14:textId="4B20F58A" w:rsidR="0095097B" w:rsidRPr="00EF77D7" w:rsidRDefault="00357FCC" w:rsidP="00B75BFE">
            <w:pPr>
              <w:spacing w:before="0" w:after="0"/>
              <w:rPr>
                <w:color w:val="000000"/>
                <w:sz w:val="18"/>
              </w:rPr>
            </w:pPr>
            <w:r w:rsidRPr="008C1E4B">
              <w:rPr>
                <w:rFonts w:cs="Calibri Light"/>
                <w:color w:val="000000"/>
                <w:sz w:val="18"/>
                <w:szCs w:val="18"/>
              </w:rPr>
              <w:t>(&lt;0.1%)</w:t>
            </w:r>
          </w:p>
        </w:tc>
        <w:tc>
          <w:tcPr>
            <w:tcW w:w="833" w:type="pct"/>
          </w:tcPr>
          <w:p w14:paraId="721EB69C" w14:textId="713E5CCA" w:rsidR="001B3C94" w:rsidRDefault="002B2639" w:rsidP="001B3C94">
            <w:pPr>
              <w:spacing w:before="0" w:after="0"/>
              <w:rPr>
                <w:rFonts w:cs="Calibri Light"/>
                <w:color w:val="000000"/>
                <w:sz w:val="18"/>
                <w:szCs w:val="18"/>
              </w:rPr>
            </w:pPr>
            <w:r>
              <w:rPr>
                <w:rFonts w:cs="Calibri Light"/>
                <w:color w:val="000000"/>
                <w:sz w:val="18"/>
                <w:szCs w:val="18"/>
              </w:rPr>
              <w:t>4</w:t>
            </w:r>
          </w:p>
          <w:p w14:paraId="19893B66" w14:textId="5614B0D2" w:rsidR="0095097B" w:rsidRPr="001B3C94" w:rsidRDefault="00D722A1" w:rsidP="001B3C94">
            <w:pPr>
              <w:spacing w:before="0" w:after="0"/>
              <w:rPr>
                <w:rFonts w:cs="Calibri Light"/>
                <w:color w:val="000000"/>
                <w:sz w:val="18"/>
                <w:szCs w:val="18"/>
              </w:rPr>
            </w:pPr>
            <w:r w:rsidRPr="00874BF1">
              <w:rPr>
                <w:rFonts w:cs="Calibri Light"/>
                <w:color w:val="000000"/>
                <w:sz w:val="18"/>
                <w:szCs w:val="18"/>
              </w:rPr>
              <w:t>(&lt;0.1%)</w:t>
            </w:r>
          </w:p>
        </w:tc>
        <w:tc>
          <w:tcPr>
            <w:tcW w:w="833" w:type="pct"/>
          </w:tcPr>
          <w:p w14:paraId="69B858E3" w14:textId="41FB2E1D" w:rsidR="00A425D8" w:rsidRPr="00A406BE" w:rsidRDefault="00A425D8" w:rsidP="004455DF">
            <w:pPr>
              <w:pStyle w:val="TableTextLeft"/>
              <w:spacing w:before="0" w:after="0"/>
            </w:pPr>
            <w:r w:rsidRPr="00A406BE">
              <w:t>1,</w:t>
            </w:r>
            <w:r w:rsidR="002B2639">
              <w:t>816</w:t>
            </w:r>
          </w:p>
          <w:p w14:paraId="40B882D5" w14:textId="7E022451" w:rsidR="0095097B" w:rsidRDefault="00C95DEE" w:rsidP="004455DF">
            <w:pPr>
              <w:pStyle w:val="TableTextLeft"/>
              <w:spacing w:before="0" w:after="0"/>
            </w:pPr>
            <w:r>
              <w:t>(</w:t>
            </w:r>
            <w:r w:rsidR="00A425D8" w:rsidRPr="00A406BE">
              <w:t>3.8</w:t>
            </w:r>
            <w:r w:rsidR="00395B6B">
              <w:t>%)</w:t>
            </w:r>
          </w:p>
        </w:tc>
      </w:tr>
      <w:tr w:rsidR="0095097B" w14:paraId="31C5AE23" w14:textId="77777777" w:rsidTr="005E685B">
        <w:trPr>
          <w:trHeight w:val="270"/>
        </w:trPr>
        <w:tc>
          <w:tcPr>
            <w:tcW w:w="834" w:type="pct"/>
          </w:tcPr>
          <w:p w14:paraId="280706A7" w14:textId="77777777" w:rsidR="0095097B" w:rsidRDefault="0095097B">
            <w:pPr>
              <w:pStyle w:val="TableTextLeft"/>
            </w:pPr>
            <w:r>
              <w:t>Credit intermediaries</w:t>
            </w:r>
          </w:p>
        </w:tc>
        <w:tc>
          <w:tcPr>
            <w:tcW w:w="834" w:type="pct"/>
          </w:tcPr>
          <w:p w14:paraId="584D56E7" w14:textId="77777777" w:rsidR="009E7F90" w:rsidRDefault="009E7F90" w:rsidP="009E7F90">
            <w:pPr>
              <w:spacing w:before="0" w:after="0"/>
              <w:rPr>
                <w:color w:val="000000"/>
                <w:sz w:val="18"/>
              </w:rPr>
            </w:pPr>
            <w:r w:rsidRPr="00D244F9">
              <w:rPr>
                <w:color w:val="000000"/>
                <w:sz w:val="18"/>
              </w:rPr>
              <w:t>2,</w:t>
            </w:r>
            <w:r>
              <w:rPr>
                <w:color w:val="000000"/>
                <w:sz w:val="18"/>
              </w:rPr>
              <w:t>252</w:t>
            </w:r>
          </w:p>
          <w:p w14:paraId="2C8D7FFD" w14:textId="77D34B06" w:rsidR="0095097B" w:rsidRDefault="00395B6B" w:rsidP="009E7F90">
            <w:pPr>
              <w:pStyle w:val="TableTextLeft"/>
              <w:spacing w:before="0"/>
            </w:pPr>
            <w:r>
              <w:t>(</w:t>
            </w:r>
            <w:r w:rsidR="009E7F90">
              <w:t>4.</w:t>
            </w:r>
            <w:r w:rsidR="00F656D6">
              <w:t>8</w:t>
            </w:r>
            <w:r>
              <w:t>%)</w:t>
            </w:r>
          </w:p>
        </w:tc>
        <w:tc>
          <w:tcPr>
            <w:tcW w:w="833" w:type="pct"/>
          </w:tcPr>
          <w:p w14:paraId="66B1C26C" w14:textId="795E74C0" w:rsidR="00D66C8F" w:rsidRPr="00D66C8F" w:rsidRDefault="00873CA3" w:rsidP="00D66C8F">
            <w:pPr>
              <w:spacing w:before="0" w:after="0"/>
              <w:rPr>
                <w:color w:val="000000"/>
                <w:sz w:val="18"/>
              </w:rPr>
            </w:pPr>
            <w:r>
              <w:rPr>
                <w:color w:val="000000"/>
                <w:sz w:val="18"/>
              </w:rPr>
              <w:t>12,111</w:t>
            </w:r>
          </w:p>
          <w:p w14:paraId="3849F6C8" w14:textId="4C62A01D" w:rsidR="0095097B" w:rsidRPr="00355BDF" w:rsidRDefault="00C95DEE">
            <w:pPr>
              <w:spacing w:before="0" w:after="0"/>
              <w:rPr>
                <w:color w:val="000000"/>
                <w:sz w:val="18"/>
              </w:rPr>
            </w:pPr>
            <w:r>
              <w:rPr>
                <w:color w:val="000000"/>
                <w:sz w:val="18"/>
              </w:rPr>
              <w:t>(</w:t>
            </w:r>
            <w:r w:rsidR="00A425D8">
              <w:rPr>
                <w:color w:val="000000"/>
                <w:sz w:val="18"/>
              </w:rPr>
              <w:t>2</w:t>
            </w:r>
            <w:r w:rsidR="00D905C2">
              <w:rPr>
                <w:color w:val="000000"/>
                <w:sz w:val="18"/>
              </w:rPr>
              <w:t>5.6</w:t>
            </w:r>
            <w:r w:rsidR="00395B6B">
              <w:rPr>
                <w:color w:val="000000"/>
                <w:sz w:val="18"/>
              </w:rPr>
              <w:t>%)</w:t>
            </w:r>
          </w:p>
        </w:tc>
        <w:tc>
          <w:tcPr>
            <w:tcW w:w="833" w:type="pct"/>
          </w:tcPr>
          <w:p w14:paraId="6BEFF67D" w14:textId="59DCE999" w:rsidR="00D208CD" w:rsidRPr="00EF77D7" w:rsidRDefault="00B40CCE" w:rsidP="00D208CD">
            <w:pPr>
              <w:spacing w:before="0" w:after="0"/>
              <w:rPr>
                <w:color w:val="000000"/>
                <w:sz w:val="18"/>
              </w:rPr>
            </w:pPr>
            <w:r>
              <w:rPr>
                <w:color w:val="000000"/>
                <w:sz w:val="18"/>
              </w:rPr>
              <w:t>3</w:t>
            </w:r>
            <w:r w:rsidR="00D208CD" w:rsidRPr="00EF77D7">
              <w:rPr>
                <w:color w:val="000000"/>
                <w:sz w:val="18"/>
              </w:rPr>
              <w:t>,</w:t>
            </w:r>
            <w:r w:rsidR="00D91B1C">
              <w:rPr>
                <w:color w:val="000000"/>
                <w:sz w:val="18"/>
              </w:rPr>
              <w:t>235</w:t>
            </w:r>
          </w:p>
          <w:p w14:paraId="088D21BD" w14:textId="4CB7212E" w:rsidR="00D208CD" w:rsidRDefault="00C95DEE" w:rsidP="004455DF">
            <w:pPr>
              <w:pStyle w:val="TableTextLeft"/>
              <w:spacing w:before="0" w:after="0"/>
            </w:pPr>
            <w:r>
              <w:t>(</w:t>
            </w:r>
            <w:r w:rsidR="00D208CD">
              <w:t>6.8</w:t>
            </w:r>
            <w:r w:rsidR="00395B6B">
              <w:t>%)</w:t>
            </w:r>
          </w:p>
        </w:tc>
        <w:tc>
          <w:tcPr>
            <w:tcW w:w="833" w:type="pct"/>
          </w:tcPr>
          <w:p w14:paraId="45249C18" w14:textId="317464A9" w:rsidR="001B3C94" w:rsidRDefault="001B3C94" w:rsidP="001B3C94">
            <w:pPr>
              <w:spacing w:before="0" w:after="0"/>
              <w:rPr>
                <w:rFonts w:cs="Calibri Light"/>
                <w:color w:val="000000"/>
                <w:sz w:val="18"/>
                <w:szCs w:val="18"/>
              </w:rPr>
            </w:pPr>
            <w:r>
              <w:rPr>
                <w:rFonts w:cs="Calibri Light"/>
                <w:color w:val="000000"/>
                <w:sz w:val="18"/>
                <w:szCs w:val="18"/>
              </w:rPr>
              <w:t>3,</w:t>
            </w:r>
            <w:r w:rsidR="00D91B1C">
              <w:rPr>
                <w:rFonts w:cs="Calibri Light"/>
                <w:color w:val="000000"/>
                <w:sz w:val="18"/>
                <w:szCs w:val="18"/>
              </w:rPr>
              <w:t>170</w:t>
            </w:r>
          </w:p>
          <w:p w14:paraId="2954034A" w14:textId="14C281C9" w:rsidR="0095097B" w:rsidRPr="001B3C94" w:rsidRDefault="00C95DEE" w:rsidP="001B3C94">
            <w:pPr>
              <w:spacing w:before="0" w:after="0"/>
              <w:rPr>
                <w:rFonts w:cs="Calibri Light"/>
                <w:color w:val="000000"/>
                <w:sz w:val="18"/>
                <w:szCs w:val="18"/>
              </w:rPr>
            </w:pPr>
            <w:r w:rsidRPr="000944F2">
              <w:rPr>
                <w:sz w:val="18"/>
                <w:szCs w:val="18"/>
              </w:rPr>
              <w:t>(</w:t>
            </w:r>
            <w:r w:rsidR="001B3C94">
              <w:rPr>
                <w:rFonts w:cs="Calibri Light"/>
                <w:color w:val="000000"/>
                <w:sz w:val="18"/>
                <w:szCs w:val="18"/>
              </w:rPr>
              <w:t>6.7</w:t>
            </w:r>
            <w:r w:rsidR="00395B6B">
              <w:rPr>
                <w:rFonts w:cs="Calibri Light"/>
                <w:color w:val="000000"/>
                <w:sz w:val="18"/>
                <w:szCs w:val="18"/>
              </w:rPr>
              <w:t>%)</w:t>
            </w:r>
          </w:p>
        </w:tc>
        <w:tc>
          <w:tcPr>
            <w:tcW w:w="833" w:type="pct"/>
          </w:tcPr>
          <w:p w14:paraId="34690D42" w14:textId="746DB1BE" w:rsidR="00A425D8" w:rsidRPr="00A406BE" w:rsidRDefault="00A425D8" w:rsidP="004455DF">
            <w:pPr>
              <w:pStyle w:val="TableTextLeft"/>
              <w:spacing w:before="0" w:after="0"/>
            </w:pPr>
            <w:r w:rsidRPr="00A406BE">
              <w:t>7</w:t>
            </w:r>
            <w:r w:rsidR="00B20B8B">
              <w:t>40</w:t>
            </w:r>
          </w:p>
          <w:p w14:paraId="170EE721" w14:textId="6094D75E" w:rsidR="0095097B" w:rsidRDefault="00C95DEE" w:rsidP="004455DF">
            <w:pPr>
              <w:pStyle w:val="TableTextLeft"/>
              <w:spacing w:before="0" w:after="0"/>
            </w:pPr>
            <w:r>
              <w:t>(</w:t>
            </w:r>
            <w:r w:rsidR="00A425D8" w:rsidRPr="00A406BE">
              <w:t>1.</w:t>
            </w:r>
            <w:r w:rsidR="00CC4F27">
              <w:t>6</w:t>
            </w:r>
            <w:r w:rsidR="00395B6B">
              <w:t>%)</w:t>
            </w:r>
          </w:p>
        </w:tc>
      </w:tr>
      <w:tr w:rsidR="0095097B" w14:paraId="4398DD57" w14:textId="77777777" w:rsidTr="005E685B">
        <w:trPr>
          <w:trHeight w:val="270"/>
        </w:trPr>
        <w:tc>
          <w:tcPr>
            <w:tcW w:w="834" w:type="pct"/>
          </w:tcPr>
          <w:p w14:paraId="07B643B1" w14:textId="77777777" w:rsidR="0095097B" w:rsidRDefault="0095097B">
            <w:pPr>
              <w:pStyle w:val="TableTextLeft"/>
            </w:pPr>
            <w:r>
              <w:t>Deposit product providers</w:t>
            </w:r>
          </w:p>
        </w:tc>
        <w:tc>
          <w:tcPr>
            <w:tcW w:w="834" w:type="pct"/>
          </w:tcPr>
          <w:p w14:paraId="04929E84" w14:textId="77777777" w:rsidR="009E7F90" w:rsidRDefault="009E7F90" w:rsidP="009E7F90">
            <w:pPr>
              <w:spacing w:before="0" w:after="0"/>
              <w:rPr>
                <w:color w:val="000000"/>
                <w:sz w:val="18"/>
              </w:rPr>
            </w:pPr>
            <w:r w:rsidRPr="00D244F9">
              <w:rPr>
                <w:color w:val="000000"/>
                <w:sz w:val="18"/>
              </w:rPr>
              <w:t>2,</w:t>
            </w:r>
            <w:r>
              <w:rPr>
                <w:color w:val="000000"/>
                <w:sz w:val="18"/>
              </w:rPr>
              <w:t>252</w:t>
            </w:r>
          </w:p>
          <w:p w14:paraId="68071638" w14:textId="6CE10419" w:rsidR="0095097B" w:rsidRDefault="00395B6B" w:rsidP="009E7F90">
            <w:pPr>
              <w:pStyle w:val="TableTextLeft"/>
              <w:spacing w:before="0"/>
            </w:pPr>
            <w:r>
              <w:t>(</w:t>
            </w:r>
            <w:r w:rsidR="009E7F90">
              <w:t>4.</w:t>
            </w:r>
            <w:r w:rsidR="00F656D6">
              <w:t>8</w:t>
            </w:r>
            <w:r>
              <w:t>%)</w:t>
            </w:r>
          </w:p>
        </w:tc>
        <w:tc>
          <w:tcPr>
            <w:tcW w:w="833" w:type="pct"/>
          </w:tcPr>
          <w:p w14:paraId="0A55521A" w14:textId="460D6253" w:rsidR="00D521DB" w:rsidRPr="0032465F" w:rsidRDefault="00873CA3" w:rsidP="004455DF">
            <w:pPr>
              <w:pStyle w:val="TableTextLeft"/>
              <w:spacing w:before="0" w:after="0"/>
            </w:pPr>
            <w:r>
              <w:t>395</w:t>
            </w:r>
          </w:p>
          <w:p w14:paraId="6D6B961F" w14:textId="6635C9D7" w:rsidR="0095097B" w:rsidRPr="00355BDF" w:rsidRDefault="00C95DEE" w:rsidP="004455DF">
            <w:pPr>
              <w:pStyle w:val="TableTextLeft"/>
              <w:spacing w:before="0" w:after="0"/>
            </w:pPr>
            <w:r>
              <w:t>(</w:t>
            </w:r>
            <w:r w:rsidR="00A425D8">
              <w:t>0.8</w:t>
            </w:r>
            <w:r w:rsidR="00395B6B">
              <w:t>%)</w:t>
            </w:r>
          </w:p>
        </w:tc>
        <w:tc>
          <w:tcPr>
            <w:tcW w:w="833" w:type="pct"/>
          </w:tcPr>
          <w:p w14:paraId="3CD6F171" w14:textId="3AABE947" w:rsidR="00647970" w:rsidRPr="00EF77D7" w:rsidRDefault="00647970" w:rsidP="00647970">
            <w:pPr>
              <w:spacing w:before="0" w:after="0"/>
              <w:rPr>
                <w:color w:val="000000"/>
                <w:sz w:val="18"/>
              </w:rPr>
            </w:pPr>
            <w:r w:rsidRPr="00EF77D7">
              <w:rPr>
                <w:color w:val="000000"/>
                <w:sz w:val="18"/>
              </w:rPr>
              <w:t>3,</w:t>
            </w:r>
            <w:r w:rsidR="00D91B1C">
              <w:rPr>
                <w:color w:val="000000"/>
                <w:sz w:val="18"/>
              </w:rPr>
              <w:t>731</w:t>
            </w:r>
          </w:p>
          <w:p w14:paraId="536B112E" w14:textId="51A8A982" w:rsidR="0095097B" w:rsidRDefault="00C95DEE" w:rsidP="004455DF">
            <w:pPr>
              <w:pStyle w:val="TableTextLeft"/>
              <w:spacing w:before="0" w:after="0"/>
            </w:pPr>
            <w:r>
              <w:t>(</w:t>
            </w:r>
            <w:r w:rsidR="00647970">
              <w:t>7.</w:t>
            </w:r>
            <w:r w:rsidR="00CC4F27">
              <w:t>9</w:t>
            </w:r>
            <w:r w:rsidR="00395B6B">
              <w:t>%)</w:t>
            </w:r>
          </w:p>
        </w:tc>
        <w:tc>
          <w:tcPr>
            <w:tcW w:w="833" w:type="pct"/>
          </w:tcPr>
          <w:p w14:paraId="6FD7AD8B" w14:textId="4CC60261" w:rsidR="001B3C94" w:rsidRDefault="002E3EF3" w:rsidP="001B3C94">
            <w:pPr>
              <w:spacing w:before="0" w:after="0"/>
              <w:rPr>
                <w:rFonts w:cs="Calibri Light"/>
                <w:color w:val="000000"/>
                <w:sz w:val="18"/>
                <w:szCs w:val="18"/>
              </w:rPr>
            </w:pPr>
            <w:r>
              <w:rPr>
                <w:rFonts w:cs="Calibri Light"/>
                <w:color w:val="000000"/>
                <w:sz w:val="18"/>
                <w:szCs w:val="18"/>
              </w:rPr>
              <w:t>3,968</w:t>
            </w:r>
          </w:p>
          <w:p w14:paraId="4D7EFD88" w14:textId="13238269" w:rsidR="0095097B" w:rsidRPr="001B3C94" w:rsidRDefault="00C95DEE" w:rsidP="001B3C94">
            <w:pPr>
              <w:spacing w:before="0" w:after="0"/>
              <w:rPr>
                <w:rFonts w:cs="Calibri Light"/>
                <w:color w:val="000000"/>
                <w:sz w:val="18"/>
                <w:szCs w:val="18"/>
              </w:rPr>
            </w:pPr>
            <w:r w:rsidRPr="000944F2">
              <w:rPr>
                <w:sz w:val="18"/>
                <w:szCs w:val="18"/>
              </w:rPr>
              <w:t>(</w:t>
            </w:r>
            <w:r w:rsidR="001B3C94">
              <w:rPr>
                <w:rFonts w:cs="Calibri Light"/>
                <w:color w:val="000000"/>
                <w:sz w:val="18"/>
                <w:szCs w:val="18"/>
              </w:rPr>
              <w:t>8.</w:t>
            </w:r>
            <w:r w:rsidR="00CC4F27">
              <w:rPr>
                <w:rFonts w:cs="Calibri Light"/>
                <w:color w:val="000000"/>
                <w:sz w:val="18"/>
                <w:szCs w:val="18"/>
              </w:rPr>
              <w:t>4</w:t>
            </w:r>
            <w:r w:rsidR="00395B6B">
              <w:rPr>
                <w:rFonts w:cs="Calibri Light"/>
                <w:color w:val="000000"/>
                <w:sz w:val="18"/>
                <w:szCs w:val="18"/>
              </w:rPr>
              <w:t>%)</w:t>
            </w:r>
          </w:p>
        </w:tc>
        <w:tc>
          <w:tcPr>
            <w:tcW w:w="833" w:type="pct"/>
          </w:tcPr>
          <w:p w14:paraId="372FC887" w14:textId="00AFA2A4" w:rsidR="00A425D8" w:rsidRPr="00A406BE" w:rsidRDefault="00A425D8" w:rsidP="004455DF">
            <w:pPr>
              <w:pStyle w:val="TableTextLeft"/>
              <w:spacing w:before="0" w:after="0"/>
            </w:pPr>
            <w:r w:rsidRPr="00A406BE">
              <w:t>1,1</w:t>
            </w:r>
            <w:r w:rsidR="00B20B8B">
              <w:t>14</w:t>
            </w:r>
          </w:p>
          <w:p w14:paraId="1BD132DC" w14:textId="245E8167" w:rsidR="0095097B" w:rsidRDefault="00C95DEE" w:rsidP="004455DF">
            <w:pPr>
              <w:pStyle w:val="TableTextLeft"/>
              <w:spacing w:before="0" w:after="0"/>
            </w:pPr>
            <w:r>
              <w:t>(</w:t>
            </w:r>
            <w:r w:rsidR="00A425D8" w:rsidRPr="00A406BE">
              <w:t>2.</w:t>
            </w:r>
            <w:r w:rsidR="00CC4F27">
              <w:t>4</w:t>
            </w:r>
            <w:r w:rsidR="00395B6B">
              <w:t>%)</w:t>
            </w:r>
          </w:p>
        </w:tc>
      </w:tr>
      <w:tr w:rsidR="0095097B" w14:paraId="3557C1E0" w14:textId="77777777" w:rsidTr="005E685B">
        <w:trPr>
          <w:trHeight w:val="270"/>
        </w:trPr>
        <w:tc>
          <w:tcPr>
            <w:tcW w:w="834" w:type="pct"/>
          </w:tcPr>
          <w:p w14:paraId="5A702E04" w14:textId="77777777" w:rsidR="0095097B" w:rsidRDefault="0095097B">
            <w:pPr>
              <w:pStyle w:val="TableTextLeft"/>
            </w:pPr>
            <w:r>
              <w:t>Payment product providers</w:t>
            </w:r>
          </w:p>
        </w:tc>
        <w:tc>
          <w:tcPr>
            <w:tcW w:w="834" w:type="pct"/>
          </w:tcPr>
          <w:p w14:paraId="670B91CF" w14:textId="77777777" w:rsidR="009E7F90" w:rsidRDefault="009E7F90" w:rsidP="009E7F90">
            <w:pPr>
              <w:spacing w:before="0" w:after="0"/>
              <w:rPr>
                <w:color w:val="000000"/>
                <w:sz w:val="18"/>
              </w:rPr>
            </w:pPr>
            <w:r w:rsidRPr="00D244F9">
              <w:rPr>
                <w:color w:val="000000"/>
                <w:sz w:val="18"/>
              </w:rPr>
              <w:t>2,</w:t>
            </w:r>
            <w:r>
              <w:rPr>
                <w:color w:val="000000"/>
                <w:sz w:val="18"/>
              </w:rPr>
              <w:t>252</w:t>
            </w:r>
          </w:p>
          <w:p w14:paraId="178C4C17" w14:textId="647611F8" w:rsidR="0095097B" w:rsidRDefault="002E7BB1" w:rsidP="009E7F90">
            <w:pPr>
              <w:pStyle w:val="TableTextLeft"/>
              <w:spacing w:before="0"/>
            </w:pPr>
            <w:r>
              <w:t>(</w:t>
            </w:r>
            <w:r w:rsidR="009E7F90">
              <w:t>4.</w:t>
            </w:r>
            <w:r w:rsidR="00F656D6">
              <w:t>8</w:t>
            </w:r>
            <w:r w:rsidR="00395B6B">
              <w:t>%)</w:t>
            </w:r>
          </w:p>
        </w:tc>
        <w:tc>
          <w:tcPr>
            <w:tcW w:w="833" w:type="pct"/>
          </w:tcPr>
          <w:p w14:paraId="49EC7E1E" w14:textId="007E2242" w:rsidR="00D521DB" w:rsidRPr="0032465F" w:rsidRDefault="00D521DB" w:rsidP="004455DF">
            <w:pPr>
              <w:pStyle w:val="TableTextLeft"/>
              <w:spacing w:before="0" w:after="0"/>
            </w:pPr>
            <w:r w:rsidRPr="0032465F">
              <w:t>1,</w:t>
            </w:r>
            <w:r w:rsidR="00873CA3">
              <w:t>481</w:t>
            </w:r>
          </w:p>
          <w:p w14:paraId="1A3C2085" w14:textId="521682A9" w:rsidR="0095097B" w:rsidRPr="00355BDF" w:rsidRDefault="00C95DEE" w:rsidP="004455DF">
            <w:pPr>
              <w:pStyle w:val="TableTextLeft"/>
              <w:spacing w:before="0" w:after="0"/>
            </w:pPr>
            <w:r>
              <w:t>(</w:t>
            </w:r>
            <w:r w:rsidR="00A425D8">
              <w:t>3.</w:t>
            </w:r>
            <w:r w:rsidR="00291E86">
              <w:t>1</w:t>
            </w:r>
            <w:r w:rsidR="00395B6B">
              <w:t>%)</w:t>
            </w:r>
          </w:p>
        </w:tc>
        <w:tc>
          <w:tcPr>
            <w:tcW w:w="833" w:type="pct"/>
          </w:tcPr>
          <w:p w14:paraId="11492E93" w14:textId="4BC63FBA" w:rsidR="00730613" w:rsidRPr="00EF77D7" w:rsidRDefault="00730613" w:rsidP="00730613">
            <w:pPr>
              <w:spacing w:before="0" w:after="0"/>
              <w:rPr>
                <w:color w:val="000000"/>
                <w:sz w:val="18"/>
              </w:rPr>
            </w:pPr>
            <w:r w:rsidRPr="00EF77D7">
              <w:rPr>
                <w:color w:val="000000"/>
                <w:sz w:val="18"/>
              </w:rPr>
              <w:t>5,</w:t>
            </w:r>
            <w:r w:rsidR="00B44701">
              <w:rPr>
                <w:color w:val="000000"/>
                <w:sz w:val="18"/>
              </w:rPr>
              <w:t>241</w:t>
            </w:r>
          </w:p>
          <w:p w14:paraId="0FB84F95" w14:textId="32593580" w:rsidR="0095097B" w:rsidRPr="00EF77D7" w:rsidRDefault="00C95DEE" w:rsidP="00730613">
            <w:pPr>
              <w:spacing w:before="0" w:after="0"/>
              <w:rPr>
                <w:color w:val="000000"/>
                <w:sz w:val="18"/>
              </w:rPr>
            </w:pPr>
            <w:r>
              <w:rPr>
                <w:color w:val="000000"/>
                <w:sz w:val="18"/>
              </w:rPr>
              <w:t>(</w:t>
            </w:r>
            <w:r w:rsidR="00730613" w:rsidRPr="00EF77D7">
              <w:rPr>
                <w:color w:val="000000"/>
                <w:sz w:val="18"/>
              </w:rPr>
              <w:t>11.</w:t>
            </w:r>
            <w:r w:rsidR="00CC4F27">
              <w:rPr>
                <w:color w:val="000000"/>
                <w:sz w:val="18"/>
              </w:rPr>
              <w:t>1</w:t>
            </w:r>
            <w:r w:rsidR="00395B6B">
              <w:rPr>
                <w:color w:val="000000"/>
                <w:sz w:val="18"/>
              </w:rPr>
              <w:t>%)</w:t>
            </w:r>
          </w:p>
        </w:tc>
        <w:tc>
          <w:tcPr>
            <w:tcW w:w="833" w:type="pct"/>
          </w:tcPr>
          <w:p w14:paraId="1D0A4AA7" w14:textId="23AE3A20" w:rsidR="001B3C94" w:rsidRDefault="001B3C94" w:rsidP="001B3C94">
            <w:pPr>
              <w:spacing w:before="0" w:after="0"/>
              <w:rPr>
                <w:rFonts w:cs="Calibri Light"/>
                <w:color w:val="000000"/>
                <w:sz w:val="18"/>
                <w:szCs w:val="18"/>
              </w:rPr>
            </w:pPr>
            <w:r>
              <w:rPr>
                <w:rFonts w:cs="Calibri Light"/>
                <w:color w:val="000000"/>
                <w:sz w:val="18"/>
                <w:szCs w:val="18"/>
              </w:rPr>
              <w:t>5,</w:t>
            </w:r>
            <w:r w:rsidR="002E3EF3">
              <w:rPr>
                <w:rFonts w:cs="Calibri Light"/>
                <w:color w:val="000000"/>
                <w:sz w:val="18"/>
                <w:szCs w:val="18"/>
              </w:rPr>
              <w:t>461</w:t>
            </w:r>
          </w:p>
          <w:p w14:paraId="2CD1C2A0" w14:textId="48C22DA9" w:rsidR="0095097B" w:rsidRPr="001B3C94" w:rsidRDefault="00C95DEE" w:rsidP="001B3C94">
            <w:pPr>
              <w:spacing w:before="0" w:after="0"/>
              <w:rPr>
                <w:rFonts w:cs="Calibri Light"/>
                <w:color w:val="000000"/>
                <w:sz w:val="18"/>
                <w:szCs w:val="18"/>
              </w:rPr>
            </w:pPr>
            <w:r w:rsidRPr="000944F2">
              <w:rPr>
                <w:sz w:val="18"/>
                <w:szCs w:val="18"/>
              </w:rPr>
              <w:t>(</w:t>
            </w:r>
            <w:r w:rsidR="001B3C94">
              <w:rPr>
                <w:rFonts w:cs="Calibri Light"/>
                <w:color w:val="000000"/>
                <w:sz w:val="18"/>
                <w:szCs w:val="18"/>
              </w:rPr>
              <w:t>11.</w:t>
            </w:r>
            <w:r w:rsidR="00CC4F27">
              <w:rPr>
                <w:rFonts w:cs="Calibri Light"/>
                <w:color w:val="000000"/>
                <w:sz w:val="18"/>
                <w:szCs w:val="18"/>
              </w:rPr>
              <w:t>6</w:t>
            </w:r>
            <w:r w:rsidR="00395B6B">
              <w:rPr>
                <w:rFonts w:cs="Calibri Light"/>
                <w:color w:val="000000"/>
                <w:sz w:val="18"/>
                <w:szCs w:val="18"/>
              </w:rPr>
              <w:t>%)</w:t>
            </w:r>
          </w:p>
        </w:tc>
        <w:tc>
          <w:tcPr>
            <w:tcW w:w="833" w:type="pct"/>
          </w:tcPr>
          <w:p w14:paraId="2E7188A7" w14:textId="28515457" w:rsidR="00A425D8" w:rsidRPr="00A406BE" w:rsidRDefault="00A425D8" w:rsidP="004455DF">
            <w:pPr>
              <w:pStyle w:val="TableTextLeft"/>
              <w:spacing w:before="0" w:after="0"/>
            </w:pPr>
            <w:r w:rsidRPr="00A406BE">
              <w:t>1,</w:t>
            </w:r>
            <w:r w:rsidR="00B20B8B">
              <w:t>340</w:t>
            </w:r>
          </w:p>
          <w:p w14:paraId="06243025" w14:textId="78220CC2" w:rsidR="0095097B" w:rsidRDefault="00C95DEE" w:rsidP="004455DF">
            <w:pPr>
              <w:pStyle w:val="TableTextLeft"/>
              <w:spacing w:before="0" w:after="0"/>
            </w:pPr>
            <w:r>
              <w:t>(</w:t>
            </w:r>
            <w:r w:rsidR="00A425D8" w:rsidRPr="00A406BE">
              <w:t>2.8</w:t>
            </w:r>
            <w:r w:rsidR="00395B6B">
              <w:t>%)</w:t>
            </w:r>
          </w:p>
        </w:tc>
      </w:tr>
      <w:tr w:rsidR="0095097B" w14:paraId="6F19B65A" w14:textId="77777777" w:rsidTr="005E685B">
        <w:trPr>
          <w:trHeight w:val="270"/>
        </w:trPr>
        <w:tc>
          <w:tcPr>
            <w:tcW w:w="834" w:type="pct"/>
          </w:tcPr>
          <w:p w14:paraId="02B57E54" w14:textId="77777777" w:rsidR="0095097B" w:rsidRDefault="0095097B">
            <w:pPr>
              <w:pStyle w:val="TableTextLeft"/>
            </w:pPr>
            <w:r>
              <w:t>Margin lenders</w:t>
            </w:r>
          </w:p>
        </w:tc>
        <w:tc>
          <w:tcPr>
            <w:tcW w:w="834" w:type="pct"/>
          </w:tcPr>
          <w:p w14:paraId="3B45368C" w14:textId="77777777" w:rsidR="009E7F90" w:rsidRDefault="009E7F90" w:rsidP="009E7F90">
            <w:pPr>
              <w:spacing w:before="0" w:after="0"/>
              <w:rPr>
                <w:color w:val="000000"/>
                <w:sz w:val="18"/>
              </w:rPr>
            </w:pPr>
            <w:r w:rsidRPr="00D244F9">
              <w:rPr>
                <w:color w:val="000000"/>
                <w:sz w:val="18"/>
              </w:rPr>
              <w:t>2,</w:t>
            </w:r>
            <w:r>
              <w:rPr>
                <w:color w:val="000000"/>
                <w:sz w:val="18"/>
              </w:rPr>
              <w:t>252</w:t>
            </w:r>
          </w:p>
          <w:p w14:paraId="53A7817E" w14:textId="47A3EC4D" w:rsidR="0095097B" w:rsidRDefault="002E7BB1" w:rsidP="009E7F90">
            <w:pPr>
              <w:pStyle w:val="TableTextLeft"/>
              <w:spacing w:before="0" w:after="0"/>
            </w:pPr>
            <w:r>
              <w:t>(</w:t>
            </w:r>
            <w:r w:rsidR="009E7F90">
              <w:t>4.</w:t>
            </w:r>
            <w:r w:rsidR="00F656D6">
              <w:t>8</w:t>
            </w:r>
            <w:r w:rsidR="00395B6B">
              <w:t>%)</w:t>
            </w:r>
          </w:p>
        </w:tc>
        <w:tc>
          <w:tcPr>
            <w:tcW w:w="833" w:type="pct"/>
          </w:tcPr>
          <w:p w14:paraId="44A3332E" w14:textId="4B485A45" w:rsidR="00D521DB" w:rsidRPr="0032465F" w:rsidRDefault="00D521DB" w:rsidP="002D6101">
            <w:pPr>
              <w:pStyle w:val="TableTextLeft"/>
              <w:spacing w:before="0" w:after="0"/>
            </w:pPr>
            <w:r w:rsidRPr="0032465F">
              <w:t>6</w:t>
            </w:r>
            <w:r w:rsidR="00217BFD">
              <w:t>4</w:t>
            </w:r>
          </w:p>
          <w:p w14:paraId="5C1F98E7" w14:textId="0AD8E415" w:rsidR="0095097B" w:rsidRDefault="00C95DEE" w:rsidP="002D6101">
            <w:pPr>
              <w:pStyle w:val="TableTextLeft"/>
              <w:spacing w:before="0" w:after="0"/>
            </w:pPr>
            <w:r>
              <w:t>(</w:t>
            </w:r>
            <w:r w:rsidR="00A425D8">
              <w:t>0.1</w:t>
            </w:r>
            <w:r w:rsidR="00395B6B">
              <w:t>%)</w:t>
            </w:r>
          </w:p>
        </w:tc>
        <w:tc>
          <w:tcPr>
            <w:tcW w:w="833" w:type="pct"/>
          </w:tcPr>
          <w:p w14:paraId="637A3183" w14:textId="6159532F" w:rsidR="00730613" w:rsidRPr="00EF77D7" w:rsidRDefault="00730613" w:rsidP="00730613">
            <w:pPr>
              <w:spacing w:before="0" w:after="0"/>
              <w:rPr>
                <w:color w:val="000000"/>
                <w:sz w:val="18"/>
              </w:rPr>
            </w:pPr>
            <w:r w:rsidRPr="00EF77D7">
              <w:rPr>
                <w:color w:val="000000"/>
                <w:sz w:val="18"/>
              </w:rPr>
              <w:t>5,</w:t>
            </w:r>
            <w:r w:rsidR="00B44701">
              <w:rPr>
                <w:color w:val="000000"/>
                <w:sz w:val="18"/>
              </w:rPr>
              <w:t>118</w:t>
            </w:r>
          </w:p>
          <w:p w14:paraId="4339B42E" w14:textId="7C512362" w:rsidR="0095097B" w:rsidRPr="00EF77D7" w:rsidRDefault="00C95DEE" w:rsidP="00730613">
            <w:pPr>
              <w:spacing w:before="0" w:after="0"/>
              <w:rPr>
                <w:color w:val="000000"/>
                <w:sz w:val="18"/>
              </w:rPr>
            </w:pPr>
            <w:r>
              <w:rPr>
                <w:color w:val="000000"/>
                <w:sz w:val="18"/>
              </w:rPr>
              <w:t>(</w:t>
            </w:r>
            <w:r w:rsidR="00730613" w:rsidRPr="00EF77D7">
              <w:rPr>
                <w:color w:val="000000"/>
                <w:sz w:val="18"/>
              </w:rPr>
              <w:t>10.8</w:t>
            </w:r>
            <w:r w:rsidR="00395B6B">
              <w:rPr>
                <w:color w:val="000000"/>
                <w:sz w:val="18"/>
              </w:rPr>
              <w:t>%)</w:t>
            </w:r>
          </w:p>
        </w:tc>
        <w:tc>
          <w:tcPr>
            <w:tcW w:w="833" w:type="pct"/>
          </w:tcPr>
          <w:p w14:paraId="26176E49" w14:textId="22EB848C" w:rsidR="001B3C94" w:rsidRDefault="00B44701" w:rsidP="001B3C94">
            <w:pPr>
              <w:spacing w:before="0" w:after="0"/>
              <w:rPr>
                <w:rFonts w:cs="Calibri Light"/>
                <w:color w:val="000000"/>
                <w:sz w:val="18"/>
                <w:szCs w:val="18"/>
              </w:rPr>
            </w:pPr>
            <w:r>
              <w:rPr>
                <w:rFonts w:cs="Calibri Light"/>
                <w:color w:val="000000"/>
                <w:sz w:val="18"/>
                <w:szCs w:val="18"/>
              </w:rPr>
              <w:t>5,805</w:t>
            </w:r>
          </w:p>
          <w:p w14:paraId="17C20F85" w14:textId="32F4FB24" w:rsidR="0095097B" w:rsidRPr="001B3C94" w:rsidRDefault="00C95DEE" w:rsidP="001B3C94">
            <w:pPr>
              <w:spacing w:before="0" w:after="0"/>
              <w:rPr>
                <w:rFonts w:cs="Calibri Light"/>
                <w:color w:val="000000"/>
                <w:sz w:val="18"/>
                <w:szCs w:val="18"/>
              </w:rPr>
            </w:pPr>
            <w:r w:rsidRPr="000944F2">
              <w:rPr>
                <w:sz w:val="18"/>
                <w:szCs w:val="18"/>
              </w:rPr>
              <w:t>(</w:t>
            </w:r>
            <w:r w:rsidR="001B3C94">
              <w:rPr>
                <w:rFonts w:cs="Calibri Light"/>
                <w:color w:val="000000"/>
                <w:sz w:val="18"/>
                <w:szCs w:val="18"/>
              </w:rPr>
              <w:t>12.</w:t>
            </w:r>
            <w:r w:rsidR="00CC4F27">
              <w:rPr>
                <w:rFonts w:cs="Calibri Light"/>
                <w:color w:val="000000"/>
                <w:sz w:val="18"/>
                <w:szCs w:val="18"/>
              </w:rPr>
              <w:t>3</w:t>
            </w:r>
            <w:r w:rsidR="00395B6B">
              <w:rPr>
                <w:rFonts w:cs="Calibri Light"/>
                <w:color w:val="000000"/>
                <w:sz w:val="18"/>
                <w:szCs w:val="18"/>
              </w:rPr>
              <w:t>%)</w:t>
            </w:r>
          </w:p>
        </w:tc>
        <w:tc>
          <w:tcPr>
            <w:tcW w:w="833" w:type="pct"/>
          </w:tcPr>
          <w:p w14:paraId="5372C5A7" w14:textId="2AE0FE28" w:rsidR="00A425D8" w:rsidRPr="00A406BE" w:rsidRDefault="00A425D8" w:rsidP="007C3091">
            <w:pPr>
              <w:pStyle w:val="TableTextLeft"/>
              <w:spacing w:before="0" w:after="0"/>
            </w:pPr>
            <w:r w:rsidRPr="00A406BE">
              <w:t>1</w:t>
            </w:r>
          </w:p>
          <w:p w14:paraId="0ADA2DBF" w14:textId="50E0C202" w:rsidR="0095097B" w:rsidRDefault="00C011D5" w:rsidP="002D6101">
            <w:pPr>
              <w:pStyle w:val="TableTextLeft"/>
              <w:spacing w:before="0" w:after="0"/>
            </w:pPr>
            <w:r w:rsidRPr="008C1E4B">
              <w:rPr>
                <w:rFonts w:cs="Calibri Light"/>
                <w:szCs w:val="18"/>
              </w:rPr>
              <w:t>(&lt;0.1%)</w:t>
            </w:r>
          </w:p>
        </w:tc>
      </w:tr>
      <w:tr w:rsidR="0095097B" w14:paraId="5E438F3C" w14:textId="77777777" w:rsidTr="005E685B">
        <w:trPr>
          <w:trHeight w:val="270"/>
        </w:trPr>
        <w:tc>
          <w:tcPr>
            <w:tcW w:w="5000" w:type="pct"/>
            <w:gridSpan w:val="6"/>
            <w:shd w:val="clear" w:color="auto" w:fill="F2F2F2" w:themeFill="background1" w:themeFillShade="F2"/>
          </w:tcPr>
          <w:p w14:paraId="48757CDA" w14:textId="77777777" w:rsidR="0095097B" w:rsidRPr="002B579C" w:rsidRDefault="0095097B">
            <w:pPr>
              <w:pStyle w:val="TableTextLeft"/>
              <w:keepNext/>
              <w:rPr>
                <w:b/>
              </w:rPr>
            </w:pPr>
            <w:r w:rsidRPr="002B579C">
              <w:rPr>
                <w:b/>
                <w:bCs/>
              </w:rPr>
              <w:t>Investment management, superannuation and related services sector</w:t>
            </w:r>
          </w:p>
        </w:tc>
      </w:tr>
      <w:tr w:rsidR="0095097B" w14:paraId="735407EF" w14:textId="77777777" w:rsidTr="005E685B">
        <w:trPr>
          <w:trHeight w:val="270"/>
        </w:trPr>
        <w:tc>
          <w:tcPr>
            <w:tcW w:w="834" w:type="pct"/>
          </w:tcPr>
          <w:p w14:paraId="60DADB0B" w14:textId="77777777" w:rsidR="0095097B" w:rsidRPr="002B579C" w:rsidRDefault="0095097B">
            <w:pPr>
              <w:pStyle w:val="TableTextLeft"/>
              <w:rPr>
                <w:b/>
                <w:bCs/>
              </w:rPr>
            </w:pPr>
            <w:r>
              <w:t>Superannuation trustees</w:t>
            </w:r>
          </w:p>
        </w:tc>
        <w:tc>
          <w:tcPr>
            <w:tcW w:w="834" w:type="pct"/>
          </w:tcPr>
          <w:p w14:paraId="595CB9E5" w14:textId="77777777" w:rsidR="007D1FEB" w:rsidRDefault="00ED72D4" w:rsidP="00ED72D4">
            <w:pPr>
              <w:spacing w:before="0" w:after="0"/>
              <w:rPr>
                <w:color w:val="000000"/>
                <w:sz w:val="18"/>
              </w:rPr>
            </w:pPr>
            <w:r w:rsidRPr="00D244F9">
              <w:rPr>
                <w:color w:val="000000"/>
                <w:sz w:val="18"/>
              </w:rPr>
              <w:t>2,</w:t>
            </w:r>
            <w:r>
              <w:rPr>
                <w:color w:val="000000"/>
                <w:sz w:val="18"/>
              </w:rPr>
              <w:t>252</w:t>
            </w:r>
          </w:p>
          <w:p w14:paraId="1E1193E9" w14:textId="4297EC9A" w:rsidR="0095097B" w:rsidRPr="00ED72D4" w:rsidRDefault="00ED72D4" w:rsidP="00ED72D4">
            <w:pPr>
              <w:spacing w:before="0" w:after="0"/>
              <w:rPr>
                <w:color w:val="000000"/>
                <w:sz w:val="18"/>
              </w:rPr>
            </w:pPr>
            <w:r>
              <w:rPr>
                <w:color w:val="000000"/>
                <w:sz w:val="18"/>
              </w:rPr>
              <w:t>(4.8%)</w:t>
            </w:r>
          </w:p>
        </w:tc>
        <w:tc>
          <w:tcPr>
            <w:tcW w:w="833" w:type="pct"/>
          </w:tcPr>
          <w:p w14:paraId="1BA6A96F" w14:textId="51996079" w:rsidR="00D521DB" w:rsidRPr="0032465F" w:rsidRDefault="00D521DB" w:rsidP="004455DF">
            <w:pPr>
              <w:pStyle w:val="TableTextLeft"/>
              <w:spacing w:before="0" w:after="0"/>
            </w:pPr>
            <w:r w:rsidRPr="0032465F">
              <w:t>2</w:t>
            </w:r>
            <w:r w:rsidR="00331ED4">
              <w:t>28</w:t>
            </w:r>
          </w:p>
          <w:p w14:paraId="23642531" w14:textId="3188C1E8" w:rsidR="0095097B" w:rsidRDefault="00C95DEE" w:rsidP="004455DF">
            <w:pPr>
              <w:pStyle w:val="TableTextLeft"/>
              <w:spacing w:before="0" w:after="0"/>
            </w:pPr>
            <w:r>
              <w:t>(</w:t>
            </w:r>
            <w:r w:rsidR="008940A6">
              <w:t>0.</w:t>
            </w:r>
            <w:r w:rsidR="007D1FEB">
              <w:t>5</w:t>
            </w:r>
            <w:r w:rsidR="00395B6B">
              <w:t>%)</w:t>
            </w:r>
          </w:p>
        </w:tc>
        <w:tc>
          <w:tcPr>
            <w:tcW w:w="833" w:type="pct"/>
          </w:tcPr>
          <w:p w14:paraId="3D624DC3" w14:textId="5A230C14" w:rsidR="00342FD0" w:rsidRDefault="00331ED4" w:rsidP="004455DF">
            <w:pPr>
              <w:spacing w:before="0" w:after="0"/>
              <w:rPr>
                <w:rFonts w:cs="Calibri Light"/>
                <w:color w:val="000000"/>
                <w:sz w:val="18"/>
                <w:szCs w:val="18"/>
              </w:rPr>
            </w:pPr>
            <w:r>
              <w:rPr>
                <w:rFonts w:cs="Calibri Light"/>
                <w:color w:val="000000"/>
                <w:sz w:val="18"/>
                <w:szCs w:val="18"/>
              </w:rPr>
              <w:t>19</w:t>
            </w:r>
          </w:p>
          <w:p w14:paraId="53F39095" w14:textId="24811338" w:rsidR="0095097B" w:rsidRPr="003F02BC" w:rsidRDefault="00357FCC" w:rsidP="004455DF">
            <w:pPr>
              <w:spacing w:before="0" w:after="0"/>
              <w:rPr>
                <w:rFonts w:cs="Calibri Light"/>
                <w:color w:val="000000"/>
                <w:sz w:val="18"/>
                <w:szCs w:val="18"/>
              </w:rPr>
            </w:pPr>
            <w:r w:rsidRPr="008C1E4B">
              <w:rPr>
                <w:rFonts w:cs="Calibri Light"/>
                <w:color w:val="000000"/>
                <w:sz w:val="18"/>
                <w:szCs w:val="18"/>
              </w:rPr>
              <w:t>(&lt;0.1%)</w:t>
            </w:r>
          </w:p>
        </w:tc>
        <w:tc>
          <w:tcPr>
            <w:tcW w:w="833" w:type="pct"/>
          </w:tcPr>
          <w:p w14:paraId="4F6B0B19" w14:textId="764C27EB" w:rsidR="001B3C94" w:rsidRDefault="001B3C94" w:rsidP="004455DF">
            <w:pPr>
              <w:spacing w:before="0" w:after="0"/>
              <w:rPr>
                <w:rFonts w:cs="Calibri Light"/>
                <w:color w:val="000000"/>
                <w:sz w:val="18"/>
                <w:szCs w:val="18"/>
              </w:rPr>
            </w:pPr>
            <w:r>
              <w:rPr>
                <w:rFonts w:cs="Calibri Light"/>
                <w:color w:val="000000"/>
                <w:sz w:val="18"/>
                <w:szCs w:val="18"/>
              </w:rPr>
              <w:t>2</w:t>
            </w:r>
            <w:r w:rsidR="00331ED4">
              <w:rPr>
                <w:rFonts w:cs="Calibri Light"/>
                <w:color w:val="000000"/>
                <w:sz w:val="18"/>
                <w:szCs w:val="18"/>
              </w:rPr>
              <w:t>5</w:t>
            </w:r>
          </w:p>
          <w:p w14:paraId="41FE7E6B" w14:textId="4D6F0224" w:rsidR="0095097B" w:rsidRPr="001B3C94" w:rsidRDefault="00357FCC" w:rsidP="004455DF">
            <w:pPr>
              <w:spacing w:before="0" w:after="0"/>
              <w:rPr>
                <w:rFonts w:cs="Calibri Light"/>
                <w:color w:val="000000"/>
                <w:sz w:val="18"/>
                <w:szCs w:val="18"/>
              </w:rPr>
            </w:pPr>
            <w:r w:rsidRPr="008C1E4B">
              <w:rPr>
                <w:rFonts w:cs="Calibri Light"/>
                <w:color w:val="000000"/>
                <w:sz w:val="18"/>
                <w:szCs w:val="18"/>
              </w:rPr>
              <w:t>(&lt;0.1%)</w:t>
            </w:r>
          </w:p>
        </w:tc>
        <w:tc>
          <w:tcPr>
            <w:tcW w:w="833" w:type="pct"/>
          </w:tcPr>
          <w:p w14:paraId="3E05D225" w14:textId="287A6308" w:rsidR="00940876" w:rsidRPr="00513536" w:rsidRDefault="00331ED4" w:rsidP="004455DF">
            <w:pPr>
              <w:pStyle w:val="TableTextLeft"/>
              <w:spacing w:before="0" w:after="0"/>
            </w:pPr>
            <w:r>
              <w:t>6,758</w:t>
            </w:r>
          </w:p>
          <w:p w14:paraId="5B44A3FD" w14:textId="193F5B25" w:rsidR="0095097B" w:rsidRDefault="000944F2" w:rsidP="004455DF">
            <w:pPr>
              <w:pStyle w:val="TableTextLeft"/>
              <w:spacing w:before="0" w:after="0"/>
            </w:pPr>
            <w:r w:rsidRPr="000944F2">
              <w:rPr>
                <w:szCs w:val="18"/>
              </w:rPr>
              <w:t>(</w:t>
            </w:r>
            <w:r w:rsidR="00940876" w:rsidRPr="00513536">
              <w:t>14.</w:t>
            </w:r>
            <w:r w:rsidR="00CC4F27">
              <w:t>3</w:t>
            </w:r>
            <w:r w:rsidR="00395B6B">
              <w:t>%)</w:t>
            </w:r>
          </w:p>
        </w:tc>
      </w:tr>
      <w:tr w:rsidR="0095097B" w14:paraId="3C9B36CF" w14:textId="77777777" w:rsidTr="005E685B">
        <w:trPr>
          <w:trHeight w:val="270"/>
        </w:trPr>
        <w:tc>
          <w:tcPr>
            <w:tcW w:w="834" w:type="pct"/>
          </w:tcPr>
          <w:p w14:paraId="79C152A8" w14:textId="77777777" w:rsidR="0095097B" w:rsidRDefault="0095097B">
            <w:pPr>
              <w:pStyle w:val="TableTextLeft"/>
            </w:pPr>
            <w:r>
              <w:t>Responsible entities</w:t>
            </w:r>
          </w:p>
        </w:tc>
        <w:tc>
          <w:tcPr>
            <w:tcW w:w="834" w:type="pct"/>
          </w:tcPr>
          <w:p w14:paraId="2A5C732C" w14:textId="77777777" w:rsidR="00ED72D4" w:rsidRDefault="00ED72D4" w:rsidP="00ED72D4">
            <w:pPr>
              <w:spacing w:before="0" w:after="0"/>
              <w:rPr>
                <w:color w:val="000000"/>
                <w:sz w:val="18"/>
              </w:rPr>
            </w:pPr>
            <w:r w:rsidRPr="00D244F9">
              <w:rPr>
                <w:color w:val="000000"/>
                <w:sz w:val="18"/>
              </w:rPr>
              <w:t>2,</w:t>
            </w:r>
            <w:r>
              <w:rPr>
                <w:color w:val="000000"/>
                <w:sz w:val="18"/>
              </w:rPr>
              <w:t>252</w:t>
            </w:r>
          </w:p>
          <w:p w14:paraId="237404DB" w14:textId="37BB15FC" w:rsidR="0095097B" w:rsidRDefault="00ED72D4" w:rsidP="009E7F90">
            <w:pPr>
              <w:pStyle w:val="TableTextLeft"/>
              <w:spacing w:before="0"/>
            </w:pPr>
            <w:r>
              <w:t>(4.8%)</w:t>
            </w:r>
          </w:p>
        </w:tc>
        <w:tc>
          <w:tcPr>
            <w:tcW w:w="833" w:type="pct"/>
          </w:tcPr>
          <w:p w14:paraId="3AFA0445" w14:textId="6ED0EA6E" w:rsidR="00D521DB" w:rsidRPr="0032465F" w:rsidRDefault="00D521DB" w:rsidP="004455DF">
            <w:pPr>
              <w:pStyle w:val="TableTextLeft"/>
              <w:spacing w:before="0" w:after="0"/>
            </w:pPr>
            <w:r w:rsidRPr="0032465F">
              <w:t>1,</w:t>
            </w:r>
            <w:r w:rsidR="00EC41E7">
              <w:t>171</w:t>
            </w:r>
          </w:p>
          <w:p w14:paraId="34EB0A0B" w14:textId="79DBE0A6" w:rsidR="0095097B" w:rsidRDefault="00C95DEE" w:rsidP="004455DF">
            <w:pPr>
              <w:pStyle w:val="TableTextLeft"/>
              <w:spacing w:before="0" w:after="0"/>
            </w:pPr>
            <w:r>
              <w:t>(</w:t>
            </w:r>
            <w:r w:rsidR="007E514A">
              <w:t>2.</w:t>
            </w:r>
            <w:r w:rsidR="007D1FEB">
              <w:t>5</w:t>
            </w:r>
            <w:r w:rsidR="00395B6B">
              <w:t>%)</w:t>
            </w:r>
          </w:p>
        </w:tc>
        <w:tc>
          <w:tcPr>
            <w:tcW w:w="833" w:type="pct"/>
          </w:tcPr>
          <w:p w14:paraId="760FC62A" w14:textId="2ED067F6" w:rsidR="003F02BC" w:rsidRDefault="003F02BC" w:rsidP="004455DF">
            <w:pPr>
              <w:spacing w:before="0" w:after="0"/>
              <w:rPr>
                <w:rFonts w:cs="Calibri Light"/>
                <w:color w:val="000000"/>
                <w:sz w:val="18"/>
                <w:szCs w:val="18"/>
              </w:rPr>
            </w:pPr>
            <w:r>
              <w:rPr>
                <w:rFonts w:cs="Calibri Light"/>
                <w:color w:val="000000"/>
                <w:sz w:val="18"/>
                <w:szCs w:val="18"/>
              </w:rPr>
              <w:t>8</w:t>
            </w:r>
            <w:r w:rsidR="00FF3FFE">
              <w:rPr>
                <w:rFonts w:cs="Calibri Light"/>
                <w:color w:val="000000"/>
                <w:sz w:val="18"/>
                <w:szCs w:val="18"/>
              </w:rPr>
              <w:t>4</w:t>
            </w:r>
          </w:p>
          <w:p w14:paraId="37ED2296" w14:textId="0AAEF661" w:rsidR="0095097B" w:rsidRDefault="000944F2" w:rsidP="004455DF">
            <w:pPr>
              <w:pStyle w:val="TableTextLeft"/>
              <w:spacing w:before="0" w:after="0"/>
            </w:pPr>
            <w:r w:rsidRPr="000944F2">
              <w:rPr>
                <w:szCs w:val="18"/>
              </w:rPr>
              <w:t>(</w:t>
            </w:r>
            <w:r w:rsidR="003F02BC">
              <w:t>0.</w:t>
            </w:r>
            <w:r w:rsidR="00CC4F27">
              <w:t>2</w:t>
            </w:r>
            <w:r w:rsidR="00395B6B">
              <w:t>%)</w:t>
            </w:r>
          </w:p>
        </w:tc>
        <w:tc>
          <w:tcPr>
            <w:tcW w:w="833" w:type="pct"/>
          </w:tcPr>
          <w:p w14:paraId="6F155E01" w14:textId="68E40C87" w:rsidR="001B3C94" w:rsidRDefault="00FF3FFE" w:rsidP="004455DF">
            <w:pPr>
              <w:spacing w:before="0" w:after="0"/>
              <w:rPr>
                <w:rFonts w:cs="Calibri Light"/>
                <w:color w:val="000000"/>
                <w:sz w:val="18"/>
                <w:szCs w:val="18"/>
              </w:rPr>
            </w:pPr>
            <w:r>
              <w:rPr>
                <w:rFonts w:cs="Calibri Light"/>
                <w:color w:val="000000"/>
                <w:sz w:val="18"/>
                <w:szCs w:val="18"/>
              </w:rPr>
              <w:t>47</w:t>
            </w:r>
          </w:p>
          <w:p w14:paraId="1F549F20" w14:textId="5DDFA32C" w:rsidR="0095097B" w:rsidRPr="001B3C94" w:rsidRDefault="000944F2" w:rsidP="004455DF">
            <w:pPr>
              <w:spacing w:before="0" w:after="0"/>
              <w:rPr>
                <w:rFonts w:cs="Calibri Light"/>
                <w:color w:val="000000"/>
                <w:sz w:val="18"/>
                <w:szCs w:val="18"/>
              </w:rPr>
            </w:pPr>
            <w:r w:rsidRPr="000944F2">
              <w:rPr>
                <w:sz w:val="18"/>
                <w:szCs w:val="18"/>
              </w:rPr>
              <w:t>(</w:t>
            </w:r>
            <w:r w:rsidR="001B3C94">
              <w:rPr>
                <w:rFonts w:cs="Calibri Light"/>
                <w:color w:val="000000"/>
                <w:sz w:val="18"/>
                <w:szCs w:val="18"/>
              </w:rPr>
              <w:t>0.1</w:t>
            </w:r>
            <w:r w:rsidR="00395B6B">
              <w:rPr>
                <w:rFonts w:cs="Calibri Light"/>
                <w:color w:val="000000"/>
                <w:sz w:val="18"/>
                <w:szCs w:val="18"/>
              </w:rPr>
              <w:t>%)</w:t>
            </w:r>
          </w:p>
        </w:tc>
        <w:tc>
          <w:tcPr>
            <w:tcW w:w="833" w:type="pct"/>
          </w:tcPr>
          <w:p w14:paraId="39E5A9B3" w14:textId="2B7AA88A" w:rsidR="00940876" w:rsidRPr="00513536" w:rsidRDefault="00940876" w:rsidP="004455DF">
            <w:pPr>
              <w:pStyle w:val="TableTextLeft"/>
              <w:spacing w:before="0" w:after="0"/>
            </w:pPr>
            <w:r w:rsidRPr="00513536">
              <w:t>7,</w:t>
            </w:r>
            <w:r w:rsidR="00FF3FFE">
              <w:t>189</w:t>
            </w:r>
          </w:p>
          <w:p w14:paraId="0C693ECF" w14:textId="3C8CF956" w:rsidR="0095097B" w:rsidRDefault="000944F2" w:rsidP="004455DF">
            <w:pPr>
              <w:pStyle w:val="TableTextLeft"/>
              <w:spacing w:before="0" w:after="0"/>
            </w:pPr>
            <w:r w:rsidRPr="000944F2">
              <w:rPr>
                <w:szCs w:val="18"/>
              </w:rPr>
              <w:t>(</w:t>
            </w:r>
            <w:r w:rsidR="003E5643" w:rsidRPr="00513536">
              <w:t>15.2</w:t>
            </w:r>
            <w:r w:rsidR="00395B6B">
              <w:t>%)</w:t>
            </w:r>
          </w:p>
        </w:tc>
      </w:tr>
      <w:tr w:rsidR="0095097B" w14:paraId="4E3ABDD2" w14:textId="77777777" w:rsidTr="005E685B">
        <w:trPr>
          <w:trHeight w:val="270"/>
        </w:trPr>
        <w:tc>
          <w:tcPr>
            <w:tcW w:w="834" w:type="pct"/>
          </w:tcPr>
          <w:p w14:paraId="2992721A" w14:textId="77777777" w:rsidR="0095097B" w:rsidRDefault="0095097B">
            <w:pPr>
              <w:pStyle w:val="TableTextLeft"/>
            </w:pPr>
            <w:r>
              <w:t>Custodians</w:t>
            </w:r>
          </w:p>
        </w:tc>
        <w:tc>
          <w:tcPr>
            <w:tcW w:w="834" w:type="pct"/>
          </w:tcPr>
          <w:p w14:paraId="7FA3EB84"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3876B7B0" w14:textId="4E8F26EE" w:rsidR="0095097B" w:rsidRDefault="007D1FEB" w:rsidP="009E7F90">
            <w:pPr>
              <w:pStyle w:val="TableTextLeft"/>
              <w:spacing w:before="0"/>
            </w:pPr>
            <w:r>
              <w:t>(4.8%)</w:t>
            </w:r>
          </w:p>
        </w:tc>
        <w:tc>
          <w:tcPr>
            <w:tcW w:w="833" w:type="pct"/>
          </w:tcPr>
          <w:p w14:paraId="360B1886" w14:textId="1F5F408F" w:rsidR="00D521DB" w:rsidRPr="0032465F" w:rsidRDefault="00D521DB" w:rsidP="004455DF">
            <w:pPr>
              <w:pStyle w:val="TableTextLeft"/>
              <w:spacing w:before="0" w:after="0"/>
            </w:pPr>
            <w:r w:rsidRPr="0032465F">
              <w:t>1,</w:t>
            </w:r>
            <w:r w:rsidR="00FF3FFE">
              <w:t>394</w:t>
            </w:r>
          </w:p>
          <w:p w14:paraId="3D71BF44" w14:textId="3659D1B9" w:rsidR="0095097B" w:rsidRDefault="00C95DEE" w:rsidP="004455DF">
            <w:pPr>
              <w:pStyle w:val="TableTextLeft"/>
              <w:spacing w:before="0" w:after="0"/>
            </w:pPr>
            <w:r>
              <w:t>(</w:t>
            </w:r>
            <w:r w:rsidR="007D1FEB">
              <w:t>3.0</w:t>
            </w:r>
            <w:r w:rsidR="00395B6B">
              <w:t>%)</w:t>
            </w:r>
          </w:p>
        </w:tc>
        <w:tc>
          <w:tcPr>
            <w:tcW w:w="833" w:type="pct"/>
          </w:tcPr>
          <w:p w14:paraId="6DA09AAE" w14:textId="01154CF0" w:rsidR="00887D64" w:rsidRDefault="00887D64" w:rsidP="004455DF">
            <w:pPr>
              <w:spacing w:before="0" w:after="0"/>
              <w:rPr>
                <w:rFonts w:cs="Calibri Light"/>
                <w:color w:val="000000"/>
                <w:sz w:val="18"/>
                <w:szCs w:val="18"/>
              </w:rPr>
            </w:pPr>
            <w:r>
              <w:rPr>
                <w:rFonts w:cs="Calibri Light"/>
                <w:color w:val="000000"/>
                <w:sz w:val="18"/>
                <w:szCs w:val="18"/>
              </w:rPr>
              <w:t>6,</w:t>
            </w:r>
            <w:r w:rsidR="00FF3FFE">
              <w:rPr>
                <w:rFonts w:cs="Calibri Light"/>
                <w:color w:val="000000"/>
                <w:sz w:val="18"/>
                <w:szCs w:val="18"/>
              </w:rPr>
              <w:t>022</w:t>
            </w:r>
          </w:p>
          <w:p w14:paraId="4FC375DC" w14:textId="39DD9091" w:rsidR="0095097B" w:rsidRPr="00887D64" w:rsidRDefault="000944F2" w:rsidP="004455DF">
            <w:pPr>
              <w:spacing w:before="0" w:after="0"/>
              <w:rPr>
                <w:rFonts w:cs="Calibri Light"/>
                <w:color w:val="000000"/>
                <w:sz w:val="18"/>
                <w:szCs w:val="18"/>
              </w:rPr>
            </w:pPr>
            <w:r w:rsidRPr="000944F2">
              <w:rPr>
                <w:sz w:val="18"/>
                <w:szCs w:val="18"/>
              </w:rPr>
              <w:t>(</w:t>
            </w:r>
            <w:r w:rsidR="00887D64">
              <w:rPr>
                <w:rFonts w:cs="Calibri Light"/>
                <w:color w:val="000000"/>
                <w:sz w:val="18"/>
                <w:szCs w:val="18"/>
              </w:rPr>
              <w:t>12.7</w:t>
            </w:r>
            <w:r w:rsidR="00395B6B">
              <w:rPr>
                <w:rFonts w:cs="Calibri Light"/>
                <w:color w:val="000000"/>
                <w:sz w:val="18"/>
                <w:szCs w:val="18"/>
              </w:rPr>
              <w:t>%)</w:t>
            </w:r>
          </w:p>
        </w:tc>
        <w:tc>
          <w:tcPr>
            <w:tcW w:w="833" w:type="pct"/>
          </w:tcPr>
          <w:p w14:paraId="7A25A2B3" w14:textId="012CEBEC" w:rsidR="001B3C94" w:rsidRDefault="00CE74CD" w:rsidP="004455DF">
            <w:pPr>
              <w:spacing w:before="0" w:after="0"/>
              <w:rPr>
                <w:rFonts w:cs="Calibri Light"/>
                <w:color w:val="000000"/>
                <w:sz w:val="18"/>
                <w:szCs w:val="18"/>
              </w:rPr>
            </w:pPr>
            <w:r>
              <w:rPr>
                <w:rFonts w:cs="Calibri Light"/>
                <w:color w:val="000000"/>
                <w:sz w:val="18"/>
                <w:szCs w:val="18"/>
              </w:rPr>
              <w:t>6,626</w:t>
            </w:r>
          </w:p>
          <w:p w14:paraId="188D50D1" w14:textId="5FB84D13" w:rsidR="0095097B" w:rsidRPr="001B3C94" w:rsidRDefault="000944F2" w:rsidP="004455DF">
            <w:pPr>
              <w:spacing w:before="0" w:after="0"/>
              <w:rPr>
                <w:rFonts w:cs="Calibri Light"/>
                <w:color w:val="000000"/>
                <w:sz w:val="18"/>
                <w:szCs w:val="18"/>
              </w:rPr>
            </w:pPr>
            <w:r w:rsidRPr="000944F2">
              <w:rPr>
                <w:sz w:val="18"/>
                <w:szCs w:val="18"/>
              </w:rPr>
              <w:t>(</w:t>
            </w:r>
            <w:r w:rsidR="001B3C94">
              <w:rPr>
                <w:rFonts w:cs="Calibri Light"/>
                <w:color w:val="000000"/>
                <w:sz w:val="18"/>
                <w:szCs w:val="18"/>
              </w:rPr>
              <w:t>14.0</w:t>
            </w:r>
            <w:r w:rsidR="00395B6B">
              <w:rPr>
                <w:rFonts w:cs="Calibri Light"/>
                <w:color w:val="000000"/>
                <w:sz w:val="18"/>
                <w:szCs w:val="18"/>
              </w:rPr>
              <w:t>%)</w:t>
            </w:r>
          </w:p>
        </w:tc>
        <w:tc>
          <w:tcPr>
            <w:tcW w:w="833" w:type="pct"/>
          </w:tcPr>
          <w:p w14:paraId="2F88C781" w14:textId="4C33EBB0" w:rsidR="003E5643" w:rsidRPr="00513536" w:rsidRDefault="003E5643" w:rsidP="004455DF">
            <w:pPr>
              <w:pStyle w:val="TableTextLeft"/>
              <w:spacing w:before="0" w:after="0"/>
            </w:pPr>
            <w:r w:rsidRPr="00513536">
              <w:t>1</w:t>
            </w:r>
            <w:r w:rsidR="00CE74CD">
              <w:t>63</w:t>
            </w:r>
          </w:p>
          <w:p w14:paraId="006217E1" w14:textId="3DB5D9CC" w:rsidR="0095097B" w:rsidRDefault="000944F2" w:rsidP="004455DF">
            <w:pPr>
              <w:pStyle w:val="TableTextLeft"/>
              <w:spacing w:before="0" w:after="0"/>
            </w:pPr>
            <w:r w:rsidRPr="000944F2">
              <w:rPr>
                <w:szCs w:val="18"/>
              </w:rPr>
              <w:t>(</w:t>
            </w:r>
            <w:r w:rsidR="003E5643" w:rsidRPr="00513536">
              <w:t>0.3</w:t>
            </w:r>
            <w:r w:rsidR="00395B6B">
              <w:t>%)</w:t>
            </w:r>
          </w:p>
        </w:tc>
      </w:tr>
      <w:tr w:rsidR="0095097B" w14:paraId="4DDA1D0A" w14:textId="77777777" w:rsidTr="005E685B">
        <w:trPr>
          <w:trHeight w:val="270"/>
        </w:trPr>
        <w:tc>
          <w:tcPr>
            <w:tcW w:w="834" w:type="pct"/>
          </w:tcPr>
          <w:p w14:paraId="3E910C24" w14:textId="2B295F27" w:rsidR="0095097B" w:rsidRDefault="0095097B">
            <w:pPr>
              <w:pStyle w:val="TableTextLeft"/>
            </w:pPr>
            <w:r>
              <w:t xml:space="preserve">Investor directed portfolio services </w:t>
            </w:r>
            <w:r w:rsidR="00C81E09">
              <w:t>(</w:t>
            </w:r>
            <w:r>
              <w:t>IDPS</w:t>
            </w:r>
            <w:r w:rsidR="00C81E09">
              <w:t>)</w:t>
            </w:r>
            <w:r>
              <w:t xml:space="preserve"> operators</w:t>
            </w:r>
          </w:p>
        </w:tc>
        <w:tc>
          <w:tcPr>
            <w:tcW w:w="834" w:type="pct"/>
          </w:tcPr>
          <w:p w14:paraId="635C73AA"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4C47E322" w14:textId="6CCE3A97" w:rsidR="0095097B" w:rsidRDefault="007D1FEB" w:rsidP="009E7F90">
            <w:pPr>
              <w:pStyle w:val="TableTextLeft"/>
              <w:spacing w:before="0"/>
            </w:pPr>
            <w:r>
              <w:t>(4.8%)</w:t>
            </w:r>
          </w:p>
        </w:tc>
        <w:tc>
          <w:tcPr>
            <w:tcW w:w="833" w:type="pct"/>
          </w:tcPr>
          <w:p w14:paraId="3D35CE07" w14:textId="02A8E601" w:rsidR="0032465F" w:rsidRPr="0032465F" w:rsidRDefault="0032465F" w:rsidP="004455DF">
            <w:pPr>
              <w:pStyle w:val="TableTextLeft"/>
              <w:spacing w:before="0" w:after="0"/>
            </w:pPr>
            <w:r w:rsidRPr="0032465F">
              <w:t>2</w:t>
            </w:r>
            <w:r w:rsidR="00CE74CD">
              <w:t>05</w:t>
            </w:r>
          </w:p>
          <w:p w14:paraId="7CE17447" w14:textId="533D9E13" w:rsidR="0095097B" w:rsidRDefault="00C95DEE" w:rsidP="004455DF">
            <w:pPr>
              <w:pStyle w:val="TableTextLeft"/>
              <w:spacing w:before="0" w:after="0"/>
            </w:pPr>
            <w:r>
              <w:t>(</w:t>
            </w:r>
            <w:r w:rsidR="00CA149C">
              <w:t>0.4</w:t>
            </w:r>
            <w:r w:rsidR="00395B6B">
              <w:t>%)</w:t>
            </w:r>
          </w:p>
        </w:tc>
        <w:tc>
          <w:tcPr>
            <w:tcW w:w="833" w:type="pct"/>
          </w:tcPr>
          <w:p w14:paraId="62973B04" w14:textId="68308594" w:rsidR="00887D64" w:rsidRDefault="00D611DB" w:rsidP="004455DF">
            <w:pPr>
              <w:spacing w:before="0" w:after="0"/>
              <w:rPr>
                <w:rFonts w:cs="Calibri Light"/>
                <w:color w:val="000000"/>
                <w:sz w:val="18"/>
                <w:szCs w:val="18"/>
              </w:rPr>
            </w:pPr>
            <w:r>
              <w:rPr>
                <w:rFonts w:cs="Calibri Light"/>
                <w:color w:val="000000"/>
                <w:sz w:val="18"/>
                <w:szCs w:val="18"/>
              </w:rPr>
              <w:t>6,733</w:t>
            </w:r>
          </w:p>
          <w:p w14:paraId="7036BB54" w14:textId="47FDAF90" w:rsidR="0095097B" w:rsidRPr="00887D64" w:rsidRDefault="000944F2" w:rsidP="004455DF">
            <w:pPr>
              <w:spacing w:before="0" w:after="0"/>
              <w:rPr>
                <w:rFonts w:cs="Calibri Light"/>
                <w:color w:val="000000"/>
                <w:sz w:val="18"/>
                <w:szCs w:val="18"/>
              </w:rPr>
            </w:pPr>
            <w:r w:rsidRPr="000944F2">
              <w:rPr>
                <w:sz w:val="18"/>
                <w:szCs w:val="18"/>
              </w:rPr>
              <w:t>(</w:t>
            </w:r>
            <w:r w:rsidR="00887D64">
              <w:rPr>
                <w:rFonts w:cs="Calibri Light"/>
                <w:color w:val="000000"/>
                <w:sz w:val="18"/>
                <w:szCs w:val="18"/>
              </w:rPr>
              <w:t>14.2</w:t>
            </w:r>
            <w:r w:rsidR="00395B6B">
              <w:rPr>
                <w:rFonts w:cs="Calibri Light"/>
                <w:color w:val="000000"/>
                <w:sz w:val="18"/>
                <w:szCs w:val="18"/>
              </w:rPr>
              <w:t>%)</w:t>
            </w:r>
          </w:p>
        </w:tc>
        <w:tc>
          <w:tcPr>
            <w:tcW w:w="833" w:type="pct"/>
          </w:tcPr>
          <w:p w14:paraId="71804DCE" w14:textId="0106B553" w:rsidR="001B3C94" w:rsidRDefault="001B3C94" w:rsidP="004455DF">
            <w:pPr>
              <w:spacing w:before="0" w:after="0"/>
              <w:rPr>
                <w:rFonts w:cs="Calibri Light"/>
                <w:color w:val="000000"/>
                <w:sz w:val="18"/>
                <w:szCs w:val="18"/>
              </w:rPr>
            </w:pPr>
            <w:r>
              <w:rPr>
                <w:rFonts w:cs="Calibri Light"/>
                <w:color w:val="000000"/>
                <w:sz w:val="18"/>
                <w:szCs w:val="18"/>
              </w:rPr>
              <w:t>7,</w:t>
            </w:r>
            <w:r w:rsidR="00D611DB">
              <w:rPr>
                <w:rFonts w:cs="Calibri Light"/>
                <w:color w:val="000000"/>
                <w:sz w:val="18"/>
                <w:szCs w:val="18"/>
              </w:rPr>
              <w:t>190</w:t>
            </w:r>
          </w:p>
          <w:p w14:paraId="7EBD8950" w14:textId="1C9C0F5E" w:rsidR="0095097B" w:rsidRPr="001B3C94" w:rsidRDefault="000944F2" w:rsidP="004455DF">
            <w:pPr>
              <w:spacing w:before="0" w:after="0"/>
              <w:rPr>
                <w:rFonts w:cs="Calibri Light"/>
                <w:color w:val="000000"/>
                <w:sz w:val="18"/>
                <w:szCs w:val="18"/>
              </w:rPr>
            </w:pPr>
            <w:r w:rsidRPr="000944F2">
              <w:rPr>
                <w:sz w:val="18"/>
                <w:szCs w:val="18"/>
              </w:rPr>
              <w:t>(</w:t>
            </w:r>
            <w:r w:rsidR="001B3C94">
              <w:rPr>
                <w:rFonts w:cs="Calibri Light"/>
                <w:color w:val="000000"/>
                <w:sz w:val="18"/>
                <w:szCs w:val="18"/>
              </w:rPr>
              <w:t>15.2</w:t>
            </w:r>
            <w:r w:rsidR="00395B6B">
              <w:rPr>
                <w:rFonts w:cs="Calibri Light"/>
                <w:color w:val="000000"/>
                <w:sz w:val="18"/>
                <w:szCs w:val="18"/>
              </w:rPr>
              <w:t>%)</w:t>
            </w:r>
          </w:p>
        </w:tc>
        <w:tc>
          <w:tcPr>
            <w:tcW w:w="833" w:type="pct"/>
          </w:tcPr>
          <w:p w14:paraId="47D1B429" w14:textId="26E67DCC" w:rsidR="00513536" w:rsidRPr="00513536" w:rsidRDefault="00513536" w:rsidP="004455DF">
            <w:pPr>
              <w:pStyle w:val="TableTextLeft"/>
              <w:spacing w:before="0" w:after="0"/>
            </w:pPr>
            <w:r w:rsidRPr="00513536">
              <w:t>3</w:t>
            </w:r>
            <w:r w:rsidR="00D611DB">
              <w:t>4</w:t>
            </w:r>
          </w:p>
          <w:p w14:paraId="4849AF62" w14:textId="594CAC1D" w:rsidR="0095097B" w:rsidRDefault="00357FCC" w:rsidP="004455DF">
            <w:pPr>
              <w:pStyle w:val="TableTextLeft"/>
              <w:spacing w:before="0" w:after="0"/>
            </w:pPr>
            <w:r w:rsidRPr="008C1E4B">
              <w:rPr>
                <w:rFonts w:cs="Calibri Light"/>
                <w:szCs w:val="18"/>
              </w:rPr>
              <w:t>(&lt;0.1%)</w:t>
            </w:r>
          </w:p>
        </w:tc>
      </w:tr>
      <w:tr w:rsidR="0095097B" w14:paraId="41662DE0" w14:textId="77777777" w:rsidTr="005E685B">
        <w:trPr>
          <w:trHeight w:val="270"/>
        </w:trPr>
        <w:tc>
          <w:tcPr>
            <w:tcW w:w="834" w:type="pct"/>
          </w:tcPr>
          <w:p w14:paraId="4398EBB0" w14:textId="51FC43D5" w:rsidR="0095097B" w:rsidRDefault="0095097B">
            <w:pPr>
              <w:pStyle w:val="TableTextLeft"/>
            </w:pPr>
            <w:r>
              <w:t xml:space="preserve">Managed discretionary account </w:t>
            </w:r>
            <w:r w:rsidR="00C81E09">
              <w:t>(</w:t>
            </w:r>
            <w:r>
              <w:t>MDA</w:t>
            </w:r>
            <w:r w:rsidR="00C81E09">
              <w:t>)</w:t>
            </w:r>
            <w:r>
              <w:t xml:space="preserve"> providers</w:t>
            </w:r>
          </w:p>
        </w:tc>
        <w:tc>
          <w:tcPr>
            <w:tcW w:w="834" w:type="pct"/>
          </w:tcPr>
          <w:p w14:paraId="239ACDCD"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192D936F" w14:textId="04D5FEE1" w:rsidR="0095097B" w:rsidRDefault="007D1FEB" w:rsidP="009E7F90">
            <w:pPr>
              <w:pStyle w:val="TableTextLeft"/>
              <w:spacing w:before="0"/>
            </w:pPr>
            <w:r>
              <w:t>(4.8%)</w:t>
            </w:r>
          </w:p>
        </w:tc>
        <w:tc>
          <w:tcPr>
            <w:tcW w:w="833" w:type="pct"/>
          </w:tcPr>
          <w:p w14:paraId="3897F9A6" w14:textId="5E636599" w:rsidR="0032465F" w:rsidRPr="0032465F" w:rsidRDefault="0032465F" w:rsidP="004455DF">
            <w:pPr>
              <w:pStyle w:val="TableTextLeft"/>
              <w:spacing w:before="0" w:after="0"/>
            </w:pPr>
            <w:r w:rsidRPr="0032465F">
              <w:t>6</w:t>
            </w:r>
            <w:r w:rsidR="00E36000">
              <w:t>09</w:t>
            </w:r>
          </w:p>
          <w:p w14:paraId="047DB8E8" w14:textId="509EAD6D" w:rsidR="0095097B" w:rsidRDefault="00C95DEE" w:rsidP="004455DF">
            <w:pPr>
              <w:pStyle w:val="TableTextLeft"/>
              <w:spacing w:before="0" w:after="0"/>
            </w:pPr>
            <w:r>
              <w:t>(</w:t>
            </w:r>
            <w:r w:rsidR="00CA149C">
              <w:t>1.</w:t>
            </w:r>
            <w:r w:rsidR="00CC4F27">
              <w:t>3</w:t>
            </w:r>
            <w:r w:rsidR="00395B6B">
              <w:t>%)</w:t>
            </w:r>
          </w:p>
        </w:tc>
        <w:tc>
          <w:tcPr>
            <w:tcW w:w="833" w:type="pct"/>
          </w:tcPr>
          <w:p w14:paraId="20347F41" w14:textId="3865975C" w:rsidR="00887D64" w:rsidRDefault="00E36000" w:rsidP="004455DF">
            <w:pPr>
              <w:spacing w:before="0" w:after="0"/>
              <w:rPr>
                <w:rFonts w:cs="Calibri Light"/>
                <w:color w:val="000000"/>
                <w:sz w:val="18"/>
                <w:szCs w:val="18"/>
              </w:rPr>
            </w:pPr>
            <w:r>
              <w:rPr>
                <w:rFonts w:cs="Calibri Light"/>
                <w:color w:val="000000"/>
                <w:sz w:val="18"/>
                <w:szCs w:val="18"/>
              </w:rPr>
              <w:t>36</w:t>
            </w:r>
          </w:p>
          <w:p w14:paraId="662B5CDE" w14:textId="1A83F7FB" w:rsidR="0095097B" w:rsidRPr="00887D64" w:rsidRDefault="00357FCC" w:rsidP="004455DF">
            <w:pPr>
              <w:spacing w:before="0" w:after="0"/>
              <w:rPr>
                <w:rFonts w:cs="Calibri Light"/>
                <w:color w:val="000000"/>
                <w:sz w:val="18"/>
                <w:szCs w:val="18"/>
              </w:rPr>
            </w:pPr>
            <w:r w:rsidRPr="008C1E4B">
              <w:rPr>
                <w:rFonts w:cs="Calibri Light"/>
                <w:color w:val="000000"/>
                <w:sz w:val="18"/>
                <w:szCs w:val="18"/>
              </w:rPr>
              <w:t>(&lt;0.1%)</w:t>
            </w:r>
          </w:p>
        </w:tc>
        <w:tc>
          <w:tcPr>
            <w:tcW w:w="833" w:type="pct"/>
          </w:tcPr>
          <w:p w14:paraId="3D43C01D" w14:textId="2D53BA08" w:rsidR="00535B49" w:rsidRDefault="00535B49" w:rsidP="004455DF">
            <w:pPr>
              <w:spacing w:before="0" w:after="0"/>
              <w:rPr>
                <w:rFonts w:cs="Calibri Light"/>
                <w:color w:val="000000"/>
                <w:sz w:val="18"/>
                <w:szCs w:val="18"/>
              </w:rPr>
            </w:pPr>
            <w:r>
              <w:rPr>
                <w:rFonts w:cs="Calibri Light"/>
                <w:color w:val="000000"/>
                <w:sz w:val="18"/>
                <w:szCs w:val="18"/>
              </w:rPr>
              <w:t>1</w:t>
            </w:r>
            <w:r w:rsidR="00E36000">
              <w:rPr>
                <w:rFonts w:cs="Calibri Light"/>
                <w:color w:val="000000"/>
                <w:sz w:val="18"/>
                <w:szCs w:val="18"/>
              </w:rPr>
              <w:t>8</w:t>
            </w:r>
          </w:p>
          <w:p w14:paraId="2896A085" w14:textId="6975A48F" w:rsidR="0095097B" w:rsidRPr="00535B49" w:rsidRDefault="00357FCC" w:rsidP="004455DF">
            <w:pPr>
              <w:spacing w:before="0" w:after="0"/>
              <w:rPr>
                <w:rFonts w:cs="Calibri Light"/>
                <w:color w:val="000000"/>
                <w:sz w:val="18"/>
                <w:szCs w:val="18"/>
              </w:rPr>
            </w:pPr>
            <w:r w:rsidRPr="008C1E4B">
              <w:rPr>
                <w:rFonts w:cs="Calibri Light"/>
                <w:color w:val="000000"/>
                <w:sz w:val="18"/>
                <w:szCs w:val="18"/>
              </w:rPr>
              <w:t>(&lt;0.1%)</w:t>
            </w:r>
          </w:p>
        </w:tc>
        <w:tc>
          <w:tcPr>
            <w:tcW w:w="833" w:type="pct"/>
          </w:tcPr>
          <w:p w14:paraId="0035A208" w14:textId="6D86CCED" w:rsidR="00513536" w:rsidRPr="00513536" w:rsidRDefault="00513536" w:rsidP="004455DF">
            <w:pPr>
              <w:pStyle w:val="TableTextLeft"/>
              <w:spacing w:before="0" w:after="0"/>
            </w:pPr>
            <w:r w:rsidRPr="00513536">
              <w:t>2</w:t>
            </w:r>
            <w:r w:rsidR="00E36000">
              <w:t>46</w:t>
            </w:r>
          </w:p>
          <w:p w14:paraId="3598C910" w14:textId="425447A3" w:rsidR="0095097B" w:rsidRDefault="000944F2" w:rsidP="004455DF">
            <w:pPr>
              <w:pStyle w:val="TableTextLeft"/>
              <w:spacing w:before="0" w:after="0"/>
            </w:pPr>
            <w:r w:rsidRPr="000944F2">
              <w:rPr>
                <w:szCs w:val="18"/>
              </w:rPr>
              <w:t>(</w:t>
            </w:r>
            <w:r w:rsidR="00513536" w:rsidRPr="00513536">
              <w:t>0.5%</w:t>
            </w:r>
            <w:r w:rsidR="00C95DEE">
              <w:t>)</w:t>
            </w:r>
          </w:p>
        </w:tc>
      </w:tr>
      <w:tr w:rsidR="0095097B" w14:paraId="4077F358" w14:textId="77777777" w:rsidTr="005E685B">
        <w:trPr>
          <w:trHeight w:val="270"/>
        </w:trPr>
        <w:tc>
          <w:tcPr>
            <w:tcW w:w="834" w:type="pct"/>
          </w:tcPr>
          <w:p w14:paraId="07FAB3A9" w14:textId="77777777" w:rsidR="0095097B" w:rsidRDefault="0095097B">
            <w:pPr>
              <w:pStyle w:val="TableTextLeft"/>
            </w:pPr>
            <w:r>
              <w:t>Traditional trustee company service providers</w:t>
            </w:r>
          </w:p>
        </w:tc>
        <w:tc>
          <w:tcPr>
            <w:tcW w:w="834" w:type="pct"/>
          </w:tcPr>
          <w:p w14:paraId="78BC0C9E"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01D4CD3A" w14:textId="613D1045" w:rsidR="0095097B" w:rsidRDefault="007D1FEB" w:rsidP="009E7F90">
            <w:pPr>
              <w:pStyle w:val="TableTextLeft"/>
              <w:spacing w:before="0" w:after="0"/>
            </w:pPr>
            <w:r>
              <w:t>(4.8%)</w:t>
            </w:r>
          </w:p>
        </w:tc>
        <w:tc>
          <w:tcPr>
            <w:tcW w:w="833" w:type="pct"/>
          </w:tcPr>
          <w:p w14:paraId="2C928285" w14:textId="6061CB71" w:rsidR="0032465F" w:rsidRPr="0032465F" w:rsidRDefault="0032465F" w:rsidP="004455DF">
            <w:pPr>
              <w:pStyle w:val="TableTextLeft"/>
              <w:spacing w:before="0" w:after="0"/>
            </w:pPr>
            <w:r w:rsidRPr="0032465F">
              <w:t>2</w:t>
            </w:r>
            <w:r w:rsidR="00E36000">
              <w:t>6</w:t>
            </w:r>
          </w:p>
          <w:p w14:paraId="5BD1CBDD" w14:textId="37486A5A" w:rsidR="0095097B" w:rsidRPr="00252D6B" w:rsidRDefault="00357FCC" w:rsidP="00605D9A">
            <w:pPr>
              <w:spacing w:before="0" w:after="0"/>
              <w:rPr>
                <w:color w:val="000000"/>
                <w:sz w:val="18"/>
              </w:rPr>
            </w:pPr>
            <w:r w:rsidRPr="008C1E4B">
              <w:rPr>
                <w:rFonts w:cs="Calibri Light"/>
                <w:color w:val="000000"/>
                <w:sz w:val="18"/>
                <w:szCs w:val="18"/>
              </w:rPr>
              <w:t>(&lt;0.1%)</w:t>
            </w:r>
          </w:p>
        </w:tc>
        <w:tc>
          <w:tcPr>
            <w:tcW w:w="833" w:type="pct"/>
          </w:tcPr>
          <w:p w14:paraId="1A86B40F" w14:textId="41D35755" w:rsidR="0095097B" w:rsidRPr="00EE770F" w:rsidRDefault="00B96EB6" w:rsidP="00EE770F">
            <w:pPr>
              <w:spacing w:before="0" w:after="0"/>
              <w:rPr>
                <w:rFonts w:cs="Calibri Light"/>
                <w:color w:val="000000"/>
                <w:sz w:val="18"/>
                <w:szCs w:val="18"/>
              </w:rPr>
            </w:pPr>
            <w:r>
              <w:rPr>
                <w:rFonts w:cs="Calibri Light"/>
                <w:color w:val="000000"/>
                <w:sz w:val="18"/>
                <w:szCs w:val="18"/>
              </w:rPr>
              <w:t>N/A</w:t>
            </w:r>
          </w:p>
        </w:tc>
        <w:tc>
          <w:tcPr>
            <w:tcW w:w="833" w:type="pct"/>
          </w:tcPr>
          <w:p w14:paraId="3CB6549A" w14:textId="203281E6" w:rsidR="0095097B" w:rsidRPr="00535B49" w:rsidRDefault="00B96EB6" w:rsidP="00535B49">
            <w:pPr>
              <w:spacing w:before="0" w:after="0"/>
              <w:rPr>
                <w:rFonts w:cs="Calibri Light"/>
                <w:color w:val="000000"/>
                <w:sz w:val="18"/>
                <w:szCs w:val="18"/>
              </w:rPr>
            </w:pPr>
            <w:r>
              <w:rPr>
                <w:rFonts w:cs="Calibri Light"/>
                <w:color w:val="000000"/>
                <w:sz w:val="18"/>
                <w:szCs w:val="18"/>
              </w:rPr>
              <w:t>N/A</w:t>
            </w:r>
          </w:p>
        </w:tc>
        <w:tc>
          <w:tcPr>
            <w:tcW w:w="833" w:type="pct"/>
          </w:tcPr>
          <w:p w14:paraId="7CF89806" w14:textId="68DE2EC7" w:rsidR="00513536" w:rsidRPr="00513536" w:rsidRDefault="00513536" w:rsidP="004455DF">
            <w:pPr>
              <w:pStyle w:val="TableTextLeft"/>
              <w:spacing w:before="0" w:after="0"/>
            </w:pPr>
            <w:r w:rsidRPr="00513536">
              <w:t>1</w:t>
            </w:r>
            <w:r w:rsidR="00E36000">
              <w:t>26</w:t>
            </w:r>
          </w:p>
          <w:p w14:paraId="39D877C8" w14:textId="1667B229" w:rsidR="0095097B" w:rsidRDefault="000944F2" w:rsidP="004455DF">
            <w:pPr>
              <w:pStyle w:val="TableTextLeft"/>
              <w:spacing w:before="0" w:after="0"/>
            </w:pPr>
            <w:r w:rsidRPr="000944F2">
              <w:rPr>
                <w:szCs w:val="18"/>
              </w:rPr>
              <w:t>(</w:t>
            </w:r>
            <w:r w:rsidR="00513536" w:rsidRPr="00513536">
              <w:t>0.</w:t>
            </w:r>
            <w:r w:rsidR="00CC4F27">
              <w:t>3</w:t>
            </w:r>
            <w:r w:rsidR="00C95DEE">
              <w:t>%)</w:t>
            </w:r>
          </w:p>
        </w:tc>
      </w:tr>
      <w:tr w:rsidR="0095097B" w14:paraId="5FDEECD4" w14:textId="77777777" w:rsidTr="005E685B">
        <w:trPr>
          <w:trHeight w:val="270"/>
        </w:trPr>
        <w:tc>
          <w:tcPr>
            <w:tcW w:w="5000" w:type="pct"/>
            <w:gridSpan w:val="6"/>
            <w:shd w:val="clear" w:color="auto" w:fill="F2F2F2" w:themeFill="background1" w:themeFillShade="F2"/>
          </w:tcPr>
          <w:p w14:paraId="15C273BE" w14:textId="77777777" w:rsidR="0095097B" w:rsidRPr="00D76B1B" w:rsidRDefault="0095097B">
            <w:pPr>
              <w:pStyle w:val="TableTextLeft"/>
              <w:keepNext/>
              <w:rPr>
                <w:b/>
              </w:rPr>
            </w:pPr>
            <w:r w:rsidRPr="00D76B1B">
              <w:rPr>
                <w:b/>
                <w:bCs/>
              </w:rPr>
              <w:lastRenderedPageBreak/>
              <w:t xml:space="preserve">Market </w:t>
            </w:r>
            <w:proofErr w:type="gramStart"/>
            <w:r w:rsidRPr="00D76B1B">
              <w:rPr>
                <w:b/>
                <w:bCs/>
              </w:rPr>
              <w:t>intermediaries</w:t>
            </w:r>
            <w:proofErr w:type="gramEnd"/>
            <w:r w:rsidRPr="00D76B1B">
              <w:rPr>
                <w:b/>
                <w:bCs/>
              </w:rPr>
              <w:t xml:space="preserve"> sector</w:t>
            </w:r>
          </w:p>
        </w:tc>
      </w:tr>
      <w:tr w:rsidR="0095097B" w14:paraId="7AC90E36" w14:textId="77777777" w:rsidTr="005E685B">
        <w:trPr>
          <w:trHeight w:val="270"/>
        </w:trPr>
        <w:tc>
          <w:tcPr>
            <w:tcW w:w="834" w:type="pct"/>
          </w:tcPr>
          <w:p w14:paraId="063072B0" w14:textId="77777777" w:rsidR="0095097B" w:rsidRPr="00D76B1B" w:rsidRDefault="0095097B">
            <w:pPr>
              <w:pStyle w:val="TableTextLeft"/>
              <w:rPr>
                <w:b/>
                <w:bCs/>
              </w:rPr>
            </w:pPr>
            <w:r>
              <w:t>Securities dealers</w:t>
            </w:r>
          </w:p>
        </w:tc>
        <w:tc>
          <w:tcPr>
            <w:tcW w:w="834" w:type="pct"/>
          </w:tcPr>
          <w:p w14:paraId="06987B2E"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70BC1B0D" w14:textId="22BA4E15" w:rsidR="0095097B" w:rsidRDefault="007D1FEB" w:rsidP="009E7F90">
            <w:pPr>
              <w:pStyle w:val="TableTextLeft"/>
              <w:spacing w:before="0"/>
            </w:pPr>
            <w:r>
              <w:t>(4.8%)</w:t>
            </w:r>
          </w:p>
        </w:tc>
        <w:tc>
          <w:tcPr>
            <w:tcW w:w="833" w:type="pct"/>
          </w:tcPr>
          <w:p w14:paraId="3622E75A" w14:textId="6938E027" w:rsidR="005F2530" w:rsidRPr="005F2530" w:rsidRDefault="005F2530" w:rsidP="005F2530">
            <w:pPr>
              <w:spacing w:before="0" w:after="0"/>
              <w:rPr>
                <w:color w:val="000000"/>
                <w:sz w:val="18"/>
              </w:rPr>
            </w:pPr>
            <w:r w:rsidRPr="005F2530">
              <w:rPr>
                <w:color w:val="000000"/>
                <w:sz w:val="18"/>
              </w:rPr>
              <w:t>3,</w:t>
            </w:r>
            <w:r w:rsidR="00440E9A">
              <w:rPr>
                <w:color w:val="000000"/>
                <w:sz w:val="18"/>
              </w:rPr>
              <w:t>317</w:t>
            </w:r>
          </w:p>
          <w:p w14:paraId="7B66BA5B" w14:textId="657BCCF8" w:rsidR="0095097B" w:rsidRDefault="000944F2" w:rsidP="004455DF">
            <w:pPr>
              <w:pStyle w:val="TableTextLeft"/>
              <w:spacing w:before="0" w:after="0"/>
            </w:pPr>
            <w:r>
              <w:t>(</w:t>
            </w:r>
            <w:r w:rsidR="00CE4528">
              <w:t>7.</w:t>
            </w:r>
            <w:r w:rsidR="00EF7B9D">
              <w:t>0</w:t>
            </w:r>
            <w:r w:rsidR="00C95DEE">
              <w:t>%)</w:t>
            </w:r>
          </w:p>
        </w:tc>
        <w:tc>
          <w:tcPr>
            <w:tcW w:w="833" w:type="pct"/>
          </w:tcPr>
          <w:p w14:paraId="2D3210AE" w14:textId="696FF6CD" w:rsidR="00EF77D7" w:rsidRDefault="00BF7D29" w:rsidP="00EF77D7">
            <w:pPr>
              <w:spacing w:before="0" w:after="0"/>
              <w:rPr>
                <w:rFonts w:cs="Calibri Light"/>
                <w:color w:val="000000"/>
                <w:sz w:val="18"/>
                <w:szCs w:val="18"/>
              </w:rPr>
            </w:pPr>
            <w:r>
              <w:rPr>
                <w:rFonts w:cs="Calibri Light"/>
                <w:color w:val="000000"/>
                <w:sz w:val="18"/>
                <w:szCs w:val="18"/>
              </w:rPr>
              <w:t>1</w:t>
            </w:r>
            <w:r w:rsidR="00EF77D7">
              <w:rPr>
                <w:rFonts w:cs="Calibri Light"/>
                <w:color w:val="000000"/>
                <w:sz w:val="18"/>
                <w:szCs w:val="18"/>
              </w:rPr>
              <w:t>,</w:t>
            </w:r>
            <w:r w:rsidR="00440E9A">
              <w:rPr>
                <w:rFonts w:cs="Calibri Light"/>
                <w:color w:val="000000"/>
                <w:sz w:val="18"/>
                <w:szCs w:val="18"/>
              </w:rPr>
              <w:t>282</w:t>
            </w:r>
          </w:p>
          <w:p w14:paraId="2F081FFC" w14:textId="2F009EA2" w:rsidR="0095097B" w:rsidRPr="00EF77D7" w:rsidRDefault="000944F2" w:rsidP="00CE4528">
            <w:pPr>
              <w:spacing w:before="0" w:after="0"/>
              <w:rPr>
                <w:rFonts w:cs="Calibri Light"/>
                <w:color w:val="000000"/>
                <w:sz w:val="18"/>
                <w:szCs w:val="18"/>
              </w:rPr>
            </w:pPr>
            <w:r w:rsidRPr="006936E2">
              <w:rPr>
                <w:sz w:val="18"/>
                <w:szCs w:val="18"/>
              </w:rPr>
              <w:t>(</w:t>
            </w:r>
            <w:r w:rsidR="00EF77D7">
              <w:rPr>
                <w:rFonts w:cs="Calibri Light"/>
                <w:color w:val="000000"/>
                <w:sz w:val="18"/>
                <w:szCs w:val="18"/>
              </w:rPr>
              <w:t>2.7</w:t>
            </w:r>
            <w:r w:rsidR="00C95DEE">
              <w:rPr>
                <w:rFonts w:cs="Calibri Light"/>
                <w:color w:val="000000"/>
                <w:sz w:val="18"/>
                <w:szCs w:val="18"/>
              </w:rPr>
              <w:t>%)</w:t>
            </w:r>
          </w:p>
        </w:tc>
        <w:tc>
          <w:tcPr>
            <w:tcW w:w="833" w:type="pct"/>
          </w:tcPr>
          <w:p w14:paraId="3CF6D5DB" w14:textId="1BD4DAA5" w:rsidR="008B7F53" w:rsidRDefault="008B7F53" w:rsidP="008B7F53">
            <w:pPr>
              <w:spacing w:before="0" w:after="0"/>
              <w:rPr>
                <w:rFonts w:cs="Calibri Light"/>
                <w:color w:val="000000"/>
                <w:sz w:val="18"/>
                <w:szCs w:val="18"/>
              </w:rPr>
            </w:pPr>
            <w:r>
              <w:rPr>
                <w:rFonts w:cs="Calibri Light"/>
                <w:color w:val="000000"/>
                <w:sz w:val="18"/>
                <w:szCs w:val="18"/>
              </w:rPr>
              <w:t>1,1</w:t>
            </w:r>
            <w:r w:rsidR="00440E9A">
              <w:rPr>
                <w:rFonts w:cs="Calibri Light"/>
                <w:color w:val="000000"/>
                <w:sz w:val="18"/>
                <w:szCs w:val="18"/>
              </w:rPr>
              <w:t>08</w:t>
            </w:r>
          </w:p>
          <w:p w14:paraId="65BFC1D0" w14:textId="0F928490" w:rsidR="0095097B" w:rsidRPr="008B7F53" w:rsidRDefault="000944F2" w:rsidP="008B7F53">
            <w:pPr>
              <w:spacing w:before="0" w:after="0"/>
              <w:rPr>
                <w:rFonts w:cs="Calibri Light"/>
                <w:color w:val="000000"/>
                <w:sz w:val="18"/>
                <w:szCs w:val="18"/>
              </w:rPr>
            </w:pPr>
            <w:r w:rsidRPr="006936E2">
              <w:rPr>
                <w:sz w:val="18"/>
                <w:szCs w:val="18"/>
              </w:rPr>
              <w:t>(</w:t>
            </w:r>
            <w:r w:rsidR="008B7F53">
              <w:rPr>
                <w:rFonts w:cs="Calibri Light"/>
                <w:color w:val="000000"/>
                <w:sz w:val="18"/>
                <w:szCs w:val="18"/>
              </w:rPr>
              <w:t>2.3</w:t>
            </w:r>
            <w:r w:rsidR="00C95DEE">
              <w:rPr>
                <w:rFonts w:cs="Calibri Light"/>
                <w:color w:val="000000"/>
                <w:sz w:val="18"/>
                <w:szCs w:val="18"/>
              </w:rPr>
              <w:t>%)</w:t>
            </w:r>
          </w:p>
        </w:tc>
        <w:tc>
          <w:tcPr>
            <w:tcW w:w="833" w:type="pct"/>
          </w:tcPr>
          <w:p w14:paraId="713E7922" w14:textId="4D71D3DC" w:rsidR="00CE4528" w:rsidRPr="0058135C" w:rsidRDefault="00CE4528" w:rsidP="00CE4528">
            <w:pPr>
              <w:spacing w:before="0" w:after="0"/>
              <w:rPr>
                <w:color w:val="000000"/>
                <w:sz w:val="18"/>
              </w:rPr>
            </w:pPr>
            <w:r w:rsidRPr="0058135C">
              <w:rPr>
                <w:color w:val="000000"/>
                <w:sz w:val="18"/>
              </w:rPr>
              <w:t>1</w:t>
            </w:r>
            <w:r w:rsidR="00E94B6B">
              <w:rPr>
                <w:color w:val="000000"/>
                <w:sz w:val="18"/>
              </w:rPr>
              <w:t>,322</w:t>
            </w:r>
          </w:p>
          <w:p w14:paraId="087B3C68" w14:textId="45786590" w:rsidR="0095097B" w:rsidRDefault="006936E2" w:rsidP="004455DF">
            <w:pPr>
              <w:pStyle w:val="TableTextLeft"/>
              <w:spacing w:before="0" w:after="0"/>
            </w:pPr>
            <w:r w:rsidRPr="006936E2">
              <w:rPr>
                <w:szCs w:val="18"/>
              </w:rPr>
              <w:t>(</w:t>
            </w:r>
            <w:r w:rsidR="00CE4528" w:rsidRPr="0058135C">
              <w:t>2.8</w:t>
            </w:r>
            <w:r w:rsidR="00C95DEE">
              <w:t>%)</w:t>
            </w:r>
          </w:p>
        </w:tc>
      </w:tr>
      <w:tr w:rsidR="0095097B" w14:paraId="40467216" w14:textId="77777777" w:rsidTr="005E685B">
        <w:trPr>
          <w:trHeight w:val="270"/>
        </w:trPr>
        <w:tc>
          <w:tcPr>
            <w:tcW w:w="834" w:type="pct"/>
          </w:tcPr>
          <w:p w14:paraId="0E3322CF" w14:textId="77777777" w:rsidR="0095097B" w:rsidRDefault="0095097B">
            <w:pPr>
              <w:pStyle w:val="TableTextLeft"/>
            </w:pPr>
            <w:r>
              <w:t>Retail OTC derivative issuers</w:t>
            </w:r>
          </w:p>
        </w:tc>
        <w:tc>
          <w:tcPr>
            <w:tcW w:w="834" w:type="pct"/>
          </w:tcPr>
          <w:p w14:paraId="761C79D9"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3C16C2D4" w14:textId="3D7B691A" w:rsidR="0095097B" w:rsidRDefault="007D1FEB" w:rsidP="009E7F90">
            <w:pPr>
              <w:pStyle w:val="TableTextLeft"/>
              <w:spacing w:before="0" w:after="0"/>
            </w:pPr>
            <w:r>
              <w:t>(4.8%)</w:t>
            </w:r>
          </w:p>
        </w:tc>
        <w:tc>
          <w:tcPr>
            <w:tcW w:w="833" w:type="pct"/>
          </w:tcPr>
          <w:p w14:paraId="43697663" w14:textId="5DBED906" w:rsidR="005F2530" w:rsidRPr="005F2530" w:rsidRDefault="005F2530" w:rsidP="005F2530">
            <w:pPr>
              <w:spacing w:before="0" w:after="0"/>
              <w:rPr>
                <w:color w:val="000000"/>
                <w:sz w:val="18"/>
              </w:rPr>
            </w:pPr>
            <w:r w:rsidRPr="005F2530">
              <w:rPr>
                <w:color w:val="000000"/>
                <w:sz w:val="18"/>
              </w:rPr>
              <w:t>2</w:t>
            </w:r>
            <w:r w:rsidR="00E94B6B">
              <w:rPr>
                <w:color w:val="000000"/>
                <w:sz w:val="18"/>
              </w:rPr>
              <w:t>31</w:t>
            </w:r>
          </w:p>
          <w:p w14:paraId="503D22E5" w14:textId="049E163F" w:rsidR="0095097B" w:rsidRDefault="000944F2" w:rsidP="004455DF">
            <w:pPr>
              <w:pStyle w:val="TableTextLeft"/>
              <w:spacing w:before="0" w:after="0"/>
            </w:pPr>
            <w:r>
              <w:t>(</w:t>
            </w:r>
            <w:r w:rsidR="00CE4528">
              <w:t>0.</w:t>
            </w:r>
            <w:r w:rsidR="00CC4F27">
              <w:t>5</w:t>
            </w:r>
            <w:r w:rsidR="00C95DEE">
              <w:t>%)</w:t>
            </w:r>
          </w:p>
        </w:tc>
        <w:tc>
          <w:tcPr>
            <w:tcW w:w="833" w:type="pct"/>
          </w:tcPr>
          <w:p w14:paraId="43DE8B42" w14:textId="5E5294D6" w:rsidR="00EF77D7" w:rsidRDefault="00EF77D7" w:rsidP="00EF77D7">
            <w:pPr>
              <w:spacing w:before="0" w:after="0"/>
              <w:rPr>
                <w:rFonts w:cs="Calibri Light"/>
                <w:color w:val="000000"/>
                <w:sz w:val="18"/>
                <w:szCs w:val="18"/>
              </w:rPr>
            </w:pPr>
            <w:r>
              <w:rPr>
                <w:rFonts w:cs="Calibri Light"/>
                <w:color w:val="000000"/>
                <w:sz w:val="18"/>
              </w:rPr>
              <w:t>3</w:t>
            </w:r>
            <w:r w:rsidR="00E94B6B">
              <w:rPr>
                <w:rFonts w:cs="Calibri Light"/>
                <w:color w:val="000000"/>
                <w:sz w:val="18"/>
              </w:rPr>
              <w:t>3</w:t>
            </w:r>
          </w:p>
          <w:p w14:paraId="547089E6" w14:textId="2A3869DA" w:rsidR="0095097B" w:rsidRPr="00EF77D7" w:rsidRDefault="00357FCC" w:rsidP="00CE4528">
            <w:pPr>
              <w:spacing w:before="0" w:after="0"/>
              <w:rPr>
                <w:rFonts w:cs="Calibri Light"/>
                <w:color w:val="000000"/>
                <w:sz w:val="18"/>
                <w:szCs w:val="18"/>
              </w:rPr>
            </w:pPr>
            <w:r w:rsidRPr="008C1E4B">
              <w:rPr>
                <w:rFonts w:cs="Calibri Light"/>
                <w:color w:val="000000"/>
                <w:sz w:val="18"/>
                <w:szCs w:val="18"/>
              </w:rPr>
              <w:t>(&lt;0.1%)</w:t>
            </w:r>
          </w:p>
        </w:tc>
        <w:tc>
          <w:tcPr>
            <w:tcW w:w="833" w:type="pct"/>
          </w:tcPr>
          <w:p w14:paraId="44FAF778" w14:textId="406A721E" w:rsidR="008B7F53" w:rsidRDefault="00E47086" w:rsidP="008B7F53">
            <w:pPr>
              <w:spacing w:before="0" w:after="0"/>
              <w:rPr>
                <w:rFonts w:cs="Calibri Light"/>
                <w:color w:val="000000"/>
                <w:sz w:val="18"/>
                <w:szCs w:val="18"/>
              </w:rPr>
            </w:pPr>
            <w:r>
              <w:rPr>
                <w:rFonts w:cs="Calibri Light"/>
                <w:color w:val="000000"/>
                <w:sz w:val="18"/>
                <w:szCs w:val="18"/>
              </w:rPr>
              <w:t>2</w:t>
            </w:r>
          </w:p>
          <w:p w14:paraId="7C672D2B" w14:textId="11D60359" w:rsidR="0095097B" w:rsidRPr="008B7F53" w:rsidRDefault="00357FCC" w:rsidP="008B7F53">
            <w:pPr>
              <w:spacing w:before="0" w:after="0"/>
              <w:rPr>
                <w:rFonts w:cs="Calibri Light"/>
                <w:color w:val="000000"/>
                <w:sz w:val="18"/>
                <w:szCs w:val="18"/>
              </w:rPr>
            </w:pPr>
            <w:r w:rsidRPr="008C1E4B">
              <w:rPr>
                <w:rFonts w:cs="Calibri Light"/>
                <w:color w:val="000000"/>
                <w:sz w:val="18"/>
                <w:szCs w:val="18"/>
              </w:rPr>
              <w:t>(&lt;0.1%)</w:t>
            </w:r>
          </w:p>
        </w:tc>
        <w:tc>
          <w:tcPr>
            <w:tcW w:w="833" w:type="pct"/>
          </w:tcPr>
          <w:p w14:paraId="71368BDD" w14:textId="0A4556A2" w:rsidR="00CE4528" w:rsidRPr="0058135C" w:rsidRDefault="00CE4528" w:rsidP="00CE4528">
            <w:pPr>
              <w:spacing w:before="0" w:after="0"/>
              <w:rPr>
                <w:color w:val="000000"/>
                <w:sz w:val="18"/>
              </w:rPr>
            </w:pPr>
            <w:r w:rsidRPr="0058135C">
              <w:rPr>
                <w:color w:val="000000"/>
                <w:sz w:val="18"/>
              </w:rPr>
              <w:t>1</w:t>
            </w:r>
            <w:r w:rsidR="00E94B6B">
              <w:rPr>
                <w:color w:val="000000"/>
                <w:sz w:val="18"/>
              </w:rPr>
              <w:t>,298</w:t>
            </w:r>
          </w:p>
          <w:p w14:paraId="1D3CCB0D" w14:textId="04BC9453" w:rsidR="0095097B" w:rsidRDefault="006936E2" w:rsidP="004455DF">
            <w:pPr>
              <w:pStyle w:val="TableTextLeft"/>
              <w:spacing w:before="0" w:after="0"/>
            </w:pPr>
            <w:r w:rsidRPr="006936E2">
              <w:rPr>
                <w:szCs w:val="18"/>
              </w:rPr>
              <w:t>(</w:t>
            </w:r>
            <w:r w:rsidR="00CE4528" w:rsidRPr="0058135C">
              <w:t>2.7</w:t>
            </w:r>
            <w:r w:rsidR="00C95DEE">
              <w:t>%)</w:t>
            </w:r>
          </w:p>
        </w:tc>
      </w:tr>
      <w:tr w:rsidR="0095097B" w14:paraId="5D2CCE1C" w14:textId="77777777" w:rsidTr="005E685B">
        <w:trPr>
          <w:trHeight w:val="270"/>
        </w:trPr>
        <w:tc>
          <w:tcPr>
            <w:tcW w:w="5000" w:type="pct"/>
            <w:gridSpan w:val="6"/>
            <w:shd w:val="clear" w:color="auto" w:fill="F2F2F2" w:themeFill="background1" w:themeFillShade="F2"/>
          </w:tcPr>
          <w:p w14:paraId="699390F4" w14:textId="77777777" w:rsidR="0095097B" w:rsidRPr="0064108A" w:rsidRDefault="0095097B">
            <w:pPr>
              <w:pStyle w:val="TableTextLeft"/>
              <w:keepNext/>
              <w:rPr>
                <w:b/>
              </w:rPr>
            </w:pPr>
            <w:r w:rsidRPr="0064108A">
              <w:rPr>
                <w:b/>
                <w:bCs/>
              </w:rPr>
              <w:t>Financial advice sector</w:t>
            </w:r>
          </w:p>
        </w:tc>
      </w:tr>
      <w:tr w:rsidR="0095097B" w14:paraId="70A65316" w14:textId="77777777" w:rsidTr="005E685B">
        <w:trPr>
          <w:trHeight w:val="270"/>
        </w:trPr>
        <w:tc>
          <w:tcPr>
            <w:tcW w:w="834" w:type="pct"/>
          </w:tcPr>
          <w:p w14:paraId="1AEBF07A" w14:textId="77777777" w:rsidR="0095097B" w:rsidRPr="0064108A" w:rsidRDefault="0095097B">
            <w:pPr>
              <w:pStyle w:val="TableTextLeft"/>
              <w:rPr>
                <w:b/>
                <w:bCs/>
              </w:rPr>
            </w:pPr>
            <w:r>
              <w:t>Licensees that provide personal advice to retail clients on relevant financial products</w:t>
            </w:r>
          </w:p>
        </w:tc>
        <w:tc>
          <w:tcPr>
            <w:tcW w:w="834" w:type="pct"/>
          </w:tcPr>
          <w:p w14:paraId="55FD678E"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71380D20" w14:textId="757A9C62" w:rsidR="0095097B" w:rsidRDefault="007D1FEB" w:rsidP="009E7F90">
            <w:pPr>
              <w:pStyle w:val="TableTextLeft"/>
              <w:spacing w:before="0" w:after="0"/>
            </w:pPr>
            <w:r>
              <w:t>(4.8%)</w:t>
            </w:r>
          </w:p>
        </w:tc>
        <w:tc>
          <w:tcPr>
            <w:tcW w:w="833" w:type="pct"/>
          </w:tcPr>
          <w:p w14:paraId="49A1F85F" w14:textId="444CD44A" w:rsidR="005F2530" w:rsidRPr="005F2530" w:rsidRDefault="00CC4E7F" w:rsidP="005F2530">
            <w:pPr>
              <w:spacing w:before="0" w:after="0"/>
              <w:rPr>
                <w:color w:val="000000"/>
                <w:sz w:val="18"/>
              </w:rPr>
            </w:pPr>
            <w:r>
              <w:rPr>
                <w:color w:val="000000"/>
                <w:sz w:val="18"/>
              </w:rPr>
              <w:t>7,846</w:t>
            </w:r>
          </w:p>
          <w:p w14:paraId="0E5C74CC" w14:textId="4A612C4C" w:rsidR="0095097B" w:rsidRDefault="006936E2" w:rsidP="004455DF">
            <w:pPr>
              <w:pStyle w:val="TableTextLeft"/>
              <w:spacing w:before="0" w:after="0"/>
            </w:pPr>
            <w:r w:rsidRPr="006936E2">
              <w:rPr>
                <w:szCs w:val="18"/>
              </w:rPr>
              <w:t>(</w:t>
            </w:r>
            <w:r w:rsidR="00CE4528">
              <w:t>1</w:t>
            </w:r>
            <w:r w:rsidR="00BE17BF">
              <w:t>6.</w:t>
            </w:r>
            <w:r w:rsidR="00CC4F27">
              <w:t>6</w:t>
            </w:r>
            <w:r w:rsidR="00C95DEE">
              <w:t>%)</w:t>
            </w:r>
          </w:p>
        </w:tc>
        <w:tc>
          <w:tcPr>
            <w:tcW w:w="833" w:type="pct"/>
          </w:tcPr>
          <w:p w14:paraId="48FC0163" w14:textId="37B2364D" w:rsidR="00EF77D7" w:rsidRDefault="00EF77D7" w:rsidP="00EF77D7">
            <w:pPr>
              <w:spacing w:before="0" w:after="0"/>
              <w:rPr>
                <w:rFonts w:cs="Calibri Light"/>
                <w:color w:val="000000"/>
                <w:sz w:val="18"/>
                <w:szCs w:val="18"/>
              </w:rPr>
            </w:pPr>
            <w:r>
              <w:rPr>
                <w:rFonts w:cs="Calibri Light"/>
                <w:color w:val="000000"/>
                <w:sz w:val="18"/>
                <w:szCs w:val="18"/>
              </w:rPr>
              <w:t>9</w:t>
            </w:r>
            <w:r w:rsidR="00CC4E7F">
              <w:rPr>
                <w:rFonts w:cs="Calibri Light"/>
                <w:color w:val="000000"/>
                <w:sz w:val="18"/>
                <w:szCs w:val="18"/>
              </w:rPr>
              <w:t>10</w:t>
            </w:r>
          </w:p>
          <w:p w14:paraId="0BF96671" w14:textId="227E8B44" w:rsidR="0095097B" w:rsidRPr="00EF77D7" w:rsidRDefault="006936E2" w:rsidP="00CE4528">
            <w:pPr>
              <w:spacing w:before="0" w:after="0"/>
              <w:rPr>
                <w:rFonts w:cs="Calibri Light"/>
                <w:color w:val="000000"/>
                <w:sz w:val="18"/>
                <w:szCs w:val="18"/>
              </w:rPr>
            </w:pPr>
            <w:r w:rsidRPr="006936E2">
              <w:rPr>
                <w:sz w:val="18"/>
                <w:szCs w:val="18"/>
              </w:rPr>
              <w:t>(</w:t>
            </w:r>
            <w:r w:rsidR="00EF77D7">
              <w:rPr>
                <w:rFonts w:cs="Calibri Light"/>
                <w:color w:val="000000"/>
                <w:sz w:val="18"/>
                <w:szCs w:val="18"/>
              </w:rPr>
              <w:t>1.9</w:t>
            </w:r>
            <w:r w:rsidR="00C95DEE">
              <w:rPr>
                <w:rFonts w:cs="Calibri Light"/>
                <w:color w:val="000000"/>
                <w:sz w:val="18"/>
                <w:szCs w:val="18"/>
              </w:rPr>
              <w:t>%)</w:t>
            </w:r>
          </w:p>
        </w:tc>
        <w:tc>
          <w:tcPr>
            <w:tcW w:w="833" w:type="pct"/>
          </w:tcPr>
          <w:p w14:paraId="009783D8" w14:textId="3D482744" w:rsidR="00F83D60" w:rsidRDefault="00F83D60" w:rsidP="00F83D60">
            <w:pPr>
              <w:spacing w:before="0" w:after="0"/>
              <w:rPr>
                <w:rFonts w:cs="Calibri Light"/>
                <w:color w:val="000000"/>
                <w:sz w:val="18"/>
                <w:szCs w:val="18"/>
              </w:rPr>
            </w:pPr>
            <w:r>
              <w:rPr>
                <w:rFonts w:cs="Calibri Light"/>
                <w:color w:val="000000"/>
                <w:sz w:val="18"/>
                <w:szCs w:val="18"/>
              </w:rPr>
              <w:t>9</w:t>
            </w:r>
            <w:r w:rsidR="00CC4E7F">
              <w:rPr>
                <w:rFonts w:cs="Calibri Light"/>
                <w:color w:val="000000"/>
                <w:sz w:val="18"/>
                <w:szCs w:val="18"/>
              </w:rPr>
              <w:t>15</w:t>
            </w:r>
          </w:p>
          <w:p w14:paraId="79DBB698" w14:textId="3C55DEAE" w:rsidR="0095097B" w:rsidRPr="00F83D60" w:rsidRDefault="006936E2" w:rsidP="00F83D60">
            <w:pPr>
              <w:spacing w:before="0" w:after="0"/>
              <w:rPr>
                <w:rFonts w:cs="Calibri Light"/>
                <w:color w:val="000000"/>
                <w:sz w:val="18"/>
                <w:szCs w:val="18"/>
              </w:rPr>
            </w:pPr>
            <w:r w:rsidRPr="006936E2">
              <w:rPr>
                <w:sz w:val="18"/>
                <w:szCs w:val="18"/>
              </w:rPr>
              <w:t>(</w:t>
            </w:r>
            <w:r w:rsidR="00F83D60">
              <w:rPr>
                <w:rFonts w:cs="Calibri Light"/>
                <w:color w:val="000000"/>
                <w:sz w:val="18"/>
                <w:szCs w:val="18"/>
              </w:rPr>
              <w:t>1.9</w:t>
            </w:r>
            <w:r w:rsidR="00C95DEE">
              <w:rPr>
                <w:rFonts w:cs="Calibri Light"/>
                <w:color w:val="000000"/>
                <w:sz w:val="18"/>
                <w:szCs w:val="18"/>
              </w:rPr>
              <w:t>%)</w:t>
            </w:r>
          </w:p>
        </w:tc>
        <w:tc>
          <w:tcPr>
            <w:tcW w:w="833" w:type="pct"/>
          </w:tcPr>
          <w:p w14:paraId="324B214E" w14:textId="14A60E2F" w:rsidR="00CE4528" w:rsidRPr="0058135C" w:rsidRDefault="002C1C41" w:rsidP="00CE4528">
            <w:pPr>
              <w:spacing w:before="0" w:after="0"/>
              <w:rPr>
                <w:color w:val="000000"/>
                <w:sz w:val="18"/>
              </w:rPr>
            </w:pPr>
            <w:r>
              <w:rPr>
                <w:color w:val="000000"/>
                <w:sz w:val="18"/>
              </w:rPr>
              <w:t>11,510</w:t>
            </w:r>
          </w:p>
          <w:p w14:paraId="7CF8D23C" w14:textId="406A04CF" w:rsidR="0095097B" w:rsidRDefault="006936E2" w:rsidP="004455DF">
            <w:pPr>
              <w:pStyle w:val="TableTextLeft"/>
              <w:spacing w:before="0" w:after="0"/>
            </w:pPr>
            <w:r w:rsidRPr="006936E2">
              <w:rPr>
                <w:szCs w:val="18"/>
              </w:rPr>
              <w:t>(</w:t>
            </w:r>
            <w:r w:rsidR="00CE4528" w:rsidRPr="0058135C">
              <w:t>24.3</w:t>
            </w:r>
            <w:r w:rsidR="00C95DEE">
              <w:t>%)</w:t>
            </w:r>
          </w:p>
        </w:tc>
      </w:tr>
      <w:tr w:rsidR="0095097B" w14:paraId="77375394" w14:textId="77777777" w:rsidTr="005E685B">
        <w:trPr>
          <w:trHeight w:val="270"/>
        </w:trPr>
        <w:tc>
          <w:tcPr>
            <w:tcW w:w="834" w:type="pct"/>
          </w:tcPr>
          <w:p w14:paraId="37CE669B" w14:textId="77777777" w:rsidR="0095097B" w:rsidRDefault="0095097B">
            <w:pPr>
              <w:pStyle w:val="TableTextLeft"/>
            </w:pPr>
            <w:r>
              <w:t>Licensees that provide personal advice to retail clients on products that are not relevant financial products</w:t>
            </w:r>
          </w:p>
        </w:tc>
        <w:tc>
          <w:tcPr>
            <w:tcW w:w="834" w:type="pct"/>
          </w:tcPr>
          <w:p w14:paraId="4E2353FB"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20144B60" w14:textId="3C5997BB" w:rsidR="0095097B" w:rsidRDefault="007D1FEB" w:rsidP="009E7F90">
            <w:pPr>
              <w:pStyle w:val="TableTextLeft"/>
              <w:spacing w:before="0" w:after="0"/>
            </w:pPr>
            <w:r>
              <w:t>(4.8%)</w:t>
            </w:r>
          </w:p>
        </w:tc>
        <w:tc>
          <w:tcPr>
            <w:tcW w:w="833" w:type="pct"/>
          </w:tcPr>
          <w:p w14:paraId="6699431D" w14:textId="228CCD4F" w:rsidR="005F2530" w:rsidRPr="005F2530" w:rsidRDefault="005F2530" w:rsidP="005F2530">
            <w:pPr>
              <w:spacing w:before="0" w:after="0"/>
              <w:rPr>
                <w:color w:val="000000"/>
                <w:sz w:val="18"/>
              </w:rPr>
            </w:pPr>
            <w:r w:rsidRPr="005F2530">
              <w:rPr>
                <w:color w:val="000000"/>
                <w:sz w:val="18"/>
              </w:rPr>
              <w:t>1,</w:t>
            </w:r>
            <w:r w:rsidR="002C1C41">
              <w:rPr>
                <w:color w:val="000000"/>
                <w:sz w:val="18"/>
              </w:rPr>
              <w:t>654</w:t>
            </w:r>
          </w:p>
          <w:p w14:paraId="459C5367" w14:textId="742AAC66" w:rsidR="0095097B" w:rsidRDefault="006936E2" w:rsidP="004455DF">
            <w:pPr>
              <w:pStyle w:val="TableTextLeft"/>
              <w:spacing w:before="0" w:after="0"/>
            </w:pPr>
            <w:r w:rsidRPr="006936E2">
              <w:rPr>
                <w:szCs w:val="18"/>
              </w:rPr>
              <w:t>(</w:t>
            </w:r>
            <w:r w:rsidR="00CE4528">
              <w:t>3.</w:t>
            </w:r>
            <w:r w:rsidR="006A200F">
              <w:t>5</w:t>
            </w:r>
            <w:r w:rsidR="00395B6B">
              <w:t>%)</w:t>
            </w:r>
          </w:p>
        </w:tc>
        <w:tc>
          <w:tcPr>
            <w:tcW w:w="833" w:type="pct"/>
          </w:tcPr>
          <w:p w14:paraId="1A1427F5" w14:textId="2C0D3D3E" w:rsidR="00EF77D7" w:rsidRDefault="00EF77D7" w:rsidP="00EF77D7">
            <w:pPr>
              <w:spacing w:before="0" w:after="0"/>
              <w:rPr>
                <w:rFonts w:cs="Calibri Light"/>
                <w:color w:val="000000"/>
                <w:sz w:val="18"/>
                <w:szCs w:val="18"/>
              </w:rPr>
            </w:pPr>
            <w:r>
              <w:rPr>
                <w:rFonts w:cs="Calibri Light"/>
                <w:color w:val="000000"/>
                <w:sz w:val="18"/>
              </w:rPr>
              <w:t>1,</w:t>
            </w:r>
            <w:r w:rsidR="002C1C41">
              <w:rPr>
                <w:rFonts w:cs="Calibri Light"/>
                <w:color w:val="000000"/>
                <w:sz w:val="18"/>
              </w:rPr>
              <w:t>395</w:t>
            </w:r>
          </w:p>
          <w:p w14:paraId="193872BB" w14:textId="03D53626" w:rsidR="0095097B" w:rsidRPr="00EF77D7" w:rsidRDefault="006936E2" w:rsidP="00CE4528">
            <w:pPr>
              <w:spacing w:before="0" w:after="0"/>
              <w:rPr>
                <w:rFonts w:cs="Calibri Light"/>
                <w:color w:val="000000"/>
                <w:sz w:val="18"/>
                <w:szCs w:val="18"/>
              </w:rPr>
            </w:pPr>
            <w:r w:rsidRPr="006936E2">
              <w:rPr>
                <w:sz w:val="18"/>
                <w:szCs w:val="18"/>
              </w:rPr>
              <w:t>(</w:t>
            </w:r>
            <w:r w:rsidR="00CC4F27">
              <w:rPr>
                <w:sz w:val="18"/>
                <w:szCs w:val="18"/>
              </w:rPr>
              <w:t>3.0</w:t>
            </w:r>
            <w:r w:rsidR="00395B6B">
              <w:rPr>
                <w:rFonts w:cs="Calibri Light"/>
                <w:color w:val="000000"/>
                <w:sz w:val="18"/>
                <w:szCs w:val="18"/>
              </w:rPr>
              <w:t>%)</w:t>
            </w:r>
          </w:p>
        </w:tc>
        <w:tc>
          <w:tcPr>
            <w:tcW w:w="833" w:type="pct"/>
          </w:tcPr>
          <w:p w14:paraId="00AFC8A8" w14:textId="3E204DAF" w:rsidR="00F83D60" w:rsidRDefault="00F83D60" w:rsidP="00F83D60">
            <w:pPr>
              <w:spacing w:before="0" w:after="0"/>
              <w:rPr>
                <w:rFonts w:cs="Calibri Light"/>
                <w:color w:val="000000"/>
                <w:sz w:val="18"/>
                <w:szCs w:val="18"/>
              </w:rPr>
            </w:pPr>
            <w:r>
              <w:rPr>
                <w:rFonts w:cs="Calibri Light"/>
                <w:color w:val="000000"/>
                <w:sz w:val="18"/>
                <w:szCs w:val="18"/>
              </w:rPr>
              <w:t>7</w:t>
            </w:r>
            <w:r w:rsidR="002C1C41">
              <w:rPr>
                <w:rFonts w:cs="Calibri Light"/>
                <w:color w:val="000000"/>
                <w:sz w:val="18"/>
                <w:szCs w:val="18"/>
              </w:rPr>
              <w:t>16</w:t>
            </w:r>
          </w:p>
          <w:p w14:paraId="25964162" w14:textId="4ED3BD51" w:rsidR="0095097B" w:rsidRPr="00F83D60" w:rsidRDefault="006936E2" w:rsidP="00F83D60">
            <w:pPr>
              <w:spacing w:before="0" w:after="0"/>
              <w:rPr>
                <w:rFonts w:cs="Calibri Light"/>
                <w:color w:val="000000"/>
                <w:sz w:val="18"/>
                <w:szCs w:val="18"/>
              </w:rPr>
            </w:pPr>
            <w:r w:rsidRPr="006936E2">
              <w:rPr>
                <w:sz w:val="18"/>
                <w:szCs w:val="18"/>
              </w:rPr>
              <w:t>(</w:t>
            </w:r>
            <w:r w:rsidR="00F83D60">
              <w:rPr>
                <w:rFonts w:cs="Calibri Light"/>
                <w:color w:val="000000"/>
                <w:sz w:val="18"/>
                <w:szCs w:val="18"/>
              </w:rPr>
              <w:t>1.5</w:t>
            </w:r>
            <w:r w:rsidR="00395B6B">
              <w:rPr>
                <w:rFonts w:cs="Calibri Light"/>
                <w:color w:val="000000"/>
                <w:sz w:val="18"/>
                <w:szCs w:val="18"/>
              </w:rPr>
              <w:t>%)</w:t>
            </w:r>
          </w:p>
        </w:tc>
        <w:tc>
          <w:tcPr>
            <w:tcW w:w="833" w:type="pct"/>
          </w:tcPr>
          <w:p w14:paraId="2A4F60F8" w14:textId="6CC180A9" w:rsidR="00CE4528" w:rsidRPr="0058135C" w:rsidRDefault="00CE4528" w:rsidP="00CE4528">
            <w:pPr>
              <w:spacing w:before="0" w:after="0"/>
              <w:rPr>
                <w:color w:val="000000"/>
                <w:sz w:val="18"/>
              </w:rPr>
            </w:pPr>
            <w:r w:rsidRPr="0058135C">
              <w:rPr>
                <w:color w:val="000000"/>
                <w:sz w:val="18"/>
              </w:rPr>
              <w:t>2</w:t>
            </w:r>
            <w:r w:rsidR="002C1C41">
              <w:rPr>
                <w:color w:val="000000"/>
                <w:sz w:val="18"/>
              </w:rPr>
              <w:t>3</w:t>
            </w:r>
          </w:p>
          <w:p w14:paraId="10571117" w14:textId="4AFC7F78" w:rsidR="0095097B" w:rsidRDefault="00357FCC" w:rsidP="004455DF">
            <w:pPr>
              <w:pStyle w:val="TableTextLeft"/>
              <w:spacing w:before="0" w:after="0"/>
            </w:pPr>
            <w:r w:rsidRPr="008C1E4B">
              <w:rPr>
                <w:rFonts w:cs="Calibri Light"/>
                <w:szCs w:val="18"/>
              </w:rPr>
              <w:t>(&lt;0.1%)</w:t>
            </w:r>
          </w:p>
        </w:tc>
      </w:tr>
      <w:tr w:rsidR="0095097B" w14:paraId="20678E5D" w14:textId="77777777" w:rsidTr="005E685B">
        <w:trPr>
          <w:trHeight w:val="270"/>
        </w:trPr>
        <w:tc>
          <w:tcPr>
            <w:tcW w:w="834" w:type="pct"/>
          </w:tcPr>
          <w:p w14:paraId="208E45C2" w14:textId="77777777" w:rsidR="0095097B" w:rsidRDefault="0095097B">
            <w:pPr>
              <w:pStyle w:val="TableTextLeft"/>
            </w:pPr>
            <w:r>
              <w:t>Licensees that provide general advice only</w:t>
            </w:r>
          </w:p>
        </w:tc>
        <w:tc>
          <w:tcPr>
            <w:tcW w:w="834" w:type="pct"/>
          </w:tcPr>
          <w:p w14:paraId="0785C973"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458263CA" w14:textId="328E0470" w:rsidR="0095097B" w:rsidRDefault="007D1FEB" w:rsidP="009E7F90">
            <w:pPr>
              <w:pStyle w:val="TableTextLeft"/>
              <w:spacing w:before="0" w:after="0"/>
            </w:pPr>
            <w:r>
              <w:t>(4.8%)</w:t>
            </w:r>
          </w:p>
        </w:tc>
        <w:tc>
          <w:tcPr>
            <w:tcW w:w="833" w:type="pct"/>
          </w:tcPr>
          <w:p w14:paraId="6BC551BF" w14:textId="07F28FAF" w:rsidR="005F2530" w:rsidRPr="005F2530" w:rsidRDefault="003B5AE8" w:rsidP="005F2530">
            <w:pPr>
              <w:spacing w:before="0" w:after="0"/>
              <w:rPr>
                <w:color w:val="000000"/>
                <w:sz w:val="18"/>
              </w:rPr>
            </w:pPr>
            <w:r>
              <w:rPr>
                <w:color w:val="000000"/>
                <w:sz w:val="18"/>
              </w:rPr>
              <w:t>2,907</w:t>
            </w:r>
          </w:p>
          <w:p w14:paraId="363B0B49" w14:textId="50492BF8" w:rsidR="0095097B" w:rsidRDefault="006936E2" w:rsidP="004455DF">
            <w:pPr>
              <w:pStyle w:val="TableTextLeft"/>
              <w:spacing w:before="0" w:after="0"/>
            </w:pPr>
            <w:r w:rsidRPr="006936E2">
              <w:rPr>
                <w:szCs w:val="18"/>
              </w:rPr>
              <w:t>(</w:t>
            </w:r>
            <w:r w:rsidR="00CE4528">
              <w:t>6.</w:t>
            </w:r>
            <w:r w:rsidR="00CC4F27">
              <w:t>2</w:t>
            </w:r>
            <w:r w:rsidR="00395B6B">
              <w:t>%)</w:t>
            </w:r>
          </w:p>
        </w:tc>
        <w:tc>
          <w:tcPr>
            <w:tcW w:w="833" w:type="pct"/>
          </w:tcPr>
          <w:p w14:paraId="0BFD01F3" w14:textId="03876E89" w:rsidR="00EF77D7" w:rsidRDefault="00EF77D7" w:rsidP="00EF77D7">
            <w:pPr>
              <w:spacing w:before="0" w:after="0"/>
              <w:rPr>
                <w:rFonts w:cs="Calibri Light"/>
                <w:color w:val="000000"/>
                <w:sz w:val="18"/>
                <w:szCs w:val="18"/>
              </w:rPr>
            </w:pPr>
            <w:r>
              <w:rPr>
                <w:rFonts w:cs="Calibri Light"/>
                <w:color w:val="000000"/>
                <w:sz w:val="18"/>
              </w:rPr>
              <w:t>1,</w:t>
            </w:r>
            <w:r w:rsidR="003B5AE8">
              <w:rPr>
                <w:rFonts w:cs="Calibri Light"/>
                <w:color w:val="000000"/>
                <w:sz w:val="18"/>
              </w:rPr>
              <w:t>281</w:t>
            </w:r>
          </w:p>
          <w:p w14:paraId="122CAD43" w14:textId="35949E13" w:rsidR="0095097B" w:rsidRPr="00EF77D7" w:rsidRDefault="006936E2" w:rsidP="00CE4528">
            <w:pPr>
              <w:spacing w:before="0" w:after="0"/>
              <w:rPr>
                <w:rFonts w:cs="Calibri Light"/>
                <w:color w:val="000000"/>
                <w:sz w:val="18"/>
                <w:szCs w:val="18"/>
              </w:rPr>
            </w:pPr>
            <w:r w:rsidRPr="006936E2">
              <w:rPr>
                <w:sz w:val="18"/>
                <w:szCs w:val="18"/>
              </w:rPr>
              <w:t>(</w:t>
            </w:r>
            <w:r w:rsidR="00EF77D7">
              <w:rPr>
                <w:rFonts w:cs="Calibri Light"/>
                <w:color w:val="000000"/>
                <w:sz w:val="18"/>
                <w:szCs w:val="18"/>
              </w:rPr>
              <w:t>2.7</w:t>
            </w:r>
            <w:r w:rsidR="00395B6B">
              <w:rPr>
                <w:rFonts w:cs="Calibri Light"/>
                <w:color w:val="000000"/>
                <w:sz w:val="18"/>
                <w:szCs w:val="18"/>
              </w:rPr>
              <w:t>%)</w:t>
            </w:r>
          </w:p>
        </w:tc>
        <w:tc>
          <w:tcPr>
            <w:tcW w:w="833" w:type="pct"/>
          </w:tcPr>
          <w:p w14:paraId="46F97B12" w14:textId="5723CEAE" w:rsidR="00F83D60" w:rsidRDefault="00F83D60" w:rsidP="00F83D60">
            <w:pPr>
              <w:spacing w:before="0" w:after="0"/>
              <w:rPr>
                <w:rFonts w:cs="Calibri Light"/>
                <w:color w:val="000000"/>
                <w:sz w:val="18"/>
                <w:szCs w:val="18"/>
              </w:rPr>
            </w:pPr>
            <w:r>
              <w:rPr>
                <w:rFonts w:cs="Calibri Light"/>
                <w:color w:val="000000"/>
                <w:sz w:val="18"/>
                <w:szCs w:val="18"/>
              </w:rPr>
              <w:t>1,</w:t>
            </w:r>
            <w:r w:rsidR="002C1C41">
              <w:rPr>
                <w:rFonts w:cs="Calibri Light"/>
                <w:color w:val="000000"/>
                <w:sz w:val="18"/>
                <w:szCs w:val="18"/>
              </w:rPr>
              <w:t>286</w:t>
            </w:r>
          </w:p>
          <w:p w14:paraId="56FFB097" w14:textId="33014A32" w:rsidR="0095097B" w:rsidRPr="00F83D60" w:rsidRDefault="006936E2" w:rsidP="00F83D60">
            <w:pPr>
              <w:spacing w:before="0" w:after="0"/>
              <w:rPr>
                <w:rFonts w:cs="Calibri Light"/>
                <w:color w:val="000000"/>
                <w:sz w:val="18"/>
                <w:szCs w:val="18"/>
              </w:rPr>
            </w:pPr>
            <w:r w:rsidRPr="006936E2">
              <w:rPr>
                <w:sz w:val="18"/>
                <w:szCs w:val="18"/>
              </w:rPr>
              <w:t>(</w:t>
            </w:r>
            <w:r w:rsidR="00F83D60">
              <w:rPr>
                <w:rFonts w:cs="Calibri Light"/>
                <w:color w:val="000000"/>
                <w:sz w:val="18"/>
                <w:szCs w:val="18"/>
              </w:rPr>
              <w:t>2.7</w:t>
            </w:r>
            <w:r w:rsidR="00395B6B">
              <w:rPr>
                <w:rFonts w:cs="Calibri Light"/>
                <w:color w:val="000000"/>
                <w:sz w:val="18"/>
                <w:szCs w:val="18"/>
              </w:rPr>
              <w:t>%)</w:t>
            </w:r>
          </w:p>
        </w:tc>
        <w:tc>
          <w:tcPr>
            <w:tcW w:w="833" w:type="pct"/>
          </w:tcPr>
          <w:p w14:paraId="5A989E27" w14:textId="62214A17" w:rsidR="00CE4528" w:rsidRPr="0058135C" w:rsidRDefault="00CE4528" w:rsidP="00CE4528">
            <w:pPr>
              <w:spacing w:before="0" w:after="0"/>
              <w:rPr>
                <w:color w:val="000000"/>
                <w:sz w:val="18"/>
              </w:rPr>
            </w:pPr>
            <w:r w:rsidRPr="0058135C">
              <w:rPr>
                <w:color w:val="000000"/>
                <w:sz w:val="18"/>
              </w:rPr>
              <w:t>7</w:t>
            </w:r>
            <w:r w:rsidR="002C1C41">
              <w:rPr>
                <w:color w:val="000000"/>
                <w:sz w:val="18"/>
              </w:rPr>
              <w:t>16</w:t>
            </w:r>
          </w:p>
          <w:p w14:paraId="2A26751C" w14:textId="390D4E76" w:rsidR="0095097B" w:rsidRDefault="006936E2" w:rsidP="004455DF">
            <w:pPr>
              <w:pStyle w:val="TableTextLeft"/>
              <w:spacing w:before="0" w:after="0"/>
            </w:pPr>
            <w:r w:rsidRPr="006936E2">
              <w:rPr>
                <w:szCs w:val="18"/>
              </w:rPr>
              <w:t>(</w:t>
            </w:r>
            <w:r w:rsidR="00CE4528" w:rsidRPr="0058135C">
              <w:t>1.5</w:t>
            </w:r>
            <w:r w:rsidR="00395B6B">
              <w:t>%)</w:t>
            </w:r>
          </w:p>
        </w:tc>
      </w:tr>
      <w:tr w:rsidR="0095097B" w14:paraId="3F6DED43" w14:textId="77777777" w:rsidTr="005E685B">
        <w:trPr>
          <w:trHeight w:val="270"/>
        </w:trPr>
        <w:tc>
          <w:tcPr>
            <w:tcW w:w="5000" w:type="pct"/>
            <w:gridSpan w:val="6"/>
            <w:shd w:val="clear" w:color="auto" w:fill="F2F2F2" w:themeFill="background1" w:themeFillShade="F2"/>
          </w:tcPr>
          <w:p w14:paraId="3FCD3B6F" w14:textId="77777777" w:rsidR="0095097B" w:rsidRPr="0051100D" w:rsidRDefault="0095097B">
            <w:pPr>
              <w:pStyle w:val="TableTextLeft"/>
              <w:keepNext/>
              <w:rPr>
                <w:b/>
              </w:rPr>
            </w:pPr>
            <w:r w:rsidRPr="0051100D">
              <w:rPr>
                <w:b/>
                <w:bCs/>
              </w:rPr>
              <w:t>Insurance sector</w:t>
            </w:r>
          </w:p>
        </w:tc>
      </w:tr>
      <w:tr w:rsidR="0095097B" w14:paraId="5AC07F15" w14:textId="77777777" w:rsidTr="005E685B">
        <w:trPr>
          <w:trHeight w:val="270"/>
        </w:trPr>
        <w:tc>
          <w:tcPr>
            <w:tcW w:w="834" w:type="pct"/>
          </w:tcPr>
          <w:p w14:paraId="7733F84E" w14:textId="77777777" w:rsidR="0095097B" w:rsidRPr="0051100D" w:rsidRDefault="0095097B">
            <w:pPr>
              <w:pStyle w:val="TableTextLeft"/>
              <w:rPr>
                <w:b/>
                <w:bCs/>
              </w:rPr>
            </w:pPr>
            <w:r>
              <w:t>Insurance product providers</w:t>
            </w:r>
          </w:p>
        </w:tc>
        <w:tc>
          <w:tcPr>
            <w:tcW w:w="834" w:type="pct"/>
          </w:tcPr>
          <w:p w14:paraId="30A79B33"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1B02692D" w14:textId="28F9B863" w:rsidR="0095097B" w:rsidRDefault="007D1FEB" w:rsidP="009E7F90">
            <w:pPr>
              <w:pStyle w:val="TableTextLeft"/>
              <w:spacing w:before="0"/>
            </w:pPr>
            <w:r>
              <w:t>(4.8%)</w:t>
            </w:r>
          </w:p>
        </w:tc>
        <w:tc>
          <w:tcPr>
            <w:tcW w:w="833" w:type="pct"/>
          </w:tcPr>
          <w:p w14:paraId="2B9BE118" w14:textId="06D7B82D" w:rsidR="005F2530" w:rsidRPr="005F2530" w:rsidRDefault="003B5AE8" w:rsidP="005F2530">
            <w:pPr>
              <w:spacing w:before="0" w:after="0"/>
              <w:rPr>
                <w:color w:val="000000"/>
                <w:sz w:val="18"/>
              </w:rPr>
            </w:pPr>
            <w:r>
              <w:rPr>
                <w:color w:val="000000"/>
                <w:sz w:val="18"/>
              </w:rPr>
              <w:t>293</w:t>
            </w:r>
          </w:p>
          <w:p w14:paraId="4689A030" w14:textId="7E4786F7" w:rsidR="0095097B" w:rsidRDefault="0007601F" w:rsidP="004455DF">
            <w:pPr>
              <w:pStyle w:val="TableTextLeft"/>
              <w:spacing w:before="0" w:after="0"/>
            </w:pPr>
            <w:r w:rsidRPr="0007601F">
              <w:rPr>
                <w:szCs w:val="18"/>
              </w:rPr>
              <w:t>(</w:t>
            </w:r>
            <w:r w:rsidR="00CE4528">
              <w:t>0.6</w:t>
            </w:r>
            <w:r w:rsidR="00395B6B">
              <w:t>%)</w:t>
            </w:r>
          </w:p>
        </w:tc>
        <w:tc>
          <w:tcPr>
            <w:tcW w:w="833" w:type="pct"/>
          </w:tcPr>
          <w:p w14:paraId="7B931566" w14:textId="7D28995D" w:rsidR="00EF77D7" w:rsidRDefault="00EF77D7" w:rsidP="00EF77D7">
            <w:pPr>
              <w:spacing w:before="0" w:after="0"/>
              <w:rPr>
                <w:rFonts w:cs="Calibri Light"/>
                <w:color w:val="000000"/>
                <w:sz w:val="18"/>
                <w:szCs w:val="18"/>
              </w:rPr>
            </w:pPr>
            <w:r>
              <w:rPr>
                <w:rFonts w:cs="Calibri Light"/>
                <w:color w:val="000000"/>
                <w:sz w:val="18"/>
                <w:szCs w:val="18"/>
              </w:rPr>
              <w:t>2,</w:t>
            </w:r>
            <w:r w:rsidR="00EB5DAC">
              <w:rPr>
                <w:rFonts w:cs="Calibri Light"/>
                <w:color w:val="000000"/>
                <w:sz w:val="18"/>
                <w:szCs w:val="18"/>
              </w:rPr>
              <w:t>354</w:t>
            </w:r>
          </w:p>
          <w:p w14:paraId="28D33E29" w14:textId="12CAC567" w:rsidR="0095097B" w:rsidRPr="00EF77D7" w:rsidRDefault="0007601F" w:rsidP="00CE4528">
            <w:pPr>
              <w:spacing w:before="0" w:after="0"/>
              <w:rPr>
                <w:rFonts w:cs="Calibri Light"/>
                <w:color w:val="000000"/>
                <w:sz w:val="18"/>
                <w:szCs w:val="18"/>
              </w:rPr>
            </w:pPr>
            <w:r w:rsidRPr="0007601F">
              <w:rPr>
                <w:sz w:val="18"/>
                <w:szCs w:val="18"/>
              </w:rPr>
              <w:t>(</w:t>
            </w:r>
            <w:r w:rsidR="00CC4F27">
              <w:rPr>
                <w:sz w:val="18"/>
                <w:szCs w:val="18"/>
              </w:rPr>
              <w:t>5.0</w:t>
            </w:r>
            <w:r w:rsidR="00395B6B">
              <w:rPr>
                <w:rFonts w:cs="Calibri Light"/>
                <w:color w:val="000000"/>
                <w:sz w:val="18"/>
                <w:szCs w:val="18"/>
              </w:rPr>
              <w:t>%)</w:t>
            </w:r>
          </w:p>
        </w:tc>
        <w:tc>
          <w:tcPr>
            <w:tcW w:w="833" w:type="pct"/>
          </w:tcPr>
          <w:p w14:paraId="43C45EF5" w14:textId="25AE1C51" w:rsidR="00F83D60" w:rsidRDefault="00F83D60" w:rsidP="00F83D60">
            <w:pPr>
              <w:spacing w:before="0" w:after="0"/>
              <w:rPr>
                <w:rFonts w:cs="Calibri Light"/>
                <w:color w:val="000000"/>
                <w:sz w:val="18"/>
                <w:szCs w:val="18"/>
              </w:rPr>
            </w:pPr>
            <w:r>
              <w:rPr>
                <w:rFonts w:cs="Calibri Light"/>
                <w:color w:val="000000"/>
                <w:sz w:val="18"/>
                <w:szCs w:val="18"/>
              </w:rPr>
              <w:t>1,</w:t>
            </w:r>
            <w:r w:rsidR="00EB5DAC">
              <w:rPr>
                <w:rFonts w:cs="Calibri Light"/>
                <w:color w:val="000000"/>
                <w:sz w:val="18"/>
                <w:szCs w:val="18"/>
              </w:rPr>
              <w:t>608</w:t>
            </w:r>
          </w:p>
          <w:p w14:paraId="4B0473E0" w14:textId="068CB908" w:rsidR="0095097B" w:rsidRPr="00F83D60" w:rsidRDefault="0007601F" w:rsidP="00F83D60">
            <w:pPr>
              <w:spacing w:before="0" w:after="0"/>
              <w:rPr>
                <w:rFonts w:cs="Calibri Light"/>
                <w:color w:val="000000"/>
                <w:sz w:val="18"/>
                <w:szCs w:val="18"/>
              </w:rPr>
            </w:pPr>
            <w:r w:rsidRPr="0007601F">
              <w:rPr>
                <w:sz w:val="18"/>
                <w:szCs w:val="18"/>
              </w:rPr>
              <w:t>(</w:t>
            </w:r>
            <w:r w:rsidR="00F83D60">
              <w:rPr>
                <w:rFonts w:cs="Calibri Light"/>
                <w:color w:val="000000"/>
                <w:sz w:val="18"/>
                <w:szCs w:val="18"/>
              </w:rPr>
              <w:t>3.4</w:t>
            </w:r>
            <w:r w:rsidR="00395B6B">
              <w:rPr>
                <w:rFonts w:cs="Calibri Light"/>
                <w:color w:val="000000"/>
                <w:sz w:val="18"/>
                <w:szCs w:val="18"/>
              </w:rPr>
              <w:t>%)</w:t>
            </w:r>
          </w:p>
        </w:tc>
        <w:tc>
          <w:tcPr>
            <w:tcW w:w="833" w:type="pct"/>
          </w:tcPr>
          <w:p w14:paraId="0AE42EB6" w14:textId="51346E3F" w:rsidR="00CE4528" w:rsidRPr="0058135C" w:rsidRDefault="00EB5DAC" w:rsidP="00CE4528">
            <w:pPr>
              <w:spacing w:before="0" w:after="0"/>
              <w:rPr>
                <w:color w:val="000000"/>
                <w:sz w:val="18"/>
              </w:rPr>
            </w:pPr>
            <w:r>
              <w:rPr>
                <w:color w:val="000000"/>
                <w:sz w:val="18"/>
              </w:rPr>
              <w:t>2,878</w:t>
            </w:r>
          </w:p>
          <w:p w14:paraId="04DE2F12" w14:textId="63308E2E" w:rsidR="0095097B" w:rsidRDefault="0007601F" w:rsidP="004455DF">
            <w:pPr>
              <w:pStyle w:val="TableTextLeft"/>
              <w:spacing w:before="0" w:after="0"/>
            </w:pPr>
            <w:r w:rsidRPr="0007601F">
              <w:rPr>
                <w:szCs w:val="18"/>
              </w:rPr>
              <w:t>(</w:t>
            </w:r>
            <w:r w:rsidR="00CE4528" w:rsidRPr="0058135C">
              <w:t>6.</w:t>
            </w:r>
            <w:r w:rsidR="00CC4F27">
              <w:t>1</w:t>
            </w:r>
            <w:r w:rsidR="00395B6B">
              <w:t>%)</w:t>
            </w:r>
          </w:p>
        </w:tc>
      </w:tr>
      <w:tr w:rsidR="0095097B" w14:paraId="34E81D23" w14:textId="77777777" w:rsidTr="005E685B">
        <w:trPr>
          <w:trHeight w:val="270"/>
        </w:trPr>
        <w:tc>
          <w:tcPr>
            <w:tcW w:w="834" w:type="pct"/>
          </w:tcPr>
          <w:p w14:paraId="25D835A7" w14:textId="77777777" w:rsidR="0095097B" w:rsidRDefault="0095097B">
            <w:pPr>
              <w:pStyle w:val="TableTextLeft"/>
            </w:pPr>
            <w:r>
              <w:t>Insurance product distributors</w:t>
            </w:r>
          </w:p>
        </w:tc>
        <w:tc>
          <w:tcPr>
            <w:tcW w:w="834" w:type="pct"/>
          </w:tcPr>
          <w:p w14:paraId="374496E9"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73EC1919" w14:textId="5D5E4734" w:rsidR="0095097B" w:rsidRDefault="007D1FEB" w:rsidP="009E7F90">
            <w:pPr>
              <w:pStyle w:val="TableTextLeft"/>
              <w:spacing w:before="0"/>
            </w:pPr>
            <w:r>
              <w:t>(4.8%)</w:t>
            </w:r>
          </w:p>
        </w:tc>
        <w:tc>
          <w:tcPr>
            <w:tcW w:w="833" w:type="pct"/>
          </w:tcPr>
          <w:p w14:paraId="0B5C3B11" w14:textId="52407638" w:rsidR="005F2530" w:rsidRPr="005F2530" w:rsidRDefault="002C3CE8" w:rsidP="005F2530">
            <w:pPr>
              <w:spacing w:before="0" w:after="0"/>
              <w:rPr>
                <w:color w:val="000000"/>
                <w:sz w:val="18"/>
              </w:rPr>
            </w:pPr>
            <w:r>
              <w:rPr>
                <w:color w:val="000000"/>
                <w:sz w:val="18"/>
              </w:rPr>
              <w:t>8,718</w:t>
            </w:r>
          </w:p>
          <w:p w14:paraId="438BDBED" w14:textId="18F14DDF" w:rsidR="0095097B" w:rsidRDefault="0007601F" w:rsidP="004455DF">
            <w:pPr>
              <w:pStyle w:val="TableTextLeft"/>
              <w:spacing w:before="0" w:after="0"/>
            </w:pPr>
            <w:r w:rsidRPr="0007601F">
              <w:rPr>
                <w:szCs w:val="18"/>
              </w:rPr>
              <w:t>(</w:t>
            </w:r>
            <w:r w:rsidR="00620675">
              <w:t>18.4</w:t>
            </w:r>
            <w:r w:rsidR="00395B6B">
              <w:t>%)</w:t>
            </w:r>
          </w:p>
        </w:tc>
        <w:tc>
          <w:tcPr>
            <w:tcW w:w="833" w:type="pct"/>
          </w:tcPr>
          <w:p w14:paraId="3A14634C" w14:textId="3D180E91" w:rsidR="00EF77D7" w:rsidRDefault="00EF77D7" w:rsidP="00EF77D7">
            <w:pPr>
              <w:spacing w:before="0" w:after="0"/>
              <w:rPr>
                <w:rFonts w:cs="Calibri Light"/>
                <w:color w:val="000000"/>
                <w:sz w:val="18"/>
                <w:szCs w:val="18"/>
              </w:rPr>
            </w:pPr>
            <w:r>
              <w:rPr>
                <w:rFonts w:cs="Calibri Light"/>
                <w:color w:val="000000"/>
                <w:sz w:val="18"/>
              </w:rPr>
              <w:t>3,</w:t>
            </w:r>
            <w:r w:rsidR="002C3CE8">
              <w:rPr>
                <w:rFonts w:cs="Calibri Light"/>
                <w:color w:val="000000"/>
                <w:sz w:val="18"/>
              </w:rPr>
              <w:t>143</w:t>
            </w:r>
          </w:p>
          <w:p w14:paraId="6780F913" w14:textId="595A51D0" w:rsidR="0095097B" w:rsidRPr="00EF77D7" w:rsidRDefault="0007601F" w:rsidP="00CE4528">
            <w:pPr>
              <w:spacing w:before="0" w:after="0"/>
              <w:rPr>
                <w:rFonts w:cs="Calibri Light"/>
                <w:color w:val="000000"/>
                <w:sz w:val="18"/>
                <w:szCs w:val="18"/>
              </w:rPr>
            </w:pPr>
            <w:r w:rsidRPr="0007601F">
              <w:rPr>
                <w:sz w:val="18"/>
                <w:szCs w:val="18"/>
              </w:rPr>
              <w:t>(</w:t>
            </w:r>
            <w:r w:rsidR="00EF77D7">
              <w:rPr>
                <w:rFonts w:cs="Calibri Light"/>
                <w:color w:val="000000"/>
                <w:sz w:val="18"/>
                <w:szCs w:val="18"/>
              </w:rPr>
              <w:t>6.</w:t>
            </w:r>
            <w:r w:rsidR="00CC4F27">
              <w:rPr>
                <w:rFonts w:cs="Calibri Light"/>
                <w:color w:val="000000"/>
                <w:sz w:val="18"/>
                <w:szCs w:val="18"/>
              </w:rPr>
              <w:t>7</w:t>
            </w:r>
            <w:r w:rsidR="00395B6B">
              <w:rPr>
                <w:rFonts w:cs="Calibri Light"/>
                <w:color w:val="000000"/>
                <w:sz w:val="18"/>
                <w:szCs w:val="18"/>
              </w:rPr>
              <w:t>%)</w:t>
            </w:r>
          </w:p>
        </w:tc>
        <w:tc>
          <w:tcPr>
            <w:tcW w:w="833" w:type="pct"/>
          </w:tcPr>
          <w:p w14:paraId="3350A4E7" w14:textId="0BBD65FE" w:rsidR="00F83D60" w:rsidRDefault="00F83D60" w:rsidP="00F83D60">
            <w:pPr>
              <w:spacing w:before="0" w:after="0"/>
              <w:rPr>
                <w:rFonts w:cs="Calibri Light"/>
                <w:color w:val="000000"/>
                <w:sz w:val="18"/>
                <w:szCs w:val="18"/>
              </w:rPr>
            </w:pPr>
            <w:r>
              <w:rPr>
                <w:rFonts w:cs="Calibri Light"/>
                <w:color w:val="000000"/>
                <w:sz w:val="18"/>
                <w:szCs w:val="18"/>
              </w:rPr>
              <w:t>3,</w:t>
            </w:r>
            <w:r w:rsidR="00EB5DAC">
              <w:rPr>
                <w:rFonts w:cs="Calibri Light"/>
                <w:color w:val="000000"/>
                <w:sz w:val="18"/>
                <w:szCs w:val="18"/>
              </w:rPr>
              <w:t>418</w:t>
            </w:r>
          </w:p>
          <w:p w14:paraId="59E02FE8" w14:textId="6CD08520" w:rsidR="0095097B" w:rsidRPr="00F83D60" w:rsidRDefault="0007601F" w:rsidP="00F83D60">
            <w:pPr>
              <w:spacing w:before="0" w:after="0"/>
              <w:rPr>
                <w:rFonts w:cs="Calibri Light"/>
                <w:color w:val="000000"/>
                <w:sz w:val="18"/>
                <w:szCs w:val="18"/>
              </w:rPr>
            </w:pPr>
            <w:r w:rsidRPr="0007601F">
              <w:rPr>
                <w:sz w:val="18"/>
                <w:szCs w:val="18"/>
              </w:rPr>
              <w:t>(</w:t>
            </w:r>
            <w:r w:rsidR="00F83D60">
              <w:rPr>
                <w:rFonts w:cs="Calibri Light"/>
                <w:color w:val="000000"/>
                <w:sz w:val="18"/>
                <w:szCs w:val="18"/>
              </w:rPr>
              <w:t>7.2</w:t>
            </w:r>
            <w:r w:rsidR="00395B6B">
              <w:rPr>
                <w:rFonts w:cs="Calibri Light"/>
                <w:color w:val="000000"/>
                <w:sz w:val="18"/>
                <w:szCs w:val="18"/>
              </w:rPr>
              <w:t>%)</w:t>
            </w:r>
          </w:p>
        </w:tc>
        <w:tc>
          <w:tcPr>
            <w:tcW w:w="833" w:type="pct"/>
          </w:tcPr>
          <w:p w14:paraId="3C7B0EDE" w14:textId="443AE28C" w:rsidR="00CE4528" w:rsidRPr="0058135C" w:rsidRDefault="00CE4528" w:rsidP="00CE4528">
            <w:pPr>
              <w:spacing w:before="0" w:after="0"/>
              <w:rPr>
                <w:color w:val="000000"/>
                <w:sz w:val="18"/>
              </w:rPr>
            </w:pPr>
            <w:r w:rsidRPr="0058135C">
              <w:rPr>
                <w:color w:val="000000"/>
                <w:sz w:val="18"/>
              </w:rPr>
              <w:t>2</w:t>
            </w:r>
            <w:r w:rsidR="00EB5DAC">
              <w:rPr>
                <w:color w:val="000000"/>
                <w:sz w:val="18"/>
              </w:rPr>
              <w:t>15</w:t>
            </w:r>
          </w:p>
          <w:p w14:paraId="089AC79A" w14:textId="3E6E024E" w:rsidR="0095097B" w:rsidRDefault="0007601F" w:rsidP="004455DF">
            <w:pPr>
              <w:pStyle w:val="TableTextLeft"/>
              <w:spacing w:before="0" w:after="0"/>
            </w:pPr>
            <w:r w:rsidRPr="0007601F">
              <w:rPr>
                <w:szCs w:val="18"/>
              </w:rPr>
              <w:t>(</w:t>
            </w:r>
            <w:r w:rsidR="00CE4528" w:rsidRPr="0058135C">
              <w:t>0.</w:t>
            </w:r>
            <w:r w:rsidR="00CC4F27">
              <w:t>5</w:t>
            </w:r>
            <w:r w:rsidR="00395B6B">
              <w:t>%)</w:t>
            </w:r>
          </w:p>
        </w:tc>
      </w:tr>
      <w:tr w:rsidR="0095097B" w14:paraId="1AF9D770" w14:textId="77777777" w:rsidTr="005E685B">
        <w:trPr>
          <w:trHeight w:val="270"/>
        </w:trPr>
        <w:tc>
          <w:tcPr>
            <w:tcW w:w="834" w:type="pct"/>
          </w:tcPr>
          <w:p w14:paraId="47B2986A" w14:textId="77777777" w:rsidR="0095097B" w:rsidRDefault="0095097B">
            <w:pPr>
              <w:pStyle w:val="TableTextLeft"/>
            </w:pPr>
            <w:r>
              <w:t>Risk management product providers</w:t>
            </w:r>
          </w:p>
        </w:tc>
        <w:tc>
          <w:tcPr>
            <w:tcW w:w="834" w:type="pct"/>
          </w:tcPr>
          <w:p w14:paraId="33055391"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43BEC4B5" w14:textId="6E63A6D5" w:rsidR="0095097B" w:rsidRDefault="007D1FEB" w:rsidP="009E7F90">
            <w:pPr>
              <w:pStyle w:val="TableTextLeft"/>
              <w:spacing w:before="0"/>
            </w:pPr>
            <w:r>
              <w:t>(4.8%)</w:t>
            </w:r>
          </w:p>
        </w:tc>
        <w:tc>
          <w:tcPr>
            <w:tcW w:w="833" w:type="pct"/>
          </w:tcPr>
          <w:p w14:paraId="13BBA93A" w14:textId="215642C5" w:rsidR="005F2530" w:rsidRPr="005F2530" w:rsidRDefault="005F2530" w:rsidP="005F2530">
            <w:pPr>
              <w:spacing w:before="0" w:after="0"/>
              <w:rPr>
                <w:color w:val="000000"/>
                <w:sz w:val="18"/>
              </w:rPr>
            </w:pPr>
            <w:r w:rsidRPr="005F2530">
              <w:rPr>
                <w:color w:val="000000"/>
                <w:sz w:val="18"/>
              </w:rPr>
              <w:t>1</w:t>
            </w:r>
            <w:r w:rsidR="002C3CE8">
              <w:rPr>
                <w:color w:val="000000"/>
                <w:sz w:val="18"/>
              </w:rPr>
              <w:t>38</w:t>
            </w:r>
          </w:p>
          <w:p w14:paraId="088D1AA4" w14:textId="59F63C37" w:rsidR="0095097B" w:rsidRDefault="0007601F" w:rsidP="004455DF">
            <w:pPr>
              <w:pStyle w:val="TableTextLeft"/>
              <w:spacing w:before="0" w:after="0"/>
            </w:pPr>
            <w:r w:rsidRPr="0007601F">
              <w:rPr>
                <w:szCs w:val="18"/>
              </w:rPr>
              <w:t>(</w:t>
            </w:r>
            <w:r w:rsidR="00CE4528">
              <w:t>0.</w:t>
            </w:r>
            <w:r w:rsidR="00CC4F27">
              <w:t>3</w:t>
            </w:r>
            <w:r w:rsidR="00395B6B">
              <w:t>%)</w:t>
            </w:r>
          </w:p>
        </w:tc>
        <w:tc>
          <w:tcPr>
            <w:tcW w:w="833" w:type="pct"/>
          </w:tcPr>
          <w:p w14:paraId="2108721F" w14:textId="71897CC5" w:rsidR="00EF77D7" w:rsidRDefault="00EF77D7" w:rsidP="00EF77D7">
            <w:pPr>
              <w:spacing w:before="0" w:after="0"/>
              <w:rPr>
                <w:rFonts w:cs="Calibri Light"/>
                <w:color w:val="000000"/>
                <w:sz w:val="18"/>
                <w:szCs w:val="18"/>
              </w:rPr>
            </w:pPr>
            <w:r>
              <w:rPr>
                <w:rFonts w:cs="Calibri Light"/>
                <w:color w:val="000000"/>
                <w:sz w:val="18"/>
              </w:rPr>
              <w:t>3</w:t>
            </w:r>
            <w:r w:rsidR="002C3CE8">
              <w:rPr>
                <w:rFonts w:cs="Calibri Light"/>
                <w:color w:val="000000"/>
                <w:sz w:val="18"/>
              </w:rPr>
              <w:t>2</w:t>
            </w:r>
          </w:p>
          <w:p w14:paraId="2843B29D" w14:textId="44A57B49" w:rsidR="0095097B" w:rsidRPr="00EF77D7" w:rsidRDefault="00357FCC" w:rsidP="00CE4528">
            <w:pPr>
              <w:spacing w:before="0" w:after="0"/>
              <w:rPr>
                <w:rFonts w:cs="Calibri Light"/>
                <w:color w:val="000000"/>
                <w:sz w:val="18"/>
                <w:szCs w:val="18"/>
              </w:rPr>
            </w:pPr>
            <w:r w:rsidRPr="008C1E4B">
              <w:rPr>
                <w:rFonts w:cs="Calibri Light"/>
                <w:color w:val="000000"/>
                <w:sz w:val="18"/>
                <w:szCs w:val="18"/>
              </w:rPr>
              <w:t>(&lt;0.1%)</w:t>
            </w:r>
          </w:p>
        </w:tc>
        <w:tc>
          <w:tcPr>
            <w:tcW w:w="833" w:type="pct"/>
          </w:tcPr>
          <w:p w14:paraId="1E2E82D4" w14:textId="0363AF7C" w:rsidR="00F83D60" w:rsidRDefault="00F83D60" w:rsidP="00F83D60">
            <w:pPr>
              <w:spacing w:before="0" w:after="0"/>
              <w:rPr>
                <w:rFonts w:cs="Calibri Light"/>
                <w:color w:val="000000"/>
                <w:sz w:val="18"/>
                <w:szCs w:val="18"/>
              </w:rPr>
            </w:pPr>
            <w:r>
              <w:rPr>
                <w:rFonts w:cs="Calibri Light"/>
                <w:color w:val="000000"/>
                <w:sz w:val="18"/>
                <w:szCs w:val="18"/>
              </w:rPr>
              <w:t>1</w:t>
            </w:r>
            <w:r w:rsidR="002C3CE8">
              <w:rPr>
                <w:rFonts w:cs="Calibri Light"/>
                <w:color w:val="000000"/>
                <w:sz w:val="18"/>
                <w:szCs w:val="18"/>
              </w:rPr>
              <w:t>1</w:t>
            </w:r>
          </w:p>
          <w:p w14:paraId="4827EAE1" w14:textId="1839D265" w:rsidR="0095097B" w:rsidRPr="00F83D60" w:rsidRDefault="00357FCC" w:rsidP="00F83D60">
            <w:pPr>
              <w:spacing w:before="0" w:after="0"/>
              <w:rPr>
                <w:rFonts w:cs="Calibri Light"/>
                <w:color w:val="000000"/>
                <w:sz w:val="18"/>
                <w:szCs w:val="18"/>
              </w:rPr>
            </w:pPr>
            <w:r w:rsidRPr="008C1E4B">
              <w:rPr>
                <w:rFonts w:cs="Calibri Light"/>
                <w:color w:val="000000"/>
                <w:sz w:val="18"/>
                <w:szCs w:val="18"/>
              </w:rPr>
              <w:t>(&lt;0.1%)</w:t>
            </w:r>
          </w:p>
        </w:tc>
        <w:tc>
          <w:tcPr>
            <w:tcW w:w="833" w:type="pct"/>
          </w:tcPr>
          <w:p w14:paraId="182F14C7" w14:textId="6C306BEC" w:rsidR="00CE4528" w:rsidRPr="0058135C" w:rsidRDefault="00CE4528" w:rsidP="00CE4528">
            <w:pPr>
              <w:spacing w:before="0" w:after="0"/>
              <w:rPr>
                <w:color w:val="000000"/>
                <w:sz w:val="18"/>
              </w:rPr>
            </w:pPr>
            <w:r w:rsidRPr="0058135C">
              <w:rPr>
                <w:color w:val="000000"/>
                <w:sz w:val="18"/>
              </w:rPr>
              <w:t>2</w:t>
            </w:r>
            <w:r w:rsidR="002C3CE8">
              <w:rPr>
                <w:color w:val="000000"/>
                <w:sz w:val="18"/>
              </w:rPr>
              <w:t>6</w:t>
            </w:r>
          </w:p>
          <w:p w14:paraId="3E6A9C45" w14:textId="7E33C211" w:rsidR="0095097B" w:rsidRDefault="00357FCC" w:rsidP="004455DF">
            <w:pPr>
              <w:pStyle w:val="TableTextLeft"/>
              <w:spacing w:before="0" w:after="0"/>
            </w:pPr>
            <w:r w:rsidRPr="008C1E4B">
              <w:rPr>
                <w:rFonts w:cs="Calibri Light"/>
                <w:szCs w:val="18"/>
              </w:rPr>
              <w:t>(&lt;0.1%)</w:t>
            </w:r>
          </w:p>
        </w:tc>
      </w:tr>
      <w:tr w:rsidR="0095097B" w14:paraId="29BCEB17" w14:textId="77777777" w:rsidTr="005E685B">
        <w:trPr>
          <w:trHeight w:val="270"/>
        </w:trPr>
        <w:tc>
          <w:tcPr>
            <w:tcW w:w="834" w:type="pct"/>
          </w:tcPr>
          <w:p w14:paraId="7DCAAB64" w14:textId="77777777" w:rsidR="0095097B" w:rsidRDefault="0095097B">
            <w:pPr>
              <w:pStyle w:val="TableTextLeft"/>
            </w:pPr>
            <w:r>
              <w:t>Claims handling and settling services providers</w:t>
            </w:r>
          </w:p>
        </w:tc>
        <w:tc>
          <w:tcPr>
            <w:tcW w:w="834" w:type="pct"/>
          </w:tcPr>
          <w:p w14:paraId="22CA671F" w14:textId="77777777" w:rsidR="007D1FEB" w:rsidRDefault="007D1FEB" w:rsidP="007D1FEB">
            <w:pPr>
              <w:spacing w:before="0" w:after="0"/>
              <w:rPr>
                <w:color w:val="000000"/>
                <w:sz w:val="18"/>
              </w:rPr>
            </w:pPr>
            <w:r w:rsidRPr="00D244F9">
              <w:rPr>
                <w:color w:val="000000"/>
                <w:sz w:val="18"/>
              </w:rPr>
              <w:t>2,</w:t>
            </w:r>
            <w:r>
              <w:rPr>
                <w:color w:val="000000"/>
                <w:sz w:val="18"/>
              </w:rPr>
              <w:t>252</w:t>
            </w:r>
          </w:p>
          <w:p w14:paraId="1418ED55" w14:textId="49E2D173" w:rsidR="0095097B" w:rsidRDefault="007D1FEB" w:rsidP="009E7F90">
            <w:pPr>
              <w:pStyle w:val="TableTextLeft"/>
              <w:spacing w:before="0" w:after="0"/>
            </w:pPr>
            <w:r>
              <w:t>(4.8%)</w:t>
            </w:r>
          </w:p>
        </w:tc>
        <w:tc>
          <w:tcPr>
            <w:tcW w:w="833" w:type="pct"/>
          </w:tcPr>
          <w:p w14:paraId="59EB3754" w14:textId="36106A21" w:rsidR="005F2530" w:rsidRPr="005F2530" w:rsidRDefault="002C3CE8" w:rsidP="005F2530">
            <w:pPr>
              <w:spacing w:before="0" w:after="0"/>
              <w:rPr>
                <w:color w:val="000000"/>
                <w:sz w:val="18"/>
              </w:rPr>
            </w:pPr>
            <w:r>
              <w:rPr>
                <w:color w:val="000000"/>
                <w:sz w:val="18"/>
              </w:rPr>
              <w:t>963</w:t>
            </w:r>
          </w:p>
          <w:p w14:paraId="1B55962C" w14:textId="59580420" w:rsidR="0095097B" w:rsidRDefault="0007601F" w:rsidP="004455DF">
            <w:pPr>
              <w:pStyle w:val="TableTextLeft"/>
              <w:spacing w:before="0" w:after="0"/>
            </w:pPr>
            <w:r w:rsidRPr="0007601F">
              <w:rPr>
                <w:szCs w:val="18"/>
              </w:rPr>
              <w:t>(</w:t>
            </w:r>
            <w:r w:rsidR="00CE4528">
              <w:t>2.</w:t>
            </w:r>
            <w:r w:rsidR="00845D4E">
              <w:t>0</w:t>
            </w:r>
            <w:r w:rsidR="00395B6B">
              <w:t>%)</w:t>
            </w:r>
          </w:p>
        </w:tc>
        <w:tc>
          <w:tcPr>
            <w:tcW w:w="833" w:type="pct"/>
          </w:tcPr>
          <w:p w14:paraId="28039840" w14:textId="0CC5B108" w:rsidR="00EF77D7" w:rsidRDefault="002C3CE8" w:rsidP="00EF77D7">
            <w:pPr>
              <w:spacing w:before="0" w:after="0"/>
              <w:rPr>
                <w:rFonts w:cs="Calibri Light"/>
                <w:color w:val="000000"/>
                <w:sz w:val="18"/>
                <w:szCs w:val="18"/>
              </w:rPr>
            </w:pPr>
            <w:r>
              <w:rPr>
                <w:rFonts w:cs="Calibri Light"/>
                <w:color w:val="000000"/>
                <w:sz w:val="18"/>
              </w:rPr>
              <w:t>959</w:t>
            </w:r>
          </w:p>
          <w:p w14:paraId="3D6EC39E" w14:textId="43C5F6B7" w:rsidR="0095097B" w:rsidRPr="00EF77D7" w:rsidRDefault="0007601F" w:rsidP="00CE4528">
            <w:pPr>
              <w:spacing w:before="0" w:after="0"/>
              <w:rPr>
                <w:rFonts w:cs="Calibri Light"/>
                <w:color w:val="000000"/>
                <w:sz w:val="18"/>
                <w:szCs w:val="18"/>
              </w:rPr>
            </w:pPr>
            <w:r w:rsidRPr="0007601F">
              <w:rPr>
                <w:sz w:val="18"/>
                <w:szCs w:val="18"/>
              </w:rPr>
              <w:t>(</w:t>
            </w:r>
            <w:r w:rsidR="00EF77D7">
              <w:rPr>
                <w:rFonts w:cs="Calibri Light"/>
                <w:color w:val="000000"/>
                <w:sz w:val="18"/>
                <w:szCs w:val="18"/>
              </w:rPr>
              <w:t>2.0</w:t>
            </w:r>
            <w:r w:rsidR="00395B6B">
              <w:rPr>
                <w:rFonts w:cs="Calibri Light"/>
                <w:color w:val="000000"/>
                <w:sz w:val="18"/>
                <w:szCs w:val="18"/>
              </w:rPr>
              <w:t>%)</w:t>
            </w:r>
          </w:p>
        </w:tc>
        <w:tc>
          <w:tcPr>
            <w:tcW w:w="833" w:type="pct"/>
          </w:tcPr>
          <w:p w14:paraId="0C2C628F" w14:textId="53B918BD" w:rsidR="00F83D60" w:rsidRDefault="00F83D60" w:rsidP="00F83D60">
            <w:pPr>
              <w:spacing w:before="0" w:after="0"/>
              <w:rPr>
                <w:rFonts w:cs="Calibri Light"/>
                <w:color w:val="000000"/>
                <w:sz w:val="18"/>
                <w:szCs w:val="18"/>
              </w:rPr>
            </w:pPr>
            <w:r>
              <w:rPr>
                <w:rFonts w:cs="Calibri Light"/>
                <w:color w:val="000000"/>
                <w:sz w:val="18"/>
                <w:szCs w:val="18"/>
              </w:rPr>
              <w:t>2</w:t>
            </w:r>
            <w:r w:rsidR="002C3CE8">
              <w:rPr>
                <w:rFonts w:cs="Calibri Light"/>
                <w:color w:val="000000"/>
                <w:sz w:val="18"/>
                <w:szCs w:val="18"/>
              </w:rPr>
              <w:t>35</w:t>
            </w:r>
          </w:p>
          <w:p w14:paraId="5D534FA0" w14:textId="5D7F7FA5" w:rsidR="0095097B" w:rsidRPr="00F83D60" w:rsidRDefault="0007601F" w:rsidP="00F83D60">
            <w:pPr>
              <w:spacing w:before="0" w:after="0"/>
              <w:rPr>
                <w:rFonts w:cs="Calibri Light"/>
                <w:color w:val="000000"/>
                <w:sz w:val="18"/>
                <w:szCs w:val="18"/>
              </w:rPr>
            </w:pPr>
            <w:r w:rsidRPr="0007601F">
              <w:rPr>
                <w:sz w:val="18"/>
                <w:szCs w:val="18"/>
              </w:rPr>
              <w:t>(</w:t>
            </w:r>
            <w:r w:rsidR="00F83D60">
              <w:rPr>
                <w:rFonts w:cs="Calibri Light"/>
                <w:color w:val="000000"/>
                <w:sz w:val="18"/>
                <w:szCs w:val="18"/>
              </w:rPr>
              <w:t>0.5</w:t>
            </w:r>
            <w:r w:rsidR="00395B6B">
              <w:rPr>
                <w:rFonts w:cs="Calibri Light"/>
                <w:color w:val="000000"/>
                <w:sz w:val="18"/>
                <w:szCs w:val="18"/>
              </w:rPr>
              <w:t>%)</w:t>
            </w:r>
          </w:p>
        </w:tc>
        <w:tc>
          <w:tcPr>
            <w:tcW w:w="833" w:type="pct"/>
          </w:tcPr>
          <w:p w14:paraId="77BE7213" w14:textId="78AE8821" w:rsidR="00CE4528" w:rsidRPr="0058135C" w:rsidRDefault="00CE4528" w:rsidP="00CE4528">
            <w:pPr>
              <w:spacing w:before="0" w:after="0"/>
              <w:rPr>
                <w:color w:val="000000"/>
                <w:sz w:val="18"/>
              </w:rPr>
            </w:pPr>
            <w:r w:rsidRPr="0058135C">
              <w:rPr>
                <w:color w:val="000000"/>
                <w:sz w:val="18"/>
              </w:rPr>
              <w:t>1,</w:t>
            </w:r>
            <w:r w:rsidR="002C3CE8">
              <w:rPr>
                <w:color w:val="000000"/>
                <w:sz w:val="18"/>
              </w:rPr>
              <w:t>765</w:t>
            </w:r>
          </w:p>
          <w:p w14:paraId="6022950D" w14:textId="469316B8" w:rsidR="0095097B" w:rsidRDefault="0007601F" w:rsidP="004455DF">
            <w:pPr>
              <w:pStyle w:val="TableTextLeft"/>
              <w:spacing w:before="0" w:after="0"/>
            </w:pPr>
            <w:r w:rsidRPr="0007601F">
              <w:rPr>
                <w:szCs w:val="18"/>
              </w:rPr>
              <w:t>(</w:t>
            </w:r>
            <w:r w:rsidR="00CE4528" w:rsidRPr="0058135C">
              <w:t>3.7</w:t>
            </w:r>
            <w:r w:rsidR="00395B6B">
              <w:t>%)</w:t>
            </w:r>
          </w:p>
        </w:tc>
      </w:tr>
    </w:tbl>
    <w:p w14:paraId="08870055" w14:textId="77777777" w:rsidR="0095097B" w:rsidRPr="0095097B" w:rsidRDefault="0095097B" w:rsidP="002B48F3">
      <w:pPr>
        <w:spacing w:before="0" w:after="0"/>
      </w:pPr>
    </w:p>
    <w:p w14:paraId="23A0D1BE" w14:textId="175CED3D" w:rsidR="000715B6" w:rsidRPr="0095097B" w:rsidRDefault="000715B6" w:rsidP="000715B6">
      <w:pPr>
        <w:pStyle w:val="ChartMainHeading"/>
      </w:pPr>
      <w:bookmarkStart w:id="29" w:name="_Toc202542348"/>
      <w:r w:rsidRPr="000F436E">
        <w:lastRenderedPageBreak/>
        <w:t xml:space="preserve">Chart B1: </w:t>
      </w:r>
      <w:r w:rsidR="004F3A88" w:rsidRPr="000F436E">
        <w:t xml:space="preserve">Distribution of </w:t>
      </w:r>
      <w:r w:rsidR="00EA4181" w:rsidRPr="000F436E">
        <w:t xml:space="preserve">special levy </w:t>
      </w:r>
      <w:r w:rsidR="004F3A88" w:rsidRPr="000F436E">
        <w:t>spreading options by ASIC IFM sector</w:t>
      </w:r>
      <w:bookmarkEnd w:id="29"/>
    </w:p>
    <w:p w14:paraId="187EB562" w14:textId="3ECB7829" w:rsidR="004F3A88" w:rsidRPr="004F3A88" w:rsidRDefault="000F436E" w:rsidP="009B0B98">
      <w:pPr>
        <w:pStyle w:val="ChartGraphic"/>
        <w:keepNext w:val="0"/>
      </w:pPr>
      <w:r>
        <w:rPr>
          <w:noProof/>
        </w:rPr>
        <w:drawing>
          <wp:inline distT="0" distB="0" distL="0" distR="0" wp14:anchorId="1ECD843B" wp14:editId="67E31F87">
            <wp:extent cx="8720254" cy="5319132"/>
            <wp:effectExtent l="0" t="0" r="5080" b="15240"/>
            <wp:docPr id="581038467" name="Chart 1" descr="Chart B1 is a bar graph which shows the financial impact of special levy spreading options by ASIC IFM sector. The x-axis represents five spreading methods: spread equally, spread by population, spread by revenue, spread by profit, and spread by regulatory effort. The y-axis represents the amount in dollars ranging from $0 to $50,000,000. Each bar is divided into five segments representing different financial sectors: market intermediaries (light blue), investment management and superannuation (mint green), insurance (blue), financial advice (green), and deposit taking and credit (dark blue). The graph shows that the methodology for how the levy is spread does significantly impact the levy each ASIC IFM sector would pay. ">
              <a:extLst xmlns:a="http://schemas.openxmlformats.org/drawingml/2006/main">
                <a:ext uri="{FF2B5EF4-FFF2-40B4-BE49-F238E27FC236}">
                  <a16:creationId xmlns:a16="http://schemas.microsoft.com/office/drawing/2014/main" id="{71CABC41-A9EF-50B7-4B07-B452402265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631A70A" w14:textId="1E7E5F7D" w:rsidR="00FA6E59" w:rsidRDefault="00FA6E59" w:rsidP="009B0B98">
      <w:pPr>
        <w:pStyle w:val="TableMainHeading"/>
        <w:pageBreakBefore/>
      </w:pPr>
      <w:bookmarkStart w:id="30" w:name="_Toc202542349"/>
      <w:r>
        <w:lastRenderedPageBreak/>
        <w:t>Table B</w:t>
      </w:r>
      <w:r w:rsidR="003455C4">
        <w:t>2</w:t>
      </w:r>
      <w:r>
        <w:t xml:space="preserve">: </w:t>
      </w:r>
      <w:r w:rsidR="0096729F">
        <w:t>Estimated</w:t>
      </w:r>
      <w:r w:rsidR="00C37BFA">
        <w:t xml:space="preserve"> </w:t>
      </w:r>
      <w:r w:rsidR="00854693">
        <w:t xml:space="preserve">graduated </w:t>
      </w:r>
      <w:r w:rsidR="00C37BFA">
        <w:t>lev</w:t>
      </w:r>
      <w:r w:rsidR="00854693">
        <w:t>y component (or flat levy)</w:t>
      </w:r>
      <w:r w:rsidR="00C37BFA">
        <w:t xml:space="preserve"> by </w:t>
      </w:r>
      <w:r w:rsidR="00E30392">
        <w:t>sub</w:t>
      </w:r>
      <w:r w:rsidR="00E30392">
        <w:noBreakHyphen/>
        <w:t>sector under spreading options</w:t>
      </w:r>
      <w:bookmarkEnd w:id="30"/>
    </w:p>
    <w:tbl>
      <w:tblPr>
        <w:tblW w:w="5000" w:type="pct"/>
        <w:tblLook w:val="01E0" w:firstRow="1" w:lastRow="1" w:firstColumn="1" w:lastColumn="1" w:noHBand="0" w:noVBand="0"/>
        <w:tblCaption w:val="Table B2: Estimated graduated levy component (or flat levy) by sub sector under spreading options"/>
      </w:tblPr>
      <w:tblGrid>
        <w:gridCol w:w="2264"/>
        <w:gridCol w:w="2265"/>
        <w:gridCol w:w="2262"/>
        <w:gridCol w:w="2262"/>
        <w:gridCol w:w="2262"/>
        <w:gridCol w:w="2262"/>
      </w:tblGrid>
      <w:tr w:rsidR="006D7807" w:rsidRPr="00793468" w14:paraId="164018F4" w14:textId="5CD9A861" w:rsidTr="00FF2F95">
        <w:trPr>
          <w:trHeight w:val="270"/>
          <w:tblHeader/>
        </w:trPr>
        <w:tc>
          <w:tcPr>
            <w:tcW w:w="834" w:type="pct"/>
            <w:shd w:val="clear" w:color="auto" w:fill="E5E5E5"/>
          </w:tcPr>
          <w:p w14:paraId="362B5178" w14:textId="77777777" w:rsidR="006D7807" w:rsidRPr="00793468" w:rsidRDefault="006D7807" w:rsidP="008245A8">
            <w:pPr>
              <w:pStyle w:val="TableTextLeft"/>
              <w:keepNext/>
              <w:rPr>
                <w:b/>
              </w:rPr>
            </w:pPr>
          </w:p>
        </w:tc>
        <w:tc>
          <w:tcPr>
            <w:tcW w:w="834" w:type="pct"/>
            <w:shd w:val="clear" w:color="auto" w:fill="E5E5E5"/>
          </w:tcPr>
          <w:p w14:paraId="36E14881" w14:textId="77B6EB9B" w:rsidR="006D7807" w:rsidRPr="00793468" w:rsidRDefault="00ED3B7C">
            <w:pPr>
              <w:pStyle w:val="TableTextLeft"/>
              <w:rPr>
                <w:b/>
              </w:rPr>
            </w:pPr>
            <w:r w:rsidRPr="00793468">
              <w:rPr>
                <w:b/>
              </w:rPr>
              <w:t>Spread e</w:t>
            </w:r>
            <w:r w:rsidR="00BB3327" w:rsidRPr="00793468">
              <w:rPr>
                <w:b/>
              </w:rPr>
              <w:t>qually</w:t>
            </w:r>
          </w:p>
        </w:tc>
        <w:tc>
          <w:tcPr>
            <w:tcW w:w="833" w:type="pct"/>
            <w:shd w:val="clear" w:color="auto" w:fill="E5E5E5"/>
          </w:tcPr>
          <w:p w14:paraId="7BA74384" w14:textId="0CEEFFCD" w:rsidR="006D7807" w:rsidRPr="00793468" w:rsidRDefault="00BB3327">
            <w:pPr>
              <w:pStyle w:val="TableTextLeft"/>
              <w:rPr>
                <w:b/>
              </w:rPr>
            </w:pPr>
            <w:r w:rsidRPr="00793468">
              <w:rPr>
                <w:b/>
              </w:rPr>
              <w:t>Spread by population</w:t>
            </w:r>
          </w:p>
        </w:tc>
        <w:tc>
          <w:tcPr>
            <w:tcW w:w="833" w:type="pct"/>
            <w:shd w:val="clear" w:color="auto" w:fill="E5E5E5"/>
          </w:tcPr>
          <w:p w14:paraId="5AD62A2B" w14:textId="49F64E5D" w:rsidR="006D7807" w:rsidRPr="00793468" w:rsidRDefault="00793468">
            <w:pPr>
              <w:pStyle w:val="TableTextLeft"/>
              <w:rPr>
                <w:b/>
              </w:rPr>
            </w:pPr>
            <w:r w:rsidRPr="00793468">
              <w:rPr>
                <w:b/>
                <w:bCs/>
              </w:rPr>
              <w:t>Spread by revenue</w:t>
            </w:r>
          </w:p>
        </w:tc>
        <w:tc>
          <w:tcPr>
            <w:tcW w:w="833" w:type="pct"/>
            <w:shd w:val="clear" w:color="auto" w:fill="E5E5E5"/>
          </w:tcPr>
          <w:p w14:paraId="651CA057" w14:textId="7B55B428" w:rsidR="006D7807" w:rsidRPr="00793468" w:rsidRDefault="00793468">
            <w:pPr>
              <w:pStyle w:val="TableTextLeft"/>
              <w:rPr>
                <w:b/>
              </w:rPr>
            </w:pPr>
            <w:r w:rsidRPr="00793468">
              <w:rPr>
                <w:b/>
                <w:bCs/>
              </w:rPr>
              <w:t>Spread by profits</w:t>
            </w:r>
          </w:p>
        </w:tc>
        <w:tc>
          <w:tcPr>
            <w:tcW w:w="833" w:type="pct"/>
            <w:shd w:val="clear" w:color="auto" w:fill="E5E5E5"/>
          </w:tcPr>
          <w:p w14:paraId="2FDD246F" w14:textId="6AE71730" w:rsidR="00793468" w:rsidRPr="00793468" w:rsidRDefault="00793468">
            <w:pPr>
              <w:pStyle w:val="TableTextLeft"/>
              <w:rPr>
                <w:b/>
                <w:bCs/>
              </w:rPr>
            </w:pPr>
            <w:r w:rsidRPr="00793468">
              <w:rPr>
                <w:b/>
                <w:bCs/>
              </w:rPr>
              <w:t>Spread by regulatory effort</w:t>
            </w:r>
          </w:p>
        </w:tc>
      </w:tr>
      <w:tr w:rsidR="006D7807" w14:paraId="67A3D499" w14:textId="77777777" w:rsidTr="00FF2F95">
        <w:trPr>
          <w:trHeight w:val="270"/>
        </w:trPr>
        <w:tc>
          <w:tcPr>
            <w:tcW w:w="5000" w:type="pct"/>
            <w:gridSpan w:val="6"/>
            <w:shd w:val="clear" w:color="auto" w:fill="F2F2F2" w:themeFill="background1" w:themeFillShade="F2"/>
          </w:tcPr>
          <w:p w14:paraId="512DFE60" w14:textId="4B1AAA2C" w:rsidR="00793468" w:rsidRPr="000D6872" w:rsidRDefault="00793468" w:rsidP="00793468">
            <w:pPr>
              <w:pStyle w:val="TableTextLeft"/>
              <w:keepNext/>
              <w:rPr>
                <w:b/>
              </w:rPr>
            </w:pPr>
            <w:r w:rsidRPr="000D6872">
              <w:rPr>
                <w:b/>
                <w:bCs/>
              </w:rPr>
              <w:t>Deposit taking and credit sector</w:t>
            </w:r>
          </w:p>
        </w:tc>
      </w:tr>
      <w:tr w:rsidR="001A0E40" w:rsidRPr="00BB387D" w14:paraId="30BBB00E" w14:textId="61E2C0DA" w:rsidTr="00FF2F95">
        <w:trPr>
          <w:trHeight w:val="270"/>
        </w:trPr>
        <w:tc>
          <w:tcPr>
            <w:tcW w:w="834" w:type="pct"/>
          </w:tcPr>
          <w:p w14:paraId="247BA6B1" w14:textId="2B5DD72A" w:rsidR="001A0E40" w:rsidRPr="00BB387D" w:rsidRDefault="001A0E40" w:rsidP="001A0E40">
            <w:pPr>
              <w:pStyle w:val="TableTextLeft"/>
            </w:pPr>
            <w:r w:rsidRPr="00BB387D">
              <w:t xml:space="preserve">Credit providers </w:t>
            </w:r>
          </w:p>
        </w:tc>
        <w:tc>
          <w:tcPr>
            <w:tcW w:w="834" w:type="pct"/>
          </w:tcPr>
          <w:p w14:paraId="36B69BDC" w14:textId="645A7D01" w:rsidR="001A0E40" w:rsidRPr="00BB387D" w:rsidRDefault="001A0E40" w:rsidP="001A0E40">
            <w:pPr>
              <w:pStyle w:val="TableTextLeft"/>
            </w:pPr>
            <w:r w:rsidRPr="00BB387D">
              <w:t>$2.89 per $1 million of credit provided above $100 million (for other than small and medium amount credit contracts)</w:t>
            </w:r>
          </w:p>
        </w:tc>
        <w:tc>
          <w:tcPr>
            <w:tcW w:w="833" w:type="pct"/>
          </w:tcPr>
          <w:p w14:paraId="16860C4F" w14:textId="154B9CBF" w:rsidR="001A0E40" w:rsidRPr="00BB387D" w:rsidRDefault="001A0E40" w:rsidP="001A0E40">
            <w:pPr>
              <w:pStyle w:val="TableTextLeft"/>
            </w:pPr>
            <w:r w:rsidRPr="00BB387D">
              <w:t>$3.85 per $1 million of credit provided above $100 million (for other than small and medium amount credit contracts)</w:t>
            </w:r>
          </w:p>
        </w:tc>
        <w:tc>
          <w:tcPr>
            <w:tcW w:w="833" w:type="pct"/>
          </w:tcPr>
          <w:p w14:paraId="2F92EDD2" w14:textId="38960DC4" w:rsidR="001A0E40" w:rsidRPr="00BB387D" w:rsidRDefault="001A0E40" w:rsidP="001A0E40">
            <w:pPr>
              <w:pStyle w:val="TableTextLeft"/>
            </w:pPr>
            <w:r w:rsidRPr="00BB387D">
              <w:t>$7.45 per $1 million of credit provided above $100 million (for other than small and medium amount credit contracts)</w:t>
            </w:r>
          </w:p>
        </w:tc>
        <w:tc>
          <w:tcPr>
            <w:tcW w:w="833" w:type="pct"/>
          </w:tcPr>
          <w:p w14:paraId="32BA50D4" w14:textId="5B7E3DA1" w:rsidR="001A0E40" w:rsidRPr="00BB387D" w:rsidRDefault="001A0E40" w:rsidP="001A0E40">
            <w:pPr>
              <w:pStyle w:val="TableTextLeft"/>
            </w:pPr>
            <w:r w:rsidRPr="00BB387D">
              <w:t>$7.48 per $1 million of credit provided above $100 million (for other than small and medium amount credit contracts)</w:t>
            </w:r>
          </w:p>
        </w:tc>
        <w:tc>
          <w:tcPr>
            <w:tcW w:w="833" w:type="pct"/>
          </w:tcPr>
          <w:p w14:paraId="77634461" w14:textId="02BD14E5" w:rsidR="001A0E40" w:rsidRPr="00BB387D" w:rsidRDefault="001A0E40" w:rsidP="001A0E40">
            <w:pPr>
              <w:pStyle w:val="TableTextLeft"/>
            </w:pPr>
            <w:r w:rsidRPr="00BB387D">
              <w:t>$10.62 per $1 million of credit provided above $100 million (for other than small and medium amount credit contracts)</w:t>
            </w:r>
          </w:p>
        </w:tc>
      </w:tr>
      <w:tr w:rsidR="001A0E40" w14:paraId="47DEFB1B" w14:textId="5486C12F" w:rsidTr="00FF2F95">
        <w:trPr>
          <w:trHeight w:val="892"/>
        </w:trPr>
        <w:tc>
          <w:tcPr>
            <w:tcW w:w="834" w:type="pct"/>
          </w:tcPr>
          <w:p w14:paraId="7938616F" w14:textId="50541A27" w:rsidR="001A0E40" w:rsidRDefault="001A0E40" w:rsidP="001A0E40">
            <w:pPr>
              <w:pStyle w:val="TableTextLeft"/>
            </w:pPr>
            <w:r>
              <w:t>Small and medium amount credit providers</w:t>
            </w:r>
          </w:p>
        </w:tc>
        <w:tc>
          <w:tcPr>
            <w:tcW w:w="834" w:type="pct"/>
          </w:tcPr>
          <w:p w14:paraId="02FEDD6F" w14:textId="364F7136" w:rsidR="001A0E40" w:rsidRDefault="001A0E40" w:rsidP="001A0E40">
            <w:pPr>
              <w:pStyle w:val="TableTextLeft"/>
            </w:pPr>
            <w:r w:rsidRPr="00295BFB">
              <w:t>$17.1</w:t>
            </w:r>
            <w:r w:rsidR="00B80104">
              <w:t>0</w:t>
            </w:r>
            <w:r w:rsidRPr="00295BFB">
              <w:t xml:space="preserve"> per $10,000 of credit provided under small and medium credit contracts</w:t>
            </w:r>
          </w:p>
        </w:tc>
        <w:tc>
          <w:tcPr>
            <w:tcW w:w="833" w:type="pct"/>
          </w:tcPr>
          <w:p w14:paraId="0681936A" w14:textId="05028D43" w:rsidR="001A0E40" w:rsidRDefault="001A0E40" w:rsidP="001A0E40">
            <w:pPr>
              <w:pStyle w:val="TableTextLeft"/>
            </w:pPr>
            <w:r w:rsidRPr="00295BFB">
              <w:t>$4.22 per $10,000 of credit provided under small and medium credit contracts</w:t>
            </w:r>
          </w:p>
        </w:tc>
        <w:tc>
          <w:tcPr>
            <w:tcW w:w="833" w:type="pct"/>
          </w:tcPr>
          <w:p w14:paraId="340103CE" w14:textId="58DC6429" w:rsidR="001A0E40" w:rsidRDefault="001A0E40" w:rsidP="001A0E40">
            <w:pPr>
              <w:pStyle w:val="TableTextLeft"/>
            </w:pPr>
            <w:r w:rsidRPr="00295BFB">
              <w:t>$</w:t>
            </w:r>
            <w:r w:rsidR="00B80104">
              <w:t>0</w:t>
            </w:r>
            <w:r w:rsidRPr="00295BFB">
              <w:t>.12 per $10,000 of credit provided under small and medium credit contracts</w:t>
            </w:r>
          </w:p>
        </w:tc>
        <w:tc>
          <w:tcPr>
            <w:tcW w:w="833" w:type="pct"/>
          </w:tcPr>
          <w:p w14:paraId="25FBCC72" w14:textId="0C8930AE" w:rsidR="001A0E40" w:rsidRDefault="001A0E40" w:rsidP="001A0E40">
            <w:pPr>
              <w:pStyle w:val="TableTextLeft"/>
            </w:pPr>
            <w:r w:rsidRPr="00295BFB">
              <w:t>-$</w:t>
            </w:r>
            <w:r w:rsidR="00B80104">
              <w:t>0</w:t>
            </w:r>
            <w:r w:rsidRPr="00295BFB">
              <w:t>.12 per $10,000 of credit provided under small and medium credit contracts</w:t>
            </w:r>
            <w:bookmarkStart w:id="31" w:name="_Ref202435248"/>
            <w:r w:rsidR="009D06A2">
              <w:rPr>
                <w:rStyle w:val="FootnoteReference"/>
              </w:rPr>
              <w:footnoteReference w:id="12"/>
            </w:r>
            <w:bookmarkEnd w:id="31"/>
          </w:p>
        </w:tc>
        <w:tc>
          <w:tcPr>
            <w:tcW w:w="833" w:type="pct"/>
          </w:tcPr>
          <w:p w14:paraId="1B39DE3B" w14:textId="481D294A" w:rsidR="001A0E40" w:rsidRDefault="001A0E40" w:rsidP="001A0E40">
            <w:pPr>
              <w:pStyle w:val="TableTextLeft"/>
            </w:pPr>
            <w:r w:rsidRPr="00295BFB">
              <w:t>$13.76 per $10,000 of credit provided under small and medium credit contracts</w:t>
            </w:r>
          </w:p>
        </w:tc>
      </w:tr>
      <w:tr w:rsidR="001A0E40" w14:paraId="1B237E09" w14:textId="38EAC36F" w:rsidTr="00FF2F95">
        <w:trPr>
          <w:trHeight w:val="270"/>
        </w:trPr>
        <w:tc>
          <w:tcPr>
            <w:tcW w:w="834" w:type="pct"/>
          </w:tcPr>
          <w:p w14:paraId="51B63943" w14:textId="3BA6EF4B" w:rsidR="001A0E40" w:rsidRDefault="001A0E40" w:rsidP="001A0E40">
            <w:pPr>
              <w:pStyle w:val="TableTextLeft"/>
            </w:pPr>
            <w:r>
              <w:t>Credit intermediaries</w:t>
            </w:r>
          </w:p>
        </w:tc>
        <w:tc>
          <w:tcPr>
            <w:tcW w:w="834" w:type="pct"/>
          </w:tcPr>
          <w:p w14:paraId="56BF9F06" w14:textId="17156E63" w:rsidR="001A0E40" w:rsidRDefault="001A0E40" w:rsidP="001A0E40">
            <w:pPr>
              <w:pStyle w:val="TableTextLeft"/>
            </w:pPr>
            <w:r w:rsidRPr="00295BFB">
              <w:t>$41.42 per credit representative</w:t>
            </w:r>
          </w:p>
        </w:tc>
        <w:tc>
          <w:tcPr>
            <w:tcW w:w="833" w:type="pct"/>
          </w:tcPr>
          <w:p w14:paraId="1044814C" w14:textId="5A9A5F76" w:rsidR="001A0E40" w:rsidRPr="00355BDF" w:rsidRDefault="001A0E40" w:rsidP="009F39B6">
            <w:pPr>
              <w:spacing w:before="40" w:after="40"/>
              <w:rPr>
                <w:color w:val="000000"/>
                <w:sz w:val="18"/>
              </w:rPr>
            </w:pPr>
            <w:r w:rsidRPr="001A0E40">
              <w:rPr>
                <w:color w:val="000000"/>
                <w:sz w:val="18"/>
              </w:rPr>
              <w:t>$263.57 per credit representative</w:t>
            </w:r>
          </w:p>
        </w:tc>
        <w:tc>
          <w:tcPr>
            <w:tcW w:w="833" w:type="pct"/>
          </w:tcPr>
          <w:p w14:paraId="2F210B77" w14:textId="7EF7E4B2" w:rsidR="001A0E40" w:rsidRDefault="001A0E40" w:rsidP="001A0E40">
            <w:pPr>
              <w:pStyle w:val="TableTextLeft"/>
            </w:pPr>
            <w:r w:rsidRPr="00295BFB">
              <w:t>$63.57 per credit representative</w:t>
            </w:r>
          </w:p>
        </w:tc>
        <w:tc>
          <w:tcPr>
            <w:tcW w:w="833" w:type="pct"/>
          </w:tcPr>
          <w:p w14:paraId="21C19951" w14:textId="317BDDAE" w:rsidR="001A0E40" w:rsidRDefault="001A0E40" w:rsidP="001A0E40">
            <w:pPr>
              <w:pStyle w:val="TableTextLeft"/>
            </w:pPr>
            <w:r w:rsidRPr="00295BFB">
              <w:t>$62.11 per credit representative</w:t>
            </w:r>
          </w:p>
        </w:tc>
        <w:tc>
          <w:tcPr>
            <w:tcW w:w="833" w:type="pct"/>
          </w:tcPr>
          <w:p w14:paraId="019601E8" w14:textId="303F0477" w:rsidR="001A0E40" w:rsidRDefault="001A0E40" w:rsidP="001A0E40">
            <w:pPr>
              <w:pStyle w:val="TableTextLeft"/>
            </w:pPr>
            <w:r w:rsidRPr="00295BFB">
              <w:t>$7.34 per credit representative</w:t>
            </w:r>
          </w:p>
        </w:tc>
      </w:tr>
      <w:tr w:rsidR="001A0E40" w14:paraId="36AE78C2" w14:textId="2BDDF020" w:rsidTr="00FF2F95">
        <w:trPr>
          <w:trHeight w:val="270"/>
        </w:trPr>
        <w:tc>
          <w:tcPr>
            <w:tcW w:w="834" w:type="pct"/>
          </w:tcPr>
          <w:p w14:paraId="57BC31A3" w14:textId="5E5B8B0F" w:rsidR="001A0E40" w:rsidRDefault="001A0E40" w:rsidP="001A0E40">
            <w:pPr>
              <w:pStyle w:val="TableTextLeft"/>
            </w:pPr>
            <w:r>
              <w:t>Deposit product providers</w:t>
            </w:r>
          </w:p>
        </w:tc>
        <w:tc>
          <w:tcPr>
            <w:tcW w:w="834" w:type="pct"/>
          </w:tcPr>
          <w:p w14:paraId="69C913FA" w14:textId="664AF7AB" w:rsidR="001A0E40" w:rsidRDefault="001A0E40" w:rsidP="001A0E40">
            <w:pPr>
              <w:pStyle w:val="TableTextLeft"/>
            </w:pPr>
            <w:r w:rsidRPr="00295BFB">
              <w:t>$</w:t>
            </w:r>
            <w:r w:rsidR="00B80104">
              <w:t>0</w:t>
            </w:r>
            <w:r w:rsidRPr="00295BFB">
              <w:t>.74 per $1 million of total deposit liabilities above $10 million</w:t>
            </w:r>
          </w:p>
        </w:tc>
        <w:tc>
          <w:tcPr>
            <w:tcW w:w="833" w:type="pct"/>
          </w:tcPr>
          <w:p w14:paraId="62104EE3" w14:textId="66BC2380" w:rsidR="001A0E40" w:rsidRPr="00355BDF" w:rsidRDefault="001A0E40" w:rsidP="009F39B6">
            <w:pPr>
              <w:spacing w:before="40" w:after="40"/>
              <w:rPr>
                <w:color w:val="000000"/>
                <w:sz w:val="18"/>
              </w:rPr>
            </w:pPr>
            <w:r w:rsidRPr="001A0E40">
              <w:rPr>
                <w:color w:val="000000"/>
                <w:sz w:val="18"/>
              </w:rPr>
              <w:t>$</w:t>
            </w:r>
            <w:r w:rsidR="00B80104">
              <w:rPr>
                <w:color w:val="000000"/>
                <w:sz w:val="18"/>
              </w:rPr>
              <w:t>0</w:t>
            </w:r>
            <w:r w:rsidRPr="001A0E40">
              <w:rPr>
                <w:color w:val="000000"/>
                <w:sz w:val="18"/>
              </w:rPr>
              <w:t>.13 per $1 million of total deposit liabilities above $10 million</w:t>
            </w:r>
          </w:p>
        </w:tc>
        <w:tc>
          <w:tcPr>
            <w:tcW w:w="833" w:type="pct"/>
          </w:tcPr>
          <w:p w14:paraId="26AF37FA" w14:textId="28D662A0" w:rsidR="001A0E40" w:rsidRDefault="001A0E40" w:rsidP="001A0E40">
            <w:pPr>
              <w:pStyle w:val="TableTextLeft"/>
            </w:pPr>
            <w:r w:rsidRPr="00295BFB">
              <w:t>$1.23 per $1 million of total deposit liabilities above $10 million</w:t>
            </w:r>
          </w:p>
        </w:tc>
        <w:tc>
          <w:tcPr>
            <w:tcW w:w="833" w:type="pct"/>
          </w:tcPr>
          <w:p w14:paraId="2B033FAC" w14:textId="7C0F45BE" w:rsidR="001A0E40" w:rsidRDefault="001A0E40" w:rsidP="001A0E40">
            <w:pPr>
              <w:pStyle w:val="TableTextLeft"/>
            </w:pPr>
            <w:r w:rsidRPr="00295BFB">
              <w:t>$1.31 per $1 million of total deposit liabilities above $10 million</w:t>
            </w:r>
          </w:p>
        </w:tc>
        <w:tc>
          <w:tcPr>
            <w:tcW w:w="833" w:type="pct"/>
          </w:tcPr>
          <w:p w14:paraId="5D4B6CB5" w14:textId="6A1B7ECD" w:rsidR="001A0E40" w:rsidRDefault="001A0E40" w:rsidP="001A0E40">
            <w:pPr>
              <w:pStyle w:val="TableTextLeft"/>
            </w:pPr>
            <w:r w:rsidRPr="00295BFB">
              <w:t>$</w:t>
            </w:r>
            <w:r w:rsidR="00B80104">
              <w:t>0</w:t>
            </w:r>
            <w:r w:rsidRPr="00295BFB">
              <w:t>.37 per $1 million of total deposit liabilities above $10 million</w:t>
            </w:r>
          </w:p>
        </w:tc>
      </w:tr>
      <w:tr w:rsidR="001A0E40" w14:paraId="39D5E269" w14:textId="3EF5EA46" w:rsidTr="00FF2F95">
        <w:trPr>
          <w:trHeight w:val="270"/>
        </w:trPr>
        <w:tc>
          <w:tcPr>
            <w:tcW w:w="834" w:type="pct"/>
          </w:tcPr>
          <w:p w14:paraId="50F1A242" w14:textId="5D5BAB7D" w:rsidR="001A0E40" w:rsidRDefault="001A0E40" w:rsidP="001A0E40">
            <w:pPr>
              <w:pStyle w:val="TableTextLeft"/>
            </w:pPr>
            <w:r>
              <w:t>Payment product providers</w:t>
            </w:r>
          </w:p>
        </w:tc>
        <w:tc>
          <w:tcPr>
            <w:tcW w:w="834" w:type="pct"/>
          </w:tcPr>
          <w:p w14:paraId="60EAA97F" w14:textId="061D42E2" w:rsidR="001A0E40" w:rsidRDefault="001A0E40" w:rsidP="001A0E40">
            <w:pPr>
              <w:pStyle w:val="TableTextLeft"/>
            </w:pPr>
            <w:r w:rsidRPr="00295BFB">
              <w:t>$4.61 per $10,000 of total revenue from payment product provider activity</w:t>
            </w:r>
          </w:p>
        </w:tc>
        <w:tc>
          <w:tcPr>
            <w:tcW w:w="833" w:type="pct"/>
          </w:tcPr>
          <w:p w14:paraId="25756014" w14:textId="4913A61D" w:rsidR="001A0E40" w:rsidRPr="00355BDF" w:rsidRDefault="001A0E40" w:rsidP="009F39B6">
            <w:pPr>
              <w:spacing w:before="40" w:after="40"/>
              <w:rPr>
                <w:color w:val="000000"/>
                <w:sz w:val="18"/>
              </w:rPr>
            </w:pPr>
            <w:r w:rsidRPr="001A0E40">
              <w:rPr>
                <w:color w:val="000000"/>
                <w:sz w:val="18"/>
              </w:rPr>
              <w:t>$3.</w:t>
            </w:r>
            <w:r w:rsidR="00B80104">
              <w:rPr>
                <w:color w:val="000000"/>
                <w:sz w:val="18"/>
              </w:rPr>
              <w:t>00</w:t>
            </w:r>
            <w:r w:rsidRPr="001A0E40">
              <w:rPr>
                <w:color w:val="000000"/>
                <w:sz w:val="18"/>
              </w:rPr>
              <w:t xml:space="preserve"> per $10,000 of total revenue from payment product provider activity</w:t>
            </w:r>
          </w:p>
        </w:tc>
        <w:tc>
          <w:tcPr>
            <w:tcW w:w="833" w:type="pct"/>
          </w:tcPr>
          <w:p w14:paraId="22F3AB2C" w14:textId="71F86D43" w:rsidR="001A0E40" w:rsidRDefault="001A0E40" w:rsidP="001A0E40">
            <w:pPr>
              <w:pStyle w:val="TableTextLeft"/>
            </w:pPr>
            <w:r w:rsidRPr="00295BFB">
              <w:t>$10.88 per $10,000 of total revenue from payment product provider activity</w:t>
            </w:r>
          </w:p>
        </w:tc>
        <w:tc>
          <w:tcPr>
            <w:tcW w:w="833" w:type="pct"/>
          </w:tcPr>
          <w:p w14:paraId="78FA6A88" w14:textId="2FE793C1" w:rsidR="001A0E40" w:rsidRDefault="001A0E40" w:rsidP="001A0E40">
            <w:pPr>
              <w:pStyle w:val="TableTextLeft"/>
            </w:pPr>
            <w:r w:rsidRPr="00295BFB">
              <w:t>$11.34 per $10,000 of total revenue from payment product provider activity</w:t>
            </w:r>
          </w:p>
        </w:tc>
        <w:tc>
          <w:tcPr>
            <w:tcW w:w="833" w:type="pct"/>
          </w:tcPr>
          <w:p w14:paraId="1D1739E5" w14:textId="57D81398" w:rsidR="001A0E40" w:rsidRDefault="001A0E40" w:rsidP="001A0E40">
            <w:pPr>
              <w:pStyle w:val="TableTextLeft"/>
            </w:pPr>
            <w:r w:rsidRPr="00295BFB">
              <w:t>$2.7</w:t>
            </w:r>
            <w:r w:rsidR="00B80104">
              <w:t>0</w:t>
            </w:r>
            <w:r w:rsidRPr="00295BFB">
              <w:t xml:space="preserve"> per $10,000 of total revenue from payment product provider activity</w:t>
            </w:r>
          </w:p>
        </w:tc>
      </w:tr>
      <w:tr w:rsidR="001A0E40" w14:paraId="121AE78E" w14:textId="76A95D84" w:rsidTr="00FF2F95">
        <w:trPr>
          <w:trHeight w:val="270"/>
        </w:trPr>
        <w:tc>
          <w:tcPr>
            <w:tcW w:w="834" w:type="pct"/>
          </w:tcPr>
          <w:p w14:paraId="2DD2EE97" w14:textId="2D31F92B" w:rsidR="001A0E40" w:rsidRDefault="001A0E40" w:rsidP="001A0E40">
            <w:pPr>
              <w:pStyle w:val="TableTextLeft"/>
            </w:pPr>
            <w:r>
              <w:t>Margin lenders</w:t>
            </w:r>
          </w:p>
        </w:tc>
        <w:tc>
          <w:tcPr>
            <w:tcW w:w="834" w:type="pct"/>
          </w:tcPr>
          <w:p w14:paraId="1017D9B2" w14:textId="5ED57A57" w:rsidR="001A0E40" w:rsidRDefault="001A0E40" w:rsidP="001A0E40">
            <w:pPr>
              <w:pStyle w:val="TableTextLeft"/>
            </w:pPr>
            <w:r w:rsidRPr="00295BFB">
              <w:t>$103</w:t>
            </w:r>
            <w:r w:rsidR="00050F97">
              <w:t>,</w:t>
            </w:r>
            <w:r w:rsidRPr="00295BFB">
              <w:t>993 for an entity licensed for the full year</w:t>
            </w:r>
          </w:p>
        </w:tc>
        <w:tc>
          <w:tcPr>
            <w:tcW w:w="833" w:type="pct"/>
          </w:tcPr>
          <w:p w14:paraId="7E073609" w14:textId="4BA8C4C3" w:rsidR="001A0E40" w:rsidRDefault="001A0E40" w:rsidP="001A0E40">
            <w:pPr>
              <w:pStyle w:val="TableTextLeft"/>
            </w:pPr>
            <w:r w:rsidRPr="00295BFB">
              <w:t>$2</w:t>
            </w:r>
            <w:r w:rsidR="00050F97">
              <w:t>,</w:t>
            </w:r>
            <w:r w:rsidRPr="00295BFB">
              <w:t>876 for an entity licensed for the full year</w:t>
            </w:r>
          </w:p>
        </w:tc>
        <w:tc>
          <w:tcPr>
            <w:tcW w:w="833" w:type="pct"/>
          </w:tcPr>
          <w:p w14:paraId="75B0F632" w14:textId="045B4411" w:rsidR="001A0E40" w:rsidRDefault="001A0E40" w:rsidP="001A0E40">
            <w:pPr>
              <w:pStyle w:val="TableTextLeft"/>
            </w:pPr>
            <w:r w:rsidRPr="00295BFB">
              <w:t>$236</w:t>
            </w:r>
            <w:r w:rsidR="00050F97">
              <w:t>,</w:t>
            </w:r>
            <w:r w:rsidRPr="00295BFB">
              <w:t>472 for an entity licensed for the full year</w:t>
            </w:r>
          </w:p>
        </w:tc>
        <w:tc>
          <w:tcPr>
            <w:tcW w:w="833" w:type="pct"/>
          </w:tcPr>
          <w:p w14:paraId="20E1D0FB" w14:textId="578FFCAE" w:rsidR="001A0E40" w:rsidRDefault="001A0E40" w:rsidP="001A0E40">
            <w:pPr>
              <w:pStyle w:val="TableTextLeft"/>
            </w:pPr>
            <w:r w:rsidRPr="00295BFB">
              <w:t>$268</w:t>
            </w:r>
            <w:r w:rsidR="00050F97">
              <w:t>,</w:t>
            </w:r>
            <w:r w:rsidRPr="00295BFB">
              <w:t>253 for an entity licensed for the full year</w:t>
            </w:r>
          </w:p>
        </w:tc>
        <w:tc>
          <w:tcPr>
            <w:tcW w:w="833" w:type="pct"/>
          </w:tcPr>
          <w:p w14:paraId="53F01D52" w14:textId="74032DB7" w:rsidR="001A0E40" w:rsidRDefault="001A0E40" w:rsidP="001A0E40">
            <w:pPr>
              <w:pStyle w:val="TableTextLeft"/>
            </w:pPr>
            <w:r w:rsidRPr="00295BFB">
              <w:t>-$48 for an entity licensed for the full year</w:t>
            </w:r>
            <w:r w:rsidR="00C10F59">
              <w:fldChar w:fldCharType="begin"/>
            </w:r>
            <w:r w:rsidR="00C10F59">
              <w:instrText xml:space="preserve"> NOTEREF _Ref202435248 \f \h </w:instrText>
            </w:r>
            <w:r w:rsidR="00C10F59">
              <w:fldChar w:fldCharType="separate"/>
            </w:r>
            <w:r w:rsidR="00B87979" w:rsidRPr="00B87979">
              <w:rPr>
                <w:rStyle w:val="FootnoteReference"/>
              </w:rPr>
              <w:t>11</w:t>
            </w:r>
            <w:r w:rsidR="00C10F59">
              <w:fldChar w:fldCharType="end"/>
            </w:r>
          </w:p>
        </w:tc>
      </w:tr>
      <w:tr w:rsidR="00A33CA4" w14:paraId="57ABD6B5" w14:textId="77777777" w:rsidTr="00FF2F95">
        <w:trPr>
          <w:trHeight w:val="270"/>
        </w:trPr>
        <w:tc>
          <w:tcPr>
            <w:tcW w:w="5000" w:type="pct"/>
            <w:gridSpan w:val="6"/>
            <w:shd w:val="clear" w:color="auto" w:fill="F2F2F2" w:themeFill="background1" w:themeFillShade="F2"/>
          </w:tcPr>
          <w:p w14:paraId="7EC356AC" w14:textId="403A1F07" w:rsidR="00793468" w:rsidRPr="002B579C" w:rsidRDefault="00793468" w:rsidP="00793468">
            <w:pPr>
              <w:pStyle w:val="TableTextLeft"/>
              <w:keepNext/>
              <w:rPr>
                <w:b/>
              </w:rPr>
            </w:pPr>
            <w:r w:rsidRPr="002B579C">
              <w:rPr>
                <w:b/>
                <w:bCs/>
              </w:rPr>
              <w:t>Investment management, superannuation and related services sector</w:t>
            </w:r>
          </w:p>
        </w:tc>
      </w:tr>
      <w:tr w:rsidR="00600904" w:rsidRPr="00BB387D" w14:paraId="607D7AF5" w14:textId="3EFECB2D" w:rsidTr="00FF2F95">
        <w:trPr>
          <w:trHeight w:val="270"/>
        </w:trPr>
        <w:tc>
          <w:tcPr>
            <w:tcW w:w="834" w:type="pct"/>
          </w:tcPr>
          <w:p w14:paraId="1A8E3B12" w14:textId="48E2E17E" w:rsidR="00600904" w:rsidRPr="00BB387D" w:rsidRDefault="00600904" w:rsidP="00600904">
            <w:pPr>
              <w:pStyle w:val="TableTextLeft"/>
            </w:pPr>
            <w:r w:rsidRPr="00BB387D">
              <w:t>Superannuation trustees</w:t>
            </w:r>
          </w:p>
        </w:tc>
        <w:tc>
          <w:tcPr>
            <w:tcW w:w="834" w:type="pct"/>
          </w:tcPr>
          <w:p w14:paraId="5D7CEF9D" w14:textId="24D8F945" w:rsidR="00600904" w:rsidRPr="00BB387D" w:rsidRDefault="00600904" w:rsidP="00600904">
            <w:pPr>
              <w:pStyle w:val="TableTextLeft"/>
            </w:pPr>
            <w:r w:rsidRPr="00BB387D">
              <w:t>$1</w:t>
            </w:r>
            <w:r w:rsidR="00B80104" w:rsidRPr="00BB387D">
              <w:t>.00</w:t>
            </w:r>
            <w:r w:rsidRPr="00BB387D">
              <w:t xml:space="preserve"> per $1 million of assets above the $250 million threshold</w:t>
            </w:r>
          </w:p>
        </w:tc>
        <w:tc>
          <w:tcPr>
            <w:tcW w:w="833" w:type="pct"/>
          </w:tcPr>
          <w:p w14:paraId="1D013E37" w14:textId="050686DF" w:rsidR="00600904" w:rsidRPr="00BB387D" w:rsidRDefault="002C10C1" w:rsidP="00600904">
            <w:pPr>
              <w:pStyle w:val="TableTextLeft"/>
            </w:pPr>
            <w:r w:rsidRPr="00BB387D">
              <w:t>$0.09 per $1 million of assets above the $250 million threshold</w:t>
            </w:r>
          </w:p>
        </w:tc>
        <w:tc>
          <w:tcPr>
            <w:tcW w:w="833" w:type="pct"/>
          </w:tcPr>
          <w:p w14:paraId="53BC9833" w14:textId="5CA9B9CF" w:rsidR="00600904" w:rsidRPr="00BB387D" w:rsidRDefault="00AD608D" w:rsidP="00600904">
            <w:pPr>
              <w:pStyle w:val="TableTextLeft"/>
            </w:pPr>
            <w:r w:rsidRPr="00BB387D">
              <w:t>$0 per $1 million of assets above the $250 million threshold</w:t>
            </w:r>
            <w:bookmarkStart w:id="32" w:name="_Ref202435602"/>
            <w:r w:rsidR="00F07707">
              <w:rPr>
                <w:rStyle w:val="FootnoteReference"/>
              </w:rPr>
              <w:footnoteReference w:id="13"/>
            </w:r>
            <w:bookmarkEnd w:id="32"/>
          </w:p>
        </w:tc>
        <w:tc>
          <w:tcPr>
            <w:tcW w:w="833" w:type="pct"/>
          </w:tcPr>
          <w:p w14:paraId="0527BCAA" w14:textId="7EBE8D4F" w:rsidR="00600904" w:rsidRPr="00BB387D" w:rsidRDefault="00600904" w:rsidP="00600904">
            <w:pPr>
              <w:pStyle w:val="TableTextLeft"/>
            </w:pPr>
            <w:r w:rsidRPr="00BB387D">
              <w:t>$</w:t>
            </w:r>
            <w:r w:rsidR="00050F97" w:rsidRPr="00BB387D">
              <w:t>0</w:t>
            </w:r>
            <w:r w:rsidRPr="00BB387D">
              <w:t>.01 per $1 million of assets above the $250 million threshold</w:t>
            </w:r>
          </w:p>
        </w:tc>
        <w:tc>
          <w:tcPr>
            <w:tcW w:w="833" w:type="pct"/>
          </w:tcPr>
          <w:p w14:paraId="0246E6FF" w14:textId="32D8583B" w:rsidR="00600904" w:rsidRPr="00BB387D" w:rsidRDefault="00600904" w:rsidP="00600904">
            <w:pPr>
              <w:pStyle w:val="TableTextLeft"/>
            </w:pPr>
            <w:r w:rsidRPr="00BB387D">
              <w:t>$3</w:t>
            </w:r>
            <w:r w:rsidR="00050F97" w:rsidRPr="00BB387D">
              <w:t>.00</w:t>
            </w:r>
            <w:r w:rsidRPr="00BB387D">
              <w:t xml:space="preserve"> per $1 million of assets above the $250 million threshold</w:t>
            </w:r>
          </w:p>
        </w:tc>
      </w:tr>
      <w:tr w:rsidR="00600904" w14:paraId="7A22A444" w14:textId="53A85240" w:rsidTr="00FF2F95">
        <w:trPr>
          <w:trHeight w:val="270"/>
        </w:trPr>
        <w:tc>
          <w:tcPr>
            <w:tcW w:w="834" w:type="pct"/>
          </w:tcPr>
          <w:p w14:paraId="750D2C8E" w14:textId="1E04AD28" w:rsidR="00600904" w:rsidRDefault="00600904" w:rsidP="00600904">
            <w:pPr>
              <w:pStyle w:val="TableTextLeft"/>
            </w:pPr>
            <w:r>
              <w:t>Responsible entities</w:t>
            </w:r>
          </w:p>
        </w:tc>
        <w:tc>
          <w:tcPr>
            <w:tcW w:w="834" w:type="pct"/>
          </w:tcPr>
          <w:p w14:paraId="15734883" w14:textId="0FC18291" w:rsidR="00600904" w:rsidRDefault="00600904" w:rsidP="00600904">
            <w:pPr>
              <w:pStyle w:val="TableTextLeft"/>
            </w:pPr>
            <w:r w:rsidRPr="0005139C">
              <w:t>$1.38 per $1 million of assets above the $10 million threshold</w:t>
            </w:r>
          </w:p>
        </w:tc>
        <w:tc>
          <w:tcPr>
            <w:tcW w:w="833" w:type="pct"/>
          </w:tcPr>
          <w:p w14:paraId="02B18610" w14:textId="79BF6F0D" w:rsidR="00600904" w:rsidRDefault="00600904" w:rsidP="00600904">
            <w:pPr>
              <w:pStyle w:val="TableTextLeft"/>
            </w:pPr>
            <w:r w:rsidRPr="0005139C">
              <w:t>$</w:t>
            </w:r>
            <w:r w:rsidR="002C10C1">
              <w:t>0</w:t>
            </w:r>
            <w:r w:rsidRPr="0005139C">
              <w:t>.7</w:t>
            </w:r>
            <w:r w:rsidR="002C10C1">
              <w:t>0</w:t>
            </w:r>
            <w:r w:rsidRPr="0005139C">
              <w:t xml:space="preserve"> per $1 million of assets above the $10 million threshold</w:t>
            </w:r>
          </w:p>
        </w:tc>
        <w:tc>
          <w:tcPr>
            <w:tcW w:w="833" w:type="pct"/>
          </w:tcPr>
          <w:p w14:paraId="6F70B753" w14:textId="0956E388" w:rsidR="00600904" w:rsidRDefault="00600904" w:rsidP="00600904">
            <w:pPr>
              <w:pStyle w:val="TableTextLeft"/>
            </w:pPr>
            <w:r w:rsidRPr="0005139C">
              <w:t>$</w:t>
            </w:r>
            <w:r w:rsidR="002C10C1">
              <w:t>0</w:t>
            </w:r>
            <w:r w:rsidRPr="0005139C">
              <w:t>.03 per $1 million of assets above the $10 million threshold</w:t>
            </w:r>
          </w:p>
        </w:tc>
        <w:tc>
          <w:tcPr>
            <w:tcW w:w="833" w:type="pct"/>
          </w:tcPr>
          <w:p w14:paraId="5235EF1A" w14:textId="787EF45F" w:rsidR="00600904" w:rsidRDefault="008D42AD" w:rsidP="00600904">
            <w:pPr>
              <w:pStyle w:val="TableTextLeft"/>
            </w:pPr>
            <w:r w:rsidRPr="008D42AD">
              <w:t>$0 per $1 million of assets above the $10 million threshold</w:t>
            </w:r>
            <w:r w:rsidR="0030604A">
              <w:fldChar w:fldCharType="begin"/>
            </w:r>
            <w:r w:rsidR="0030604A">
              <w:instrText xml:space="preserve"> NOTEREF _Ref202435602 \f \h </w:instrText>
            </w:r>
            <w:r w:rsidR="0030604A">
              <w:fldChar w:fldCharType="separate"/>
            </w:r>
            <w:r w:rsidR="00B87979" w:rsidRPr="00B87979">
              <w:rPr>
                <w:rStyle w:val="FootnoteReference"/>
              </w:rPr>
              <w:t>12</w:t>
            </w:r>
            <w:r w:rsidR="0030604A">
              <w:fldChar w:fldCharType="end"/>
            </w:r>
          </w:p>
        </w:tc>
        <w:tc>
          <w:tcPr>
            <w:tcW w:w="833" w:type="pct"/>
          </w:tcPr>
          <w:p w14:paraId="03156AC1" w14:textId="15AB17BB" w:rsidR="00600904" w:rsidRDefault="00600904" w:rsidP="00600904">
            <w:pPr>
              <w:pStyle w:val="TableTextLeft"/>
            </w:pPr>
            <w:r w:rsidRPr="0005139C">
              <w:t>$4.45 per $1 million of assets above the $10 million threshold</w:t>
            </w:r>
          </w:p>
        </w:tc>
      </w:tr>
      <w:tr w:rsidR="00600904" w14:paraId="0A64BADF" w14:textId="00E52074" w:rsidTr="00FF2F95">
        <w:trPr>
          <w:trHeight w:val="270"/>
        </w:trPr>
        <w:tc>
          <w:tcPr>
            <w:tcW w:w="834" w:type="pct"/>
          </w:tcPr>
          <w:p w14:paraId="3864FAC8" w14:textId="5561A5EC" w:rsidR="00600904" w:rsidRDefault="00600904" w:rsidP="00600904">
            <w:pPr>
              <w:pStyle w:val="TableTextLeft"/>
            </w:pPr>
            <w:r>
              <w:lastRenderedPageBreak/>
              <w:t>Custodians</w:t>
            </w:r>
          </w:p>
        </w:tc>
        <w:tc>
          <w:tcPr>
            <w:tcW w:w="834" w:type="pct"/>
          </w:tcPr>
          <w:p w14:paraId="14F59836" w14:textId="787CE885" w:rsidR="00600904" w:rsidRDefault="00600904" w:rsidP="00600904">
            <w:pPr>
              <w:pStyle w:val="TableTextLeft"/>
            </w:pPr>
            <w:r w:rsidRPr="0005139C">
              <w:t>$4,731 flat levy</w:t>
            </w:r>
          </w:p>
        </w:tc>
        <w:tc>
          <w:tcPr>
            <w:tcW w:w="833" w:type="pct"/>
          </w:tcPr>
          <w:p w14:paraId="2CDD0305" w14:textId="3ECEABCA" w:rsidR="00600904" w:rsidRDefault="00600904" w:rsidP="00600904">
            <w:pPr>
              <w:pStyle w:val="TableTextLeft"/>
            </w:pPr>
            <w:r w:rsidRPr="0005139C">
              <w:t>$2,928 flat levy</w:t>
            </w:r>
          </w:p>
        </w:tc>
        <w:tc>
          <w:tcPr>
            <w:tcW w:w="833" w:type="pct"/>
          </w:tcPr>
          <w:p w14:paraId="35C9A185" w14:textId="5B6F5046" w:rsidR="00600904" w:rsidRDefault="00600904" w:rsidP="00600904">
            <w:pPr>
              <w:pStyle w:val="TableTextLeft"/>
            </w:pPr>
            <w:r w:rsidRPr="0005139C">
              <w:t>$12,650 flat levy</w:t>
            </w:r>
          </w:p>
        </w:tc>
        <w:tc>
          <w:tcPr>
            <w:tcW w:w="833" w:type="pct"/>
          </w:tcPr>
          <w:p w14:paraId="134648D4" w14:textId="11A6D71B" w:rsidR="00600904" w:rsidRDefault="00600904" w:rsidP="00600904">
            <w:pPr>
              <w:pStyle w:val="TableTextLeft"/>
            </w:pPr>
            <w:r w:rsidRPr="0005139C">
              <w:t>$13,921 flat levy</w:t>
            </w:r>
          </w:p>
        </w:tc>
        <w:tc>
          <w:tcPr>
            <w:tcW w:w="833" w:type="pct"/>
          </w:tcPr>
          <w:p w14:paraId="227DA021" w14:textId="5CFF02AD" w:rsidR="00600904" w:rsidRDefault="00600904" w:rsidP="00600904">
            <w:pPr>
              <w:pStyle w:val="TableTextLeft"/>
            </w:pPr>
            <w:r w:rsidRPr="0005139C">
              <w:t>$342 flat levy</w:t>
            </w:r>
          </w:p>
        </w:tc>
      </w:tr>
      <w:tr w:rsidR="00600904" w14:paraId="309BB41E" w14:textId="36AA36D6" w:rsidTr="00FF2F95">
        <w:trPr>
          <w:trHeight w:val="270"/>
        </w:trPr>
        <w:tc>
          <w:tcPr>
            <w:tcW w:w="834" w:type="pct"/>
          </w:tcPr>
          <w:p w14:paraId="6445FEAD" w14:textId="60599FBD" w:rsidR="00600904" w:rsidRDefault="00600904" w:rsidP="00600904">
            <w:pPr>
              <w:pStyle w:val="TableTextLeft"/>
            </w:pPr>
            <w:r>
              <w:t>Investor directed portfolio services (IDPS) operators</w:t>
            </w:r>
          </w:p>
        </w:tc>
        <w:tc>
          <w:tcPr>
            <w:tcW w:w="834" w:type="pct"/>
          </w:tcPr>
          <w:p w14:paraId="6C481394" w14:textId="4E5B6303" w:rsidR="00600904" w:rsidRDefault="00600904" w:rsidP="00600904">
            <w:pPr>
              <w:pStyle w:val="TableTextLeft"/>
            </w:pPr>
            <w:r w:rsidRPr="0005139C">
              <w:t>$25.93 per $10,000 of revenue</w:t>
            </w:r>
          </w:p>
        </w:tc>
        <w:tc>
          <w:tcPr>
            <w:tcW w:w="833" w:type="pct"/>
          </w:tcPr>
          <w:p w14:paraId="242401B7" w14:textId="65C654FF" w:rsidR="00600904" w:rsidRDefault="00600904" w:rsidP="00600904">
            <w:pPr>
              <w:pStyle w:val="TableTextLeft"/>
            </w:pPr>
            <w:r w:rsidRPr="0005139C">
              <w:t>$2.29 per $10,000 of revenue</w:t>
            </w:r>
          </w:p>
        </w:tc>
        <w:tc>
          <w:tcPr>
            <w:tcW w:w="833" w:type="pct"/>
          </w:tcPr>
          <w:p w14:paraId="14628128" w14:textId="532BBD2C" w:rsidR="00600904" w:rsidRDefault="00600904" w:rsidP="00600904">
            <w:pPr>
              <w:pStyle w:val="TableTextLeft"/>
            </w:pPr>
            <w:r w:rsidRPr="0005139C">
              <w:t>$77.69 per $10,000 of revenue</w:t>
            </w:r>
          </w:p>
        </w:tc>
        <w:tc>
          <w:tcPr>
            <w:tcW w:w="833" w:type="pct"/>
          </w:tcPr>
          <w:p w14:paraId="22018D70" w14:textId="539E3952" w:rsidR="00600904" w:rsidRDefault="00600904" w:rsidP="00600904">
            <w:pPr>
              <w:pStyle w:val="TableTextLeft"/>
            </w:pPr>
            <w:r w:rsidRPr="0005139C">
              <w:t>$82.97 per $10,000 of revenue</w:t>
            </w:r>
          </w:p>
        </w:tc>
        <w:tc>
          <w:tcPr>
            <w:tcW w:w="833" w:type="pct"/>
          </w:tcPr>
          <w:p w14:paraId="66E54057" w14:textId="48B41DB6" w:rsidR="00600904" w:rsidRDefault="00600904" w:rsidP="00600904">
            <w:pPr>
              <w:pStyle w:val="TableTextLeft"/>
            </w:pPr>
            <w:r w:rsidRPr="0005139C">
              <w:t>$</w:t>
            </w:r>
            <w:r w:rsidR="008D42AD">
              <w:t>0</w:t>
            </w:r>
            <w:r w:rsidRPr="0005139C">
              <w:t>.31 per $10,000 of revenue</w:t>
            </w:r>
          </w:p>
        </w:tc>
      </w:tr>
      <w:tr w:rsidR="00600904" w14:paraId="2020A3E3" w14:textId="0D98555C" w:rsidTr="00FF2F95">
        <w:trPr>
          <w:trHeight w:val="270"/>
        </w:trPr>
        <w:tc>
          <w:tcPr>
            <w:tcW w:w="834" w:type="pct"/>
          </w:tcPr>
          <w:p w14:paraId="17C28AEE" w14:textId="1F3BFCE1" w:rsidR="00600904" w:rsidRDefault="00600904" w:rsidP="00600904">
            <w:pPr>
              <w:pStyle w:val="TableTextLeft"/>
            </w:pPr>
            <w:r>
              <w:t>Managed discretionary account (MDA) providers</w:t>
            </w:r>
          </w:p>
        </w:tc>
        <w:tc>
          <w:tcPr>
            <w:tcW w:w="834" w:type="pct"/>
          </w:tcPr>
          <w:p w14:paraId="1D5892AC" w14:textId="3BA0956D" w:rsidR="00600904" w:rsidRDefault="00600904" w:rsidP="00600904">
            <w:pPr>
              <w:pStyle w:val="TableTextLeft"/>
            </w:pPr>
            <w:r w:rsidRPr="0005139C">
              <w:t>$11,274 for an entity licensed for the full year</w:t>
            </w:r>
          </w:p>
        </w:tc>
        <w:tc>
          <w:tcPr>
            <w:tcW w:w="833" w:type="pct"/>
          </w:tcPr>
          <w:p w14:paraId="69FF8B87" w14:textId="0F2F790F" w:rsidR="00600904" w:rsidRDefault="00600904" w:rsidP="00600904">
            <w:pPr>
              <w:pStyle w:val="TableTextLeft"/>
            </w:pPr>
            <w:r w:rsidRPr="0005139C">
              <w:t>$2,972 for an entity licensed for the full year</w:t>
            </w:r>
          </w:p>
        </w:tc>
        <w:tc>
          <w:tcPr>
            <w:tcW w:w="833" w:type="pct"/>
          </w:tcPr>
          <w:p w14:paraId="0B9898FB" w14:textId="42226697" w:rsidR="00600904" w:rsidRDefault="00600904" w:rsidP="00600904">
            <w:pPr>
              <w:pStyle w:val="TableTextLeft"/>
            </w:pPr>
            <w:r w:rsidRPr="0005139C">
              <w:t>$75 for an entity licensed for the full year</w:t>
            </w:r>
          </w:p>
        </w:tc>
        <w:tc>
          <w:tcPr>
            <w:tcW w:w="833" w:type="pct"/>
          </w:tcPr>
          <w:p w14:paraId="78318DFA" w14:textId="61A3F431" w:rsidR="00600904" w:rsidRDefault="00600904" w:rsidP="00600904">
            <w:pPr>
              <w:pStyle w:val="TableTextLeft"/>
            </w:pPr>
            <w:r w:rsidRPr="0005139C">
              <w:t>-$15</w:t>
            </w:r>
            <w:r w:rsidR="008D42AD">
              <w:t>.00</w:t>
            </w:r>
            <w:r w:rsidRPr="0005139C">
              <w:t xml:space="preserve"> for an entity licensed for the full year</w:t>
            </w:r>
            <w:r w:rsidR="008B5DD8">
              <w:fldChar w:fldCharType="begin"/>
            </w:r>
            <w:r w:rsidR="008B5DD8">
              <w:instrText xml:space="preserve"> NOTEREF _Ref202435248 \f \h </w:instrText>
            </w:r>
            <w:r w:rsidR="008B5DD8">
              <w:fldChar w:fldCharType="separate"/>
            </w:r>
            <w:r w:rsidR="00B87979" w:rsidRPr="00B87979">
              <w:rPr>
                <w:rStyle w:val="FootnoteReference"/>
              </w:rPr>
              <w:t>11</w:t>
            </w:r>
            <w:r w:rsidR="008B5DD8">
              <w:fldChar w:fldCharType="end"/>
            </w:r>
          </w:p>
        </w:tc>
        <w:tc>
          <w:tcPr>
            <w:tcW w:w="833" w:type="pct"/>
          </w:tcPr>
          <w:p w14:paraId="2C61D3A1" w14:textId="1F5EC125" w:rsidR="00600904" w:rsidRDefault="00600904" w:rsidP="00600904">
            <w:pPr>
              <w:pStyle w:val="TableTextLeft"/>
            </w:pPr>
            <w:r w:rsidRPr="0005139C">
              <w:t>$1,138 for an entity licensed for the full year</w:t>
            </w:r>
          </w:p>
        </w:tc>
      </w:tr>
      <w:tr w:rsidR="00600904" w14:paraId="601F9B90" w14:textId="728DE6B5" w:rsidTr="00FF2F95">
        <w:trPr>
          <w:trHeight w:val="270"/>
        </w:trPr>
        <w:tc>
          <w:tcPr>
            <w:tcW w:w="834" w:type="pct"/>
          </w:tcPr>
          <w:p w14:paraId="0719CA83" w14:textId="379FC82B" w:rsidR="00600904" w:rsidRDefault="00600904" w:rsidP="00600904">
            <w:pPr>
              <w:pStyle w:val="TableTextLeft"/>
            </w:pPr>
            <w:r>
              <w:t>Traditional trustee company service providers</w:t>
            </w:r>
          </w:p>
        </w:tc>
        <w:tc>
          <w:tcPr>
            <w:tcW w:w="834" w:type="pct"/>
          </w:tcPr>
          <w:p w14:paraId="037AC9F4" w14:textId="2B005300" w:rsidR="00600904" w:rsidRDefault="00600904" w:rsidP="00600904">
            <w:pPr>
              <w:pStyle w:val="TableTextLeft"/>
            </w:pPr>
            <w:r w:rsidRPr="0005139C">
              <w:t>$249,423 for an entity licensed for the full year</w:t>
            </w:r>
          </w:p>
        </w:tc>
        <w:tc>
          <w:tcPr>
            <w:tcW w:w="833" w:type="pct"/>
          </w:tcPr>
          <w:p w14:paraId="18A23843" w14:textId="4C0334E5" w:rsidR="00600904" w:rsidRDefault="00600904" w:rsidP="00600904">
            <w:pPr>
              <w:pStyle w:val="TableTextLeft"/>
            </w:pPr>
            <w:r w:rsidRPr="0005139C">
              <w:t>$2,820 for an entity licensed for the full year</w:t>
            </w:r>
          </w:p>
        </w:tc>
        <w:tc>
          <w:tcPr>
            <w:tcW w:w="833" w:type="pct"/>
          </w:tcPr>
          <w:p w14:paraId="225512AC" w14:textId="35BEB6CA" w:rsidR="00600904" w:rsidRDefault="00600904" w:rsidP="00600904">
            <w:pPr>
              <w:pStyle w:val="TableTextLeft"/>
            </w:pPr>
            <w:r w:rsidRPr="0005139C">
              <w:t>-$100 for an entity licensed for the full year</w:t>
            </w:r>
            <w:r w:rsidR="008B5DD8">
              <w:fldChar w:fldCharType="begin"/>
            </w:r>
            <w:r w:rsidR="008B5DD8">
              <w:instrText xml:space="preserve"> NOTEREF _Ref202435248 \f \h </w:instrText>
            </w:r>
            <w:r w:rsidR="008B5DD8">
              <w:fldChar w:fldCharType="separate"/>
            </w:r>
            <w:r w:rsidR="00B87979" w:rsidRPr="00B87979">
              <w:rPr>
                <w:rStyle w:val="FootnoteReference"/>
              </w:rPr>
              <w:t>11</w:t>
            </w:r>
            <w:r w:rsidR="008B5DD8">
              <w:fldChar w:fldCharType="end"/>
            </w:r>
          </w:p>
        </w:tc>
        <w:tc>
          <w:tcPr>
            <w:tcW w:w="833" w:type="pct"/>
          </w:tcPr>
          <w:p w14:paraId="34BA0A08" w14:textId="26F38238" w:rsidR="00600904" w:rsidRDefault="00600904" w:rsidP="00600904">
            <w:pPr>
              <w:pStyle w:val="TableTextLeft"/>
            </w:pPr>
            <w:r w:rsidRPr="0005139C">
              <w:t>-$100 for an entity licensed for the full year</w:t>
            </w:r>
            <w:r w:rsidR="008B5DD8">
              <w:fldChar w:fldCharType="begin"/>
            </w:r>
            <w:r w:rsidR="008B5DD8">
              <w:instrText xml:space="preserve"> NOTEREF _Ref202435248 \f \h </w:instrText>
            </w:r>
            <w:r w:rsidR="008B5DD8">
              <w:fldChar w:fldCharType="separate"/>
            </w:r>
            <w:r w:rsidR="00B87979" w:rsidRPr="00B87979">
              <w:rPr>
                <w:rStyle w:val="FootnoteReference"/>
              </w:rPr>
              <w:t>11</w:t>
            </w:r>
            <w:r w:rsidR="008B5DD8">
              <w:fldChar w:fldCharType="end"/>
            </w:r>
          </w:p>
        </w:tc>
        <w:tc>
          <w:tcPr>
            <w:tcW w:w="833" w:type="pct"/>
          </w:tcPr>
          <w:p w14:paraId="1778BBC6" w14:textId="4C89EE83" w:rsidR="00600904" w:rsidRDefault="00600904" w:rsidP="00600904">
            <w:pPr>
              <w:pStyle w:val="TableTextLeft"/>
            </w:pPr>
            <w:r w:rsidRPr="0005139C">
              <w:t>$13,889 for an entity licensed for the full year</w:t>
            </w:r>
          </w:p>
        </w:tc>
      </w:tr>
      <w:tr w:rsidR="00A33CA4" w14:paraId="73792969" w14:textId="77777777" w:rsidTr="00FF2F95">
        <w:trPr>
          <w:trHeight w:val="270"/>
        </w:trPr>
        <w:tc>
          <w:tcPr>
            <w:tcW w:w="5000" w:type="pct"/>
            <w:gridSpan w:val="6"/>
            <w:shd w:val="clear" w:color="auto" w:fill="F2F2F2" w:themeFill="background1" w:themeFillShade="F2"/>
          </w:tcPr>
          <w:p w14:paraId="3EC010F4" w14:textId="70E4015E" w:rsidR="00793468" w:rsidRPr="00D76B1B" w:rsidRDefault="00793468" w:rsidP="00793468">
            <w:pPr>
              <w:pStyle w:val="TableTextLeft"/>
              <w:keepNext/>
              <w:rPr>
                <w:b/>
              </w:rPr>
            </w:pPr>
            <w:r w:rsidRPr="00D76B1B">
              <w:rPr>
                <w:b/>
                <w:bCs/>
              </w:rPr>
              <w:t xml:space="preserve">Market </w:t>
            </w:r>
            <w:proofErr w:type="gramStart"/>
            <w:r w:rsidRPr="00D76B1B">
              <w:rPr>
                <w:b/>
                <w:bCs/>
              </w:rPr>
              <w:t>intermediaries</w:t>
            </w:r>
            <w:proofErr w:type="gramEnd"/>
            <w:r w:rsidRPr="00D76B1B">
              <w:rPr>
                <w:b/>
                <w:bCs/>
              </w:rPr>
              <w:t xml:space="preserve"> sector</w:t>
            </w:r>
          </w:p>
        </w:tc>
      </w:tr>
      <w:tr w:rsidR="00C63216" w:rsidRPr="00BB387D" w14:paraId="53A9C7B3" w14:textId="4CC86F2A" w:rsidTr="00FF2F95">
        <w:trPr>
          <w:trHeight w:val="270"/>
        </w:trPr>
        <w:tc>
          <w:tcPr>
            <w:tcW w:w="834" w:type="pct"/>
          </w:tcPr>
          <w:p w14:paraId="29729EC8" w14:textId="335F013C" w:rsidR="00C63216" w:rsidRPr="00BB387D" w:rsidRDefault="00C63216" w:rsidP="00C63216">
            <w:pPr>
              <w:pStyle w:val="TableTextLeft"/>
            </w:pPr>
            <w:r w:rsidRPr="00BB387D">
              <w:t>Securities dealers</w:t>
            </w:r>
          </w:p>
        </w:tc>
        <w:tc>
          <w:tcPr>
            <w:tcW w:w="834" w:type="pct"/>
          </w:tcPr>
          <w:p w14:paraId="2D422B29" w14:textId="13C144BC" w:rsidR="00C63216" w:rsidRPr="00BB387D" w:rsidRDefault="00C63216" w:rsidP="00C63216">
            <w:pPr>
              <w:pStyle w:val="TableTextLeft"/>
            </w:pPr>
            <w:r w:rsidRPr="00BB387D">
              <w:t>$15.46 per $1 million of annual transaction turnover</w:t>
            </w:r>
          </w:p>
        </w:tc>
        <w:tc>
          <w:tcPr>
            <w:tcW w:w="833" w:type="pct"/>
          </w:tcPr>
          <w:p w14:paraId="5E7E88D4" w14:textId="7113049A" w:rsidR="00C63216" w:rsidRPr="00BB387D" w:rsidRDefault="00C63216" w:rsidP="00C63216">
            <w:pPr>
              <w:pStyle w:val="TableTextLeft"/>
            </w:pPr>
            <w:r w:rsidRPr="00BB387D">
              <w:t>$23.16 per $1 million of annual transaction turnover</w:t>
            </w:r>
          </w:p>
        </w:tc>
        <w:tc>
          <w:tcPr>
            <w:tcW w:w="833" w:type="pct"/>
          </w:tcPr>
          <w:p w14:paraId="37540B0D" w14:textId="7363B03E" w:rsidR="00C63216" w:rsidRPr="00BB387D" w:rsidRDefault="00C63216" w:rsidP="00C63216">
            <w:pPr>
              <w:pStyle w:val="TableTextLeft"/>
            </w:pPr>
            <w:r w:rsidRPr="00BB387D">
              <w:t>$8.45 per $1 million of annual transaction turnover</w:t>
            </w:r>
          </w:p>
        </w:tc>
        <w:tc>
          <w:tcPr>
            <w:tcW w:w="833" w:type="pct"/>
          </w:tcPr>
          <w:p w14:paraId="2E38C9FD" w14:textId="749D109A" w:rsidR="00C63216" w:rsidRPr="00BB387D" w:rsidRDefault="00C63216" w:rsidP="00C63216">
            <w:pPr>
              <w:pStyle w:val="TableTextLeft"/>
            </w:pPr>
            <w:r w:rsidRPr="00BB387D">
              <w:t>$7.19 per $1 million of annual transaction turnover</w:t>
            </w:r>
          </w:p>
        </w:tc>
        <w:tc>
          <w:tcPr>
            <w:tcW w:w="833" w:type="pct"/>
          </w:tcPr>
          <w:p w14:paraId="03FE5865" w14:textId="486D2EE4" w:rsidR="00C63216" w:rsidRPr="00BB387D" w:rsidRDefault="00C63216" w:rsidP="00C63216">
            <w:pPr>
              <w:pStyle w:val="TableTextLeft"/>
            </w:pPr>
            <w:r w:rsidRPr="00BB387D">
              <w:t>$8.74 per $1 million of annual transaction turnover</w:t>
            </w:r>
          </w:p>
        </w:tc>
      </w:tr>
      <w:tr w:rsidR="00C63216" w14:paraId="20B97B68" w14:textId="649C250F" w:rsidTr="00FF2F95">
        <w:trPr>
          <w:trHeight w:val="270"/>
        </w:trPr>
        <w:tc>
          <w:tcPr>
            <w:tcW w:w="834" w:type="pct"/>
          </w:tcPr>
          <w:p w14:paraId="6E58AA2C" w14:textId="06BFF99C" w:rsidR="00C63216" w:rsidRDefault="00C63216" w:rsidP="00C63216">
            <w:pPr>
              <w:pStyle w:val="TableTextLeft"/>
            </w:pPr>
            <w:r>
              <w:t>Retail OTC derivative issuers</w:t>
            </w:r>
          </w:p>
        </w:tc>
        <w:tc>
          <w:tcPr>
            <w:tcW w:w="834" w:type="pct"/>
          </w:tcPr>
          <w:p w14:paraId="5A855324" w14:textId="5B3509A3" w:rsidR="00C63216" w:rsidRDefault="00C63216" w:rsidP="00C63216">
            <w:pPr>
              <w:pStyle w:val="TableTextLeft"/>
            </w:pPr>
            <w:r w:rsidRPr="00E10450">
              <w:t>$29,557 for an entity licensed for the full year</w:t>
            </w:r>
          </w:p>
        </w:tc>
        <w:tc>
          <w:tcPr>
            <w:tcW w:w="833" w:type="pct"/>
          </w:tcPr>
          <w:p w14:paraId="47D38157" w14:textId="53B72CA5" w:rsidR="00C63216" w:rsidRDefault="00C63216" w:rsidP="00C63216">
            <w:pPr>
              <w:pStyle w:val="TableTextLeft"/>
            </w:pPr>
            <w:r w:rsidRPr="00E10450">
              <w:t>$2,942 for an entity licensed for the full year</w:t>
            </w:r>
          </w:p>
        </w:tc>
        <w:tc>
          <w:tcPr>
            <w:tcW w:w="833" w:type="pct"/>
          </w:tcPr>
          <w:p w14:paraId="1815CAB6" w14:textId="3E62899C" w:rsidR="00C63216" w:rsidRDefault="00C63216" w:rsidP="00C63216">
            <w:pPr>
              <w:pStyle w:val="TableTextLeft"/>
            </w:pPr>
            <w:r w:rsidRPr="00E10450">
              <w:t>$334 for an entity licensed for the full year</w:t>
            </w:r>
          </w:p>
        </w:tc>
        <w:tc>
          <w:tcPr>
            <w:tcW w:w="833" w:type="pct"/>
          </w:tcPr>
          <w:p w14:paraId="170E755F" w14:textId="72D9F85D" w:rsidR="00C63216" w:rsidRDefault="00C63216" w:rsidP="00C63216">
            <w:pPr>
              <w:pStyle w:val="TableTextLeft"/>
            </w:pPr>
            <w:r w:rsidRPr="00E10450">
              <w:t>-$83 for an entity licensed for the full year</w:t>
            </w:r>
            <w:r w:rsidR="008B5DD8">
              <w:fldChar w:fldCharType="begin"/>
            </w:r>
            <w:r w:rsidR="008B5DD8">
              <w:instrText xml:space="preserve"> NOTEREF _Ref202435248 \f \h </w:instrText>
            </w:r>
            <w:r w:rsidR="008B5DD8">
              <w:fldChar w:fldCharType="separate"/>
            </w:r>
            <w:r w:rsidR="00B87979" w:rsidRPr="00B87979">
              <w:rPr>
                <w:rStyle w:val="FootnoteReference"/>
              </w:rPr>
              <w:t>11</w:t>
            </w:r>
            <w:r w:rsidR="008B5DD8">
              <w:fldChar w:fldCharType="end"/>
            </w:r>
          </w:p>
        </w:tc>
        <w:tc>
          <w:tcPr>
            <w:tcW w:w="833" w:type="pct"/>
          </w:tcPr>
          <w:p w14:paraId="45ECEB6B" w14:textId="20EAAA30" w:rsidR="00C63216" w:rsidRDefault="00C63216" w:rsidP="00C63216">
            <w:pPr>
              <w:pStyle w:val="TableTextLeft"/>
            </w:pPr>
            <w:r w:rsidRPr="00E10450">
              <w:t>$16,989 for an entity licensed for the full year</w:t>
            </w:r>
          </w:p>
        </w:tc>
      </w:tr>
      <w:tr w:rsidR="00A33CA4" w14:paraId="70016383" w14:textId="77777777" w:rsidTr="00FF2F95">
        <w:trPr>
          <w:trHeight w:val="270"/>
        </w:trPr>
        <w:tc>
          <w:tcPr>
            <w:tcW w:w="5000" w:type="pct"/>
            <w:gridSpan w:val="6"/>
            <w:shd w:val="clear" w:color="auto" w:fill="F2F2F2" w:themeFill="background1" w:themeFillShade="F2"/>
          </w:tcPr>
          <w:p w14:paraId="7BA702B2" w14:textId="084FB48D" w:rsidR="00793468" w:rsidRPr="0064108A" w:rsidRDefault="00793468" w:rsidP="00793468">
            <w:pPr>
              <w:pStyle w:val="TableTextLeft"/>
              <w:keepNext/>
              <w:rPr>
                <w:b/>
              </w:rPr>
            </w:pPr>
            <w:r w:rsidRPr="0064108A">
              <w:rPr>
                <w:b/>
                <w:bCs/>
              </w:rPr>
              <w:t>Financial advice sector</w:t>
            </w:r>
          </w:p>
        </w:tc>
      </w:tr>
      <w:tr w:rsidR="00C63216" w:rsidRPr="00BB387D" w14:paraId="5E08239D" w14:textId="7A87A5F9" w:rsidTr="00FF2F95">
        <w:trPr>
          <w:trHeight w:val="270"/>
        </w:trPr>
        <w:tc>
          <w:tcPr>
            <w:tcW w:w="834" w:type="pct"/>
          </w:tcPr>
          <w:p w14:paraId="2E032236" w14:textId="794B25E2" w:rsidR="00C63216" w:rsidRPr="00BB387D" w:rsidRDefault="00C63216" w:rsidP="00C63216">
            <w:pPr>
              <w:pStyle w:val="TableTextLeft"/>
            </w:pPr>
            <w:r w:rsidRPr="00BB387D">
              <w:t>Licensees that provide personal advice to retail clients on relevant financial products</w:t>
            </w:r>
          </w:p>
        </w:tc>
        <w:tc>
          <w:tcPr>
            <w:tcW w:w="834" w:type="pct"/>
          </w:tcPr>
          <w:p w14:paraId="494433C7" w14:textId="0C4A1E4D" w:rsidR="00C63216" w:rsidRPr="00BB387D" w:rsidRDefault="00C63216" w:rsidP="00C63216">
            <w:pPr>
              <w:pStyle w:val="TableTextLeft"/>
            </w:pPr>
            <w:r w:rsidRPr="00BB387D">
              <w:t>$130 per adviser</w:t>
            </w:r>
          </w:p>
        </w:tc>
        <w:tc>
          <w:tcPr>
            <w:tcW w:w="833" w:type="pct"/>
          </w:tcPr>
          <w:p w14:paraId="5883420B" w14:textId="4FE5514C" w:rsidR="00C63216" w:rsidRPr="00BB387D" w:rsidRDefault="00C63216" w:rsidP="00C63216">
            <w:pPr>
              <w:pStyle w:val="TableTextLeft"/>
            </w:pPr>
            <w:r w:rsidRPr="00BB387D">
              <w:t>$497 per adviser</w:t>
            </w:r>
          </w:p>
        </w:tc>
        <w:tc>
          <w:tcPr>
            <w:tcW w:w="833" w:type="pct"/>
          </w:tcPr>
          <w:p w14:paraId="3E89774A" w14:textId="4FD14243" w:rsidR="00C63216" w:rsidRPr="00BB387D" w:rsidRDefault="00C63216" w:rsidP="00C63216">
            <w:pPr>
              <w:pStyle w:val="TableTextLeft"/>
            </w:pPr>
            <w:r w:rsidRPr="00BB387D">
              <w:t>$42 per adviser</w:t>
            </w:r>
          </w:p>
        </w:tc>
        <w:tc>
          <w:tcPr>
            <w:tcW w:w="833" w:type="pct"/>
          </w:tcPr>
          <w:p w14:paraId="3AB21CD0" w14:textId="10C1342C" w:rsidR="00C63216" w:rsidRPr="00BB387D" w:rsidRDefault="00C63216" w:rsidP="00C63216">
            <w:pPr>
              <w:pStyle w:val="TableTextLeft"/>
            </w:pPr>
            <w:r w:rsidRPr="00BB387D">
              <w:t>$43 per adviser</w:t>
            </w:r>
          </w:p>
        </w:tc>
        <w:tc>
          <w:tcPr>
            <w:tcW w:w="833" w:type="pct"/>
          </w:tcPr>
          <w:p w14:paraId="0CFF1ACF" w14:textId="640ED0AA" w:rsidR="00C63216" w:rsidRPr="00BB387D" w:rsidRDefault="00C63216" w:rsidP="00C63216">
            <w:pPr>
              <w:pStyle w:val="TableTextLeft"/>
            </w:pPr>
            <w:r w:rsidRPr="00BB387D">
              <w:t>$738 per adviser</w:t>
            </w:r>
          </w:p>
        </w:tc>
      </w:tr>
      <w:tr w:rsidR="00C63216" w14:paraId="372699B0" w14:textId="7D468A22" w:rsidTr="00FF2F95">
        <w:trPr>
          <w:trHeight w:val="270"/>
        </w:trPr>
        <w:tc>
          <w:tcPr>
            <w:tcW w:w="834" w:type="pct"/>
          </w:tcPr>
          <w:p w14:paraId="5DBA713E" w14:textId="5EE2B393" w:rsidR="00C63216" w:rsidRDefault="00C63216" w:rsidP="00C63216">
            <w:pPr>
              <w:pStyle w:val="TableTextLeft"/>
            </w:pPr>
            <w:r>
              <w:t>Licensees that provide personal advice to retail clients on products that are not relevant financial products</w:t>
            </w:r>
          </w:p>
        </w:tc>
        <w:tc>
          <w:tcPr>
            <w:tcW w:w="834" w:type="pct"/>
          </w:tcPr>
          <w:p w14:paraId="54974033" w14:textId="3B43531E" w:rsidR="00C63216" w:rsidRDefault="00C63216" w:rsidP="00C63216">
            <w:pPr>
              <w:pStyle w:val="TableTextLeft"/>
            </w:pPr>
            <w:r w:rsidRPr="00174350">
              <w:t>$3,981 for an entity licensed for the full year</w:t>
            </w:r>
          </w:p>
        </w:tc>
        <w:tc>
          <w:tcPr>
            <w:tcW w:w="833" w:type="pct"/>
          </w:tcPr>
          <w:p w14:paraId="4986B4DA" w14:textId="2270FED8" w:rsidR="00C63216" w:rsidRDefault="00C63216" w:rsidP="00C63216">
            <w:pPr>
              <w:pStyle w:val="TableTextLeft"/>
            </w:pPr>
            <w:r w:rsidRPr="00174350">
              <w:t>$2,897 for an entity licensed for the full year</w:t>
            </w:r>
          </w:p>
        </w:tc>
        <w:tc>
          <w:tcPr>
            <w:tcW w:w="833" w:type="pct"/>
          </w:tcPr>
          <w:p w14:paraId="4FD4DE3E" w14:textId="552867AD" w:rsidR="00C63216" w:rsidRDefault="00C63216" w:rsidP="00C63216">
            <w:pPr>
              <w:pStyle w:val="TableTextLeft"/>
            </w:pPr>
            <w:r w:rsidRPr="00174350">
              <w:t>$2,428 for an entity licensed for the full year</w:t>
            </w:r>
          </w:p>
        </w:tc>
        <w:tc>
          <w:tcPr>
            <w:tcW w:w="833" w:type="pct"/>
          </w:tcPr>
          <w:p w14:paraId="345EE291" w14:textId="685656DB" w:rsidR="00C63216" w:rsidRDefault="00C63216" w:rsidP="00C63216">
            <w:pPr>
              <w:pStyle w:val="TableTextLeft"/>
            </w:pPr>
            <w:r w:rsidRPr="00174350">
              <w:t>$1,196 for an entity licensed for the full year</w:t>
            </w:r>
          </w:p>
        </w:tc>
        <w:tc>
          <w:tcPr>
            <w:tcW w:w="833" w:type="pct"/>
          </w:tcPr>
          <w:p w14:paraId="03804B9E" w14:textId="14AB86EB" w:rsidR="00C63216" w:rsidRDefault="00C63216" w:rsidP="00C63216">
            <w:pPr>
              <w:pStyle w:val="TableTextLeft"/>
            </w:pPr>
            <w:r w:rsidRPr="00174350">
              <w:t>-$60 for an entity licensed for the full year</w:t>
            </w:r>
            <w:r w:rsidR="008B5DD8">
              <w:fldChar w:fldCharType="begin"/>
            </w:r>
            <w:r w:rsidR="008B5DD8">
              <w:instrText xml:space="preserve"> NOTEREF _Ref202435248 \f \h </w:instrText>
            </w:r>
            <w:r w:rsidR="008B5DD8">
              <w:fldChar w:fldCharType="separate"/>
            </w:r>
            <w:r w:rsidR="00B87979" w:rsidRPr="00B87979">
              <w:rPr>
                <w:rStyle w:val="FootnoteReference"/>
              </w:rPr>
              <w:t>11</w:t>
            </w:r>
            <w:r w:rsidR="008B5DD8">
              <w:fldChar w:fldCharType="end"/>
            </w:r>
          </w:p>
        </w:tc>
      </w:tr>
      <w:tr w:rsidR="00C63216" w14:paraId="40DFFCF2" w14:textId="3BCA593F" w:rsidTr="00FF2F95">
        <w:trPr>
          <w:trHeight w:val="270"/>
        </w:trPr>
        <w:tc>
          <w:tcPr>
            <w:tcW w:w="834" w:type="pct"/>
          </w:tcPr>
          <w:p w14:paraId="32F1719D" w14:textId="6BF79CA4" w:rsidR="00C63216" w:rsidRDefault="00C63216" w:rsidP="00C63216">
            <w:pPr>
              <w:pStyle w:val="TableTextLeft"/>
            </w:pPr>
            <w:r>
              <w:t>Licensees that provide general advice only</w:t>
            </w:r>
          </w:p>
        </w:tc>
        <w:tc>
          <w:tcPr>
            <w:tcW w:w="834" w:type="pct"/>
          </w:tcPr>
          <w:p w14:paraId="73A059A4" w14:textId="5AD8FDEA" w:rsidR="00C63216" w:rsidRDefault="00C63216" w:rsidP="00C63216">
            <w:pPr>
              <w:pStyle w:val="TableTextLeft"/>
            </w:pPr>
            <w:r w:rsidRPr="00174350">
              <w:t>$2,268 flat levy</w:t>
            </w:r>
          </w:p>
        </w:tc>
        <w:tc>
          <w:tcPr>
            <w:tcW w:w="833" w:type="pct"/>
          </w:tcPr>
          <w:p w14:paraId="699BDEF6" w14:textId="66CBC2B7" w:rsidR="00C63216" w:rsidRDefault="00C63216" w:rsidP="00C63216">
            <w:pPr>
              <w:pStyle w:val="TableTextLeft"/>
            </w:pPr>
            <w:r w:rsidRPr="00174350">
              <w:t>$2,928 flat levy</w:t>
            </w:r>
          </w:p>
        </w:tc>
        <w:tc>
          <w:tcPr>
            <w:tcW w:w="833" w:type="pct"/>
          </w:tcPr>
          <w:p w14:paraId="1BC58346" w14:textId="57988156" w:rsidR="00C63216" w:rsidRDefault="00C63216" w:rsidP="00C63216">
            <w:pPr>
              <w:pStyle w:val="TableTextLeft"/>
            </w:pPr>
            <w:r w:rsidRPr="00174350">
              <w:t>$1,290 flat levy</w:t>
            </w:r>
          </w:p>
        </w:tc>
        <w:tc>
          <w:tcPr>
            <w:tcW w:w="833" w:type="pct"/>
          </w:tcPr>
          <w:p w14:paraId="0349CA3B" w14:textId="641B5629" w:rsidR="00C63216" w:rsidRDefault="00C63216" w:rsidP="00C63216">
            <w:pPr>
              <w:pStyle w:val="TableTextLeft"/>
            </w:pPr>
            <w:r w:rsidRPr="00174350">
              <w:t>$1,295 flat levy</w:t>
            </w:r>
          </w:p>
        </w:tc>
        <w:tc>
          <w:tcPr>
            <w:tcW w:w="833" w:type="pct"/>
          </w:tcPr>
          <w:p w14:paraId="6231B877" w14:textId="353C0405" w:rsidR="00C63216" w:rsidRDefault="00C63216" w:rsidP="00C63216">
            <w:pPr>
              <w:pStyle w:val="TableTextLeft"/>
            </w:pPr>
            <w:r w:rsidRPr="00174350">
              <w:t>$721 flat levy</w:t>
            </w:r>
          </w:p>
        </w:tc>
      </w:tr>
      <w:tr w:rsidR="00A33CA4" w14:paraId="232589A9" w14:textId="77777777" w:rsidTr="00FF2F95">
        <w:trPr>
          <w:trHeight w:val="270"/>
        </w:trPr>
        <w:tc>
          <w:tcPr>
            <w:tcW w:w="5000" w:type="pct"/>
            <w:gridSpan w:val="6"/>
            <w:shd w:val="clear" w:color="auto" w:fill="F2F2F2" w:themeFill="background1" w:themeFillShade="F2"/>
          </w:tcPr>
          <w:p w14:paraId="64F5A962" w14:textId="792D9B24" w:rsidR="00793468" w:rsidRPr="0051100D" w:rsidRDefault="00793468" w:rsidP="00793468">
            <w:pPr>
              <w:pStyle w:val="TableTextLeft"/>
              <w:keepNext/>
              <w:rPr>
                <w:b/>
              </w:rPr>
            </w:pPr>
            <w:r w:rsidRPr="0051100D">
              <w:rPr>
                <w:b/>
                <w:bCs/>
              </w:rPr>
              <w:t>Insurance sector</w:t>
            </w:r>
          </w:p>
        </w:tc>
      </w:tr>
      <w:tr w:rsidR="00701850" w14:paraId="22914F7D" w14:textId="66B08593" w:rsidTr="00FF2F95">
        <w:trPr>
          <w:trHeight w:val="270"/>
        </w:trPr>
        <w:tc>
          <w:tcPr>
            <w:tcW w:w="834" w:type="pct"/>
          </w:tcPr>
          <w:p w14:paraId="57D1A1F3" w14:textId="3BA325A2" w:rsidR="00701850" w:rsidRPr="009B0B98" w:rsidRDefault="00701850" w:rsidP="00701850">
            <w:pPr>
              <w:pStyle w:val="TableTextLeft"/>
            </w:pPr>
            <w:r>
              <w:t>Insurance product providers</w:t>
            </w:r>
          </w:p>
        </w:tc>
        <w:tc>
          <w:tcPr>
            <w:tcW w:w="834" w:type="pct"/>
          </w:tcPr>
          <w:p w14:paraId="203EC53D" w14:textId="198642B1" w:rsidR="00701850" w:rsidRDefault="00701850" w:rsidP="00701850">
            <w:pPr>
              <w:pStyle w:val="TableTextLeft"/>
            </w:pPr>
            <w:r w:rsidRPr="0011760E">
              <w:t>$0.35 per $10,000 of revenue above the $5 million threshold</w:t>
            </w:r>
          </w:p>
        </w:tc>
        <w:tc>
          <w:tcPr>
            <w:tcW w:w="833" w:type="pct"/>
          </w:tcPr>
          <w:p w14:paraId="23218676" w14:textId="131A0706" w:rsidR="00701850" w:rsidRDefault="00701850" w:rsidP="00701850">
            <w:pPr>
              <w:pStyle w:val="TableTextLeft"/>
            </w:pPr>
            <w:r w:rsidRPr="0011760E">
              <w:t>$0.04 per $10,000 of revenue above the $5 million threshold</w:t>
            </w:r>
          </w:p>
        </w:tc>
        <w:tc>
          <w:tcPr>
            <w:tcW w:w="833" w:type="pct"/>
          </w:tcPr>
          <w:p w14:paraId="5830136A" w14:textId="739BCD39" w:rsidR="00701850" w:rsidRDefault="00701850" w:rsidP="00701850">
            <w:pPr>
              <w:pStyle w:val="TableTextLeft"/>
            </w:pPr>
            <w:r w:rsidRPr="0011760E">
              <w:t>$0.37 per $10,000 of revenue above the $5 million threshold</w:t>
            </w:r>
          </w:p>
        </w:tc>
        <w:tc>
          <w:tcPr>
            <w:tcW w:w="833" w:type="pct"/>
          </w:tcPr>
          <w:p w14:paraId="4765AC57" w14:textId="60EB9F1E" w:rsidR="00701850" w:rsidRDefault="00701850" w:rsidP="00701850">
            <w:pPr>
              <w:pStyle w:val="TableTextLeft"/>
            </w:pPr>
            <w:r w:rsidRPr="0011760E">
              <w:t>$0.25 per $10,000 of revenue above the $5 million threshold</w:t>
            </w:r>
          </w:p>
        </w:tc>
        <w:tc>
          <w:tcPr>
            <w:tcW w:w="833" w:type="pct"/>
          </w:tcPr>
          <w:p w14:paraId="684F1396" w14:textId="35BDF23A" w:rsidR="00701850" w:rsidRDefault="00701850" w:rsidP="00701850">
            <w:pPr>
              <w:pStyle w:val="TableTextLeft"/>
            </w:pPr>
            <w:r w:rsidRPr="0011760E">
              <w:t>$0.45 per $10,000 of revenue above the $5 million threshold</w:t>
            </w:r>
          </w:p>
        </w:tc>
      </w:tr>
      <w:tr w:rsidR="00701850" w14:paraId="44EDA9D2" w14:textId="6C15E8D3" w:rsidTr="00FF2F95">
        <w:trPr>
          <w:trHeight w:val="270"/>
        </w:trPr>
        <w:tc>
          <w:tcPr>
            <w:tcW w:w="834" w:type="pct"/>
          </w:tcPr>
          <w:p w14:paraId="16929F58" w14:textId="6C98B927" w:rsidR="00701850" w:rsidRDefault="00701850" w:rsidP="00701850">
            <w:pPr>
              <w:pStyle w:val="TableTextLeft"/>
            </w:pPr>
            <w:r>
              <w:t>Insurance product distributors</w:t>
            </w:r>
          </w:p>
        </w:tc>
        <w:tc>
          <w:tcPr>
            <w:tcW w:w="834" w:type="pct"/>
          </w:tcPr>
          <w:p w14:paraId="11F79F8E" w14:textId="0B6BE943" w:rsidR="00701850" w:rsidRDefault="00701850" w:rsidP="00701850">
            <w:pPr>
              <w:pStyle w:val="TableTextLeft"/>
            </w:pPr>
            <w:r w:rsidRPr="0011760E">
              <w:t>$756 flat levy</w:t>
            </w:r>
          </w:p>
        </w:tc>
        <w:tc>
          <w:tcPr>
            <w:tcW w:w="833" w:type="pct"/>
          </w:tcPr>
          <w:p w14:paraId="63B0C0FB" w14:textId="4B52E813" w:rsidR="00701850" w:rsidRDefault="00701850" w:rsidP="00701850">
            <w:pPr>
              <w:pStyle w:val="TableTextLeft"/>
            </w:pPr>
            <w:r w:rsidRPr="0011760E">
              <w:t>$2,928 flat levy</w:t>
            </w:r>
          </w:p>
        </w:tc>
        <w:tc>
          <w:tcPr>
            <w:tcW w:w="833" w:type="pct"/>
          </w:tcPr>
          <w:p w14:paraId="0EE85872" w14:textId="33E01142" w:rsidR="00701850" w:rsidRDefault="00701850" w:rsidP="00701850">
            <w:pPr>
              <w:pStyle w:val="TableTextLeft"/>
            </w:pPr>
            <w:r w:rsidRPr="0011760E">
              <w:t>$1,056 flat levy</w:t>
            </w:r>
          </w:p>
        </w:tc>
        <w:tc>
          <w:tcPr>
            <w:tcW w:w="833" w:type="pct"/>
          </w:tcPr>
          <w:p w14:paraId="0295B92D" w14:textId="295BC113" w:rsidR="00701850" w:rsidRDefault="00701850" w:rsidP="00701850">
            <w:pPr>
              <w:pStyle w:val="TableTextLeft"/>
            </w:pPr>
            <w:r w:rsidRPr="0011760E">
              <w:t>$1,148 flat levy</w:t>
            </w:r>
          </w:p>
        </w:tc>
        <w:tc>
          <w:tcPr>
            <w:tcW w:w="833" w:type="pct"/>
          </w:tcPr>
          <w:p w14:paraId="35E0BA74" w14:textId="756110C7" w:rsidR="00701850" w:rsidRDefault="00701850" w:rsidP="00701850">
            <w:pPr>
              <w:pStyle w:val="TableTextLeft"/>
            </w:pPr>
            <w:r w:rsidRPr="0011760E">
              <w:t>$72 flat levy</w:t>
            </w:r>
          </w:p>
        </w:tc>
      </w:tr>
      <w:tr w:rsidR="00701850" w14:paraId="4B3795F1" w14:textId="76396341" w:rsidTr="00FF2F95">
        <w:trPr>
          <w:trHeight w:val="270"/>
        </w:trPr>
        <w:tc>
          <w:tcPr>
            <w:tcW w:w="834" w:type="pct"/>
          </w:tcPr>
          <w:p w14:paraId="197F3AEB" w14:textId="2E8013D2" w:rsidR="00701850" w:rsidRDefault="00701850" w:rsidP="00701850">
            <w:pPr>
              <w:pStyle w:val="TableTextLeft"/>
            </w:pPr>
            <w:r>
              <w:t>Risk management product providers</w:t>
            </w:r>
          </w:p>
        </w:tc>
        <w:tc>
          <w:tcPr>
            <w:tcW w:w="834" w:type="pct"/>
          </w:tcPr>
          <w:p w14:paraId="41040E88" w14:textId="39E2F23E" w:rsidR="00701850" w:rsidRDefault="00701850" w:rsidP="00701850">
            <w:pPr>
              <w:pStyle w:val="TableTextLeft"/>
            </w:pPr>
            <w:r w:rsidRPr="0011760E">
              <w:t>$48,936 for an entity licensed for the full year</w:t>
            </w:r>
          </w:p>
        </w:tc>
        <w:tc>
          <w:tcPr>
            <w:tcW w:w="833" w:type="pct"/>
          </w:tcPr>
          <w:p w14:paraId="53AE43FB" w14:textId="0EAFFEE2" w:rsidR="00701850" w:rsidRDefault="00701850" w:rsidP="00701850">
            <w:pPr>
              <w:pStyle w:val="TableTextLeft"/>
            </w:pPr>
            <w:r w:rsidRPr="0011760E">
              <w:t>$2,894 for an entity licensed for the full year</w:t>
            </w:r>
          </w:p>
        </w:tc>
        <w:tc>
          <w:tcPr>
            <w:tcW w:w="833" w:type="pct"/>
          </w:tcPr>
          <w:p w14:paraId="5F72E673" w14:textId="422B15EB" w:rsidR="00701850" w:rsidRDefault="00701850" w:rsidP="00701850">
            <w:pPr>
              <w:pStyle w:val="TableTextLeft"/>
            </w:pPr>
            <w:r w:rsidRPr="0011760E">
              <w:t>$604 for an entity licensed for the full year</w:t>
            </w:r>
          </w:p>
        </w:tc>
        <w:tc>
          <w:tcPr>
            <w:tcW w:w="833" w:type="pct"/>
          </w:tcPr>
          <w:p w14:paraId="55FFA3B1" w14:textId="4590A1AF" w:rsidR="00701850" w:rsidRDefault="00701850" w:rsidP="00701850">
            <w:pPr>
              <w:pStyle w:val="TableTextLeft"/>
            </w:pPr>
            <w:r w:rsidRPr="0011760E">
              <w:t>$144 for an entity licensed for the full year</w:t>
            </w:r>
          </w:p>
        </w:tc>
        <w:tc>
          <w:tcPr>
            <w:tcW w:w="833" w:type="pct"/>
          </w:tcPr>
          <w:p w14:paraId="3C012F7A" w14:textId="0A9B4D64" w:rsidR="00701850" w:rsidRDefault="00701850" w:rsidP="00701850">
            <w:pPr>
              <w:pStyle w:val="TableTextLeft"/>
            </w:pPr>
            <w:r w:rsidRPr="0011760E">
              <w:t>$456 for an entity licensed for the full year</w:t>
            </w:r>
          </w:p>
        </w:tc>
      </w:tr>
      <w:tr w:rsidR="00701850" w14:paraId="57198E9A" w14:textId="44FB5C04" w:rsidTr="00FF2F95">
        <w:trPr>
          <w:trHeight w:val="270"/>
        </w:trPr>
        <w:tc>
          <w:tcPr>
            <w:tcW w:w="834" w:type="pct"/>
          </w:tcPr>
          <w:p w14:paraId="1099DD07" w14:textId="0A80A08F" w:rsidR="00701850" w:rsidRDefault="00701850" w:rsidP="00701850">
            <w:pPr>
              <w:pStyle w:val="TableTextLeft"/>
            </w:pPr>
            <w:r>
              <w:lastRenderedPageBreak/>
              <w:t>Claims handling and settling services providers</w:t>
            </w:r>
          </w:p>
        </w:tc>
        <w:tc>
          <w:tcPr>
            <w:tcW w:w="834" w:type="pct"/>
          </w:tcPr>
          <w:p w14:paraId="79C1038C" w14:textId="6B7446D7" w:rsidR="00701850" w:rsidRDefault="00701850" w:rsidP="00701850">
            <w:pPr>
              <w:pStyle w:val="TableTextLeft"/>
            </w:pPr>
            <w:r w:rsidRPr="0011760E">
              <w:t>$0.33 per claim under insurance products in relation to which the entity provides claims handling and settling services</w:t>
            </w:r>
          </w:p>
        </w:tc>
        <w:tc>
          <w:tcPr>
            <w:tcW w:w="833" w:type="pct"/>
          </w:tcPr>
          <w:p w14:paraId="7CB1FFED" w14:textId="0193D781" w:rsidR="00701850" w:rsidRDefault="00701850" w:rsidP="00701850">
            <w:pPr>
              <w:pStyle w:val="TableTextLeft"/>
            </w:pPr>
            <w:r w:rsidRPr="0011760E">
              <w:t>$0.14 per claim under insurance products in relation to which the entity provides claims handling and settling services</w:t>
            </w:r>
          </w:p>
        </w:tc>
        <w:tc>
          <w:tcPr>
            <w:tcW w:w="833" w:type="pct"/>
          </w:tcPr>
          <w:p w14:paraId="53B420DB" w14:textId="4EAEF979" w:rsidR="00701850" w:rsidRDefault="00701850" w:rsidP="00701850">
            <w:pPr>
              <w:pStyle w:val="TableTextLeft"/>
            </w:pPr>
            <w:r w:rsidRPr="0011760E">
              <w:t>$0.14 per claim under insurance products in relation to which the entity provides claims handling and settling services</w:t>
            </w:r>
          </w:p>
        </w:tc>
        <w:tc>
          <w:tcPr>
            <w:tcW w:w="833" w:type="pct"/>
          </w:tcPr>
          <w:p w14:paraId="405D51D7" w14:textId="6670DB79" w:rsidR="00701850" w:rsidRDefault="00701850" w:rsidP="00701850">
            <w:pPr>
              <w:pStyle w:val="TableTextLeft"/>
            </w:pPr>
            <w:r w:rsidRPr="0011760E">
              <w:t>$0.03 per claim under insurance products in relation to which the entity provides claims handling and settling services</w:t>
            </w:r>
          </w:p>
        </w:tc>
        <w:tc>
          <w:tcPr>
            <w:tcW w:w="833" w:type="pct"/>
          </w:tcPr>
          <w:p w14:paraId="72F0530F" w14:textId="4FC9C0E3" w:rsidR="00701850" w:rsidRDefault="00701850" w:rsidP="00701850">
            <w:pPr>
              <w:pStyle w:val="TableTextLeft"/>
            </w:pPr>
            <w:r w:rsidRPr="0011760E">
              <w:t>$0.26 per claim under insurance products in relation to which the entity provides claims handling and settling services</w:t>
            </w:r>
          </w:p>
        </w:tc>
      </w:tr>
    </w:tbl>
    <w:p w14:paraId="52004181" w14:textId="5C6EC257" w:rsidR="00675922" w:rsidRPr="00675922" w:rsidRDefault="00675922" w:rsidP="00675922"/>
    <w:sectPr w:rsidR="00675922" w:rsidRPr="00675922" w:rsidSect="007278A3">
      <w:headerReference w:type="even" r:id="rId35"/>
      <w:headerReference w:type="default" r:id="rId36"/>
      <w:footerReference w:type="default" r:id="rId37"/>
      <w:headerReference w:type="first" r:id="rId38"/>
      <w:pgSz w:w="16838" w:h="11906" w:orient="landscape"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716C9" w14:textId="77777777" w:rsidR="00D96D7C" w:rsidRDefault="00D96D7C">
      <w:pPr>
        <w:spacing w:before="0" w:after="0"/>
      </w:pPr>
      <w:r>
        <w:separator/>
      </w:r>
    </w:p>
  </w:endnote>
  <w:endnote w:type="continuationSeparator" w:id="0">
    <w:p w14:paraId="15BD81AA" w14:textId="77777777" w:rsidR="00D96D7C" w:rsidRDefault="00D96D7C">
      <w:pPr>
        <w:spacing w:before="0" w:after="0"/>
      </w:pPr>
      <w:r>
        <w:continuationSeparator/>
      </w:r>
    </w:p>
  </w:endnote>
  <w:endnote w:type="continuationNotice" w:id="1">
    <w:p w14:paraId="5CF122B9" w14:textId="77777777" w:rsidR="00D96D7C" w:rsidRDefault="00D96D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5E51" w14:textId="77777777" w:rsidR="002314D2"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AEEA" w14:textId="7ABAFD7A" w:rsidR="009927E5" w:rsidRPr="008043EA" w:rsidRDefault="009927E5" w:rsidP="0009151A">
    <w:r w:rsidRPr="00742366">
      <w:rPr>
        <w:noProof/>
      </w:rPr>
      <w:drawing>
        <wp:anchor distT="0" distB="0" distL="114300" distR="114300" simplePos="0" relativeHeight="251658240" behindDoc="1" locked="1" layoutInCell="1" allowOverlap="1" wp14:anchorId="35D1A026" wp14:editId="45F996BD">
          <wp:simplePos x="0" y="0"/>
          <wp:positionH relativeFrom="margin">
            <wp:posOffset>5459095</wp:posOffset>
          </wp:positionH>
          <wp:positionV relativeFrom="page">
            <wp:posOffset>3280410</wp:posOffset>
          </wp:positionV>
          <wp:extent cx="7574280" cy="1043940"/>
          <wp:effectExtent l="7620" t="0" r="0" b="0"/>
          <wp:wrapNone/>
          <wp:docPr id="1805772103" name="Picture 180577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0" wp14:anchorId="1318AEB3" wp14:editId="4CA1DB0C">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51309336" name="Picture 35130933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22563" name="Picture 828022563" descr="Logo"/>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B87979">
        <w:rPr>
          <w:noProof/>
        </w:rPr>
        <w:t>Contents</w:t>
      </w:r>
    </w:fldSimple>
    <w:r>
      <w:t xml:space="preserve"> | </w:t>
    </w:r>
    <w:r>
      <w:fldChar w:fldCharType="begin"/>
    </w:r>
    <w:r>
      <w:instrText xml:space="preserve"> PAGE   \* MERGEFORMAT </w:instrText>
    </w:r>
    <w:r>
      <w:fldChar w:fldCharType="separate"/>
    </w:r>
    <w:r>
      <w:t>1</w:t>
    </w:r>
    <w:r>
      <w:fldChar w:fldCharType="end"/>
    </w:r>
  </w:p>
  <w:p w14:paraId="768D3287" w14:textId="77777777" w:rsidR="009927E5"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A568" w14:textId="77777777" w:rsidR="00E81A40"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CCEF" w14:textId="7837B979" w:rsidR="00E81A40" w:rsidRDefault="00E81A40" w:rsidP="00E13E90">
    <w:pPr>
      <w:pStyle w:val="Footer"/>
    </w:pPr>
    <w:r w:rsidRPr="00742366">
      <w:drawing>
        <wp:anchor distT="0" distB="0" distL="114300" distR="114300" simplePos="0" relativeHeight="251658241" behindDoc="1" locked="1" layoutInCell="1" allowOverlap="1" wp14:anchorId="27401DDD" wp14:editId="61C67043">
          <wp:simplePos x="0" y="0"/>
          <wp:positionH relativeFrom="margin">
            <wp:posOffset>5459095</wp:posOffset>
          </wp:positionH>
          <wp:positionV relativeFrom="page">
            <wp:posOffset>3280410</wp:posOffset>
          </wp:positionV>
          <wp:extent cx="7574280" cy="1043940"/>
          <wp:effectExtent l="7620" t="0" r="0" b="0"/>
          <wp:wrapNone/>
          <wp:docPr id="1373241684" name="Picture 137324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4CDB766" wp14:editId="635DF55A">
          <wp:extent cx="1324800" cy="201600"/>
          <wp:effectExtent l="0" t="0" r="0" b="8255"/>
          <wp:docPr id="2041353338" name="Picture 20413533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2A3DEA">
        <w:t>Compensation Scheme of Last Resort: exceeding sub-sector levy caps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603A2" w14:textId="77777777" w:rsidR="00E81A40" w:rsidRDefault="00E81A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75881" w14:textId="77777777" w:rsidR="00CB0486" w:rsidRPr="00E77C89" w:rsidRDefault="00CB0486" w:rsidP="0017089D">
    <w:r>
      <w:fldChar w:fldCharType="begin"/>
    </w:r>
    <w:r>
      <w:instrText xml:space="preserve"> PAGE  \* Arabic  \* MERGEFORMAT </w:instrText>
    </w:r>
    <w:r>
      <w:fldChar w:fldCharType="separate"/>
    </w:r>
    <w:r>
      <w:t>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7084" w14:textId="2B795447" w:rsidR="00CB0486" w:rsidRDefault="00CB0486" w:rsidP="00F343CC">
    <w:pPr>
      <w:pStyle w:val="Footer"/>
      <w:tabs>
        <w:tab w:val="clear" w:pos="9072"/>
        <w:tab w:val="center" w:pos="13467"/>
      </w:tabs>
    </w:pPr>
    <w:r w:rsidRPr="00EF03E1">
      <w:rPr>
        <w:position w:val="-10"/>
      </w:rPr>
      <w:drawing>
        <wp:inline distT="0" distB="0" distL="0" distR="0" wp14:anchorId="5D18C77F" wp14:editId="039655D3">
          <wp:extent cx="1324800" cy="201600"/>
          <wp:effectExtent l="0" t="0" r="0" b="8255"/>
          <wp:docPr id="1682674575" name="Picture 168267457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75748" name="Picture 2075975748" descr="Logo"/>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2A3DEA">
        <w:t>Appendix A: ASIC IFM sub-sectors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CA2C" w14:textId="77777777" w:rsidR="00CB0486" w:rsidRDefault="00CB048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8D01" w14:textId="7D1773C1" w:rsidR="00C31490" w:rsidRDefault="00DD3B84" w:rsidP="00F343CC">
    <w:pPr>
      <w:pStyle w:val="Footer"/>
      <w:tabs>
        <w:tab w:val="clear" w:pos="9072"/>
        <w:tab w:val="center" w:pos="13467"/>
      </w:tabs>
    </w:pPr>
    <w:r w:rsidRPr="00EF03E1">
      <w:rPr>
        <w:position w:val="-10"/>
      </w:rPr>
      <w:drawing>
        <wp:inline distT="0" distB="0" distL="0" distR="0" wp14:anchorId="40331457" wp14:editId="02A01132">
          <wp:extent cx="1324800" cy="201600"/>
          <wp:effectExtent l="0" t="0" r="0" b="8255"/>
          <wp:docPr id="1515393631" name="Picture 15153936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75748" name="Picture 2075975748" descr="Logo"/>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2A3DEA">
        <w:t>Appendix B: Illustrative estimates of special levy options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9FB0" w14:textId="77777777" w:rsidR="00D96D7C" w:rsidRDefault="00D96D7C">
      <w:pPr>
        <w:spacing w:before="0" w:after="0"/>
      </w:pPr>
      <w:r>
        <w:separator/>
      </w:r>
    </w:p>
  </w:footnote>
  <w:footnote w:type="continuationSeparator" w:id="0">
    <w:p w14:paraId="58A38C58" w14:textId="77777777" w:rsidR="00D96D7C" w:rsidRDefault="00D96D7C">
      <w:pPr>
        <w:spacing w:before="0" w:after="0"/>
      </w:pPr>
      <w:r>
        <w:continuationSeparator/>
      </w:r>
    </w:p>
  </w:footnote>
  <w:footnote w:type="continuationNotice" w:id="1">
    <w:p w14:paraId="1EBB8558" w14:textId="77777777" w:rsidR="00D96D7C" w:rsidRDefault="00D96D7C">
      <w:pPr>
        <w:spacing w:before="0" w:after="0"/>
      </w:pPr>
    </w:p>
  </w:footnote>
  <w:footnote w:id="2">
    <w:p w14:paraId="3F659602" w14:textId="0C545D37" w:rsidR="00E839E9" w:rsidRDefault="00E839E9">
      <w:pPr>
        <w:pStyle w:val="FootnoteText"/>
      </w:pPr>
      <w:r>
        <w:rPr>
          <w:rStyle w:val="FootnoteReference"/>
        </w:rPr>
        <w:footnoteRef/>
      </w:r>
      <w:r>
        <w:t xml:space="preserve"> </w:t>
      </w:r>
      <w:r w:rsidR="00D44184" w:rsidRPr="00D44184">
        <w:t xml:space="preserve">Estimate provided by ASIC derived from </w:t>
      </w:r>
      <w:r w:rsidR="00D44184" w:rsidRPr="008356EF">
        <w:rPr>
          <w:i/>
          <w:iCs/>
        </w:rPr>
        <w:t>ASIC (Supervisory Cost Recovery Levy—Annual Determination) Instrument 2024/822</w:t>
      </w:r>
      <w:r w:rsidR="008356EF">
        <w:t xml:space="preserve">. Data as </w:t>
      </w:r>
      <w:proofErr w:type="gramStart"/>
      <w:r w:rsidR="008356EF">
        <w:t>at</w:t>
      </w:r>
      <w:proofErr w:type="gramEnd"/>
      <w:r w:rsidR="008356EF">
        <w:t xml:space="preserve"> 30 June 2024. </w:t>
      </w:r>
    </w:p>
  </w:footnote>
  <w:footnote w:id="3">
    <w:p w14:paraId="1A4E1819" w14:textId="0A7F85B3" w:rsidR="00154DA8" w:rsidRDefault="00154DA8" w:rsidP="007266D0">
      <w:pPr>
        <w:pStyle w:val="FootnoteText"/>
        <w:ind w:left="113" w:hanging="113"/>
      </w:pPr>
      <w:r>
        <w:rPr>
          <w:rStyle w:val="FootnoteReference"/>
        </w:rPr>
        <w:footnoteRef/>
      </w:r>
      <w:r>
        <w:t xml:space="preserve"> </w:t>
      </w:r>
      <w:r w:rsidR="008356EF" w:rsidRPr="008356EF">
        <w:t>Estimate provided by ASIC based only on the licen</w:t>
      </w:r>
      <w:r w:rsidR="009D0E9A">
        <w:t>c</w:t>
      </w:r>
      <w:r w:rsidR="008356EF" w:rsidRPr="008356EF">
        <w:t>e conditions of Australian Financial Services Licensees or Credit Licensees</w:t>
      </w:r>
      <w:r w:rsidR="008356EF">
        <w:t xml:space="preserve">. </w:t>
      </w:r>
      <w:r w:rsidR="0062226B">
        <w:t xml:space="preserve">Entities </w:t>
      </w:r>
      <w:r w:rsidR="008356EF">
        <w:t>that</w:t>
      </w:r>
      <w:r w:rsidR="0062226B">
        <w:t xml:space="preserve"> fall within the relevant qualifying period, and that are required by a law of the Commonwealth (directly or indirectly) to be members of AFCA can be liable for CSLR levies.</w:t>
      </w:r>
    </w:p>
  </w:footnote>
  <w:footnote w:id="4">
    <w:p w14:paraId="1BE39025" w14:textId="05FA24F0" w:rsidR="00154DA8" w:rsidRPr="006B2C34" w:rsidRDefault="00154DA8" w:rsidP="002B1EE7">
      <w:pPr>
        <w:pStyle w:val="FootnoteText"/>
        <w:ind w:left="113" w:hanging="113"/>
      </w:pPr>
      <w:r>
        <w:rPr>
          <w:rStyle w:val="FootnoteReference"/>
        </w:rPr>
        <w:footnoteRef/>
      </w:r>
      <w:r>
        <w:t xml:space="preserve"> </w:t>
      </w:r>
      <w:r w:rsidR="00CA3B43">
        <w:t>Derived from Treasur</w:t>
      </w:r>
      <w:r w:rsidR="00D11912">
        <w:t xml:space="preserve">y, </w:t>
      </w:r>
      <w:r w:rsidR="006B2C34" w:rsidRPr="006B2C34">
        <w:rPr>
          <w:i/>
          <w:iCs/>
        </w:rPr>
        <w:t>Compensation Scheme of Last Resort: Proposal Paper</w:t>
      </w:r>
      <w:r w:rsidR="006B2C34">
        <w:t xml:space="preserve"> (July 20</w:t>
      </w:r>
      <w:r w:rsidR="006D076E">
        <w:t>2</w:t>
      </w:r>
      <w:r w:rsidR="006B2C34">
        <w:t>1)</w:t>
      </w:r>
      <w:r w:rsidR="006D076E">
        <w:t>, Appendix D, with the addition of the new claims handling sub</w:t>
      </w:r>
      <w:r w:rsidR="006D076E">
        <w:noBreakHyphen/>
        <w:t>sector.</w:t>
      </w:r>
    </w:p>
  </w:footnote>
  <w:footnote w:id="5">
    <w:p w14:paraId="72711B22" w14:textId="4EB8D04C" w:rsidR="00A042E1" w:rsidRDefault="00A042E1" w:rsidP="00B72C71">
      <w:pPr>
        <w:pStyle w:val="FootnoteText"/>
        <w:ind w:left="113" w:hanging="113"/>
      </w:pPr>
      <w:r>
        <w:rPr>
          <w:rStyle w:val="FootnoteReference"/>
        </w:rPr>
        <w:footnoteRef/>
      </w:r>
      <w:r>
        <w:t xml:space="preserve"> </w:t>
      </w:r>
      <w:r w:rsidR="009629B9">
        <w:t>For 2023</w:t>
      </w:r>
      <w:r w:rsidR="009A3D5B">
        <w:t xml:space="preserve"> income year</w:t>
      </w:r>
      <w:r w:rsidR="009629B9">
        <w:t xml:space="preserve">. </w:t>
      </w:r>
      <w:r>
        <w:t>Estimate provided by ATO</w:t>
      </w:r>
      <w:r w:rsidR="00EF2852">
        <w:t>, based on entities that had lodged a tax return for that income year</w:t>
      </w:r>
      <w:r>
        <w:t>.</w:t>
      </w:r>
      <w:r w:rsidR="005618C7">
        <w:t xml:space="preserve"> Only for </w:t>
      </w:r>
      <w:r w:rsidR="00CF3AEF">
        <w:t>retail</w:t>
      </w:r>
      <w:r w:rsidR="00CF3AEF">
        <w:noBreakHyphen/>
        <w:t xml:space="preserve">facing </w:t>
      </w:r>
      <w:r w:rsidR="00872D9A">
        <w:t>sub-sector</w:t>
      </w:r>
      <w:r w:rsidR="00CF3AEF">
        <w:t>s, where available.</w:t>
      </w:r>
    </w:p>
  </w:footnote>
  <w:footnote w:id="6">
    <w:p w14:paraId="617C5460" w14:textId="12FFDCB9" w:rsidR="008F198D" w:rsidRDefault="008F198D" w:rsidP="00B42767">
      <w:pPr>
        <w:pStyle w:val="FootnoteText"/>
        <w:ind w:left="113" w:hanging="113"/>
      </w:pPr>
      <w:r>
        <w:rPr>
          <w:rStyle w:val="FootnoteReference"/>
        </w:rPr>
        <w:footnoteRef/>
      </w:r>
      <w:r>
        <w:t xml:space="preserve"> </w:t>
      </w:r>
      <w:r w:rsidR="00371C42">
        <w:t xml:space="preserve">This is used as a broad estimate of the </w:t>
      </w:r>
      <w:r w:rsidR="00082316">
        <w:t>revenue</w:t>
      </w:r>
      <w:r w:rsidR="005D72F0">
        <w:t xml:space="preserve">s earned by </w:t>
      </w:r>
      <w:r w:rsidR="0048638C">
        <w:t xml:space="preserve">all </w:t>
      </w:r>
      <w:r w:rsidR="005D72F0">
        <w:t>AFCA members in the sub</w:t>
      </w:r>
      <w:r w:rsidR="005D72F0">
        <w:noBreakHyphen/>
        <w:t xml:space="preserve">sector. </w:t>
      </w:r>
      <w:r w:rsidR="00B42767">
        <w:t xml:space="preserve">Percentage figures </w:t>
      </w:r>
      <w:r w:rsidR="00BF57D9">
        <w:t xml:space="preserve">reflect </w:t>
      </w:r>
      <w:r w:rsidR="00B42767">
        <w:t xml:space="preserve">relative differences in the size of these revenues across </w:t>
      </w:r>
      <w:r w:rsidR="0048638C">
        <w:t xml:space="preserve">retail-facing </w:t>
      </w:r>
      <w:r w:rsidR="00B42767">
        <w:t>sub</w:t>
      </w:r>
      <w:r w:rsidR="00B42767">
        <w:noBreakHyphen/>
        <w:t>sectors</w:t>
      </w:r>
      <w:r w:rsidR="0048638C">
        <w:t xml:space="preserve"> for which revenue data are available</w:t>
      </w:r>
      <w:r w:rsidR="00B42767">
        <w:t>.</w:t>
      </w:r>
    </w:p>
  </w:footnote>
  <w:footnote w:id="7">
    <w:p w14:paraId="0F30E403" w14:textId="5B18F36C" w:rsidR="00A042E1" w:rsidRDefault="00A042E1" w:rsidP="007266D0">
      <w:pPr>
        <w:pStyle w:val="FootnoteText"/>
        <w:ind w:left="113" w:hanging="113"/>
      </w:pPr>
      <w:r>
        <w:rPr>
          <w:rStyle w:val="FootnoteReference"/>
        </w:rPr>
        <w:footnoteRef/>
      </w:r>
      <w:r>
        <w:t xml:space="preserve"> </w:t>
      </w:r>
      <w:r w:rsidR="00EB7C69">
        <w:t>For 2023 income year. Estimate provided by ATO</w:t>
      </w:r>
      <w:r w:rsidR="00B72C71">
        <w:t>, based on entities that had lodged a tax return for that income year</w:t>
      </w:r>
      <w:r>
        <w:t>.</w:t>
      </w:r>
      <w:r w:rsidR="00CF3AEF">
        <w:t xml:space="preserve"> </w:t>
      </w:r>
      <w:r w:rsidR="00860389">
        <w:t>Only for retail</w:t>
      </w:r>
      <w:r w:rsidR="00860389">
        <w:noBreakHyphen/>
        <w:t xml:space="preserve">facing </w:t>
      </w:r>
      <w:r w:rsidR="00872D9A">
        <w:t>sub-sector</w:t>
      </w:r>
      <w:r w:rsidR="00860389">
        <w:t>s, where the entity has</w:t>
      </w:r>
      <w:r w:rsidR="00EB7C69">
        <w:t xml:space="preserve"> lodged a tax return for that income year.</w:t>
      </w:r>
    </w:p>
  </w:footnote>
  <w:footnote w:id="8">
    <w:p w14:paraId="68B3C463" w14:textId="0EAC906B" w:rsidR="00B42767" w:rsidRDefault="00B42767" w:rsidP="00B42767">
      <w:pPr>
        <w:pStyle w:val="FootnoteText"/>
        <w:ind w:left="113" w:hanging="113"/>
      </w:pPr>
      <w:r>
        <w:rPr>
          <w:rStyle w:val="FootnoteReference"/>
        </w:rPr>
        <w:footnoteRef/>
      </w:r>
      <w:r>
        <w:t xml:space="preserve"> </w:t>
      </w:r>
      <w:r w:rsidRPr="00B42767">
        <w:t xml:space="preserve">This is used as a broad estimate of the </w:t>
      </w:r>
      <w:r>
        <w:t>profits made</w:t>
      </w:r>
      <w:r w:rsidRPr="00B42767">
        <w:t xml:space="preserve"> by </w:t>
      </w:r>
      <w:r w:rsidR="0093651B">
        <w:t xml:space="preserve">all </w:t>
      </w:r>
      <w:r w:rsidRPr="00B42767">
        <w:t>AFCA members in the sub</w:t>
      </w:r>
      <w:r w:rsidR="001A3D49">
        <w:noBreakHyphen/>
      </w:r>
      <w:r w:rsidRPr="00B42767">
        <w:t xml:space="preserve">sector. Percentage figures reflect relative differences in the size of these </w:t>
      </w:r>
      <w:r w:rsidR="0048638C">
        <w:t>profits</w:t>
      </w:r>
      <w:r w:rsidRPr="00B42767">
        <w:t xml:space="preserve"> across </w:t>
      </w:r>
      <w:r w:rsidR="0048638C">
        <w:t xml:space="preserve">retail-facing </w:t>
      </w:r>
      <w:r w:rsidRPr="00B42767">
        <w:t>sub</w:t>
      </w:r>
      <w:r w:rsidR="00EB2221">
        <w:noBreakHyphen/>
      </w:r>
      <w:r w:rsidRPr="00B42767">
        <w:t>sectors</w:t>
      </w:r>
      <w:r w:rsidR="0048638C">
        <w:t xml:space="preserve"> for which profit data are available</w:t>
      </w:r>
      <w:r w:rsidRPr="00B42767">
        <w:t>.</w:t>
      </w:r>
    </w:p>
  </w:footnote>
  <w:footnote w:id="9">
    <w:p w14:paraId="37EAB4A3" w14:textId="717BF211" w:rsidR="00A042E1" w:rsidRDefault="00A042E1" w:rsidP="002B1EE7">
      <w:pPr>
        <w:pStyle w:val="FootnoteText"/>
        <w:ind w:left="113" w:hanging="113"/>
      </w:pPr>
      <w:r>
        <w:rPr>
          <w:rStyle w:val="FootnoteReference"/>
        </w:rPr>
        <w:footnoteRef/>
      </w:r>
      <w:r>
        <w:t xml:space="preserve"> </w:t>
      </w:r>
      <w:r w:rsidR="00505B8C">
        <w:t>C</w:t>
      </w:r>
      <w:r>
        <w:t xml:space="preserve">osts assigned to each </w:t>
      </w:r>
      <w:r w:rsidR="00BE05B1">
        <w:t>retail-facing</w:t>
      </w:r>
      <w:r>
        <w:t xml:space="preserve"> sub</w:t>
      </w:r>
      <w:r>
        <w:noBreakHyphen/>
        <w:t xml:space="preserve">sector in </w:t>
      </w:r>
      <w:r w:rsidR="00343385" w:rsidRPr="00343385">
        <w:rPr>
          <w:i/>
          <w:iCs/>
        </w:rPr>
        <w:t>ASIC (Supervisory</w:t>
      </w:r>
      <w:r w:rsidR="00F70EEC" w:rsidRPr="00343385">
        <w:rPr>
          <w:i/>
        </w:rPr>
        <w:t xml:space="preserve"> Cost Recovery </w:t>
      </w:r>
      <w:r w:rsidR="00343385" w:rsidRPr="00343385">
        <w:rPr>
          <w:i/>
          <w:iCs/>
        </w:rPr>
        <w:t>Levy—Regulatory Costs) Instrument 2024/821</w:t>
      </w:r>
      <w:r w:rsidR="00F70EEC">
        <w:t>.</w:t>
      </w:r>
      <w:r w:rsidR="00F52089">
        <w:t xml:space="preserve"> Data as </w:t>
      </w:r>
      <w:proofErr w:type="gramStart"/>
      <w:r w:rsidR="00F52089">
        <w:t>at</w:t>
      </w:r>
      <w:proofErr w:type="gramEnd"/>
      <w:r w:rsidR="00F52089">
        <w:t xml:space="preserve"> 30 June 2024.</w:t>
      </w:r>
    </w:p>
  </w:footnote>
  <w:footnote w:id="10">
    <w:p w14:paraId="4681C16F" w14:textId="7C4E1B0B" w:rsidR="00B71EE0" w:rsidRDefault="00B71EE0">
      <w:pPr>
        <w:pStyle w:val="FootnoteText"/>
      </w:pPr>
      <w:r>
        <w:rPr>
          <w:rStyle w:val="FootnoteReference"/>
        </w:rPr>
        <w:footnoteRef/>
      </w:r>
      <w:r>
        <w:t xml:space="preserve"> Estimate not provided by ATO</w:t>
      </w:r>
      <w:r w:rsidR="004465D8">
        <w:t>,</w:t>
      </w:r>
      <w:r>
        <w:t xml:space="preserve"> </w:t>
      </w:r>
      <w:proofErr w:type="gramStart"/>
      <w:r>
        <w:t>on the basis of</w:t>
      </w:r>
      <w:proofErr w:type="gramEnd"/>
      <w:r>
        <w:t xml:space="preserve"> small sample size and identifiability.</w:t>
      </w:r>
    </w:p>
  </w:footnote>
  <w:footnote w:id="11">
    <w:p w14:paraId="6F9C9FAC" w14:textId="214FE137" w:rsidR="00B868A3" w:rsidRDefault="00B868A3">
      <w:pPr>
        <w:pStyle w:val="FootnoteText"/>
      </w:pPr>
      <w:r>
        <w:rPr>
          <w:rStyle w:val="FootnoteReference"/>
        </w:rPr>
        <w:footnoteRef/>
      </w:r>
      <w:r>
        <w:t xml:space="preserve"> Estimate not provided by ATO </w:t>
      </w:r>
      <w:proofErr w:type="gramStart"/>
      <w:r>
        <w:t>on the basis of</w:t>
      </w:r>
      <w:proofErr w:type="gramEnd"/>
      <w:r>
        <w:t xml:space="preserve"> small sample size and identifiability.</w:t>
      </w:r>
    </w:p>
  </w:footnote>
  <w:footnote w:id="12">
    <w:p w14:paraId="289B5C5A" w14:textId="2E934FBF" w:rsidR="009D06A2" w:rsidRDefault="009D06A2" w:rsidP="001D4324">
      <w:pPr>
        <w:pStyle w:val="FootnoteText"/>
        <w:ind w:left="170" w:hanging="170"/>
      </w:pPr>
      <w:r>
        <w:rPr>
          <w:rStyle w:val="FootnoteReference"/>
        </w:rPr>
        <w:footnoteRef/>
      </w:r>
      <w:r>
        <w:t xml:space="preserve"> </w:t>
      </w:r>
      <w:r w:rsidR="00A7301D" w:rsidRPr="00A7301D">
        <w:t xml:space="preserve">A negative graduated </w:t>
      </w:r>
      <w:r w:rsidR="006E0553">
        <w:t xml:space="preserve">levy </w:t>
      </w:r>
      <w:r w:rsidR="00A7301D" w:rsidRPr="00A7301D">
        <w:t xml:space="preserve">component </w:t>
      </w:r>
      <w:r w:rsidR="00F405E4">
        <w:t xml:space="preserve">is </w:t>
      </w:r>
      <w:r w:rsidR="00DE1F31">
        <w:t xml:space="preserve">the </w:t>
      </w:r>
      <w:r w:rsidR="00F8089D">
        <w:t xml:space="preserve">output derived from the </w:t>
      </w:r>
      <w:r w:rsidR="000B7D3B">
        <w:t xml:space="preserve">formula </w:t>
      </w:r>
      <w:r w:rsidR="006F12AC">
        <w:t>in</w:t>
      </w:r>
      <w:r w:rsidR="000B7D3B">
        <w:t xml:space="preserve"> </w:t>
      </w:r>
      <w:r w:rsidR="006E0553">
        <w:t>s</w:t>
      </w:r>
      <w:r w:rsidR="00475155">
        <w:t>ubs</w:t>
      </w:r>
      <w:r w:rsidR="000B7D3B">
        <w:t>ection 17(2) of the</w:t>
      </w:r>
      <w:r w:rsidR="00BF63B9">
        <w:t xml:space="preserve"> CSLR</w:t>
      </w:r>
      <w:r w:rsidR="000B7D3B">
        <w:t xml:space="preserve"> Levy Regulations </w:t>
      </w:r>
      <w:r w:rsidR="00A7301D" w:rsidRPr="00A7301D">
        <w:t>whe</w:t>
      </w:r>
      <w:r w:rsidR="009C0803">
        <w:t>n</w:t>
      </w:r>
      <w:r w:rsidR="00A7301D" w:rsidRPr="00A7301D">
        <w:t xml:space="preserve"> the minimum levy component more than covers the costs attributed to the sub</w:t>
      </w:r>
      <w:r w:rsidR="00617FDA">
        <w:t>-</w:t>
      </w:r>
      <w:r w:rsidR="00A7301D" w:rsidRPr="00A7301D">
        <w:t>sector.</w:t>
      </w:r>
      <w:r w:rsidR="00475155">
        <w:t xml:space="preserve"> Under subsection </w:t>
      </w:r>
      <w:r w:rsidR="00240906">
        <w:t>17(4) of the CSLR Levy Regulations, when a component of that formula is nil or a negative amount, the amount of levy worked out using the formula is nil.</w:t>
      </w:r>
    </w:p>
  </w:footnote>
  <w:footnote w:id="13">
    <w:p w14:paraId="351D22EA" w14:textId="01667D0E" w:rsidR="00F07707" w:rsidRDefault="00F07707">
      <w:pPr>
        <w:pStyle w:val="FootnoteText"/>
      </w:pPr>
      <w:r>
        <w:rPr>
          <w:rStyle w:val="FootnoteReference"/>
        </w:rPr>
        <w:footnoteRef/>
      </w:r>
      <w:r>
        <w:t xml:space="preserve"> </w:t>
      </w:r>
      <w:r w:rsidR="003D4381" w:rsidRPr="003D4381">
        <w:t>Not zero but rounded to zero.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FF6D" w14:textId="0FB9FAB4" w:rsidR="002314D2" w:rsidRPr="001F3912" w:rsidRDefault="002314D2" w:rsidP="0017089D">
    <w:r>
      <w:fldChar w:fldCharType="begin"/>
    </w:r>
    <w:r>
      <w:instrText xml:space="preserve"> macrobutton nomacro [Click and add Publication Title] </w:instrTex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AF61" w14:textId="1FD1559D" w:rsidR="000145D3" w:rsidRDefault="000145D3" w:rsidP="0017089D"/>
  <w:p w14:paraId="2EAF2374" w14:textId="29C2D8F3" w:rsidR="00CB0486" w:rsidRPr="001F3912" w:rsidRDefault="00CB0486" w:rsidP="0017089D">
    <w:r>
      <w:fldChar w:fldCharType="begin"/>
    </w:r>
    <w:r>
      <w:instrText xml:space="preserve"> macrobutton nomacro [Click and add Publication Title] </w:instrTex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8317" w14:textId="3CCE2CAC" w:rsidR="00CB0486" w:rsidRPr="00963E8D" w:rsidRDefault="00CB0486" w:rsidP="00963E8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540E" w14:textId="4368A010" w:rsidR="00CB0486" w:rsidRPr="000145D3" w:rsidRDefault="00CB0486" w:rsidP="000145D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EF7" w14:textId="78B196B0" w:rsidR="005A25C5" w:rsidRDefault="005A25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9171" w14:textId="4FEEDB97" w:rsidR="00C31490" w:rsidRDefault="00DD3B84" w:rsidP="004068E3">
    <w:pPr>
      <w:pStyle w:val="Header"/>
      <w:jc w:val="left"/>
    </w:pPr>
    <w:r>
      <w:rPr>
        <w:noProof/>
      </w:rPr>
      <w:drawing>
        <wp:anchor distT="0" distB="0" distL="114300" distR="114300" simplePos="0" relativeHeight="251658245" behindDoc="0" locked="0" layoutInCell="1" allowOverlap="1" wp14:anchorId="4FF97FB4" wp14:editId="31A50C8F">
          <wp:simplePos x="0" y="0"/>
          <wp:positionH relativeFrom="page">
            <wp:align>center</wp:align>
          </wp:positionH>
          <wp:positionV relativeFrom="paragraph">
            <wp:posOffset>-293546</wp:posOffset>
          </wp:positionV>
          <wp:extent cx="10376535" cy="749935"/>
          <wp:effectExtent l="0" t="0" r="5715" b="0"/>
          <wp:wrapTopAndBottom/>
          <wp:docPr id="1057971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6535" cy="749935"/>
                  </a:xfrm>
                  <a:prstGeom prst="rect">
                    <a:avLst/>
                  </a:prstGeom>
                  <a:noFill/>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8D36" w14:textId="4C9484A5" w:rsidR="005A25C5" w:rsidRDefault="005A2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0BCB" w14:textId="6CD37E57" w:rsidR="002314D2" w:rsidRPr="000145D3" w:rsidRDefault="002314D2" w:rsidP="00014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40D5" w14:textId="57205DC4" w:rsidR="005A25C5" w:rsidRDefault="005A2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A500" w14:textId="66422A04" w:rsidR="005A25C5" w:rsidRDefault="005A25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123A" w14:textId="1352D464" w:rsidR="005A25C5" w:rsidRDefault="005A25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3CE2" w14:textId="08A2BD3B" w:rsidR="005A25C5" w:rsidRDefault="005A25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A2D3" w14:textId="0FB7EC64" w:rsidR="00E81A40" w:rsidRPr="001F3912" w:rsidRDefault="00E81A40" w:rsidP="0017089D">
    <w:r>
      <w:fldChar w:fldCharType="begin"/>
    </w:r>
    <w:r>
      <w:instrText xml:space="preserve"> macrobutton nomacro [Click and add Publication Title]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216" w14:textId="1DF46237" w:rsidR="00E81A40" w:rsidRPr="00963E8D" w:rsidRDefault="00E81A40" w:rsidP="00963E8D">
    <w:pPr>
      <w:pStyle w:val="Header"/>
    </w:pPr>
    <w:r>
      <w:rPr>
        <w:noProof/>
      </w:rPr>
      <w:drawing>
        <wp:anchor distT="0" distB="0" distL="114300" distR="114300" simplePos="0" relativeHeight="251658243" behindDoc="1" locked="1" layoutInCell="1" allowOverlap="1" wp14:anchorId="5EFA1540" wp14:editId="0E0576F3">
          <wp:simplePos x="0" y="0"/>
          <wp:positionH relativeFrom="page">
            <wp:align>right</wp:align>
          </wp:positionH>
          <wp:positionV relativeFrom="page">
            <wp:align>top</wp:align>
          </wp:positionV>
          <wp:extent cx="7570470" cy="1043940"/>
          <wp:effectExtent l="0" t="0" r="0" b="3810"/>
          <wp:wrapNone/>
          <wp:docPr id="1057938933" name="Picture 105793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2AF3" w14:textId="6BAABA3F" w:rsidR="00E81A40" w:rsidRPr="000145D3" w:rsidRDefault="00E81A40" w:rsidP="00014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D2021"/>
    <w:multiLevelType w:val="multilevel"/>
    <w:tmpl w:val="72F8140E"/>
    <w:numStyleLink w:val="OutlineList"/>
  </w:abstractNum>
  <w:abstractNum w:abstractNumId="10"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6"/>
  </w:num>
  <w:num w:numId="2" w16cid:durableId="1706755449">
    <w:abstractNumId w:val="0"/>
  </w:num>
  <w:num w:numId="3" w16cid:durableId="1834367553">
    <w:abstractNumId w:val="8"/>
  </w:num>
  <w:num w:numId="4" w16cid:durableId="223613474">
    <w:abstractNumId w:val="2"/>
  </w:num>
  <w:num w:numId="5" w16cid:durableId="1304890948">
    <w:abstractNumId w:val="3"/>
  </w:num>
  <w:num w:numId="6" w16cid:durableId="1304693621">
    <w:abstractNumId w:val="9"/>
  </w:num>
  <w:num w:numId="7" w16cid:durableId="729502405">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454401156">
    <w:abstractNumId w:val="4"/>
  </w:num>
  <w:num w:numId="9" w16cid:durableId="285694570">
    <w:abstractNumId w:val="1"/>
  </w:num>
  <w:num w:numId="10" w16cid:durableId="1054505672">
    <w:abstractNumId w:val="5"/>
  </w:num>
  <w:num w:numId="11" w16cid:durableId="77561056">
    <w:abstractNumId w:val="11"/>
  </w:num>
  <w:num w:numId="12" w16cid:durableId="137580172">
    <w:abstractNumId w:val="9"/>
  </w:num>
  <w:num w:numId="13" w16cid:durableId="563218727">
    <w:abstractNumId w:val="5"/>
  </w:num>
  <w:num w:numId="14" w16cid:durableId="1777865357">
    <w:abstractNumId w:val="7"/>
  </w:num>
  <w:num w:numId="15" w16cid:durableId="2092387614">
    <w:abstractNumId w:val="5"/>
  </w:num>
  <w:num w:numId="16" w16cid:durableId="91628865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30280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433121">
    <w:abstractNumId w:val="0"/>
  </w:num>
  <w:num w:numId="19" w16cid:durableId="1000036491">
    <w:abstractNumId w:val="6"/>
  </w:num>
  <w:num w:numId="20" w16cid:durableId="1614626827">
    <w:abstractNumId w:val="6"/>
  </w:num>
  <w:num w:numId="21" w16cid:durableId="1256090870">
    <w:abstractNumId w:val="6"/>
  </w:num>
  <w:num w:numId="22" w16cid:durableId="1351105441">
    <w:abstractNumId w:val="6"/>
  </w:num>
  <w:num w:numId="23" w16cid:durableId="512577066">
    <w:abstractNumId w:val="6"/>
  </w:num>
  <w:num w:numId="24" w16cid:durableId="1491097783">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133983262">
    <w:abstractNumId w:val="7"/>
  </w:num>
  <w:num w:numId="26" w16cid:durableId="423962289">
    <w:abstractNumId w:val="4"/>
  </w:num>
  <w:num w:numId="27" w16cid:durableId="124931374">
    <w:abstractNumId w:val="4"/>
  </w:num>
  <w:num w:numId="28" w16cid:durableId="1558320821">
    <w:abstractNumId w:val="4"/>
  </w:num>
  <w:num w:numId="29" w16cid:durableId="818570052">
    <w:abstractNumId w:val="3"/>
  </w:num>
  <w:num w:numId="30" w16cid:durableId="1594774963">
    <w:abstractNumId w:val="8"/>
  </w:num>
  <w:num w:numId="31" w16cid:durableId="860164240">
    <w:abstractNumId w:val="9"/>
  </w:num>
  <w:num w:numId="32" w16cid:durableId="1146824810">
    <w:abstractNumId w:val="9"/>
  </w:num>
  <w:num w:numId="33" w16cid:durableId="144929880">
    <w:abstractNumId w:val="9"/>
  </w:num>
  <w:num w:numId="34" w16cid:durableId="114908659">
    <w:abstractNumId w:val="2"/>
  </w:num>
  <w:num w:numId="35" w16cid:durableId="536553998">
    <w:abstractNumId w:val="5"/>
  </w:num>
  <w:num w:numId="36" w16cid:durableId="987444317">
    <w:abstractNumId w:val="2"/>
  </w:num>
  <w:num w:numId="37" w16cid:durableId="1722056244">
    <w:abstractNumId w:val="2"/>
  </w:num>
  <w:num w:numId="38" w16cid:durableId="2003046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433F41"/>
    <w:rsid w:val="00000466"/>
    <w:rsid w:val="000004D7"/>
    <w:rsid w:val="000004F1"/>
    <w:rsid w:val="000009F7"/>
    <w:rsid w:val="00000C93"/>
    <w:rsid w:val="00000D15"/>
    <w:rsid w:val="00001A09"/>
    <w:rsid w:val="00001AD0"/>
    <w:rsid w:val="0000205C"/>
    <w:rsid w:val="00002543"/>
    <w:rsid w:val="000029A5"/>
    <w:rsid w:val="00002AC4"/>
    <w:rsid w:val="00002B58"/>
    <w:rsid w:val="00002CE4"/>
    <w:rsid w:val="00002DCF"/>
    <w:rsid w:val="00002DDA"/>
    <w:rsid w:val="00002DE9"/>
    <w:rsid w:val="00003049"/>
    <w:rsid w:val="000030BA"/>
    <w:rsid w:val="000032C4"/>
    <w:rsid w:val="00003359"/>
    <w:rsid w:val="00003500"/>
    <w:rsid w:val="00003510"/>
    <w:rsid w:val="000035B1"/>
    <w:rsid w:val="00003B03"/>
    <w:rsid w:val="00003E8D"/>
    <w:rsid w:val="00003FEC"/>
    <w:rsid w:val="000041F2"/>
    <w:rsid w:val="0000420B"/>
    <w:rsid w:val="0000443D"/>
    <w:rsid w:val="00004733"/>
    <w:rsid w:val="00004A49"/>
    <w:rsid w:val="00004E26"/>
    <w:rsid w:val="00004EFD"/>
    <w:rsid w:val="00004F3A"/>
    <w:rsid w:val="000054BB"/>
    <w:rsid w:val="000055A1"/>
    <w:rsid w:val="000055C4"/>
    <w:rsid w:val="0000574D"/>
    <w:rsid w:val="000058A3"/>
    <w:rsid w:val="0000601C"/>
    <w:rsid w:val="00006097"/>
    <w:rsid w:val="0000622C"/>
    <w:rsid w:val="00006455"/>
    <w:rsid w:val="0000661A"/>
    <w:rsid w:val="0000711C"/>
    <w:rsid w:val="00007297"/>
    <w:rsid w:val="0000783A"/>
    <w:rsid w:val="000079DA"/>
    <w:rsid w:val="00007CFC"/>
    <w:rsid w:val="00007EA8"/>
    <w:rsid w:val="00007F86"/>
    <w:rsid w:val="000100B8"/>
    <w:rsid w:val="000102DF"/>
    <w:rsid w:val="000102FD"/>
    <w:rsid w:val="000103A2"/>
    <w:rsid w:val="0001048A"/>
    <w:rsid w:val="00010717"/>
    <w:rsid w:val="00010B3F"/>
    <w:rsid w:val="00010CA9"/>
    <w:rsid w:val="00010D11"/>
    <w:rsid w:val="00010ED5"/>
    <w:rsid w:val="00010FFC"/>
    <w:rsid w:val="00011111"/>
    <w:rsid w:val="00011232"/>
    <w:rsid w:val="00011725"/>
    <w:rsid w:val="00011755"/>
    <w:rsid w:val="00011EE5"/>
    <w:rsid w:val="000121D6"/>
    <w:rsid w:val="000121F6"/>
    <w:rsid w:val="0001248A"/>
    <w:rsid w:val="00012687"/>
    <w:rsid w:val="00012880"/>
    <w:rsid w:val="00012C60"/>
    <w:rsid w:val="00012C62"/>
    <w:rsid w:val="00012CF6"/>
    <w:rsid w:val="00013034"/>
    <w:rsid w:val="00013125"/>
    <w:rsid w:val="00013221"/>
    <w:rsid w:val="0001366A"/>
    <w:rsid w:val="0001368B"/>
    <w:rsid w:val="0001377F"/>
    <w:rsid w:val="0001415D"/>
    <w:rsid w:val="000141F1"/>
    <w:rsid w:val="000145D3"/>
    <w:rsid w:val="00014A29"/>
    <w:rsid w:val="00014B42"/>
    <w:rsid w:val="00014F06"/>
    <w:rsid w:val="0001559B"/>
    <w:rsid w:val="00015819"/>
    <w:rsid w:val="00015DC9"/>
    <w:rsid w:val="00015E00"/>
    <w:rsid w:val="0001608A"/>
    <w:rsid w:val="000166E1"/>
    <w:rsid w:val="00016951"/>
    <w:rsid w:val="00016AEC"/>
    <w:rsid w:val="00016EC9"/>
    <w:rsid w:val="00017302"/>
    <w:rsid w:val="00017A5A"/>
    <w:rsid w:val="00017D12"/>
    <w:rsid w:val="00017E30"/>
    <w:rsid w:val="00017FF0"/>
    <w:rsid w:val="00020030"/>
    <w:rsid w:val="000201E3"/>
    <w:rsid w:val="00020532"/>
    <w:rsid w:val="00020777"/>
    <w:rsid w:val="00020C6A"/>
    <w:rsid w:val="00020D65"/>
    <w:rsid w:val="00021D33"/>
    <w:rsid w:val="00021E69"/>
    <w:rsid w:val="00022462"/>
    <w:rsid w:val="000227B9"/>
    <w:rsid w:val="0002285E"/>
    <w:rsid w:val="000228DB"/>
    <w:rsid w:val="00022CB0"/>
    <w:rsid w:val="00022E6B"/>
    <w:rsid w:val="00022F1A"/>
    <w:rsid w:val="00023104"/>
    <w:rsid w:val="00023343"/>
    <w:rsid w:val="000233FC"/>
    <w:rsid w:val="000234D7"/>
    <w:rsid w:val="00023519"/>
    <w:rsid w:val="00023740"/>
    <w:rsid w:val="00023AA1"/>
    <w:rsid w:val="00023C76"/>
    <w:rsid w:val="000241EC"/>
    <w:rsid w:val="00024281"/>
    <w:rsid w:val="0002442D"/>
    <w:rsid w:val="00024564"/>
    <w:rsid w:val="000245B4"/>
    <w:rsid w:val="0002490B"/>
    <w:rsid w:val="000249BC"/>
    <w:rsid w:val="00024A6F"/>
    <w:rsid w:val="00024EA2"/>
    <w:rsid w:val="00024EC6"/>
    <w:rsid w:val="00025224"/>
    <w:rsid w:val="0002544D"/>
    <w:rsid w:val="00025725"/>
    <w:rsid w:val="000257A7"/>
    <w:rsid w:val="00025987"/>
    <w:rsid w:val="00025C72"/>
    <w:rsid w:val="00025C83"/>
    <w:rsid w:val="00025EBC"/>
    <w:rsid w:val="00025F99"/>
    <w:rsid w:val="000260BB"/>
    <w:rsid w:val="000260DE"/>
    <w:rsid w:val="00026E51"/>
    <w:rsid w:val="00026EE5"/>
    <w:rsid w:val="00026F95"/>
    <w:rsid w:val="00026FCF"/>
    <w:rsid w:val="0002731D"/>
    <w:rsid w:val="000273DF"/>
    <w:rsid w:val="0002753D"/>
    <w:rsid w:val="00027579"/>
    <w:rsid w:val="000278F4"/>
    <w:rsid w:val="00027984"/>
    <w:rsid w:val="00027FDF"/>
    <w:rsid w:val="0003049E"/>
    <w:rsid w:val="00030581"/>
    <w:rsid w:val="00030E3E"/>
    <w:rsid w:val="000310A8"/>
    <w:rsid w:val="0003175C"/>
    <w:rsid w:val="00031EA9"/>
    <w:rsid w:val="000320F7"/>
    <w:rsid w:val="00032107"/>
    <w:rsid w:val="0003213D"/>
    <w:rsid w:val="00032680"/>
    <w:rsid w:val="00032707"/>
    <w:rsid w:val="00032874"/>
    <w:rsid w:val="00032D86"/>
    <w:rsid w:val="00032E70"/>
    <w:rsid w:val="00033187"/>
    <w:rsid w:val="000337E2"/>
    <w:rsid w:val="00034071"/>
    <w:rsid w:val="0003425C"/>
    <w:rsid w:val="00034446"/>
    <w:rsid w:val="000349EC"/>
    <w:rsid w:val="00034B1B"/>
    <w:rsid w:val="0003501B"/>
    <w:rsid w:val="00035135"/>
    <w:rsid w:val="0003519C"/>
    <w:rsid w:val="000353D3"/>
    <w:rsid w:val="00035441"/>
    <w:rsid w:val="00035505"/>
    <w:rsid w:val="0003560F"/>
    <w:rsid w:val="00035668"/>
    <w:rsid w:val="00036136"/>
    <w:rsid w:val="000364DB"/>
    <w:rsid w:val="000367AC"/>
    <w:rsid w:val="000367D3"/>
    <w:rsid w:val="00036B4A"/>
    <w:rsid w:val="00036BA5"/>
    <w:rsid w:val="00036F15"/>
    <w:rsid w:val="00037127"/>
    <w:rsid w:val="0003751E"/>
    <w:rsid w:val="0003760D"/>
    <w:rsid w:val="0003775A"/>
    <w:rsid w:val="00037863"/>
    <w:rsid w:val="00037B88"/>
    <w:rsid w:val="00037E06"/>
    <w:rsid w:val="00037FAB"/>
    <w:rsid w:val="0004013F"/>
    <w:rsid w:val="00040317"/>
    <w:rsid w:val="000404C4"/>
    <w:rsid w:val="00040689"/>
    <w:rsid w:val="0004078A"/>
    <w:rsid w:val="00040BAF"/>
    <w:rsid w:val="00040E11"/>
    <w:rsid w:val="000415DE"/>
    <w:rsid w:val="0004184D"/>
    <w:rsid w:val="000419E3"/>
    <w:rsid w:val="00041A78"/>
    <w:rsid w:val="00041A8B"/>
    <w:rsid w:val="00041EA9"/>
    <w:rsid w:val="00042078"/>
    <w:rsid w:val="000424C7"/>
    <w:rsid w:val="0004274D"/>
    <w:rsid w:val="00042CC7"/>
    <w:rsid w:val="000430DE"/>
    <w:rsid w:val="0004333D"/>
    <w:rsid w:val="0004335A"/>
    <w:rsid w:val="0004379C"/>
    <w:rsid w:val="00043892"/>
    <w:rsid w:val="00043C1B"/>
    <w:rsid w:val="00043E7D"/>
    <w:rsid w:val="0004404B"/>
    <w:rsid w:val="000448EE"/>
    <w:rsid w:val="00044A6F"/>
    <w:rsid w:val="00044B39"/>
    <w:rsid w:val="00044C0A"/>
    <w:rsid w:val="00044CA2"/>
    <w:rsid w:val="00044CFD"/>
    <w:rsid w:val="00044D84"/>
    <w:rsid w:val="00044F93"/>
    <w:rsid w:val="0004513E"/>
    <w:rsid w:val="00045C0A"/>
    <w:rsid w:val="00045C10"/>
    <w:rsid w:val="00045C52"/>
    <w:rsid w:val="00045DE4"/>
    <w:rsid w:val="00045F7A"/>
    <w:rsid w:val="00045FF9"/>
    <w:rsid w:val="00046BDE"/>
    <w:rsid w:val="00046CE3"/>
    <w:rsid w:val="00047022"/>
    <w:rsid w:val="0004720E"/>
    <w:rsid w:val="00047359"/>
    <w:rsid w:val="00047779"/>
    <w:rsid w:val="00050360"/>
    <w:rsid w:val="00050739"/>
    <w:rsid w:val="00050AC0"/>
    <w:rsid w:val="00050ACC"/>
    <w:rsid w:val="00050BD5"/>
    <w:rsid w:val="00050E56"/>
    <w:rsid w:val="00050F97"/>
    <w:rsid w:val="00051057"/>
    <w:rsid w:val="00051079"/>
    <w:rsid w:val="0005127B"/>
    <w:rsid w:val="000512DC"/>
    <w:rsid w:val="000516BA"/>
    <w:rsid w:val="00051923"/>
    <w:rsid w:val="00051D60"/>
    <w:rsid w:val="00051E3A"/>
    <w:rsid w:val="00051FC4"/>
    <w:rsid w:val="000524C2"/>
    <w:rsid w:val="000524DD"/>
    <w:rsid w:val="00052B3A"/>
    <w:rsid w:val="00052DE0"/>
    <w:rsid w:val="00052E59"/>
    <w:rsid w:val="00052E74"/>
    <w:rsid w:val="000530DD"/>
    <w:rsid w:val="00053518"/>
    <w:rsid w:val="000535F9"/>
    <w:rsid w:val="0005362C"/>
    <w:rsid w:val="00053999"/>
    <w:rsid w:val="00053BF5"/>
    <w:rsid w:val="00053C30"/>
    <w:rsid w:val="00053D5B"/>
    <w:rsid w:val="00053E28"/>
    <w:rsid w:val="00053F90"/>
    <w:rsid w:val="0005404B"/>
    <w:rsid w:val="00054260"/>
    <w:rsid w:val="000547C7"/>
    <w:rsid w:val="0005491A"/>
    <w:rsid w:val="00054925"/>
    <w:rsid w:val="00054CE6"/>
    <w:rsid w:val="00054E52"/>
    <w:rsid w:val="00055252"/>
    <w:rsid w:val="000553A2"/>
    <w:rsid w:val="00055A2D"/>
    <w:rsid w:val="00055C2B"/>
    <w:rsid w:val="00056333"/>
    <w:rsid w:val="000563BF"/>
    <w:rsid w:val="000563FE"/>
    <w:rsid w:val="00056517"/>
    <w:rsid w:val="00056804"/>
    <w:rsid w:val="00056880"/>
    <w:rsid w:val="0005695B"/>
    <w:rsid w:val="00056A0C"/>
    <w:rsid w:val="0005724C"/>
    <w:rsid w:val="0005731D"/>
    <w:rsid w:val="0005735F"/>
    <w:rsid w:val="00057752"/>
    <w:rsid w:val="00057853"/>
    <w:rsid w:val="00057855"/>
    <w:rsid w:val="00057970"/>
    <w:rsid w:val="00057BD0"/>
    <w:rsid w:val="00057DA6"/>
    <w:rsid w:val="000600F4"/>
    <w:rsid w:val="000606A8"/>
    <w:rsid w:val="00060C73"/>
    <w:rsid w:val="00060EBF"/>
    <w:rsid w:val="00061377"/>
    <w:rsid w:val="00061777"/>
    <w:rsid w:val="00061B7A"/>
    <w:rsid w:val="00061C34"/>
    <w:rsid w:val="00061DA1"/>
    <w:rsid w:val="00061EED"/>
    <w:rsid w:val="0006229B"/>
    <w:rsid w:val="000625DD"/>
    <w:rsid w:val="00062A74"/>
    <w:rsid w:val="00062B5D"/>
    <w:rsid w:val="00062BF0"/>
    <w:rsid w:val="00062DAD"/>
    <w:rsid w:val="0006302E"/>
    <w:rsid w:val="00063447"/>
    <w:rsid w:val="00063451"/>
    <w:rsid w:val="0006352E"/>
    <w:rsid w:val="000636DD"/>
    <w:rsid w:val="00063C2B"/>
    <w:rsid w:val="00063D69"/>
    <w:rsid w:val="00063FA5"/>
    <w:rsid w:val="00064301"/>
    <w:rsid w:val="0006499D"/>
    <w:rsid w:val="00064B39"/>
    <w:rsid w:val="00065094"/>
    <w:rsid w:val="0006524A"/>
    <w:rsid w:val="000652CD"/>
    <w:rsid w:val="000658BE"/>
    <w:rsid w:val="00065CD0"/>
    <w:rsid w:val="00065E5E"/>
    <w:rsid w:val="00066093"/>
    <w:rsid w:val="00066C1E"/>
    <w:rsid w:val="00066CD3"/>
    <w:rsid w:val="00066D61"/>
    <w:rsid w:val="00066EEC"/>
    <w:rsid w:val="00067060"/>
    <w:rsid w:val="000670A9"/>
    <w:rsid w:val="0006712B"/>
    <w:rsid w:val="000675D1"/>
    <w:rsid w:val="0006798E"/>
    <w:rsid w:val="000679A7"/>
    <w:rsid w:val="00067BDB"/>
    <w:rsid w:val="0007005A"/>
    <w:rsid w:val="00070566"/>
    <w:rsid w:val="00070615"/>
    <w:rsid w:val="000706B0"/>
    <w:rsid w:val="00070D92"/>
    <w:rsid w:val="0007102C"/>
    <w:rsid w:val="00071392"/>
    <w:rsid w:val="00071574"/>
    <w:rsid w:val="000715B6"/>
    <w:rsid w:val="000716DA"/>
    <w:rsid w:val="0007182D"/>
    <w:rsid w:val="0007193D"/>
    <w:rsid w:val="0007206D"/>
    <w:rsid w:val="00072305"/>
    <w:rsid w:val="0007233B"/>
    <w:rsid w:val="00072352"/>
    <w:rsid w:val="000723A7"/>
    <w:rsid w:val="000724D0"/>
    <w:rsid w:val="00072C3D"/>
    <w:rsid w:val="00072D29"/>
    <w:rsid w:val="000733E6"/>
    <w:rsid w:val="00073521"/>
    <w:rsid w:val="000736C4"/>
    <w:rsid w:val="000737DB"/>
    <w:rsid w:val="00073FBE"/>
    <w:rsid w:val="0007404E"/>
    <w:rsid w:val="00074505"/>
    <w:rsid w:val="000749FE"/>
    <w:rsid w:val="00074AB7"/>
    <w:rsid w:val="00074B98"/>
    <w:rsid w:val="00075109"/>
    <w:rsid w:val="00075139"/>
    <w:rsid w:val="00075151"/>
    <w:rsid w:val="000754DE"/>
    <w:rsid w:val="00075754"/>
    <w:rsid w:val="00075941"/>
    <w:rsid w:val="00075D59"/>
    <w:rsid w:val="0007601F"/>
    <w:rsid w:val="000762BF"/>
    <w:rsid w:val="00076651"/>
    <w:rsid w:val="00076877"/>
    <w:rsid w:val="00076B00"/>
    <w:rsid w:val="00076B5F"/>
    <w:rsid w:val="00076DAB"/>
    <w:rsid w:val="00077033"/>
    <w:rsid w:val="00077286"/>
    <w:rsid w:val="000775DE"/>
    <w:rsid w:val="0007762F"/>
    <w:rsid w:val="00077B42"/>
    <w:rsid w:val="00080132"/>
    <w:rsid w:val="000801ED"/>
    <w:rsid w:val="000805DC"/>
    <w:rsid w:val="00080A5D"/>
    <w:rsid w:val="00080B6C"/>
    <w:rsid w:val="00080CA4"/>
    <w:rsid w:val="0008109B"/>
    <w:rsid w:val="00081340"/>
    <w:rsid w:val="000814F4"/>
    <w:rsid w:val="00081588"/>
    <w:rsid w:val="000817AB"/>
    <w:rsid w:val="00081827"/>
    <w:rsid w:val="0008193C"/>
    <w:rsid w:val="00081D98"/>
    <w:rsid w:val="00081FB3"/>
    <w:rsid w:val="00082316"/>
    <w:rsid w:val="0008238E"/>
    <w:rsid w:val="0008249E"/>
    <w:rsid w:val="00082729"/>
    <w:rsid w:val="000827F0"/>
    <w:rsid w:val="00082A04"/>
    <w:rsid w:val="00082C3E"/>
    <w:rsid w:val="00082D5A"/>
    <w:rsid w:val="00082E47"/>
    <w:rsid w:val="00082FC2"/>
    <w:rsid w:val="00083214"/>
    <w:rsid w:val="0008337B"/>
    <w:rsid w:val="0008397B"/>
    <w:rsid w:val="00083A62"/>
    <w:rsid w:val="00083AAE"/>
    <w:rsid w:val="00083BC9"/>
    <w:rsid w:val="00083E28"/>
    <w:rsid w:val="00083FB5"/>
    <w:rsid w:val="0008478D"/>
    <w:rsid w:val="00084A44"/>
    <w:rsid w:val="00084BCD"/>
    <w:rsid w:val="0008500A"/>
    <w:rsid w:val="000852B3"/>
    <w:rsid w:val="000853C7"/>
    <w:rsid w:val="00085633"/>
    <w:rsid w:val="000858F2"/>
    <w:rsid w:val="00085A9C"/>
    <w:rsid w:val="00085AC7"/>
    <w:rsid w:val="00085E49"/>
    <w:rsid w:val="00085ED8"/>
    <w:rsid w:val="00086212"/>
    <w:rsid w:val="0008662F"/>
    <w:rsid w:val="0008682A"/>
    <w:rsid w:val="000868E5"/>
    <w:rsid w:val="00086901"/>
    <w:rsid w:val="00086D2F"/>
    <w:rsid w:val="00086D61"/>
    <w:rsid w:val="00086D78"/>
    <w:rsid w:val="00086EDA"/>
    <w:rsid w:val="00086F19"/>
    <w:rsid w:val="00087124"/>
    <w:rsid w:val="0008718B"/>
    <w:rsid w:val="00087326"/>
    <w:rsid w:val="000873EB"/>
    <w:rsid w:val="0008759E"/>
    <w:rsid w:val="00087CC5"/>
    <w:rsid w:val="00087DC9"/>
    <w:rsid w:val="00087FAF"/>
    <w:rsid w:val="00090165"/>
    <w:rsid w:val="000906E2"/>
    <w:rsid w:val="00090A39"/>
    <w:rsid w:val="00090A98"/>
    <w:rsid w:val="00090F34"/>
    <w:rsid w:val="000911FC"/>
    <w:rsid w:val="000912CA"/>
    <w:rsid w:val="00091310"/>
    <w:rsid w:val="0009151A"/>
    <w:rsid w:val="00091740"/>
    <w:rsid w:val="0009177D"/>
    <w:rsid w:val="00091A18"/>
    <w:rsid w:val="00091BFD"/>
    <w:rsid w:val="00091F6C"/>
    <w:rsid w:val="00092048"/>
    <w:rsid w:val="00092403"/>
    <w:rsid w:val="0009242C"/>
    <w:rsid w:val="00092491"/>
    <w:rsid w:val="00092598"/>
    <w:rsid w:val="00092671"/>
    <w:rsid w:val="00092875"/>
    <w:rsid w:val="000929B1"/>
    <w:rsid w:val="00092BB0"/>
    <w:rsid w:val="000930D1"/>
    <w:rsid w:val="000936D7"/>
    <w:rsid w:val="000939BE"/>
    <w:rsid w:val="00093A64"/>
    <w:rsid w:val="000944F2"/>
    <w:rsid w:val="00094754"/>
    <w:rsid w:val="00094813"/>
    <w:rsid w:val="00094882"/>
    <w:rsid w:val="0009495D"/>
    <w:rsid w:val="0009497C"/>
    <w:rsid w:val="00094D3C"/>
    <w:rsid w:val="00094DAE"/>
    <w:rsid w:val="00094F0A"/>
    <w:rsid w:val="00094FE0"/>
    <w:rsid w:val="000951DF"/>
    <w:rsid w:val="000952B1"/>
    <w:rsid w:val="000955BE"/>
    <w:rsid w:val="00095BD1"/>
    <w:rsid w:val="00095CED"/>
    <w:rsid w:val="00095EBD"/>
    <w:rsid w:val="00096639"/>
    <w:rsid w:val="000966AB"/>
    <w:rsid w:val="000968D8"/>
    <w:rsid w:val="00096BB6"/>
    <w:rsid w:val="00096C76"/>
    <w:rsid w:val="00096C82"/>
    <w:rsid w:val="00096E2D"/>
    <w:rsid w:val="00096FDE"/>
    <w:rsid w:val="00097769"/>
    <w:rsid w:val="00097879"/>
    <w:rsid w:val="00097DD9"/>
    <w:rsid w:val="00097EC3"/>
    <w:rsid w:val="00097F01"/>
    <w:rsid w:val="00097FBB"/>
    <w:rsid w:val="000A004E"/>
    <w:rsid w:val="000A01B1"/>
    <w:rsid w:val="000A0204"/>
    <w:rsid w:val="000A07A0"/>
    <w:rsid w:val="000A086C"/>
    <w:rsid w:val="000A09F0"/>
    <w:rsid w:val="000A0DE2"/>
    <w:rsid w:val="000A0E71"/>
    <w:rsid w:val="000A103A"/>
    <w:rsid w:val="000A10A8"/>
    <w:rsid w:val="000A1204"/>
    <w:rsid w:val="000A1852"/>
    <w:rsid w:val="000A193A"/>
    <w:rsid w:val="000A1B16"/>
    <w:rsid w:val="000A1B5F"/>
    <w:rsid w:val="000A1F9A"/>
    <w:rsid w:val="000A220F"/>
    <w:rsid w:val="000A2315"/>
    <w:rsid w:val="000A267F"/>
    <w:rsid w:val="000A2B96"/>
    <w:rsid w:val="000A2C18"/>
    <w:rsid w:val="000A2C1C"/>
    <w:rsid w:val="000A2D8F"/>
    <w:rsid w:val="000A30E4"/>
    <w:rsid w:val="000A335D"/>
    <w:rsid w:val="000A3447"/>
    <w:rsid w:val="000A3C49"/>
    <w:rsid w:val="000A3CEE"/>
    <w:rsid w:val="000A3DC8"/>
    <w:rsid w:val="000A42DD"/>
    <w:rsid w:val="000A44F6"/>
    <w:rsid w:val="000A4FB6"/>
    <w:rsid w:val="000A522B"/>
    <w:rsid w:val="000A5828"/>
    <w:rsid w:val="000A5959"/>
    <w:rsid w:val="000A5AA5"/>
    <w:rsid w:val="000A5BBB"/>
    <w:rsid w:val="000A5BE8"/>
    <w:rsid w:val="000A62CD"/>
    <w:rsid w:val="000A6616"/>
    <w:rsid w:val="000A66A6"/>
    <w:rsid w:val="000A682D"/>
    <w:rsid w:val="000A6E69"/>
    <w:rsid w:val="000A6EFC"/>
    <w:rsid w:val="000A7022"/>
    <w:rsid w:val="000A7027"/>
    <w:rsid w:val="000A7273"/>
    <w:rsid w:val="000A729E"/>
    <w:rsid w:val="000A7349"/>
    <w:rsid w:val="000A73DC"/>
    <w:rsid w:val="000A747E"/>
    <w:rsid w:val="000A764B"/>
    <w:rsid w:val="000A77DF"/>
    <w:rsid w:val="000A7A3A"/>
    <w:rsid w:val="000A7AB8"/>
    <w:rsid w:val="000A7C8A"/>
    <w:rsid w:val="000A7DBC"/>
    <w:rsid w:val="000A7ED0"/>
    <w:rsid w:val="000A7FEE"/>
    <w:rsid w:val="000B0209"/>
    <w:rsid w:val="000B023E"/>
    <w:rsid w:val="000B02F4"/>
    <w:rsid w:val="000B038A"/>
    <w:rsid w:val="000B0667"/>
    <w:rsid w:val="000B07EA"/>
    <w:rsid w:val="000B0960"/>
    <w:rsid w:val="000B09CC"/>
    <w:rsid w:val="000B0D58"/>
    <w:rsid w:val="000B0F8C"/>
    <w:rsid w:val="000B1024"/>
    <w:rsid w:val="000B10AC"/>
    <w:rsid w:val="000B11ED"/>
    <w:rsid w:val="000B135A"/>
    <w:rsid w:val="000B142E"/>
    <w:rsid w:val="000B148B"/>
    <w:rsid w:val="000B1515"/>
    <w:rsid w:val="000B1E8D"/>
    <w:rsid w:val="000B2699"/>
    <w:rsid w:val="000B26FA"/>
    <w:rsid w:val="000B27B3"/>
    <w:rsid w:val="000B2925"/>
    <w:rsid w:val="000B2CA0"/>
    <w:rsid w:val="000B2D1F"/>
    <w:rsid w:val="000B2D64"/>
    <w:rsid w:val="000B32B0"/>
    <w:rsid w:val="000B34CC"/>
    <w:rsid w:val="000B38B7"/>
    <w:rsid w:val="000B3BBA"/>
    <w:rsid w:val="000B40B2"/>
    <w:rsid w:val="000B40B9"/>
    <w:rsid w:val="000B40CC"/>
    <w:rsid w:val="000B44B3"/>
    <w:rsid w:val="000B46B7"/>
    <w:rsid w:val="000B4847"/>
    <w:rsid w:val="000B560B"/>
    <w:rsid w:val="000B5A69"/>
    <w:rsid w:val="000B5B0F"/>
    <w:rsid w:val="000B5BF6"/>
    <w:rsid w:val="000B5EBB"/>
    <w:rsid w:val="000B6088"/>
    <w:rsid w:val="000B60EF"/>
    <w:rsid w:val="000B6155"/>
    <w:rsid w:val="000B62EA"/>
    <w:rsid w:val="000B62EB"/>
    <w:rsid w:val="000B6364"/>
    <w:rsid w:val="000B6D6E"/>
    <w:rsid w:val="000B7108"/>
    <w:rsid w:val="000B71B3"/>
    <w:rsid w:val="000B723B"/>
    <w:rsid w:val="000B73CB"/>
    <w:rsid w:val="000B746E"/>
    <w:rsid w:val="000B78E9"/>
    <w:rsid w:val="000B7B63"/>
    <w:rsid w:val="000B7D30"/>
    <w:rsid w:val="000B7D3B"/>
    <w:rsid w:val="000C03B4"/>
    <w:rsid w:val="000C0C86"/>
    <w:rsid w:val="000C147C"/>
    <w:rsid w:val="000C165B"/>
    <w:rsid w:val="000C168E"/>
    <w:rsid w:val="000C1A9B"/>
    <w:rsid w:val="000C1E04"/>
    <w:rsid w:val="000C22F9"/>
    <w:rsid w:val="000C23EF"/>
    <w:rsid w:val="000C23FE"/>
    <w:rsid w:val="000C248C"/>
    <w:rsid w:val="000C24AC"/>
    <w:rsid w:val="000C28EE"/>
    <w:rsid w:val="000C2D57"/>
    <w:rsid w:val="000C2EF3"/>
    <w:rsid w:val="000C33EE"/>
    <w:rsid w:val="000C35A4"/>
    <w:rsid w:val="000C3951"/>
    <w:rsid w:val="000C3B54"/>
    <w:rsid w:val="000C3B6C"/>
    <w:rsid w:val="000C3BD4"/>
    <w:rsid w:val="000C40F8"/>
    <w:rsid w:val="000C410C"/>
    <w:rsid w:val="000C44D4"/>
    <w:rsid w:val="000C489A"/>
    <w:rsid w:val="000C48D6"/>
    <w:rsid w:val="000C4DCF"/>
    <w:rsid w:val="000C5101"/>
    <w:rsid w:val="000C57C9"/>
    <w:rsid w:val="000C5C26"/>
    <w:rsid w:val="000C5F3C"/>
    <w:rsid w:val="000C5F40"/>
    <w:rsid w:val="000C6244"/>
    <w:rsid w:val="000C692A"/>
    <w:rsid w:val="000C6BB9"/>
    <w:rsid w:val="000C6D1C"/>
    <w:rsid w:val="000C765C"/>
    <w:rsid w:val="000C77FE"/>
    <w:rsid w:val="000C7869"/>
    <w:rsid w:val="000C799E"/>
    <w:rsid w:val="000C7AA4"/>
    <w:rsid w:val="000C7AD4"/>
    <w:rsid w:val="000C7DF1"/>
    <w:rsid w:val="000D0475"/>
    <w:rsid w:val="000D0675"/>
    <w:rsid w:val="000D071E"/>
    <w:rsid w:val="000D09A9"/>
    <w:rsid w:val="000D0BE6"/>
    <w:rsid w:val="000D1063"/>
    <w:rsid w:val="000D1148"/>
    <w:rsid w:val="000D124B"/>
    <w:rsid w:val="000D1284"/>
    <w:rsid w:val="000D1483"/>
    <w:rsid w:val="000D16C6"/>
    <w:rsid w:val="000D16C9"/>
    <w:rsid w:val="000D1B4D"/>
    <w:rsid w:val="000D2075"/>
    <w:rsid w:val="000D22E5"/>
    <w:rsid w:val="000D2723"/>
    <w:rsid w:val="000D28BC"/>
    <w:rsid w:val="000D3283"/>
    <w:rsid w:val="000D345A"/>
    <w:rsid w:val="000D3593"/>
    <w:rsid w:val="000D41D8"/>
    <w:rsid w:val="000D41F7"/>
    <w:rsid w:val="000D432F"/>
    <w:rsid w:val="000D43DB"/>
    <w:rsid w:val="000D442B"/>
    <w:rsid w:val="000D4812"/>
    <w:rsid w:val="000D4B0E"/>
    <w:rsid w:val="000D4D5D"/>
    <w:rsid w:val="000D4D7A"/>
    <w:rsid w:val="000D4EEB"/>
    <w:rsid w:val="000D5068"/>
    <w:rsid w:val="000D515F"/>
    <w:rsid w:val="000D5180"/>
    <w:rsid w:val="000D5A94"/>
    <w:rsid w:val="000D5AD9"/>
    <w:rsid w:val="000D5BE8"/>
    <w:rsid w:val="000D5FE8"/>
    <w:rsid w:val="000D6290"/>
    <w:rsid w:val="000D63C4"/>
    <w:rsid w:val="000D64C8"/>
    <w:rsid w:val="000D6872"/>
    <w:rsid w:val="000D68D9"/>
    <w:rsid w:val="000D6968"/>
    <w:rsid w:val="000D69DC"/>
    <w:rsid w:val="000D6A04"/>
    <w:rsid w:val="000D7541"/>
    <w:rsid w:val="000D757D"/>
    <w:rsid w:val="000D7A87"/>
    <w:rsid w:val="000D7CA3"/>
    <w:rsid w:val="000D7D54"/>
    <w:rsid w:val="000E007B"/>
    <w:rsid w:val="000E036F"/>
    <w:rsid w:val="000E03CF"/>
    <w:rsid w:val="000E0448"/>
    <w:rsid w:val="000E0507"/>
    <w:rsid w:val="000E0553"/>
    <w:rsid w:val="000E066F"/>
    <w:rsid w:val="000E0B74"/>
    <w:rsid w:val="000E0C20"/>
    <w:rsid w:val="000E0D49"/>
    <w:rsid w:val="000E13B4"/>
    <w:rsid w:val="000E1749"/>
    <w:rsid w:val="000E1A1B"/>
    <w:rsid w:val="000E1DDA"/>
    <w:rsid w:val="000E26A8"/>
    <w:rsid w:val="000E2EA8"/>
    <w:rsid w:val="000E3012"/>
    <w:rsid w:val="000E3509"/>
    <w:rsid w:val="000E3763"/>
    <w:rsid w:val="000E3883"/>
    <w:rsid w:val="000E3A7B"/>
    <w:rsid w:val="000E3D72"/>
    <w:rsid w:val="000E3D89"/>
    <w:rsid w:val="000E3E8B"/>
    <w:rsid w:val="000E3FB9"/>
    <w:rsid w:val="000E422F"/>
    <w:rsid w:val="000E4380"/>
    <w:rsid w:val="000E43B8"/>
    <w:rsid w:val="000E4421"/>
    <w:rsid w:val="000E44C2"/>
    <w:rsid w:val="000E50AF"/>
    <w:rsid w:val="000E57F9"/>
    <w:rsid w:val="000E5A34"/>
    <w:rsid w:val="000E5B35"/>
    <w:rsid w:val="000E5B5F"/>
    <w:rsid w:val="000E5CAD"/>
    <w:rsid w:val="000E5F4B"/>
    <w:rsid w:val="000E66CE"/>
    <w:rsid w:val="000E6ABB"/>
    <w:rsid w:val="000E6F23"/>
    <w:rsid w:val="000E74C7"/>
    <w:rsid w:val="000E766A"/>
    <w:rsid w:val="000E7F52"/>
    <w:rsid w:val="000F013A"/>
    <w:rsid w:val="000F0298"/>
    <w:rsid w:val="000F057F"/>
    <w:rsid w:val="000F0A19"/>
    <w:rsid w:val="000F0B9B"/>
    <w:rsid w:val="000F0BF8"/>
    <w:rsid w:val="000F0FB1"/>
    <w:rsid w:val="000F1141"/>
    <w:rsid w:val="000F11AF"/>
    <w:rsid w:val="000F132B"/>
    <w:rsid w:val="000F1922"/>
    <w:rsid w:val="000F195D"/>
    <w:rsid w:val="000F1BA4"/>
    <w:rsid w:val="000F207A"/>
    <w:rsid w:val="000F237F"/>
    <w:rsid w:val="000F2598"/>
    <w:rsid w:val="000F29B6"/>
    <w:rsid w:val="000F2D25"/>
    <w:rsid w:val="000F30D2"/>
    <w:rsid w:val="000F313B"/>
    <w:rsid w:val="000F3869"/>
    <w:rsid w:val="000F38E1"/>
    <w:rsid w:val="000F3966"/>
    <w:rsid w:val="000F3B02"/>
    <w:rsid w:val="000F3DA4"/>
    <w:rsid w:val="000F436E"/>
    <w:rsid w:val="000F4726"/>
    <w:rsid w:val="000F486F"/>
    <w:rsid w:val="000F4C80"/>
    <w:rsid w:val="000F4E26"/>
    <w:rsid w:val="000F5864"/>
    <w:rsid w:val="000F5AC6"/>
    <w:rsid w:val="000F5C55"/>
    <w:rsid w:val="000F5CF8"/>
    <w:rsid w:val="000F60E6"/>
    <w:rsid w:val="000F6809"/>
    <w:rsid w:val="000F6A75"/>
    <w:rsid w:val="000F6AEB"/>
    <w:rsid w:val="000F6CC0"/>
    <w:rsid w:val="000F6FB6"/>
    <w:rsid w:val="000F70B9"/>
    <w:rsid w:val="000F7517"/>
    <w:rsid w:val="000F7A6B"/>
    <w:rsid w:val="000F7F02"/>
    <w:rsid w:val="000F7F2C"/>
    <w:rsid w:val="00100855"/>
    <w:rsid w:val="00100A25"/>
    <w:rsid w:val="00100BBE"/>
    <w:rsid w:val="00100D9A"/>
    <w:rsid w:val="00100E16"/>
    <w:rsid w:val="00100E97"/>
    <w:rsid w:val="00101975"/>
    <w:rsid w:val="00101C62"/>
    <w:rsid w:val="00101D11"/>
    <w:rsid w:val="00101F8B"/>
    <w:rsid w:val="00102007"/>
    <w:rsid w:val="001021CF"/>
    <w:rsid w:val="0010235C"/>
    <w:rsid w:val="001029CE"/>
    <w:rsid w:val="00102D0E"/>
    <w:rsid w:val="00102E1A"/>
    <w:rsid w:val="00102F48"/>
    <w:rsid w:val="00103392"/>
    <w:rsid w:val="001034AF"/>
    <w:rsid w:val="0010367D"/>
    <w:rsid w:val="00103D08"/>
    <w:rsid w:val="00103D1B"/>
    <w:rsid w:val="00103E10"/>
    <w:rsid w:val="00103F05"/>
    <w:rsid w:val="00104325"/>
    <w:rsid w:val="001045F5"/>
    <w:rsid w:val="001047F4"/>
    <w:rsid w:val="00104A78"/>
    <w:rsid w:val="00104C86"/>
    <w:rsid w:val="001056BE"/>
    <w:rsid w:val="00105785"/>
    <w:rsid w:val="0010581C"/>
    <w:rsid w:val="00105A29"/>
    <w:rsid w:val="00105B53"/>
    <w:rsid w:val="00105C43"/>
    <w:rsid w:val="00105E50"/>
    <w:rsid w:val="00105ED6"/>
    <w:rsid w:val="00105F0F"/>
    <w:rsid w:val="00105F2B"/>
    <w:rsid w:val="00106261"/>
    <w:rsid w:val="001066F8"/>
    <w:rsid w:val="001067CA"/>
    <w:rsid w:val="00106815"/>
    <w:rsid w:val="00106A17"/>
    <w:rsid w:val="001070E4"/>
    <w:rsid w:val="001071AA"/>
    <w:rsid w:val="0010751D"/>
    <w:rsid w:val="0010770B"/>
    <w:rsid w:val="00107A4F"/>
    <w:rsid w:val="00110279"/>
    <w:rsid w:val="0011063F"/>
    <w:rsid w:val="001107C3"/>
    <w:rsid w:val="00110E72"/>
    <w:rsid w:val="00111122"/>
    <w:rsid w:val="00111220"/>
    <w:rsid w:val="0011128C"/>
    <w:rsid w:val="00111948"/>
    <w:rsid w:val="00111CC8"/>
    <w:rsid w:val="00112108"/>
    <w:rsid w:val="001121E8"/>
    <w:rsid w:val="00112209"/>
    <w:rsid w:val="00112891"/>
    <w:rsid w:val="00112A11"/>
    <w:rsid w:val="00112BF1"/>
    <w:rsid w:val="001130BC"/>
    <w:rsid w:val="00113170"/>
    <w:rsid w:val="0011366F"/>
    <w:rsid w:val="001138C3"/>
    <w:rsid w:val="001138CA"/>
    <w:rsid w:val="00113A11"/>
    <w:rsid w:val="00113B0C"/>
    <w:rsid w:val="00113BDB"/>
    <w:rsid w:val="00113D67"/>
    <w:rsid w:val="001140A9"/>
    <w:rsid w:val="001140DA"/>
    <w:rsid w:val="0011410E"/>
    <w:rsid w:val="00114444"/>
    <w:rsid w:val="0011461F"/>
    <w:rsid w:val="00114959"/>
    <w:rsid w:val="00114A9A"/>
    <w:rsid w:val="00114B20"/>
    <w:rsid w:val="00114C6A"/>
    <w:rsid w:val="00114C72"/>
    <w:rsid w:val="00114C78"/>
    <w:rsid w:val="00114E09"/>
    <w:rsid w:val="00114E66"/>
    <w:rsid w:val="00115110"/>
    <w:rsid w:val="001151B1"/>
    <w:rsid w:val="0011524B"/>
    <w:rsid w:val="00115269"/>
    <w:rsid w:val="001153A0"/>
    <w:rsid w:val="00115528"/>
    <w:rsid w:val="0011560E"/>
    <w:rsid w:val="00115F30"/>
    <w:rsid w:val="0011625A"/>
    <w:rsid w:val="001168BA"/>
    <w:rsid w:val="00116A26"/>
    <w:rsid w:val="00116C9D"/>
    <w:rsid w:val="00116E71"/>
    <w:rsid w:val="0011747C"/>
    <w:rsid w:val="001176EE"/>
    <w:rsid w:val="0011776B"/>
    <w:rsid w:val="001179EB"/>
    <w:rsid w:val="00117AFE"/>
    <w:rsid w:val="00117F2D"/>
    <w:rsid w:val="001201A9"/>
    <w:rsid w:val="0012072F"/>
    <w:rsid w:val="00120A1E"/>
    <w:rsid w:val="00120AE9"/>
    <w:rsid w:val="0012132B"/>
    <w:rsid w:val="001214FD"/>
    <w:rsid w:val="001217CF"/>
    <w:rsid w:val="00121C0B"/>
    <w:rsid w:val="00121EB0"/>
    <w:rsid w:val="0012213F"/>
    <w:rsid w:val="00122264"/>
    <w:rsid w:val="0012228C"/>
    <w:rsid w:val="001226C1"/>
    <w:rsid w:val="00122ACE"/>
    <w:rsid w:val="00122AEA"/>
    <w:rsid w:val="00122D39"/>
    <w:rsid w:val="00122D67"/>
    <w:rsid w:val="0012317B"/>
    <w:rsid w:val="001231EE"/>
    <w:rsid w:val="0012390F"/>
    <w:rsid w:val="00123AE3"/>
    <w:rsid w:val="00123CDC"/>
    <w:rsid w:val="00123F2A"/>
    <w:rsid w:val="00124686"/>
    <w:rsid w:val="00124924"/>
    <w:rsid w:val="00124ABD"/>
    <w:rsid w:val="00124D56"/>
    <w:rsid w:val="00124D6B"/>
    <w:rsid w:val="00124EFC"/>
    <w:rsid w:val="00124FB5"/>
    <w:rsid w:val="00125284"/>
    <w:rsid w:val="0012535D"/>
    <w:rsid w:val="001255CC"/>
    <w:rsid w:val="00125672"/>
    <w:rsid w:val="00125A11"/>
    <w:rsid w:val="00125D70"/>
    <w:rsid w:val="00125EE0"/>
    <w:rsid w:val="0012651B"/>
    <w:rsid w:val="00126547"/>
    <w:rsid w:val="00126867"/>
    <w:rsid w:val="0012699E"/>
    <w:rsid w:val="00126C28"/>
    <w:rsid w:val="00126DF5"/>
    <w:rsid w:val="0012711A"/>
    <w:rsid w:val="00127131"/>
    <w:rsid w:val="001272A0"/>
    <w:rsid w:val="00127306"/>
    <w:rsid w:val="001273C9"/>
    <w:rsid w:val="00127546"/>
    <w:rsid w:val="0013038C"/>
    <w:rsid w:val="00131193"/>
    <w:rsid w:val="0013140F"/>
    <w:rsid w:val="001314BD"/>
    <w:rsid w:val="001319A5"/>
    <w:rsid w:val="00131B58"/>
    <w:rsid w:val="00131C52"/>
    <w:rsid w:val="00131D3C"/>
    <w:rsid w:val="00131D52"/>
    <w:rsid w:val="0013207B"/>
    <w:rsid w:val="001322A3"/>
    <w:rsid w:val="0013238A"/>
    <w:rsid w:val="00132833"/>
    <w:rsid w:val="00132D8F"/>
    <w:rsid w:val="00132E56"/>
    <w:rsid w:val="0013330B"/>
    <w:rsid w:val="00133AFC"/>
    <w:rsid w:val="00133CCC"/>
    <w:rsid w:val="001340E3"/>
    <w:rsid w:val="001347FF"/>
    <w:rsid w:val="00134A12"/>
    <w:rsid w:val="00134AD3"/>
    <w:rsid w:val="00134C19"/>
    <w:rsid w:val="00134C39"/>
    <w:rsid w:val="00134E7D"/>
    <w:rsid w:val="001354C1"/>
    <w:rsid w:val="001354F4"/>
    <w:rsid w:val="001355BE"/>
    <w:rsid w:val="001357F4"/>
    <w:rsid w:val="00135AE1"/>
    <w:rsid w:val="00135BCC"/>
    <w:rsid w:val="00135F46"/>
    <w:rsid w:val="00136118"/>
    <w:rsid w:val="0013628C"/>
    <w:rsid w:val="00136377"/>
    <w:rsid w:val="001368BA"/>
    <w:rsid w:val="001376B3"/>
    <w:rsid w:val="0013794A"/>
    <w:rsid w:val="00137B0F"/>
    <w:rsid w:val="00137C5D"/>
    <w:rsid w:val="00137D0D"/>
    <w:rsid w:val="00137EA0"/>
    <w:rsid w:val="00137F5C"/>
    <w:rsid w:val="001401B8"/>
    <w:rsid w:val="001403AD"/>
    <w:rsid w:val="0014091C"/>
    <w:rsid w:val="0014099C"/>
    <w:rsid w:val="001409FF"/>
    <w:rsid w:val="00140AA5"/>
    <w:rsid w:val="00140B9B"/>
    <w:rsid w:val="00140C10"/>
    <w:rsid w:val="00140C76"/>
    <w:rsid w:val="001412E6"/>
    <w:rsid w:val="00141417"/>
    <w:rsid w:val="00141D6D"/>
    <w:rsid w:val="00141DA7"/>
    <w:rsid w:val="00142281"/>
    <w:rsid w:val="00142373"/>
    <w:rsid w:val="001423B7"/>
    <w:rsid w:val="00142975"/>
    <w:rsid w:val="00142D31"/>
    <w:rsid w:val="00142E0D"/>
    <w:rsid w:val="001431DF"/>
    <w:rsid w:val="001432AA"/>
    <w:rsid w:val="001433FA"/>
    <w:rsid w:val="00143586"/>
    <w:rsid w:val="001435A6"/>
    <w:rsid w:val="00143A68"/>
    <w:rsid w:val="0014445D"/>
    <w:rsid w:val="001446D0"/>
    <w:rsid w:val="00144F10"/>
    <w:rsid w:val="00144F35"/>
    <w:rsid w:val="001453E5"/>
    <w:rsid w:val="0014549A"/>
    <w:rsid w:val="00145648"/>
    <w:rsid w:val="0014608C"/>
    <w:rsid w:val="00146234"/>
    <w:rsid w:val="00146293"/>
    <w:rsid w:val="00146408"/>
    <w:rsid w:val="0014669E"/>
    <w:rsid w:val="00146927"/>
    <w:rsid w:val="00146BE9"/>
    <w:rsid w:val="00146CE8"/>
    <w:rsid w:val="001473AC"/>
    <w:rsid w:val="001473EA"/>
    <w:rsid w:val="00147789"/>
    <w:rsid w:val="0014796E"/>
    <w:rsid w:val="00147B71"/>
    <w:rsid w:val="00147C2A"/>
    <w:rsid w:val="0015003B"/>
    <w:rsid w:val="00150212"/>
    <w:rsid w:val="00150315"/>
    <w:rsid w:val="001504BE"/>
    <w:rsid w:val="001505A4"/>
    <w:rsid w:val="0015080F"/>
    <w:rsid w:val="00150842"/>
    <w:rsid w:val="0015085F"/>
    <w:rsid w:val="00150999"/>
    <w:rsid w:val="00150A7C"/>
    <w:rsid w:val="00150BB4"/>
    <w:rsid w:val="00150F75"/>
    <w:rsid w:val="00150F8C"/>
    <w:rsid w:val="0015139F"/>
    <w:rsid w:val="00151429"/>
    <w:rsid w:val="00151646"/>
    <w:rsid w:val="0015166C"/>
    <w:rsid w:val="001519BA"/>
    <w:rsid w:val="001519F3"/>
    <w:rsid w:val="00151AC4"/>
    <w:rsid w:val="00151CA6"/>
    <w:rsid w:val="001522D9"/>
    <w:rsid w:val="00152383"/>
    <w:rsid w:val="0015259E"/>
    <w:rsid w:val="001525C5"/>
    <w:rsid w:val="00152988"/>
    <w:rsid w:val="00152A04"/>
    <w:rsid w:val="00152E3D"/>
    <w:rsid w:val="0015328E"/>
    <w:rsid w:val="00153364"/>
    <w:rsid w:val="001533D7"/>
    <w:rsid w:val="0015371B"/>
    <w:rsid w:val="0015379A"/>
    <w:rsid w:val="001537BD"/>
    <w:rsid w:val="0015388F"/>
    <w:rsid w:val="00153950"/>
    <w:rsid w:val="001539E5"/>
    <w:rsid w:val="00153CCC"/>
    <w:rsid w:val="00153EC9"/>
    <w:rsid w:val="00154342"/>
    <w:rsid w:val="00154418"/>
    <w:rsid w:val="00154533"/>
    <w:rsid w:val="0015465F"/>
    <w:rsid w:val="00154983"/>
    <w:rsid w:val="00154A22"/>
    <w:rsid w:val="00154A3F"/>
    <w:rsid w:val="00154A4F"/>
    <w:rsid w:val="00154A78"/>
    <w:rsid w:val="00154C52"/>
    <w:rsid w:val="00154C99"/>
    <w:rsid w:val="00154D01"/>
    <w:rsid w:val="00154DA8"/>
    <w:rsid w:val="00155997"/>
    <w:rsid w:val="00155B83"/>
    <w:rsid w:val="00155D09"/>
    <w:rsid w:val="00156002"/>
    <w:rsid w:val="001560AA"/>
    <w:rsid w:val="0015638C"/>
    <w:rsid w:val="00156556"/>
    <w:rsid w:val="0015669A"/>
    <w:rsid w:val="001569F5"/>
    <w:rsid w:val="00156A8A"/>
    <w:rsid w:val="0015706D"/>
    <w:rsid w:val="00157173"/>
    <w:rsid w:val="001571B8"/>
    <w:rsid w:val="001571C9"/>
    <w:rsid w:val="001571E8"/>
    <w:rsid w:val="00157324"/>
    <w:rsid w:val="00157979"/>
    <w:rsid w:val="00157A29"/>
    <w:rsid w:val="00157B11"/>
    <w:rsid w:val="00157E4F"/>
    <w:rsid w:val="00157F2F"/>
    <w:rsid w:val="0016021E"/>
    <w:rsid w:val="001603C3"/>
    <w:rsid w:val="00160594"/>
    <w:rsid w:val="001606CF"/>
    <w:rsid w:val="00160702"/>
    <w:rsid w:val="00160DF7"/>
    <w:rsid w:val="00160E66"/>
    <w:rsid w:val="0016128D"/>
    <w:rsid w:val="001619CC"/>
    <w:rsid w:val="00161D1D"/>
    <w:rsid w:val="00161D94"/>
    <w:rsid w:val="00161EAA"/>
    <w:rsid w:val="001621B7"/>
    <w:rsid w:val="001621DF"/>
    <w:rsid w:val="0016222E"/>
    <w:rsid w:val="00162735"/>
    <w:rsid w:val="00162812"/>
    <w:rsid w:val="00162E8D"/>
    <w:rsid w:val="00162F4F"/>
    <w:rsid w:val="00163156"/>
    <w:rsid w:val="00163511"/>
    <w:rsid w:val="00163650"/>
    <w:rsid w:val="00163735"/>
    <w:rsid w:val="001637A1"/>
    <w:rsid w:val="00163B5E"/>
    <w:rsid w:val="00163D59"/>
    <w:rsid w:val="00163DB1"/>
    <w:rsid w:val="00163E28"/>
    <w:rsid w:val="00164220"/>
    <w:rsid w:val="001644EF"/>
    <w:rsid w:val="00164A14"/>
    <w:rsid w:val="00164A46"/>
    <w:rsid w:val="00164CF0"/>
    <w:rsid w:val="00165167"/>
    <w:rsid w:val="0016534F"/>
    <w:rsid w:val="0016568E"/>
    <w:rsid w:val="0016579C"/>
    <w:rsid w:val="00165852"/>
    <w:rsid w:val="00165A6C"/>
    <w:rsid w:val="00165C3D"/>
    <w:rsid w:val="00165C4D"/>
    <w:rsid w:val="00165D7B"/>
    <w:rsid w:val="001669E2"/>
    <w:rsid w:val="00167008"/>
    <w:rsid w:val="0016792B"/>
    <w:rsid w:val="00167C39"/>
    <w:rsid w:val="00167FC1"/>
    <w:rsid w:val="00170354"/>
    <w:rsid w:val="001705B1"/>
    <w:rsid w:val="001705D3"/>
    <w:rsid w:val="00170884"/>
    <w:rsid w:val="0017089D"/>
    <w:rsid w:val="00170BE3"/>
    <w:rsid w:val="001710AB"/>
    <w:rsid w:val="001710EC"/>
    <w:rsid w:val="0017150F"/>
    <w:rsid w:val="00171563"/>
    <w:rsid w:val="001715DC"/>
    <w:rsid w:val="00171619"/>
    <w:rsid w:val="00171962"/>
    <w:rsid w:val="00171C48"/>
    <w:rsid w:val="00171D63"/>
    <w:rsid w:val="00172023"/>
    <w:rsid w:val="001720F6"/>
    <w:rsid w:val="00172148"/>
    <w:rsid w:val="00172215"/>
    <w:rsid w:val="00172968"/>
    <w:rsid w:val="00172BE3"/>
    <w:rsid w:val="00173525"/>
    <w:rsid w:val="00173553"/>
    <w:rsid w:val="001737B9"/>
    <w:rsid w:val="00173832"/>
    <w:rsid w:val="0017384F"/>
    <w:rsid w:val="001739B6"/>
    <w:rsid w:val="00173FD5"/>
    <w:rsid w:val="00174182"/>
    <w:rsid w:val="001741DF"/>
    <w:rsid w:val="001742DA"/>
    <w:rsid w:val="0017444A"/>
    <w:rsid w:val="0017480F"/>
    <w:rsid w:val="00174870"/>
    <w:rsid w:val="00174B30"/>
    <w:rsid w:val="00174C56"/>
    <w:rsid w:val="00174C92"/>
    <w:rsid w:val="00175A24"/>
    <w:rsid w:val="00175E1F"/>
    <w:rsid w:val="00175EE5"/>
    <w:rsid w:val="00175F7F"/>
    <w:rsid w:val="001764CB"/>
    <w:rsid w:val="00176664"/>
    <w:rsid w:val="00176921"/>
    <w:rsid w:val="00176A5F"/>
    <w:rsid w:val="00176E21"/>
    <w:rsid w:val="001770A0"/>
    <w:rsid w:val="0017740B"/>
    <w:rsid w:val="00177702"/>
    <w:rsid w:val="00177773"/>
    <w:rsid w:val="001777CB"/>
    <w:rsid w:val="00177AFE"/>
    <w:rsid w:val="00177C37"/>
    <w:rsid w:val="00177F18"/>
    <w:rsid w:val="00180203"/>
    <w:rsid w:val="0018062C"/>
    <w:rsid w:val="00180951"/>
    <w:rsid w:val="001809AA"/>
    <w:rsid w:val="00180AE3"/>
    <w:rsid w:val="001812F5"/>
    <w:rsid w:val="001816F2"/>
    <w:rsid w:val="00181709"/>
    <w:rsid w:val="001819E3"/>
    <w:rsid w:val="00181AAA"/>
    <w:rsid w:val="00181B11"/>
    <w:rsid w:val="00181B3C"/>
    <w:rsid w:val="0018236A"/>
    <w:rsid w:val="0018249A"/>
    <w:rsid w:val="0018252F"/>
    <w:rsid w:val="00182637"/>
    <w:rsid w:val="00182E76"/>
    <w:rsid w:val="00183188"/>
    <w:rsid w:val="0018327B"/>
    <w:rsid w:val="001832D7"/>
    <w:rsid w:val="00183463"/>
    <w:rsid w:val="00183C2D"/>
    <w:rsid w:val="00183D72"/>
    <w:rsid w:val="001841F3"/>
    <w:rsid w:val="00184B88"/>
    <w:rsid w:val="00184E4D"/>
    <w:rsid w:val="001850B4"/>
    <w:rsid w:val="001852AE"/>
    <w:rsid w:val="00185428"/>
    <w:rsid w:val="0018547F"/>
    <w:rsid w:val="001854C6"/>
    <w:rsid w:val="00185501"/>
    <w:rsid w:val="001855FB"/>
    <w:rsid w:val="001856CB"/>
    <w:rsid w:val="00185948"/>
    <w:rsid w:val="001859F9"/>
    <w:rsid w:val="00185B54"/>
    <w:rsid w:val="00185DC1"/>
    <w:rsid w:val="00186083"/>
    <w:rsid w:val="001861E2"/>
    <w:rsid w:val="001866D5"/>
    <w:rsid w:val="00186A1B"/>
    <w:rsid w:val="00186C23"/>
    <w:rsid w:val="00186D7C"/>
    <w:rsid w:val="00186F3B"/>
    <w:rsid w:val="001874F8"/>
    <w:rsid w:val="00187844"/>
    <w:rsid w:val="00187BD9"/>
    <w:rsid w:val="00190A0E"/>
    <w:rsid w:val="00190AEB"/>
    <w:rsid w:val="00190C68"/>
    <w:rsid w:val="00190CB6"/>
    <w:rsid w:val="00190CB7"/>
    <w:rsid w:val="00190CED"/>
    <w:rsid w:val="00190EBB"/>
    <w:rsid w:val="0019101A"/>
    <w:rsid w:val="0019131B"/>
    <w:rsid w:val="00191539"/>
    <w:rsid w:val="001917A0"/>
    <w:rsid w:val="00191849"/>
    <w:rsid w:val="00191992"/>
    <w:rsid w:val="00191B5A"/>
    <w:rsid w:val="00191C8F"/>
    <w:rsid w:val="001920CA"/>
    <w:rsid w:val="0019212C"/>
    <w:rsid w:val="0019226C"/>
    <w:rsid w:val="001922C8"/>
    <w:rsid w:val="00192372"/>
    <w:rsid w:val="0019268D"/>
    <w:rsid w:val="0019268F"/>
    <w:rsid w:val="0019276B"/>
    <w:rsid w:val="001927A1"/>
    <w:rsid w:val="00192969"/>
    <w:rsid w:val="001929FF"/>
    <w:rsid w:val="00192B79"/>
    <w:rsid w:val="00192C19"/>
    <w:rsid w:val="00192C40"/>
    <w:rsid w:val="00192C8D"/>
    <w:rsid w:val="00192E58"/>
    <w:rsid w:val="00193125"/>
    <w:rsid w:val="0019321F"/>
    <w:rsid w:val="00193326"/>
    <w:rsid w:val="001933C7"/>
    <w:rsid w:val="0019392C"/>
    <w:rsid w:val="00193AAE"/>
    <w:rsid w:val="00193E8C"/>
    <w:rsid w:val="0019432D"/>
    <w:rsid w:val="001948F5"/>
    <w:rsid w:val="001949E8"/>
    <w:rsid w:val="00194B27"/>
    <w:rsid w:val="00195278"/>
    <w:rsid w:val="0019553C"/>
    <w:rsid w:val="001956ED"/>
    <w:rsid w:val="00195700"/>
    <w:rsid w:val="00195E50"/>
    <w:rsid w:val="00196230"/>
    <w:rsid w:val="001963F3"/>
    <w:rsid w:val="00196AA1"/>
    <w:rsid w:val="001970A6"/>
    <w:rsid w:val="0019733E"/>
    <w:rsid w:val="00197CEC"/>
    <w:rsid w:val="00197F9E"/>
    <w:rsid w:val="001A0372"/>
    <w:rsid w:val="001A09A9"/>
    <w:rsid w:val="001A0AA5"/>
    <w:rsid w:val="001A0B63"/>
    <w:rsid w:val="001A0D25"/>
    <w:rsid w:val="001A0DE5"/>
    <w:rsid w:val="001A0E0F"/>
    <w:rsid w:val="001A0E40"/>
    <w:rsid w:val="001A0FF0"/>
    <w:rsid w:val="001A12BB"/>
    <w:rsid w:val="001A12EF"/>
    <w:rsid w:val="001A1319"/>
    <w:rsid w:val="001A136E"/>
    <w:rsid w:val="001A167D"/>
    <w:rsid w:val="001A1977"/>
    <w:rsid w:val="001A1ADC"/>
    <w:rsid w:val="001A1AF8"/>
    <w:rsid w:val="001A1B46"/>
    <w:rsid w:val="001A1B71"/>
    <w:rsid w:val="001A22ED"/>
    <w:rsid w:val="001A28F0"/>
    <w:rsid w:val="001A2A08"/>
    <w:rsid w:val="001A2C04"/>
    <w:rsid w:val="001A338A"/>
    <w:rsid w:val="001A34BC"/>
    <w:rsid w:val="001A34FB"/>
    <w:rsid w:val="001A3603"/>
    <w:rsid w:val="001A3B94"/>
    <w:rsid w:val="001A3D49"/>
    <w:rsid w:val="001A3E25"/>
    <w:rsid w:val="001A4024"/>
    <w:rsid w:val="001A4107"/>
    <w:rsid w:val="001A4863"/>
    <w:rsid w:val="001A49A4"/>
    <w:rsid w:val="001A4C37"/>
    <w:rsid w:val="001A5237"/>
    <w:rsid w:val="001A564C"/>
    <w:rsid w:val="001A5A15"/>
    <w:rsid w:val="001A63A4"/>
    <w:rsid w:val="001A64FF"/>
    <w:rsid w:val="001A657E"/>
    <w:rsid w:val="001A6CD3"/>
    <w:rsid w:val="001A6CF1"/>
    <w:rsid w:val="001A6D2F"/>
    <w:rsid w:val="001A6E0F"/>
    <w:rsid w:val="001A6EB1"/>
    <w:rsid w:val="001A74EC"/>
    <w:rsid w:val="001A77CB"/>
    <w:rsid w:val="001A7AB9"/>
    <w:rsid w:val="001A7AD0"/>
    <w:rsid w:val="001A7E12"/>
    <w:rsid w:val="001A7EA3"/>
    <w:rsid w:val="001A7F54"/>
    <w:rsid w:val="001B02B5"/>
    <w:rsid w:val="001B040C"/>
    <w:rsid w:val="001B055B"/>
    <w:rsid w:val="001B0CA3"/>
    <w:rsid w:val="001B0D08"/>
    <w:rsid w:val="001B0F8B"/>
    <w:rsid w:val="001B10D0"/>
    <w:rsid w:val="001B13E0"/>
    <w:rsid w:val="001B160E"/>
    <w:rsid w:val="001B1B78"/>
    <w:rsid w:val="001B1C76"/>
    <w:rsid w:val="001B1EB4"/>
    <w:rsid w:val="001B23EA"/>
    <w:rsid w:val="001B262A"/>
    <w:rsid w:val="001B2846"/>
    <w:rsid w:val="001B2878"/>
    <w:rsid w:val="001B2960"/>
    <w:rsid w:val="001B2A35"/>
    <w:rsid w:val="001B2A49"/>
    <w:rsid w:val="001B2CBC"/>
    <w:rsid w:val="001B2DA8"/>
    <w:rsid w:val="001B2EE2"/>
    <w:rsid w:val="001B2FB2"/>
    <w:rsid w:val="001B3370"/>
    <w:rsid w:val="001B363A"/>
    <w:rsid w:val="001B36A6"/>
    <w:rsid w:val="001B390B"/>
    <w:rsid w:val="001B392F"/>
    <w:rsid w:val="001B3AED"/>
    <w:rsid w:val="001B3C94"/>
    <w:rsid w:val="001B3D69"/>
    <w:rsid w:val="001B3F81"/>
    <w:rsid w:val="001B4152"/>
    <w:rsid w:val="001B4C64"/>
    <w:rsid w:val="001B4DA9"/>
    <w:rsid w:val="001B4FFC"/>
    <w:rsid w:val="001B52FF"/>
    <w:rsid w:val="001B5441"/>
    <w:rsid w:val="001B54BD"/>
    <w:rsid w:val="001B55B8"/>
    <w:rsid w:val="001B5D10"/>
    <w:rsid w:val="001B602E"/>
    <w:rsid w:val="001B608C"/>
    <w:rsid w:val="001B6358"/>
    <w:rsid w:val="001B6525"/>
    <w:rsid w:val="001B666B"/>
    <w:rsid w:val="001B6797"/>
    <w:rsid w:val="001B6BAB"/>
    <w:rsid w:val="001B6D6A"/>
    <w:rsid w:val="001B7258"/>
    <w:rsid w:val="001B7E2E"/>
    <w:rsid w:val="001C0355"/>
    <w:rsid w:val="001C050B"/>
    <w:rsid w:val="001C0532"/>
    <w:rsid w:val="001C0540"/>
    <w:rsid w:val="001C093D"/>
    <w:rsid w:val="001C095B"/>
    <w:rsid w:val="001C09BA"/>
    <w:rsid w:val="001C0A37"/>
    <w:rsid w:val="001C0AFF"/>
    <w:rsid w:val="001C0D63"/>
    <w:rsid w:val="001C0D9E"/>
    <w:rsid w:val="001C0E1D"/>
    <w:rsid w:val="001C12CB"/>
    <w:rsid w:val="001C12F1"/>
    <w:rsid w:val="001C1511"/>
    <w:rsid w:val="001C1BA3"/>
    <w:rsid w:val="001C1ED1"/>
    <w:rsid w:val="001C1F40"/>
    <w:rsid w:val="001C21F9"/>
    <w:rsid w:val="001C21FB"/>
    <w:rsid w:val="001C2599"/>
    <w:rsid w:val="001C29F6"/>
    <w:rsid w:val="001C2ACE"/>
    <w:rsid w:val="001C2D96"/>
    <w:rsid w:val="001C2E4C"/>
    <w:rsid w:val="001C358D"/>
    <w:rsid w:val="001C36D4"/>
    <w:rsid w:val="001C39F9"/>
    <w:rsid w:val="001C39FC"/>
    <w:rsid w:val="001C3E1E"/>
    <w:rsid w:val="001C3FB4"/>
    <w:rsid w:val="001C474C"/>
    <w:rsid w:val="001C47E6"/>
    <w:rsid w:val="001C49EF"/>
    <w:rsid w:val="001C4D28"/>
    <w:rsid w:val="001C4D39"/>
    <w:rsid w:val="001C4E23"/>
    <w:rsid w:val="001C4E37"/>
    <w:rsid w:val="001C4E49"/>
    <w:rsid w:val="001C52E7"/>
    <w:rsid w:val="001C531C"/>
    <w:rsid w:val="001C531D"/>
    <w:rsid w:val="001C559A"/>
    <w:rsid w:val="001C55BC"/>
    <w:rsid w:val="001C5EB6"/>
    <w:rsid w:val="001C6127"/>
    <w:rsid w:val="001C61B9"/>
    <w:rsid w:val="001C61E5"/>
    <w:rsid w:val="001C63C7"/>
    <w:rsid w:val="001C6E22"/>
    <w:rsid w:val="001C70E1"/>
    <w:rsid w:val="001C7232"/>
    <w:rsid w:val="001C7750"/>
    <w:rsid w:val="001C7CEF"/>
    <w:rsid w:val="001C7D59"/>
    <w:rsid w:val="001C7EE7"/>
    <w:rsid w:val="001C7F2D"/>
    <w:rsid w:val="001D040C"/>
    <w:rsid w:val="001D0571"/>
    <w:rsid w:val="001D07EE"/>
    <w:rsid w:val="001D086E"/>
    <w:rsid w:val="001D08A8"/>
    <w:rsid w:val="001D098F"/>
    <w:rsid w:val="001D0BB1"/>
    <w:rsid w:val="001D0C75"/>
    <w:rsid w:val="001D0F2A"/>
    <w:rsid w:val="001D0F5C"/>
    <w:rsid w:val="001D11F1"/>
    <w:rsid w:val="001D142F"/>
    <w:rsid w:val="001D149E"/>
    <w:rsid w:val="001D1757"/>
    <w:rsid w:val="001D176B"/>
    <w:rsid w:val="001D1A19"/>
    <w:rsid w:val="001D1AE3"/>
    <w:rsid w:val="001D1BE7"/>
    <w:rsid w:val="001D1D7B"/>
    <w:rsid w:val="001D1EB0"/>
    <w:rsid w:val="001D2035"/>
    <w:rsid w:val="001D21DC"/>
    <w:rsid w:val="001D22E6"/>
    <w:rsid w:val="001D24A9"/>
    <w:rsid w:val="001D2B2F"/>
    <w:rsid w:val="001D2B5E"/>
    <w:rsid w:val="001D2B6A"/>
    <w:rsid w:val="001D2F1A"/>
    <w:rsid w:val="001D2F87"/>
    <w:rsid w:val="001D33CD"/>
    <w:rsid w:val="001D3565"/>
    <w:rsid w:val="001D35D1"/>
    <w:rsid w:val="001D36AC"/>
    <w:rsid w:val="001D38A6"/>
    <w:rsid w:val="001D3B04"/>
    <w:rsid w:val="001D41CB"/>
    <w:rsid w:val="001D4219"/>
    <w:rsid w:val="001D4324"/>
    <w:rsid w:val="001D4594"/>
    <w:rsid w:val="001D46BF"/>
    <w:rsid w:val="001D4943"/>
    <w:rsid w:val="001D4B47"/>
    <w:rsid w:val="001D4EAA"/>
    <w:rsid w:val="001D4F7C"/>
    <w:rsid w:val="001D500D"/>
    <w:rsid w:val="001D5055"/>
    <w:rsid w:val="001D5605"/>
    <w:rsid w:val="001D56FF"/>
    <w:rsid w:val="001D5A62"/>
    <w:rsid w:val="001D5E48"/>
    <w:rsid w:val="001D5F92"/>
    <w:rsid w:val="001D5FD7"/>
    <w:rsid w:val="001D6101"/>
    <w:rsid w:val="001D6352"/>
    <w:rsid w:val="001D65C8"/>
    <w:rsid w:val="001D6648"/>
    <w:rsid w:val="001D6B1D"/>
    <w:rsid w:val="001D6C5E"/>
    <w:rsid w:val="001D6D00"/>
    <w:rsid w:val="001D6DA8"/>
    <w:rsid w:val="001D7035"/>
    <w:rsid w:val="001D72B5"/>
    <w:rsid w:val="001D7467"/>
    <w:rsid w:val="001D7C0D"/>
    <w:rsid w:val="001D7D24"/>
    <w:rsid w:val="001E0215"/>
    <w:rsid w:val="001E06E2"/>
    <w:rsid w:val="001E06F4"/>
    <w:rsid w:val="001E0AD2"/>
    <w:rsid w:val="001E0C48"/>
    <w:rsid w:val="001E0F72"/>
    <w:rsid w:val="001E1412"/>
    <w:rsid w:val="001E14E6"/>
    <w:rsid w:val="001E1645"/>
    <w:rsid w:val="001E171D"/>
    <w:rsid w:val="001E1822"/>
    <w:rsid w:val="001E1C82"/>
    <w:rsid w:val="001E1DB1"/>
    <w:rsid w:val="001E2167"/>
    <w:rsid w:val="001E2762"/>
    <w:rsid w:val="001E289A"/>
    <w:rsid w:val="001E2903"/>
    <w:rsid w:val="001E2BFF"/>
    <w:rsid w:val="001E30CE"/>
    <w:rsid w:val="001E34DC"/>
    <w:rsid w:val="001E3B16"/>
    <w:rsid w:val="001E3DD8"/>
    <w:rsid w:val="001E4093"/>
    <w:rsid w:val="001E43BC"/>
    <w:rsid w:val="001E45A7"/>
    <w:rsid w:val="001E48A7"/>
    <w:rsid w:val="001E48AF"/>
    <w:rsid w:val="001E4A93"/>
    <w:rsid w:val="001E4F9F"/>
    <w:rsid w:val="001E5265"/>
    <w:rsid w:val="001E5504"/>
    <w:rsid w:val="001E5A2C"/>
    <w:rsid w:val="001E5C12"/>
    <w:rsid w:val="001E5D86"/>
    <w:rsid w:val="001E614A"/>
    <w:rsid w:val="001E631C"/>
    <w:rsid w:val="001E6794"/>
    <w:rsid w:val="001E68D7"/>
    <w:rsid w:val="001E6956"/>
    <w:rsid w:val="001E6C63"/>
    <w:rsid w:val="001E6D23"/>
    <w:rsid w:val="001E6D44"/>
    <w:rsid w:val="001E6D5D"/>
    <w:rsid w:val="001E6E82"/>
    <w:rsid w:val="001E6F8D"/>
    <w:rsid w:val="001E7015"/>
    <w:rsid w:val="001E7105"/>
    <w:rsid w:val="001E72CD"/>
    <w:rsid w:val="001E7474"/>
    <w:rsid w:val="001E75FE"/>
    <w:rsid w:val="001E7E83"/>
    <w:rsid w:val="001F023E"/>
    <w:rsid w:val="001F0337"/>
    <w:rsid w:val="001F039D"/>
    <w:rsid w:val="001F050E"/>
    <w:rsid w:val="001F079F"/>
    <w:rsid w:val="001F091B"/>
    <w:rsid w:val="001F09CD"/>
    <w:rsid w:val="001F09CE"/>
    <w:rsid w:val="001F0C34"/>
    <w:rsid w:val="001F0D8D"/>
    <w:rsid w:val="001F104B"/>
    <w:rsid w:val="001F11EC"/>
    <w:rsid w:val="001F148D"/>
    <w:rsid w:val="001F19F5"/>
    <w:rsid w:val="001F1AF8"/>
    <w:rsid w:val="001F1C81"/>
    <w:rsid w:val="001F1C82"/>
    <w:rsid w:val="001F1DA6"/>
    <w:rsid w:val="001F1E2A"/>
    <w:rsid w:val="001F2351"/>
    <w:rsid w:val="001F2434"/>
    <w:rsid w:val="001F245C"/>
    <w:rsid w:val="001F2487"/>
    <w:rsid w:val="001F292E"/>
    <w:rsid w:val="001F31C7"/>
    <w:rsid w:val="001F33ED"/>
    <w:rsid w:val="001F34E7"/>
    <w:rsid w:val="001F355B"/>
    <w:rsid w:val="001F35B1"/>
    <w:rsid w:val="001F35DA"/>
    <w:rsid w:val="001F37CF"/>
    <w:rsid w:val="001F38A8"/>
    <w:rsid w:val="001F3B4A"/>
    <w:rsid w:val="001F3C75"/>
    <w:rsid w:val="001F3E97"/>
    <w:rsid w:val="001F3FED"/>
    <w:rsid w:val="001F40E6"/>
    <w:rsid w:val="001F442A"/>
    <w:rsid w:val="001F4516"/>
    <w:rsid w:val="001F459A"/>
    <w:rsid w:val="001F4B0F"/>
    <w:rsid w:val="001F4E41"/>
    <w:rsid w:val="001F4F33"/>
    <w:rsid w:val="001F506A"/>
    <w:rsid w:val="001F54CC"/>
    <w:rsid w:val="001F5557"/>
    <w:rsid w:val="001F5570"/>
    <w:rsid w:val="001F55B3"/>
    <w:rsid w:val="001F583F"/>
    <w:rsid w:val="001F59AA"/>
    <w:rsid w:val="001F5A50"/>
    <w:rsid w:val="001F6155"/>
    <w:rsid w:val="001F623A"/>
    <w:rsid w:val="001F6732"/>
    <w:rsid w:val="001F686D"/>
    <w:rsid w:val="001F6871"/>
    <w:rsid w:val="001F6984"/>
    <w:rsid w:val="001F702E"/>
    <w:rsid w:val="001F76E7"/>
    <w:rsid w:val="001F77A4"/>
    <w:rsid w:val="001F7B4F"/>
    <w:rsid w:val="0020009B"/>
    <w:rsid w:val="00200130"/>
    <w:rsid w:val="00200187"/>
    <w:rsid w:val="00200315"/>
    <w:rsid w:val="0020034C"/>
    <w:rsid w:val="00200676"/>
    <w:rsid w:val="00200703"/>
    <w:rsid w:val="00200841"/>
    <w:rsid w:val="00200994"/>
    <w:rsid w:val="00200BA2"/>
    <w:rsid w:val="00200BBE"/>
    <w:rsid w:val="00200DC2"/>
    <w:rsid w:val="0020116B"/>
    <w:rsid w:val="002011C2"/>
    <w:rsid w:val="002012FE"/>
    <w:rsid w:val="00201D34"/>
    <w:rsid w:val="00201F12"/>
    <w:rsid w:val="00202375"/>
    <w:rsid w:val="002023AD"/>
    <w:rsid w:val="0020245D"/>
    <w:rsid w:val="002024EB"/>
    <w:rsid w:val="00202572"/>
    <w:rsid w:val="00202768"/>
    <w:rsid w:val="00202C5F"/>
    <w:rsid w:val="00202DD9"/>
    <w:rsid w:val="00202E11"/>
    <w:rsid w:val="00202F4B"/>
    <w:rsid w:val="0020305C"/>
    <w:rsid w:val="0020319F"/>
    <w:rsid w:val="0020328D"/>
    <w:rsid w:val="0020331B"/>
    <w:rsid w:val="00203487"/>
    <w:rsid w:val="00203616"/>
    <w:rsid w:val="002039A1"/>
    <w:rsid w:val="00203AC6"/>
    <w:rsid w:val="00203EBE"/>
    <w:rsid w:val="00204000"/>
    <w:rsid w:val="002040FE"/>
    <w:rsid w:val="0020411C"/>
    <w:rsid w:val="00204736"/>
    <w:rsid w:val="002049EB"/>
    <w:rsid w:val="00204AE3"/>
    <w:rsid w:val="0020509E"/>
    <w:rsid w:val="002051EF"/>
    <w:rsid w:val="002052B4"/>
    <w:rsid w:val="002052D6"/>
    <w:rsid w:val="00205368"/>
    <w:rsid w:val="00205A66"/>
    <w:rsid w:val="00205AEB"/>
    <w:rsid w:val="00205E07"/>
    <w:rsid w:val="00205E1C"/>
    <w:rsid w:val="002061CF"/>
    <w:rsid w:val="00206277"/>
    <w:rsid w:val="0020637D"/>
    <w:rsid w:val="002063A3"/>
    <w:rsid w:val="00206400"/>
    <w:rsid w:val="00206447"/>
    <w:rsid w:val="00206ABA"/>
    <w:rsid w:val="00206B31"/>
    <w:rsid w:val="00207095"/>
    <w:rsid w:val="00207362"/>
    <w:rsid w:val="002075C3"/>
    <w:rsid w:val="002076A4"/>
    <w:rsid w:val="0020775E"/>
    <w:rsid w:val="00207BA7"/>
    <w:rsid w:val="00207CA1"/>
    <w:rsid w:val="00207E20"/>
    <w:rsid w:val="00207EAF"/>
    <w:rsid w:val="0021009F"/>
    <w:rsid w:val="002105CB"/>
    <w:rsid w:val="0021066A"/>
    <w:rsid w:val="00210A5E"/>
    <w:rsid w:val="00210BDC"/>
    <w:rsid w:val="00210D32"/>
    <w:rsid w:val="00210F5A"/>
    <w:rsid w:val="00211054"/>
    <w:rsid w:val="002115C1"/>
    <w:rsid w:val="00211614"/>
    <w:rsid w:val="00211AE6"/>
    <w:rsid w:val="00211F5C"/>
    <w:rsid w:val="002120C7"/>
    <w:rsid w:val="002123B6"/>
    <w:rsid w:val="002127A7"/>
    <w:rsid w:val="002127BB"/>
    <w:rsid w:val="002128B2"/>
    <w:rsid w:val="00212A74"/>
    <w:rsid w:val="00212D4A"/>
    <w:rsid w:val="00212D96"/>
    <w:rsid w:val="002130BE"/>
    <w:rsid w:val="00213403"/>
    <w:rsid w:val="002138AA"/>
    <w:rsid w:val="00213AF8"/>
    <w:rsid w:val="00213CC9"/>
    <w:rsid w:val="00213D91"/>
    <w:rsid w:val="0021412D"/>
    <w:rsid w:val="002142FB"/>
    <w:rsid w:val="002143FE"/>
    <w:rsid w:val="00214773"/>
    <w:rsid w:val="00214884"/>
    <w:rsid w:val="00214BD4"/>
    <w:rsid w:val="00214DDA"/>
    <w:rsid w:val="00214E37"/>
    <w:rsid w:val="00214FB8"/>
    <w:rsid w:val="0021560C"/>
    <w:rsid w:val="00215758"/>
    <w:rsid w:val="0021577C"/>
    <w:rsid w:val="00215912"/>
    <w:rsid w:val="00215A2F"/>
    <w:rsid w:val="00215AFD"/>
    <w:rsid w:val="00215BE4"/>
    <w:rsid w:val="00216057"/>
    <w:rsid w:val="00216361"/>
    <w:rsid w:val="002164BE"/>
    <w:rsid w:val="0021669B"/>
    <w:rsid w:val="002166D9"/>
    <w:rsid w:val="00216821"/>
    <w:rsid w:val="0021696C"/>
    <w:rsid w:val="0021758C"/>
    <w:rsid w:val="00217709"/>
    <w:rsid w:val="00217786"/>
    <w:rsid w:val="00217A1D"/>
    <w:rsid w:val="00217BFD"/>
    <w:rsid w:val="00217CA8"/>
    <w:rsid w:val="00217F54"/>
    <w:rsid w:val="002200BA"/>
    <w:rsid w:val="002205AE"/>
    <w:rsid w:val="002207F1"/>
    <w:rsid w:val="00220809"/>
    <w:rsid w:val="00220BEC"/>
    <w:rsid w:val="00220D02"/>
    <w:rsid w:val="00220EF1"/>
    <w:rsid w:val="0022108A"/>
    <w:rsid w:val="002211E0"/>
    <w:rsid w:val="0022139E"/>
    <w:rsid w:val="0022142A"/>
    <w:rsid w:val="00221786"/>
    <w:rsid w:val="0022187C"/>
    <w:rsid w:val="0022190E"/>
    <w:rsid w:val="00221957"/>
    <w:rsid w:val="00221AA7"/>
    <w:rsid w:val="00221B36"/>
    <w:rsid w:val="00221FB7"/>
    <w:rsid w:val="002220F9"/>
    <w:rsid w:val="0022282C"/>
    <w:rsid w:val="00222AC6"/>
    <w:rsid w:val="00222B3D"/>
    <w:rsid w:val="00222BD5"/>
    <w:rsid w:val="00222C70"/>
    <w:rsid w:val="002231D4"/>
    <w:rsid w:val="002231EE"/>
    <w:rsid w:val="0022359D"/>
    <w:rsid w:val="002236B6"/>
    <w:rsid w:val="00223DDE"/>
    <w:rsid w:val="00223FE0"/>
    <w:rsid w:val="0022412D"/>
    <w:rsid w:val="0022421F"/>
    <w:rsid w:val="002242DF"/>
    <w:rsid w:val="002247AF"/>
    <w:rsid w:val="00224836"/>
    <w:rsid w:val="00224852"/>
    <w:rsid w:val="00224BF3"/>
    <w:rsid w:val="00224CA9"/>
    <w:rsid w:val="00224F33"/>
    <w:rsid w:val="00224F59"/>
    <w:rsid w:val="002251B2"/>
    <w:rsid w:val="00225669"/>
    <w:rsid w:val="002258AB"/>
    <w:rsid w:val="00226158"/>
    <w:rsid w:val="002262D7"/>
    <w:rsid w:val="00226554"/>
    <w:rsid w:val="00226850"/>
    <w:rsid w:val="002269A7"/>
    <w:rsid w:val="00226BBA"/>
    <w:rsid w:val="00226FC1"/>
    <w:rsid w:val="00227615"/>
    <w:rsid w:val="00227882"/>
    <w:rsid w:val="00227ADB"/>
    <w:rsid w:val="00227DA0"/>
    <w:rsid w:val="0023004C"/>
    <w:rsid w:val="00230510"/>
    <w:rsid w:val="00230DCB"/>
    <w:rsid w:val="00231049"/>
    <w:rsid w:val="00231483"/>
    <w:rsid w:val="002314D2"/>
    <w:rsid w:val="00231774"/>
    <w:rsid w:val="002317E6"/>
    <w:rsid w:val="00231AD9"/>
    <w:rsid w:val="00231B1C"/>
    <w:rsid w:val="00231C81"/>
    <w:rsid w:val="00231D71"/>
    <w:rsid w:val="00231F72"/>
    <w:rsid w:val="0023273F"/>
    <w:rsid w:val="002327E8"/>
    <w:rsid w:val="00232AF3"/>
    <w:rsid w:val="00232BA9"/>
    <w:rsid w:val="0023307A"/>
    <w:rsid w:val="0023334F"/>
    <w:rsid w:val="00233B8A"/>
    <w:rsid w:val="00233C94"/>
    <w:rsid w:val="00233E52"/>
    <w:rsid w:val="00233EE0"/>
    <w:rsid w:val="002341B3"/>
    <w:rsid w:val="00234697"/>
    <w:rsid w:val="00234CA6"/>
    <w:rsid w:val="00234E5A"/>
    <w:rsid w:val="00234EAE"/>
    <w:rsid w:val="00235625"/>
    <w:rsid w:val="00235909"/>
    <w:rsid w:val="00235984"/>
    <w:rsid w:val="002359C2"/>
    <w:rsid w:val="00235CA2"/>
    <w:rsid w:val="002361A1"/>
    <w:rsid w:val="0023620A"/>
    <w:rsid w:val="002362C4"/>
    <w:rsid w:val="0023679A"/>
    <w:rsid w:val="002367EE"/>
    <w:rsid w:val="00236AF5"/>
    <w:rsid w:val="00236C92"/>
    <w:rsid w:val="00237050"/>
    <w:rsid w:val="002370E7"/>
    <w:rsid w:val="002372A6"/>
    <w:rsid w:val="00237455"/>
    <w:rsid w:val="00237494"/>
    <w:rsid w:val="00237671"/>
    <w:rsid w:val="00237D4C"/>
    <w:rsid w:val="00237E90"/>
    <w:rsid w:val="002400E7"/>
    <w:rsid w:val="002402BF"/>
    <w:rsid w:val="002405A4"/>
    <w:rsid w:val="0024076C"/>
    <w:rsid w:val="00240906"/>
    <w:rsid w:val="00240C6D"/>
    <w:rsid w:val="002410AD"/>
    <w:rsid w:val="002416AD"/>
    <w:rsid w:val="0024197D"/>
    <w:rsid w:val="00241BA9"/>
    <w:rsid w:val="00241DBD"/>
    <w:rsid w:val="00242528"/>
    <w:rsid w:val="002425DE"/>
    <w:rsid w:val="0024270A"/>
    <w:rsid w:val="00242825"/>
    <w:rsid w:val="00242833"/>
    <w:rsid w:val="00242928"/>
    <w:rsid w:val="002429F1"/>
    <w:rsid w:val="00242E45"/>
    <w:rsid w:val="00242F0A"/>
    <w:rsid w:val="00242FC9"/>
    <w:rsid w:val="00243201"/>
    <w:rsid w:val="0024344D"/>
    <w:rsid w:val="002437B4"/>
    <w:rsid w:val="00243E22"/>
    <w:rsid w:val="002440F4"/>
    <w:rsid w:val="002441C1"/>
    <w:rsid w:val="00244291"/>
    <w:rsid w:val="00244947"/>
    <w:rsid w:val="00244B83"/>
    <w:rsid w:val="00244E11"/>
    <w:rsid w:val="0024565D"/>
    <w:rsid w:val="00245BB6"/>
    <w:rsid w:val="00245C02"/>
    <w:rsid w:val="00245C31"/>
    <w:rsid w:val="00245D86"/>
    <w:rsid w:val="00245D92"/>
    <w:rsid w:val="00245D94"/>
    <w:rsid w:val="002462D3"/>
    <w:rsid w:val="0024657E"/>
    <w:rsid w:val="00246751"/>
    <w:rsid w:val="00246774"/>
    <w:rsid w:val="002469C0"/>
    <w:rsid w:val="00246B34"/>
    <w:rsid w:val="00246B44"/>
    <w:rsid w:val="00246BBF"/>
    <w:rsid w:val="00246BD3"/>
    <w:rsid w:val="0024748A"/>
    <w:rsid w:val="002479FB"/>
    <w:rsid w:val="00247A34"/>
    <w:rsid w:val="00247AB9"/>
    <w:rsid w:val="00247B51"/>
    <w:rsid w:val="002500B3"/>
    <w:rsid w:val="00250255"/>
    <w:rsid w:val="00250688"/>
    <w:rsid w:val="00250711"/>
    <w:rsid w:val="00250863"/>
    <w:rsid w:val="0025088E"/>
    <w:rsid w:val="00250AAE"/>
    <w:rsid w:val="00250FAE"/>
    <w:rsid w:val="0025121D"/>
    <w:rsid w:val="00251323"/>
    <w:rsid w:val="002517DD"/>
    <w:rsid w:val="00251A7E"/>
    <w:rsid w:val="00251C10"/>
    <w:rsid w:val="002521A8"/>
    <w:rsid w:val="0025225D"/>
    <w:rsid w:val="00252419"/>
    <w:rsid w:val="002525A1"/>
    <w:rsid w:val="002527CB"/>
    <w:rsid w:val="00252D6B"/>
    <w:rsid w:val="00252DC3"/>
    <w:rsid w:val="00252EE3"/>
    <w:rsid w:val="00252F10"/>
    <w:rsid w:val="0025320C"/>
    <w:rsid w:val="00253240"/>
    <w:rsid w:val="00253778"/>
    <w:rsid w:val="00253C9B"/>
    <w:rsid w:val="002543C6"/>
    <w:rsid w:val="0025447D"/>
    <w:rsid w:val="00254C35"/>
    <w:rsid w:val="00254F5F"/>
    <w:rsid w:val="002552A0"/>
    <w:rsid w:val="0025543C"/>
    <w:rsid w:val="0025554D"/>
    <w:rsid w:val="00255731"/>
    <w:rsid w:val="00255758"/>
    <w:rsid w:val="00255DCE"/>
    <w:rsid w:val="00255FA2"/>
    <w:rsid w:val="002562CD"/>
    <w:rsid w:val="00256606"/>
    <w:rsid w:val="00256745"/>
    <w:rsid w:val="00256758"/>
    <w:rsid w:val="00256983"/>
    <w:rsid w:val="002569AA"/>
    <w:rsid w:val="00256B74"/>
    <w:rsid w:val="00256C4D"/>
    <w:rsid w:val="00256C51"/>
    <w:rsid w:val="00256CAF"/>
    <w:rsid w:val="002570C8"/>
    <w:rsid w:val="00257334"/>
    <w:rsid w:val="002573C5"/>
    <w:rsid w:val="0025761F"/>
    <w:rsid w:val="00257639"/>
    <w:rsid w:val="00257767"/>
    <w:rsid w:val="0025797F"/>
    <w:rsid w:val="00257ADE"/>
    <w:rsid w:val="00257AEE"/>
    <w:rsid w:val="002601E6"/>
    <w:rsid w:val="00260250"/>
    <w:rsid w:val="0026028D"/>
    <w:rsid w:val="00260318"/>
    <w:rsid w:val="00260567"/>
    <w:rsid w:val="00260784"/>
    <w:rsid w:val="00260887"/>
    <w:rsid w:val="00260923"/>
    <w:rsid w:val="00260B4C"/>
    <w:rsid w:val="00260B7B"/>
    <w:rsid w:val="00260D00"/>
    <w:rsid w:val="00261585"/>
    <w:rsid w:val="00261642"/>
    <w:rsid w:val="00261649"/>
    <w:rsid w:val="002618D5"/>
    <w:rsid w:val="00261C03"/>
    <w:rsid w:val="00261E69"/>
    <w:rsid w:val="00261FCE"/>
    <w:rsid w:val="00262192"/>
    <w:rsid w:val="002622CB"/>
    <w:rsid w:val="00262319"/>
    <w:rsid w:val="002623C0"/>
    <w:rsid w:val="002626C6"/>
    <w:rsid w:val="002628F4"/>
    <w:rsid w:val="00262AB0"/>
    <w:rsid w:val="00262B82"/>
    <w:rsid w:val="00262DFB"/>
    <w:rsid w:val="00262E7D"/>
    <w:rsid w:val="00263458"/>
    <w:rsid w:val="002635F7"/>
    <w:rsid w:val="00263B30"/>
    <w:rsid w:val="00263B6C"/>
    <w:rsid w:val="00263C25"/>
    <w:rsid w:val="00263D1F"/>
    <w:rsid w:val="00264404"/>
    <w:rsid w:val="002645BA"/>
    <w:rsid w:val="00264749"/>
    <w:rsid w:val="002648AB"/>
    <w:rsid w:val="002648C0"/>
    <w:rsid w:val="002649EA"/>
    <w:rsid w:val="00264CEE"/>
    <w:rsid w:val="00264D56"/>
    <w:rsid w:val="00264F78"/>
    <w:rsid w:val="0026500D"/>
    <w:rsid w:val="0026595A"/>
    <w:rsid w:val="002659C3"/>
    <w:rsid w:val="00265C7C"/>
    <w:rsid w:val="00265E4B"/>
    <w:rsid w:val="002660CA"/>
    <w:rsid w:val="0026653D"/>
    <w:rsid w:val="002666FE"/>
    <w:rsid w:val="00266927"/>
    <w:rsid w:val="00266A62"/>
    <w:rsid w:val="00266B7D"/>
    <w:rsid w:val="00266BC3"/>
    <w:rsid w:val="0026731B"/>
    <w:rsid w:val="002673EF"/>
    <w:rsid w:val="0026748A"/>
    <w:rsid w:val="0026754F"/>
    <w:rsid w:val="002676CF"/>
    <w:rsid w:val="002706A9"/>
    <w:rsid w:val="002708CC"/>
    <w:rsid w:val="00270939"/>
    <w:rsid w:val="00270978"/>
    <w:rsid w:val="00270A2F"/>
    <w:rsid w:val="00270BDC"/>
    <w:rsid w:val="002710E6"/>
    <w:rsid w:val="00271794"/>
    <w:rsid w:val="0027191A"/>
    <w:rsid w:val="002721BD"/>
    <w:rsid w:val="0027235C"/>
    <w:rsid w:val="0027259D"/>
    <w:rsid w:val="0027263D"/>
    <w:rsid w:val="00272727"/>
    <w:rsid w:val="0027276E"/>
    <w:rsid w:val="00272D13"/>
    <w:rsid w:val="00272E23"/>
    <w:rsid w:val="00273EE0"/>
    <w:rsid w:val="0027403D"/>
    <w:rsid w:val="002741F6"/>
    <w:rsid w:val="00274202"/>
    <w:rsid w:val="002742CE"/>
    <w:rsid w:val="00274666"/>
    <w:rsid w:val="00274AC6"/>
    <w:rsid w:val="002755C4"/>
    <w:rsid w:val="00275855"/>
    <w:rsid w:val="0027590B"/>
    <w:rsid w:val="00275963"/>
    <w:rsid w:val="00275CA2"/>
    <w:rsid w:val="00275DC3"/>
    <w:rsid w:val="00276000"/>
    <w:rsid w:val="002763BE"/>
    <w:rsid w:val="0027647F"/>
    <w:rsid w:val="00276851"/>
    <w:rsid w:val="00276FC3"/>
    <w:rsid w:val="0027705E"/>
    <w:rsid w:val="0027716E"/>
    <w:rsid w:val="0027766E"/>
    <w:rsid w:val="00277B4C"/>
    <w:rsid w:val="00277CCD"/>
    <w:rsid w:val="002800EE"/>
    <w:rsid w:val="002804C0"/>
    <w:rsid w:val="00280551"/>
    <w:rsid w:val="00280BF4"/>
    <w:rsid w:val="00280F26"/>
    <w:rsid w:val="00281126"/>
    <w:rsid w:val="00281150"/>
    <w:rsid w:val="0028137B"/>
    <w:rsid w:val="0028165B"/>
    <w:rsid w:val="00281756"/>
    <w:rsid w:val="002817AA"/>
    <w:rsid w:val="00281903"/>
    <w:rsid w:val="002819EF"/>
    <w:rsid w:val="00281A8F"/>
    <w:rsid w:val="00281CB6"/>
    <w:rsid w:val="00281E17"/>
    <w:rsid w:val="00281FB0"/>
    <w:rsid w:val="0028231E"/>
    <w:rsid w:val="0028240A"/>
    <w:rsid w:val="00282765"/>
    <w:rsid w:val="002827FA"/>
    <w:rsid w:val="00282838"/>
    <w:rsid w:val="00282A30"/>
    <w:rsid w:val="00282A32"/>
    <w:rsid w:val="00282AB0"/>
    <w:rsid w:val="00282EFD"/>
    <w:rsid w:val="00283052"/>
    <w:rsid w:val="0028355E"/>
    <w:rsid w:val="002835EE"/>
    <w:rsid w:val="002835F3"/>
    <w:rsid w:val="002838BF"/>
    <w:rsid w:val="00283E98"/>
    <w:rsid w:val="00283EEA"/>
    <w:rsid w:val="00283FF2"/>
    <w:rsid w:val="00284256"/>
    <w:rsid w:val="002843E6"/>
    <w:rsid w:val="002847D8"/>
    <w:rsid w:val="002847DE"/>
    <w:rsid w:val="002848AE"/>
    <w:rsid w:val="00284C4C"/>
    <w:rsid w:val="00284D64"/>
    <w:rsid w:val="00284F52"/>
    <w:rsid w:val="002855C2"/>
    <w:rsid w:val="00285794"/>
    <w:rsid w:val="0028582B"/>
    <w:rsid w:val="00285969"/>
    <w:rsid w:val="00285AC1"/>
    <w:rsid w:val="00285CE3"/>
    <w:rsid w:val="00286146"/>
    <w:rsid w:val="0028628D"/>
    <w:rsid w:val="002862B2"/>
    <w:rsid w:val="002863A9"/>
    <w:rsid w:val="0028674E"/>
    <w:rsid w:val="002869EF"/>
    <w:rsid w:val="00286C4E"/>
    <w:rsid w:val="00286D84"/>
    <w:rsid w:val="00286E42"/>
    <w:rsid w:val="00286EB2"/>
    <w:rsid w:val="002870B0"/>
    <w:rsid w:val="002875B8"/>
    <w:rsid w:val="0028760F"/>
    <w:rsid w:val="0028774F"/>
    <w:rsid w:val="00287A2C"/>
    <w:rsid w:val="00287AB0"/>
    <w:rsid w:val="00287F4F"/>
    <w:rsid w:val="002904AD"/>
    <w:rsid w:val="0029057E"/>
    <w:rsid w:val="0029086A"/>
    <w:rsid w:val="00290B04"/>
    <w:rsid w:val="00291250"/>
    <w:rsid w:val="0029191B"/>
    <w:rsid w:val="002919AF"/>
    <w:rsid w:val="00291D96"/>
    <w:rsid w:val="00291E86"/>
    <w:rsid w:val="00291F51"/>
    <w:rsid w:val="0029217F"/>
    <w:rsid w:val="002923EC"/>
    <w:rsid w:val="00292AEB"/>
    <w:rsid w:val="00292B7D"/>
    <w:rsid w:val="00292BD8"/>
    <w:rsid w:val="00292D00"/>
    <w:rsid w:val="00292DE5"/>
    <w:rsid w:val="002932DA"/>
    <w:rsid w:val="002939B2"/>
    <w:rsid w:val="00293E53"/>
    <w:rsid w:val="00293EBF"/>
    <w:rsid w:val="002940EC"/>
    <w:rsid w:val="00294955"/>
    <w:rsid w:val="00295420"/>
    <w:rsid w:val="00295489"/>
    <w:rsid w:val="00295B88"/>
    <w:rsid w:val="00295CA6"/>
    <w:rsid w:val="00295FC4"/>
    <w:rsid w:val="00296544"/>
    <w:rsid w:val="00296C8E"/>
    <w:rsid w:val="00296D9D"/>
    <w:rsid w:val="00296DE2"/>
    <w:rsid w:val="00296EAC"/>
    <w:rsid w:val="00296F69"/>
    <w:rsid w:val="002973D0"/>
    <w:rsid w:val="0029741C"/>
    <w:rsid w:val="00297426"/>
    <w:rsid w:val="0029763A"/>
    <w:rsid w:val="00297A0B"/>
    <w:rsid w:val="00297B8A"/>
    <w:rsid w:val="002A000D"/>
    <w:rsid w:val="002A02F8"/>
    <w:rsid w:val="002A093A"/>
    <w:rsid w:val="002A1053"/>
    <w:rsid w:val="002A1073"/>
    <w:rsid w:val="002A1836"/>
    <w:rsid w:val="002A191A"/>
    <w:rsid w:val="002A1BDB"/>
    <w:rsid w:val="002A1C6B"/>
    <w:rsid w:val="002A23AD"/>
    <w:rsid w:val="002A2890"/>
    <w:rsid w:val="002A2D22"/>
    <w:rsid w:val="002A2E80"/>
    <w:rsid w:val="002A3047"/>
    <w:rsid w:val="002A30D0"/>
    <w:rsid w:val="002A355F"/>
    <w:rsid w:val="002A374F"/>
    <w:rsid w:val="002A3DEA"/>
    <w:rsid w:val="002A432D"/>
    <w:rsid w:val="002A44F3"/>
    <w:rsid w:val="002A46ED"/>
    <w:rsid w:val="002A49F2"/>
    <w:rsid w:val="002A4A3F"/>
    <w:rsid w:val="002A4AAE"/>
    <w:rsid w:val="002A4D26"/>
    <w:rsid w:val="002A4FB8"/>
    <w:rsid w:val="002A4FE0"/>
    <w:rsid w:val="002A5334"/>
    <w:rsid w:val="002A536F"/>
    <w:rsid w:val="002A5AC5"/>
    <w:rsid w:val="002A624F"/>
    <w:rsid w:val="002A63DB"/>
    <w:rsid w:val="002A64DA"/>
    <w:rsid w:val="002A6756"/>
    <w:rsid w:val="002A68D0"/>
    <w:rsid w:val="002A6C43"/>
    <w:rsid w:val="002A70D7"/>
    <w:rsid w:val="002A7337"/>
    <w:rsid w:val="002A738C"/>
    <w:rsid w:val="002A7434"/>
    <w:rsid w:val="002A755B"/>
    <w:rsid w:val="002A77D7"/>
    <w:rsid w:val="002A7914"/>
    <w:rsid w:val="002A79C0"/>
    <w:rsid w:val="002A7C64"/>
    <w:rsid w:val="002B00AB"/>
    <w:rsid w:val="002B03B7"/>
    <w:rsid w:val="002B03D2"/>
    <w:rsid w:val="002B088D"/>
    <w:rsid w:val="002B0891"/>
    <w:rsid w:val="002B08B5"/>
    <w:rsid w:val="002B0B24"/>
    <w:rsid w:val="002B0CFA"/>
    <w:rsid w:val="002B0D67"/>
    <w:rsid w:val="002B11D7"/>
    <w:rsid w:val="002B1706"/>
    <w:rsid w:val="002B1954"/>
    <w:rsid w:val="002B1EE7"/>
    <w:rsid w:val="002B1F23"/>
    <w:rsid w:val="002B20F1"/>
    <w:rsid w:val="002B2154"/>
    <w:rsid w:val="002B2639"/>
    <w:rsid w:val="002B295D"/>
    <w:rsid w:val="002B2DE7"/>
    <w:rsid w:val="002B30A2"/>
    <w:rsid w:val="002B3829"/>
    <w:rsid w:val="002B3ABF"/>
    <w:rsid w:val="002B3BC3"/>
    <w:rsid w:val="002B3CFD"/>
    <w:rsid w:val="002B3E82"/>
    <w:rsid w:val="002B3F5F"/>
    <w:rsid w:val="002B4399"/>
    <w:rsid w:val="002B458B"/>
    <w:rsid w:val="002B4597"/>
    <w:rsid w:val="002B4653"/>
    <w:rsid w:val="002B46EC"/>
    <w:rsid w:val="002B48F3"/>
    <w:rsid w:val="002B49F0"/>
    <w:rsid w:val="002B4A92"/>
    <w:rsid w:val="002B4B91"/>
    <w:rsid w:val="002B4D4D"/>
    <w:rsid w:val="002B4F03"/>
    <w:rsid w:val="002B50A4"/>
    <w:rsid w:val="002B5375"/>
    <w:rsid w:val="002B566E"/>
    <w:rsid w:val="002B579C"/>
    <w:rsid w:val="002B5961"/>
    <w:rsid w:val="002B5B57"/>
    <w:rsid w:val="002B5C39"/>
    <w:rsid w:val="002B5C6C"/>
    <w:rsid w:val="002B5E09"/>
    <w:rsid w:val="002B5ECA"/>
    <w:rsid w:val="002B6167"/>
    <w:rsid w:val="002B6537"/>
    <w:rsid w:val="002B6557"/>
    <w:rsid w:val="002B6678"/>
    <w:rsid w:val="002B69AA"/>
    <w:rsid w:val="002B6D3A"/>
    <w:rsid w:val="002B6E78"/>
    <w:rsid w:val="002B6F94"/>
    <w:rsid w:val="002B7048"/>
    <w:rsid w:val="002B71A1"/>
    <w:rsid w:val="002B71B7"/>
    <w:rsid w:val="002B71C3"/>
    <w:rsid w:val="002B75C3"/>
    <w:rsid w:val="002B7654"/>
    <w:rsid w:val="002B784D"/>
    <w:rsid w:val="002B78D8"/>
    <w:rsid w:val="002B7918"/>
    <w:rsid w:val="002B7A03"/>
    <w:rsid w:val="002B7B7C"/>
    <w:rsid w:val="002B7BCE"/>
    <w:rsid w:val="002B7EA7"/>
    <w:rsid w:val="002C0026"/>
    <w:rsid w:val="002C0194"/>
    <w:rsid w:val="002C0354"/>
    <w:rsid w:val="002C08C3"/>
    <w:rsid w:val="002C09F9"/>
    <w:rsid w:val="002C0A39"/>
    <w:rsid w:val="002C0F49"/>
    <w:rsid w:val="002C0F77"/>
    <w:rsid w:val="002C10C1"/>
    <w:rsid w:val="002C1171"/>
    <w:rsid w:val="002C119F"/>
    <w:rsid w:val="002C1272"/>
    <w:rsid w:val="002C1289"/>
    <w:rsid w:val="002C1372"/>
    <w:rsid w:val="002C1ABF"/>
    <w:rsid w:val="002C1C41"/>
    <w:rsid w:val="002C1D4A"/>
    <w:rsid w:val="002C1E74"/>
    <w:rsid w:val="002C2082"/>
    <w:rsid w:val="002C2472"/>
    <w:rsid w:val="002C2860"/>
    <w:rsid w:val="002C2C9B"/>
    <w:rsid w:val="002C2EDF"/>
    <w:rsid w:val="002C30A2"/>
    <w:rsid w:val="002C30C7"/>
    <w:rsid w:val="002C37E7"/>
    <w:rsid w:val="002C3933"/>
    <w:rsid w:val="002C3C8A"/>
    <w:rsid w:val="002C3CE8"/>
    <w:rsid w:val="002C44F7"/>
    <w:rsid w:val="002C4704"/>
    <w:rsid w:val="002C4708"/>
    <w:rsid w:val="002C4C41"/>
    <w:rsid w:val="002C4CC8"/>
    <w:rsid w:val="002C4E95"/>
    <w:rsid w:val="002C523E"/>
    <w:rsid w:val="002C55B2"/>
    <w:rsid w:val="002C5853"/>
    <w:rsid w:val="002C5A3E"/>
    <w:rsid w:val="002C607B"/>
    <w:rsid w:val="002C6111"/>
    <w:rsid w:val="002C6297"/>
    <w:rsid w:val="002C65EF"/>
    <w:rsid w:val="002C67F8"/>
    <w:rsid w:val="002C6833"/>
    <w:rsid w:val="002C6A4F"/>
    <w:rsid w:val="002C6BAF"/>
    <w:rsid w:val="002C6BFA"/>
    <w:rsid w:val="002C6E0B"/>
    <w:rsid w:val="002C71F9"/>
    <w:rsid w:val="002C72A5"/>
    <w:rsid w:val="002C74FA"/>
    <w:rsid w:val="002C7768"/>
    <w:rsid w:val="002C7941"/>
    <w:rsid w:val="002C7C1A"/>
    <w:rsid w:val="002C7E02"/>
    <w:rsid w:val="002C7EF5"/>
    <w:rsid w:val="002D00E3"/>
    <w:rsid w:val="002D043B"/>
    <w:rsid w:val="002D0492"/>
    <w:rsid w:val="002D0686"/>
    <w:rsid w:val="002D0E22"/>
    <w:rsid w:val="002D0EAC"/>
    <w:rsid w:val="002D0F2E"/>
    <w:rsid w:val="002D1140"/>
    <w:rsid w:val="002D1270"/>
    <w:rsid w:val="002D16DA"/>
    <w:rsid w:val="002D1AAE"/>
    <w:rsid w:val="002D1B75"/>
    <w:rsid w:val="002D1BFC"/>
    <w:rsid w:val="002D1C72"/>
    <w:rsid w:val="002D1DC4"/>
    <w:rsid w:val="002D1F39"/>
    <w:rsid w:val="002D1F5E"/>
    <w:rsid w:val="002D1F90"/>
    <w:rsid w:val="002D20DB"/>
    <w:rsid w:val="002D20EC"/>
    <w:rsid w:val="002D24E8"/>
    <w:rsid w:val="002D277B"/>
    <w:rsid w:val="002D28F3"/>
    <w:rsid w:val="002D2A09"/>
    <w:rsid w:val="002D2C4B"/>
    <w:rsid w:val="002D303C"/>
    <w:rsid w:val="002D30C0"/>
    <w:rsid w:val="002D30FD"/>
    <w:rsid w:val="002D32F0"/>
    <w:rsid w:val="002D364C"/>
    <w:rsid w:val="002D3712"/>
    <w:rsid w:val="002D37D6"/>
    <w:rsid w:val="002D39AD"/>
    <w:rsid w:val="002D3A89"/>
    <w:rsid w:val="002D3B44"/>
    <w:rsid w:val="002D442C"/>
    <w:rsid w:val="002D488F"/>
    <w:rsid w:val="002D48B2"/>
    <w:rsid w:val="002D4ED8"/>
    <w:rsid w:val="002D52C9"/>
    <w:rsid w:val="002D549D"/>
    <w:rsid w:val="002D54E0"/>
    <w:rsid w:val="002D5919"/>
    <w:rsid w:val="002D5924"/>
    <w:rsid w:val="002D594A"/>
    <w:rsid w:val="002D5B6A"/>
    <w:rsid w:val="002D5FD4"/>
    <w:rsid w:val="002D6101"/>
    <w:rsid w:val="002D63B4"/>
    <w:rsid w:val="002D63D4"/>
    <w:rsid w:val="002D64CC"/>
    <w:rsid w:val="002D66B5"/>
    <w:rsid w:val="002D6748"/>
    <w:rsid w:val="002D6956"/>
    <w:rsid w:val="002D6960"/>
    <w:rsid w:val="002D6D02"/>
    <w:rsid w:val="002D6E68"/>
    <w:rsid w:val="002D6F5F"/>
    <w:rsid w:val="002D749D"/>
    <w:rsid w:val="002D76C0"/>
    <w:rsid w:val="002D7A58"/>
    <w:rsid w:val="002D7D77"/>
    <w:rsid w:val="002D7EB6"/>
    <w:rsid w:val="002D7FF0"/>
    <w:rsid w:val="002E0BD2"/>
    <w:rsid w:val="002E1109"/>
    <w:rsid w:val="002E11C7"/>
    <w:rsid w:val="002E1432"/>
    <w:rsid w:val="002E152B"/>
    <w:rsid w:val="002E1657"/>
    <w:rsid w:val="002E1D87"/>
    <w:rsid w:val="002E1F7D"/>
    <w:rsid w:val="002E20B8"/>
    <w:rsid w:val="002E21DE"/>
    <w:rsid w:val="002E2FB5"/>
    <w:rsid w:val="002E3158"/>
    <w:rsid w:val="002E325B"/>
    <w:rsid w:val="002E351B"/>
    <w:rsid w:val="002E376A"/>
    <w:rsid w:val="002E397B"/>
    <w:rsid w:val="002E39BF"/>
    <w:rsid w:val="002E3CF5"/>
    <w:rsid w:val="002E3ED2"/>
    <w:rsid w:val="002E3EF3"/>
    <w:rsid w:val="002E40A2"/>
    <w:rsid w:val="002E418F"/>
    <w:rsid w:val="002E4591"/>
    <w:rsid w:val="002E46DD"/>
    <w:rsid w:val="002E4FA2"/>
    <w:rsid w:val="002E5123"/>
    <w:rsid w:val="002E51E7"/>
    <w:rsid w:val="002E5F81"/>
    <w:rsid w:val="002E632C"/>
    <w:rsid w:val="002E66C5"/>
    <w:rsid w:val="002E6B57"/>
    <w:rsid w:val="002E6CE5"/>
    <w:rsid w:val="002E71A2"/>
    <w:rsid w:val="002E73EF"/>
    <w:rsid w:val="002E77E8"/>
    <w:rsid w:val="002E7BB1"/>
    <w:rsid w:val="002F03C6"/>
    <w:rsid w:val="002F059F"/>
    <w:rsid w:val="002F069D"/>
    <w:rsid w:val="002F069F"/>
    <w:rsid w:val="002F09FF"/>
    <w:rsid w:val="002F0AA8"/>
    <w:rsid w:val="002F0B74"/>
    <w:rsid w:val="002F0BF0"/>
    <w:rsid w:val="002F15FC"/>
    <w:rsid w:val="002F1748"/>
    <w:rsid w:val="002F17C8"/>
    <w:rsid w:val="002F19BF"/>
    <w:rsid w:val="002F1B76"/>
    <w:rsid w:val="002F1DDB"/>
    <w:rsid w:val="002F2B7E"/>
    <w:rsid w:val="002F2D95"/>
    <w:rsid w:val="002F2DC4"/>
    <w:rsid w:val="002F2E69"/>
    <w:rsid w:val="002F2F88"/>
    <w:rsid w:val="002F33F2"/>
    <w:rsid w:val="002F38F9"/>
    <w:rsid w:val="002F39DD"/>
    <w:rsid w:val="002F3C4C"/>
    <w:rsid w:val="002F3DAF"/>
    <w:rsid w:val="002F464E"/>
    <w:rsid w:val="002F4AE5"/>
    <w:rsid w:val="002F4B0E"/>
    <w:rsid w:val="002F4D75"/>
    <w:rsid w:val="002F4E75"/>
    <w:rsid w:val="002F5679"/>
    <w:rsid w:val="002F5AB3"/>
    <w:rsid w:val="002F5F7C"/>
    <w:rsid w:val="002F617F"/>
    <w:rsid w:val="002F6526"/>
    <w:rsid w:val="002F6696"/>
    <w:rsid w:val="002F683B"/>
    <w:rsid w:val="002F6F69"/>
    <w:rsid w:val="002F6F98"/>
    <w:rsid w:val="002F6FF0"/>
    <w:rsid w:val="002F702D"/>
    <w:rsid w:val="002F7180"/>
    <w:rsid w:val="002F765A"/>
    <w:rsid w:val="002F77B8"/>
    <w:rsid w:val="002F7A62"/>
    <w:rsid w:val="002F7C06"/>
    <w:rsid w:val="003000AB"/>
    <w:rsid w:val="0030066E"/>
    <w:rsid w:val="0030074A"/>
    <w:rsid w:val="00300796"/>
    <w:rsid w:val="00300CEE"/>
    <w:rsid w:val="00300EFC"/>
    <w:rsid w:val="0030139D"/>
    <w:rsid w:val="00301869"/>
    <w:rsid w:val="003019A5"/>
    <w:rsid w:val="00301BAB"/>
    <w:rsid w:val="00301BC0"/>
    <w:rsid w:val="00301D19"/>
    <w:rsid w:val="0030207C"/>
    <w:rsid w:val="00302364"/>
    <w:rsid w:val="00302A81"/>
    <w:rsid w:val="00302C42"/>
    <w:rsid w:val="00303022"/>
    <w:rsid w:val="00303384"/>
    <w:rsid w:val="003036F9"/>
    <w:rsid w:val="003039B1"/>
    <w:rsid w:val="00303FD7"/>
    <w:rsid w:val="00304865"/>
    <w:rsid w:val="003048C6"/>
    <w:rsid w:val="00304E82"/>
    <w:rsid w:val="00304FED"/>
    <w:rsid w:val="0030542E"/>
    <w:rsid w:val="003054D3"/>
    <w:rsid w:val="00305A55"/>
    <w:rsid w:val="00305C6A"/>
    <w:rsid w:val="00305F29"/>
    <w:rsid w:val="0030604A"/>
    <w:rsid w:val="00306971"/>
    <w:rsid w:val="00306A1E"/>
    <w:rsid w:val="00306CA5"/>
    <w:rsid w:val="00306F54"/>
    <w:rsid w:val="00306FDD"/>
    <w:rsid w:val="003075E4"/>
    <w:rsid w:val="00307825"/>
    <w:rsid w:val="0030796B"/>
    <w:rsid w:val="00307A6D"/>
    <w:rsid w:val="00307AA0"/>
    <w:rsid w:val="00307DB2"/>
    <w:rsid w:val="00307FE3"/>
    <w:rsid w:val="00310100"/>
    <w:rsid w:val="00310128"/>
    <w:rsid w:val="0031017D"/>
    <w:rsid w:val="00310C4D"/>
    <w:rsid w:val="00310CCE"/>
    <w:rsid w:val="00310CEC"/>
    <w:rsid w:val="0031129A"/>
    <w:rsid w:val="0031165E"/>
    <w:rsid w:val="003116C4"/>
    <w:rsid w:val="0031176F"/>
    <w:rsid w:val="00311CFF"/>
    <w:rsid w:val="00311DFC"/>
    <w:rsid w:val="00312178"/>
    <w:rsid w:val="0031219A"/>
    <w:rsid w:val="00312228"/>
    <w:rsid w:val="003122F4"/>
    <w:rsid w:val="00312568"/>
    <w:rsid w:val="00312763"/>
    <w:rsid w:val="0031276E"/>
    <w:rsid w:val="00312F3C"/>
    <w:rsid w:val="00313261"/>
    <w:rsid w:val="00313581"/>
    <w:rsid w:val="0031375F"/>
    <w:rsid w:val="003137CB"/>
    <w:rsid w:val="00313973"/>
    <w:rsid w:val="00313A06"/>
    <w:rsid w:val="00313A83"/>
    <w:rsid w:val="00313D74"/>
    <w:rsid w:val="0031408C"/>
    <w:rsid w:val="003140E3"/>
    <w:rsid w:val="0031411C"/>
    <w:rsid w:val="00314288"/>
    <w:rsid w:val="00314562"/>
    <w:rsid w:val="00314839"/>
    <w:rsid w:val="0031496A"/>
    <w:rsid w:val="00314A1F"/>
    <w:rsid w:val="00314E6C"/>
    <w:rsid w:val="00314E89"/>
    <w:rsid w:val="00314FCA"/>
    <w:rsid w:val="00315094"/>
    <w:rsid w:val="0031512E"/>
    <w:rsid w:val="0031545D"/>
    <w:rsid w:val="0031548F"/>
    <w:rsid w:val="00315845"/>
    <w:rsid w:val="0031587C"/>
    <w:rsid w:val="00315A54"/>
    <w:rsid w:val="00315F66"/>
    <w:rsid w:val="0031606D"/>
    <w:rsid w:val="0031613F"/>
    <w:rsid w:val="00316310"/>
    <w:rsid w:val="003165DD"/>
    <w:rsid w:val="003168EA"/>
    <w:rsid w:val="00316E7F"/>
    <w:rsid w:val="00316F1F"/>
    <w:rsid w:val="00316F2A"/>
    <w:rsid w:val="0031701D"/>
    <w:rsid w:val="00317037"/>
    <w:rsid w:val="0031722E"/>
    <w:rsid w:val="00317261"/>
    <w:rsid w:val="00317281"/>
    <w:rsid w:val="00317584"/>
    <w:rsid w:val="003178AC"/>
    <w:rsid w:val="00317D33"/>
    <w:rsid w:val="00320248"/>
    <w:rsid w:val="00320252"/>
    <w:rsid w:val="00320B54"/>
    <w:rsid w:val="00320F85"/>
    <w:rsid w:val="0032101F"/>
    <w:rsid w:val="0032142A"/>
    <w:rsid w:val="00321487"/>
    <w:rsid w:val="003216EC"/>
    <w:rsid w:val="003219AB"/>
    <w:rsid w:val="00321A32"/>
    <w:rsid w:val="00321DFF"/>
    <w:rsid w:val="00321FC7"/>
    <w:rsid w:val="003224D9"/>
    <w:rsid w:val="003228A0"/>
    <w:rsid w:val="00322A81"/>
    <w:rsid w:val="00322BC1"/>
    <w:rsid w:val="00322BEC"/>
    <w:rsid w:val="003231DA"/>
    <w:rsid w:val="00323439"/>
    <w:rsid w:val="00323A24"/>
    <w:rsid w:val="00323A5D"/>
    <w:rsid w:val="00323AA1"/>
    <w:rsid w:val="00323D16"/>
    <w:rsid w:val="00323D67"/>
    <w:rsid w:val="00323F31"/>
    <w:rsid w:val="00323F5E"/>
    <w:rsid w:val="00324141"/>
    <w:rsid w:val="00324654"/>
    <w:rsid w:val="0032465F"/>
    <w:rsid w:val="00324B73"/>
    <w:rsid w:val="00324D7B"/>
    <w:rsid w:val="00324DE8"/>
    <w:rsid w:val="00324FD0"/>
    <w:rsid w:val="003251B5"/>
    <w:rsid w:val="003253F2"/>
    <w:rsid w:val="003255FC"/>
    <w:rsid w:val="00325A99"/>
    <w:rsid w:val="00325BAB"/>
    <w:rsid w:val="00325DC5"/>
    <w:rsid w:val="003262A1"/>
    <w:rsid w:val="00326397"/>
    <w:rsid w:val="003264CF"/>
    <w:rsid w:val="0032652C"/>
    <w:rsid w:val="003266D4"/>
    <w:rsid w:val="003267F1"/>
    <w:rsid w:val="003268D3"/>
    <w:rsid w:val="003268D5"/>
    <w:rsid w:val="00326BF6"/>
    <w:rsid w:val="00326CF4"/>
    <w:rsid w:val="00326F88"/>
    <w:rsid w:val="00327120"/>
    <w:rsid w:val="003273BD"/>
    <w:rsid w:val="003274D3"/>
    <w:rsid w:val="003278B3"/>
    <w:rsid w:val="00327B1E"/>
    <w:rsid w:val="00327CB3"/>
    <w:rsid w:val="00327D90"/>
    <w:rsid w:val="00327DED"/>
    <w:rsid w:val="00327F90"/>
    <w:rsid w:val="003301A3"/>
    <w:rsid w:val="0033033B"/>
    <w:rsid w:val="00330658"/>
    <w:rsid w:val="00330789"/>
    <w:rsid w:val="00330941"/>
    <w:rsid w:val="003309AF"/>
    <w:rsid w:val="00330A90"/>
    <w:rsid w:val="00330AA4"/>
    <w:rsid w:val="00330D42"/>
    <w:rsid w:val="00330F96"/>
    <w:rsid w:val="003311C8"/>
    <w:rsid w:val="00331381"/>
    <w:rsid w:val="003313D6"/>
    <w:rsid w:val="00331431"/>
    <w:rsid w:val="00331A0F"/>
    <w:rsid w:val="00331BC1"/>
    <w:rsid w:val="00331DF8"/>
    <w:rsid w:val="00331ED4"/>
    <w:rsid w:val="00331F34"/>
    <w:rsid w:val="00332439"/>
    <w:rsid w:val="00332BA3"/>
    <w:rsid w:val="00332C39"/>
    <w:rsid w:val="00332F39"/>
    <w:rsid w:val="003331E5"/>
    <w:rsid w:val="00333605"/>
    <w:rsid w:val="0033366A"/>
    <w:rsid w:val="00333F2C"/>
    <w:rsid w:val="00334031"/>
    <w:rsid w:val="00334C91"/>
    <w:rsid w:val="00334C9F"/>
    <w:rsid w:val="00334DBF"/>
    <w:rsid w:val="00334FF1"/>
    <w:rsid w:val="0033517E"/>
    <w:rsid w:val="003351B0"/>
    <w:rsid w:val="003358EF"/>
    <w:rsid w:val="00335C56"/>
    <w:rsid w:val="00335C68"/>
    <w:rsid w:val="00335CC2"/>
    <w:rsid w:val="00335E73"/>
    <w:rsid w:val="00335FA7"/>
    <w:rsid w:val="00336112"/>
    <w:rsid w:val="003361B0"/>
    <w:rsid w:val="003366D8"/>
    <w:rsid w:val="00336883"/>
    <w:rsid w:val="003368DB"/>
    <w:rsid w:val="00336905"/>
    <w:rsid w:val="003369F4"/>
    <w:rsid w:val="00336ABD"/>
    <w:rsid w:val="00336B1B"/>
    <w:rsid w:val="00336BEF"/>
    <w:rsid w:val="00337628"/>
    <w:rsid w:val="00337632"/>
    <w:rsid w:val="00337B8E"/>
    <w:rsid w:val="003400D5"/>
    <w:rsid w:val="0034032A"/>
    <w:rsid w:val="00340C3B"/>
    <w:rsid w:val="003410E5"/>
    <w:rsid w:val="00341109"/>
    <w:rsid w:val="0034127C"/>
    <w:rsid w:val="003419A8"/>
    <w:rsid w:val="00341CD3"/>
    <w:rsid w:val="00341D36"/>
    <w:rsid w:val="00341E36"/>
    <w:rsid w:val="00342125"/>
    <w:rsid w:val="003425E2"/>
    <w:rsid w:val="0034277E"/>
    <w:rsid w:val="00342828"/>
    <w:rsid w:val="00342FD0"/>
    <w:rsid w:val="003430F3"/>
    <w:rsid w:val="00343385"/>
    <w:rsid w:val="0034348A"/>
    <w:rsid w:val="00343597"/>
    <w:rsid w:val="00343B52"/>
    <w:rsid w:val="00343C9B"/>
    <w:rsid w:val="00343E11"/>
    <w:rsid w:val="00343F39"/>
    <w:rsid w:val="0034415E"/>
    <w:rsid w:val="00344298"/>
    <w:rsid w:val="003445E2"/>
    <w:rsid w:val="00344779"/>
    <w:rsid w:val="003447A2"/>
    <w:rsid w:val="00344AF9"/>
    <w:rsid w:val="00344EFD"/>
    <w:rsid w:val="00344F0D"/>
    <w:rsid w:val="003450DF"/>
    <w:rsid w:val="00345190"/>
    <w:rsid w:val="00345328"/>
    <w:rsid w:val="003453B2"/>
    <w:rsid w:val="003455C4"/>
    <w:rsid w:val="003456C7"/>
    <w:rsid w:val="00345BF0"/>
    <w:rsid w:val="00345DF0"/>
    <w:rsid w:val="00346187"/>
    <w:rsid w:val="003466C0"/>
    <w:rsid w:val="0034676A"/>
    <w:rsid w:val="00346990"/>
    <w:rsid w:val="00346A11"/>
    <w:rsid w:val="00346BA3"/>
    <w:rsid w:val="00346C37"/>
    <w:rsid w:val="00346EF8"/>
    <w:rsid w:val="00346FDE"/>
    <w:rsid w:val="00347008"/>
    <w:rsid w:val="0034762D"/>
    <w:rsid w:val="00347C18"/>
    <w:rsid w:val="003505EE"/>
    <w:rsid w:val="00350B52"/>
    <w:rsid w:val="00350BD2"/>
    <w:rsid w:val="00351177"/>
    <w:rsid w:val="00351193"/>
    <w:rsid w:val="003511EB"/>
    <w:rsid w:val="0035120F"/>
    <w:rsid w:val="0035161D"/>
    <w:rsid w:val="00351727"/>
    <w:rsid w:val="0035194F"/>
    <w:rsid w:val="00351A94"/>
    <w:rsid w:val="00351D42"/>
    <w:rsid w:val="00353011"/>
    <w:rsid w:val="00353198"/>
    <w:rsid w:val="003532F1"/>
    <w:rsid w:val="0035342B"/>
    <w:rsid w:val="0035353E"/>
    <w:rsid w:val="003537AB"/>
    <w:rsid w:val="003539B0"/>
    <w:rsid w:val="00353A68"/>
    <w:rsid w:val="00353B75"/>
    <w:rsid w:val="00353B88"/>
    <w:rsid w:val="00353F33"/>
    <w:rsid w:val="00353FB6"/>
    <w:rsid w:val="00353FE2"/>
    <w:rsid w:val="00353FE5"/>
    <w:rsid w:val="003540BA"/>
    <w:rsid w:val="00354198"/>
    <w:rsid w:val="00354638"/>
    <w:rsid w:val="003546A4"/>
    <w:rsid w:val="0035482A"/>
    <w:rsid w:val="00354D27"/>
    <w:rsid w:val="00354FBB"/>
    <w:rsid w:val="00355077"/>
    <w:rsid w:val="00355300"/>
    <w:rsid w:val="0035545C"/>
    <w:rsid w:val="00355468"/>
    <w:rsid w:val="00355BDF"/>
    <w:rsid w:val="00355F3F"/>
    <w:rsid w:val="00356068"/>
    <w:rsid w:val="00356162"/>
    <w:rsid w:val="00356453"/>
    <w:rsid w:val="003564CA"/>
    <w:rsid w:val="0035679C"/>
    <w:rsid w:val="00356A34"/>
    <w:rsid w:val="00356BC3"/>
    <w:rsid w:val="00356CDD"/>
    <w:rsid w:val="00356E75"/>
    <w:rsid w:val="00357199"/>
    <w:rsid w:val="00357405"/>
    <w:rsid w:val="00357496"/>
    <w:rsid w:val="003575E6"/>
    <w:rsid w:val="003578EE"/>
    <w:rsid w:val="00357A6D"/>
    <w:rsid w:val="00357AF8"/>
    <w:rsid w:val="00357FCC"/>
    <w:rsid w:val="00360925"/>
    <w:rsid w:val="00360A99"/>
    <w:rsid w:val="00360AB4"/>
    <w:rsid w:val="00360B8E"/>
    <w:rsid w:val="00360BE5"/>
    <w:rsid w:val="00360CFB"/>
    <w:rsid w:val="00361010"/>
    <w:rsid w:val="0036107B"/>
    <w:rsid w:val="00361672"/>
    <w:rsid w:val="003619EC"/>
    <w:rsid w:val="00361B3D"/>
    <w:rsid w:val="00361C47"/>
    <w:rsid w:val="00361E79"/>
    <w:rsid w:val="00361EAE"/>
    <w:rsid w:val="00361FFA"/>
    <w:rsid w:val="003620A4"/>
    <w:rsid w:val="003620C1"/>
    <w:rsid w:val="00362604"/>
    <w:rsid w:val="003627C9"/>
    <w:rsid w:val="003628D7"/>
    <w:rsid w:val="00362EC2"/>
    <w:rsid w:val="00362F5F"/>
    <w:rsid w:val="0036367C"/>
    <w:rsid w:val="00363714"/>
    <w:rsid w:val="0036374A"/>
    <w:rsid w:val="003637EA"/>
    <w:rsid w:val="0036384F"/>
    <w:rsid w:val="00363A57"/>
    <w:rsid w:val="00363BB5"/>
    <w:rsid w:val="00363E01"/>
    <w:rsid w:val="003644E3"/>
    <w:rsid w:val="00364735"/>
    <w:rsid w:val="00364BD5"/>
    <w:rsid w:val="00364D49"/>
    <w:rsid w:val="00364D6D"/>
    <w:rsid w:val="00364E82"/>
    <w:rsid w:val="003650F1"/>
    <w:rsid w:val="00365374"/>
    <w:rsid w:val="0036551F"/>
    <w:rsid w:val="0036572A"/>
    <w:rsid w:val="003658AA"/>
    <w:rsid w:val="00365B00"/>
    <w:rsid w:val="00365DB7"/>
    <w:rsid w:val="00366056"/>
    <w:rsid w:val="0036614D"/>
    <w:rsid w:val="00366A0B"/>
    <w:rsid w:val="00366A5A"/>
    <w:rsid w:val="00366CAE"/>
    <w:rsid w:val="00366CC8"/>
    <w:rsid w:val="00366D3B"/>
    <w:rsid w:val="00366E7A"/>
    <w:rsid w:val="00366E8D"/>
    <w:rsid w:val="0036726D"/>
    <w:rsid w:val="00367314"/>
    <w:rsid w:val="0036757A"/>
    <w:rsid w:val="00367744"/>
    <w:rsid w:val="00367981"/>
    <w:rsid w:val="0037036A"/>
    <w:rsid w:val="00370577"/>
    <w:rsid w:val="00370827"/>
    <w:rsid w:val="0037091A"/>
    <w:rsid w:val="003709AF"/>
    <w:rsid w:val="00370CDF"/>
    <w:rsid w:val="00370D75"/>
    <w:rsid w:val="00370E7B"/>
    <w:rsid w:val="00371009"/>
    <w:rsid w:val="0037150B"/>
    <w:rsid w:val="00371967"/>
    <w:rsid w:val="00371B97"/>
    <w:rsid w:val="00371C42"/>
    <w:rsid w:val="00372716"/>
    <w:rsid w:val="003727D0"/>
    <w:rsid w:val="0037284F"/>
    <w:rsid w:val="00372CB3"/>
    <w:rsid w:val="00372F78"/>
    <w:rsid w:val="00372F8D"/>
    <w:rsid w:val="003732DF"/>
    <w:rsid w:val="003735FE"/>
    <w:rsid w:val="00373894"/>
    <w:rsid w:val="003738AB"/>
    <w:rsid w:val="00373A3E"/>
    <w:rsid w:val="00373E2E"/>
    <w:rsid w:val="00373FBC"/>
    <w:rsid w:val="003740CB"/>
    <w:rsid w:val="00374106"/>
    <w:rsid w:val="0037446C"/>
    <w:rsid w:val="003744F8"/>
    <w:rsid w:val="003745D2"/>
    <w:rsid w:val="003746F5"/>
    <w:rsid w:val="0037493B"/>
    <w:rsid w:val="00374AB4"/>
    <w:rsid w:val="00374AE5"/>
    <w:rsid w:val="00374B79"/>
    <w:rsid w:val="00374BF9"/>
    <w:rsid w:val="00374FA4"/>
    <w:rsid w:val="0037504F"/>
    <w:rsid w:val="00375060"/>
    <w:rsid w:val="003755A9"/>
    <w:rsid w:val="00375831"/>
    <w:rsid w:val="0037587E"/>
    <w:rsid w:val="0037590B"/>
    <w:rsid w:val="00375E11"/>
    <w:rsid w:val="0037630B"/>
    <w:rsid w:val="00376602"/>
    <w:rsid w:val="0037692D"/>
    <w:rsid w:val="00376994"/>
    <w:rsid w:val="00376CC1"/>
    <w:rsid w:val="00376EB1"/>
    <w:rsid w:val="0037706C"/>
    <w:rsid w:val="00377070"/>
    <w:rsid w:val="0037742C"/>
    <w:rsid w:val="003778F9"/>
    <w:rsid w:val="00377FD0"/>
    <w:rsid w:val="003800F1"/>
    <w:rsid w:val="00380262"/>
    <w:rsid w:val="00380397"/>
    <w:rsid w:val="00380455"/>
    <w:rsid w:val="00380738"/>
    <w:rsid w:val="00380833"/>
    <w:rsid w:val="00380894"/>
    <w:rsid w:val="00380935"/>
    <w:rsid w:val="003809A3"/>
    <w:rsid w:val="00380FB9"/>
    <w:rsid w:val="00381579"/>
    <w:rsid w:val="00381A58"/>
    <w:rsid w:val="00381B86"/>
    <w:rsid w:val="00381C0F"/>
    <w:rsid w:val="003820AA"/>
    <w:rsid w:val="00382399"/>
    <w:rsid w:val="00382557"/>
    <w:rsid w:val="0038263E"/>
    <w:rsid w:val="003827B8"/>
    <w:rsid w:val="0038292E"/>
    <w:rsid w:val="00382A69"/>
    <w:rsid w:val="00382A7E"/>
    <w:rsid w:val="00383397"/>
    <w:rsid w:val="0038371C"/>
    <w:rsid w:val="003838BD"/>
    <w:rsid w:val="003839EE"/>
    <w:rsid w:val="003839F0"/>
    <w:rsid w:val="00383B9E"/>
    <w:rsid w:val="00383E70"/>
    <w:rsid w:val="00383EB6"/>
    <w:rsid w:val="00383FBA"/>
    <w:rsid w:val="0038411C"/>
    <w:rsid w:val="003842F5"/>
    <w:rsid w:val="0038445B"/>
    <w:rsid w:val="003844DF"/>
    <w:rsid w:val="00384571"/>
    <w:rsid w:val="003845D7"/>
    <w:rsid w:val="00384713"/>
    <w:rsid w:val="003848AC"/>
    <w:rsid w:val="0038509C"/>
    <w:rsid w:val="003851B7"/>
    <w:rsid w:val="0038528F"/>
    <w:rsid w:val="003853E2"/>
    <w:rsid w:val="003858A6"/>
    <w:rsid w:val="003859CA"/>
    <w:rsid w:val="00385D1B"/>
    <w:rsid w:val="00385E41"/>
    <w:rsid w:val="00385F41"/>
    <w:rsid w:val="0038605F"/>
    <w:rsid w:val="0038672B"/>
    <w:rsid w:val="00386814"/>
    <w:rsid w:val="0038683E"/>
    <w:rsid w:val="00386A6F"/>
    <w:rsid w:val="00386B27"/>
    <w:rsid w:val="00386CC4"/>
    <w:rsid w:val="00386D2B"/>
    <w:rsid w:val="00386D9A"/>
    <w:rsid w:val="00386F0F"/>
    <w:rsid w:val="00386F59"/>
    <w:rsid w:val="003871DD"/>
    <w:rsid w:val="003872A2"/>
    <w:rsid w:val="0038742E"/>
    <w:rsid w:val="00387473"/>
    <w:rsid w:val="00387504"/>
    <w:rsid w:val="003875B7"/>
    <w:rsid w:val="003876AE"/>
    <w:rsid w:val="0038793D"/>
    <w:rsid w:val="003879BE"/>
    <w:rsid w:val="00387B80"/>
    <w:rsid w:val="00387C9D"/>
    <w:rsid w:val="00387D71"/>
    <w:rsid w:val="00387DE4"/>
    <w:rsid w:val="00387DED"/>
    <w:rsid w:val="00387F8E"/>
    <w:rsid w:val="003900B9"/>
    <w:rsid w:val="00390252"/>
    <w:rsid w:val="0039064D"/>
    <w:rsid w:val="003907D5"/>
    <w:rsid w:val="003907F2"/>
    <w:rsid w:val="00390A3A"/>
    <w:rsid w:val="00390A66"/>
    <w:rsid w:val="00390B07"/>
    <w:rsid w:val="00390BA1"/>
    <w:rsid w:val="00390D1B"/>
    <w:rsid w:val="00390ECE"/>
    <w:rsid w:val="00391426"/>
    <w:rsid w:val="0039162A"/>
    <w:rsid w:val="003918D6"/>
    <w:rsid w:val="00391922"/>
    <w:rsid w:val="00391D91"/>
    <w:rsid w:val="00391DD8"/>
    <w:rsid w:val="00391E5B"/>
    <w:rsid w:val="00391EC9"/>
    <w:rsid w:val="003921DD"/>
    <w:rsid w:val="003922C9"/>
    <w:rsid w:val="00392448"/>
    <w:rsid w:val="00392648"/>
    <w:rsid w:val="0039296C"/>
    <w:rsid w:val="00392DCC"/>
    <w:rsid w:val="00392E40"/>
    <w:rsid w:val="003932EE"/>
    <w:rsid w:val="00393615"/>
    <w:rsid w:val="00393653"/>
    <w:rsid w:val="0039379B"/>
    <w:rsid w:val="003937D4"/>
    <w:rsid w:val="003939E6"/>
    <w:rsid w:val="00393DB8"/>
    <w:rsid w:val="00393FE4"/>
    <w:rsid w:val="00394418"/>
    <w:rsid w:val="00394A31"/>
    <w:rsid w:val="00394A60"/>
    <w:rsid w:val="00394A79"/>
    <w:rsid w:val="00395044"/>
    <w:rsid w:val="00395151"/>
    <w:rsid w:val="003951E2"/>
    <w:rsid w:val="0039527F"/>
    <w:rsid w:val="00395543"/>
    <w:rsid w:val="00395A71"/>
    <w:rsid w:val="00395AB4"/>
    <w:rsid w:val="00395B6B"/>
    <w:rsid w:val="0039607C"/>
    <w:rsid w:val="0039675B"/>
    <w:rsid w:val="00396806"/>
    <w:rsid w:val="003968C1"/>
    <w:rsid w:val="00396A18"/>
    <w:rsid w:val="00396A99"/>
    <w:rsid w:val="00396BCA"/>
    <w:rsid w:val="00396C7A"/>
    <w:rsid w:val="00396E1F"/>
    <w:rsid w:val="00397061"/>
    <w:rsid w:val="003970D7"/>
    <w:rsid w:val="003979EF"/>
    <w:rsid w:val="00397B8B"/>
    <w:rsid w:val="00397BF4"/>
    <w:rsid w:val="003A0038"/>
    <w:rsid w:val="003A008C"/>
    <w:rsid w:val="003A00FF"/>
    <w:rsid w:val="003A05F1"/>
    <w:rsid w:val="003A0B9E"/>
    <w:rsid w:val="003A0D41"/>
    <w:rsid w:val="003A0F8D"/>
    <w:rsid w:val="003A1075"/>
    <w:rsid w:val="003A137E"/>
    <w:rsid w:val="003A15F0"/>
    <w:rsid w:val="003A1663"/>
    <w:rsid w:val="003A192D"/>
    <w:rsid w:val="003A199F"/>
    <w:rsid w:val="003A1A2B"/>
    <w:rsid w:val="003A1A8C"/>
    <w:rsid w:val="003A1B33"/>
    <w:rsid w:val="003A1BDF"/>
    <w:rsid w:val="003A1CB9"/>
    <w:rsid w:val="003A1DA6"/>
    <w:rsid w:val="003A1FB3"/>
    <w:rsid w:val="003A20E3"/>
    <w:rsid w:val="003A22EB"/>
    <w:rsid w:val="003A273E"/>
    <w:rsid w:val="003A28ED"/>
    <w:rsid w:val="003A2A09"/>
    <w:rsid w:val="003A2DB5"/>
    <w:rsid w:val="003A2F8D"/>
    <w:rsid w:val="003A33D1"/>
    <w:rsid w:val="003A3450"/>
    <w:rsid w:val="003A38D5"/>
    <w:rsid w:val="003A404E"/>
    <w:rsid w:val="003A41CB"/>
    <w:rsid w:val="003A43E8"/>
    <w:rsid w:val="003A446B"/>
    <w:rsid w:val="003A447B"/>
    <w:rsid w:val="003A4A3F"/>
    <w:rsid w:val="003A4B42"/>
    <w:rsid w:val="003A5374"/>
    <w:rsid w:val="003A547A"/>
    <w:rsid w:val="003A547E"/>
    <w:rsid w:val="003A56D5"/>
    <w:rsid w:val="003A5A48"/>
    <w:rsid w:val="003A5C63"/>
    <w:rsid w:val="003A5F59"/>
    <w:rsid w:val="003A6101"/>
    <w:rsid w:val="003A614E"/>
    <w:rsid w:val="003A6209"/>
    <w:rsid w:val="003A6338"/>
    <w:rsid w:val="003A644D"/>
    <w:rsid w:val="003A66CD"/>
    <w:rsid w:val="003A66F3"/>
    <w:rsid w:val="003A676E"/>
    <w:rsid w:val="003A696E"/>
    <w:rsid w:val="003A6B2A"/>
    <w:rsid w:val="003A6F23"/>
    <w:rsid w:val="003A6F43"/>
    <w:rsid w:val="003A7232"/>
    <w:rsid w:val="003A74E6"/>
    <w:rsid w:val="003A7AE3"/>
    <w:rsid w:val="003A7FA8"/>
    <w:rsid w:val="003B01C3"/>
    <w:rsid w:val="003B048D"/>
    <w:rsid w:val="003B052B"/>
    <w:rsid w:val="003B05DC"/>
    <w:rsid w:val="003B060A"/>
    <w:rsid w:val="003B0ADD"/>
    <w:rsid w:val="003B0B79"/>
    <w:rsid w:val="003B0D67"/>
    <w:rsid w:val="003B0D73"/>
    <w:rsid w:val="003B0D7E"/>
    <w:rsid w:val="003B0E60"/>
    <w:rsid w:val="003B0EE5"/>
    <w:rsid w:val="003B0F8B"/>
    <w:rsid w:val="003B1093"/>
    <w:rsid w:val="003B13E9"/>
    <w:rsid w:val="003B1543"/>
    <w:rsid w:val="003B1616"/>
    <w:rsid w:val="003B17CC"/>
    <w:rsid w:val="003B1852"/>
    <w:rsid w:val="003B18C0"/>
    <w:rsid w:val="003B1AE7"/>
    <w:rsid w:val="003B2708"/>
    <w:rsid w:val="003B2929"/>
    <w:rsid w:val="003B2C8F"/>
    <w:rsid w:val="003B2F16"/>
    <w:rsid w:val="003B2F38"/>
    <w:rsid w:val="003B3099"/>
    <w:rsid w:val="003B37D9"/>
    <w:rsid w:val="003B3921"/>
    <w:rsid w:val="003B39CF"/>
    <w:rsid w:val="003B3C31"/>
    <w:rsid w:val="003B3CCB"/>
    <w:rsid w:val="003B3E38"/>
    <w:rsid w:val="003B4035"/>
    <w:rsid w:val="003B4931"/>
    <w:rsid w:val="003B4BAA"/>
    <w:rsid w:val="003B506C"/>
    <w:rsid w:val="003B528E"/>
    <w:rsid w:val="003B5348"/>
    <w:rsid w:val="003B539E"/>
    <w:rsid w:val="003B5465"/>
    <w:rsid w:val="003B5AE8"/>
    <w:rsid w:val="003B5C05"/>
    <w:rsid w:val="003B6503"/>
    <w:rsid w:val="003B69FA"/>
    <w:rsid w:val="003B6BA0"/>
    <w:rsid w:val="003B6F68"/>
    <w:rsid w:val="003B7172"/>
    <w:rsid w:val="003B7228"/>
    <w:rsid w:val="003B73EE"/>
    <w:rsid w:val="003B74F6"/>
    <w:rsid w:val="003B773D"/>
    <w:rsid w:val="003B7C9B"/>
    <w:rsid w:val="003B7D18"/>
    <w:rsid w:val="003B7EB1"/>
    <w:rsid w:val="003C0000"/>
    <w:rsid w:val="003C0475"/>
    <w:rsid w:val="003C06E2"/>
    <w:rsid w:val="003C0877"/>
    <w:rsid w:val="003C0C02"/>
    <w:rsid w:val="003C0C1A"/>
    <w:rsid w:val="003C10F8"/>
    <w:rsid w:val="003C132E"/>
    <w:rsid w:val="003C154E"/>
    <w:rsid w:val="003C1D9C"/>
    <w:rsid w:val="003C1EE2"/>
    <w:rsid w:val="003C1F8C"/>
    <w:rsid w:val="003C2349"/>
    <w:rsid w:val="003C2995"/>
    <w:rsid w:val="003C2E32"/>
    <w:rsid w:val="003C3029"/>
    <w:rsid w:val="003C3284"/>
    <w:rsid w:val="003C33B4"/>
    <w:rsid w:val="003C3550"/>
    <w:rsid w:val="003C3A3B"/>
    <w:rsid w:val="003C429C"/>
    <w:rsid w:val="003C42F1"/>
    <w:rsid w:val="003C435F"/>
    <w:rsid w:val="003C4711"/>
    <w:rsid w:val="003C4B9C"/>
    <w:rsid w:val="003C5680"/>
    <w:rsid w:val="003C57DC"/>
    <w:rsid w:val="003C58C7"/>
    <w:rsid w:val="003C5EBB"/>
    <w:rsid w:val="003C5FED"/>
    <w:rsid w:val="003C604D"/>
    <w:rsid w:val="003C613E"/>
    <w:rsid w:val="003C64A3"/>
    <w:rsid w:val="003C64F7"/>
    <w:rsid w:val="003C6BE6"/>
    <w:rsid w:val="003C6C1C"/>
    <w:rsid w:val="003C6DA5"/>
    <w:rsid w:val="003C702E"/>
    <w:rsid w:val="003C742F"/>
    <w:rsid w:val="003C7430"/>
    <w:rsid w:val="003C793E"/>
    <w:rsid w:val="003C7DD8"/>
    <w:rsid w:val="003D0208"/>
    <w:rsid w:val="003D026D"/>
    <w:rsid w:val="003D04C4"/>
    <w:rsid w:val="003D0726"/>
    <w:rsid w:val="003D0B05"/>
    <w:rsid w:val="003D10D3"/>
    <w:rsid w:val="003D1623"/>
    <w:rsid w:val="003D1EB8"/>
    <w:rsid w:val="003D2010"/>
    <w:rsid w:val="003D21D2"/>
    <w:rsid w:val="003D2223"/>
    <w:rsid w:val="003D2330"/>
    <w:rsid w:val="003D277C"/>
    <w:rsid w:val="003D2DC0"/>
    <w:rsid w:val="003D2E7B"/>
    <w:rsid w:val="003D3AC7"/>
    <w:rsid w:val="003D3D13"/>
    <w:rsid w:val="003D3D95"/>
    <w:rsid w:val="003D3E69"/>
    <w:rsid w:val="003D3EC5"/>
    <w:rsid w:val="003D3F50"/>
    <w:rsid w:val="003D4196"/>
    <w:rsid w:val="003D4209"/>
    <w:rsid w:val="003D4381"/>
    <w:rsid w:val="003D4720"/>
    <w:rsid w:val="003D477C"/>
    <w:rsid w:val="003D4D9F"/>
    <w:rsid w:val="003D5199"/>
    <w:rsid w:val="003D52B4"/>
    <w:rsid w:val="003D545A"/>
    <w:rsid w:val="003D562F"/>
    <w:rsid w:val="003D56DC"/>
    <w:rsid w:val="003D56E9"/>
    <w:rsid w:val="003D57C1"/>
    <w:rsid w:val="003D57EE"/>
    <w:rsid w:val="003D5802"/>
    <w:rsid w:val="003D585B"/>
    <w:rsid w:val="003D5937"/>
    <w:rsid w:val="003D5CE7"/>
    <w:rsid w:val="003D602D"/>
    <w:rsid w:val="003D60CA"/>
    <w:rsid w:val="003D6839"/>
    <w:rsid w:val="003D69A9"/>
    <w:rsid w:val="003D6B4D"/>
    <w:rsid w:val="003D6DE3"/>
    <w:rsid w:val="003D6F41"/>
    <w:rsid w:val="003D71B5"/>
    <w:rsid w:val="003D730E"/>
    <w:rsid w:val="003D733A"/>
    <w:rsid w:val="003D7409"/>
    <w:rsid w:val="003D7CBC"/>
    <w:rsid w:val="003D7FE4"/>
    <w:rsid w:val="003D7FF7"/>
    <w:rsid w:val="003E005C"/>
    <w:rsid w:val="003E0140"/>
    <w:rsid w:val="003E096C"/>
    <w:rsid w:val="003E0AC5"/>
    <w:rsid w:val="003E0B96"/>
    <w:rsid w:val="003E0E97"/>
    <w:rsid w:val="003E12C5"/>
    <w:rsid w:val="003E13D2"/>
    <w:rsid w:val="003E147B"/>
    <w:rsid w:val="003E1527"/>
    <w:rsid w:val="003E1A68"/>
    <w:rsid w:val="003E1AEC"/>
    <w:rsid w:val="003E1C39"/>
    <w:rsid w:val="003E1DBA"/>
    <w:rsid w:val="003E2009"/>
    <w:rsid w:val="003E2366"/>
    <w:rsid w:val="003E262D"/>
    <w:rsid w:val="003E27A2"/>
    <w:rsid w:val="003E2E46"/>
    <w:rsid w:val="003E2FD5"/>
    <w:rsid w:val="003E31F5"/>
    <w:rsid w:val="003E3427"/>
    <w:rsid w:val="003E375F"/>
    <w:rsid w:val="003E37D2"/>
    <w:rsid w:val="003E38B0"/>
    <w:rsid w:val="003E3AF3"/>
    <w:rsid w:val="003E3C20"/>
    <w:rsid w:val="003E3DAA"/>
    <w:rsid w:val="003E3EFD"/>
    <w:rsid w:val="003E3F78"/>
    <w:rsid w:val="003E3F9C"/>
    <w:rsid w:val="003E4268"/>
    <w:rsid w:val="003E4998"/>
    <w:rsid w:val="003E4D87"/>
    <w:rsid w:val="003E4E6B"/>
    <w:rsid w:val="003E50EE"/>
    <w:rsid w:val="003E5172"/>
    <w:rsid w:val="003E5234"/>
    <w:rsid w:val="003E5643"/>
    <w:rsid w:val="003E6152"/>
    <w:rsid w:val="003E670E"/>
    <w:rsid w:val="003E67A7"/>
    <w:rsid w:val="003E6861"/>
    <w:rsid w:val="003E71A6"/>
    <w:rsid w:val="003E72DC"/>
    <w:rsid w:val="003E7371"/>
    <w:rsid w:val="003E74A7"/>
    <w:rsid w:val="003E7539"/>
    <w:rsid w:val="003E7700"/>
    <w:rsid w:val="003E7B16"/>
    <w:rsid w:val="003F007C"/>
    <w:rsid w:val="003F02BC"/>
    <w:rsid w:val="003F0486"/>
    <w:rsid w:val="003F05B3"/>
    <w:rsid w:val="003F05E6"/>
    <w:rsid w:val="003F06C8"/>
    <w:rsid w:val="003F07B1"/>
    <w:rsid w:val="003F09BE"/>
    <w:rsid w:val="003F0A50"/>
    <w:rsid w:val="003F0E2B"/>
    <w:rsid w:val="003F138C"/>
    <w:rsid w:val="003F155E"/>
    <w:rsid w:val="003F1651"/>
    <w:rsid w:val="003F16B6"/>
    <w:rsid w:val="003F177F"/>
    <w:rsid w:val="003F1884"/>
    <w:rsid w:val="003F1D40"/>
    <w:rsid w:val="003F2219"/>
    <w:rsid w:val="003F24F1"/>
    <w:rsid w:val="003F2E1F"/>
    <w:rsid w:val="003F30E2"/>
    <w:rsid w:val="003F3D62"/>
    <w:rsid w:val="003F422D"/>
    <w:rsid w:val="003F4300"/>
    <w:rsid w:val="003F44B2"/>
    <w:rsid w:val="003F45FD"/>
    <w:rsid w:val="003F476F"/>
    <w:rsid w:val="003F5009"/>
    <w:rsid w:val="003F518D"/>
    <w:rsid w:val="003F56BE"/>
    <w:rsid w:val="003F59DD"/>
    <w:rsid w:val="003F5A14"/>
    <w:rsid w:val="003F5DAD"/>
    <w:rsid w:val="003F6480"/>
    <w:rsid w:val="003F65A9"/>
    <w:rsid w:val="003F6605"/>
    <w:rsid w:val="003F6A9E"/>
    <w:rsid w:val="003F6B40"/>
    <w:rsid w:val="003F6CE5"/>
    <w:rsid w:val="003F6E4A"/>
    <w:rsid w:val="003F6EB7"/>
    <w:rsid w:val="003F71F2"/>
    <w:rsid w:val="003F73DA"/>
    <w:rsid w:val="003F76D5"/>
    <w:rsid w:val="003F7841"/>
    <w:rsid w:val="003F7ED6"/>
    <w:rsid w:val="00400205"/>
    <w:rsid w:val="00400466"/>
    <w:rsid w:val="004004A5"/>
    <w:rsid w:val="0040073B"/>
    <w:rsid w:val="004007A1"/>
    <w:rsid w:val="00400BCB"/>
    <w:rsid w:val="00400CB7"/>
    <w:rsid w:val="004015ED"/>
    <w:rsid w:val="004015F9"/>
    <w:rsid w:val="0040199A"/>
    <w:rsid w:val="00401B9A"/>
    <w:rsid w:val="00401CA9"/>
    <w:rsid w:val="004021FD"/>
    <w:rsid w:val="004022A6"/>
    <w:rsid w:val="004022D2"/>
    <w:rsid w:val="00402456"/>
    <w:rsid w:val="00402707"/>
    <w:rsid w:val="004029E1"/>
    <w:rsid w:val="00402A14"/>
    <w:rsid w:val="00402B0A"/>
    <w:rsid w:val="00402CDF"/>
    <w:rsid w:val="00402DE2"/>
    <w:rsid w:val="00402ED8"/>
    <w:rsid w:val="00403095"/>
    <w:rsid w:val="00403133"/>
    <w:rsid w:val="00403445"/>
    <w:rsid w:val="0040363B"/>
    <w:rsid w:val="00403933"/>
    <w:rsid w:val="00403F04"/>
    <w:rsid w:val="00404800"/>
    <w:rsid w:val="004048E9"/>
    <w:rsid w:val="0040496F"/>
    <w:rsid w:val="004049B0"/>
    <w:rsid w:val="00404C79"/>
    <w:rsid w:val="004052D7"/>
    <w:rsid w:val="0040583D"/>
    <w:rsid w:val="0040584A"/>
    <w:rsid w:val="00405D43"/>
    <w:rsid w:val="00406104"/>
    <w:rsid w:val="004063B4"/>
    <w:rsid w:val="004064FA"/>
    <w:rsid w:val="00406559"/>
    <w:rsid w:val="00406787"/>
    <w:rsid w:val="00406793"/>
    <w:rsid w:val="004068E3"/>
    <w:rsid w:val="004068FC"/>
    <w:rsid w:val="00406B69"/>
    <w:rsid w:val="00406FCA"/>
    <w:rsid w:val="0040702B"/>
    <w:rsid w:val="004070F5"/>
    <w:rsid w:val="0040711C"/>
    <w:rsid w:val="00407600"/>
    <w:rsid w:val="0040777A"/>
    <w:rsid w:val="004079F8"/>
    <w:rsid w:val="0041076E"/>
    <w:rsid w:val="004109C2"/>
    <w:rsid w:val="00411248"/>
    <w:rsid w:val="00411698"/>
    <w:rsid w:val="00411A8F"/>
    <w:rsid w:val="00411B30"/>
    <w:rsid w:val="00411E18"/>
    <w:rsid w:val="00411E3F"/>
    <w:rsid w:val="0041204D"/>
    <w:rsid w:val="004122C9"/>
    <w:rsid w:val="004125BC"/>
    <w:rsid w:val="0041267C"/>
    <w:rsid w:val="00412685"/>
    <w:rsid w:val="00412AC6"/>
    <w:rsid w:val="004130E1"/>
    <w:rsid w:val="004133AD"/>
    <w:rsid w:val="004135BE"/>
    <w:rsid w:val="00413B6F"/>
    <w:rsid w:val="00413F8C"/>
    <w:rsid w:val="004141C8"/>
    <w:rsid w:val="004143EC"/>
    <w:rsid w:val="0041442F"/>
    <w:rsid w:val="00414643"/>
    <w:rsid w:val="00414DC4"/>
    <w:rsid w:val="00415188"/>
    <w:rsid w:val="00415391"/>
    <w:rsid w:val="004156FC"/>
    <w:rsid w:val="00415A91"/>
    <w:rsid w:val="0041618F"/>
    <w:rsid w:val="004164C5"/>
    <w:rsid w:val="0041660F"/>
    <w:rsid w:val="00416762"/>
    <w:rsid w:val="00416EFA"/>
    <w:rsid w:val="00416F67"/>
    <w:rsid w:val="00416F7D"/>
    <w:rsid w:val="00416FAB"/>
    <w:rsid w:val="004172B3"/>
    <w:rsid w:val="0041733E"/>
    <w:rsid w:val="00417344"/>
    <w:rsid w:val="004174BA"/>
    <w:rsid w:val="004174FD"/>
    <w:rsid w:val="00417598"/>
    <w:rsid w:val="00417D3E"/>
    <w:rsid w:val="00417EF7"/>
    <w:rsid w:val="00417FA7"/>
    <w:rsid w:val="00420492"/>
    <w:rsid w:val="00420858"/>
    <w:rsid w:val="00420E55"/>
    <w:rsid w:val="00420F9D"/>
    <w:rsid w:val="00421351"/>
    <w:rsid w:val="004214AC"/>
    <w:rsid w:val="004216A8"/>
    <w:rsid w:val="004217E1"/>
    <w:rsid w:val="00421930"/>
    <w:rsid w:val="00421A20"/>
    <w:rsid w:val="00421DB8"/>
    <w:rsid w:val="00421E00"/>
    <w:rsid w:val="00422B28"/>
    <w:rsid w:val="00422E7C"/>
    <w:rsid w:val="004234D0"/>
    <w:rsid w:val="0042357C"/>
    <w:rsid w:val="00423C81"/>
    <w:rsid w:val="004242DF"/>
    <w:rsid w:val="0042433A"/>
    <w:rsid w:val="0042471F"/>
    <w:rsid w:val="00424720"/>
    <w:rsid w:val="00424775"/>
    <w:rsid w:val="00424C92"/>
    <w:rsid w:val="004250C2"/>
    <w:rsid w:val="0042569E"/>
    <w:rsid w:val="00425830"/>
    <w:rsid w:val="00425B3F"/>
    <w:rsid w:val="00426908"/>
    <w:rsid w:val="00426F40"/>
    <w:rsid w:val="00426FD7"/>
    <w:rsid w:val="0042716E"/>
    <w:rsid w:val="00427252"/>
    <w:rsid w:val="004273EC"/>
    <w:rsid w:val="00427855"/>
    <w:rsid w:val="004279B7"/>
    <w:rsid w:val="00427C6F"/>
    <w:rsid w:val="00427C9A"/>
    <w:rsid w:val="00427C9F"/>
    <w:rsid w:val="00430423"/>
    <w:rsid w:val="00430617"/>
    <w:rsid w:val="004308D6"/>
    <w:rsid w:val="00430A54"/>
    <w:rsid w:val="00430ABE"/>
    <w:rsid w:val="00430ABF"/>
    <w:rsid w:val="00430ACC"/>
    <w:rsid w:val="00430DBA"/>
    <w:rsid w:val="0043123C"/>
    <w:rsid w:val="004312E1"/>
    <w:rsid w:val="00431522"/>
    <w:rsid w:val="00431F11"/>
    <w:rsid w:val="00431F51"/>
    <w:rsid w:val="00432051"/>
    <w:rsid w:val="0043218C"/>
    <w:rsid w:val="00432389"/>
    <w:rsid w:val="0043253D"/>
    <w:rsid w:val="0043273B"/>
    <w:rsid w:val="00432B05"/>
    <w:rsid w:val="00432EC5"/>
    <w:rsid w:val="004333D9"/>
    <w:rsid w:val="00433502"/>
    <w:rsid w:val="00433837"/>
    <w:rsid w:val="00433EB6"/>
    <w:rsid w:val="00433F41"/>
    <w:rsid w:val="00434241"/>
    <w:rsid w:val="004343BE"/>
    <w:rsid w:val="0043451F"/>
    <w:rsid w:val="004349CE"/>
    <w:rsid w:val="00434C19"/>
    <w:rsid w:val="00434C23"/>
    <w:rsid w:val="00435110"/>
    <w:rsid w:val="004353E9"/>
    <w:rsid w:val="00435C7F"/>
    <w:rsid w:val="00435F0E"/>
    <w:rsid w:val="00435F4F"/>
    <w:rsid w:val="00436098"/>
    <w:rsid w:val="004360FD"/>
    <w:rsid w:val="0043621B"/>
    <w:rsid w:val="004362C9"/>
    <w:rsid w:val="00436359"/>
    <w:rsid w:val="00436377"/>
    <w:rsid w:val="004363F7"/>
    <w:rsid w:val="0043640C"/>
    <w:rsid w:val="00436690"/>
    <w:rsid w:val="0043674E"/>
    <w:rsid w:val="0043678F"/>
    <w:rsid w:val="004369D7"/>
    <w:rsid w:val="00436D81"/>
    <w:rsid w:val="00437416"/>
    <w:rsid w:val="00437814"/>
    <w:rsid w:val="00437C97"/>
    <w:rsid w:val="00437D37"/>
    <w:rsid w:val="00440E9A"/>
    <w:rsid w:val="0044105A"/>
    <w:rsid w:val="004412EB"/>
    <w:rsid w:val="00441448"/>
    <w:rsid w:val="0044144A"/>
    <w:rsid w:val="00441458"/>
    <w:rsid w:val="00441531"/>
    <w:rsid w:val="0044155D"/>
    <w:rsid w:val="004415DB"/>
    <w:rsid w:val="00441799"/>
    <w:rsid w:val="00441A07"/>
    <w:rsid w:val="00441A71"/>
    <w:rsid w:val="004422B5"/>
    <w:rsid w:val="00442639"/>
    <w:rsid w:val="0044269A"/>
    <w:rsid w:val="00442810"/>
    <w:rsid w:val="00442A4E"/>
    <w:rsid w:val="00442A51"/>
    <w:rsid w:val="00442C4F"/>
    <w:rsid w:val="00443462"/>
    <w:rsid w:val="00444023"/>
    <w:rsid w:val="004448B9"/>
    <w:rsid w:val="00444AE1"/>
    <w:rsid w:val="00445265"/>
    <w:rsid w:val="0044526E"/>
    <w:rsid w:val="004455DF"/>
    <w:rsid w:val="0044567E"/>
    <w:rsid w:val="00445841"/>
    <w:rsid w:val="00445ACD"/>
    <w:rsid w:val="00445E8B"/>
    <w:rsid w:val="004460BC"/>
    <w:rsid w:val="00446311"/>
    <w:rsid w:val="00446438"/>
    <w:rsid w:val="0044653C"/>
    <w:rsid w:val="004465D8"/>
    <w:rsid w:val="00446853"/>
    <w:rsid w:val="004469F1"/>
    <w:rsid w:val="00446EA3"/>
    <w:rsid w:val="00446EE5"/>
    <w:rsid w:val="0044718F"/>
    <w:rsid w:val="004471DF"/>
    <w:rsid w:val="004475E9"/>
    <w:rsid w:val="004478D8"/>
    <w:rsid w:val="00447AB7"/>
    <w:rsid w:val="00447E38"/>
    <w:rsid w:val="00447EC9"/>
    <w:rsid w:val="00447F58"/>
    <w:rsid w:val="004500D2"/>
    <w:rsid w:val="00450398"/>
    <w:rsid w:val="004503EE"/>
    <w:rsid w:val="0045071D"/>
    <w:rsid w:val="004508BE"/>
    <w:rsid w:val="00450AE6"/>
    <w:rsid w:val="00450C67"/>
    <w:rsid w:val="00450D9B"/>
    <w:rsid w:val="00450FFF"/>
    <w:rsid w:val="00451060"/>
    <w:rsid w:val="004515D5"/>
    <w:rsid w:val="0045185C"/>
    <w:rsid w:val="00451A20"/>
    <w:rsid w:val="00451AB4"/>
    <w:rsid w:val="00451CDC"/>
    <w:rsid w:val="00451F09"/>
    <w:rsid w:val="00452336"/>
    <w:rsid w:val="00452976"/>
    <w:rsid w:val="00452A66"/>
    <w:rsid w:val="00452D75"/>
    <w:rsid w:val="00452FBA"/>
    <w:rsid w:val="0045319F"/>
    <w:rsid w:val="00453206"/>
    <w:rsid w:val="0045375F"/>
    <w:rsid w:val="004538FF"/>
    <w:rsid w:val="00453B1B"/>
    <w:rsid w:val="00453BE1"/>
    <w:rsid w:val="00453CF2"/>
    <w:rsid w:val="004542E9"/>
    <w:rsid w:val="00454316"/>
    <w:rsid w:val="0045459D"/>
    <w:rsid w:val="004545A3"/>
    <w:rsid w:val="004546D8"/>
    <w:rsid w:val="00454DCC"/>
    <w:rsid w:val="0045503A"/>
    <w:rsid w:val="004552EA"/>
    <w:rsid w:val="0045541B"/>
    <w:rsid w:val="00455443"/>
    <w:rsid w:val="004557BA"/>
    <w:rsid w:val="00455841"/>
    <w:rsid w:val="0045592C"/>
    <w:rsid w:val="004559CE"/>
    <w:rsid w:val="00455EFA"/>
    <w:rsid w:val="004563F0"/>
    <w:rsid w:val="00456728"/>
    <w:rsid w:val="0045673E"/>
    <w:rsid w:val="004567B6"/>
    <w:rsid w:val="004567D9"/>
    <w:rsid w:val="00456AE9"/>
    <w:rsid w:val="00456F52"/>
    <w:rsid w:val="00457018"/>
    <w:rsid w:val="0045713F"/>
    <w:rsid w:val="004572BB"/>
    <w:rsid w:val="00457828"/>
    <w:rsid w:val="004600E6"/>
    <w:rsid w:val="004601B0"/>
    <w:rsid w:val="004602D7"/>
    <w:rsid w:val="004602FE"/>
    <w:rsid w:val="00460947"/>
    <w:rsid w:val="004609A0"/>
    <w:rsid w:val="00461AD3"/>
    <w:rsid w:val="00461AD8"/>
    <w:rsid w:val="00461C6C"/>
    <w:rsid w:val="00461D04"/>
    <w:rsid w:val="00462516"/>
    <w:rsid w:val="0046314E"/>
    <w:rsid w:val="004632B1"/>
    <w:rsid w:val="004634D2"/>
    <w:rsid w:val="0046358D"/>
    <w:rsid w:val="004635BB"/>
    <w:rsid w:val="00463656"/>
    <w:rsid w:val="0046382E"/>
    <w:rsid w:val="0046387A"/>
    <w:rsid w:val="00463A28"/>
    <w:rsid w:val="00463C36"/>
    <w:rsid w:val="00464246"/>
    <w:rsid w:val="004642B6"/>
    <w:rsid w:val="004649C4"/>
    <w:rsid w:val="00465436"/>
    <w:rsid w:val="00465494"/>
    <w:rsid w:val="004656B3"/>
    <w:rsid w:val="00465B99"/>
    <w:rsid w:val="00465DCC"/>
    <w:rsid w:val="004661BB"/>
    <w:rsid w:val="00466289"/>
    <w:rsid w:val="004664E4"/>
    <w:rsid w:val="0046657E"/>
    <w:rsid w:val="004667AD"/>
    <w:rsid w:val="004667EA"/>
    <w:rsid w:val="00466862"/>
    <w:rsid w:val="004673C1"/>
    <w:rsid w:val="004674A7"/>
    <w:rsid w:val="00467721"/>
    <w:rsid w:val="004679CB"/>
    <w:rsid w:val="00470162"/>
    <w:rsid w:val="00470CEF"/>
    <w:rsid w:val="00470DBB"/>
    <w:rsid w:val="00470E77"/>
    <w:rsid w:val="0047120B"/>
    <w:rsid w:val="00471271"/>
    <w:rsid w:val="00471796"/>
    <w:rsid w:val="0047179E"/>
    <w:rsid w:val="004719F4"/>
    <w:rsid w:val="00471A0D"/>
    <w:rsid w:val="00471AAA"/>
    <w:rsid w:val="00471AFE"/>
    <w:rsid w:val="00471B02"/>
    <w:rsid w:val="00471ED4"/>
    <w:rsid w:val="00472003"/>
    <w:rsid w:val="004720D4"/>
    <w:rsid w:val="0047217F"/>
    <w:rsid w:val="0047240C"/>
    <w:rsid w:val="0047245B"/>
    <w:rsid w:val="004726D5"/>
    <w:rsid w:val="00472714"/>
    <w:rsid w:val="00472824"/>
    <w:rsid w:val="00472847"/>
    <w:rsid w:val="00472F7F"/>
    <w:rsid w:val="004731B0"/>
    <w:rsid w:val="004731C2"/>
    <w:rsid w:val="00473593"/>
    <w:rsid w:val="004735D4"/>
    <w:rsid w:val="0047369C"/>
    <w:rsid w:val="0047372E"/>
    <w:rsid w:val="004738DD"/>
    <w:rsid w:val="00473944"/>
    <w:rsid w:val="0047460F"/>
    <w:rsid w:val="0047495E"/>
    <w:rsid w:val="00474BCA"/>
    <w:rsid w:val="00474E0A"/>
    <w:rsid w:val="00474FAB"/>
    <w:rsid w:val="00475034"/>
    <w:rsid w:val="00475155"/>
    <w:rsid w:val="00475459"/>
    <w:rsid w:val="0047550D"/>
    <w:rsid w:val="00475527"/>
    <w:rsid w:val="00475694"/>
    <w:rsid w:val="0047577D"/>
    <w:rsid w:val="0047599B"/>
    <w:rsid w:val="00475AB6"/>
    <w:rsid w:val="00475AD9"/>
    <w:rsid w:val="00475B7B"/>
    <w:rsid w:val="00475F4D"/>
    <w:rsid w:val="00475FAB"/>
    <w:rsid w:val="0047638E"/>
    <w:rsid w:val="0047687D"/>
    <w:rsid w:val="00476980"/>
    <w:rsid w:val="00476D9D"/>
    <w:rsid w:val="00476EFF"/>
    <w:rsid w:val="00477091"/>
    <w:rsid w:val="004773D4"/>
    <w:rsid w:val="00477487"/>
    <w:rsid w:val="0047792D"/>
    <w:rsid w:val="00477B0B"/>
    <w:rsid w:val="00477B85"/>
    <w:rsid w:val="00477C43"/>
    <w:rsid w:val="00477D9B"/>
    <w:rsid w:val="00477EC6"/>
    <w:rsid w:val="004805CD"/>
    <w:rsid w:val="004805E0"/>
    <w:rsid w:val="00480740"/>
    <w:rsid w:val="00480A03"/>
    <w:rsid w:val="00480AB7"/>
    <w:rsid w:val="00480B90"/>
    <w:rsid w:val="00480C4A"/>
    <w:rsid w:val="00480CFA"/>
    <w:rsid w:val="00480E03"/>
    <w:rsid w:val="00480EDD"/>
    <w:rsid w:val="00480FCC"/>
    <w:rsid w:val="004815CB"/>
    <w:rsid w:val="004817E2"/>
    <w:rsid w:val="004818A7"/>
    <w:rsid w:val="00481B00"/>
    <w:rsid w:val="00481E53"/>
    <w:rsid w:val="00481E91"/>
    <w:rsid w:val="00481F4E"/>
    <w:rsid w:val="004821C6"/>
    <w:rsid w:val="0048250F"/>
    <w:rsid w:val="00482AD1"/>
    <w:rsid w:val="00483049"/>
    <w:rsid w:val="00483252"/>
    <w:rsid w:val="0048333E"/>
    <w:rsid w:val="004838EB"/>
    <w:rsid w:val="00483AED"/>
    <w:rsid w:val="00483E40"/>
    <w:rsid w:val="00483E9A"/>
    <w:rsid w:val="00483ED4"/>
    <w:rsid w:val="00484727"/>
    <w:rsid w:val="00484AFC"/>
    <w:rsid w:val="00484B5F"/>
    <w:rsid w:val="00484F7E"/>
    <w:rsid w:val="00484FBA"/>
    <w:rsid w:val="0048501D"/>
    <w:rsid w:val="004850F9"/>
    <w:rsid w:val="004851EB"/>
    <w:rsid w:val="004853AE"/>
    <w:rsid w:val="00485632"/>
    <w:rsid w:val="004857A6"/>
    <w:rsid w:val="00485903"/>
    <w:rsid w:val="00485973"/>
    <w:rsid w:val="004859A3"/>
    <w:rsid w:val="00485AD9"/>
    <w:rsid w:val="00485C3E"/>
    <w:rsid w:val="0048602E"/>
    <w:rsid w:val="0048638C"/>
    <w:rsid w:val="004866D6"/>
    <w:rsid w:val="0048671B"/>
    <w:rsid w:val="004868A9"/>
    <w:rsid w:val="00486980"/>
    <w:rsid w:val="00486A81"/>
    <w:rsid w:val="00486D13"/>
    <w:rsid w:val="0048725C"/>
    <w:rsid w:val="0048732C"/>
    <w:rsid w:val="00487469"/>
    <w:rsid w:val="004877A6"/>
    <w:rsid w:val="004879DE"/>
    <w:rsid w:val="00487B69"/>
    <w:rsid w:val="00487BA7"/>
    <w:rsid w:val="00487E97"/>
    <w:rsid w:val="0049017F"/>
    <w:rsid w:val="0049071D"/>
    <w:rsid w:val="0049087D"/>
    <w:rsid w:val="00490A9D"/>
    <w:rsid w:val="00490F14"/>
    <w:rsid w:val="0049109D"/>
    <w:rsid w:val="00491740"/>
    <w:rsid w:val="00491921"/>
    <w:rsid w:val="00491ACA"/>
    <w:rsid w:val="00491CCE"/>
    <w:rsid w:val="00491FC7"/>
    <w:rsid w:val="0049236F"/>
    <w:rsid w:val="0049238F"/>
    <w:rsid w:val="0049243D"/>
    <w:rsid w:val="00492A5A"/>
    <w:rsid w:val="00492FCB"/>
    <w:rsid w:val="004933BF"/>
    <w:rsid w:val="004938D1"/>
    <w:rsid w:val="00493F5E"/>
    <w:rsid w:val="00494339"/>
    <w:rsid w:val="0049457C"/>
    <w:rsid w:val="004946E8"/>
    <w:rsid w:val="004947E9"/>
    <w:rsid w:val="00494854"/>
    <w:rsid w:val="0049499B"/>
    <w:rsid w:val="00494C66"/>
    <w:rsid w:val="004950F4"/>
    <w:rsid w:val="004951A8"/>
    <w:rsid w:val="00495350"/>
    <w:rsid w:val="00495368"/>
    <w:rsid w:val="00495822"/>
    <w:rsid w:val="00495A13"/>
    <w:rsid w:val="00495D59"/>
    <w:rsid w:val="00496091"/>
    <w:rsid w:val="0049619A"/>
    <w:rsid w:val="004962B4"/>
    <w:rsid w:val="00496994"/>
    <w:rsid w:val="00497496"/>
    <w:rsid w:val="00497721"/>
    <w:rsid w:val="00497AC3"/>
    <w:rsid w:val="00497BAE"/>
    <w:rsid w:val="00497FD0"/>
    <w:rsid w:val="004A056E"/>
    <w:rsid w:val="004A077D"/>
    <w:rsid w:val="004A089A"/>
    <w:rsid w:val="004A0A15"/>
    <w:rsid w:val="004A0EB7"/>
    <w:rsid w:val="004A106B"/>
    <w:rsid w:val="004A14B9"/>
    <w:rsid w:val="004A150D"/>
    <w:rsid w:val="004A16C0"/>
    <w:rsid w:val="004A18F6"/>
    <w:rsid w:val="004A1AC1"/>
    <w:rsid w:val="004A1B08"/>
    <w:rsid w:val="004A1D43"/>
    <w:rsid w:val="004A1F1A"/>
    <w:rsid w:val="004A213B"/>
    <w:rsid w:val="004A234A"/>
    <w:rsid w:val="004A2AC3"/>
    <w:rsid w:val="004A2B6E"/>
    <w:rsid w:val="004A2D46"/>
    <w:rsid w:val="004A2EE7"/>
    <w:rsid w:val="004A31CA"/>
    <w:rsid w:val="004A35DD"/>
    <w:rsid w:val="004A38A0"/>
    <w:rsid w:val="004A3A9A"/>
    <w:rsid w:val="004A42F9"/>
    <w:rsid w:val="004A4C53"/>
    <w:rsid w:val="004A4D55"/>
    <w:rsid w:val="004A4D7E"/>
    <w:rsid w:val="004A4D9D"/>
    <w:rsid w:val="004A4F31"/>
    <w:rsid w:val="004A504F"/>
    <w:rsid w:val="004A50B3"/>
    <w:rsid w:val="004A5BC9"/>
    <w:rsid w:val="004A5CE6"/>
    <w:rsid w:val="004A5CF4"/>
    <w:rsid w:val="004A5E3A"/>
    <w:rsid w:val="004A6014"/>
    <w:rsid w:val="004A605D"/>
    <w:rsid w:val="004A64AB"/>
    <w:rsid w:val="004A66CE"/>
    <w:rsid w:val="004A7009"/>
    <w:rsid w:val="004A73D0"/>
    <w:rsid w:val="004A7525"/>
    <w:rsid w:val="004A7882"/>
    <w:rsid w:val="004A7BC2"/>
    <w:rsid w:val="004A7BE6"/>
    <w:rsid w:val="004A7C4F"/>
    <w:rsid w:val="004A7D74"/>
    <w:rsid w:val="004A7E69"/>
    <w:rsid w:val="004B017D"/>
    <w:rsid w:val="004B01FC"/>
    <w:rsid w:val="004B0301"/>
    <w:rsid w:val="004B036A"/>
    <w:rsid w:val="004B051D"/>
    <w:rsid w:val="004B0872"/>
    <w:rsid w:val="004B0B48"/>
    <w:rsid w:val="004B0BC7"/>
    <w:rsid w:val="004B0C1B"/>
    <w:rsid w:val="004B0F95"/>
    <w:rsid w:val="004B11EB"/>
    <w:rsid w:val="004B13E2"/>
    <w:rsid w:val="004B1879"/>
    <w:rsid w:val="004B194E"/>
    <w:rsid w:val="004B1AE0"/>
    <w:rsid w:val="004B1B85"/>
    <w:rsid w:val="004B1D42"/>
    <w:rsid w:val="004B273C"/>
    <w:rsid w:val="004B286D"/>
    <w:rsid w:val="004B2C1A"/>
    <w:rsid w:val="004B2D5D"/>
    <w:rsid w:val="004B2E3F"/>
    <w:rsid w:val="004B2EA8"/>
    <w:rsid w:val="004B30A5"/>
    <w:rsid w:val="004B32B7"/>
    <w:rsid w:val="004B32F3"/>
    <w:rsid w:val="004B3867"/>
    <w:rsid w:val="004B3F43"/>
    <w:rsid w:val="004B3FF2"/>
    <w:rsid w:val="004B4219"/>
    <w:rsid w:val="004B4235"/>
    <w:rsid w:val="004B4717"/>
    <w:rsid w:val="004B47DD"/>
    <w:rsid w:val="004B4869"/>
    <w:rsid w:val="004B4876"/>
    <w:rsid w:val="004B542E"/>
    <w:rsid w:val="004B5460"/>
    <w:rsid w:val="004B5533"/>
    <w:rsid w:val="004B583E"/>
    <w:rsid w:val="004B59B6"/>
    <w:rsid w:val="004B59E0"/>
    <w:rsid w:val="004B5AF2"/>
    <w:rsid w:val="004B5DBB"/>
    <w:rsid w:val="004B5E47"/>
    <w:rsid w:val="004B633A"/>
    <w:rsid w:val="004B6456"/>
    <w:rsid w:val="004B6666"/>
    <w:rsid w:val="004B6838"/>
    <w:rsid w:val="004B6AB0"/>
    <w:rsid w:val="004B7041"/>
    <w:rsid w:val="004B713E"/>
    <w:rsid w:val="004B75CC"/>
    <w:rsid w:val="004B786C"/>
    <w:rsid w:val="004B7EA0"/>
    <w:rsid w:val="004C012E"/>
    <w:rsid w:val="004C019C"/>
    <w:rsid w:val="004C05C0"/>
    <w:rsid w:val="004C0750"/>
    <w:rsid w:val="004C0C6C"/>
    <w:rsid w:val="004C0F34"/>
    <w:rsid w:val="004C0F4B"/>
    <w:rsid w:val="004C11F8"/>
    <w:rsid w:val="004C1547"/>
    <w:rsid w:val="004C195A"/>
    <w:rsid w:val="004C1C10"/>
    <w:rsid w:val="004C1C9D"/>
    <w:rsid w:val="004C1D0C"/>
    <w:rsid w:val="004C1D3E"/>
    <w:rsid w:val="004C1E6B"/>
    <w:rsid w:val="004C215F"/>
    <w:rsid w:val="004C24ED"/>
    <w:rsid w:val="004C267D"/>
    <w:rsid w:val="004C28EC"/>
    <w:rsid w:val="004C2977"/>
    <w:rsid w:val="004C2D68"/>
    <w:rsid w:val="004C2F7F"/>
    <w:rsid w:val="004C3496"/>
    <w:rsid w:val="004C397F"/>
    <w:rsid w:val="004C3A82"/>
    <w:rsid w:val="004C41E0"/>
    <w:rsid w:val="004C43E4"/>
    <w:rsid w:val="004C43F0"/>
    <w:rsid w:val="004C45AB"/>
    <w:rsid w:val="004C4930"/>
    <w:rsid w:val="004C4A49"/>
    <w:rsid w:val="004C4A50"/>
    <w:rsid w:val="004C4CBB"/>
    <w:rsid w:val="004C4F1A"/>
    <w:rsid w:val="004C50D5"/>
    <w:rsid w:val="004C56B5"/>
    <w:rsid w:val="004C579E"/>
    <w:rsid w:val="004C59EE"/>
    <w:rsid w:val="004C5A09"/>
    <w:rsid w:val="004C5F0D"/>
    <w:rsid w:val="004C6051"/>
    <w:rsid w:val="004C62DA"/>
    <w:rsid w:val="004C63EF"/>
    <w:rsid w:val="004C648B"/>
    <w:rsid w:val="004C6927"/>
    <w:rsid w:val="004C6B70"/>
    <w:rsid w:val="004C7011"/>
    <w:rsid w:val="004C7112"/>
    <w:rsid w:val="004C71AB"/>
    <w:rsid w:val="004C744E"/>
    <w:rsid w:val="004C7896"/>
    <w:rsid w:val="004C7A6A"/>
    <w:rsid w:val="004C7AED"/>
    <w:rsid w:val="004C7C66"/>
    <w:rsid w:val="004C7F33"/>
    <w:rsid w:val="004D009B"/>
    <w:rsid w:val="004D00EB"/>
    <w:rsid w:val="004D01D2"/>
    <w:rsid w:val="004D0393"/>
    <w:rsid w:val="004D0406"/>
    <w:rsid w:val="004D049E"/>
    <w:rsid w:val="004D06CE"/>
    <w:rsid w:val="004D0EB5"/>
    <w:rsid w:val="004D1261"/>
    <w:rsid w:val="004D12E1"/>
    <w:rsid w:val="004D155B"/>
    <w:rsid w:val="004D15AF"/>
    <w:rsid w:val="004D1A20"/>
    <w:rsid w:val="004D1A2C"/>
    <w:rsid w:val="004D1D30"/>
    <w:rsid w:val="004D1DDC"/>
    <w:rsid w:val="004D1FF1"/>
    <w:rsid w:val="004D2222"/>
    <w:rsid w:val="004D224A"/>
    <w:rsid w:val="004D24BB"/>
    <w:rsid w:val="004D28C9"/>
    <w:rsid w:val="004D2926"/>
    <w:rsid w:val="004D2E0A"/>
    <w:rsid w:val="004D30B1"/>
    <w:rsid w:val="004D3126"/>
    <w:rsid w:val="004D318B"/>
    <w:rsid w:val="004D320C"/>
    <w:rsid w:val="004D3230"/>
    <w:rsid w:val="004D33F5"/>
    <w:rsid w:val="004D3490"/>
    <w:rsid w:val="004D3815"/>
    <w:rsid w:val="004D38CC"/>
    <w:rsid w:val="004D3995"/>
    <w:rsid w:val="004D3B1E"/>
    <w:rsid w:val="004D3F37"/>
    <w:rsid w:val="004D3FA3"/>
    <w:rsid w:val="004D41E9"/>
    <w:rsid w:val="004D471C"/>
    <w:rsid w:val="004D4AA2"/>
    <w:rsid w:val="004D4E1B"/>
    <w:rsid w:val="004D5353"/>
    <w:rsid w:val="004D55D5"/>
    <w:rsid w:val="004D55FC"/>
    <w:rsid w:val="004D59A6"/>
    <w:rsid w:val="004D59C3"/>
    <w:rsid w:val="004D5B73"/>
    <w:rsid w:val="004D5C8B"/>
    <w:rsid w:val="004D5E70"/>
    <w:rsid w:val="004D6018"/>
    <w:rsid w:val="004D64CA"/>
    <w:rsid w:val="004D670F"/>
    <w:rsid w:val="004D6BBF"/>
    <w:rsid w:val="004D6BFB"/>
    <w:rsid w:val="004D6DD0"/>
    <w:rsid w:val="004D6F06"/>
    <w:rsid w:val="004D6F3A"/>
    <w:rsid w:val="004D7458"/>
    <w:rsid w:val="004D75BC"/>
    <w:rsid w:val="004D7710"/>
    <w:rsid w:val="004D7B4D"/>
    <w:rsid w:val="004D7B6C"/>
    <w:rsid w:val="004D7E1D"/>
    <w:rsid w:val="004E04F0"/>
    <w:rsid w:val="004E0700"/>
    <w:rsid w:val="004E09E1"/>
    <w:rsid w:val="004E0C16"/>
    <w:rsid w:val="004E0FCC"/>
    <w:rsid w:val="004E10B8"/>
    <w:rsid w:val="004E12E3"/>
    <w:rsid w:val="004E1374"/>
    <w:rsid w:val="004E143F"/>
    <w:rsid w:val="004E18A5"/>
    <w:rsid w:val="004E1996"/>
    <w:rsid w:val="004E1D27"/>
    <w:rsid w:val="004E1E45"/>
    <w:rsid w:val="004E1FCF"/>
    <w:rsid w:val="004E2248"/>
    <w:rsid w:val="004E2262"/>
    <w:rsid w:val="004E2275"/>
    <w:rsid w:val="004E2396"/>
    <w:rsid w:val="004E23F6"/>
    <w:rsid w:val="004E2829"/>
    <w:rsid w:val="004E2978"/>
    <w:rsid w:val="004E2A8E"/>
    <w:rsid w:val="004E2CAE"/>
    <w:rsid w:val="004E2CD8"/>
    <w:rsid w:val="004E328C"/>
    <w:rsid w:val="004E32C9"/>
    <w:rsid w:val="004E3487"/>
    <w:rsid w:val="004E3900"/>
    <w:rsid w:val="004E3A8E"/>
    <w:rsid w:val="004E3BDD"/>
    <w:rsid w:val="004E3BE3"/>
    <w:rsid w:val="004E3C4B"/>
    <w:rsid w:val="004E3D2C"/>
    <w:rsid w:val="004E4082"/>
    <w:rsid w:val="004E46CC"/>
    <w:rsid w:val="004E471B"/>
    <w:rsid w:val="004E4B65"/>
    <w:rsid w:val="004E4F9F"/>
    <w:rsid w:val="004E5037"/>
    <w:rsid w:val="004E553D"/>
    <w:rsid w:val="004E55F2"/>
    <w:rsid w:val="004E571F"/>
    <w:rsid w:val="004E5C31"/>
    <w:rsid w:val="004E6020"/>
    <w:rsid w:val="004E60BA"/>
    <w:rsid w:val="004E629F"/>
    <w:rsid w:val="004E62A5"/>
    <w:rsid w:val="004E6656"/>
    <w:rsid w:val="004E68E6"/>
    <w:rsid w:val="004E69EF"/>
    <w:rsid w:val="004E6CD4"/>
    <w:rsid w:val="004E70A9"/>
    <w:rsid w:val="004E73F1"/>
    <w:rsid w:val="004E757C"/>
    <w:rsid w:val="004E760B"/>
    <w:rsid w:val="004E765D"/>
    <w:rsid w:val="004E7C50"/>
    <w:rsid w:val="004E7D82"/>
    <w:rsid w:val="004E7EB3"/>
    <w:rsid w:val="004E7F91"/>
    <w:rsid w:val="004F0B56"/>
    <w:rsid w:val="004F0E32"/>
    <w:rsid w:val="004F0F12"/>
    <w:rsid w:val="004F1157"/>
    <w:rsid w:val="004F1164"/>
    <w:rsid w:val="004F1430"/>
    <w:rsid w:val="004F14C9"/>
    <w:rsid w:val="004F169C"/>
    <w:rsid w:val="004F1A0B"/>
    <w:rsid w:val="004F1ABE"/>
    <w:rsid w:val="004F1E8B"/>
    <w:rsid w:val="004F1F6C"/>
    <w:rsid w:val="004F20E5"/>
    <w:rsid w:val="004F219B"/>
    <w:rsid w:val="004F2264"/>
    <w:rsid w:val="004F226E"/>
    <w:rsid w:val="004F29C3"/>
    <w:rsid w:val="004F3480"/>
    <w:rsid w:val="004F34BD"/>
    <w:rsid w:val="004F37B0"/>
    <w:rsid w:val="004F3A88"/>
    <w:rsid w:val="004F3B7B"/>
    <w:rsid w:val="004F3CEA"/>
    <w:rsid w:val="004F419E"/>
    <w:rsid w:val="004F43AD"/>
    <w:rsid w:val="004F45E9"/>
    <w:rsid w:val="004F52AA"/>
    <w:rsid w:val="004F52B5"/>
    <w:rsid w:val="004F5347"/>
    <w:rsid w:val="004F563B"/>
    <w:rsid w:val="004F56E2"/>
    <w:rsid w:val="004F5C12"/>
    <w:rsid w:val="004F5E35"/>
    <w:rsid w:val="004F5EBA"/>
    <w:rsid w:val="004F624F"/>
    <w:rsid w:val="004F764F"/>
    <w:rsid w:val="004F7662"/>
    <w:rsid w:val="004F7E7E"/>
    <w:rsid w:val="004F7F63"/>
    <w:rsid w:val="0050019F"/>
    <w:rsid w:val="0050028E"/>
    <w:rsid w:val="005002F1"/>
    <w:rsid w:val="0050061C"/>
    <w:rsid w:val="0050086F"/>
    <w:rsid w:val="0050093A"/>
    <w:rsid w:val="00500A34"/>
    <w:rsid w:val="00500C79"/>
    <w:rsid w:val="00500E45"/>
    <w:rsid w:val="00501461"/>
    <w:rsid w:val="005014A0"/>
    <w:rsid w:val="00501563"/>
    <w:rsid w:val="005016A1"/>
    <w:rsid w:val="0050180D"/>
    <w:rsid w:val="00501D92"/>
    <w:rsid w:val="00501E1E"/>
    <w:rsid w:val="0050204F"/>
    <w:rsid w:val="0050208D"/>
    <w:rsid w:val="005020EF"/>
    <w:rsid w:val="0050218D"/>
    <w:rsid w:val="0050259C"/>
    <w:rsid w:val="00502648"/>
    <w:rsid w:val="00502BAB"/>
    <w:rsid w:val="00502BE4"/>
    <w:rsid w:val="0050300B"/>
    <w:rsid w:val="005033C4"/>
    <w:rsid w:val="005033DD"/>
    <w:rsid w:val="00503490"/>
    <w:rsid w:val="005036E5"/>
    <w:rsid w:val="00503713"/>
    <w:rsid w:val="00503A1C"/>
    <w:rsid w:val="005040DF"/>
    <w:rsid w:val="00504623"/>
    <w:rsid w:val="00504C60"/>
    <w:rsid w:val="00504EC1"/>
    <w:rsid w:val="00504FCC"/>
    <w:rsid w:val="005054C0"/>
    <w:rsid w:val="005054EF"/>
    <w:rsid w:val="005056A0"/>
    <w:rsid w:val="00505702"/>
    <w:rsid w:val="00505B8C"/>
    <w:rsid w:val="00505FFA"/>
    <w:rsid w:val="00506130"/>
    <w:rsid w:val="005062A9"/>
    <w:rsid w:val="0050644D"/>
    <w:rsid w:val="00506547"/>
    <w:rsid w:val="00506662"/>
    <w:rsid w:val="0050690E"/>
    <w:rsid w:val="00506B1A"/>
    <w:rsid w:val="00506E22"/>
    <w:rsid w:val="00507283"/>
    <w:rsid w:val="00507483"/>
    <w:rsid w:val="00507C75"/>
    <w:rsid w:val="0051001E"/>
    <w:rsid w:val="0051016B"/>
    <w:rsid w:val="00510247"/>
    <w:rsid w:val="005104AF"/>
    <w:rsid w:val="00510C4C"/>
    <w:rsid w:val="00510F85"/>
    <w:rsid w:val="0051100D"/>
    <w:rsid w:val="005110C9"/>
    <w:rsid w:val="00511A4B"/>
    <w:rsid w:val="00511D44"/>
    <w:rsid w:val="00512230"/>
    <w:rsid w:val="005125C3"/>
    <w:rsid w:val="00512AB7"/>
    <w:rsid w:val="00512C96"/>
    <w:rsid w:val="00512E2D"/>
    <w:rsid w:val="00512F43"/>
    <w:rsid w:val="00512FB4"/>
    <w:rsid w:val="00513167"/>
    <w:rsid w:val="00513536"/>
    <w:rsid w:val="005135A1"/>
    <w:rsid w:val="00513627"/>
    <w:rsid w:val="00513762"/>
    <w:rsid w:val="005137D6"/>
    <w:rsid w:val="005138F6"/>
    <w:rsid w:val="0051397D"/>
    <w:rsid w:val="00513F48"/>
    <w:rsid w:val="005141D0"/>
    <w:rsid w:val="005145F2"/>
    <w:rsid w:val="00514AB4"/>
    <w:rsid w:val="00515048"/>
    <w:rsid w:val="005151C2"/>
    <w:rsid w:val="00515411"/>
    <w:rsid w:val="0051551B"/>
    <w:rsid w:val="0051566F"/>
    <w:rsid w:val="00515AED"/>
    <w:rsid w:val="00515F22"/>
    <w:rsid w:val="00515F85"/>
    <w:rsid w:val="00515FBF"/>
    <w:rsid w:val="00516785"/>
    <w:rsid w:val="00516F68"/>
    <w:rsid w:val="00516FDE"/>
    <w:rsid w:val="00517099"/>
    <w:rsid w:val="00517499"/>
    <w:rsid w:val="005179AD"/>
    <w:rsid w:val="00517AF7"/>
    <w:rsid w:val="00517B21"/>
    <w:rsid w:val="00517D8D"/>
    <w:rsid w:val="00517FB0"/>
    <w:rsid w:val="005202D2"/>
    <w:rsid w:val="00520BDA"/>
    <w:rsid w:val="00520E60"/>
    <w:rsid w:val="00521239"/>
    <w:rsid w:val="00521799"/>
    <w:rsid w:val="00521877"/>
    <w:rsid w:val="00521AC7"/>
    <w:rsid w:val="005220F7"/>
    <w:rsid w:val="005226D9"/>
    <w:rsid w:val="00522712"/>
    <w:rsid w:val="005228C0"/>
    <w:rsid w:val="00522A1F"/>
    <w:rsid w:val="00522AF1"/>
    <w:rsid w:val="00522EDE"/>
    <w:rsid w:val="00523195"/>
    <w:rsid w:val="005232A0"/>
    <w:rsid w:val="00523405"/>
    <w:rsid w:val="00523515"/>
    <w:rsid w:val="005237AE"/>
    <w:rsid w:val="005239FD"/>
    <w:rsid w:val="00523A6F"/>
    <w:rsid w:val="00523EB6"/>
    <w:rsid w:val="00523FF9"/>
    <w:rsid w:val="0052419D"/>
    <w:rsid w:val="00524ACD"/>
    <w:rsid w:val="00524E49"/>
    <w:rsid w:val="00524E96"/>
    <w:rsid w:val="005254F6"/>
    <w:rsid w:val="0052558F"/>
    <w:rsid w:val="005258BB"/>
    <w:rsid w:val="00525B86"/>
    <w:rsid w:val="00525FBA"/>
    <w:rsid w:val="0052610C"/>
    <w:rsid w:val="0052624F"/>
    <w:rsid w:val="0052673D"/>
    <w:rsid w:val="0052694C"/>
    <w:rsid w:val="00526D8E"/>
    <w:rsid w:val="00526FA2"/>
    <w:rsid w:val="0052711F"/>
    <w:rsid w:val="00527D41"/>
    <w:rsid w:val="00530053"/>
    <w:rsid w:val="00530061"/>
    <w:rsid w:val="00530178"/>
    <w:rsid w:val="005301F8"/>
    <w:rsid w:val="0053073D"/>
    <w:rsid w:val="0053074C"/>
    <w:rsid w:val="00530A07"/>
    <w:rsid w:val="005312FC"/>
    <w:rsid w:val="00531307"/>
    <w:rsid w:val="00531433"/>
    <w:rsid w:val="00531615"/>
    <w:rsid w:val="0053225D"/>
    <w:rsid w:val="0053244B"/>
    <w:rsid w:val="00532839"/>
    <w:rsid w:val="00532894"/>
    <w:rsid w:val="00532B73"/>
    <w:rsid w:val="00532D37"/>
    <w:rsid w:val="005332A1"/>
    <w:rsid w:val="00533431"/>
    <w:rsid w:val="00533459"/>
    <w:rsid w:val="00533500"/>
    <w:rsid w:val="00533715"/>
    <w:rsid w:val="00533CFA"/>
    <w:rsid w:val="00533D20"/>
    <w:rsid w:val="00533D55"/>
    <w:rsid w:val="00533FB4"/>
    <w:rsid w:val="005344DE"/>
    <w:rsid w:val="00534A5F"/>
    <w:rsid w:val="00534BBE"/>
    <w:rsid w:val="00534FCC"/>
    <w:rsid w:val="00534FE7"/>
    <w:rsid w:val="00535062"/>
    <w:rsid w:val="005350D0"/>
    <w:rsid w:val="00535248"/>
    <w:rsid w:val="005354FD"/>
    <w:rsid w:val="00535601"/>
    <w:rsid w:val="005358B8"/>
    <w:rsid w:val="00535A57"/>
    <w:rsid w:val="00535B49"/>
    <w:rsid w:val="00535B4A"/>
    <w:rsid w:val="00535D5F"/>
    <w:rsid w:val="00535E27"/>
    <w:rsid w:val="00535E49"/>
    <w:rsid w:val="0053603D"/>
    <w:rsid w:val="00536927"/>
    <w:rsid w:val="00536C21"/>
    <w:rsid w:val="00536D09"/>
    <w:rsid w:val="005370FD"/>
    <w:rsid w:val="005372E6"/>
    <w:rsid w:val="005373C4"/>
    <w:rsid w:val="00537435"/>
    <w:rsid w:val="005375AB"/>
    <w:rsid w:val="00537832"/>
    <w:rsid w:val="005379C3"/>
    <w:rsid w:val="00537BFC"/>
    <w:rsid w:val="00537C98"/>
    <w:rsid w:val="00537CC4"/>
    <w:rsid w:val="00537D90"/>
    <w:rsid w:val="00537FC8"/>
    <w:rsid w:val="0054028C"/>
    <w:rsid w:val="005403F6"/>
    <w:rsid w:val="0054049A"/>
    <w:rsid w:val="0054067A"/>
    <w:rsid w:val="00540811"/>
    <w:rsid w:val="00540B88"/>
    <w:rsid w:val="00541068"/>
    <w:rsid w:val="00541BC7"/>
    <w:rsid w:val="00541EAE"/>
    <w:rsid w:val="00541EDB"/>
    <w:rsid w:val="00542079"/>
    <w:rsid w:val="0054222C"/>
    <w:rsid w:val="00542230"/>
    <w:rsid w:val="00542367"/>
    <w:rsid w:val="0054240B"/>
    <w:rsid w:val="00542553"/>
    <w:rsid w:val="00542C74"/>
    <w:rsid w:val="00542C9A"/>
    <w:rsid w:val="00542E3F"/>
    <w:rsid w:val="00542EB6"/>
    <w:rsid w:val="005431C5"/>
    <w:rsid w:val="005436BD"/>
    <w:rsid w:val="005437F7"/>
    <w:rsid w:val="00543CA2"/>
    <w:rsid w:val="00543D48"/>
    <w:rsid w:val="0054416A"/>
    <w:rsid w:val="00544331"/>
    <w:rsid w:val="00544762"/>
    <w:rsid w:val="00544C94"/>
    <w:rsid w:val="00544DDF"/>
    <w:rsid w:val="0054553E"/>
    <w:rsid w:val="00545866"/>
    <w:rsid w:val="00545AA5"/>
    <w:rsid w:val="00545F01"/>
    <w:rsid w:val="00545F2B"/>
    <w:rsid w:val="005467E2"/>
    <w:rsid w:val="00546D2E"/>
    <w:rsid w:val="00546F35"/>
    <w:rsid w:val="00547159"/>
    <w:rsid w:val="00547476"/>
    <w:rsid w:val="00547509"/>
    <w:rsid w:val="005475AE"/>
    <w:rsid w:val="005475CF"/>
    <w:rsid w:val="00547827"/>
    <w:rsid w:val="00547B71"/>
    <w:rsid w:val="00547D9E"/>
    <w:rsid w:val="00547EE8"/>
    <w:rsid w:val="00550263"/>
    <w:rsid w:val="0055034F"/>
    <w:rsid w:val="00550734"/>
    <w:rsid w:val="00550A7B"/>
    <w:rsid w:val="00550F73"/>
    <w:rsid w:val="00550FF9"/>
    <w:rsid w:val="005510CD"/>
    <w:rsid w:val="0055179F"/>
    <w:rsid w:val="0055182C"/>
    <w:rsid w:val="005519D8"/>
    <w:rsid w:val="00551A3C"/>
    <w:rsid w:val="00551AB8"/>
    <w:rsid w:val="00551B5A"/>
    <w:rsid w:val="00551BEE"/>
    <w:rsid w:val="00551CDC"/>
    <w:rsid w:val="00551F0C"/>
    <w:rsid w:val="0055228F"/>
    <w:rsid w:val="005524EB"/>
    <w:rsid w:val="0055262B"/>
    <w:rsid w:val="00552678"/>
    <w:rsid w:val="005526A5"/>
    <w:rsid w:val="005526B5"/>
    <w:rsid w:val="005526C3"/>
    <w:rsid w:val="00552796"/>
    <w:rsid w:val="0055288E"/>
    <w:rsid w:val="00552B83"/>
    <w:rsid w:val="00553362"/>
    <w:rsid w:val="00553616"/>
    <w:rsid w:val="0055394B"/>
    <w:rsid w:val="00553BF1"/>
    <w:rsid w:val="00553C8A"/>
    <w:rsid w:val="00553DA7"/>
    <w:rsid w:val="00553EBC"/>
    <w:rsid w:val="005545C1"/>
    <w:rsid w:val="0055478D"/>
    <w:rsid w:val="00554AE3"/>
    <w:rsid w:val="00554AF3"/>
    <w:rsid w:val="00554B17"/>
    <w:rsid w:val="00554B1E"/>
    <w:rsid w:val="00554BF3"/>
    <w:rsid w:val="00554C35"/>
    <w:rsid w:val="00554CDD"/>
    <w:rsid w:val="00555449"/>
    <w:rsid w:val="00555A28"/>
    <w:rsid w:val="00555A2A"/>
    <w:rsid w:val="00555C89"/>
    <w:rsid w:val="00555D14"/>
    <w:rsid w:val="00555F96"/>
    <w:rsid w:val="00556149"/>
    <w:rsid w:val="00556277"/>
    <w:rsid w:val="005564ED"/>
    <w:rsid w:val="00556965"/>
    <w:rsid w:val="00556AE9"/>
    <w:rsid w:val="00556EDB"/>
    <w:rsid w:val="00556FE0"/>
    <w:rsid w:val="00557214"/>
    <w:rsid w:val="005576CC"/>
    <w:rsid w:val="00557791"/>
    <w:rsid w:val="005577A7"/>
    <w:rsid w:val="005577F6"/>
    <w:rsid w:val="0056002B"/>
    <w:rsid w:val="00560642"/>
    <w:rsid w:val="005608A8"/>
    <w:rsid w:val="0056145B"/>
    <w:rsid w:val="00561493"/>
    <w:rsid w:val="005618C7"/>
    <w:rsid w:val="0056196A"/>
    <w:rsid w:val="00561D67"/>
    <w:rsid w:val="00561D6F"/>
    <w:rsid w:val="00561F62"/>
    <w:rsid w:val="005629F8"/>
    <w:rsid w:val="00562CD1"/>
    <w:rsid w:val="00563076"/>
    <w:rsid w:val="00563381"/>
    <w:rsid w:val="005634DA"/>
    <w:rsid w:val="005638DC"/>
    <w:rsid w:val="00563923"/>
    <w:rsid w:val="00563AC1"/>
    <w:rsid w:val="00563AD4"/>
    <w:rsid w:val="00563C35"/>
    <w:rsid w:val="00563C66"/>
    <w:rsid w:val="00563F2C"/>
    <w:rsid w:val="0056405B"/>
    <w:rsid w:val="005641FF"/>
    <w:rsid w:val="00564393"/>
    <w:rsid w:val="005643D6"/>
    <w:rsid w:val="0056442A"/>
    <w:rsid w:val="00564723"/>
    <w:rsid w:val="00564847"/>
    <w:rsid w:val="00564AED"/>
    <w:rsid w:val="00564B25"/>
    <w:rsid w:val="00564D18"/>
    <w:rsid w:val="00564D99"/>
    <w:rsid w:val="00565302"/>
    <w:rsid w:val="0056538A"/>
    <w:rsid w:val="005657A5"/>
    <w:rsid w:val="00565A40"/>
    <w:rsid w:val="00565CFD"/>
    <w:rsid w:val="00565D90"/>
    <w:rsid w:val="0056607C"/>
    <w:rsid w:val="0056644A"/>
    <w:rsid w:val="00566478"/>
    <w:rsid w:val="00566532"/>
    <w:rsid w:val="005665C8"/>
    <w:rsid w:val="005666EA"/>
    <w:rsid w:val="0056679F"/>
    <w:rsid w:val="00566857"/>
    <w:rsid w:val="00566C4B"/>
    <w:rsid w:val="00566F6B"/>
    <w:rsid w:val="005670AC"/>
    <w:rsid w:val="005672FD"/>
    <w:rsid w:val="00567322"/>
    <w:rsid w:val="0056750C"/>
    <w:rsid w:val="0056756D"/>
    <w:rsid w:val="005677BB"/>
    <w:rsid w:val="0056785A"/>
    <w:rsid w:val="005678DC"/>
    <w:rsid w:val="0056791C"/>
    <w:rsid w:val="00567DD8"/>
    <w:rsid w:val="00567DED"/>
    <w:rsid w:val="00567E71"/>
    <w:rsid w:val="00570119"/>
    <w:rsid w:val="00570203"/>
    <w:rsid w:val="00570400"/>
    <w:rsid w:val="005706A7"/>
    <w:rsid w:val="005706E0"/>
    <w:rsid w:val="005706FE"/>
    <w:rsid w:val="005708E6"/>
    <w:rsid w:val="00570E1F"/>
    <w:rsid w:val="00570EB1"/>
    <w:rsid w:val="00571217"/>
    <w:rsid w:val="00571419"/>
    <w:rsid w:val="00571593"/>
    <w:rsid w:val="00571DAF"/>
    <w:rsid w:val="00572036"/>
    <w:rsid w:val="005723B1"/>
    <w:rsid w:val="0057249B"/>
    <w:rsid w:val="005725E3"/>
    <w:rsid w:val="00572802"/>
    <w:rsid w:val="00572FF6"/>
    <w:rsid w:val="00573106"/>
    <w:rsid w:val="00573311"/>
    <w:rsid w:val="005733BB"/>
    <w:rsid w:val="0057393F"/>
    <w:rsid w:val="00573981"/>
    <w:rsid w:val="00573BBA"/>
    <w:rsid w:val="00573F36"/>
    <w:rsid w:val="00574077"/>
    <w:rsid w:val="0057417D"/>
    <w:rsid w:val="00574253"/>
    <w:rsid w:val="005742F1"/>
    <w:rsid w:val="0057441A"/>
    <w:rsid w:val="005744B8"/>
    <w:rsid w:val="00574541"/>
    <w:rsid w:val="0057467C"/>
    <w:rsid w:val="00574C54"/>
    <w:rsid w:val="00574E01"/>
    <w:rsid w:val="00574E10"/>
    <w:rsid w:val="00574E5A"/>
    <w:rsid w:val="005755A0"/>
    <w:rsid w:val="00575719"/>
    <w:rsid w:val="00575A91"/>
    <w:rsid w:val="00575C75"/>
    <w:rsid w:val="00575CB1"/>
    <w:rsid w:val="00575F95"/>
    <w:rsid w:val="005761E5"/>
    <w:rsid w:val="00576245"/>
    <w:rsid w:val="0057628B"/>
    <w:rsid w:val="005765D8"/>
    <w:rsid w:val="00576675"/>
    <w:rsid w:val="00576834"/>
    <w:rsid w:val="00576979"/>
    <w:rsid w:val="00576A1A"/>
    <w:rsid w:val="00576CD9"/>
    <w:rsid w:val="005772F6"/>
    <w:rsid w:val="005775C3"/>
    <w:rsid w:val="005777A0"/>
    <w:rsid w:val="00577BEC"/>
    <w:rsid w:val="00577E3F"/>
    <w:rsid w:val="00580073"/>
    <w:rsid w:val="005801D6"/>
    <w:rsid w:val="0058022B"/>
    <w:rsid w:val="00580338"/>
    <w:rsid w:val="005805E0"/>
    <w:rsid w:val="0058093E"/>
    <w:rsid w:val="00580B82"/>
    <w:rsid w:val="00580BC6"/>
    <w:rsid w:val="00580BF9"/>
    <w:rsid w:val="00580C4E"/>
    <w:rsid w:val="00580D82"/>
    <w:rsid w:val="00580FA0"/>
    <w:rsid w:val="0058135C"/>
    <w:rsid w:val="00581545"/>
    <w:rsid w:val="005816D7"/>
    <w:rsid w:val="005816FF"/>
    <w:rsid w:val="005817C2"/>
    <w:rsid w:val="00581E4C"/>
    <w:rsid w:val="00581EB8"/>
    <w:rsid w:val="00581F7D"/>
    <w:rsid w:val="00581FC1"/>
    <w:rsid w:val="00582472"/>
    <w:rsid w:val="00582709"/>
    <w:rsid w:val="005827CF"/>
    <w:rsid w:val="00582C11"/>
    <w:rsid w:val="00583148"/>
    <w:rsid w:val="0058331A"/>
    <w:rsid w:val="005834A7"/>
    <w:rsid w:val="00583695"/>
    <w:rsid w:val="00583858"/>
    <w:rsid w:val="0058390D"/>
    <w:rsid w:val="00583B17"/>
    <w:rsid w:val="00583D2B"/>
    <w:rsid w:val="00584004"/>
    <w:rsid w:val="0058412D"/>
    <w:rsid w:val="005841CF"/>
    <w:rsid w:val="00584384"/>
    <w:rsid w:val="005843B2"/>
    <w:rsid w:val="005845AE"/>
    <w:rsid w:val="005848A0"/>
    <w:rsid w:val="00584B8A"/>
    <w:rsid w:val="00584F5C"/>
    <w:rsid w:val="005851D9"/>
    <w:rsid w:val="00585410"/>
    <w:rsid w:val="0058541E"/>
    <w:rsid w:val="00585AFC"/>
    <w:rsid w:val="00585D7E"/>
    <w:rsid w:val="00585E7C"/>
    <w:rsid w:val="00585EBD"/>
    <w:rsid w:val="0058618E"/>
    <w:rsid w:val="005861E8"/>
    <w:rsid w:val="00586862"/>
    <w:rsid w:val="005868DE"/>
    <w:rsid w:val="00586EF6"/>
    <w:rsid w:val="00587006"/>
    <w:rsid w:val="005870D6"/>
    <w:rsid w:val="0058723B"/>
    <w:rsid w:val="005872EF"/>
    <w:rsid w:val="00587415"/>
    <w:rsid w:val="005874C7"/>
    <w:rsid w:val="00587777"/>
    <w:rsid w:val="00587ACA"/>
    <w:rsid w:val="00590117"/>
    <w:rsid w:val="00590A59"/>
    <w:rsid w:val="00590F2A"/>
    <w:rsid w:val="00590FF2"/>
    <w:rsid w:val="0059104B"/>
    <w:rsid w:val="005910B8"/>
    <w:rsid w:val="00591192"/>
    <w:rsid w:val="00591662"/>
    <w:rsid w:val="005916C4"/>
    <w:rsid w:val="00591865"/>
    <w:rsid w:val="00591B20"/>
    <w:rsid w:val="00591C4E"/>
    <w:rsid w:val="00591DD1"/>
    <w:rsid w:val="00591E4B"/>
    <w:rsid w:val="00591F23"/>
    <w:rsid w:val="00592270"/>
    <w:rsid w:val="00592347"/>
    <w:rsid w:val="005925C2"/>
    <w:rsid w:val="00592AEA"/>
    <w:rsid w:val="00592CB5"/>
    <w:rsid w:val="005931EA"/>
    <w:rsid w:val="0059351E"/>
    <w:rsid w:val="005937E4"/>
    <w:rsid w:val="00593ACC"/>
    <w:rsid w:val="00593B62"/>
    <w:rsid w:val="00593E58"/>
    <w:rsid w:val="00593EE0"/>
    <w:rsid w:val="005944B3"/>
    <w:rsid w:val="0059452F"/>
    <w:rsid w:val="005945C3"/>
    <w:rsid w:val="00594F31"/>
    <w:rsid w:val="005950FD"/>
    <w:rsid w:val="00595101"/>
    <w:rsid w:val="00595278"/>
    <w:rsid w:val="00595476"/>
    <w:rsid w:val="005956A2"/>
    <w:rsid w:val="00595C57"/>
    <w:rsid w:val="00595E03"/>
    <w:rsid w:val="00596002"/>
    <w:rsid w:val="0059603C"/>
    <w:rsid w:val="005960CD"/>
    <w:rsid w:val="0059652C"/>
    <w:rsid w:val="005967C3"/>
    <w:rsid w:val="00596A26"/>
    <w:rsid w:val="00596B05"/>
    <w:rsid w:val="00596B9E"/>
    <w:rsid w:val="00596CBF"/>
    <w:rsid w:val="00596D0D"/>
    <w:rsid w:val="00597024"/>
    <w:rsid w:val="00597047"/>
    <w:rsid w:val="005974CE"/>
    <w:rsid w:val="00597563"/>
    <w:rsid w:val="00597733"/>
    <w:rsid w:val="00597DA4"/>
    <w:rsid w:val="005A053A"/>
    <w:rsid w:val="005A0680"/>
    <w:rsid w:val="005A0985"/>
    <w:rsid w:val="005A0D68"/>
    <w:rsid w:val="005A0E28"/>
    <w:rsid w:val="005A0E8A"/>
    <w:rsid w:val="005A0F07"/>
    <w:rsid w:val="005A0F2D"/>
    <w:rsid w:val="005A130B"/>
    <w:rsid w:val="005A1319"/>
    <w:rsid w:val="005A133C"/>
    <w:rsid w:val="005A1608"/>
    <w:rsid w:val="005A1757"/>
    <w:rsid w:val="005A184B"/>
    <w:rsid w:val="005A184D"/>
    <w:rsid w:val="005A1DCE"/>
    <w:rsid w:val="005A1E77"/>
    <w:rsid w:val="005A22E3"/>
    <w:rsid w:val="005A233A"/>
    <w:rsid w:val="005A25A3"/>
    <w:rsid w:val="005A25C5"/>
    <w:rsid w:val="005A268C"/>
    <w:rsid w:val="005A2AC3"/>
    <w:rsid w:val="005A2B4C"/>
    <w:rsid w:val="005A3258"/>
    <w:rsid w:val="005A32B9"/>
    <w:rsid w:val="005A34F4"/>
    <w:rsid w:val="005A3B59"/>
    <w:rsid w:val="005A43F0"/>
    <w:rsid w:val="005A45F5"/>
    <w:rsid w:val="005A5098"/>
    <w:rsid w:val="005A542C"/>
    <w:rsid w:val="005A54A6"/>
    <w:rsid w:val="005A5787"/>
    <w:rsid w:val="005A5793"/>
    <w:rsid w:val="005A60F3"/>
    <w:rsid w:val="005A6169"/>
    <w:rsid w:val="005A6170"/>
    <w:rsid w:val="005A61EB"/>
    <w:rsid w:val="005A6657"/>
    <w:rsid w:val="005A66A0"/>
    <w:rsid w:val="005A696F"/>
    <w:rsid w:val="005A6CCD"/>
    <w:rsid w:val="005A7525"/>
    <w:rsid w:val="005A7528"/>
    <w:rsid w:val="005A758B"/>
    <w:rsid w:val="005A7826"/>
    <w:rsid w:val="005A78BE"/>
    <w:rsid w:val="005A7C07"/>
    <w:rsid w:val="005B01B5"/>
    <w:rsid w:val="005B01CC"/>
    <w:rsid w:val="005B0281"/>
    <w:rsid w:val="005B02EC"/>
    <w:rsid w:val="005B085E"/>
    <w:rsid w:val="005B08FC"/>
    <w:rsid w:val="005B0B90"/>
    <w:rsid w:val="005B0D94"/>
    <w:rsid w:val="005B1134"/>
    <w:rsid w:val="005B1470"/>
    <w:rsid w:val="005B1DA6"/>
    <w:rsid w:val="005B21CB"/>
    <w:rsid w:val="005B2531"/>
    <w:rsid w:val="005B25DB"/>
    <w:rsid w:val="005B282B"/>
    <w:rsid w:val="005B2A33"/>
    <w:rsid w:val="005B2AB0"/>
    <w:rsid w:val="005B2CE2"/>
    <w:rsid w:val="005B2CF8"/>
    <w:rsid w:val="005B35A4"/>
    <w:rsid w:val="005B35E7"/>
    <w:rsid w:val="005B3D62"/>
    <w:rsid w:val="005B3D95"/>
    <w:rsid w:val="005B3F25"/>
    <w:rsid w:val="005B3F55"/>
    <w:rsid w:val="005B4015"/>
    <w:rsid w:val="005B4401"/>
    <w:rsid w:val="005B4BA2"/>
    <w:rsid w:val="005B4BAA"/>
    <w:rsid w:val="005B4C7F"/>
    <w:rsid w:val="005B4F55"/>
    <w:rsid w:val="005B5141"/>
    <w:rsid w:val="005B539E"/>
    <w:rsid w:val="005B5705"/>
    <w:rsid w:val="005B57CC"/>
    <w:rsid w:val="005B5A4E"/>
    <w:rsid w:val="005B5BF2"/>
    <w:rsid w:val="005B5C19"/>
    <w:rsid w:val="005B5D96"/>
    <w:rsid w:val="005B5E61"/>
    <w:rsid w:val="005B5ED5"/>
    <w:rsid w:val="005B5F56"/>
    <w:rsid w:val="005B60F7"/>
    <w:rsid w:val="005B6145"/>
    <w:rsid w:val="005B62B9"/>
    <w:rsid w:val="005B6A78"/>
    <w:rsid w:val="005B6ACB"/>
    <w:rsid w:val="005B6FCE"/>
    <w:rsid w:val="005B765B"/>
    <w:rsid w:val="005B78AC"/>
    <w:rsid w:val="005B78F8"/>
    <w:rsid w:val="005B7CC5"/>
    <w:rsid w:val="005C00A6"/>
    <w:rsid w:val="005C05AD"/>
    <w:rsid w:val="005C066C"/>
    <w:rsid w:val="005C0721"/>
    <w:rsid w:val="005C0BF6"/>
    <w:rsid w:val="005C0CAF"/>
    <w:rsid w:val="005C0EC8"/>
    <w:rsid w:val="005C1418"/>
    <w:rsid w:val="005C1447"/>
    <w:rsid w:val="005C17CD"/>
    <w:rsid w:val="005C1A47"/>
    <w:rsid w:val="005C1B32"/>
    <w:rsid w:val="005C1C08"/>
    <w:rsid w:val="005C1E12"/>
    <w:rsid w:val="005C275D"/>
    <w:rsid w:val="005C2835"/>
    <w:rsid w:val="005C2EA4"/>
    <w:rsid w:val="005C3168"/>
    <w:rsid w:val="005C34D1"/>
    <w:rsid w:val="005C365D"/>
    <w:rsid w:val="005C3A03"/>
    <w:rsid w:val="005C3AF5"/>
    <w:rsid w:val="005C3C3C"/>
    <w:rsid w:val="005C3E9B"/>
    <w:rsid w:val="005C3EE1"/>
    <w:rsid w:val="005C3FB1"/>
    <w:rsid w:val="005C3FD0"/>
    <w:rsid w:val="005C4502"/>
    <w:rsid w:val="005C4B27"/>
    <w:rsid w:val="005C5036"/>
    <w:rsid w:val="005C51C4"/>
    <w:rsid w:val="005C566A"/>
    <w:rsid w:val="005C5885"/>
    <w:rsid w:val="005C5D6C"/>
    <w:rsid w:val="005C5DA2"/>
    <w:rsid w:val="005C5E40"/>
    <w:rsid w:val="005C5F22"/>
    <w:rsid w:val="005C5FA2"/>
    <w:rsid w:val="005C600F"/>
    <w:rsid w:val="005C60A2"/>
    <w:rsid w:val="005C6552"/>
    <w:rsid w:val="005C673C"/>
    <w:rsid w:val="005C709C"/>
    <w:rsid w:val="005C7289"/>
    <w:rsid w:val="005C762C"/>
    <w:rsid w:val="005C76A5"/>
    <w:rsid w:val="005C7A5B"/>
    <w:rsid w:val="005C7B26"/>
    <w:rsid w:val="005C7B4F"/>
    <w:rsid w:val="005C7BFE"/>
    <w:rsid w:val="005C7F20"/>
    <w:rsid w:val="005C7FCE"/>
    <w:rsid w:val="005D0250"/>
    <w:rsid w:val="005D0673"/>
    <w:rsid w:val="005D0C4D"/>
    <w:rsid w:val="005D0C5D"/>
    <w:rsid w:val="005D0CD8"/>
    <w:rsid w:val="005D0DCB"/>
    <w:rsid w:val="005D111B"/>
    <w:rsid w:val="005D1646"/>
    <w:rsid w:val="005D1817"/>
    <w:rsid w:val="005D1902"/>
    <w:rsid w:val="005D1A5E"/>
    <w:rsid w:val="005D1C54"/>
    <w:rsid w:val="005D1E16"/>
    <w:rsid w:val="005D1E4D"/>
    <w:rsid w:val="005D2374"/>
    <w:rsid w:val="005D2631"/>
    <w:rsid w:val="005D28C9"/>
    <w:rsid w:val="005D2946"/>
    <w:rsid w:val="005D2C83"/>
    <w:rsid w:val="005D2FC2"/>
    <w:rsid w:val="005D310E"/>
    <w:rsid w:val="005D31B4"/>
    <w:rsid w:val="005D32E6"/>
    <w:rsid w:val="005D3358"/>
    <w:rsid w:val="005D3399"/>
    <w:rsid w:val="005D36A8"/>
    <w:rsid w:val="005D3835"/>
    <w:rsid w:val="005D38FF"/>
    <w:rsid w:val="005D399C"/>
    <w:rsid w:val="005D3C75"/>
    <w:rsid w:val="005D409E"/>
    <w:rsid w:val="005D41C6"/>
    <w:rsid w:val="005D44E2"/>
    <w:rsid w:val="005D4A99"/>
    <w:rsid w:val="005D4BD2"/>
    <w:rsid w:val="005D4C3C"/>
    <w:rsid w:val="005D4D38"/>
    <w:rsid w:val="005D4F5F"/>
    <w:rsid w:val="005D4FA7"/>
    <w:rsid w:val="005D5195"/>
    <w:rsid w:val="005D53E8"/>
    <w:rsid w:val="005D5719"/>
    <w:rsid w:val="005D5815"/>
    <w:rsid w:val="005D5B93"/>
    <w:rsid w:val="005D5FFB"/>
    <w:rsid w:val="005D614D"/>
    <w:rsid w:val="005D6455"/>
    <w:rsid w:val="005D6576"/>
    <w:rsid w:val="005D680E"/>
    <w:rsid w:val="005D684F"/>
    <w:rsid w:val="005D6953"/>
    <w:rsid w:val="005D6B65"/>
    <w:rsid w:val="005D6CCD"/>
    <w:rsid w:val="005D6F7E"/>
    <w:rsid w:val="005D72F0"/>
    <w:rsid w:val="005D73B1"/>
    <w:rsid w:val="005D7664"/>
    <w:rsid w:val="005D76AA"/>
    <w:rsid w:val="005D76E2"/>
    <w:rsid w:val="005D7A80"/>
    <w:rsid w:val="005D7CDA"/>
    <w:rsid w:val="005D7E6A"/>
    <w:rsid w:val="005E0085"/>
    <w:rsid w:val="005E03CA"/>
    <w:rsid w:val="005E0566"/>
    <w:rsid w:val="005E0629"/>
    <w:rsid w:val="005E0B26"/>
    <w:rsid w:val="005E0C0E"/>
    <w:rsid w:val="005E0E15"/>
    <w:rsid w:val="005E11C9"/>
    <w:rsid w:val="005E1305"/>
    <w:rsid w:val="005E16CC"/>
    <w:rsid w:val="005E1801"/>
    <w:rsid w:val="005E1953"/>
    <w:rsid w:val="005E1B26"/>
    <w:rsid w:val="005E1BD3"/>
    <w:rsid w:val="005E1C5B"/>
    <w:rsid w:val="005E211B"/>
    <w:rsid w:val="005E2525"/>
    <w:rsid w:val="005E2F84"/>
    <w:rsid w:val="005E2FDD"/>
    <w:rsid w:val="005E2FE5"/>
    <w:rsid w:val="005E30A4"/>
    <w:rsid w:val="005E30AE"/>
    <w:rsid w:val="005E341C"/>
    <w:rsid w:val="005E366D"/>
    <w:rsid w:val="005E36B6"/>
    <w:rsid w:val="005E394E"/>
    <w:rsid w:val="005E3FE2"/>
    <w:rsid w:val="005E4174"/>
    <w:rsid w:val="005E419B"/>
    <w:rsid w:val="005E4503"/>
    <w:rsid w:val="005E4801"/>
    <w:rsid w:val="005E4B07"/>
    <w:rsid w:val="005E4F13"/>
    <w:rsid w:val="005E50EC"/>
    <w:rsid w:val="005E5199"/>
    <w:rsid w:val="005E5366"/>
    <w:rsid w:val="005E5631"/>
    <w:rsid w:val="005E565C"/>
    <w:rsid w:val="005E59AB"/>
    <w:rsid w:val="005E5A75"/>
    <w:rsid w:val="005E5A7A"/>
    <w:rsid w:val="005E6159"/>
    <w:rsid w:val="005E63EA"/>
    <w:rsid w:val="005E65E6"/>
    <w:rsid w:val="005E669B"/>
    <w:rsid w:val="005E66E4"/>
    <w:rsid w:val="005E685B"/>
    <w:rsid w:val="005E6F4B"/>
    <w:rsid w:val="005E7015"/>
    <w:rsid w:val="005E71B5"/>
    <w:rsid w:val="005E7467"/>
    <w:rsid w:val="005E7D0E"/>
    <w:rsid w:val="005E7DBF"/>
    <w:rsid w:val="005F05BA"/>
    <w:rsid w:val="005F05C1"/>
    <w:rsid w:val="005F05C4"/>
    <w:rsid w:val="005F0744"/>
    <w:rsid w:val="005F08AD"/>
    <w:rsid w:val="005F0E32"/>
    <w:rsid w:val="005F0F11"/>
    <w:rsid w:val="005F0F58"/>
    <w:rsid w:val="005F130C"/>
    <w:rsid w:val="005F1526"/>
    <w:rsid w:val="005F165B"/>
    <w:rsid w:val="005F1793"/>
    <w:rsid w:val="005F1ECB"/>
    <w:rsid w:val="005F2209"/>
    <w:rsid w:val="005F2396"/>
    <w:rsid w:val="005F2530"/>
    <w:rsid w:val="005F2563"/>
    <w:rsid w:val="005F270E"/>
    <w:rsid w:val="005F2D8D"/>
    <w:rsid w:val="005F2F25"/>
    <w:rsid w:val="005F31CB"/>
    <w:rsid w:val="005F35EE"/>
    <w:rsid w:val="005F36D8"/>
    <w:rsid w:val="005F3B94"/>
    <w:rsid w:val="005F3CEF"/>
    <w:rsid w:val="005F3F0A"/>
    <w:rsid w:val="005F413B"/>
    <w:rsid w:val="005F4195"/>
    <w:rsid w:val="005F46BF"/>
    <w:rsid w:val="005F49F8"/>
    <w:rsid w:val="005F505B"/>
    <w:rsid w:val="005F513F"/>
    <w:rsid w:val="005F5426"/>
    <w:rsid w:val="005F546B"/>
    <w:rsid w:val="005F5590"/>
    <w:rsid w:val="005F5C39"/>
    <w:rsid w:val="005F5CE3"/>
    <w:rsid w:val="005F5DD5"/>
    <w:rsid w:val="005F66A9"/>
    <w:rsid w:val="005F67C4"/>
    <w:rsid w:val="005F6824"/>
    <w:rsid w:val="005F689B"/>
    <w:rsid w:val="005F6D9E"/>
    <w:rsid w:val="005F70A0"/>
    <w:rsid w:val="005F72C9"/>
    <w:rsid w:val="005F73D3"/>
    <w:rsid w:val="005F7430"/>
    <w:rsid w:val="005F74E6"/>
    <w:rsid w:val="005F7659"/>
    <w:rsid w:val="005F7700"/>
    <w:rsid w:val="005F7A03"/>
    <w:rsid w:val="005F7B54"/>
    <w:rsid w:val="005F7B8D"/>
    <w:rsid w:val="005F7E67"/>
    <w:rsid w:val="00600449"/>
    <w:rsid w:val="0060049E"/>
    <w:rsid w:val="006004E6"/>
    <w:rsid w:val="00600746"/>
    <w:rsid w:val="00600904"/>
    <w:rsid w:val="00600C4F"/>
    <w:rsid w:val="00600C89"/>
    <w:rsid w:val="00600D19"/>
    <w:rsid w:val="00600FCA"/>
    <w:rsid w:val="00601021"/>
    <w:rsid w:val="00601445"/>
    <w:rsid w:val="0060160E"/>
    <w:rsid w:val="00601650"/>
    <w:rsid w:val="006016A6"/>
    <w:rsid w:val="006018BA"/>
    <w:rsid w:val="00601B78"/>
    <w:rsid w:val="00601DCC"/>
    <w:rsid w:val="0060202B"/>
    <w:rsid w:val="00602891"/>
    <w:rsid w:val="00602C2B"/>
    <w:rsid w:val="00602C63"/>
    <w:rsid w:val="00602C65"/>
    <w:rsid w:val="00602EC2"/>
    <w:rsid w:val="006030E1"/>
    <w:rsid w:val="00603976"/>
    <w:rsid w:val="00603AC5"/>
    <w:rsid w:val="00603B92"/>
    <w:rsid w:val="00603EB8"/>
    <w:rsid w:val="006041D2"/>
    <w:rsid w:val="00604644"/>
    <w:rsid w:val="006049BA"/>
    <w:rsid w:val="006049E4"/>
    <w:rsid w:val="00604A1C"/>
    <w:rsid w:val="00604A46"/>
    <w:rsid w:val="00604B01"/>
    <w:rsid w:val="00604B63"/>
    <w:rsid w:val="00604F0E"/>
    <w:rsid w:val="00605679"/>
    <w:rsid w:val="006057E4"/>
    <w:rsid w:val="00605880"/>
    <w:rsid w:val="0060595B"/>
    <w:rsid w:val="006059AC"/>
    <w:rsid w:val="00605AFD"/>
    <w:rsid w:val="00605BCD"/>
    <w:rsid w:val="00605D9A"/>
    <w:rsid w:val="00605E3F"/>
    <w:rsid w:val="00605ECA"/>
    <w:rsid w:val="00605EF6"/>
    <w:rsid w:val="0060610A"/>
    <w:rsid w:val="00606978"/>
    <w:rsid w:val="006069C0"/>
    <w:rsid w:val="00606B8F"/>
    <w:rsid w:val="00606BB7"/>
    <w:rsid w:val="0060715E"/>
    <w:rsid w:val="00607256"/>
    <w:rsid w:val="00607696"/>
    <w:rsid w:val="00607B0E"/>
    <w:rsid w:val="00607BE7"/>
    <w:rsid w:val="00607C7C"/>
    <w:rsid w:val="00607D1F"/>
    <w:rsid w:val="00607ECF"/>
    <w:rsid w:val="0061023B"/>
    <w:rsid w:val="006103F0"/>
    <w:rsid w:val="006105F9"/>
    <w:rsid w:val="00610B0F"/>
    <w:rsid w:val="00610BC7"/>
    <w:rsid w:val="00610C4D"/>
    <w:rsid w:val="00611222"/>
    <w:rsid w:val="00611261"/>
    <w:rsid w:val="00611287"/>
    <w:rsid w:val="006112C7"/>
    <w:rsid w:val="00611482"/>
    <w:rsid w:val="006115EA"/>
    <w:rsid w:val="00611914"/>
    <w:rsid w:val="00611B17"/>
    <w:rsid w:val="00611C5F"/>
    <w:rsid w:val="00611D05"/>
    <w:rsid w:val="00611ECC"/>
    <w:rsid w:val="00611EF6"/>
    <w:rsid w:val="00612089"/>
    <w:rsid w:val="00612153"/>
    <w:rsid w:val="006123D4"/>
    <w:rsid w:val="0061264C"/>
    <w:rsid w:val="00612846"/>
    <w:rsid w:val="006128F9"/>
    <w:rsid w:val="006130FC"/>
    <w:rsid w:val="006132C1"/>
    <w:rsid w:val="006134CF"/>
    <w:rsid w:val="00613586"/>
    <w:rsid w:val="00613C22"/>
    <w:rsid w:val="00613C87"/>
    <w:rsid w:val="00613CBF"/>
    <w:rsid w:val="00613D72"/>
    <w:rsid w:val="00614066"/>
    <w:rsid w:val="0061407D"/>
    <w:rsid w:val="0061439A"/>
    <w:rsid w:val="006144BF"/>
    <w:rsid w:val="00614698"/>
    <w:rsid w:val="006146A7"/>
    <w:rsid w:val="00614EC1"/>
    <w:rsid w:val="00614ED0"/>
    <w:rsid w:val="0061504A"/>
    <w:rsid w:val="0061519E"/>
    <w:rsid w:val="00615306"/>
    <w:rsid w:val="0061543B"/>
    <w:rsid w:val="006154AA"/>
    <w:rsid w:val="006158BA"/>
    <w:rsid w:val="006158BF"/>
    <w:rsid w:val="00615B2F"/>
    <w:rsid w:val="00615B30"/>
    <w:rsid w:val="00615C0B"/>
    <w:rsid w:val="00615C16"/>
    <w:rsid w:val="00615D16"/>
    <w:rsid w:val="00615D6B"/>
    <w:rsid w:val="00615DEA"/>
    <w:rsid w:val="00615E2E"/>
    <w:rsid w:val="00615FB7"/>
    <w:rsid w:val="006161AC"/>
    <w:rsid w:val="006162B1"/>
    <w:rsid w:val="006165CA"/>
    <w:rsid w:val="006168DB"/>
    <w:rsid w:val="00616936"/>
    <w:rsid w:val="00616A15"/>
    <w:rsid w:val="00616A7F"/>
    <w:rsid w:val="00616BAD"/>
    <w:rsid w:val="00616EB9"/>
    <w:rsid w:val="00616FF4"/>
    <w:rsid w:val="006171FA"/>
    <w:rsid w:val="0061732F"/>
    <w:rsid w:val="006179E3"/>
    <w:rsid w:val="00617A0C"/>
    <w:rsid w:val="00617AA3"/>
    <w:rsid w:val="00617D13"/>
    <w:rsid w:val="00617D2D"/>
    <w:rsid w:val="00617D5C"/>
    <w:rsid w:val="00617D94"/>
    <w:rsid w:val="00617FDA"/>
    <w:rsid w:val="00617FEF"/>
    <w:rsid w:val="006200BC"/>
    <w:rsid w:val="00620654"/>
    <w:rsid w:val="00620675"/>
    <w:rsid w:val="00620685"/>
    <w:rsid w:val="00620C0B"/>
    <w:rsid w:val="00620DAB"/>
    <w:rsid w:val="00620E32"/>
    <w:rsid w:val="0062115C"/>
    <w:rsid w:val="006213ED"/>
    <w:rsid w:val="00621947"/>
    <w:rsid w:val="0062194E"/>
    <w:rsid w:val="00621AE4"/>
    <w:rsid w:val="00621C2C"/>
    <w:rsid w:val="00621C6A"/>
    <w:rsid w:val="00621CBE"/>
    <w:rsid w:val="00621D23"/>
    <w:rsid w:val="0062226B"/>
    <w:rsid w:val="00622B53"/>
    <w:rsid w:val="0062307E"/>
    <w:rsid w:val="00623344"/>
    <w:rsid w:val="00623351"/>
    <w:rsid w:val="00623703"/>
    <w:rsid w:val="00623713"/>
    <w:rsid w:val="00623775"/>
    <w:rsid w:val="00623ACB"/>
    <w:rsid w:val="00623F4A"/>
    <w:rsid w:val="00623F96"/>
    <w:rsid w:val="00623FEE"/>
    <w:rsid w:val="006247CB"/>
    <w:rsid w:val="006247F4"/>
    <w:rsid w:val="0062482A"/>
    <w:rsid w:val="006248B8"/>
    <w:rsid w:val="0062492A"/>
    <w:rsid w:val="00624CED"/>
    <w:rsid w:val="00624E90"/>
    <w:rsid w:val="00624F00"/>
    <w:rsid w:val="006251CD"/>
    <w:rsid w:val="0062548D"/>
    <w:rsid w:val="00625599"/>
    <w:rsid w:val="00625785"/>
    <w:rsid w:val="0062587A"/>
    <w:rsid w:val="00625BA7"/>
    <w:rsid w:val="00625BB5"/>
    <w:rsid w:val="00625C18"/>
    <w:rsid w:val="00625C70"/>
    <w:rsid w:val="00626011"/>
    <w:rsid w:val="00626094"/>
    <w:rsid w:val="00626373"/>
    <w:rsid w:val="006263D4"/>
    <w:rsid w:val="00626507"/>
    <w:rsid w:val="0062658F"/>
    <w:rsid w:val="00626600"/>
    <w:rsid w:val="0062665F"/>
    <w:rsid w:val="006266D2"/>
    <w:rsid w:val="00626803"/>
    <w:rsid w:val="00626F37"/>
    <w:rsid w:val="00627157"/>
    <w:rsid w:val="0062751B"/>
    <w:rsid w:val="00627798"/>
    <w:rsid w:val="00627898"/>
    <w:rsid w:val="00627B3A"/>
    <w:rsid w:val="00630061"/>
    <w:rsid w:val="006302C4"/>
    <w:rsid w:val="0063079A"/>
    <w:rsid w:val="00630CAE"/>
    <w:rsid w:val="0063121F"/>
    <w:rsid w:val="006312F0"/>
    <w:rsid w:val="006312F4"/>
    <w:rsid w:val="0063161F"/>
    <w:rsid w:val="006318BB"/>
    <w:rsid w:val="00631966"/>
    <w:rsid w:val="00631969"/>
    <w:rsid w:val="00631DD5"/>
    <w:rsid w:val="00631E96"/>
    <w:rsid w:val="00632118"/>
    <w:rsid w:val="006321BA"/>
    <w:rsid w:val="006329C8"/>
    <w:rsid w:val="00632A38"/>
    <w:rsid w:val="00632B08"/>
    <w:rsid w:val="00632B3D"/>
    <w:rsid w:val="00632D3D"/>
    <w:rsid w:val="00632D7C"/>
    <w:rsid w:val="006330E3"/>
    <w:rsid w:val="006335AB"/>
    <w:rsid w:val="0063380C"/>
    <w:rsid w:val="00633DF3"/>
    <w:rsid w:val="00633F8D"/>
    <w:rsid w:val="0063402F"/>
    <w:rsid w:val="00634057"/>
    <w:rsid w:val="006346E5"/>
    <w:rsid w:val="00634721"/>
    <w:rsid w:val="00634780"/>
    <w:rsid w:val="00634940"/>
    <w:rsid w:val="00634961"/>
    <w:rsid w:val="00634C8B"/>
    <w:rsid w:val="00635382"/>
    <w:rsid w:val="006357A3"/>
    <w:rsid w:val="00635BF6"/>
    <w:rsid w:val="00635C0C"/>
    <w:rsid w:val="00635D7F"/>
    <w:rsid w:val="0063600D"/>
    <w:rsid w:val="00636022"/>
    <w:rsid w:val="00636067"/>
    <w:rsid w:val="0063657F"/>
    <w:rsid w:val="006366DD"/>
    <w:rsid w:val="00636C2B"/>
    <w:rsid w:val="00636CC7"/>
    <w:rsid w:val="00636D49"/>
    <w:rsid w:val="00636ED5"/>
    <w:rsid w:val="00636F70"/>
    <w:rsid w:val="00637245"/>
    <w:rsid w:val="00637277"/>
    <w:rsid w:val="00637894"/>
    <w:rsid w:val="00637AFF"/>
    <w:rsid w:val="00637BAB"/>
    <w:rsid w:val="00637C14"/>
    <w:rsid w:val="00640DDE"/>
    <w:rsid w:val="0064102B"/>
    <w:rsid w:val="00641087"/>
    <w:rsid w:val="0064108A"/>
    <w:rsid w:val="00641A69"/>
    <w:rsid w:val="00641DC2"/>
    <w:rsid w:val="00642000"/>
    <w:rsid w:val="0064212F"/>
    <w:rsid w:val="00642151"/>
    <w:rsid w:val="006422EF"/>
    <w:rsid w:val="00642437"/>
    <w:rsid w:val="00642A02"/>
    <w:rsid w:val="00642A13"/>
    <w:rsid w:val="00642CBB"/>
    <w:rsid w:val="006433F5"/>
    <w:rsid w:val="0064392F"/>
    <w:rsid w:val="00643E29"/>
    <w:rsid w:val="00643E48"/>
    <w:rsid w:val="00643F55"/>
    <w:rsid w:val="006440C9"/>
    <w:rsid w:val="0064445A"/>
    <w:rsid w:val="0064471F"/>
    <w:rsid w:val="00644A60"/>
    <w:rsid w:val="00644B5C"/>
    <w:rsid w:val="00644B87"/>
    <w:rsid w:val="00644E10"/>
    <w:rsid w:val="0064503A"/>
    <w:rsid w:val="00645105"/>
    <w:rsid w:val="006451CA"/>
    <w:rsid w:val="00645A1D"/>
    <w:rsid w:val="00645C75"/>
    <w:rsid w:val="00646117"/>
    <w:rsid w:val="00646614"/>
    <w:rsid w:val="0064673D"/>
    <w:rsid w:val="00646903"/>
    <w:rsid w:val="00647185"/>
    <w:rsid w:val="006472BC"/>
    <w:rsid w:val="0064788D"/>
    <w:rsid w:val="0064789B"/>
    <w:rsid w:val="00647970"/>
    <w:rsid w:val="00647A0B"/>
    <w:rsid w:val="00647B6C"/>
    <w:rsid w:val="00647B9C"/>
    <w:rsid w:val="00647DCB"/>
    <w:rsid w:val="0065085F"/>
    <w:rsid w:val="00650B2E"/>
    <w:rsid w:val="0065118A"/>
    <w:rsid w:val="006511A8"/>
    <w:rsid w:val="006511E5"/>
    <w:rsid w:val="006512E8"/>
    <w:rsid w:val="00651395"/>
    <w:rsid w:val="00651432"/>
    <w:rsid w:val="00651494"/>
    <w:rsid w:val="006514BD"/>
    <w:rsid w:val="00651529"/>
    <w:rsid w:val="006518DF"/>
    <w:rsid w:val="00651E22"/>
    <w:rsid w:val="00652070"/>
    <w:rsid w:val="006522AF"/>
    <w:rsid w:val="0065239E"/>
    <w:rsid w:val="0065244E"/>
    <w:rsid w:val="0065260C"/>
    <w:rsid w:val="00652F3A"/>
    <w:rsid w:val="00653405"/>
    <w:rsid w:val="006535EF"/>
    <w:rsid w:val="006537ED"/>
    <w:rsid w:val="00653952"/>
    <w:rsid w:val="00653B43"/>
    <w:rsid w:val="00653C3E"/>
    <w:rsid w:val="00653C5B"/>
    <w:rsid w:val="00653C91"/>
    <w:rsid w:val="00653F57"/>
    <w:rsid w:val="00654045"/>
    <w:rsid w:val="006542ED"/>
    <w:rsid w:val="006545C2"/>
    <w:rsid w:val="00654DF9"/>
    <w:rsid w:val="00654ED0"/>
    <w:rsid w:val="006551D5"/>
    <w:rsid w:val="006551E3"/>
    <w:rsid w:val="006551E7"/>
    <w:rsid w:val="006552FC"/>
    <w:rsid w:val="006555ED"/>
    <w:rsid w:val="006556F3"/>
    <w:rsid w:val="00655750"/>
    <w:rsid w:val="00655826"/>
    <w:rsid w:val="006561BA"/>
    <w:rsid w:val="00656356"/>
    <w:rsid w:val="0065660F"/>
    <w:rsid w:val="006567EA"/>
    <w:rsid w:val="00656947"/>
    <w:rsid w:val="00656CBB"/>
    <w:rsid w:val="006575F2"/>
    <w:rsid w:val="00657669"/>
    <w:rsid w:val="006576A4"/>
    <w:rsid w:val="006577C4"/>
    <w:rsid w:val="006577F9"/>
    <w:rsid w:val="00657A01"/>
    <w:rsid w:val="00657B24"/>
    <w:rsid w:val="00657C06"/>
    <w:rsid w:val="006602C8"/>
    <w:rsid w:val="0066052B"/>
    <w:rsid w:val="00660552"/>
    <w:rsid w:val="00660B6A"/>
    <w:rsid w:val="00660C13"/>
    <w:rsid w:val="00660CDA"/>
    <w:rsid w:val="00660D38"/>
    <w:rsid w:val="0066106F"/>
    <w:rsid w:val="00661346"/>
    <w:rsid w:val="0066139C"/>
    <w:rsid w:val="00661406"/>
    <w:rsid w:val="006615C5"/>
    <w:rsid w:val="0066192D"/>
    <w:rsid w:val="00661ECA"/>
    <w:rsid w:val="00662132"/>
    <w:rsid w:val="00662161"/>
    <w:rsid w:val="00662166"/>
    <w:rsid w:val="00662294"/>
    <w:rsid w:val="006623C4"/>
    <w:rsid w:val="006628D1"/>
    <w:rsid w:val="00662B31"/>
    <w:rsid w:val="00663170"/>
    <w:rsid w:val="00663933"/>
    <w:rsid w:val="00663970"/>
    <w:rsid w:val="00663BDE"/>
    <w:rsid w:val="00663C5B"/>
    <w:rsid w:val="00663F06"/>
    <w:rsid w:val="0066428F"/>
    <w:rsid w:val="0066429A"/>
    <w:rsid w:val="006643D8"/>
    <w:rsid w:val="00664511"/>
    <w:rsid w:val="00664931"/>
    <w:rsid w:val="00664B2A"/>
    <w:rsid w:val="00664B99"/>
    <w:rsid w:val="00664D35"/>
    <w:rsid w:val="00664DBA"/>
    <w:rsid w:val="00664E53"/>
    <w:rsid w:val="00665048"/>
    <w:rsid w:val="00665061"/>
    <w:rsid w:val="00665070"/>
    <w:rsid w:val="0066565C"/>
    <w:rsid w:val="006656A3"/>
    <w:rsid w:val="00665A13"/>
    <w:rsid w:val="00665A26"/>
    <w:rsid w:val="00665B77"/>
    <w:rsid w:val="00665BB8"/>
    <w:rsid w:val="00665BF6"/>
    <w:rsid w:val="006661D7"/>
    <w:rsid w:val="0066629D"/>
    <w:rsid w:val="006665D4"/>
    <w:rsid w:val="006668D3"/>
    <w:rsid w:val="00666A7E"/>
    <w:rsid w:val="00666C88"/>
    <w:rsid w:val="0066786C"/>
    <w:rsid w:val="00667910"/>
    <w:rsid w:val="0066796F"/>
    <w:rsid w:val="006679DF"/>
    <w:rsid w:val="00667C31"/>
    <w:rsid w:val="006701CE"/>
    <w:rsid w:val="006703A1"/>
    <w:rsid w:val="00670414"/>
    <w:rsid w:val="006706E7"/>
    <w:rsid w:val="00670919"/>
    <w:rsid w:val="00670BC6"/>
    <w:rsid w:val="00670F6B"/>
    <w:rsid w:val="006710F9"/>
    <w:rsid w:val="006713ED"/>
    <w:rsid w:val="006716F2"/>
    <w:rsid w:val="0067185F"/>
    <w:rsid w:val="0067188D"/>
    <w:rsid w:val="006718FD"/>
    <w:rsid w:val="00671AE9"/>
    <w:rsid w:val="00671B0F"/>
    <w:rsid w:val="00671F66"/>
    <w:rsid w:val="00672049"/>
    <w:rsid w:val="006721DD"/>
    <w:rsid w:val="00672205"/>
    <w:rsid w:val="00672570"/>
    <w:rsid w:val="0067288E"/>
    <w:rsid w:val="00672926"/>
    <w:rsid w:val="00672C99"/>
    <w:rsid w:val="00673058"/>
    <w:rsid w:val="006730C6"/>
    <w:rsid w:val="006733D3"/>
    <w:rsid w:val="00673406"/>
    <w:rsid w:val="006736CF"/>
    <w:rsid w:val="006737DC"/>
    <w:rsid w:val="00673BDC"/>
    <w:rsid w:val="00673FBB"/>
    <w:rsid w:val="00674081"/>
    <w:rsid w:val="0067469F"/>
    <w:rsid w:val="00674EA7"/>
    <w:rsid w:val="00674F37"/>
    <w:rsid w:val="00675249"/>
    <w:rsid w:val="006754B4"/>
    <w:rsid w:val="006755BF"/>
    <w:rsid w:val="00675791"/>
    <w:rsid w:val="00675922"/>
    <w:rsid w:val="00675D59"/>
    <w:rsid w:val="00675F29"/>
    <w:rsid w:val="0067613D"/>
    <w:rsid w:val="006761CC"/>
    <w:rsid w:val="0067627C"/>
    <w:rsid w:val="006763B7"/>
    <w:rsid w:val="00676553"/>
    <w:rsid w:val="006767AC"/>
    <w:rsid w:val="00676993"/>
    <w:rsid w:val="00676ABD"/>
    <w:rsid w:val="00676BA3"/>
    <w:rsid w:val="00676C10"/>
    <w:rsid w:val="00676EED"/>
    <w:rsid w:val="006770E7"/>
    <w:rsid w:val="006773C5"/>
    <w:rsid w:val="00677454"/>
    <w:rsid w:val="00677823"/>
    <w:rsid w:val="00677855"/>
    <w:rsid w:val="00677CE7"/>
    <w:rsid w:val="006803C1"/>
    <w:rsid w:val="006808D9"/>
    <w:rsid w:val="00680BA3"/>
    <w:rsid w:val="00680C2D"/>
    <w:rsid w:val="00680D9A"/>
    <w:rsid w:val="00680E4B"/>
    <w:rsid w:val="00680FC8"/>
    <w:rsid w:val="00681018"/>
    <w:rsid w:val="00681145"/>
    <w:rsid w:val="00681409"/>
    <w:rsid w:val="0068167B"/>
    <w:rsid w:val="00681C8C"/>
    <w:rsid w:val="00681D01"/>
    <w:rsid w:val="00682026"/>
    <w:rsid w:val="0068213C"/>
    <w:rsid w:val="00682160"/>
    <w:rsid w:val="00682292"/>
    <w:rsid w:val="00682617"/>
    <w:rsid w:val="00682B2D"/>
    <w:rsid w:val="00682DBD"/>
    <w:rsid w:val="0068305C"/>
    <w:rsid w:val="0068345B"/>
    <w:rsid w:val="006836C5"/>
    <w:rsid w:val="00683886"/>
    <w:rsid w:val="006839A3"/>
    <w:rsid w:val="00683C89"/>
    <w:rsid w:val="00683E20"/>
    <w:rsid w:val="00684486"/>
    <w:rsid w:val="006846F6"/>
    <w:rsid w:val="006847F1"/>
    <w:rsid w:val="0068489B"/>
    <w:rsid w:val="006848E3"/>
    <w:rsid w:val="00684C8F"/>
    <w:rsid w:val="00684CB0"/>
    <w:rsid w:val="00684F24"/>
    <w:rsid w:val="006851EE"/>
    <w:rsid w:val="00685363"/>
    <w:rsid w:val="0068554A"/>
    <w:rsid w:val="006858D8"/>
    <w:rsid w:val="00685A81"/>
    <w:rsid w:val="00686165"/>
    <w:rsid w:val="0068644E"/>
    <w:rsid w:val="006864E5"/>
    <w:rsid w:val="006869B0"/>
    <w:rsid w:val="006869BE"/>
    <w:rsid w:val="00686A0C"/>
    <w:rsid w:val="00686AFD"/>
    <w:rsid w:val="00686B2F"/>
    <w:rsid w:val="00686F44"/>
    <w:rsid w:val="00686F80"/>
    <w:rsid w:val="00687563"/>
    <w:rsid w:val="006901F0"/>
    <w:rsid w:val="006903A9"/>
    <w:rsid w:val="00690936"/>
    <w:rsid w:val="006909D3"/>
    <w:rsid w:val="00690AB2"/>
    <w:rsid w:val="00690F37"/>
    <w:rsid w:val="00690F90"/>
    <w:rsid w:val="00690FF1"/>
    <w:rsid w:val="0069117D"/>
    <w:rsid w:val="006912BF"/>
    <w:rsid w:val="006912FF"/>
    <w:rsid w:val="006919FA"/>
    <w:rsid w:val="00691CB5"/>
    <w:rsid w:val="00691E2C"/>
    <w:rsid w:val="00691F28"/>
    <w:rsid w:val="0069208E"/>
    <w:rsid w:val="006923BD"/>
    <w:rsid w:val="006923E2"/>
    <w:rsid w:val="00692580"/>
    <w:rsid w:val="00692938"/>
    <w:rsid w:val="00693231"/>
    <w:rsid w:val="006933C2"/>
    <w:rsid w:val="006936E2"/>
    <w:rsid w:val="0069379E"/>
    <w:rsid w:val="00693895"/>
    <w:rsid w:val="00693923"/>
    <w:rsid w:val="00693A6C"/>
    <w:rsid w:val="00693B2F"/>
    <w:rsid w:val="00693EE1"/>
    <w:rsid w:val="0069407E"/>
    <w:rsid w:val="006940EA"/>
    <w:rsid w:val="0069427A"/>
    <w:rsid w:val="0069436E"/>
    <w:rsid w:val="00694454"/>
    <w:rsid w:val="00694495"/>
    <w:rsid w:val="0069479A"/>
    <w:rsid w:val="006947DF"/>
    <w:rsid w:val="00694881"/>
    <w:rsid w:val="006948F9"/>
    <w:rsid w:val="00694C1F"/>
    <w:rsid w:val="00694F33"/>
    <w:rsid w:val="00695176"/>
    <w:rsid w:val="00695251"/>
    <w:rsid w:val="006952F3"/>
    <w:rsid w:val="006957BB"/>
    <w:rsid w:val="00695AF9"/>
    <w:rsid w:val="00695ED9"/>
    <w:rsid w:val="0069603A"/>
    <w:rsid w:val="00696390"/>
    <w:rsid w:val="00696714"/>
    <w:rsid w:val="00696875"/>
    <w:rsid w:val="00696A26"/>
    <w:rsid w:val="00696C86"/>
    <w:rsid w:val="00696D11"/>
    <w:rsid w:val="00696DAB"/>
    <w:rsid w:val="00696F97"/>
    <w:rsid w:val="0069754B"/>
    <w:rsid w:val="0069787F"/>
    <w:rsid w:val="006978AC"/>
    <w:rsid w:val="00697A3C"/>
    <w:rsid w:val="00697A7C"/>
    <w:rsid w:val="00697F53"/>
    <w:rsid w:val="006A0429"/>
    <w:rsid w:val="006A0597"/>
    <w:rsid w:val="006A0689"/>
    <w:rsid w:val="006A07F4"/>
    <w:rsid w:val="006A095C"/>
    <w:rsid w:val="006A0CDE"/>
    <w:rsid w:val="006A0F73"/>
    <w:rsid w:val="006A1162"/>
    <w:rsid w:val="006A117E"/>
    <w:rsid w:val="006A137D"/>
    <w:rsid w:val="006A14F5"/>
    <w:rsid w:val="006A1601"/>
    <w:rsid w:val="006A1E79"/>
    <w:rsid w:val="006A1FBE"/>
    <w:rsid w:val="006A200F"/>
    <w:rsid w:val="006A2102"/>
    <w:rsid w:val="006A21B1"/>
    <w:rsid w:val="006A2815"/>
    <w:rsid w:val="006A2959"/>
    <w:rsid w:val="006A2BAD"/>
    <w:rsid w:val="006A2D98"/>
    <w:rsid w:val="006A2E39"/>
    <w:rsid w:val="006A2F9C"/>
    <w:rsid w:val="006A325D"/>
    <w:rsid w:val="006A3397"/>
    <w:rsid w:val="006A350A"/>
    <w:rsid w:val="006A3643"/>
    <w:rsid w:val="006A3974"/>
    <w:rsid w:val="006A39DD"/>
    <w:rsid w:val="006A3DB8"/>
    <w:rsid w:val="006A4061"/>
    <w:rsid w:val="006A41A9"/>
    <w:rsid w:val="006A4C2D"/>
    <w:rsid w:val="006A4D49"/>
    <w:rsid w:val="006A54FA"/>
    <w:rsid w:val="006A5DF4"/>
    <w:rsid w:val="006A62E0"/>
    <w:rsid w:val="006A6368"/>
    <w:rsid w:val="006A69CE"/>
    <w:rsid w:val="006A69CF"/>
    <w:rsid w:val="006A6B77"/>
    <w:rsid w:val="006A6BD7"/>
    <w:rsid w:val="006A6CEC"/>
    <w:rsid w:val="006A6E71"/>
    <w:rsid w:val="006A6EE1"/>
    <w:rsid w:val="006A7037"/>
    <w:rsid w:val="006A7899"/>
    <w:rsid w:val="006A78C2"/>
    <w:rsid w:val="006A794D"/>
    <w:rsid w:val="006A7BDE"/>
    <w:rsid w:val="006A7D8B"/>
    <w:rsid w:val="006A7DCD"/>
    <w:rsid w:val="006A7E24"/>
    <w:rsid w:val="006A7EBA"/>
    <w:rsid w:val="006B00A8"/>
    <w:rsid w:val="006B00D1"/>
    <w:rsid w:val="006B00E0"/>
    <w:rsid w:val="006B0486"/>
    <w:rsid w:val="006B0B8F"/>
    <w:rsid w:val="006B0C5F"/>
    <w:rsid w:val="006B0DA9"/>
    <w:rsid w:val="006B0EAD"/>
    <w:rsid w:val="006B11D2"/>
    <w:rsid w:val="006B14EA"/>
    <w:rsid w:val="006B18A8"/>
    <w:rsid w:val="006B19A8"/>
    <w:rsid w:val="006B1A15"/>
    <w:rsid w:val="006B1CBC"/>
    <w:rsid w:val="006B1DB1"/>
    <w:rsid w:val="006B1E45"/>
    <w:rsid w:val="006B2119"/>
    <w:rsid w:val="006B23D2"/>
    <w:rsid w:val="006B2C34"/>
    <w:rsid w:val="006B2CF8"/>
    <w:rsid w:val="006B2F14"/>
    <w:rsid w:val="006B35A0"/>
    <w:rsid w:val="006B3839"/>
    <w:rsid w:val="006B3928"/>
    <w:rsid w:val="006B403D"/>
    <w:rsid w:val="006B42D3"/>
    <w:rsid w:val="006B4425"/>
    <w:rsid w:val="006B456B"/>
    <w:rsid w:val="006B4724"/>
    <w:rsid w:val="006B4ADB"/>
    <w:rsid w:val="006B5321"/>
    <w:rsid w:val="006B5349"/>
    <w:rsid w:val="006B55CC"/>
    <w:rsid w:val="006B5768"/>
    <w:rsid w:val="006B579F"/>
    <w:rsid w:val="006B5902"/>
    <w:rsid w:val="006B5CF2"/>
    <w:rsid w:val="006B5E7C"/>
    <w:rsid w:val="006B5E95"/>
    <w:rsid w:val="006B67EA"/>
    <w:rsid w:val="006B720C"/>
    <w:rsid w:val="006B7343"/>
    <w:rsid w:val="006B7B85"/>
    <w:rsid w:val="006B7D04"/>
    <w:rsid w:val="006B7F78"/>
    <w:rsid w:val="006C0157"/>
    <w:rsid w:val="006C0245"/>
    <w:rsid w:val="006C07FC"/>
    <w:rsid w:val="006C0B16"/>
    <w:rsid w:val="006C0BF6"/>
    <w:rsid w:val="006C116E"/>
    <w:rsid w:val="006C145E"/>
    <w:rsid w:val="006C160F"/>
    <w:rsid w:val="006C16A8"/>
    <w:rsid w:val="006C16F6"/>
    <w:rsid w:val="006C1C01"/>
    <w:rsid w:val="006C1F6B"/>
    <w:rsid w:val="006C239F"/>
    <w:rsid w:val="006C2504"/>
    <w:rsid w:val="006C27B5"/>
    <w:rsid w:val="006C2890"/>
    <w:rsid w:val="006C2EB5"/>
    <w:rsid w:val="006C3269"/>
    <w:rsid w:val="006C3296"/>
    <w:rsid w:val="006C34CB"/>
    <w:rsid w:val="006C34E1"/>
    <w:rsid w:val="006C3A15"/>
    <w:rsid w:val="006C4067"/>
    <w:rsid w:val="006C41AD"/>
    <w:rsid w:val="006C4B55"/>
    <w:rsid w:val="006C4B8A"/>
    <w:rsid w:val="006C4E1D"/>
    <w:rsid w:val="006C4F7B"/>
    <w:rsid w:val="006C5092"/>
    <w:rsid w:val="006C6048"/>
    <w:rsid w:val="006C6435"/>
    <w:rsid w:val="006C645D"/>
    <w:rsid w:val="006C69B8"/>
    <w:rsid w:val="006C6B2C"/>
    <w:rsid w:val="006C6E86"/>
    <w:rsid w:val="006C70C3"/>
    <w:rsid w:val="006C7624"/>
    <w:rsid w:val="006C7A13"/>
    <w:rsid w:val="006C7AD1"/>
    <w:rsid w:val="006C7CAD"/>
    <w:rsid w:val="006C7E4A"/>
    <w:rsid w:val="006D03A0"/>
    <w:rsid w:val="006D03DF"/>
    <w:rsid w:val="006D076E"/>
    <w:rsid w:val="006D0950"/>
    <w:rsid w:val="006D0CE4"/>
    <w:rsid w:val="006D0D7C"/>
    <w:rsid w:val="006D0DB0"/>
    <w:rsid w:val="006D0EEA"/>
    <w:rsid w:val="006D0F63"/>
    <w:rsid w:val="006D1076"/>
    <w:rsid w:val="006D130B"/>
    <w:rsid w:val="006D15C1"/>
    <w:rsid w:val="006D1696"/>
    <w:rsid w:val="006D176A"/>
    <w:rsid w:val="006D1E7D"/>
    <w:rsid w:val="006D1F85"/>
    <w:rsid w:val="006D20A5"/>
    <w:rsid w:val="006D2365"/>
    <w:rsid w:val="006D2415"/>
    <w:rsid w:val="006D25AB"/>
    <w:rsid w:val="006D262D"/>
    <w:rsid w:val="006D2693"/>
    <w:rsid w:val="006D27DE"/>
    <w:rsid w:val="006D2878"/>
    <w:rsid w:val="006D2944"/>
    <w:rsid w:val="006D2B45"/>
    <w:rsid w:val="006D2CD6"/>
    <w:rsid w:val="006D2D55"/>
    <w:rsid w:val="006D3008"/>
    <w:rsid w:val="006D3081"/>
    <w:rsid w:val="006D310A"/>
    <w:rsid w:val="006D3181"/>
    <w:rsid w:val="006D3381"/>
    <w:rsid w:val="006D338A"/>
    <w:rsid w:val="006D3B82"/>
    <w:rsid w:val="006D3BFE"/>
    <w:rsid w:val="006D42C7"/>
    <w:rsid w:val="006D489B"/>
    <w:rsid w:val="006D4C6A"/>
    <w:rsid w:val="006D4CFC"/>
    <w:rsid w:val="006D4F13"/>
    <w:rsid w:val="006D4F8E"/>
    <w:rsid w:val="006D4F9C"/>
    <w:rsid w:val="006D5013"/>
    <w:rsid w:val="006D5405"/>
    <w:rsid w:val="006D567E"/>
    <w:rsid w:val="006D56EF"/>
    <w:rsid w:val="006D5DC0"/>
    <w:rsid w:val="006D5EA5"/>
    <w:rsid w:val="006D5F49"/>
    <w:rsid w:val="006D602B"/>
    <w:rsid w:val="006D6A14"/>
    <w:rsid w:val="006D6CBA"/>
    <w:rsid w:val="006D6D27"/>
    <w:rsid w:val="006D6DE8"/>
    <w:rsid w:val="006D71A7"/>
    <w:rsid w:val="006D7224"/>
    <w:rsid w:val="006D7380"/>
    <w:rsid w:val="006D74AE"/>
    <w:rsid w:val="006D7807"/>
    <w:rsid w:val="006D7C2C"/>
    <w:rsid w:val="006E0193"/>
    <w:rsid w:val="006E02D2"/>
    <w:rsid w:val="006E0553"/>
    <w:rsid w:val="006E06EF"/>
    <w:rsid w:val="006E077D"/>
    <w:rsid w:val="006E086D"/>
    <w:rsid w:val="006E0E3C"/>
    <w:rsid w:val="006E10E7"/>
    <w:rsid w:val="006E19B0"/>
    <w:rsid w:val="006E1C04"/>
    <w:rsid w:val="006E1D23"/>
    <w:rsid w:val="006E1DB1"/>
    <w:rsid w:val="006E1E4A"/>
    <w:rsid w:val="006E21AF"/>
    <w:rsid w:val="006E259C"/>
    <w:rsid w:val="006E2639"/>
    <w:rsid w:val="006E32C0"/>
    <w:rsid w:val="006E32DE"/>
    <w:rsid w:val="006E36A3"/>
    <w:rsid w:val="006E3772"/>
    <w:rsid w:val="006E3CC3"/>
    <w:rsid w:val="006E3E18"/>
    <w:rsid w:val="006E3F21"/>
    <w:rsid w:val="006E3F40"/>
    <w:rsid w:val="006E3FA0"/>
    <w:rsid w:val="006E422D"/>
    <w:rsid w:val="006E4412"/>
    <w:rsid w:val="006E47DF"/>
    <w:rsid w:val="006E48CD"/>
    <w:rsid w:val="006E49B9"/>
    <w:rsid w:val="006E49EE"/>
    <w:rsid w:val="006E4B89"/>
    <w:rsid w:val="006E4BC3"/>
    <w:rsid w:val="006E4E3A"/>
    <w:rsid w:val="006E50DB"/>
    <w:rsid w:val="006E531C"/>
    <w:rsid w:val="006E535E"/>
    <w:rsid w:val="006E5396"/>
    <w:rsid w:val="006E5582"/>
    <w:rsid w:val="006E5708"/>
    <w:rsid w:val="006E575A"/>
    <w:rsid w:val="006E58A1"/>
    <w:rsid w:val="006E59A6"/>
    <w:rsid w:val="006E59D7"/>
    <w:rsid w:val="006E5C4D"/>
    <w:rsid w:val="006E5FAB"/>
    <w:rsid w:val="006E5FAF"/>
    <w:rsid w:val="006E62FA"/>
    <w:rsid w:val="006E66F3"/>
    <w:rsid w:val="006E6847"/>
    <w:rsid w:val="006E6C24"/>
    <w:rsid w:val="006E6FCF"/>
    <w:rsid w:val="006E71CF"/>
    <w:rsid w:val="006E797D"/>
    <w:rsid w:val="006E7B9A"/>
    <w:rsid w:val="006E7DEB"/>
    <w:rsid w:val="006F0113"/>
    <w:rsid w:val="006F0330"/>
    <w:rsid w:val="006F06B2"/>
    <w:rsid w:val="006F077A"/>
    <w:rsid w:val="006F07FD"/>
    <w:rsid w:val="006F08C7"/>
    <w:rsid w:val="006F0A2A"/>
    <w:rsid w:val="006F0AD1"/>
    <w:rsid w:val="006F0E55"/>
    <w:rsid w:val="006F1195"/>
    <w:rsid w:val="006F12AC"/>
    <w:rsid w:val="006F168B"/>
    <w:rsid w:val="006F1777"/>
    <w:rsid w:val="006F1977"/>
    <w:rsid w:val="006F1C9C"/>
    <w:rsid w:val="006F1FFE"/>
    <w:rsid w:val="006F23C5"/>
    <w:rsid w:val="006F2482"/>
    <w:rsid w:val="006F2761"/>
    <w:rsid w:val="006F28DE"/>
    <w:rsid w:val="006F297A"/>
    <w:rsid w:val="006F2F0E"/>
    <w:rsid w:val="006F30FC"/>
    <w:rsid w:val="006F312A"/>
    <w:rsid w:val="006F3242"/>
    <w:rsid w:val="006F336E"/>
    <w:rsid w:val="006F3415"/>
    <w:rsid w:val="006F3450"/>
    <w:rsid w:val="006F378A"/>
    <w:rsid w:val="006F3A5E"/>
    <w:rsid w:val="006F3AF1"/>
    <w:rsid w:val="006F3D18"/>
    <w:rsid w:val="006F3E91"/>
    <w:rsid w:val="006F4058"/>
    <w:rsid w:val="006F450D"/>
    <w:rsid w:val="006F45BB"/>
    <w:rsid w:val="006F47A8"/>
    <w:rsid w:val="006F4B3A"/>
    <w:rsid w:val="006F4B70"/>
    <w:rsid w:val="006F4D13"/>
    <w:rsid w:val="006F4F66"/>
    <w:rsid w:val="006F4FAF"/>
    <w:rsid w:val="006F511C"/>
    <w:rsid w:val="006F52CD"/>
    <w:rsid w:val="006F5C54"/>
    <w:rsid w:val="006F5CBF"/>
    <w:rsid w:val="006F5EDE"/>
    <w:rsid w:val="006F6393"/>
    <w:rsid w:val="006F656C"/>
    <w:rsid w:val="006F6643"/>
    <w:rsid w:val="006F676C"/>
    <w:rsid w:val="006F68FF"/>
    <w:rsid w:val="006F6C2C"/>
    <w:rsid w:val="006F6E90"/>
    <w:rsid w:val="006F736A"/>
    <w:rsid w:val="006F761B"/>
    <w:rsid w:val="006F7819"/>
    <w:rsid w:val="006F7D85"/>
    <w:rsid w:val="00700181"/>
    <w:rsid w:val="007002D6"/>
    <w:rsid w:val="007005C7"/>
    <w:rsid w:val="007006D7"/>
    <w:rsid w:val="00700966"/>
    <w:rsid w:val="007009DE"/>
    <w:rsid w:val="00700E56"/>
    <w:rsid w:val="00701850"/>
    <w:rsid w:val="00701A29"/>
    <w:rsid w:val="00701D86"/>
    <w:rsid w:val="007022A9"/>
    <w:rsid w:val="00702630"/>
    <w:rsid w:val="0070279E"/>
    <w:rsid w:val="0070285C"/>
    <w:rsid w:val="00702AD6"/>
    <w:rsid w:val="00702E75"/>
    <w:rsid w:val="0070300B"/>
    <w:rsid w:val="00703117"/>
    <w:rsid w:val="0070333A"/>
    <w:rsid w:val="00703770"/>
    <w:rsid w:val="00703C6B"/>
    <w:rsid w:val="00703C75"/>
    <w:rsid w:val="00703D1F"/>
    <w:rsid w:val="007046D1"/>
    <w:rsid w:val="0070489F"/>
    <w:rsid w:val="0070497D"/>
    <w:rsid w:val="00704A2E"/>
    <w:rsid w:val="00704A7C"/>
    <w:rsid w:val="00704B40"/>
    <w:rsid w:val="00704E12"/>
    <w:rsid w:val="00704F70"/>
    <w:rsid w:val="007050D0"/>
    <w:rsid w:val="00705233"/>
    <w:rsid w:val="00705707"/>
    <w:rsid w:val="00705868"/>
    <w:rsid w:val="0070597A"/>
    <w:rsid w:val="00705F36"/>
    <w:rsid w:val="00706551"/>
    <w:rsid w:val="00706596"/>
    <w:rsid w:val="0070667E"/>
    <w:rsid w:val="007067A2"/>
    <w:rsid w:val="007069DB"/>
    <w:rsid w:val="00706DA6"/>
    <w:rsid w:val="00706E5E"/>
    <w:rsid w:val="00707014"/>
    <w:rsid w:val="00707030"/>
    <w:rsid w:val="00707061"/>
    <w:rsid w:val="007073EE"/>
    <w:rsid w:val="0070754C"/>
    <w:rsid w:val="00707599"/>
    <w:rsid w:val="00707801"/>
    <w:rsid w:val="0070794B"/>
    <w:rsid w:val="00707D9D"/>
    <w:rsid w:val="00707E5C"/>
    <w:rsid w:val="00710072"/>
    <w:rsid w:val="0071029C"/>
    <w:rsid w:val="0071036B"/>
    <w:rsid w:val="00710433"/>
    <w:rsid w:val="007104E5"/>
    <w:rsid w:val="007105BE"/>
    <w:rsid w:val="0071085B"/>
    <w:rsid w:val="00710AF4"/>
    <w:rsid w:val="00710B35"/>
    <w:rsid w:val="00710C1A"/>
    <w:rsid w:val="00710C5F"/>
    <w:rsid w:val="00710E13"/>
    <w:rsid w:val="00710F3F"/>
    <w:rsid w:val="007112A6"/>
    <w:rsid w:val="0071130A"/>
    <w:rsid w:val="007116E6"/>
    <w:rsid w:val="00711A18"/>
    <w:rsid w:val="00711DF3"/>
    <w:rsid w:val="0071265D"/>
    <w:rsid w:val="007127D6"/>
    <w:rsid w:val="00712875"/>
    <w:rsid w:val="00712A05"/>
    <w:rsid w:val="00712A4F"/>
    <w:rsid w:val="00712CBC"/>
    <w:rsid w:val="00712D2A"/>
    <w:rsid w:val="00712FBB"/>
    <w:rsid w:val="007133EB"/>
    <w:rsid w:val="00713BAF"/>
    <w:rsid w:val="00714489"/>
    <w:rsid w:val="007145EB"/>
    <w:rsid w:val="00714682"/>
    <w:rsid w:val="00714F61"/>
    <w:rsid w:val="0071531E"/>
    <w:rsid w:val="00715520"/>
    <w:rsid w:val="007156BD"/>
    <w:rsid w:val="00715CC2"/>
    <w:rsid w:val="00715DA0"/>
    <w:rsid w:val="0071603E"/>
    <w:rsid w:val="00716164"/>
    <w:rsid w:val="00716387"/>
    <w:rsid w:val="00716A1B"/>
    <w:rsid w:val="00716B78"/>
    <w:rsid w:val="00716C80"/>
    <w:rsid w:val="00716F0A"/>
    <w:rsid w:val="007171D5"/>
    <w:rsid w:val="007176F6"/>
    <w:rsid w:val="007179FB"/>
    <w:rsid w:val="00717A6E"/>
    <w:rsid w:val="00717DAC"/>
    <w:rsid w:val="00717DCD"/>
    <w:rsid w:val="00720085"/>
    <w:rsid w:val="007202CA"/>
    <w:rsid w:val="007203C3"/>
    <w:rsid w:val="00720520"/>
    <w:rsid w:val="00720BF2"/>
    <w:rsid w:val="00720F2F"/>
    <w:rsid w:val="00721505"/>
    <w:rsid w:val="00721581"/>
    <w:rsid w:val="0072166D"/>
    <w:rsid w:val="007217FF"/>
    <w:rsid w:val="00721B8F"/>
    <w:rsid w:val="00721CF3"/>
    <w:rsid w:val="00721F26"/>
    <w:rsid w:val="007222B4"/>
    <w:rsid w:val="007223DD"/>
    <w:rsid w:val="00722544"/>
    <w:rsid w:val="0072260B"/>
    <w:rsid w:val="0072292E"/>
    <w:rsid w:val="00722B9B"/>
    <w:rsid w:val="00722D1D"/>
    <w:rsid w:val="00722D64"/>
    <w:rsid w:val="00722E68"/>
    <w:rsid w:val="0072307C"/>
    <w:rsid w:val="00723464"/>
    <w:rsid w:val="007239B1"/>
    <w:rsid w:val="00723CC8"/>
    <w:rsid w:val="00723D14"/>
    <w:rsid w:val="007243ED"/>
    <w:rsid w:val="00724533"/>
    <w:rsid w:val="0072461F"/>
    <w:rsid w:val="00724812"/>
    <w:rsid w:val="00724922"/>
    <w:rsid w:val="00724B14"/>
    <w:rsid w:val="00724B8A"/>
    <w:rsid w:val="00724DB2"/>
    <w:rsid w:val="00724E12"/>
    <w:rsid w:val="00725123"/>
    <w:rsid w:val="0072581C"/>
    <w:rsid w:val="00725C0B"/>
    <w:rsid w:val="00725D68"/>
    <w:rsid w:val="007262B9"/>
    <w:rsid w:val="00726313"/>
    <w:rsid w:val="0072635B"/>
    <w:rsid w:val="007264F5"/>
    <w:rsid w:val="00726605"/>
    <w:rsid w:val="00726640"/>
    <w:rsid w:val="007266D0"/>
    <w:rsid w:val="007267DB"/>
    <w:rsid w:val="00726869"/>
    <w:rsid w:val="0072691C"/>
    <w:rsid w:val="00726ED0"/>
    <w:rsid w:val="00726F34"/>
    <w:rsid w:val="0072734C"/>
    <w:rsid w:val="007273F9"/>
    <w:rsid w:val="00727452"/>
    <w:rsid w:val="00727510"/>
    <w:rsid w:val="0072757F"/>
    <w:rsid w:val="0072759B"/>
    <w:rsid w:val="007278A3"/>
    <w:rsid w:val="00727C62"/>
    <w:rsid w:val="00727DA8"/>
    <w:rsid w:val="00730421"/>
    <w:rsid w:val="007305F4"/>
    <w:rsid w:val="00730613"/>
    <w:rsid w:val="00730814"/>
    <w:rsid w:val="00730BE6"/>
    <w:rsid w:val="00730DEA"/>
    <w:rsid w:val="00730F30"/>
    <w:rsid w:val="007310AD"/>
    <w:rsid w:val="007310D2"/>
    <w:rsid w:val="007311C6"/>
    <w:rsid w:val="0073147C"/>
    <w:rsid w:val="007314C7"/>
    <w:rsid w:val="007315ED"/>
    <w:rsid w:val="00731774"/>
    <w:rsid w:val="007318E1"/>
    <w:rsid w:val="00731909"/>
    <w:rsid w:val="00731B51"/>
    <w:rsid w:val="00731B58"/>
    <w:rsid w:val="00731C77"/>
    <w:rsid w:val="00732035"/>
    <w:rsid w:val="0073206F"/>
    <w:rsid w:val="00732188"/>
    <w:rsid w:val="0073226F"/>
    <w:rsid w:val="007323AB"/>
    <w:rsid w:val="00732CA7"/>
    <w:rsid w:val="0073312E"/>
    <w:rsid w:val="00733198"/>
    <w:rsid w:val="007334FF"/>
    <w:rsid w:val="00733D78"/>
    <w:rsid w:val="00733E2F"/>
    <w:rsid w:val="00733F00"/>
    <w:rsid w:val="00733FA0"/>
    <w:rsid w:val="0073404A"/>
    <w:rsid w:val="007340D1"/>
    <w:rsid w:val="00734103"/>
    <w:rsid w:val="0073433B"/>
    <w:rsid w:val="007345BE"/>
    <w:rsid w:val="00734649"/>
    <w:rsid w:val="007349AB"/>
    <w:rsid w:val="007349DA"/>
    <w:rsid w:val="00734A1A"/>
    <w:rsid w:val="007353C9"/>
    <w:rsid w:val="007357FE"/>
    <w:rsid w:val="00735A7A"/>
    <w:rsid w:val="00736131"/>
    <w:rsid w:val="00736398"/>
    <w:rsid w:val="007364F0"/>
    <w:rsid w:val="007368B8"/>
    <w:rsid w:val="00736964"/>
    <w:rsid w:val="007369C6"/>
    <w:rsid w:val="007369E9"/>
    <w:rsid w:val="00736E2D"/>
    <w:rsid w:val="00736FFD"/>
    <w:rsid w:val="007372DC"/>
    <w:rsid w:val="00737310"/>
    <w:rsid w:val="00737382"/>
    <w:rsid w:val="00737646"/>
    <w:rsid w:val="0073791A"/>
    <w:rsid w:val="007379AA"/>
    <w:rsid w:val="00737A9A"/>
    <w:rsid w:val="00737AFE"/>
    <w:rsid w:val="00737B4A"/>
    <w:rsid w:val="00740081"/>
    <w:rsid w:val="0074020E"/>
    <w:rsid w:val="00740335"/>
    <w:rsid w:val="007404FD"/>
    <w:rsid w:val="00740565"/>
    <w:rsid w:val="007406FC"/>
    <w:rsid w:val="00740CA7"/>
    <w:rsid w:val="00740CF7"/>
    <w:rsid w:val="007412B1"/>
    <w:rsid w:val="00741493"/>
    <w:rsid w:val="007414CC"/>
    <w:rsid w:val="0074157A"/>
    <w:rsid w:val="007415C1"/>
    <w:rsid w:val="00741C81"/>
    <w:rsid w:val="00741EA3"/>
    <w:rsid w:val="00741F8A"/>
    <w:rsid w:val="00741FCB"/>
    <w:rsid w:val="00742494"/>
    <w:rsid w:val="00742D05"/>
    <w:rsid w:val="00742DC3"/>
    <w:rsid w:val="00742E5F"/>
    <w:rsid w:val="00743161"/>
    <w:rsid w:val="00743225"/>
    <w:rsid w:val="00743390"/>
    <w:rsid w:val="007433F4"/>
    <w:rsid w:val="0074359A"/>
    <w:rsid w:val="0074361D"/>
    <w:rsid w:val="0074386C"/>
    <w:rsid w:val="00743918"/>
    <w:rsid w:val="00743A6D"/>
    <w:rsid w:val="00743B75"/>
    <w:rsid w:val="00743B86"/>
    <w:rsid w:val="00743E91"/>
    <w:rsid w:val="007446AD"/>
    <w:rsid w:val="00744A19"/>
    <w:rsid w:val="00744AD3"/>
    <w:rsid w:val="00744C18"/>
    <w:rsid w:val="00744D4B"/>
    <w:rsid w:val="00744DEE"/>
    <w:rsid w:val="0074576F"/>
    <w:rsid w:val="00745A3D"/>
    <w:rsid w:val="00745A87"/>
    <w:rsid w:val="00745B00"/>
    <w:rsid w:val="00745B32"/>
    <w:rsid w:val="00745B4C"/>
    <w:rsid w:val="0074608E"/>
    <w:rsid w:val="00746881"/>
    <w:rsid w:val="00746ACE"/>
    <w:rsid w:val="00746D0B"/>
    <w:rsid w:val="00746D5D"/>
    <w:rsid w:val="00746F44"/>
    <w:rsid w:val="0074729A"/>
    <w:rsid w:val="007473CB"/>
    <w:rsid w:val="00747609"/>
    <w:rsid w:val="00747654"/>
    <w:rsid w:val="007478E5"/>
    <w:rsid w:val="00747B2B"/>
    <w:rsid w:val="00747BA3"/>
    <w:rsid w:val="00747C56"/>
    <w:rsid w:val="00747D0C"/>
    <w:rsid w:val="00750011"/>
    <w:rsid w:val="0075009E"/>
    <w:rsid w:val="007501E3"/>
    <w:rsid w:val="007505A1"/>
    <w:rsid w:val="007508AB"/>
    <w:rsid w:val="00750ECB"/>
    <w:rsid w:val="00751099"/>
    <w:rsid w:val="00751227"/>
    <w:rsid w:val="0075153C"/>
    <w:rsid w:val="007518D5"/>
    <w:rsid w:val="00751A79"/>
    <w:rsid w:val="00751C9A"/>
    <w:rsid w:val="007523A4"/>
    <w:rsid w:val="00752762"/>
    <w:rsid w:val="00752879"/>
    <w:rsid w:val="007529E6"/>
    <w:rsid w:val="00752A3D"/>
    <w:rsid w:val="00752CF6"/>
    <w:rsid w:val="00752F4C"/>
    <w:rsid w:val="00752F61"/>
    <w:rsid w:val="00753234"/>
    <w:rsid w:val="0075371E"/>
    <w:rsid w:val="007538A6"/>
    <w:rsid w:val="00753905"/>
    <w:rsid w:val="00753BF2"/>
    <w:rsid w:val="00753E61"/>
    <w:rsid w:val="00753F15"/>
    <w:rsid w:val="00753FE5"/>
    <w:rsid w:val="007540A6"/>
    <w:rsid w:val="0075415E"/>
    <w:rsid w:val="00754230"/>
    <w:rsid w:val="007548B4"/>
    <w:rsid w:val="00755008"/>
    <w:rsid w:val="0075588D"/>
    <w:rsid w:val="00755DC2"/>
    <w:rsid w:val="00755F0E"/>
    <w:rsid w:val="00756531"/>
    <w:rsid w:val="0075689E"/>
    <w:rsid w:val="00756919"/>
    <w:rsid w:val="007569BC"/>
    <w:rsid w:val="00756E93"/>
    <w:rsid w:val="00756EFF"/>
    <w:rsid w:val="00757053"/>
    <w:rsid w:val="007570F7"/>
    <w:rsid w:val="00757177"/>
    <w:rsid w:val="0075728E"/>
    <w:rsid w:val="00757321"/>
    <w:rsid w:val="00757643"/>
    <w:rsid w:val="00757816"/>
    <w:rsid w:val="00757954"/>
    <w:rsid w:val="007579F4"/>
    <w:rsid w:val="00757E5A"/>
    <w:rsid w:val="00757EC5"/>
    <w:rsid w:val="00760044"/>
    <w:rsid w:val="007601F9"/>
    <w:rsid w:val="0076031F"/>
    <w:rsid w:val="007604E4"/>
    <w:rsid w:val="00760750"/>
    <w:rsid w:val="0076081B"/>
    <w:rsid w:val="0076116A"/>
    <w:rsid w:val="00761510"/>
    <w:rsid w:val="0076155D"/>
    <w:rsid w:val="007617F4"/>
    <w:rsid w:val="00761C04"/>
    <w:rsid w:val="00761C94"/>
    <w:rsid w:val="00762137"/>
    <w:rsid w:val="00762334"/>
    <w:rsid w:val="00762435"/>
    <w:rsid w:val="00762478"/>
    <w:rsid w:val="0076251F"/>
    <w:rsid w:val="007625E5"/>
    <w:rsid w:val="00762A62"/>
    <w:rsid w:val="00762CB7"/>
    <w:rsid w:val="00762E43"/>
    <w:rsid w:val="007631F3"/>
    <w:rsid w:val="0076321D"/>
    <w:rsid w:val="00763304"/>
    <w:rsid w:val="00763419"/>
    <w:rsid w:val="007634A8"/>
    <w:rsid w:val="007636D3"/>
    <w:rsid w:val="007637A9"/>
    <w:rsid w:val="00763BFA"/>
    <w:rsid w:val="00763FD5"/>
    <w:rsid w:val="00764059"/>
    <w:rsid w:val="007643D3"/>
    <w:rsid w:val="00764516"/>
    <w:rsid w:val="00764593"/>
    <w:rsid w:val="007646CC"/>
    <w:rsid w:val="0076493F"/>
    <w:rsid w:val="00764B88"/>
    <w:rsid w:val="00764C06"/>
    <w:rsid w:val="00764C40"/>
    <w:rsid w:val="00764D05"/>
    <w:rsid w:val="00764F33"/>
    <w:rsid w:val="00765928"/>
    <w:rsid w:val="00765989"/>
    <w:rsid w:val="007659EA"/>
    <w:rsid w:val="00765A9F"/>
    <w:rsid w:val="00765BD8"/>
    <w:rsid w:val="00765CA0"/>
    <w:rsid w:val="007661D9"/>
    <w:rsid w:val="0076677F"/>
    <w:rsid w:val="00766813"/>
    <w:rsid w:val="00766FFC"/>
    <w:rsid w:val="00767132"/>
    <w:rsid w:val="00767671"/>
    <w:rsid w:val="00767729"/>
    <w:rsid w:val="00767752"/>
    <w:rsid w:val="0076786F"/>
    <w:rsid w:val="0076789C"/>
    <w:rsid w:val="00767E8F"/>
    <w:rsid w:val="00767F57"/>
    <w:rsid w:val="00770363"/>
    <w:rsid w:val="007703B9"/>
    <w:rsid w:val="00770498"/>
    <w:rsid w:val="0077058B"/>
    <w:rsid w:val="00770596"/>
    <w:rsid w:val="00770754"/>
    <w:rsid w:val="00770B39"/>
    <w:rsid w:val="00770D7A"/>
    <w:rsid w:val="00770DEC"/>
    <w:rsid w:val="00770F1D"/>
    <w:rsid w:val="0077117B"/>
    <w:rsid w:val="0077138E"/>
    <w:rsid w:val="00771536"/>
    <w:rsid w:val="00771607"/>
    <w:rsid w:val="00771BD3"/>
    <w:rsid w:val="00771D80"/>
    <w:rsid w:val="00772053"/>
    <w:rsid w:val="007721F2"/>
    <w:rsid w:val="0077224C"/>
    <w:rsid w:val="00772600"/>
    <w:rsid w:val="007727B5"/>
    <w:rsid w:val="00772D5D"/>
    <w:rsid w:val="007734FD"/>
    <w:rsid w:val="007737A4"/>
    <w:rsid w:val="007739A1"/>
    <w:rsid w:val="007739DC"/>
    <w:rsid w:val="00773A43"/>
    <w:rsid w:val="00773C58"/>
    <w:rsid w:val="00773E3A"/>
    <w:rsid w:val="00774025"/>
    <w:rsid w:val="007744E3"/>
    <w:rsid w:val="00775299"/>
    <w:rsid w:val="0077537E"/>
    <w:rsid w:val="00775597"/>
    <w:rsid w:val="00775702"/>
    <w:rsid w:val="00775DE1"/>
    <w:rsid w:val="00775E88"/>
    <w:rsid w:val="007760EC"/>
    <w:rsid w:val="007764D0"/>
    <w:rsid w:val="007767AF"/>
    <w:rsid w:val="00776892"/>
    <w:rsid w:val="00776930"/>
    <w:rsid w:val="00776C1D"/>
    <w:rsid w:val="00776D7B"/>
    <w:rsid w:val="00776D7C"/>
    <w:rsid w:val="0077719A"/>
    <w:rsid w:val="00777331"/>
    <w:rsid w:val="0077750E"/>
    <w:rsid w:val="00777789"/>
    <w:rsid w:val="00777A05"/>
    <w:rsid w:val="00777AA0"/>
    <w:rsid w:val="00780061"/>
    <w:rsid w:val="007800C7"/>
    <w:rsid w:val="00780260"/>
    <w:rsid w:val="0078045D"/>
    <w:rsid w:val="0078058D"/>
    <w:rsid w:val="007809D6"/>
    <w:rsid w:val="00780D8F"/>
    <w:rsid w:val="007812B5"/>
    <w:rsid w:val="007817B9"/>
    <w:rsid w:val="007818D1"/>
    <w:rsid w:val="00781A6E"/>
    <w:rsid w:val="00781B96"/>
    <w:rsid w:val="00781BFF"/>
    <w:rsid w:val="00781D9D"/>
    <w:rsid w:val="00781E53"/>
    <w:rsid w:val="0078230A"/>
    <w:rsid w:val="007823B3"/>
    <w:rsid w:val="00782408"/>
    <w:rsid w:val="0078243C"/>
    <w:rsid w:val="007824EC"/>
    <w:rsid w:val="0078262B"/>
    <w:rsid w:val="00782779"/>
    <w:rsid w:val="00782E23"/>
    <w:rsid w:val="00782F2D"/>
    <w:rsid w:val="0078319F"/>
    <w:rsid w:val="007833E1"/>
    <w:rsid w:val="00783439"/>
    <w:rsid w:val="007838C0"/>
    <w:rsid w:val="00783A2C"/>
    <w:rsid w:val="00783D05"/>
    <w:rsid w:val="00783D62"/>
    <w:rsid w:val="00783EAB"/>
    <w:rsid w:val="0078459E"/>
    <w:rsid w:val="00784A17"/>
    <w:rsid w:val="0078509F"/>
    <w:rsid w:val="0078530B"/>
    <w:rsid w:val="0078551D"/>
    <w:rsid w:val="007856B7"/>
    <w:rsid w:val="00786063"/>
    <w:rsid w:val="0078633A"/>
    <w:rsid w:val="00786366"/>
    <w:rsid w:val="0078659D"/>
    <w:rsid w:val="007866FC"/>
    <w:rsid w:val="0078683A"/>
    <w:rsid w:val="00786949"/>
    <w:rsid w:val="00787052"/>
    <w:rsid w:val="00787058"/>
    <w:rsid w:val="0078713E"/>
    <w:rsid w:val="0078742E"/>
    <w:rsid w:val="00787656"/>
    <w:rsid w:val="007879DC"/>
    <w:rsid w:val="007879F0"/>
    <w:rsid w:val="00787A6A"/>
    <w:rsid w:val="00790045"/>
    <w:rsid w:val="00790324"/>
    <w:rsid w:val="007908ED"/>
    <w:rsid w:val="00790933"/>
    <w:rsid w:val="00790D19"/>
    <w:rsid w:val="00790F04"/>
    <w:rsid w:val="00790F70"/>
    <w:rsid w:val="00791190"/>
    <w:rsid w:val="00791323"/>
    <w:rsid w:val="0079171B"/>
    <w:rsid w:val="00791B91"/>
    <w:rsid w:val="00791C05"/>
    <w:rsid w:val="00791CC7"/>
    <w:rsid w:val="00791DA9"/>
    <w:rsid w:val="007925C1"/>
    <w:rsid w:val="00792608"/>
    <w:rsid w:val="007928E3"/>
    <w:rsid w:val="00792B8B"/>
    <w:rsid w:val="00793073"/>
    <w:rsid w:val="007932B5"/>
    <w:rsid w:val="00793468"/>
    <w:rsid w:val="007935DA"/>
    <w:rsid w:val="007935F3"/>
    <w:rsid w:val="0079361F"/>
    <w:rsid w:val="00793782"/>
    <w:rsid w:val="00793788"/>
    <w:rsid w:val="007937FF"/>
    <w:rsid w:val="0079386D"/>
    <w:rsid w:val="00793AE6"/>
    <w:rsid w:val="0079427C"/>
    <w:rsid w:val="0079437D"/>
    <w:rsid w:val="00794499"/>
    <w:rsid w:val="00794747"/>
    <w:rsid w:val="00794C4C"/>
    <w:rsid w:val="00794E0F"/>
    <w:rsid w:val="0079506C"/>
    <w:rsid w:val="0079539A"/>
    <w:rsid w:val="0079562E"/>
    <w:rsid w:val="007958F0"/>
    <w:rsid w:val="00795D2A"/>
    <w:rsid w:val="0079634C"/>
    <w:rsid w:val="00796366"/>
    <w:rsid w:val="007967DA"/>
    <w:rsid w:val="00796828"/>
    <w:rsid w:val="007968F4"/>
    <w:rsid w:val="00796CF2"/>
    <w:rsid w:val="00796E58"/>
    <w:rsid w:val="0079729C"/>
    <w:rsid w:val="00797598"/>
    <w:rsid w:val="007976D7"/>
    <w:rsid w:val="007976F6"/>
    <w:rsid w:val="007978E1"/>
    <w:rsid w:val="00797908"/>
    <w:rsid w:val="00797B6F"/>
    <w:rsid w:val="007A0151"/>
    <w:rsid w:val="007A088B"/>
    <w:rsid w:val="007A090A"/>
    <w:rsid w:val="007A0BDF"/>
    <w:rsid w:val="007A0D92"/>
    <w:rsid w:val="007A0EB5"/>
    <w:rsid w:val="007A0F94"/>
    <w:rsid w:val="007A1241"/>
    <w:rsid w:val="007A1522"/>
    <w:rsid w:val="007A1690"/>
    <w:rsid w:val="007A1941"/>
    <w:rsid w:val="007A1B40"/>
    <w:rsid w:val="007A1B95"/>
    <w:rsid w:val="007A1C57"/>
    <w:rsid w:val="007A1F23"/>
    <w:rsid w:val="007A208E"/>
    <w:rsid w:val="007A20AB"/>
    <w:rsid w:val="007A223B"/>
    <w:rsid w:val="007A2414"/>
    <w:rsid w:val="007A255A"/>
    <w:rsid w:val="007A2F1C"/>
    <w:rsid w:val="007A31D1"/>
    <w:rsid w:val="007A3386"/>
    <w:rsid w:val="007A36B5"/>
    <w:rsid w:val="007A3C63"/>
    <w:rsid w:val="007A490E"/>
    <w:rsid w:val="007A4985"/>
    <w:rsid w:val="007A4BEF"/>
    <w:rsid w:val="007A4C1B"/>
    <w:rsid w:val="007A4E30"/>
    <w:rsid w:val="007A4E32"/>
    <w:rsid w:val="007A4E5A"/>
    <w:rsid w:val="007A614F"/>
    <w:rsid w:val="007A6816"/>
    <w:rsid w:val="007A6979"/>
    <w:rsid w:val="007A69B3"/>
    <w:rsid w:val="007A6AC8"/>
    <w:rsid w:val="007A6BD5"/>
    <w:rsid w:val="007A6FA1"/>
    <w:rsid w:val="007A713B"/>
    <w:rsid w:val="007A74ED"/>
    <w:rsid w:val="007A7B58"/>
    <w:rsid w:val="007A7EDC"/>
    <w:rsid w:val="007A7F62"/>
    <w:rsid w:val="007B01DE"/>
    <w:rsid w:val="007B0225"/>
    <w:rsid w:val="007B03D6"/>
    <w:rsid w:val="007B04B8"/>
    <w:rsid w:val="007B0513"/>
    <w:rsid w:val="007B05A1"/>
    <w:rsid w:val="007B08F7"/>
    <w:rsid w:val="007B09DE"/>
    <w:rsid w:val="007B108C"/>
    <w:rsid w:val="007B118A"/>
    <w:rsid w:val="007B1247"/>
    <w:rsid w:val="007B1332"/>
    <w:rsid w:val="007B1654"/>
    <w:rsid w:val="007B2345"/>
    <w:rsid w:val="007B235E"/>
    <w:rsid w:val="007B2652"/>
    <w:rsid w:val="007B26CE"/>
    <w:rsid w:val="007B2931"/>
    <w:rsid w:val="007B2C55"/>
    <w:rsid w:val="007B2F62"/>
    <w:rsid w:val="007B2F65"/>
    <w:rsid w:val="007B3156"/>
    <w:rsid w:val="007B3409"/>
    <w:rsid w:val="007B342B"/>
    <w:rsid w:val="007B34C9"/>
    <w:rsid w:val="007B39CF"/>
    <w:rsid w:val="007B3AE0"/>
    <w:rsid w:val="007B3B63"/>
    <w:rsid w:val="007B3CE2"/>
    <w:rsid w:val="007B3FD1"/>
    <w:rsid w:val="007B49CB"/>
    <w:rsid w:val="007B4BE0"/>
    <w:rsid w:val="007B4E97"/>
    <w:rsid w:val="007B50A3"/>
    <w:rsid w:val="007B5108"/>
    <w:rsid w:val="007B5179"/>
    <w:rsid w:val="007B529E"/>
    <w:rsid w:val="007B5343"/>
    <w:rsid w:val="007B534D"/>
    <w:rsid w:val="007B5414"/>
    <w:rsid w:val="007B551B"/>
    <w:rsid w:val="007B5629"/>
    <w:rsid w:val="007B588B"/>
    <w:rsid w:val="007B61C5"/>
    <w:rsid w:val="007B622D"/>
    <w:rsid w:val="007B64B8"/>
    <w:rsid w:val="007B667E"/>
    <w:rsid w:val="007B672B"/>
    <w:rsid w:val="007B6861"/>
    <w:rsid w:val="007B6983"/>
    <w:rsid w:val="007B6A9F"/>
    <w:rsid w:val="007B6AC5"/>
    <w:rsid w:val="007B6BCC"/>
    <w:rsid w:val="007B6BE3"/>
    <w:rsid w:val="007B6BE6"/>
    <w:rsid w:val="007B6BFE"/>
    <w:rsid w:val="007B6D39"/>
    <w:rsid w:val="007B6DCC"/>
    <w:rsid w:val="007B6E60"/>
    <w:rsid w:val="007B70B6"/>
    <w:rsid w:val="007B7168"/>
    <w:rsid w:val="007B7462"/>
    <w:rsid w:val="007B76C8"/>
    <w:rsid w:val="007B76E0"/>
    <w:rsid w:val="007B7AC5"/>
    <w:rsid w:val="007B7B14"/>
    <w:rsid w:val="007B7B5F"/>
    <w:rsid w:val="007B7E38"/>
    <w:rsid w:val="007B7FCD"/>
    <w:rsid w:val="007C024D"/>
    <w:rsid w:val="007C045D"/>
    <w:rsid w:val="007C04B6"/>
    <w:rsid w:val="007C0822"/>
    <w:rsid w:val="007C0990"/>
    <w:rsid w:val="007C0AC7"/>
    <w:rsid w:val="007C1709"/>
    <w:rsid w:val="007C1D2B"/>
    <w:rsid w:val="007C2031"/>
    <w:rsid w:val="007C2472"/>
    <w:rsid w:val="007C24D5"/>
    <w:rsid w:val="007C24DC"/>
    <w:rsid w:val="007C297B"/>
    <w:rsid w:val="007C299F"/>
    <w:rsid w:val="007C2C80"/>
    <w:rsid w:val="007C2D37"/>
    <w:rsid w:val="007C3091"/>
    <w:rsid w:val="007C36B5"/>
    <w:rsid w:val="007C3E06"/>
    <w:rsid w:val="007C3E49"/>
    <w:rsid w:val="007C4274"/>
    <w:rsid w:val="007C4343"/>
    <w:rsid w:val="007C443E"/>
    <w:rsid w:val="007C447C"/>
    <w:rsid w:val="007C4632"/>
    <w:rsid w:val="007C46EE"/>
    <w:rsid w:val="007C4D56"/>
    <w:rsid w:val="007C501F"/>
    <w:rsid w:val="007C508C"/>
    <w:rsid w:val="007C508D"/>
    <w:rsid w:val="007C514A"/>
    <w:rsid w:val="007C5344"/>
    <w:rsid w:val="007C5597"/>
    <w:rsid w:val="007C5BCD"/>
    <w:rsid w:val="007C5D84"/>
    <w:rsid w:val="007C6503"/>
    <w:rsid w:val="007C6C34"/>
    <w:rsid w:val="007C6DFF"/>
    <w:rsid w:val="007C6FDA"/>
    <w:rsid w:val="007C73A0"/>
    <w:rsid w:val="007C7583"/>
    <w:rsid w:val="007C75F4"/>
    <w:rsid w:val="007C7626"/>
    <w:rsid w:val="007C76CF"/>
    <w:rsid w:val="007C7884"/>
    <w:rsid w:val="007C7927"/>
    <w:rsid w:val="007C7AC8"/>
    <w:rsid w:val="007C7C3D"/>
    <w:rsid w:val="007C7FB8"/>
    <w:rsid w:val="007D033A"/>
    <w:rsid w:val="007D051F"/>
    <w:rsid w:val="007D05FA"/>
    <w:rsid w:val="007D0607"/>
    <w:rsid w:val="007D06F5"/>
    <w:rsid w:val="007D0886"/>
    <w:rsid w:val="007D13A9"/>
    <w:rsid w:val="007D1535"/>
    <w:rsid w:val="007D1796"/>
    <w:rsid w:val="007D198F"/>
    <w:rsid w:val="007D1991"/>
    <w:rsid w:val="007D1A66"/>
    <w:rsid w:val="007D1F97"/>
    <w:rsid w:val="007D1FEB"/>
    <w:rsid w:val="007D20DC"/>
    <w:rsid w:val="007D23B7"/>
    <w:rsid w:val="007D25E4"/>
    <w:rsid w:val="007D2636"/>
    <w:rsid w:val="007D2D22"/>
    <w:rsid w:val="007D2D8D"/>
    <w:rsid w:val="007D2F68"/>
    <w:rsid w:val="007D2F9C"/>
    <w:rsid w:val="007D30F1"/>
    <w:rsid w:val="007D314D"/>
    <w:rsid w:val="007D3423"/>
    <w:rsid w:val="007D34C4"/>
    <w:rsid w:val="007D355C"/>
    <w:rsid w:val="007D3676"/>
    <w:rsid w:val="007D38BB"/>
    <w:rsid w:val="007D39D4"/>
    <w:rsid w:val="007D3AE3"/>
    <w:rsid w:val="007D3AE9"/>
    <w:rsid w:val="007D3CBC"/>
    <w:rsid w:val="007D3CFE"/>
    <w:rsid w:val="007D3DDB"/>
    <w:rsid w:val="007D3F8C"/>
    <w:rsid w:val="007D401E"/>
    <w:rsid w:val="007D404C"/>
    <w:rsid w:val="007D41EE"/>
    <w:rsid w:val="007D45CE"/>
    <w:rsid w:val="007D4646"/>
    <w:rsid w:val="007D486D"/>
    <w:rsid w:val="007D4933"/>
    <w:rsid w:val="007D4C74"/>
    <w:rsid w:val="007D4D41"/>
    <w:rsid w:val="007D4EE6"/>
    <w:rsid w:val="007D528C"/>
    <w:rsid w:val="007D5AA6"/>
    <w:rsid w:val="007D5BC2"/>
    <w:rsid w:val="007D5E2E"/>
    <w:rsid w:val="007D5E42"/>
    <w:rsid w:val="007D5F29"/>
    <w:rsid w:val="007D616D"/>
    <w:rsid w:val="007D689C"/>
    <w:rsid w:val="007D7955"/>
    <w:rsid w:val="007D799E"/>
    <w:rsid w:val="007D7A4E"/>
    <w:rsid w:val="007D7BB3"/>
    <w:rsid w:val="007D7C19"/>
    <w:rsid w:val="007D7CEE"/>
    <w:rsid w:val="007D7F91"/>
    <w:rsid w:val="007E0143"/>
    <w:rsid w:val="007E014D"/>
    <w:rsid w:val="007E017F"/>
    <w:rsid w:val="007E029B"/>
    <w:rsid w:val="007E0640"/>
    <w:rsid w:val="007E0A7B"/>
    <w:rsid w:val="007E0B66"/>
    <w:rsid w:val="007E0DC7"/>
    <w:rsid w:val="007E128F"/>
    <w:rsid w:val="007E1501"/>
    <w:rsid w:val="007E18F0"/>
    <w:rsid w:val="007E1B05"/>
    <w:rsid w:val="007E1BFC"/>
    <w:rsid w:val="007E1CF0"/>
    <w:rsid w:val="007E1D13"/>
    <w:rsid w:val="007E1E37"/>
    <w:rsid w:val="007E1E3E"/>
    <w:rsid w:val="007E1FAC"/>
    <w:rsid w:val="007E2037"/>
    <w:rsid w:val="007E2128"/>
    <w:rsid w:val="007E2190"/>
    <w:rsid w:val="007E241A"/>
    <w:rsid w:val="007E288A"/>
    <w:rsid w:val="007E2A3B"/>
    <w:rsid w:val="007E2AB9"/>
    <w:rsid w:val="007E2AE1"/>
    <w:rsid w:val="007E2C31"/>
    <w:rsid w:val="007E3036"/>
    <w:rsid w:val="007E3094"/>
    <w:rsid w:val="007E360C"/>
    <w:rsid w:val="007E3DD4"/>
    <w:rsid w:val="007E3F9F"/>
    <w:rsid w:val="007E427D"/>
    <w:rsid w:val="007E46E3"/>
    <w:rsid w:val="007E4D8A"/>
    <w:rsid w:val="007E4E49"/>
    <w:rsid w:val="007E4FB9"/>
    <w:rsid w:val="007E514A"/>
    <w:rsid w:val="007E5222"/>
    <w:rsid w:val="007E53AB"/>
    <w:rsid w:val="007E54D1"/>
    <w:rsid w:val="007E55C8"/>
    <w:rsid w:val="007E566F"/>
    <w:rsid w:val="007E5718"/>
    <w:rsid w:val="007E5899"/>
    <w:rsid w:val="007E5A02"/>
    <w:rsid w:val="007E5BD4"/>
    <w:rsid w:val="007E5E5E"/>
    <w:rsid w:val="007E5FC7"/>
    <w:rsid w:val="007E6025"/>
    <w:rsid w:val="007E6456"/>
    <w:rsid w:val="007E64B2"/>
    <w:rsid w:val="007E661C"/>
    <w:rsid w:val="007E6833"/>
    <w:rsid w:val="007E6853"/>
    <w:rsid w:val="007E689A"/>
    <w:rsid w:val="007E6ADC"/>
    <w:rsid w:val="007E6C28"/>
    <w:rsid w:val="007E6CDA"/>
    <w:rsid w:val="007E6D1C"/>
    <w:rsid w:val="007E6EF7"/>
    <w:rsid w:val="007E7419"/>
    <w:rsid w:val="007E7D15"/>
    <w:rsid w:val="007F0220"/>
    <w:rsid w:val="007F031B"/>
    <w:rsid w:val="007F03C5"/>
    <w:rsid w:val="007F0837"/>
    <w:rsid w:val="007F093B"/>
    <w:rsid w:val="007F094A"/>
    <w:rsid w:val="007F0BE6"/>
    <w:rsid w:val="007F12C2"/>
    <w:rsid w:val="007F1445"/>
    <w:rsid w:val="007F147C"/>
    <w:rsid w:val="007F1727"/>
    <w:rsid w:val="007F17B8"/>
    <w:rsid w:val="007F1B01"/>
    <w:rsid w:val="007F1B02"/>
    <w:rsid w:val="007F1C27"/>
    <w:rsid w:val="007F1CBA"/>
    <w:rsid w:val="007F1D00"/>
    <w:rsid w:val="007F2223"/>
    <w:rsid w:val="007F2314"/>
    <w:rsid w:val="007F2583"/>
    <w:rsid w:val="007F2687"/>
    <w:rsid w:val="007F2899"/>
    <w:rsid w:val="007F2ABF"/>
    <w:rsid w:val="007F2D3E"/>
    <w:rsid w:val="007F2DE0"/>
    <w:rsid w:val="007F34D6"/>
    <w:rsid w:val="007F3811"/>
    <w:rsid w:val="007F3CA6"/>
    <w:rsid w:val="007F3CED"/>
    <w:rsid w:val="007F4181"/>
    <w:rsid w:val="007F454D"/>
    <w:rsid w:val="007F46BC"/>
    <w:rsid w:val="007F47FB"/>
    <w:rsid w:val="007F4ACE"/>
    <w:rsid w:val="007F4BD6"/>
    <w:rsid w:val="007F4D69"/>
    <w:rsid w:val="007F4D92"/>
    <w:rsid w:val="007F5029"/>
    <w:rsid w:val="007F5408"/>
    <w:rsid w:val="007F5504"/>
    <w:rsid w:val="007F5579"/>
    <w:rsid w:val="007F5602"/>
    <w:rsid w:val="007F562C"/>
    <w:rsid w:val="007F5749"/>
    <w:rsid w:val="007F57BD"/>
    <w:rsid w:val="007F5C2D"/>
    <w:rsid w:val="007F61FF"/>
    <w:rsid w:val="007F64C7"/>
    <w:rsid w:val="007F6B93"/>
    <w:rsid w:val="007F78A4"/>
    <w:rsid w:val="007F7B88"/>
    <w:rsid w:val="007F7BCF"/>
    <w:rsid w:val="007F7E25"/>
    <w:rsid w:val="008002FC"/>
    <w:rsid w:val="00800785"/>
    <w:rsid w:val="008007D2"/>
    <w:rsid w:val="00801579"/>
    <w:rsid w:val="00801C85"/>
    <w:rsid w:val="00801EC2"/>
    <w:rsid w:val="00801EEB"/>
    <w:rsid w:val="008025F9"/>
    <w:rsid w:val="008026AD"/>
    <w:rsid w:val="00802705"/>
    <w:rsid w:val="00802734"/>
    <w:rsid w:val="00802F2A"/>
    <w:rsid w:val="0080311A"/>
    <w:rsid w:val="008032D4"/>
    <w:rsid w:val="008036BE"/>
    <w:rsid w:val="00803801"/>
    <w:rsid w:val="00803894"/>
    <w:rsid w:val="00803985"/>
    <w:rsid w:val="00803A86"/>
    <w:rsid w:val="00804276"/>
    <w:rsid w:val="008043EA"/>
    <w:rsid w:val="008044DF"/>
    <w:rsid w:val="00804825"/>
    <w:rsid w:val="00804EFB"/>
    <w:rsid w:val="00804F59"/>
    <w:rsid w:val="00805210"/>
    <w:rsid w:val="00805382"/>
    <w:rsid w:val="0080566A"/>
    <w:rsid w:val="008058BB"/>
    <w:rsid w:val="00805942"/>
    <w:rsid w:val="008059F5"/>
    <w:rsid w:val="00805B97"/>
    <w:rsid w:val="00805D29"/>
    <w:rsid w:val="00805DAC"/>
    <w:rsid w:val="00805E89"/>
    <w:rsid w:val="0080632B"/>
    <w:rsid w:val="008066B7"/>
    <w:rsid w:val="00806A03"/>
    <w:rsid w:val="00806F60"/>
    <w:rsid w:val="0080730F"/>
    <w:rsid w:val="00807830"/>
    <w:rsid w:val="00807FE1"/>
    <w:rsid w:val="00810634"/>
    <w:rsid w:val="00810911"/>
    <w:rsid w:val="00810F6F"/>
    <w:rsid w:val="0081107F"/>
    <w:rsid w:val="00811875"/>
    <w:rsid w:val="00811AE8"/>
    <w:rsid w:val="00811BAD"/>
    <w:rsid w:val="00811BC3"/>
    <w:rsid w:val="00811E63"/>
    <w:rsid w:val="00811E7D"/>
    <w:rsid w:val="00812123"/>
    <w:rsid w:val="00812669"/>
    <w:rsid w:val="00812F64"/>
    <w:rsid w:val="00813145"/>
    <w:rsid w:val="008134D1"/>
    <w:rsid w:val="00813D5F"/>
    <w:rsid w:val="00813D8E"/>
    <w:rsid w:val="00813F34"/>
    <w:rsid w:val="0081403C"/>
    <w:rsid w:val="00814453"/>
    <w:rsid w:val="00814740"/>
    <w:rsid w:val="00814872"/>
    <w:rsid w:val="00814B74"/>
    <w:rsid w:val="00814BF9"/>
    <w:rsid w:val="008151EF"/>
    <w:rsid w:val="00815282"/>
    <w:rsid w:val="008158E8"/>
    <w:rsid w:val="00815C41"/>
    <w:rsid w:val="00815FA4"/>
    <w:rsid w:val="008168F2"/>
    <w:rsid w:val="00816B5C"/>
    <w:rsid w:val="00816F75"/>
    <w:rsid w:val="00816F94"/>
    <w:rsid w:val="008172FC"/>
    <w:rsid w:val="0081747E"/>
    <w:rsid w:val="00817481"/>
    <w:rsid w:val="008174A6"/>
    <w:rsid w:val="008174C1"/>
    <w:rsid w:val="0081751D"/>
    <w:rsid w:val="00817CEA"/>
    <w:rsid w:val="00817F21"/>
    <w:rsid w:val="00820031"/>
    <w:rsid w:val="008204C3"/>
    <w:rsid w:val="0082063E"/>
    <w:rsid w:val="0082071B"/>
    <w:rsid w:val="00820727"/>
    <w:rsid w:val="00820850"/>
    <w:rsid w:val="00820A05"/>
    <w:rsid w:val="00820A8C"/>
    <w:rsid w:val="00820D7F"/>
    <w:rsid w:val="008217F3"/>
    <w:rsid w:val="008218AB"/>
    <w:rsid w:val="00821F19"/>
    <w:rsid w:val="00822242"/>
    <w:rsid w:val="008229EF"/>
    <w:rsid w:val="00822AF6"/>
    <w:rsid w:val="00822D34"/>
    <w:rsid w:val="00822E54"/>
    <w:rsid w:val="00822F15"/>
    <w:rsid w:val="00822FD4"/>
    <w:rsid w:val="008230AC"/>
    <w:rsid w:val="00823369"/>
    <w:rsid w:val="00823A66"/>
    <w:rsid w:val="00823D1C"/>
    <w:rsid w:val="00823F54"/>
    <w:rsid w:val="0082416D"/>
    <w:rsid w:val="00824464"/>
    <w:rsid w:val="00824541"/>
    <w:rsid w:val="008245A8"/>
    <w:rsid w:val="00824618"/>
    <w:rsid w:val="00824780"/>
    <w:rsid w:val="00824FDF"/>
    <w:rsid w:val="008252E1"/>
    <w:rsid w:val="00825629"/>
    <w:rsid w:val="00825668"/>
    <w:rsid w:val="00825769"/>
    <w:rsid w:val="0082578A"/>
    <w:rsid w:val="008259A8"/>
    <w:rsid w:val="00825A19"/>
    <w:rsid w:val="00825A23"/>
    <w:rsid w:val="00825E6A"/>
    <w:rsid w:val="008260C9"/>
    <w:rsid w:val="00826252"/>
    <w:rsid w:val="00826AF3"/>
    <w:rsid w:val="00826C97"/>
    <w:rsid w:val="00826D46"/>
    <w:rsid w:val="00826D5B"/>
    <w:rsid w:val="0082722E"/>
    <w:rsid w:val="0082737E"/>
    <w:rsid w:val="00827702"/>
    <w:rsid w:val="0082777B"/>
    <w:rsid w:val="0082787D"/>
    <w:rsid w:val="00827C31"/>
    <w:rsid w:val="00827DB6"/>
    <w:rsid w:val="00827DD7"/>
    <w:rsid w:val="00827E5E"/>
    <w:rsid w:val="00827E6C"/>
    <w:rsid w:val="00830157"/>
    <w:rsid w:val="0083032B"/>
    <w:rsid w:val="0083045B"/>
    <w:rsid w:val="00830511"/>
    <w:rsid w:val="00830590"/>
    <w:rsid w:val="008305FE"/>
    <w:rsid w:val="00830631"/>
    <w:rsid w:val="008307B0"/>
    <w:rsid w:val="00830F2C"/>
    <w:rsid w:val="008310FF"/>
    <w:rsid w:val="00831221"/>
    <w:rsid w:val="0083125F"/>
    <w:rsid w:val="00831640"/>
    <w:rsid w:val="00831AAE"/>
    <w:rsid w:val="008320BF"/>
    <w:rsid w:val="0083214D"/>
    <w:rsid w:val="008326DA"/>
    <w:rsid w:val="00832DD8"/>
    <w:rsid w:val="00832FEF"/>
    <w:rsid w:val="008331E9"/>
    <w:rsid w:val="00833593"/>
    <w:rsid w:val="00833796"/>
    <w:rsid w:val="00833AF3"/>
    <w:rsid w:val="00833CF4"/>
    <w:rsid w:val="00833F27"/>
    <w:rsid w:val="00833F4C"/>
    <w:rsid w:val="0083410D"/>
    <w:rsid w:val="00834243"/>
    <w:rsid w:val="008345AE"/>
    <w:rsid w:val="0083465D"/>
    <w:rsid w:val="008346D3"/>
    <w:rsid w:val="00834BBE"/>
    <w:rsid w:val="00834C54"/>
    <w:rsid w:val="008351EC"/>
    <w:rsid w:val="0083524B"/>
    <w:rsid w:val="008352AF"/>
    <w:rsid w:val="00835412"/>
    <w:rsid w:val="008354A2"/>
    <w:rsid w:val="008356EF"/>
    <w:rsid w:val="00835756"/>
    <w:rsid w:val="00835847"/>
    <w:rsid w:val="00835B30"/>
    <w:rsid w:val="00835CE0"/>
    <w:rsid w:val="00836088"/>
    <w:rsid w:val="008361B4"/>
    <w:rsid w:val="0083627D"/>
    <w:rsid w:val="008365A9"/>
    <w:rsid w:val="00836655"/>
    <w:rsid w:val="008366E0"/>
    <w:rsid w:val="008371D2"/>
    <w:rsid w:val="008371DE"/>
    <w:rsid w:val="00837287"/>
    <w:rsid w:val="0083738B"/>
    <w:rsid w:val="008373F5"/>
    <w:rsid w:val="00837436"/>
    <w:rsid w:val="00837471"/>
    <w:rsid w:val="008377AF"/>
    <w:rsid w:val="008400E2"/>
    <w:rsid w:val="008401A6"/>
    <w:rsid w:val="00840594"/>
    <w:rsid w:val="008409C5"/>
    <w:rsid w:val="00840F80"/>
    <w:rsid w:val="0084132E"/>
    <w:rsid w:val="008419B4"/>
    <w:rsid w:val="0084251C"/>
    <w:rsid w:val="0084287E"/>
    <w:rsid w:val="00842C62"/>
    <w:rsid w:val="00842D7D"/>
    <w:rsid w:val="00842ED8"/>
    <w:rsid w:val="00843157"/>
    <w:rsid w:val="00843230"/>
    <w:rsid w:val="00843355"/>
    <w:rsid w:val="0084338F"/>
    <w:rsid w:val="00843590"/>
    <w:rsid w:val="0084360C"/>
    <w:rsid w:val="00843960"/>
    <w:rsid w:val="00843A05"/>
    <w:rsid w:val="00843A34"/>
    <w:rsid w:val="00843CBB"/>
    <w:rsid w:val="00843FFC"/>
    <w:rsid w:val="00844116"/>
    <w:rsid w:val="008442BD"/>
    <w:rsid w:val="00844C26"/>
    <w:rsid w:val="00844CEC"/>
    <w:rsid w:val="00844D4B"/>
    <w:rsid w:val="00844D8C"/>
    <w:rsid w:val="00844DAB"/>
    <w:rsid w:val="0084527C"/>
    <w:rsid w:val="00845405"/>
    <w:rsid w:val="0084573A"/>
    <w:rsid w:val="008457BE"/>
    <w:rsid w:val="00845BB4"/>
    <w:rsid w:val="00845D20"/>
    <w:rsid w:val="00845D4E"/>
    <w:rsid w:val="00845D9A"/>
    <w:rsid w:val="00845DBC"/>
    <w:rsid w:val="00845FB9"/>
    <w:rsid w:val="00846256"/>
    <w:rsid w:val="00846335"/>
    <w:rsid w:val="008465D4"/>
    <w:rsid w:val="0084663F"/>
    <w:rsid w:val="00846954"/>
    <w:rsid w:val="00846C34"/>
    <w:rsid w:val="00846D93"/>
    <w:rsid w:val="00847210"/>
    <w:rsid w:val="0084745A"/>
    <w:rsid w:val="008475AB"/>
    <w:rsid w:val="00847630"/>
    <w:rsid w:val="00847938"/>
    <w:rsid w:val="00847A60"/>
    <w:rsid w:val="00850162"/>
    <w:rsid w:val="00850441"/>
    <w:rsid w:val="0085064B"/>
    <w:rsid w:val="00850A14"/>
    <w:rsid w:val="00850A61"/>
    <w:rsid w:val="00850EF6"/>
    <w:rsid w:val="0085101B"/>
    <w:rsid w:val="008511A1"/>
    <w:rsid w:val="008513E6"/>
    <w:rsid w:val="00851431"/>
    <w:rsid w:val="00851A1D"/>
    <w:rsid w:val="00851B7E"/>
    <w:rsid w:val="00851EF2"/>
    <w:rsid w:val="00852059"/>
    <w:rsid w:val="0085227C"/>
    <w:rsid w:val="008524B4"/>
    <w:rsid w:val="00852B22"/>
    <w:rsid w:val="00852BAE"/>
    <w:rsid w:val="008534B3"/>
    <w:rsid w:val="00853710"/>
    <w:rsid w:val="00853902"/>
    <w:rsid w:val="00853FB6"/>
    <w:rsid w:val="0085409B"/>
    <w:rsid w:val="00854693"/>
    <w:rsid w:val="00854860"/>
    <w:rsid w:val="00854DAD"/>
    <w:rsid w:val="00854E03"/>
    <w:rsid w:val="00854F51"/>
    <w:rsid w:val="008550DD"/>
    <w:rsid w:val="0085522D"/>
    <w:rsid w:val="008555CB"/>
    <w:rsid w:val="00855618"/>
    <w:rsid w:val="008557B4"/>
    <w:rsid w:val="00855967"/>
    <w:rsid w:val="00855D32"/>
    <w:rsid w:val="00856143"/>
    <w:rsid w:val="0085661D"/>
    <w:rsid w:val="008567E2"/>
    <w:rsid w:val="00856999"/>
    <w:rsid w:val="00856AD4"/>
    <w:rsid w:val="00856C9F"/>
    <w:rsid w:val="00856CC6"/>
    <w:rsid w:val="00856E5A"/>
    <w:rsid w:val="008574B1"/>
    <w:rsid w:val="008574D6"/>
    <w:rsid w:val="00857771"/>
    <w:rsid w:val="008577FF"/>
    <w:rsid w:val="00857969"/>
    <w:rsid w:val="00857B39"/>
    <w:rsid w:val="00857F10"/>
    <w:rsid w:val="00860000"/>
    <w:rsid w:val="00860389"/>
    <w:rsid w:val="00860777"/>
    <w:rsid w:val="00860782"/>
    <w:rsid w:val="008607E6"/>
    <w:rsid w:val="00860D75"/>
    <w:rsid w:val="00860F79"/>
    <w:rsid w:val="00861043"/>
    <w:rsid w:val="008615DF"/>
    <w:rsid w:val="008618DE"/>
    <w:rsid w:val="008619AC"/>
    <w:rsid w:val="00861BC4"/>
    <w:rsid w:val="00861C31"/>
    <w:rsid w:val="00861C58"/>
    <w:rsid w:val="00861E4D"/>
    <w:rsid w:val="00862160"/>
    <w:rsid w:val="00862420"/>
    <w:rsid w:val="008625B4"/>
    <w:rsid w:val="00862771"/>
    <w:rsid w:val="00862B6B"/>
    <w:rsid w:val="00862BE3"/>
    <w:rsid w:val="00862F5C"/>
    <w:rsid w:val="00863242"/>
    <w:rsid w:val="00863670"/>
    <w:rsid w:val="0086377F"/>
    <w:rsid w:val="00863A1D"/>
    <w:rsid w:val="00863B15"/>
    <w:rsid w:val="00863D9A"/>
    <w:rsid w:val="00863DFC"/>
    <w:rsid w:val="00863F54"/>
    <w:rsid w:val="00864073"/>
    <w:rsid w:val="0086447D"/>
    <w:rsid w:val="0086497C"/>
    <w:rsid w:val="00864BF2"/>
    <w:rsid w:val="00864D9E"/>
    <w:rsid w:val="00864E04"/>
    <w:rsid w:val="00864F9B"/>
    <w:rsid w:val="008654C1"/>
    <w:rsid w:val="00865586"/>
    <w:rsid w:val="00865719"/>
    <w:rsid w:val="008658BE"/>
    <w:rsid w:val="008659AD"/>
    <w:rsid w:val="00865E76"/>
    <w:rsid w:val="008665BA"/>
    <w:rsid w:val="008667ED"/>
    <w:rsid w:val="00866B0A"/>
    <w:rsid w:val="00866CEA"/>
    <w:rsid w:val="00866E36"/>
    <w:rsid w:val="00866F84"/>
    <w:rsid w:val="00867631"/>
    <w:rsid w:val="008678E2"/>
    <w:rsid w:val="00867C55"/>
    <w:rsid w:val="00867CD7"/>
    <w:rsid w:val="00867CFE"/>
    <w:rsid w:val="00870537"/>
    <w:rsid w:val="008705C3"/>
    <w:rsid w:val="00870787"/>
    <w:rsid w:val="008709CD"/>
    <w:rsid w:val="00870D13"/>
    <w:rsid w:val="00870EC9"/>
    <w:rsid w:val="008711FE"/>
    <w:rsid w:val="00871715"/>
    <w:rsid w:val="00871927"/>
    <w:rsid w:val="00871AEA"/>
    <w:rsid w:val="00871D75"/>
    <w:rsid w:val="0087204B"/>
    <w:rsid w:val="00872096"/>
    <w:rsid w:val="00872239"/>
    <w:rsid w:val="008723B7"/>
    <w:rsid w:val="008727D6"/>
    <w:rsid w:val="00872ADA"/>
    <w:rsid w:val="00872C8F"/>
    <w:rsid w:val="00872D27"/>
    <w:rsid w:val="00872D78"/>
    <w:rsid w:val="00872D9A"/>
    <w:rsid w:val="00872F59"/>
    <w:rsid w:val="008730C0"/>
    <w:rsid w:val="0087329C"/>
    <w:rsid w:val="008732E5"/>
    <w:rsid w:val="008732FE"/>
    <w:rsid w:val="00873361"/>
    <w:rsid w:val="008733D5"/>
    <w:rsid w:val="008735E6"/>
    <w:rsid w:val="008738BD"/>
    <w:rsid w:val="00873A9D"/>
    <w:rsid w:val="00873B4E"/>
    <w:rsid w:val="00873CA3"/>
    <w:rsid w:val="0087423A"/>
    <w:rsid w:val="00874422"/>
    <w:rsid w:val="00874484"/>
    <w:rsid w:val="008746EF"/>
    <w:rsid w:val="00874716"/>
    <w:rsid w:val="00874AFF"/>
    <w:rsid w:val="00874BF1"/>
    <w:rsid w:val="00874CBC"/>
    <w:rsid w:val="008751C4"/>
    <w:rsid w:val="0087553F"/>
    <w:rsid w:val="0087576F"/>
    <w:rsid w:val="008758B5"/>
    <w:rsid w:val="008758E1"/>
    <w:rsid w:val="00875985"/>
    <w:rsid w:val="00875CA4"/>
    <w:rsid w:val="00875CBA"/>
    <w:rsid w:val="00875DD1"/>
    <w:rsid w:val="00876108"/>
    <w:rsid w:val="008767B8"/>
    <w:rsid w:val="008768F2"/>
    <w:rsid w:val="00876A23"/>
    <w:rsid w:val="00876CB8"/>
    <w:rsid w:val="00876FD9"/>
    <w:rsid w:val="00877077"/>
    <w:rsid w:val="008771A8"/>
    <w:rsid w:val="008774CB"/>
    <w:rsid w:val="008775E6"/>
    <w:rsid w:val="008776A8"/>
    <w:rsid w:val="00877819"/>
    <w:rsid w:val="008778C8"/>
    <w:rsid w:val="0087791A"/>
    <w:rsid w:val="00877DF4"/>
    <w:rsid w:val="0088028C"/>
    <w:rsid w:val="008805E5"/>
    <w:rsid w:val="00880AB5"/>
    <w:rsid w:val="008810E8"/>
    <w:rsid w:val="008810F5"/>
    <w:rsid w:val="00881805"/>
    <w:rsid w:val="00881864"/>
    <w:rsid w:val="00881A74"/>
    <w:rsid w:val="00881DB8"/>
    <w:rsid w:val="0088222B"/>
    <w:rsid w:val="008822C5"/>
    <w:rsid w:val="008823D0"/>
    <w:rsid w:val="0088247C"/>
    <w:rsid w:val="00882AB7"/>
    <w:rsid w:val="00882CD5"/>
    <w:rsid w:val="00882D0F"/>
    <w:rsid w:val="00882D6E"/>
    <w:rsid w:val="00882E4D"/>
    <w:rsid w:val="00882FC3"/>
    <w:rsid w:val="008831A5"/>
    <w:rsid w:val="00883204"/>
    <w:rsid w:val="00883835"/>
    <w:rsid w:val="00884002"/>
    <w:rsid w:val="00884B7A"/>
    <w:rsid w:val="00884C12"/>
    <w:rsid w:val="008854B5"/>
    <w:rsid w:val="008854DC"/>
    <w:rsid w:val="0088572B"/>
    <w:rsid w:val="008861BB"/>
    <w:rsid w:val="00886220"/>
    <w:rsid w:val="00886294"/>
    <w:rsid w:val="008864C4"/>
    <w:rsid w:val="00886805"/>
    <w:rsid w:val="00886E26"/>
    <w:rsid w:val="00886F2C"/>
    <w:rsid w:val="00887746"/>
    <w:rsid w:val="00887D64"/>
    <w:rsid w:val="00890AB4"/>
    <w:rsid w:val="00890CFE"/>
    <w:rsid w:val="00890DA0"/>
    <w:rsid w:val="0089105B"/>
    <w:rsid w:val="008911BA"/>
    <w:rsid w:val="008911D0"/>
    <w:rsid w:val="0089150F"/>
    <w:rsid w:val="00891512"/>
    <w:rsid w:val="008915D9"/>
    <w:rsid w:val="0089164B"/>
    <w:rsid w:val="00891A4A"/>
    <w:rsid w:val="00891C3C"/>
    <w:rsid w:val="00891CC0"/>
    <w:rsid w:val="0089204B"/>
    <w:rsid w:val="00892296"/>
    <w:rsid w:val="00892304"/>
    <w:rsid w:val="0089289D"/>
    <w:rsid w:val="008928D3"/>
    <w:rsid w:val="0089290E"/>
    <w:rsid w:val="00892943"/>
    <w:rsid w:val="00892984"/>
    <w:rsid w:val="00892A4D"/>
    <w:rsid w:val="00892CEC"/>
    <w:rsid w:val="00892D74"/>
    <w:rsid w:val="00892E1C"/>
    <w:rsid w:val="0089335A"/>
    <w:rsid w:val="00893718"/>
    <w:rsid w:val="00893801"/>
    <w:rsid w:val="00893802"/>
    <w:rsid w:val="00893A96"/>
    <w:rsid w:val="00893B71"/>
    <w:rsid w:val="00893D3B"/>
    <w:rsid w:val="0089402B"/>
    <w:rsid w:val="008940A6"/>
    <w:rsid w:val="0089431D"/>
    <w:rsid w:val="008943B1"/>
    <w:rsid w:val="00894A51"/>
    <w:rsid w:val="00894AF4"/>
    <w:rsid w:val="00894D9E"/>
    <w:rsid w:val="00894DCF"/>
    <w:rsid w:val="00894F09"/>
    <w:rsid w:val="008956B2"/>
    <w:rsid w:val="008957C0"/>
    <w:rsid w:val="00895A51"/>
    <w:rsid w:val="00895ADE"/>
    <w:rsid w:val="00895BCF"/>
    <w:rsid w:val="00895D94"/>
    <w:rsid w:val="008973BB"/>
    <w:rsid w:val="0089767C"/>
    <w:rsid w:val="00897704"/>
    <w:rsid w:val="008977F9"/>
    <w:rsid w:val="00897814"/>
    <w:rsid w:val="00897837"/>
    <w:rsid w:val="00897D4B"/>
    <w:rsid w:val="008A022F"/>
    <w:rsid w:val="008A03AA"/>
    <w:rsid w:val="008A084A"/>
    <w:rsid w:val="008A1035"/>
    <w:rsid w:val="008A1187"/>
    <w:rsid w:val="008A157B"/>
    <w:rsid w:val="008A16DF"/>
    <w:rsid w:val="008A17C1"/>
    <w:rsid w:val="008A1BB8"/>
    <w:rsid w:val="008A1FAC"/>
    <w:rsid w:val="008A2378"/>
    <w:rsid w:val="008A24D8"/>
    <w:rsid w:val="008A272A"/>
    <w:rsid w:val="008A2989"/>
    <w:rsid w:val="008A2EA7"/>
    <w:rsid w:val="008A32D7"/>
    <w:rsid w:val="008A35D2"/>
    <w:rsid w:val="008A38E8"/>
    <w:rsid w:val="008A4295"/>
    <w:rsid w:val="008A4AD5"/>
    <w:rsid w:val="008A519C"/>
    <w:rsid w:val="008A5435"/>
    <w:rsid w:val="008A5600"/>
    <w:rsid w:val="008A5B0E"/>
    <w:rsid w:val="008A5F6F"/>
    <w:rsid w:val="008A5FA7"/>
    <w:rsid w:val="008A6472"/>
    <w:rsid w:val="008A65D9"/>
    <w:rsid w:val="008A667A"/>
    <w:rsid w:val="008A670D"/>
    <w:rsid w:val="008A674C"/>
    <w:rsid w:val="008A6BD1"/>
    <w:rsid w:val="008A6CAB"/>
    <w:rsid w:val="008A70CD"/>
    <w:rsid w:val="008A73F7"/>
    <w:rsid w:val="008A761B"/>
    <w:rsid w:val="008A77E9"/>
    <w:rsid w:val="008A7ECE"/>
    <w:rsid w:val="008B0027"/>
    <w:rsid w:val="008B007D"/>
    <w:rsid w:val="008B02E7"/>
    <w:rsid w:val="008B0B8E"/>
    <w:rsid w:val="008B0F22"/>
    <w:rsid w:val="008B1323"/>
    <w:rsid w:val="008B1499"/>
    <w:rsid w:val="008B1AE7"/>
    <w:rsid w:val="008B2029"/>
    <w:rsid w:val="008B2282"/>
    <w:rsid w:val="008B259F"/>
    <w:rsid w:val="008B25CE"/>
    <w:rsid w:val="008B2724"/>
    <w:rsid w:val="008B27D4"/>
    <w:rsid w:val="008B2A5F"/>
    <w:rsid w:val="008B2C85"/>
    <w:rsid w:val="008B2E3C"/>
    <w:rsid w:val="008B2F13"/>
    <w:rsid w:val="008B2F9E"/>
    <w:rsid w:val="008B30B6"/>
    <w:rsid w:val="008B34AB"/>
    <w:rsid w:val="008B39C5"/>
    <w:rsid w:val="008B3B1D"/>
    <w:rsid w:val="008B3E3C"/>
    <w:rsid w:val="008B3FD7"/>
    <w:rsid w:val="008B4070"/>
    <w:rsid w:val="008B4077"/>
    <w:rsid w:val="008B4C79"/>
    <w:rsid w:val="008B4CE8"/>
    <w:rsid w:val="008B4D13"/>
    <w:rsid w:val="008B5199"/>
    <w:rsid w:val="008B5294"/>
    <w:rsid w:val="008B537A"/>
    <w:rsid w:val="008B5883"/>
    <w:rsid w:val="008B5DD8"/>
    <w:rsid w:val="008B5EED"/>
    <w:rsid w:val="008B6023"/>
    <w:rsid w:val="008B6296"/>
    <w:rsid w:val="008B6460"/>
    <w:rsid w:val="008B6519"/>
    <w:rsid w:val="008B6857"/>
    <w:rsid w:val="008B6BBB"/>
    <w:rsid w:val="008B6C49"/>
    <w:rsid w:val="008B6E3B"/>
    <w:rsid w:val="008B70E5"/>
    <w:rsid w:val="008B7115"/>
    <w:rsid w:val="008B7375"/>
    <w:rsid w:val="008B73D0"/>
    <w:rsid w:val="008B7433"/>
    <w:rsid w:val="008B7505"/>
    <w:rsid w:val="008B7D68"/>
    <w:rsid w:val="008B7D71"/>
    <w:rsid w:val="008B7F53"/>
    <w:rsid w:val="008B7FBA"/>
    <w:rsid w:val="008C0728"/>
    <w:rsid w:val="008C09FB"/>
    <w:rsid w:val="008C0A3A"/>
    <w:rsid w:val="008C0A63"/>
    <w:rsid w:val="008C0CA3"/>
    <w:rsid w:val="008C0D33"/>
    <w:rsid w:val="008C0EC0"/>
    <w:rsid w:val="008C0F5E"/>
    <w:rsid w:val="008C117E"/>
    <w:rsid w:val="008C1647"/>
    <w:rsid w:val="008C192E"/>
    <w:rsid w:val="008C1B4E"/>
    <w:rsid w:val="008C1E28"/>
    <w:rsid w:val="008C2063"/>
    <w:rsid w:val="008C20F7"/>
    <w:rsid w:val="008C24FF"/>
    <w:rsid w:val="008C2944"/>
    <w:rsid w:val="008C2954"/>
    <w:rsid w:val="008C29A7"/>
    <w:rsid w:val="008C3015"/>
    <w:rsid w:val="008C3332"/>
    <w:rsid w:val="008C353C"/>
    <w:rsid w:val="008C3557"/>
    <w:rsid w:val="008C37FC"/>
    <w:rsid w:val="008C3BE0"/>
    <w:rsid w:val="008C3D90"/>
    <w:rsid w:val="008C3F6B"/>
    <w:rsid w:val="008C4471"/>
    <w:rsid w:val="008C45C0"/>
    <w:rsid w:val="008C4849"/>
    <w:rsid w:val="008C4C6E"/>
    <w:rsid w:val="008C4DAE"/>
    <w:rsid w:val="008C4E05"/>
    <w:rsid w:val="008C4E33"/>
    <w:rsid w:val="008C50A4"/>
    <w:rsid w:val="008C52FF"/>
    <w:rsid w:val="008C5ABC"/>
    <w:rsid w:val="008C5FAD"/>
    <w:rsid w:val="008C606A"/>
    <w:rsid w:val="008C618A"/>
    <w:rsid w:val="008C654C"/>
    <w:rsid w:val="008C660A"/>
    <w:rsid w:val="008C66C8"/>
    <w:rsid w:val="008C6734"/>
    <w:rsid w:val="008C6B44"/>
    <w:rsid w:val="008C6BF3"/>
    <w:rsid w:val="008C6CB0"/>
    <w:rsid w:val="008C71B8"/>
    <w:rsid w:val="008C759F"/>
    <w:rsid w:val="008C75E2"/>
    <w:rsid w:val="008C78CA"/>
    <w:rsid w:val="008C7AAE"/>
    <w:rsid w:val="008C7AC1"/>
    <w:rsid w:val="008C7D6E"/>
    <w:rsid w:val="008C7E71"/>
    <w:rsid w:val="008D0045"/>
    <w:rsid w:val="008D0100"/>
    <w:rsid w:val="008D02F3"/>
    <w:rsid w:val="008D04D1"/>
    <w:rsid w:val="008D0559"/>
    <w:rsid w:val="008D0666"/>
    <w:rsid w:val="008D0940"/>
    <w:rsid w:val="008D0FEB"/>
    <w:rsid w:val="008D130F"/>
    <w:rsid w:val="008D1467"/>
    <w:rsid w:val="008D1583"/>
    <w:rsid w:val="008D1705"/>
    <w:rsid w:val="008D1BDC"/>
    <w:rsid w:val="008D1C5C"/>
    <w:rsid w:val="008D1DD0"/>
    <w:rsid w:val="008D1F0A"/>
    <w:rsid w:val="008D254E"/>
    <w:rsid w:val="008D2979"/>
    <w:rsid w:val="008D29C3"/>
    <w:rsid w:val="008D2FFB"/>
    <w:rsid w:val="008D306A"/>
    <w:rsid w:val="008D330B"/>
    <w:rsid w:val="008D339F"/>
    <w:rsid w:val="008D36E5"/>
    <w:rsid w:val="008D371F"/>
    <w:rsid w:val="008D3998"/>
    <w:rsid w:val="008D3A85"/>
    <w:rsid w:val="008D3EEA"/>
    <w:rsid w:val="008D3F83"/>
    <w:rsid w:val="008D3F99"/>
    <w:rsid w:val="008D41F1"/>
    <w:rsid w:val="008D42AD"/>
    <w:rsid w:val="008D42C4"/>
    <w:rsid w:val="008D436E"/>
    <w:rsid w:val="008D4638"/>
    <w:rsid w:val="008D48A9"/>
    <w:rsid w:val="008D4B00"/>
    <w:rsid w:val="008D4EE6"/>
    <w:rsid w:val="008D4F78"/>
    <w:rsid w:val="008D532E"/>
    <w:rsid w:val="008D592C"/>
    <w:rsid w:val="008D5E56"/>
    <w:rsid w:val="008D5F8E"/>
    <w:rsid w:val="008D61FD"/>
    <w:rsid w:val="008D6336"/>
    <w:rsid w:val="008D6512"/>
    <w:rsid w:val="008D6560"/>
    <w:rsid w:val="008D66F8"/>
    <w:rsid w:val="008D6809"/>
    <w:rsid w:val="008D6828"/>
    <w:rsid w:val="008D68D0"/>
    <w:rsid w:val="008D700D"/>
    <w:rsid w:val="008D7DCF"/>
    <w:rsid w:val="008D7F38"/>
    <w:rsid w:val="008E00B9"/>
    <w:rsid w:val="008E09BE"/>
    <w:rsid w:val="008E09ED"/>
    <w:rsid w:val="008E0BB5"/>
    <w:rsid w:val="008E1001"/>
    <w:rsid w:val="008E10C5"/>
    <w:rsid w:val="008E128D"/>
    <w:rsid w:val="008E1432"/>
    <w:rsid w:val="008E1793"/>
    <w:rsid w:val="008E1893"/>
    <w:rsid w:val="008E18E1"/>
    <w:rsid w:val="008E18E4"/>
    <w:rsid w:val="008E18E8"/>
    <w:rsid w:val="008E1920"/>
    <w:rsid w:val="008E1A92"/>
    <w:rsid w:val="008E1E3D"/>
    <w:rsid w:val="008E21C6"/>
    <w:rsid w:val="008E233E"/>
    <w:rsid w:val="008E2398"/>
    <w:rsid w:val="008E24A7"/>
    <w:rsid w:val="008E2719"/>
    <w:rsid w:val="008E2B32"/>
    <w:rsid w:val="008E31FE"/>
    <w:rsid w:val="008E346C"/>
    <w:rsid w:val="008E350A"/>
    <w:rsid w:val="008E35BB"/>
    <w:rsid w:val="008E35E5"/>
    <w:rsid w:val="008E3639"/>
    <w:rsid w:val="008E38C2"/>
    <w:rsid w:val="008E38F9"/>
    <w:rsid w:val="008E3AA6"/>
    <w:rsid w:val="008E3AAB"/>
    <w:rsid w:val="008E458F"/>
    <w:rsid w:val="008E48E2"/>
    <w:rsid w:val="008E4992"/>
    <w:rsid w:val="008E5041"/>
    <w:rsid w:val="008E560B"/>
    <w:rsid w:val="008E5A23"/>
    <w:rsid w:val="008E5CD1"/>
    <w:rsid w:val="008E5D25"/>
    <w:rsid w:val="008E6088"/>
    <w:rsid w:val="008E6292"/>
    <w:rsid w:val="008E629F"/>
    <w:rsid w:val="008E62AA"/>
    <w:rsid w:val="008E65EA"/>
    <w:rsid w:val="008E6608"/>
    <w:rsid w:val="008E68C4"/>
    <w:rsid w:val="008E715E"/>
    <w:rsid w:val="008E723C"/>
    <w:rsid w:val="008E7305"/>
    <w:rsid w:val="008E747D"/>
    <w:rsid w:val="008E74B0"/>
    <w:rsid w:val="008E7726"/>
    <w:rsid w:val="008E7967"/>
    <w:rsid w:val="008E79FF"/>
    <w:rsid w:val="008E7A69"/>
    <w:rsid w:val="008E7D36"/>
    <w:rsid w:val="008F0233"/>
    <w:rsid w:val="008F093B"/>
    <w:rsid w:val="008F0974"/>
    <w:rsid w:val="008F0A53"/>
    <w:rsid w:val="008F0E2B"/>
    <w:rsid w:val="008F0EFA"/>
    <w:rsid w:val="008F0F4D"/>
    <w:rsid w:val="008F1459"/>
    <w:rsid w:val="008F1738"/>
    <w:rsid w:val="008F198D"/>
    <w:rsid w:val="008F1A32"/>
    <w:rsid w:val="008F1B9F"/>
    <w:rsid w:val="008F1C78"/>
    <w:rsid w:val="008F1E88"/>
    <w:rsid w:val="008F1EEC"/>
    <w:rsid w:val="008F2038"/>
    <w:rsid w:val="008F20A8"/>
    <w:rsid w:val="008F2203"/>
    <w:rsid w:val="008F223F"/>
    <w:rsid w:val="008F2815"/>
    <w:rsid w:val="008F2C56"/>
    <w:rsid w:val="008F3422"/>
    <w:rsid w:val="008F34E3"/>
    <w:rsid w:val="008F37D5"/>
    <w:rsid w:val="008F3BD8"/>
    <w:rsid w:val="008F3D2A"/>
    <w:rsid w:val="008F4160"/>
    <w:rsid w:val="008F4605"/>
    <w:rsid w:val="008F49FF"/>
    <w:rsid w:val="008F4A25"/>
    <w:rsid w:val="008F4BED"/>
    <w:rsid w:val="008F4CC5"/>
    <w:rsid w:val="008F4CEE"/>
    <w:rsid w:val="008F4CFC"/>
    <w:rsid w:val="008F4D24"/>
    <w:rsid w:val="008F53F6"/>
    <w:rsid w:val="008F544F"/>
    <w:rsid w:val="008F54CF"/>
    <w:rsid w:val="008F5563"/>
    <w:rsid w:val="008F5764"/>
    <w:rsid w:val="008F58A5"/>
    <w:rsid w:val="008F59EA"/>
    <w:rsid w:val="008F5A4F"/>
    <w:rsid w:val="008F5D66"/>
    <w:rsid w:val="008F5F84"/>
    <w:rsid w:val="008F65B3"/>
    <w:rsid w:val="008F683A"/>
    <w:rsid w:val="008F753E"/>
    <w:rsid w:val="008F7582"/>
    <w:rsid w:val="008F767A"/>
    <w:rsid w:val="008F76C5"/>
    <w:rsid w:val="008F7828"/>
    <w:rsid w:val="008F78BD"/>
    <w:rsid w:val="008F7BD4"/>
    <w:rsid w:val="008F7BF0"/>
    <w:rsid w:val="008F7BFE"/>
    <w:rsid w:val="009000DE"/>
    <w:rsid w:val="009006B2"/>
    <w:rsid w:val="00900761"/>
    <w:rsid w:val="009007B6"/>
    <w:rsid w:val="00900DE9"/>
    <w:rsid w:val="00900F43"/>
    <w:rsid w:val="00900F60"/>
    <w:rsid w:val="0090189B"/>
    <w:rsid w:val="00901CD6"/>
    <w:rsid w:val="00902367"/>
    <w:rsid w:val="009026A5"/>
    <w:rsid w:val="009028C7"/>
    <w:rsid w:val="00902AFB"/>
    <w:rsid w:val="00902D40"/>
    <w:rsid w:val="00902FBB"/>
    <w:rsid w:val="009033FA"/>
    <w:rsid w:val="00903551"/>
    <w:rsid w:val="009035BD"/>
    <w:rsid w:val="0090364C"/>
    <w:rsid w:val="00903F6A"/>
    <w:rsid w:val="00904192"/>
    <w:rsid w:val="0090426D"/>
    <w:rsid w:val="00904388"/>
    <w:rsid w:val="00904592"/>
    <w:rsid w:val="009045AD"/>
    <w:rsid w:val="0090481B"/>
    <w:rsid w:val="009048C0"/>
    <w:rsid w:val="00904B0E"/>
    <w:rsid w:val="00904C65"/>
    <w:rsid w:val="00904C7B"/>
    <w:rsid w:val="0090517C"/>
    <w:rsid w:val="00905564"/>
    <w:rsid w:val="00905A65"/>
    <w:rsid w:val="00905DDC"/>
    <w:rsid w:val="00905F3E"/>
    <w:rsid w:val="00906260"/>
    <w:rsid w:val="009065C0"/>
    <w:rsid w:val="009066AD"/>
    <w:rsid w:val="009068A2"/>
    <w:rsid w:val="00906BCB"/>
    <w:rsid w:val="00906DBB"/>
    <w:rsid w:val="00906E92"/>
    <w:rsid w:val="00906FDF"/>
    <w:rsid w:val="0090766F"/>
    <w:rsid w:val="0090788C"/>
    <w:rsid w:val="0091058B"/>
    <w:rsid w:val="009105FF"/>
    <w:rsid w:val="00910603"/>
    <w:rsid w:val="009107F5"/>
    <w:rsid w:val="00910A27"/>
    <w:rsid w:val="00910A49"/>
    <w:rsid w:val="00911367"/>
    <w:rsid w:val="009114C6"/>
    <w:rsid w:val="009121AE"/>
    <w:rsid w:val="0091230C"/>
    <w:rsid w:val="009125DC"/>
    <w:rsid w:val="00912821"/>
    <w:rsid w:val="00912B0F"/>
    <w:rsid w:val="00912CD4"/>
    <w:rsid w:val="0091305D"/>
    <w:rsid w:val="00913137"/>
    <w:rsid w:val="0091335A"/>
    <w:rsid w:val="00913547"/>
    <w:rsid w:val="009135AB"/>
    <w:rsid w:val="009136BC"/>
    <w:rsid w:val="009137EE"/>
    <w:rsid w:val="00913A21"/>
    <w:rsid w:val="00913A94"/>
    <w:rsid w:val="00913C68"/>
    <w:rsid w:val="009140AD"/>
    <w:rsid w:val="009140F6"/>
    <w:rsid w:val="00914133"/>
    <w:rsid w:val="00914208"/>
    <w:rsid w:val="009142DB"/>
    <w:rsid w:val="009149AE"/>
    <w:rsid w:val="00914C36"/>
    <w:rsid w:val="0091512E"/>
    <w:rsid w:val="009151D9"/>
    <w:rsid w:val="009156AE"/>
    <w:rsid w:val="00915BAF"/>
    <w:rsid w:val="00915CA6"/>
    <w:rsid w:val="00916077"/>
    <w:rsid w:val="009162D6"/>
    <w:rsid w:val="0091695B"/>
    <w:rsid w:val="009169FC"/>
    <w:rsid w:val="00916A33"/>
    <w:rsid w:val="00916C87"/>
    <w:rsid w:val="00917198"/>
    <w:rsid w:val="00917756"/>
    <w:rsid w:val="0091786F"/>
    <w:rsid w:val="00917DFD"/>
    <w:rsid w:val="00917E76"/>
    <w:rsid w:val="00920190"/>
    <w:rsid w:val="009201D8"/>
    <w:rsid w:val="00920263"/>
    <w:rsid w:val="009209CE"/>
    <w:rsid w:val="00920A7B"/>
    <w:rsid w:val="00920ED9"/>
    <w:rsid w:val="00921270"/>
    <w:rsid w:val="0092182D"/>
    <w:rsid w:val="00921F27"/>
    <w:rsid w:val="00922511"/>
    <w:rsid w:val="00922CC7"/>
    <w:rsid w:val="00922FD5"/>
    <w:rsid w:val="00923228"/>
    <w:rsid w:val="009233DD"/>
    <w:rsid w:val="00923580"/>
    <w:rsid w:val="009237BA"/>
    <w:rsid w:val="00923833"/>
    <w:rsid w:val="009238C6"/>
    <w:rsid w:val="00923C53"/>
    <w:rsid w:val="00923C95"/>
    <w:rsid w:val="009240CB"/>
    <w:rsid w:val="00924848"/>
    <w:rsid w:val="009248EC"/>
    <w:rsid w:val="00924918"/>
    <w:rsid w:val="009249E1"/>
    <w:rsid w:val="009249EC"/>
    <w:rsid w:val="00924C08"/>
    <w:rsid w:val="00924C24"/>
    <w:rsid w:val="00924C2C"/>
    <w:rsid w:val="00925041"/>
    <w:rsid w:val="00925374"/>
    <w:rsid w:val="009253CA"/>
    <w:rsid w:val="0092567F"/>
    <w:rsid w:val="00925AA5"/>
    <w:rsid w:val="00925ACB"/>
    <w:rsid w:val="00925B65"/>
    <w:rsid w:val="00925D04"/>
    <w:rsid w:val="00925D69"/>
    <w:rsid w:val="00925DF7"/>
    <w:rsid w:val="009263ED"/>
    <w:rsid w:val="00926439"/>
    <w:rsid w:val="0092659F"/>
    <w:rsid w:val="00926869"/>
    <w:rsid w:val="00926901"/>
    <w:rsid w:val="009269AB"/>
    <w:rsid w:val="00926B61"/>
    <w:rsid w:val="00926C4A"/>
    <w:rsid w:val="00926E05"/>
    <w:rsid w:val="00926E67"/>
    <w:rsid w:val="00926F68"/>
    <w:rsid w:val="00927149"/>
    <w:rsid w:val="00927968"/>
    <w:rsid w:val="00927A79"/>
    <w:rsid w:val="00927AF8"/>
    <w:rsid w:val="00927CB1"/>
    <w:rsid w:val="00927F6D"/>
    <w:rsid w:val="009300BD"/>
    <w:rsid w:val="00930244"/>
    <w:rsid w:val="00930316"/>
    <w:rsid w:val="009304FB"/>
    <w:rsid w:val="009306C0"/>
    <w:rsid w:val="00930859"/>
    <w:rsid w:val="0093087C"/>
    <w:rsid w:val="00930A2D"/>
    <w:rsid w:val="00930B71"/>
    <w:rsid w:val="009312E8"/>
    <w:rsid w:val="00931569"/>
    <w:rsid w:val="00931579"/>
    <w:rsid w:val="00931739"/>
    <w:rsid w:val="00931808"/>
    <w:rsid w:val="00931E77"/>
    <w:rsid w:val="00931FB6"/>
    <w:rsid w:val="00932087"/>
    <w:rsid w:val="009321D1"/>
    <w:rsid w:val="009321E6"/>
    <w:rsid w:val="009321FB"/>
    <w:rsid w:val="00932385"/>
    <w:rsid w:val="00932A0E"/>
    <w:rsid w:val="00932CCE"/>
    <w:rsid w:val="0093321E"/>
    <w:rsid w:val="0093335B"/>
    <w:rsid w:val="00933430"/>
    <w:rsid w:val="009335AA"/>
    <w:rsid w:val="00933673"/>
    <w:rsid w:val="00933870"/>
    <w:rsid w:val="009338F1"/>
    <w:rsid w:val="009339B9"/>
    <w:rsid w:val="00933A93"/>
    <w:rsid w:val="00933D51"/>
    <w:rsid w:val="00933E7E"/>
    <w:rsid w:val="00934006"/>
    <w:rsid w:val="009346E0"/>
    <w:rsid w:val="00934982"/>
    <w:rsid w:val="00934AD4"/>
    <w:rsid w:val="00934B31"/>
    <w:rsid w:val="00934C1E"/>
    <w:rsid w:val="00934EA2"/>
    <w:rsid w:val="00934F37"/>
    <w:rsid w:val="00934FED"/>
    <w:rsid w:val="00935350"/>
    <w:rsid w:val="009353A7"/>
    <w:rsid w:val="0093586E"/>
    <w:rsid w:val="0093587F"/>
    <w:rsid w:val="00935C48"/>
    <w:rsid w:val="00935CED"/>
    <w:rsid w:val="00935E55"/>
    <w:rsid w:val="009361B5"/>
    <w:rsid w:val="009361F9"/>
    <w:rsid w:val="0093651B"/>
    <w:rsid w:val="009369F1"/>
    <w:rsid w:val="0093734C"/>
    <w:rsid w:val="0093754D"/>
    <w:rsid w:val="00937740"/>
    <w:rsid w:val="00937AD7"/>
    <w:rsid w:val="00937E01"/>
    <w:rsid w:val="009400C5"/>
    <w:rsid w:val="0094019D"/>
    <w:rsid w:val="00940285"/>
    <w:rsid w:val="00940364"/>
    <w:rsid w:val="00940392"/>
    <w:rsid w:val="009403B8"/>
    <w:rsid w:val="009406FD"/>
    <w:rsid w:val="00940754"/>
    <w:rsid w:val="00940876"/>
    <w:rsid w:val="00940FA9"/>
    <w:rsid w:val="0094122C"/>
    <w:rsid w:val="009412DA"/>
    <w:rsid w:val="0094154D"/>
    <w:rsid w:val="0094175F"/>
    <w:rsid w:val="009417B0"/>
    <w:rsid w:val="009419D1"/>
    <w:rsid w:val="00941AAE"/>
    <w:rsid w:val="00941DAF"/>
    <w:rsid w:val="00941DB0"/>
    <w:rsid w:val="00941E88"/>
    <w:rsid w:val="00941E8A"/>
    <w:rsid w:val="00942518"/>
    <w:rsid w:val="00942559"/>
    <w:rsid w:val="0094257A"/>
    <w:rsid w:val="00942875"/>
    <w:rsid w:val="0094294A"/>
    <w:rsid w:val="00942BAF"/>
    <w:rsid w:val="00942C11"/>
    <w:rsid w:val="00943201"/>
    <w:rsid w:val="00943878"/>
    <w:rsid w:val="00943883"/>
    <w:rsid w:val="009442BA"/>
    <w:rsid w:val="009443A8"/>
    <w:rsid w:val="00944695"/>
    <w:rsid w:val="009456EA"/>
    <w:rsid w:val="00945A24"/>
    <w:rsid w:val="00945D17"/>
    <w:rsid w:val="00946125"/>
    <w:rsid w:val="0094635D"/>
    <w:rsid w:val="00946689"/>
    <w:rsid w:val="009468A6"/>
    <w:rsid w:val="00946995"/>
    <w:rsid w:val="00946A30"/>
    <w:rsid w:val="00946A41"/>
    <w:rsid w:val="00946AAC"/>
    <w:rsid w:val="00946B10"/>
    <w:rsid w:val="00946DA1"/>
    <w:rsid w:val="0094703F"/>
    <w:rsid w:val="00947776"/>
    <w:rsid w:val="00947A63"/>
    <w:rsid w:val="00950006"/>
    <w:rsid w:val="00950212"/>
    <w:rsid w:val="00950470"/>
    <w:rsid w:val="00950767"/>
    <w:rsid w:val="0095097B"/>
    <w:rsid w:val="00950CFD"/>
    <w:rsid w:val="00951027"/>
    <w:rsid w:val="00951095"/>
    <w:rsid w:val="00951CF7"/>
    <w:rsid w:val="00951D76"/>
    <w:rsid w:val="00951EFE"/>
    <w:rsid w:val="00951F60"/>
    <w:rsid w:val="00952076"/>
    <w:rsid w:val="00952144"/>
    <w:rsid w:val="009521B3"/>
    <w:rsid w:val="00952222"/>
    <w:rsid w:val="00952332"/>
    <w:rsid w:val="00952450"/>
    <w:rsid w:val="00952629"/>
    <w:rsid w:val="009527C3"/>
    <w:rsid w:val="009529C2"/>
    <w:rsid w:val="00953105"/>
    <w:rsid w:val="009535E0"/>
    <w:rsid w:val="009537ED"/>
    <w:rsid w:val="00954461"/>
    <w:rsid w:val="009544EA"/>
    <w:rsid w:val="0095480B"/>
    <w:rsid w:val="00954AC4"/>
    <w:rsid w:val="00954B6B"/>
    <w:rsid w:val="00954C5D"/>
    <w:rsid w:val="00954F13"/>
    <w:rsid w:val="00954F57"/>
    <w:rsid w:val="00955095"/>
    <w:rsid w:val="00955328"/>
    <w:rsid w:val="00955639"/>
    <w:rsid w:val="00955804"/>
    <w:rsid w:val="009558A3"/>
    <w:rsid w:val="00955AD5"/>
    <w:rsid w:val="00955CDF"/>
    <w:rsid w:val="009563B1"/>
    <w:rsid w:val="00956DA7"/>
    <w:rsid w:val="00956DB8"/>
    <w:rsid w:val="00957220"/>
    <w:rsid w:val="009576C1"/>
    <w:rsid w:val="00957881"/>
    <w:rsid w:val="009578D1"/>
    <w:rsid w:val="0095798C"/>
    <w:rsid w:val="00957A87"/>
    <w:rsid w:val="00957B3B"/>
    <w:rsid w:val="00957C5D"/>
    <w:rsid w:val="00960042"/>
    <w:rsid w:val="00960456"/>
    <w:rsid w:val="00960461"/>
    <w:rsid w:val="0096062B"/>
    <w:rsid w:val="00960983"/>
    <w:rsid w:val="00960F6C"/>
    <w:rsid w:val="00960F8C"/>
    <w:rsid w:val="00960F91"/>
    <w:rsid w:val="00960FAD"/>
    <w:rsid w:val="00961077"/>
    <w:rsid w:val="009611F4"/>
    <w:rsid w:val="00961295"/>
    <w:rsid w:val="00961850"/>
    <w:rsid w:val="00961A9B"/>
    <w:rsid w:val="00961BD6"/>
    <w:rsid w:val="00961D00"/>
    <w:rsid w:val="00961DDC"/>
    <w:rsid w:val="00961ED8"/>
    <w:rsid w:val="00962087"/>
    <w:rsid w:val="009622A9"/>
    <w:rsid w:val="0096231E"/>
    <w:rsid w:val="0096246A"/>
    <w:rsid w:val="009626C2"/>
    <w:rsid w:val="009628C9"/>
    <w:rsid w:val="009629B9"/>
    <w:rsid w:val="00962E69"/>
    <w:rsid w:val="00962E97"/>
    <w:rsid w:val="00962F8D"/>
    <w:rsid w:val="0096339F"/>
    <w:rsid w:val="009633A0"/>
    <w:rsid w:val="0096349B"/>
    <w:rsid w:val="00963886"/>
    <w:rsid w:val="00963E0E"/>
    <w:rsid w:val="00963E8D"/>
    <w:rsid w:val="00964409"/>
    <w:rsid w:val="00964413"/>
    <w:rsid w:val="00964611"/>
    <w:rsid w:val="00964894"/>
    <w:rsid w:val="00964D49"/>
    <w:rsid w:val="009651E9"/>
    <w:rsid w:val="009653DC"/>
    <w:rsid w:val="00965544"/>
    <w:rsid w:val="00965A24"/>
    <w:rsid w:val="00965C7D"/>
    <w:rsid w:val="00966217"/>
    <w:rsid w:val="00966251"/>
    <w:rsid w:val="00966861"/>
    <w:rsid w:val="009668B3"/>
    <w:rsid w:val="009669C8"/>
    <w:rsid w:val="00966D45"/>
    <w:rsid w:val="00966E41"/>
    <w:rsid w:val="00966E4A"/>
    <w:rsid w:val="00966E85"/>
    <w:rsid w:val="00966F8B"/>
    <w:rsid w:val="0096729F"/>
    <w:rsid w:val="0096757B"/>
    <w:rsid w:val="0096761B"/>
    <w:rsid w:val="009678A3"/>
    <w:rsid w:val="0096795D"/>
    <w:rsid w:val="00967D0E"/>
    <w:rsid w:val="00967DCE"/>
    <w:rsid w:val="0097001D"/>
    <w:rsid w:val="0097026A"/>
    <w:rsid w:val="00970470"/>
    <w:rsid w:val="0097051C"/>
    <w:rsid w:val="00970644"/>
    <w:rsid w:val="009708F5"/>
    <w:rsid w:val="00970B3B"/>
    <w:rsid w:val="00970CC3"/>
    <w:rsid w:val="0097103D"/>
    <w:rsid w:val="00971071"/>
    <w:rsid w:val="00971555"/>
    <w:rsid w:val="009716C1"/>
    <w:rsid w:val="009716D6"/>
    <w:rsid w:val="00971C1C"/>
    <w:rsid w:val="00972912"/>
    <w:rsid w:val="00972A93"/>
    <w:rsid w:val="00972B42"/>
    <w:rsid w:val="00972D20"/>
    <w:rsid w:val="00972ED6"/>
    <w:rsid w:val="009731C2"/>
    <w:rsid w:val="009732EC"/>
    <w:rsid w:val="0097332B"/>
    <w:rsid w:val="00973454"/>
    <w:rsid w:val="009735C0"/>
    <w:rsid w:val="00973A38"/>
    <w:rsid w:val="00973B32"/>
    <w:rsid w:val="00973D7D"/>
    <w:rsid w:val="00973F5B"/>
    <w:rsid w:val="0097405F"/>
    <w:rsid w:val="009742EE"/>
    <w:rsid w:val="00974581"/>
    <w:rsid w:val="00974A68"/>
    <w:rsid w:val="00974B55"/>
    <w:rsid w:val="00974B6F"/>
    <w:rsid w:val="00974C61"/>
    <w:rsid w:val="00974CB6"/>
    <w:rsid w:val="00974E75"/>
    <w:rsid w:val="00974ECF"/>
    <w:rsid w:val="009753D4"/>
    <w:rsid w:val="0097541A"/>
    <w:rsid w:val="0097564B"/>
    <w:rsid w:val="00975873"/>
    <w:rsid w:val="00975877"/>
    <w:rsid w:val="009764F4"/>
    <w:rsid w:val="009766D5"/>
    <w:rsid w:val="009766E1"/>
    <w:rsid w:val="00976E9C"/>
    <w:rsid w:val="00976F62"/>
    <w:rsid w:val="00976FAE"/>
    <w:rsid w:val="00977127"/>
    <w:rsid w:val="00977474"/>
    <w:rsid w:val="00977D0E"/>
    <w:rsid w:val="009800F5"/>
    <w:rsid w:val="00980321"/>
    <w:rsid w:val="00980385"/>
    <w:rsid w:val="009803B5"/>
    <w:rsid w:val="00980550"/>
    <w:rsid w:val="0098066F"/>
    <w:rsid w:val="0098086E"/>
    <w:rsid w:val="00980AD1"/>
    <w:rsid w:val="00980C9E"/>
    <w:rsid w:val="00980DFA"/>
    <w:rsid w:val="00980F2E"/>
    <w:rsid w:val="009810D5"/>
    <w:rsid w:val="00981125"/>
    <w:rsid w:val="00981268"/>
    <w:rsid w:val="00981531"/>
    <w:rsid w:val="009815AE"/>
    <w:rsid w:val="0098175B"/>
    <w:rsid w:val="00981D88"/>
    <w:rsid w:val="009821CE"/>
    <w:rsid w:val="0098222F"/>
    <w:rsid w:val="009829A5"/>
    <w:rsid w:val="00982BDB"/>
    <w:rsid w:val="00982F3B"/>
    <w:rsid w:val="00982FA5"/>
    <w:rsid w:val="009837FA"/>
    <w:rsid w:val="00983A2C"/>
    <w:rsid w:val="00983E81"/>
    <w:rsid w:val="00984445"/>
    <w:rsid w:val="00984BD2"/>
    <w:rsid w:val="00984E68"/>
    <w:rsid w:val="00984F64"/>
    <w:rsid w:val="00985187"/>
    <w:rsid w:val="009852CF"/>
    <w:rsid w:val="00985795"/>
    <w:rsid w:val="00985988"/>
    <w:rsid w:val="00985A65"/>
    <w:rsid w:val="00985C1B"/>
    <w:rsid w:val="00985D98"/>
    <w:rsid w:val="009860B3"/>
    <w:rsid w:val="009860B5"/>
    <w:rsid w:val="0098650A"/>
    <w:rsid w:val="009865F8"/>
    <w:rsid w:val="00986B6C"/>
    <w:rsid w:val="00986B7A"/>
    <w:rsid w:val="00986F4C"/>
    <w:rsid w:val="0098727F"/>
    <w:rsid w:val="0098735E"/>
    <w:rsid w:val="009873E6"/>
    <w:rsid w:val="00987F16"/>
    <w:rsid w:val="00990248"/>
    <w:rsid w:val="009902A9"/>
    <w:rsid w:val="00990534"/>
    <w:rsid w:val="009909EE"/>
    <w:rsid w:val="00990F8D"/>
    <w:rsid w:val="00991090"/>
    <w:rsid w:val="009910A7"/>
    <w:rsid w:val="0099110B"/>
    <w:rsid w:val="00991256"/>
    <w:rsid w:val="00991731"/>
    <w:rsid w:val="00991801"/>
    <w:rsid w:val="00991A74"/>
    <w:rsid w:val="00991B92"/>
    <w:rsid w:val="00991D25"/>
    <w:rsid w:val="00991ED0"/>
    <w:rsid w:val="00991F50"/>
    <w:rsid w:val="0099217D"/>
    <w:rsid w:val="009922D5"/>
    <w:rsid w:val="009927E5"/>
    <w:rsid w:val="0099290D"/>
    <w:rsid w:val="009929A1"/>
    <w:rsid w:val="00992A6E"/>
    <w:rsid w:val="00992D83"/>
    <w:rsid w:val="00992E0B"/>
    <w:rsid w:val="0099306E"/>
    <w:rsid w:val="00993244"/>
    <w:rsid w:val="00993569"/>
    <w:rsid w:val="009939D4"/>
    <w:rsid w:val="00993C4C"/>
    <w:rsid w:val="009949A3"/>
    <w:rsid w:val="00994A4F"/>
    <w:rsid w:val="00994C6A"/>
    <w:rsid w:val="00994CB8"/>
    <w:rsid w:val="009952E2"/>
    <w:rsid w:val="00995470"/>
    <w:rsid w:val="0099558C"/>
    <w:rsid w:val="0099558F"/>
    <w:rsid w:val="009955AF"/>
    <w:rsid w:val="009955B7"/>
    <w:rsid w:val="00995613"/>
    <w:rsid w:val="00995880"/>
    <w:rsid w:val="009959A9"/>
    <w:rsid w:val="009959AD"/>
    <w:rsid w:val="009959D4"/>
    <w:rsid w:val="00995C20"/>
    <w:rsid w:val="009962D4"/>
    <w:rsid w:val="00996346"/>
    <w:rsid w:val="00996466"/>
    <w:rsid w:val="00996545"/>
    <w:rsid w:val="009966F5"/>
    <w:rsid w:val="009967F8"/>
    <w:rsid w:val="00996A15"/>
    <w:rsid w:val="00996A95"/>
    <w:rsid w:val="00996AFF"/>
    <w:rsid w:val="009970B8"/>
    <w:rsid w:val="00997308"/>
    <w:rsid w:val="009974F0"/>
    <w:rsid w:val="00997579"/>
    <w:rsid w:val="009977C4"/>
    <w:rsid w:val="009977D9"/>
    <w:rsid w:val="00997EC4"/>
    <w:rsid w:val="00997F4C"/>
    <w:rsid w:val="009A003F"/>
    <w:rsid w:val="009A0431"/>
    <w:rsid w:val="009A093A"/>
    <w:rsid w:val="009A0B59"/>
    <w:rsid w:val="009A0BCF"/>
    <w:rsid w:val="009A0F8D"/>
    <w:rsid w:val="009A137B"/>
    <w:rsid w:val="009A1693"/>
    <w:rsid w:val="009A16E7"/>
    <w:rsid w:val="009A1969"/>
    <w:rsid w:val="009A2160"/>
    <w:rsid w:val="009A2442"/>
    <w:rsid w:val="009A25E0"/>
    <w:rsid w:val="009A2B84"/>
    <w:rsid w:val="009A2CE8"/>
    <w:rsid w:val="009A2E64"/>
    <w:rsid w:val="009A2F05"/>
    <w:rsid w:val="009A2F5A"/>
    <w:rsid w:val="009A3051"/>
    <w:rsid w:val="009A322C"/>
    <w:rsid w:val="009A3360"/>
    <w:rsid w:val="009A356B"/>
    <w:rsid w:val="009A36CF"/>
    <w:rsid w:val="009A3885"/>
    <w:rsid w:val="009A3A38"/>
    <w:rsid w:val="009A3AA2"/>
    <w:rsid w:val="009A3D5B"/>
    <w:rsid w:val="009A3FE7"/>
    <w:rsid w:val="009A42DE"/>
    <w:rsid w:val="009A44B0"/>
    <w:rsid w:val="009A453D"/>
    <w:rsid w:val="009A4679"/>
    <w:rsid w:val="009A480D"/>
    <w:rsid w:val="009A48C6"/>
    <w:rsid w:val="009A49E6"/>
    <w:rsid w:val="009A4A9B"/>
    <w:rsid w:val="009A4DCA"/>
    <w:rsid w:val="009A50EC"/>
    <w:rsid w:val="009A52CA"/>
    <w:rsid w:val="009A5948"/>
    <w:rsid w:val="009A59FE"/>
    <w:rsid w:val="009A5CEF"/>
    <w:rsid w:val="009A5D00"/>
    <w:rsid w:val="009A658F"/>
    <w:rsid w:val="009A668A"/>
    <w:rsid w:val="009A669E"/>
    <w:rsid w:val="009A7140"/>
    <w:rsid w:val="009A74F7"/>
    <w:rsid w:val="009A76AC"/>
    <w:rsid w:val="009A7D75"/>
    <w:rsid w:val="009A7FBC"/>
    <w:rsid w:val="009B01E1"/>
    <w:rsid w:val="009B02B6"/>
    <w:rsid w:val="009B03B7"/>
    <w:rsid w:val="009B042C"/>
    <w:rsid w:val="009B05CA"/>
    <w:rsid w:val="009B0AF0"/>
    <w:rsid w:val="009B0B5F"/>
    <w:rsid w:val="009B0B98"/>
    <w:rsid w:val="009B0C94"/>
    <w:rsid w:val="009B0D08"/>
    <w:rsid w:val="009B0EAF"/>
    <w:rsid w:val="009B0EF4"/>
    <w:rsid w:val="009B0F62"/>
    <w:rsid w:val="009B19F8"/>
    <w:rsid w:val="009B1A65"/>
    <w:rsid w:val="009B1F3B"/>
    <w:rsid w:val="009B1FB2"/>
    <w:rsid w:val="009B1FC3"/>
    <w:rsid w:val="009B20DD"/>
    <w:rsid w:val="009B23FF"/>
    <w:rsid w:val="009B2636"/>
    <w:rsid w:val="009B2877"/>
    <w:rsid w:val="009B28B2"/>
    <w:rsid w:val="009B2939"/>
    <w:rsid w:val="009B29AA"/>
    <w:rsid w:val="009B29F2"/>
    <w:rsid w:val="009B2A8C"/>
    <w:rsid w:val="009B2BC9"/>
    <w:rsid w:val="009B2DB7"/>
    <w:rsid w:val="009B2F8D"/>
    <w:rsid w:val="009B3182"/>
    <w:rsid w:val="009B3195"/>
    <w:rsid w:val="009B3936"/>
    <w:rsid w:val="009B39BD"/>
    <w:rsid w:val="009B3ADD"/>
    <w:rsid w:val="009B3B7C"/>
    <w:rsid w:val="009B3C38"/>
    <w:rsid w:val="009B3D3F"/>
    <w:rsid w:val="009B3E10"/>
    <w:rsid w:val="009B3FAD"/>
    <w:rsid w:val="009B3FDD"/>
    <w:rsid w:val="009B40A7"/>
    <w:rsid w:val="009B4186"/>
    <w:rsid w:val="009B4226"/>
    <w:rsid w:val="009B44CC"/>
    <w:rsid w:val="009B4629"/>
    <w:rsid w:val="009B47DE"/>
    <w:rsid w:val="009B4C08"/>
    <w:rsid w:val="009B533A"/>
    <w:rsid w:val="009B56F3"/>
    <w:rsid w:val="009B5955"/>
    <w:rsid w:val="009B5C4B"/>
    <w:rsid w:val="009B5D55"/>
    <w:rsid w:val="009B627F"/>
    <w:rsid w:val="009B6619"/>
    <w:rsid w:val="009B667C"/>
    <w:rsid w:val="009B66D9"/>
    <w:rsid w:val="009B6777"/>
    <w:rsid w:val="009B6B5D"/>
    <w:rsid w:val="009B6CD5"/>
    <w:rsid w:val="009B6DA9"/>
    <w:rsid w:val="009B6EDA"/>
    <w:rsid w:val="009B70C0"/>
    <w:rsid w:val="009B722D"/>
    <w:rsid w:val="009B722E"/>
    <w:rsid w:val="009B75F2"/>
    <w:rsid w:val="009B77C5"/>
    <w:rsid w:val="009B7E82"/>
    <w:rsid w:val="009B7FCE"/>
    <w:rsid w:val="009C0332"/>
    <w:rsid w:val="009C0749"/>
    <w:rsid w:val="009C0803"/>
    <w:rsid w:val="009C0810"/>
    <w:rsid w:val="009C0859"/>
    <w:rsid w:val="009C0A0C"/>
    <w:rsid w:val="009C0BCD"/>
    <w:rsid w:val="009C0D47"/>
    <w:rsid w:val="009C0DE4"/>
    <w:rsid w:val="009C0E78"/>
    <w:rsid w:val="009C0F1B"/>
    <w:rsid w:val="009C1143"/>
    <w:rsid w:val="009C1172"/>
    <w:rsid w:val="009C13CA"/>
    <w:rsid w:val="009C1760"/>
    <w:rsid w:val="009C19A3"/>
    <w:rsid w:val="009C1B18"/>
    <w:rsid w:val="009C1B2D"/>
    <w:rsid w:val="009C1CA2"/>
    <w:rsid w:val="009C2673"/>
    <w:rsid w:val="009C271D"/>
    <w:rsid w:val="009C27FB"/>
    <w:rsid w:val="009C2947"/>
    <w:rsid w:val="009C2A95"/>
    <w:rsid w:val="009C2C0F"/>
    <w:rsid w:val="009C2C4F"/>
    <w:rsid w:val="009C2D2F"/>
    <w:rsid w:val="009C2E49"/>
    <w:rsid w:val="009C2F03"/>
    <w:rsid w:val="009C2F1D"/>
    <w:rsid w:val="009C300A"/>
    <w:rsid w:val="009C3054"/>
    <w:rsid w:val="009C344D"/>
    <w:rsid w:val="009C3525"/>
    <w:rsid w:val="009C35DD"/>
    <w:rsid w:val="009C3677"/>
    <w:rsid w:val="009C40D6"/>
    <w:rsid w:val="009C40E3"/>
    <w:rsid w:val="009C426F"/>
    <w:rsid w:val="009C448F"/>
    <w:rsid w:val="009C474D"/>
    <w:rsid w:val="009C49C7"/>
    <w:rsid w:val="009C4DFC"/>
    <w:rsid w:val="009C51E2"/>
    <w:rsid w:val="009C53D5"/>
    <w:rsid w:val="009C5441"/>
    <w:rsid w:val="009C55F0"/>
    <w:rsid w:val="009C5657"/>
    <w:rsid w:val="009C572E"/>
    <w:rsid w:val="009C5AF7"/>
    <w:rsid w:val="009C61FD"/>
    <w:rsid w:val="009C6331"/>
    <w:rsid w:val="009C6781"/>
    <w:rsid w:val="009C67C2"/>
    <w:rsid w:val="009C6AAB"/>
    <w:rsid w:val="009C6B5E"/>
    <w:rsid w:val="009C70B7"/>
    <w:rsid w:val="009C73AD"/>
    <w:rsid w:val="009C75EF"/>
    <w:rsid w:val="009C78E4"/>
    <w:rsid w:val="009C790F"/>
    <w:rsid w:val="009C7AFE"/>
    <w:rsid w:val="009D02D1"/>
    <w:rsid w:val="009D0649"/>
    <w:rsid w:val="009D06A2"/>
    <w:rsid w:val="009D07AE"/>
    <w:rsid w:val="009D07BB"/>
    <w:rsid w:val="009D0910"/>
    <w:rsid w:val="009D099B"/>
    <w:rsid w:val="009D0E9A"/>
    <w:rsid w:val="009D15A5"/>
    <w:rsid w:val="009D192D"/>
    <w:rsid w:val="009D1B7B"/>
    <w:rsid w:val="009D1C61"/>
    <w:rsid w:val="009D233B"/>
    <w:rsid w:val="009D2C74"/>
    <w:rsid w:val="009D3BB7"/>
    <w:rsid w:val="009D3E17"/>
    <w:rsid w:val="009D3F25"/>
    <w:rsid w:val="009D4070"/>
    <w:rsid w:val="009D420C"/>
    <w:rsid w:val="009D4552"/>
    <w:rsid w:val="009D47B4"/>
    <w:rsid w:val="009D482A"/>
    <w:rsid w:val="009D48D3"/>
    <w:rsid w:val="009D49D5"/>
    <w:rsid w:val="009D4BE6"/>
    <w:rsid w:val="009D4C3F"/>
    <w:rsid w:val="009D5204"/>
    <w:rsid w:val="009D53ED"/>
    <w:rsid w:val="009D5AF9"/>
    <w:rsid w:val="009D5E0B"/>
    <w:rsid w:val="009D5E92"/>
    <w:rsid w:val="009D646C"/>
    <w:rsid w:val="009D65AA"/>
    <w:rsid w:val="009D6699"/>
    <w:rsid w:val="009D674D"/>
    <w:rsid w:val="009D68CE"/>
    <w:rsid w:val="009D6AAC"/>
    <w:rsid w:val="009D6BAD"/>
    <w:rsid w:val="009D7152"/>
    <w:rsid w:val="009D716D"/>
    <w:rsid w:val="009D723D"/>
    <w:rsid w:val="009D739A"/>
    <w:rsid w:val="009D763F"/>
    <w:rsid w:val="009D7847"/>
    <w:rsid w:val="009D7970"/>
    <w:rsid w:val="009D79C6"/>
    <w:rsid w:val="009E01EE"/>
    <w:rsid w:val="009E03D2"/>
    <w:rsid w:val="009E0A4C"/>
    <w:rsid w:val="009E0CD2"/>
    <w:rsid w:val="009E0D21"/>
    <w:rsid w:val="009E148D"/>
    <w:rsid w:val="009E14E4"/>
    <w:rsid w:val="009E153A"/>
    <w:rsid w:val="009E1552"/>
    <w:rsid w:val="009E19D5"/>
    <w:rsid w:val="009E1B63"/>
    <w:rsid w:val="009E1C71"/>
    <w:rsid w:val="009E1CA7"/>
    <w:rsid w:val="009E2207"/>
    <w:rsid w:val="009E2239"/>
    <w:rsid w:val="009E225E"/>
    <w:rsid w:val="009E28D6"/>
    <w:rsid w:val="009E2A37"/>
    <w:rsid w:val="009E2CE9"/>
    <w:rsid w:val="009E307B"/>
    <w:rsid w:val="009E319E"/>
    <w:rsid w:val="009E3366"/>
    <w:rsid w:val="009E34F5"/>
    <w:rsid w:val="009E3ACD"/>
    <w:rsid w:val="009E3E78"/>
    <w:rsid w:val="009E3F91"/>
    <w:rsid w:val="009E45DD"/>
    <w:rsid w:val="009E46B7"/>
    <w:rsid w:val="009E47A8"/>
    <w:rsid w:val="009E48A3"/>
    <w:rsid w:val="009E48D8"/>
    <w:rsid w:val="009E4C30"/>
    <w:rsid w:val="009E4CA9"/>
    <w:rsid w:val="009E5945"/>
    <w:rsid w:val="009E59C7"/>
    <w:rsid w:val="009E5C5C"/>
    <w:rsid w:val="009E5D8E"/>
    <w:rsid w:val="009E6043"/>
    <w:rsid w:val="009E63CE"/>
    <w:rsid w:val="009E643F"/>
    <w:rsid w:val="009E6619"/>
    <w:rsid w:val="009E6683"/>
    <w:rsid w:val="009E694C"/>
    <w:rsid w:val="009E69A8"/>
    <w:rsid w:val="009E6D4A"/>
    <w:rsid w:val="009E7187"/>
    <w:rsid w:val="009E7542"/>
    <w:rsid w:val="009E76C7"/>
    <w:rsid w:val="009E7770"/>
    <w:rsid w:val="009E7F90"/>
    <w:rsid w:val="009F04E2"/>
    <w:rsid w:val="009F0534"/>
    <w:rsid w:val="009F0652"/>
    <w:rsid w:val="009F0A3B"/>
    <w:rsid w:val="009F0A77"/>
    <w:rsid w:val="009F0C1F"/>
    <w:rsid w:val="009F0CD0"/>
    <w:rsid w:val="009F2098"/>
    <w:rsid w:val="009F24F3"/>
    <w:rsid w:val="009F2989"/>
    <w:rsid w:val="009F2A13"/>
    <w:rsid w:val="009F2E64"/>
    <w:rsid w:val="009F39B6"/>
    <w:rsid w:val="009F3B1B"/>
    <w:rsid w:val="009F3D95"/>
    <w:rsid w:val="009F3DBC"/>
    <w:rsid w:val="009F420F"/>
    <w:rsid w:val="009F426D"/>
    <w:rsid w:val="009F45F1"/>
    <w:rsid w:val="009F4728"/>
    <w:rsid w:val="009F48C9"/>
    <w:rsid w:val="009F4AE8"/>
    <w:rsid w:val="009F4AEB"/>
    <w:rsid w:val="009F4B95"/>
    <w:rsid w:val="009F4BBB"/>
    <w:rsid w:val="009F4ED4"/>
    <w:rsid w:val="009F4F8A"/>
    <w:rsid w:val="009F5443"/>
    <w:rsid w:val="009F59EC"/>
    <w:rsid w:val="009F5C89"/>
    <w:rsid w:val="009F5F12"/>
    <w:rsid w:val="009F69FE"/>
    <w:rsid w:val="009F6CAB"/>
    <w:rsid w:val="009F706F"/>
    <w:rsid w:val="009F70C7"/>
    <w:rsid w:val="009F7306"/>
    <w:rsid w:val="009F74D6"/>
    <w:rsid w:val="009F7676"/>
    <w:rsid w:val="009F774A"/>
    <w:rsid w:val="009F7894"/>
    <w:rsid w:val="009F7B79"/>
    <w:rsid w:val="009F7ECB"/>
    <w:rsid w:val="009F7F4D"/>
    <w:rsid w:val="00A00185"/>
    <w:rsid w:val="00A00213"/>
    <w:rsid w:val="00A00396"/>
    <w:rsid w:val="00A0062E"/>
    <w:rsid w:val="00A006EC"/>
    <w:rsid w:val="00A0075B"/>
    <w:rsid w:val="00A00764"/>
    <w:rsid w:val="00A00A10"/>
    <w:rsid w:val="00A00B44"/>
    <w:rsid w:val="00A00E1B"/>
    <w:rsid w:val="00A00E9B"/>
    <w:rsid w:val="00A00EA4"/>
    <w:rsid w:val="00A00EA8"/>
    <w:rsid w:val="00A012EC"/>
    <w:rsid w:val="00A015B2"/>
    <w:rsid w:val="00A015C0"/>
    <w:rsid w:val="00A01660"/>
    <w:rsid w:val="00A01A36"/>
    <w:rsid w:val="00A01B58"/>
    <w:rsid w:val="00A01E70"/>
    <w:rsid w:val="00A02417"/>
    <w:rsid w:val="00A025A5"/>
    <w:rsid w:val="00A02810"/>
    <w:rsid w:val="00A02A98"/>
    <w:rsid w:val="00A03118"/>
    <w:rsid w:val="00A03177"/>
    <w:rsid w:val="00A03374"/>
    <w:rsid w:val="00A0350C"/>
    <w:rsid w:val="00A035DE"/>
    <w:rsid w:val="00A03653"/>
    <w:rsid w:val="00A03725"/>
    <w:rsid w:val="00A03805"/>
    <w:rsid w:val="00A03A88"/>
    <w:rsid w:val="00A03AEE"/>
    <w:rsid w:val="00A03C04"/>
    <w:rsid w:val="00A03C3C"/>
    <w:rsid w:val="00A03E7F"/>
    <w:rsid w:val="00A03FE4"/>
    <w:rsid w:val="00A0404C"/>
    <w:rsid w:val="00A042E1"/>
    <w:rsid w:val="00A04378"/>
    <w:rsid w:val="00A04482"/>
    <w:rsid w:val="00A04611"/>
    <w:rsid w:val="00A04A54"/>
    <w:rsid w:val="00A04AA1"/>
    <w:rsid w:val="00A04F43"/>
    <w:rsid w:val="00A05837"/>
    <w:rsid w:val="00A058D7"/>
    <w:rsid w:val="00A05B1D"/>
    <w:rsid w:val="00A0600E"/>
    <w:rsid w:val="00A06803"/>
    <w:rsid w:val="00A06C2E"/>
    <w:rsid w:val="00A06C74"/>
    <w:rsid w:val="00A06F33"/>
    <w:rsid w:val="00A0719A"/>
    <w:rsid w:val="00A07671"/>
    <w:rsid w:val="00A10301"/>
    <w:rsid w:val="00A10ADF"/>
    <w:rsid w:val="00A10DC0"/>
    <w:rsid w:val="00A1130C"/>
    <w:rsid w:val="00A11537"/>
    <w:rsid w:val="00A1153F"/>
    <w:rsid w:val="00A11873"/>
    <w:rsid w:val="00A11C11"/>
    <w:rsid w:val="00A11D88"/>
    <w:rsid w:val="00A12232"/>
    <w:rsid w:val="00A1235D"/>
    <w:rsid w:val="00A12465"/>
    <w:rsid w:val="00A12E23"/>
    <w:rsid w:val="00A12E78"/>
    <w:rsid w:val="00A12E91"/>
    <w:rsid w:val="00A1369F"/>
    <w:rsid w:val="00A138E1"/>
    <w:rsid w:val="00A13C58"/>
    <w:rsid w:val="00A13DD2"/>
    <w:rsid w:val="00A13F93"/>
    <w:rsid w:val="00A1404A"/>
    <w:rsid w:val="00A140B6"/>
    <w:rsid w:val="00A14968"/>
    <w:rsid w:val="00A14FD5"/>
    <w:rsid w:val="00A14FF7"/>
    <w:rsid w:val="00A15158"/>
    <w:rsid w:val="00A155F3"/>
    <w:rsid w:val="00A15845"/>
    <w:rsid w:val="00A15870"/>
    <w:rsid w:val="00A15DB7"/>
    <w:rsid w:val="00A160DF"/>
    <w:rsid w:val="00A16189"/>
    <w:rsid w:val="00A161FF"/>
    <w:rsid w:val="00A163C1"/>
    <w:rsid w:val="00A16599"/>
    <w:rsid w:val="00A16804"/>
    <w:rsid w:val="00A16955"/>
    <w:rsid w:val="00A16BA7"/>
    <w:rsid w:val="00A16BF3"/>
    <w:rsid w:val="00A16E03"/>
    <w:rsid w:val="00A16ECC"/>
    <w:rsid w:val="00A16F6D"/>
    <w:rsid w:val="00A17071"/>
    <w:rsid w:val="00A1712B"/>
    <w:rsid w:val="00A17179"/>
    <w:rsid w:val="00A17222"/>
    <w:rsid w:val="00A17320"/>
    <w:rsid w:val="00A1786B"/>
    <w:rsid w:val="00A17DA9"/>
    <w:rsid w:val="00A17EEC"/>
    <w:rsid w:val="00A17FE0"/>
    <w:rsid w:val="00A201F0"/>
    <w:rsid w:val="00A20A54"/>
    <w:rsid w:val="00A20D52"/>
    <w:rsid w:val="00A20F37"/>
    <w:rsid w:val="00A20F3B"/>
    <w:rsid w:val="00A214FE"/>
    <w:rsid w:val="00A2191B"/>
    <w:rsid w:val="00A21A04"/>
    <w:rsid w:val="00A21B34"/>
    <w:rsid w:val="00A21BAE"/>
    <w:rsid w:val="00A221DF"/>
    <w:rsid w:val="00A22396"/>
    <w:rsid w:val="00A225C2"/>
    <w:rsid w:val="00A22620"/>
    <w:rsid w:val="00A226BE"/>
    <w:rsid w:val="00A228C1"/>
    <w:rsid w:val="00A22C96"/>
    <w:rsid w:val="00A22E9E"/>
    <w:rsid w:val="00A23024"/>
    <w:rsid w:val="00A2323B"/>
    <w:rsid w:val="00A23291"/>
    <w:rsid w:val="00A23480"/>
    <w:rsid w:val="00A2380D"/>
    <w:rsid w:val="00A23A1F"/>
    <w:rsid w:val="00A24036"/>
    <w:rsid w:val="00A24482"/>
    <w:rsid w:val="00A24746"/>
    <w:rsid w:val="00A24890"/>
    <w:rsid w:val="00A24A0F"/>
    <w:rsid w:val="00A24C12"/>
    <w:rsid w:val="00A24F4D"/>
    <w:rsid w:val="00A24F57"/>
    <w:rsid w:val="00A25028"/>
    <w:rsid w:val="00A25337"/>
    <w:rsid w:val="00A25875"/>
    <w:rsid w:val="00A260B2"/>
    <w:rsid w:val="00A260CD"/>
    <w:rsid w:val="00A2613E"/>
    <w:rsid w:val="00A262EE"/>
    <w:rsid w:val="00A26411"/>
    <w:rsid w:val="00A264A1"/>
    <w:rsid w:val="00A264C5"/>
    <w:rsid w:val="00A269BC"/>
    <w:rsid w:val="00A26A78"/>
    <w:rsid w:val="00A26DB0"/>
    <w:rsid w:val="00A27119"/>
    <w:rsid w:val="00A2720B"/>
    <w:rsid w:val="00A27567"/>
    <w:rsid w:val="00A275A9"/>
    <w:rsid w:val="00A27634"/>
    <w:rsid w:val="00A2791B"/>
    <w:rsid w:val="00A27BBF"/>
    <w:rsid w:val="00A27C1F"/>
    <w:rsid w:val="00A27FE9"/>
    <w:rsid w:val="00A302A0"/>
    <w:rsid w:val="00A305EC"/>
    <w:rsid w:val="00A3087A"/>
    <w:rsid w:val="00A3090A"/>
    <w:rsid w:val="00A30CDE"/>
    <w:rsid w:val="00A30E08"/>
    <w:rsid w:val="00A30FD2"/>
    <w:rsid w:val="00A31000"/>
    <w:rsid w:val="00A31226"/>
    <w:rsid w:val="00A3124E"/>
    <w:rsid w:val="00A3125A"/>
    <w:rsid w:val="00A31270"/>
    <w:rsid w:val="00A3138D"/>
    <w:rsid w:val="00A31A73"/>
    <w:rsid w:val="00A31B0E"/>
    <w:rsid w:val="00A31B5E"/>
    <w:rsid w:val="00A31BFA"/>
    <w:rsid w:val="00A31D09"/>
    <w:rsid w:val="00A31F29"/>
    <w:rsid w:val="00A32111"/>
    <w:rsid w:val="00A32177"/>
    <w:rsid w:val="00A321BD"/>
    <w:rsid w:val="00A32534"/>
    <w:rsid w:val="00A32C7A"/>
    <w:rsid w:val="00A32EDE"/>
    <w:rsid w:val="00A33166"/>
    <w:rsid w:val="00A334A3"/>
    <w:rsid w:val="00A339D4"/>
    <w:rsid w:val="00A33C04"/>
    <w:rsid w:val="00A33CA4"/>
    <w:rsid w:val="00A33D02"/>
    <w:rsid w:val="00A33F19"/>
    <w:rsid w:val="00A342F4"/>
    <w:rsid w:val="00A34465"/>
    <w:rsid w:val="00A344A4"/>
    <w:rsid w:val="00A344D2"/>
    <w:rsid w:val="00A349E0"/>
    <w:rsid w:val="00A34D96"/>
    <w:rsid w:val="00A34E83"/>
    <w:rsid w:val="00A34F68"/>
    <w:rsid w:val="00A351E2"/>
    <w:rsid w:val="00A352E4"/>
    <w:rsid w:val="00A3550E"/>
    <w:rsid w:val="00A356A3"/>
    <w:rsid w:val="00A35D2D"/>
    <w:rsid w:val="00A35F86"/>
    <w:rsid w:val="00A35FF0"/>
    <w:rsid w:val="00A36311"/>
    <w:rsid w:val="00A369B8"/>
    <w:rsid w:val="00A36B27"/>
    <w:rsid w:val="00A36C57"/>
    <w:rsid w:val="00A36CD5"/>
    <w:rsid w:val="00A3709D"/>
    <w:rsid w:val="00A373EF"/>
    <w:rsid w:val="00A3749B"/>
    <w:rsid w:val="00A37524"/>
    <w:rsid w:val="00A375DA"/>
    <w:rsid w:val="00A37639"/>
    <w:rsid w:val="00A37B33"/>
    <w:rsid w:val="00A37B65"/>
    <w:rsid w:val="00A37DD5"/>
    <w:rsid w:val="00A404DD"/>
    <w:rsid w:val="00A406BE"/>
    <w:rsid w:val="00A408B0"/>
    <w:rsid w:val="00A40CEF"/>
    <w:rsid w:val="00A40D73"/>
    <w:rsid w:val="00A40F5C"/>
    <w:rsid w:val="00A41140"/>
    <w:rsid w:val="00A41296"/>
    <w:rsid w:val="00A41F3E"/>
    <w:rsid w:val="00A425D8"/>
    <w:rsid w:val="00A42746"/>
    <w:rsid w:val="00A4288A"/>
    <w:rsid w:val="00A42905"/>
    <w:rsid w:val="00A4313C"/>
    <w:rsid w:val="00A4322E"/>
    <w:rsid w:val="00A4328A"/>
    <w:rsid w:val="00A4358C"/>
    <w:rsid w:val="00A4368B"/>
    <w:rsid w:val="00A4378E"/>
    <w:rsid w:val="00A438E7"/>
    <w:rsid w:val="00A43953"/>
    <w:rsid w:val="00A4396E"/>
    <w:rsid w:val="00A43AB2"/>
    <w:rsid w:val="00A43AFA"/>
    <w:rsid w:val="00A43B67"/>
    <w:rsid w:val="00A43D6B"/>
    <w:rsid w:val="00A44003"/>
    <w:rsid w:val="00A4417D"/>
    <w:rsid w:val="00A4426E"/>
    <w:rsid w:val="00A4450F"/>
    <w:rsid w:val="00A44799"/>
    <w:rsid w:val="00A447B9"/>
    <w:rsid w:val="00A44DC7"/>
    <w:rsid w:val="00A44E2D"/>
    <w:rsid w:val="00A4512A"/>
    <w:rsid w:val="00A45307"/>
    <w:rsid w:val="00A45553"/>
    <w:rsid w:val="00A4557A"/>
    <w:rsid w:val="00A45BEF"/>
    <w:rsid w:val="00A45D58"/>
    <w:rsid w:val="00A45DC2"/>
    <w:rsid w:val="00A45DE8"/>
    <w:rsid w:val="00A460B8"/>
    <w:rsid w:val="00A46228"/>
    <w:rsid w:val="00A46671"/>
    <w:rsid w:val="00A46DA1"/>
    <w:rsid w:val="00A46F75"/>
    <w:rsid w:val="00A46F98"/>
    <w:rsid w:val="00A471C6"/>
    <w:rsid w:val="00A47317"/>
    <w:rsid w:val="00A47923"/>
    <w:rsid w:val="00A47DE6"/>
    <w:rsid w:val="00A50498"/>
    <w:rsid w:val="00A504BC"/>
    <w:rsid w:val="00A506ED"/>
    <w:rsid w:val="00A507BF"/>
    <w:rsid w:val="00A508DF"/>
    <w:rsid w:val="00A50B81"/>
    <w:rsid w:val="00A50B91"/>
    <w:rsid w:val="00A50E24"/>
    <w:rsid w:val="00A51180"/>
    <w:rsid w:val="00A511F2"/>
    <w:rsid w:val="00A5136E"/>
    <w:rsid w:val="00A51469"/>
    <w:rsid w:val="00A51B0A"/>
    <w:rsid w:val="00A52890"/>
    <w:rsid w:val="00A52BA3"/>
    <w:rsid w:val="00A52BB6"/>
    <w:rsid w:val="00A52BC5"/>
    <w:rsid w:val="00A52CCD"/>
    <w:rsid w:val="00A52D40"/>
    <w:rsid w:val="00A52D45"/>
    <w:rsid w:val="00A52D75"/>
    <w:rsid w:val="00A52E46"/>
    <w:rsid w:val="00A530DE"/>
    <w:rsid w:val="00A53133"/>
    <w:rsid w:val="00A53650"/>
    <w:rsid w:val="00A53B05"/>
    <w:rsid w:val="00A53B5C"/>
    <w:rsid w:val="00A53CB2"/>
    <w:rsid w:val="00A541C8"/>
    <w:rsid w:val="00A54348"/>
    <w:rsid w:val="00A547FE"/>
    <w:rsid w:val="00A54930"/>
    <w:rsid w:val="00A54C4D"/>
    <w:rsid w:val="00A54D45"/>
    <w:rsid w:val="00A54E46"/>
    <w:rsid w:val="00A552EF"/>
    <w:rsid w:val="00A556D5"/>
    <w:rsid w:val="00A556DA"/>
    <w:rsid w:val="00A5577D"/>
    <w:rsid w:val="00A55B44"/>
    <w:rsid w:val="00A55C64"/>
    <w:rsid w:val="00A55F5F"/>
    <w:rsid w:val="00A56401"/>
    <w:rsid w:val="00A56693"/>
    <w:rsid w:val="00A5683B"/>
    <w:rsid w:val="00A56CCE"/>
    <w:rsid w:val="00A5739B"/>
    <w:rsid w:val="00A5743B"/>
    <w:rsid w:val="00A57C44"/>
    <w:rsid w:val="00A57CBA"/>
    <w:rsid w:val="00A57DD9"/>
    <w:rsid w:val="00A600EC"/>
    <w:rsid w:val="00A60256"/>
    <w:rsid w:val="00A602DD"/>
    <w:rsid w:val="00A605CD"/>
    <w:rsid w:val="00A6075F"/>
    <w:rsid w:val="00A60BD5"/>
    <w:rsid w:val="00A60D5D"/>
    <w:rsid w:val="00A60DD5"/>
    <w:rsid w:val="00A6104E"/>
    <w:rsid w:val="00A614C6"/>
    <w:rsid w:val="00A61574"/>
    <w:rsid w:val="00A61955"/>
    <w:rsid w:val="00A61A90"/>
    <w:rsid w:val="00A61B62"/>
    <w:rsid w:val="00A61B8F"/>
    <w:rsid w:val="00A620FC"/>
    <w:rsid w:val="00A62453"/>
    <w:rsid w:val="00A62675"/>
    <w:rsid w:val="00A628B9"/>
    <w:rsid w:val="00A62B1D"/>
    <w:rsid w:val="00A62D11"/>
    <w:rsid w:val="00A62E2F"/>
    <w:rsid w:val="00A62E42"/>
    <w:rsid w:val="00A635A9"/>
    <w:rsid w:val="00A63B45"/>
    <w:rsid w:val="00A63CCB"/>
    <w:rsid w:val="00A6429C"/>
    <w:rsid w:val="00A6456C"/>
    <w:rsid w:val="00A64675"/>
    <w:rsid w:val="00A648E2"/>
    <w:rsid w:val="00A64953"/>
    <w:rsid w:val="00A64A71"/>
    <w:rsid w:val="00A64AC6"/>
    <w:rsid w:val="00A64B86"/>
    <w:rsid w:val="00A64D4E"/>
    <w:rsid w:val="00A64F21"/>
    <w:rsid w:val="00A64F22"/>
    <w:rsid w:val="00A64FC0"/>
    <w:rsid w:val="00A6512C"/>
    <w:rsid w:val="00A652B8"/>
    <w:rsid w:val="00A65681"/>
    <w:rsid w:val="00A65B44"/>
    <w:rsid w:val="00A65D87"/>
    <w:rsid w:val="00A6605B"/>
    <w:rsid w:val="00A661A1"/>
    <w:rsid w:val="00A6634A"/>
    <w:rsid w:val="00A663D6"/>
    <w:rsid w:val="00A665CD"/>
    <w:rsid w:val="00A66625"/>
    <w:rsid w:val="00A669DD"/>
    <w:rsid w:val="00A66AC4"/>
    <w:rsid w:val="00A66C9D"/>
    <w:rsid w:val="00A66CDE"/>
    <w:rsid w:val="00A67048"/>
    <w:rsid w:val="00A672C3"/>
    <w:rsid w:val="00A67562"/>
    <w:rsid w:val="00A70140"/>
    <w:rsid w:val="00A7019D"/>
    <w:rsid w:val="00A705D7"/>
    <w:rsid w:val="00A70B78"/>
    <w:rsid w:val="00A70C15"/>
    <w:rsid w:val="00A70C3C"/>
    <w:rsid w:val="00A70C59"/>
    <w:rsid w:val="00A70FF1"/>
    <w:rsid w:val="00A710C3"/>
    <w:rsid w:val="00A71135"/>
    <w:rsid w:val="00A715E4"/>
    <w:rsid w:val="00A7181D"/>
    <w:rsid w:val="00A71921"/>
    <w:rsid w:val="00A71948"/>
    <w:rsid w:val="00A72989"/>
    <w:rsid w:val="00A72A1F"/>
    <w:rsid w:val="00A72B5F"/>
    <w:rsid w:val="00A72BA5"/>
    <w:rsid w:val="00A72ED7"/>
    <w:rsid w:val="00A73018"/>
    <w:rsid w:val="00A7301D"/>
    <w:rsid w:val="00A7330B"/>
    <w:rsid w:val="00A73583"/>
    <w:rsid w:val="00A736FA"/>
    <w:rsid w:val="00A738F2"/>
    <w:rsid w:val="00A73981"/>
    <w:rsid w:val="00A73D23"/>
    <w:rsid w:val="00A73EA3"/>
    <w:rsid w:val="00A7415B"/>
    <w:rsid w:val="00A7438C"/>
    <w:rsid w:val="00A743CE"/>
    <w:rsid w:val="00A74727"/>
    <w:rsid w:val="00A74ACD"/>
    <w:rsid w:val="00A75336"/>
    <w:rsid w:val="00A75E46"/>
    <w:rsid w:val="00A75EB7"/>
    <w:rsid w:val="00A75EF4"/>
    <w:rsid w:val="00A76375"/>
    <w:rsid w:val="00A7655C"/>
    <w:rsid w:val="00A7686E"/>
    <w:rsid w:val="00A769CD"/>
    <w:rsid w:val="00A76AF4"/>
    <w:rsid w:val="00A76D8A"/>
    <w:rsid w:val="00A77045"/>
    <w:rsid w:val="00A7718B"/>
    <w:rsid w:val="00A77418"/>
    <w:rsid w:val="00A77535"/>
    <w:rsid w:val="00A77AC6"/>
    <w:rsid w:val="00A80014"/>
    <w:rsid w:val="00A8012B"/>
    <w:rsid w:val="00A8022B"/>
    <w:rsid w:val="00A80824"/>
    <w:rsid w:val="00A80892"/>
    <w:rsid w:val="00A80B2C"/>
    <w:rsid w:val="00A8139E"/>
    <w:rsid w:val="00A816FA"/>
    <w:rsid w:val="00A81AEC"/>
    <w:rsid w:val="00A81AF6"/>
    <w:rsid w:val="00A81FD5"/>
    <w:rsid w:val="00A820AD"/>
    <w:rsid w:val="00A820C2"/>
    <w:rsid w:val="00A820D6"/>
    <w:rsid w:val="00A821D7"/>
    <w:rsid w:val="00A8227D"/>
    <w:rsid w:val="00A82437"/>
    <w:rsid w:val="00A82797"/>
    <w:rsid w:val="00A82867"/>
    <w:rsid w:val="00A82EF8"/>
    <w:rsid w:val="00A83231"/>
    <w:rsid w:val="00A83265"/>
    <w:rsid w:val="00A834BE"/>
    <w:rsid w:val="00A83546"/>
    <w:rsid w:val="00A835AA"/>
    <w:rsid w:val="00A836C3"/>
    <w:rsid w:val="00A83855"/>
    <w:rsid w:val="00A83A47"/>
    <w:rsid w:val="00A83F60"/>
    <w:rsid w:val="00A842F8"/>
    <w:rsid w:val="00A846BA"/>
    <w:rsid w:val="00A847A4"/>
    <w:rsid w:val="00A84934"/>
    <w:rsid w:val="00A8497B"/>
    <w:rsid w:val="00A84C50"/>
    <w:rsid w:val="00A84CCE"/>
    <w:rsid w:val="00A84E2C"/>
    <w:rsid w:val="00A8510B"/>
    <w:rsid w:val="00A8551F"/>
    <w:rsid w:val="00A85795"/>
    <w:rsid w:val="00A858B9"/>
    <w:rsid w:val="00A85AB0"/>
    <w:rsid w:val="00A85BF6"/>
    <w:rsid w:val="00A85E44"/>
    <w:rsid w:val="00A85EFE"/>
    <w:rsid w:val="00A86187"/>
    <w:rsid w:val="00A861B7"/>
    <w:rsid w:val="00A8633F"/>
    <w:rsid w:val="00A863B4"/>
    <w:rsid w:val="00A867F4"/>
    <w:rsid w:val="00A86BD7"/>
    <w:rsid w:val="00A86F27"/>
    <w:rsid w:val="00A8721D"/>
    <w:rsid w:val="00A872CF"/>
    <w:rsid w:val="00A876E6"/>
    <w:rsid w:val="00A87709"/>
    <w:rsid w:val="00A87A16"/>
    <w:rsid w:val="00A87F41"/>
    <w:rsid w:val="00A9024B"/>
    <w:rsid w:val="00A902BE"/>
    <w:rsid w:val="00A905B7"/>
    <w:rsid w:val="00A90888"/>
    <w:rsid w:val="00A90E8C"/>
    <w:rsid w:val="00A90F24"/>
    <w:rsid w:val="00A9117F"/>
    <w:rsid w:val="00A91317"/>
    <w:rsid w:val="00A9143E"/>
    <w:rsid w:val="00A91514"/>
    <w:rsid w:val="00A9155C"/>
    <w:rsid w:val="00A91962"/>
    <w:rsid w:val="00A91D7F"/>
    <w:rsid w:val="00A9230D"/>
    <w:rsid w:val="00A9263B"/>
    <w:rsid w:val="00A926A6"/>
    <w:rsid w:val="00A928D1"/>
    <w:rsid w:val="00A92A22"/>
    <w:rsid w:val="00A93132"/>
    <w:rsid w:val="00A935AD"/>
    <w:rsid w:val="00A93624"/>
    <w:rsid w:val="00A93ACC"/>
    <w:rsid w:val="00A93C49"/>
    <w:rsid w:val="00A93D4D"/>
    <w:rsid w:val="00A93E81"/>
    <w:rsid w:val="00A93ED9"/>
    <w:rsid w:val="00A94076"/>
    <w:rsid w:val="00A9408A"/>
    <w:rsid w:val="00A940A9"/>
    <w:rsid w:val="00A94198"/>
    <w:rsid w:val="00A9437D"/>
    <w:rsid w:val="00A943B8"/>
    <w:rsid w:val="00A94404"/>
    <w:rsid w:val="00A945ED"/>
    <w:rsid w:val="00A9489D"/>
    <w:rsid w:val="00A94974"/>
    <w:rsid w:val="00A950B3"/>
    <w:rsid w:val="00A95323"/>
    <w:rsid w:val="00A95972"/>
    <w:rsid w:val="00A96D1C"/>
    <w:rsid w:val="00A9747F"/>
    <w:rsid w:val="00A974CB"/>
    <w:rsid w:val="00A974ED"/>
    <w:rsid w:val="00A97524"/>
    <w:rsid w:val="00A976C9"/>
    <w:rsid w:val="00A9771E"/>
    <w:rsid w:val="00A97B03"/>
    <w:rsid w:val="00A97CD0"/>
    <w:rsid w:val="00A97CF8"/>
    <w:rsid w:val="00A97E10"/>
    <w:rsid w:val="00A97E6E"/>
    <w:rsid w:val="00A97F2B"/>
    <w:rsid w:val="00AA0788"/>
    <w:rsid w:val="00AA0874"/>
    <w:rsid w:val="00AA097B"/>
    <w:rsid w:val="00AA0C48"/>
    <w:rsid w:val="00AA0F24"/>
    <w:rsid w:val="00AA0F98"/>
    <w:rsid w:val="00AA110D"/>
    <w:rsid w:val="00AA119F"/>
    <w:rsid w:val="00AA1411"/>
    <w:rsid w:val="00AA1C1C"/>
    <w:rsid w:val="00AA1EDB"/>
    <w:rsid w:val="00AA1FD2"/>
    <w:rsid w:val="00AA2386"/>
    <w:rsid w:val="00AA26FB"/>
    <w:rsid w:val="00AA2C3E"/>
    <w:rsid w:val="00AA2DC3"/>
    <w:rsid w:val="00AA2FE5"/>
    <w:rsid w:val="00AA3BE0"/>
    <w:rsid w:val="00AA4195"/>
    <w:rsid w:val="00AA44FB"/>
    <w:rsid w:val="00AA4580"/>
    <w:rsid w:val="00AA4607"/>
    <w:rsid w:val="00AA4691"/>
    <w:rsid w:val="00AA56B7"/>
    <w:rsid w:val="00AA5890"/>
    <w:rsid w:val="00AA5C12"/>
    <w:rsid w:val="00AA5C32"/>
    <w:rsid w:val="00AA5C84"/>
    <w:rsid w:val="00AA5D2A"/>
    <w:rsid w:val="00AA5DB6"/>
    <w:rsid w:val="00AA5F77"/>
    <w:rsid w:val="00AA6077"/>
    <w:rsid w:val="00AA6661"/>
    <w:rsid w:val="00AA69B4"/>
    <w:rsid w:val="00AA6D76"/>
    <w:rsid w:val="00AA6E97"/>
    <w:rsid w:val="00AA6FC0"/>
    <w:rsid w:val="00AA6FCC"/>
    <w:rsid w:val="00AA7201"/>
    <w:rsid w:val="00AA7238"/>
    <w:rsid w:val="00AA73D9"/>
    <w:rsid w:val="00AA753B"/>
    <w:rsid w:val="00AA7778"/>
    <w:rsid w:val="00AA7A1E"/>
    <w:rsid w:val="00AA7A7B"/>
    <w:rsid w:val="00AA7B51"/>
    <w:rsid w:val="00AA7DBC"/>
    <w:rsid w:val="00AA7F09"/>
    <w:rsid w:val="00AB00CE"/>
    <w:rsid w:val="00AB03BB"/>
    <w:rsid w:val="00AB050D"/>
    <w:rsid w:val="00AB0DF8"/>
    <w:rsid w:val="00AB1353"/>
    <w:rsid w:val="00AB1733"/>
    <w:rsid w:val="00AB17B4"/>
    <w:rsid w:val="00AB191F"/>
    <w:rsid w:val="00AB1E47"/>
    <w:rsid w:val="00AB2053"/>
    <w:rsid w:val="00AB24F6"/>
    <w:rsid w:val="00AB2553"/>
    <w:rsid w:val="00AB26DC"/>
    <w:rsid w:val="00AB28F0"/>
    <w:rsid w:val="00AB2B9F"/>
    <w:rsid w:val="00AB2CC6"/>
    <w:rsid w:val="00AB2DB9"/>
    <w:rsid w:val="00AB2E14"/>
    <w:rsid w:val="00AB2EBE"/>
    <w:rsid w:val="00AB2F5F"/>
    <w:rsid w:val="00AB2FC8"/>
    <w:rsid w:val="00AB316E"/>
    <w:rsid w:val="00AB373B"/>
    <w:rsid w:val="00AB3764"/>
    <w:rsid w:val="00AB3770"/>
    <w:rsid w:val="00AB3960"/>
    <w:rsid w:val="00AB39A0"/>
    <w:rsid w:val="00AB3D2B"/>
    <w:rsid w:val="00AB4382"/>
    <w:rsid w:val="00AB43BE"/>
    <w:rsid w:val="00AB4470"/>
    <w:rsid w:val="00AB4787"/>
    <w:rsid w:val="00AB4827"/>
    <w:rsid w:val="00AB4A67"/>
    <w:rsid w:val="00AB4B7B"/>
    <w:rsid w:val="00AB4D1D"/>
    <w:rsid w:val="00AB4DB1"/>
    <w:rsid w:val="00AB4E3C"/>
    <w:rsid w:val="00AB5365"/>
    <w:rsid w:val="00AB55C5"/>
    <w:rsid w:val="00AB56DA"/>
    <w:rsid w:val="00AB5AB7"/>
    <w:rsid w:val="00AB5B7C"/>
    <w:rsid w:val="00AB5C73"/>
    <w:rsid w:val="00AB5D93"/>
    <w:rsid w:val="00AB5F57"/>
    <w:rsid w:val="00AB6084"/>
    <w:rsid w:val="00AB61C2"/>
    <w:rsid w:val="00AB61D8"/>
    <w:rsid w:val="00AB643E"/>
    <w:rsid w:val="00AB676E"/>
    <w:rsid w:val="00AB6791"/>
    <w:rsid w:val="00AB683A"/>
    <w:rsid w:val="00AB6BEC"/>
    <w:rsid w:val="00AB7165"/>
    <w:rsid w:val="00AB7344"/>
    <w:rsid w:val="00AB75A5"/>
    <w:rsid w:val="00AB770B"/>
    <w:rsid w:val="00AB7837"/>
    <w:rsid w:val="00AB79C7"/>
    <w:rsid w:val="00AB7AEC"/>
    <w:rsid w:val="00AB7CF8"/>
    <w:rsid w:val="00AB7DF0"/>
    <w:rsid w:val="00AB7F69"/>
    <w:rsid w:val="00AC031A"/>
    <w:rsid w:val="00AC05BC"/>
    <w:rsid w:val="00AC06E5"/>
    <w:rsid w:val="00AC085B"/>
    <w:rsid w:val="00AC0860"/>
    <w:rsid w:val="00AC08C2"/>
    <w:rsid w:val="00AC08F3"/>
    <w:rsid w:val="00AC0F93"/>
    <w:rsid w:val="00AC1001"/>
    <w:rsid w:val="00AC1005"/>
    <w:rsid w:val="00AC14A7"/>
    <w:rsid w:val="00AC151D"/>
    <w:rsid w:val="00AC1851"/>
    <w:rsid w:val="00AC1D45"/>
    <w:rsid w:val="00AC1EA2"/>
    <w:rsid w:val="00AC23A8"/>
    <w:rsid w:val="00AC23DA"/>
    <w:rsid w:val="00AC25C3"/>
    <w:rsid w:val="00AC2751"/>
    <w:rsid w:val="00AC2F31"/>
    <w:rsid w:val="00AC303D"/>
    <w:rsid w:val="00AC33EB"/>
    <w:rsid w:val="00AC3527"/>
    <w:rsid w:val="00AC3923"/>
    <w:rsid w:val="00AC39CC"/>
    <w:rsid w:val="00AC3A48"/>
    <w:rsid w:val="00AC3D0C"/>
    <w:rsid w:val="00AC427D"/>
    <w:rsid w:val="00AC4CFC"/>
    <w:rsid w:val="00AC4F40"/>
    <w:rsid w:val="00AC504F"/>
    <w:rsid w:val="00AC50F5"/>
    <w:rsid w:val="00AC5209"/>
    <w:rsid w:val="00AC5461"/>
    <w:rsid w:val="00AC5674"/>
    <w:rsid w:val="00AC58B3"/>
    <w:rsid w:val="00AC5C5F"/>
    <w:rsid w:val="00AC6763"/>
    <w:rsid w:val="00AC6786"/>
    <w:rsid w:val="00AC6913"/>
    <w:rsid w:val="00AC69E7"/>
    <w:rsid w:val="00AC6B7D"/>
    <w:rsid w:val="00AC6E27"/>
    <w:rsid w:val="00AC72D3"/>
    <w:rsid w:val="00AC7486"/>
    <w:rsid w:val="00AC7753"/>
    <w:rsid w:val="00AC7ABA"/>
    <w:rsid w:val="00AC7B6A"/>
    <w:rsid w:val="00AC7C22"/>
    <w:rsid w:val="00AC7DEE"/>
    <w:rsid w:val="00AC7EDA"/>
    <w:rsid w:val="00AD0177"/>
    <w:rsid w:val="00AD02C1"/>
    <w:rsid w:val="00AD044D"/>
    <w:rsid w:val="00AD07B4"/>
    <w:rsid w:val="00AD0942"/>
    <w:rsid w:val="00AD0E21"/>
    <w:rsid w:val="00AD0F21"/>
    <w:rsid w:val="00AD13E6"/>
    <w:rsid w:val="00AD162F"/>
    <w:rsid w:val="00AD17B8"/>
    <w:rsid w:val="00AD22DD"/>
    <w:rsid w:val="00AD25A3"/>
    <w:rsid w:val="00AD2658"/>
    <w:rsid w:val="00AD267F"/>
    <w:rsid w:val="00AD26C2"/>
    <w:rsid w:val="00AD28A0"/>
    <w:rsid w:val="00AD2CD6"/>
    <w:rsid w:val="00AD2F62"/>
    <w:rsid w:val="00AD2F75"/>
    <w:rsid w:val="00AD30AC"/>
    <w:rsid w:val="00AD3310"/>
    <w:rsid w:val="00AD368D"/>
    <w:rsid w:val="00AD3857"/>
    <w:rsid w:val="00AD38EB"/>
    <w:rsid w:val="00AD3B8B"/>
    <w:rsid w:val="00AD3BAD"/>
    <w:rsid w:val="00AD3E3B"/>
    <w:rsid w:val="00AD408D"/>
    <w:rsid w:val="00AD47B2"/>
    <w:rsid w:val="00AD4A41"/>
    <w:rsid w:val="00AD4D0E"/>
    <w:rsid w:val="00AD4D5A"/>
    <w:rsid w:val="00AD5437"/>
    <w:rsid w:val="00AD5452"/>
    <w:rsid w:val="00AD5AC0"/>
    <w:rsid w:val="00AD5EFE"/>
    <w:rsid w:val="00AD608D"/>
    <w:rsid w:val="00AD60AC"/>
    <w:rsid w:val="00AD6200"/>
    <w:rsid w:val="00AD6547"/>
    <w:rsid w:val="00AD6A26"/>
    <w:rsid w:val="00AD6A39"/>
    <w:rsid w:val="00AD6CF7"/>
    <w:rsid w:val="00AD6D7E"/>
    <w:rsid w:val="00AD6DD7"/>
    <w:rsid w:val="00AD708A"/>
    <w:rsid w:val="00AD70EA"/>
    <w:rsid w:val="00AD710F"/>
    <w:rsid w:val="00AD7134"/>
    <w:rsid w:val="00AD71CA"/>
    <w:rsid w:val="00AD76F2"/>
    <w:rsid w:val="00AD7813"/>
    <w:rsid w:val="00AD7DC9"/>
    <w:rsid w:val="00AE0152"/>
    <w:rsid w:val="00AE0155"/>
    <w:rsid w:val="00AE05B5"/>
    <w:rsid w:val="00AE0A93"/>
    <w:rsid w:val="00AE0AE3"/>
    <w:rsid w:val="00AE11B5"/>
    <w:rsid w:val="00AE1282"/>
    <w:rsid w:val="00AE1622"/>
    <w:rsid w:val="00AE1E39"/>
    <w:rsid w:val="00AE2E16"/>
    <w:rsid w:val="00AE2F70"/>
    <w:rsid w:val="00AE2F90"/>
    <w:rsid w:val="00AE372B"/>
    <w:rsid w:val="00AE394D"/>
    <w:rsid w:val="00AE3D82"/>
    <w:rsid w:val="00AE3E76"/>
    <w:rsid w:val="00AE3F1C"/>
    <w:rsid w:val="00AE4066"/>
    <w:rsid w:val="00AE413A"/>
    <w:rsid w:val="00AE4516"/>
    <w:rsid w:val="00AE45E8"/>
    <w:rsid w:val="00AE4C05"/>
    <w:rsid w:val="00AE4C6F"/>
    <w:rsid w:val="00AE4FA1"/>
    <w:rsid w:val="00AE533D"/>
    <w:rsid w:val="00AE59B4"/>
    <w:rsid w:val="00AE5A3B"/>
    <w:rsid w:val="00AE5D66"/>
    <w:rsid w:val="00AE5D82"/>
    <w:rsid w:val="00AE61D2"/>
    <w:rsid w:val="00AE625C"/>
    <w:rsid w:val="00AE6985"/>
    <w:rsid w:val="00AE6D96"/>
    <w:rsid w:val="00AE6E74"/>
    <w:rsid w:val="00AE7418"/>
    <w:rsid w:val="00AE78A9"/>
    <w:rsid w:val="00AE791F"/>
    <w:rsid w:val="00AE7944"/>
    <w:rsid w:val="00AE7990"/>
    <w:rsid w:val="00AE7CD2"/>
    <w:rsid w:val="00AE7D2D"/>
    <w:rsid w:val="00AF011D"/>
    <w:rsid w:val="00AF07BD"/>
    <w:rsid w:val="00AF07CE"/>
    <w:rsid w:val="00AF0CB7"/>
    <w:rsid w:val="00AF0D07"/>
    <w:rsid w:val="00AF0DDF"/>
    <w:rsid w:val="00AF12D6"/>
    <w:rsid w:val="00AF1BE1"/>
    <w:rsid w:val="00AF1C43"/>
    <w:rsid w:val="00AF1CD5"/>
    <w:rsid w:val="00AF2293"/>
    <w:rsid w:val="00AF2BBC"/>
    <w:rsid w:val="00AF2C5C"/>
    <w:rsid w:val="00AF2E87"/>
    <w:rsid w:val="00AF3476"/>
    <w:rsid w:val="00AF36E4"/>
    <w:rsid w:val="00AF380E"/>
    <w:rsid w:val="00AF38A3"/>
    <w:rsid w:val="00AF3AEA"/>
    <w:rsid w:val="00AF3B95"/>
    <w:rsid w:val="00AF3BEA"/>
    <w:rsid w:val="00AF3C19"/>
    <w:rsid w:val="00AF3DFD"/>
    <w:rsid w:val="00AF3E70"/>
    <w:rsid w:val="00AF3E91"/>
    <w:rsid w:val="00AF3F99"/>
    <w:rsid w:val="00AF44A4"/>
    <w:rsid w:val="00AF535E"/>
    <w:rsid w:val="00AF54B1"/>
    <w:rsid w:val="00AF55E4"/>
    <w:rsid w:val="00AF5636"/>
    <w:rsid w:val="00AF57D1"/>
    <w:rsid w:val="00AF57FC"/>
    <w:rsid w:val="00AF5A49"/>
    <w:rsid w:val="00AF5DC7"/>
    <w:rsid w:val="00AF5E85"/>
    <w:rsid w:val="00AF6146"/>
    <w:rsid w:val="00AF617B"/>
    <w:rsid w:val="00AF6230"/>
    <w:rsid w:val="00AF656C"/>
    <w:rsid w:val="00AF69CB"/>
    <w:rsid w:val="00AF6B7C"/>
    <w:rsid w:val="00AF6E16"/>
    <w:rsid w:val="00AF710F"/>
    <w:rsid w:val="00AF75EC"/>
    <w:rsid w:val="00AF7623"/>
    <w:rsid w:val="00AF79BD"/>
    <w:rsid w:val="00AF7CD0"/>
    <w:rsid w:val="00B00614"/>
    <w:rsid w:val="00B00BEE"/>
    <w:rsid w:val="00B00D1C"/>
    <w:rsid w:val="00B00D36"/>
    <w:rsid w:val="00B00E60"/>
    <w:rsid w:val="00B00F8B"/>
    <w:rsid w:val="00B010C9"/>
    <w:rsid w:val="00B013C4"/>
    <w:rsid w:val="00B0169F"/>
    <w:rsid w:val="00B0182E"/>
    <w:rsid w:val="00B01FC8"/>
    <w:rsid w:val="00B0203C"/>
    <w:rsid w:val="00B02215"/>
    <w:rsid w:val="00B02427"/>
    <w:rsid w:val="00B02686"/>
    <w:rsid w:val="00B026BF"/>
    <w:rsid w:val="00B02AE2"/>
    <w:rsid w:val="00B02B58"/>
    <w:rsid w:val="00B02D16"/>
    <w:rsid w:val="00B03598"/>
    <w:rsid w:val="00B035CB"/>
    <w:rsid w:val="00B03C81"/>
    <w:rsid w:val="00B03C97"/>
    <w:rsid w:val="00B03CBE"/>
    <w:rsid w:val="00B03DD6"/>
    <w:rsid w:val="00B04A4A"/>
    <w:rsid w:val="00B054B3"/>
    <w:rsid w:val="00B056E4"/>
    <w:rsid w:val="00B0574D"/>
    <w:rsid w:val="00B057D7"/>
    <w:rsid w:val="00B05836"/>
    <w:rsid w:val="00B05EBA"/>
    <w:rsid w:val="00B0607F"/>
    <w:rsid w:val="00B065BA"/>
    <w:rsid w:val="00B066A7"/>
    <w:rsid w:val="00B068FF"/>
    <w:rsid w:val="00B06B5C"/>
    <w:rsid w:val="00B06F36"/>
    <w:rsid w:val="00B0702C"/>
    <w:rsid w:val="00B070CC"/>
    <w:rsid w:val="00B072C2"/>
    <w:rsid w:val="00B07641"/>
    <w:rsid w:val="00B07928"/>
    <w:rsid w:val="00B07C9A"/>
    <w:rsid w:val="00B1035A"/>
    <w:rsid w:val="00B1044B"/>
    <w:rsid w:val="00B107D6"/>
    <w:rsid w:val="00B108C4"/>
    <w:rsid w:val="00B10A6A"/>
    <w:rsid w:val="00B10AF6"/>
    <w:rsid w:val="00B10B85"/>
    <w:rsid w:val="00B10E19"/>
    <w:rsid w:val="00B11643"/>
    <w:rsid w:val="00B11C3E"/>
    <w:rsid w:val="00B12F2E"/>
    <w:rsid w:val="00B13718"/>
    <w:rsid w:val="00B1381C"/>
    <w:rsid w:val="00B13833"/>
    <w:rsid w:val="00B13978"/>
    <w:rsid w:val="00B13B3F"/>
    <w:rsid w:val="00B14049"/>
    <w:rsid w:val="00B142E3"/>
    <w:rsid w:val="00B143B0"/>
    <w:rsid w:val="00B1454C"/>
    <w:rsid w:val="00B1474E"/>
    <w:rsid w:val="00B14C65"/>
    <w:rsid w:val="00B14F4D"/>
    <w:rsid w:val="00B1527B"/>
    <w:rsid w:val="00B15446"/>
    <w:rsid w:val="00B15B44"/>
    <w:rsid w:val="00B15FC6"/>
    <w:rsid w:val="00B16529"/>
    <w:rsid w:val="00B16763"/>
    <w:rsid w:val="00B1691C"/>
    <w:rsid w:val="00B16F90"/>
    <w:rsid w:val="00B16FEE"/>
    <w:rsid w:val="00B1706D"/>
    <w:rsid w:val="00B17280"/>
    <w:rsid w:val="00B174BD"/>
    <w:rsid w:val="00B17760"/>
    <w:rsid w:val="00B1786C"/>
    <w:rsid w:val="00B17932"/>
    <w:rsid w:val="00B17B18"/>
    <w:rsid w:val="00B17B9F"/>
    <w:rsid w:val="00B17D06"/>
    <w:rsid w:val="00B20365"/>
    <w:rsid w:val="00B20397"/>
    <w:rsid w:val="00B2052E"/>
    <w:rsid w:val="00B2069D"/>
    <w:rsid w:val="00B20B8B"/>
    <w:rsid w:val="00B20CF6"/>
    <w:rsid w:val="00B20F0F"/>
    <w:rsid w:val="00B21472"/>
    <w:rsid w:val="00B21D5C"/>
    <w:rsid w:val="00B21F25"/>
    <w:rsid w:val="00B21F6D"/>
    <w:rsid w:val="00B222B6"/>
    <w:rsid w:val="00B2230A"/>
    <w:rsid w:val="00B22403"/>
    <w:rsid w:val="00B2258E"/>
    <w:rsid w:val="00B22730"/>
    <w:rsid w:val="00B22C12"/>
    <w:rsid w:val="00B22C48"/>
    <w:rsid w:val="00B22FA3"/>
    <w:rsid w:val="00B2309B"/>
    <w:rsid w:val="00B232C2"/>
    <w:rsid w:val="00B23575"/>
    <w:rsid w:val="00B23719"/>
    <w:rsid w:val="00B2381E"/>
    <w:rsid w:val="00B23E84"/>
    <w:rsid w:val="00B243D1"/>
    <w:rsid w:val="00B2441E"/>
    <w:rsid w:val="00B24515"/>
    <w:rsid w:val="00B248F3"/>
    <w:rsid w:val="00B24AC4"/>
    <w:rsid w:val="00B24B05"/>
    <w:rsid w:val="00B24C59"/>
    <w:rsid w:val="00B24D68"/>
    <w:rsid w:val="00B24E04"/>
    <w:rsid w:val="00B24E8A"/>
    <w:rsid w:val="00B2545F"/>
    <w:rsid w:val="00B25482"/>
    <w:rsid w:val="00B25488"/>
    <w:rsid w:val="00B255E6"/>
    <w:rsid w:val="00B25767"/>
    <w:rsid w:val="00B257D9"/>
    <w:rsid w:val="00B25921"/>
    <w:rsid w:val="00B25E3A"/>
    <w:rsid w:val="00B26069"/>
    <w:rsid w:val="00B2630D"/>
    <w:rsid w:val="00B2656E"/>
    <w:rsid w:val="00B26634"/>
    <w:rsid w:val="00B26986"/>
    <w:rsid w:val="00B269CC"/>
    <w:rsid w:val="00B26AEE"/>
    <w:rsid w:val="00B26EB9"/>
    <w:rsid w:val="00B270EC"/>
    <w:rsid w:val="00B27384"/>
    <w:rsid w:val="00B27965"/>
    <w:rsid w:val="00B27F1B"/>
    <w:rsid w:val="00B3036F"/>
    <w:rsid w:val="00B30458"/>
    <w:rsid w:val="00B3087F"/>
    <w:rsid w:val="00B30994"/>
    <w:rsid w:val="00B30AF4"/>
    <w:rsid w:val="00B30BDC"/>
    <w:rsid w:val="00B30CFE"/>
    <w:rsid w:val="00B30E38"/>
    <w:rsid w:val="00B3149D"/>
    <w:rsid w:val="00B315E9"/>
    <w:rsid w:val="00B317D7"/>
    <w:rsid w:val="00B31D56"/>
    <w:rsid w:val="00B32115"/>
    <w:rsid w:val="00B32130"/>
    <w:rsid w:val="00B32343"/>
    <w:rsid w:val="00B324B8"/>
    <w:rsid w:val="00B325C5"/>
    <w:rsid w:val="00B32756"/>
    <w:rsid w:val="00B327A8"/>
    <w:rsid w:val="00B32AAA"/>
    <w:rsid w:val="00B32B4D"/>
    <w:rsid w:val="00B33191"/>
    <w:rsid w:val="00B33312"/>
    <w:rsid w:val="00B335BF"/>
    <w:rsid w:val="00B33625"/>
    <w:rsid w:val="00B338E0"/>
    <w:rsid w:val="00B33A89"/>
    <w:rsid w:val="00B33B24"/>
    <w:rsid w:val="00B33D2D"/>
    <w:rsid w:val="00B33D94"/>
    <w:rsid w:val="00B34254"/>
    <w:rsid w:val="00B342CD"/>
    <w:rsid w:val="00B343D2"/>
    <w:rsid w:val="00B34459"/>
    <w:rsid w:val="00B3467C"/>
    <w:rsid w:val="00B34DF2"/>
    <w:rsid w:val="00B34EFA"/>
    <w:rsid w:val="00B34F36"/>
    <w:rsid w:val="00B35779"/>
    <w:rsid w:val="00B35E5A"/>
    <w:rsid w:val="00B35FAA"/>
    <w:rsid w:val="00B3602E"/>
    <w:rsid w:val="00B3630F"/>
    <w:rsid w:val="00B3675A"/>
    <w:rsid w:val="00B367B9"/>
    <w:rsid w:val="00B36B20"/>
    <w:rsid w:val="00B36D04"/>
    <w:rsid w:val="00B36DC0"/>
    <w:rsid w:val="00B36E8E"/>
    <w:rsid w:val="00B36EB3"/>
    <w:rsid w:val="00B37127"/>
    <w:rsid w:val="00B373C6"/>
    <w:rsid w:val="00B374AC"/>
    <w:rsid w:val="00B376B6"/>
    <w:rsid w:val="00B37840"/>
    <w:rsid w:val="00B37DA6"/>
    <w:rsid w:val="00B40050"/>
    <w:rsid w:val="00B403BE"/>
    <w:rsid w:val="00B4043D"/>
    <w:rsid w:val="00B40486"/>
    <w:rsid w:val="00B409AC"/>
    <w:rsid w:val="00B40CC3"/>
    <w:rsid w:val="00B40CCE"/>
    <w:rsid w:val="00B40FBC"/>
    <w:rsid w:val="00B41049"/>
    <w:rsid w:val="00B414B3"/>
    <w:rsid w:val="00B4164A"/>
    <w:rsid w:val="00B4181F"/>
    <w:rsid w:val="00B4193E"/>
    <w:rsid w:val="00B41B3B"/>
    <w:rsid w:val="00B41BE7"/>
    <w:rsid w:val="00B41C12"/>
    <w:rsid w:val="00B42155"/>
    <w:rsid w:val="00B4252F"/>
    <w:rsid w:val="00B42767"/>
    <w:rsid w:val="00B42805"/>
    <w:rsid w:val="00B42833"/>
    <w:rsid w:val="00B42935"/>
    <w:rsid w:val="00B42C6F"/>
    <w:rsid w:val="00B42ED0"/>
    <w:rsid w:val="00B42F87"/>
    <w:rsid w:val="00B43B0D"/>
    <w:rsid w:val="00B43CA3"/>
    <w:rsid w:val="00B442FF"/>
    <w:rsid w:val="00B44701"/>
    <w:rsid w:val="00B44753"/>
    <w:rsid w:val="00B44EF4"/>
    <w:rsid w:val="00B44FDF"/>
    <w:rsid w:val="00B4510D"/>
    <w:rsid w:val="00B45550"/>
    <w:rsid w:val="00B45579"/>
    <w:rsid w:val="00B46011"/>
    <w:rsid w:val="00B46201"/>
    <w:rsid w:val="00B467EC"/>
    <w:rsid w:val="00B46A52"/>
    <w:rsid w:val="00B46AAC"/>
    <w:rsid w:val="00B46E49"/>
    <w:rsid w:val="00B473D5"/>
    <w:rsid w:val="00B473D8"/>
    <w:rsid w:val="00B473ED"/>
    <w:rsid w:val="00B47692"/>
    <w:rsid w:val="00B477E5"/>
    <w:rsid w:val="00B47995"/>
    <w:rsid w:val="00B47B3A"/>
    <w:rsid w:val="00B47C1A"/>
    <w:rsid w:val="00B47CA1"/>
    <w:rsid w:val="00B47D20"/>
    <w:rsid w:val="00B47ED3"/>
    <w:rsid w:val="00B47F7A"/>
    <w:rsid w:val="00B47F81"/>
    <w:rsid w:val="00B500BE"/>
    <w:rsid w:val="00B5032B"/>
    <w:rsid w:val="00B50385"/>
    <w:rsid w:val="00B506A5"/>
    <w:rsid w:val="00B506C8"/>
    <w:rsid w:val="00B50B6F"/>
    <w:rsid w:val="00B50BB0"/>
    <w:rsid w:val="00B50F34"/>
    <w:rsid w:val="00B50FC8"/>
    <w:rsid w:val="00B50FD1"/>
    <w:rsid w:val="00B5142A"/>
    <w:rsid w:val="00B514DA"/>
    <w:rsid w:val="00B516BA"/>
    <w:rsid w:val="00B518A1"/>
    <w:rsid w:val="00B518C1"/>
    <w:rsid w:val="00B519B5"/>
    <w:rsid w:val="00B51F07"/>
    <w:rsid w:val="00B51F3E"/>
    <w:rsid w:val="00B5228D"/>
    <w:rsid w:val="00B527B4"/>
    <w:rsid w:val="00B52882"/>
    <w:rsid w:val="00B52E15"/>
    <w:rsid w:val="00B52EE8"/>
    <w:rsid w:val="00B52F41"/>
    <w:rsid w:val="00B53199"/>
    <w:rsid w:val="00B53237"/>
    <w:rsid w:val="00B533FA"/>
    <w:rsid w:val="00B53401"/>
    <w:rsid w:val="00B536F1"/>
    <w:rsid w:val="00B53BC8"/>
    <w:rsid w:val="00B53D87"/>
    <w:rsid w:val="00B53E73"/>
    <w:rsid w:val="00B53EF6"/>
    <w:rsid w:val="00B5454F"/>
    <w:rsid w:val="00B5478B"/>
    <w:rsid w:val="00B547AF"/>
    <w:rsid w:val="00B54831"/>
    <w:rsid w:val="00B54997"/>
    <w:rsid w:val="00B549FF"/>
    <w:rsid w:val="00B54B8E"/>
    <w:rsid w:val="00B552EE"/>
    <w:rsid w:val="00B5576D"/>
    <w:rsid w:val="00B55A4D"/>
    <w:rsid w:val="00B55C1F"/>
    <w:rsid w:val="00B55CB5"/>
    <w:rsid w:val="00B55F14"/>
    <w:rsid w:val="00B5701C"/>
    <w:rsid w:val="00B571A8"/>
    <w:rsid w:val="00B57306"/>
    <w:rsid w:val="00B5757A"/>
    <w:rsid w:val="00B5763A"/>
    <w:rsid w:val="00B57673"/>
    <w:rsid w:val="00B577D1"/>
    <w:rsid w:val="00B57BDA"/>
    <w:rsid w:val="00B57E5F"/>
    <w:rsid w:val="00B606D8"/>
    <w:rsid w:val="00B60A4E"/>
    <w:rsid w:val="00B60C7C"/>
    <w:rsid w:val="00B60D45"/>
    <w:rsid w:val="00B61163"/>
    <w:rsid w:val="00B612E2"/>
    <w:rsid w:val="00B61486"/>
    <w:rsid w:val="00B614E4"/>
    <w:rsid w:val="00B6176E"/>
    <w:rsid w:val="00B61855"/>
    <w:rsid w:val="00B61A1D"/>
    <w:rsid w:val="00B61DC8"/>
    <w:rsid w:val="00B621AC"/>
    <w:rsid w:val="00B62272"/>
    <w:rsid w:val="00B622D5"/>
    <w:rsid w:val="00B6285B"/>
    <w:rsid w:val="00B62F76"/>
    <w:rsid w:val="00B631ED"/>
    <w:rsid w:val="00B632B0"/>
    <w:rsid w:val="00B63501"/>
    <w:rsid w:val="00B63820"/>
    <w:rsid w:val="00B6390D"/>
    <w:rsid w:val="00B63CC4"/>
    <w:rsid w:val="00B64363"/>
    <w:rsid w:val="00B6459B"/>
    <w:rsid w:val="00B64646"/>
    <w:rsid w:val="00B64A0F"/>
    <w:rsid w:val="00B64A1B"/>
    <w:rsid w:val="00B64A3C"/>
    <w:rsid w:val="00B64D9B"/>
    <w:rsid w:val="00B64E27"/>
    <w:rsid w:val="00B650D8"/>
    <w:rsid w:val="00B651E5"/>
    <w:rsid w:val="00B653E5"/>
    <w:rsid w:val="00B655A6"/>
    <w:rsid w:val="00B65674"/>
    <w:rsid w:val="00B65D04"/>
    <w:rsid w:val="00B65E23"/>
    <w:rsid w:val="00B65E8C"/>
    <w:rsid w:val="00B662E0"/>
    <w:rsid w:val="00B6644E"/>
    <w:rsid w:val="00B66576"/>
    <w:rsid w:val="00B667C6"/>
    <w:rsid w:val="00B66941"/>
    <w:rsid w:val="00B66F20"/>
    <w:rsid w:val="00B66F7C"/>
    <w:rsid w:val="00B670B4"/>
    <w:rsid w:val="00B671BF"/>
    <w:rsid w:val="00B672B6"/>
    <w:rsid w:val="00B674A2"/>
    <w:rsid w:val="00B675A6"/>
    <w:rsid w:val="00B67AE2"/>
    <w:rsid w:val="00B67F0B"/>
    <w:rsid w:val="00B706A5"/>
    <w:rsid w:val="00B706C0"/>
    <w:rsid w:val="00B7115D"/>
    <w:rsid w:val="00B71AB7"/>
    <w:rsid w:val="00B71C9D"/>
    <w:rsid w:val="00B71EE0"/>
    <w:rsid w:val="00B71F1A"/>
    <w:rsid w:val="00B71FF9"/>
    <w:rsid w:val="00B72586"/>
    <w:rsid w:val="00B72871"/>
    <w:rsid w:val="00B72B97"/>
    <w:rsid w:val="00B72C34"/>
    <w:rsid w:val="00B72C71"/>
    <w:rsid w:val="00B72DC8"/>
    <w:rsid w:val="00B72F80"/>
    <w:rsid w:val="00B730F4"/>
    <w:rsid w:val="00B73117"/>
    <w:rsid w:val="00B73423"/>
    <w:rsid w:val="00B7391F"/>
    <w:rsid w:val="00B7405E"/>
    <w:rsid w:val="00B74098"/>
    <w:rsid w:val="00B74251"/>
    <w:rsid w:val="00B74362"/>
    <w:rsid w:val="00B749D1"/>
    <w:rsid w:val="00B74B57"/>
    <w:rsid w:val="00B74EEA"/>
    <w:rsid w:val="00B752DF"/>
    <w:rsid w:val="00B756BD"/>
    <w:rsid w:val="00B75A8D"/>
    <w:rsid w:val="00B75BFE"/>
    <w:rsid w:val="00B75CF1"/>
    <w:rsid w:val="00B75E71"/>
    <w:rsid w:val="00B7602D"/>
    <w:rsid w:val="00B76291"/>
    <w:rsid w:val="00B76561"/>
    <w:rsid w:val="00B7681F"/>
    <w:rsid w:val="00B7682F"/>
    <w:rsid w:val="00B76ACE"/>
    <w:rsid w:val="00B76AD6"/>
    <w:rsid w:val="00B770FF"/>
    <w:rsid w:val="00B7722D"/>
    <w:rsid w:val="00B77402"/>
    <w:rsid w:val="00B774D2"/>
    <w:rsid w:val="00B77894"/>
    <w:rsid w:val="00B77C2A"/>
    <w:rsid w:val="00B80068"/>
    <w:rsid w:val="00B80104"/>
    <w:rsid w:val="00B808E0"/>
    <w:rsid w:val="00B80C31"/>
    <w:rsid w:val="00B80D37"/>
    <w:rsid w:val="00B80D41"/>
    <w:rsid w:val="00B81568"/>
    <w:rsid w:val="00B81582"/>
    <w:rsid w:val="00B815C1"/>
    <w:rsid w:val="00B815C3"/>
    <w:rsid w:val="00B81BC0"/>
    <w:rsid w:val="00B81CDA"/>
    <w:rsid w:val="00B81E44"/>
    <w:rsid w:val="00B81EDA"/>
    <w:rsid w:val="00B81EE4"/>
    <w:rsid w:val="00B81F05"/>
    <w:rsid w:val="00B8217B"/>
    <w:rsid w:val="00B822C5"/>
    <w:rsid w:val="00B82A7F"/>
    <w:rsid w:val="00B82C92"/>
    <w:rsid w:val="00B82D21"/>
    <w:rsid w:val="00B82ED0"/>
    <w:rsid w:val="00B82EF9"/>
    <w:rsid w:val="00B831D8"/>
    <w:rsid w:val="00B8395A"/>
    <w:rsid w:val="00B83CEC"/>
    <w:rsid w:val="00B83D0E"/>
    <w:rsid w:val="00B841DB"/>
    <w:rsid w:val="00B84257"/>
    <w:rsid w:val="00B8426F"/>
    <w:rsid w:val="00B84853"/>
    <w:rsid w:val="00B84A65"/>
    <w:rsid w:val="00B84FBB"/>
    <w:rsid w:val="00B85294"/>
    <w:rsid w:val="00B85A66"/>
    <w:rsid w:val="00B85C30"/>
    <w:rsid w:val="00B85F47"/>
    <w:rsid w:val="00B860CB"/>
    <w:rsid w:val="00B861B2"/>
    <w:rsid w:val="00B86539"/>
    <w:rsid w:val="00B867EC"/>
    <w:rsid w:val="00B868A3"/>
    <w:rsid w:val="00B86E45"/>
    <w:rsid w:val="00B86FF4"/>
    <w:rsid w:val="00B8708B"/>
    <w:rsid w:val="00B87093"/>
    <w:rsid w:val="00B870CA"/>
    <w:rsid w:val="00B87232"/>
    <w:rsid w:val="00B876F9"/>
    <w:rsid w:val="00B878C0"/>
    <w:rsid w:val="00B87927"/>
    <w:rsid w:val="00B87979"/>
    <w:rsid w:val="00B87A00"/>
    <w:rsid w:val="00B87BA5"/>
    <w:rsid w:val="00B87FD3"/>
    <w:rsid w:val="00B90153"/>
    <w:rsid w:val="00B902D2"/>
    <w:rsid w:val="00B90500"/>
    <w:rsid w:val="00B914AF"/>
    <w:rsid w:val="00B919EB"/>
    <w:rsid w:val="00B91A55"/>
    <w:rsid w:val="00B925AB"/>
    <w:rsid w:val="00B92619"/>
    <w:rsid w:val="00B926BD"/>
    <w:rsid w:val="00B927DF"/>
    <w:rsid w:val="00B929B7"/>
    <w:rsid w:val="00B929C8"/>
    <w:rsid w:val="00B92BE9"/>
    <w:rsid w:val="00B92CF4"/>
    <w:rsid w:val="00B93160"/>
    <w:rsid w:val="00B9327B"/>
    <w:rsid w:val="00B932BE"/>
    <w:rsid w:val="00B93752"/>
    <w:rsid w:val="00B93845"/>
    <w:rsid w:val="00B939C4"/>
    <w:rsid w:val="00B93D2A"/>
    <w:rsid w:val="00B9412D"/>
    <w:rsid w:val="00B943DC"/>
    <w:rsid w:val="00B9445B"/>
    <w:rsid w:val="00B948EB"/>
    <w:rsid w:val="00B94970"/>
    <w:rsid w:val="00B94C54"/>
    <w:rsid w:val="00B94D65"/>
    <w:rsid w:val="00B94D7C"/>
    <w:rsid w:val="00B95051"/>
    <w:rsid w:val="00B95505"/>
    <w:rsid w:val="00B959D6"/>
    <w:rsid w:val="00B95B94"/>
    <w:rsid w:val="00B96183"/>
    <w:rsid w:val="00B9643A"/>
    <w:rsid w:val="00B9659A"/>
    <w:rsid w:val="00B96A13"/>
    <w:rsid w:val="00B96EB6"/>
    <w:rsid w:val="00B9709B"/>
    <w:rsid w:val="00B9718E"/>
    <w:rsid w:val="00B97333"/>
    <w:rsid w:val="00B974E3"/>
    <w:rsid w:val="00B97836"/>
    <w:rsid w:val="00B97B33"/>
    <w:rsid w:val="00B97E72"/>
    <w:rsid w:val="00BA017D"/>
    <w:rsid w:val="00BA0264"/>
    <w:rsid w:val="00BA06AF"/>
    <w:rsid w:val="00BA06D9"/>
    <w:rsid w:val="00BA076A"/>
    <w:rsid w:val="00BA0770"/>
    <w:rsid w:val="00BA0913"/>
    <w:rsid w:val="00BA0B1E"/>
    <w:rsid w:val="00BA0DA8"/>
    <w:rsid w:val="00BA1111"/>
    <w:rsid w:val="00BA192D"/>
    <w:rsid w:val="00BA1D46"/>
    <w:rsid w:val="00BA1D58"/>
    <w:rsid w:val="00BA1DEF"/>
    <w:rsid w:val="00BA1E52"/>
    <w:rsid w:val="00BA1EC0"/>
    <w:rsid w:val="00BA218D"/>
    <w:rsid w:val="00BA225A"/>
    <w:rsid w:val="00BA2A4A"/>
    <w:rsid w:val="00BA2B63"/>
    <w:rsid w:val="00BA2C79"/>
    <w:rsid w:val="00BA2CAC"/>
    <w:rsid w:val="00BA2E72"/>
    <w:rsid w:val="00BA2EB3"/>
    <w:rsid w:val="00BA2F9D"/>
    <w:rsid w:val="00BA3102"/>
    <w:rsid w:val="00BA3183"/>
    <w:rsid w:val="00BA37C0"/>
    <w:rsid w:val="00BA3C30"/>
    <w:rsid w:val="00BA3C64"/>
    <w:rsid w:val="00BA3C9B"/>
    <w:rsid w:val="00BA3D91"/>
    <w:rsid w:val="00BA44F1"/>
    <w:rsid w:val="00BA4608"/>
    <w:rsid w:val="00BA46DB"/>
    <w:rsid w:val="00BA4895"/>
    <w:rsid w:val="00BA4ADE"/>
    <w:rsid w:val="00BA4B13"/>
    <w:rsid w:val="00BA4DD2"/>
    <w:rsid w:val="00BA4E08"/>
    <w:rsid w:val="00BA501E"/>
    <w:rsid w:val="00BA503C"/>
    <w:rsid w:val="00BA51D8"/>
    <w:rsid w:val="00BA5C73"/>
    <w:rsid w:val="00BA610E"/>
    <w:rsid w:val="00BA61E5"/>
    <w:rsid w:val="00BA63A2"/>
    <w:rsid w:val="00BA6627"/>
    <w:rsid w:val="00BA67D9"/>
    <w:rsid w:val="00BA6ACA"/>
    <w:rsid w:val="00BA6B30"/>
    <w:rsid w:val="00BA6F6C"/>
    <w:rsid w:val="00BA7286"/>
    <w:rsid w:val="00BA749E"/>
    <w:rsid w:val="00BA7622"/>
    <w:rsid w:val="00BA7730"/>
    <w:rsid w:val="00BA77DA"/>
    <w:rsid w:val="00BA7A2F"/>
    <w:rsid w:val="00BA7EA8"/>
    <w:rsid w:val="00BA7FD5"/>
    <w:rsid w:val="00BB04F4"/>
    <w:rsid w:val="00BB0517"/>
    <w:rsid w:val="00BB0856"/>
    <w:rsid w:val="00BB0E25"/>
    <w:rsid w:val="00BB14FC"/>
    <w:rsid w:val="00BB150A"/>
    <w:rsid w:val="00BB17F1"/>
    <w:rsid w:val="00BB19B6"/>
    <w:rsid w:val="00BB22D9"/>
    <w:rsid w:val="00BB24EE"/>
    <w:rsid w:val="00BB284C"/>
    <w:rsid w:val="00BB2924"/>
    <w:rsid w:val="00BB2A1E"/>
    <w:rsid w:val="00BB2F13"/>
    <w:rsid w:val="00BB30F4"/>
    <w:rsid w:val="00BB3292"/>
    <w:rsid w:val="00BB3327"/>
    <w:rsid w:val="00BB3430"/>
    <w:rsid w:val="00BB349A"/>
    <w:rsid w:val="00BB34CF"/>
    <w:rsid w:val="00BB3828"/>
    <w:rsid w:val="00BB387D"/>
    <w:rsid w:val="00BB3AC3"/>
    <w:rsid w:val="00BB3B5C"/>
    <w:rsid w:val="00BB4010"/>
    <w:rsid w:val="00BB4091"/>
    <w:rsid w:val="00BB42EC"/>
    <w:rsid w:val="00BB4559"/>
    <w:rsid w:val="00BB465E"/>
    <w:rsid w:val="00BB4A5A"/>
    <w:rsid w:val="00BB5132"/>
    <w:rsid w:val="00BB518A"/>
    <w:rsid w:val="00BB527C"/>
    <w:rsid w:val="00BB53A2"/>
    <w:rsid w:val="00BB53F6"/>
    <w:rsid w:val="00BB5564"/>
    <w:rsid w:val="00BB570A"/>
    <w:rsid w:val="00BB5956"/>
    <w:rsid w:val="00BB5AD2"/>
    <w:rsid w:val="00BB5F94"/>
    <w:rsid w:val="00BB611D"/>
    <w:rsid w:val="00BB64D5"/>
    <w:rsid w:val="00BB671F"/>
    <w:rsid w:val="00BB67F4"/>
    <w:rsid w:val="00BB690B"/>
    <w:rsid w:val="00BB6931"/>
    <w:rsid w:val="00BB6A3C"/>
    <w:rsid w:val="00BB6B97"/>
    <w:rsid w:val="00BB6CA7"/>
    <w:rsid w:val="00BB7124"/>
    <w:rsid w:val="00BB7242"/>
    <w:rsid w:val="00BB7244"/>
    <w:rsid w:val="00BB75B3"/>
    <w:rsid w:val="00BB791B"/>
    <w:rsid w:val="00BB79F2"/>
    <w:rsid w:val="00BB7A5B"/>
    <w:rsid w:val="00BB7DB4"/>
    <w:rsid w:val="00BB7F16"/>
    <w:rsid w:val="00BB7FA1"/>
    <w:rsid w:val="00BB7FFB"/>
    <w:rsid w:val="00BC0194"/>
    <w:rsid w:val="00BC032A"/>
    <w:rsid w:val="00BC03B0"/>
    <w:rsid w:val="00BC0452"/>
    <w:rsid w:val="00BC0813"/>
    <w:rsid w:val="00BC089E"/>
    <w:rsid w:val="00BC0B09"/>
    <w:rsid w:val="00BC0E6B"/>
    <w:rsid w:val="00BC1018"/>
    <w:rsid w:val="00BC134E"/>
    <w:rsid w:val="00BC143A"/>
    <w:rsid w:val="00BC150E"/>
    <w:rsid w:val="00BC155A"/>
    <w:rsid w:val="00BC1897"/>
    <w:rsid w:val="00BC199B"/>
    <w:rsid w:val="00BC1A16"/>
    <w:rsid w:val="00BC1C86"/>
    <w:rsid w:val="00BC1CFE"/>
    <w:rsid w:val="00BC2145"/>
    <w:rsid w:val="00BC23B9"/>
    <w:rsid w:val="00BC24C6"/>
    <w:rsid w:val="00BC2A7D"/>
    <w:rsid w:val="00BC2B8D"/>
    <w:rsid w:val="00BC3050"/>
    <w:rsid w:val="00BC316C"/>
    <w:rsid w:val="00BC3832"/>
    <w:rsid w:val="00BC3D30"/>
    <w:rsid w:val="00BC3D72"/>
    <w:rsid w:val="00BC3D98"/>
    <w:rsid w:val="00BC3EE0"/>
    <w:rsid w:val="00BC3FE6"/>
    <w:rsid w:val="00BC4053"/>
    <w:rsid w:val="00BC4083"/>
    <w:rsid w:val="00BC40BB"/>
    <w:rsid w:val="00BC4286"/>
    <w:rsid w:val="00BC47BE"/>
    <w:rsid w:val="00BC47C5"/>
    <w:rsid w:val="00BC481B"/>
    <w:rsid w:val="00BC4C90"/>
    <w:rsid w:val="00BC4D05"/>
    <w:rsid w:val="00BC4FCA"/>
    <w:rsid w:val="00BC5251"/>
    <w:rsid w:val="00BC5420"/>
    <w:rsid w:val="00BC5431"/>
    <w:rsid w:val="00BC56C6"/>
    <w:rsid w:val="00BC5A30"/>
    <w:rsid w:val="00BC5C36"/>
    <w:rsid w:val="00BC5E1D"/>
    <w:rsid w:val="00BC5E3A"/>
    <w:rsid w:val="00BC606E"/>
    <w:rsid w:val="00BC63C1"/>
    <w:rsid w:val="00BC643D"/>
    <w:rsid w:val="00BC64E1"/>
    <w:rsid w:val="00BC66D5"/>
    <w:rsid w:val="00BC6772"/>
    <w:rsid w:val="00BC6905"/>
    <w:rsid w:val="00BC692F"/>
    <w:rsid w:val="00BC6C9F"/>
    <w:rsid w:val="00BC6CA5"/>
    <w:rsid w:val="00BC6CDF"/>
    <w:rsid w:val="00BC6F0C"/>
    <w:rsid w:val="00BC7254"/>
    <w:rsid w:val="00BC78E0"/>
    <w:rsid w:val="00BC7AFE"/>
    <w:rsid w:val="00BC7E5A"/>
    <w:rsid w:val="00BC7F0F"/>
    <w:rsid w:val="00BC7F9B"/>
    <w:rsid w:val="00BD00E8"/>
    <w:rsid w:val="00BD019E"/>
    <w:rsid w:val="00BD06C4"/>
    <w:rsid w:val="00BD0E08"/>
    <w:rsid w:val="00BD0E99"/>
    <w:rsid w:val="00BD0FF5"/>
    <w:rsid w:val="00BD1084"/>
    <w:rsid w:val="00BD10F6"/>
    <w:rsid w:val="00BD11AA"/>
    <w:rsid w:val="00BD16F2"/>
    <w:rsid w:val="00BD179A"/>
    <w:rsid w:val="00BD190E"/>
    <w:rsid w:val="00BD19C3"/>
    <w:rsid w:val="00BD1A96"/>
    <w:rsid w:val="00BD1AA4"/>
    <w:rsid w:val="00BD1B9E"/>
    <w:rsid w:val="00BD1F1D"/>
    <w:rsid w:val="00BD2BC4"/>
    <w:rsid w:val="00BD2F4B"/>
    <w:rsid w:val="00BD3319"/>
    <w:rsid w:val="00BD33B9"/>
    <w:rsid w:val="00BD36F6"/>
    <w:rsid w:val="00BD3846"/>
    <w:rsid w:val="00BD38D8"/>
    <w:rsid w:val="00BD3A34"/>
    <w:rsid w:val="00BD3EE8"/>
    <w:rsid w:val="00BD427D"/>
    <w:rsid w:val="00BD4682"/>
    <w:rsid w:val="00BD4958"/>
    <w:rsid w:val="00BD4C47"/>
    <w:rsid w:val="00BD4C65"/>
    <w:rsid w:val="00BD4D16"/>
    <w:rsid w:val="00BD560D"/>
    <w:rsid w:val="00BD5650"/>
    <w:rsid w:val="00BD5717"/>
    <w:rsid w:val="00BD5BCA"/>
    <w:rsid w:val="00BD6924"/>
    <w:rsid w:val="00BD6BB2"/>
    <w:rsid w:val="00BD72F5"/>
    <w:rsid w:val="00BD7463"/>
    <w:rsid w:val="00BD76C7"/>
    <w:rsid w:val="00BD7859"/>
    <w:rsid w:val="00BD7919"/>
    <w:rsid w:val="00BD7D30"/>
    <w:rsid w:val="00BE0150"/>
    <w:rsid w:val="00BE02C6"/>
    <w:rsid w:val="00BE046F"/>
    <w:rsid w:val="00BE05B1"/>
    <w:rsid w:val="00BE068F"/>
    <w:rsid w:val="00BE06B6"/>
    <w:rsid w:val="00BE0835"/>
    <w:rsid w:val="00BE08C4"/>
    <w:rsid w:val="00BE0A41"/>
    <w:rsid w:val="00BE0D35"/>
    <w:rsid w:val="00BE127A"/>
    <w:rsid w:val="00BE15F9"/>
    <w:rsid w:val="00BE17BF"/>
    <w:rsid w:val="00BE1F77"/>
    <w:rsid w:val="00BE215F"/>
    <w:rsid w:val="00BE21A0"/>
    <w:rsid w:val="00BE22D6"/>
    <w:rsid w:val="00BE23D0"/>
    <w:rsid w:val="00BE2490"/>
    <w:rsid w:val="00BE2980"/>
    <w:rsid w:val="00BE2ACD"/>
    <w:rsid w:val="00BE2B75"/>
    <w:rsid w:val="00BE2C3A"/>
    <w:rsid w:val="00BE373B"/>
    <w:rsid w:val="00BE3A39"/>
    <w:rsid w:val="00BE3B4F"/>
    <w:rsid w:val="00BE3B70"/>
    <w:rsid w:val="00BE3D06"/>
    <w:rsid w:val="00BE3FAE"/>
    <w:rsid w:val="00BE419C"/>
    <w:rsid w:val="00BE44A9"/>
    <w:rsid w:val="00BE497D"/>
    <w:rsid w:val="00BE498B"/>
    <w:rsid w:val="00BE49CD"/>
    <w:rsid w:val="00BE49EE"/>
    <w:rsid w:val="00BE4A70"/>
    <w:rsid w:val="00BE4E0B"/>
    <w:rsid w:val="00BE4ED9"/>
    <w:rsid w:val="00BE53BD"/>
    <w:rsid w:val="00BE551C"/>
    <w:rsid w:val="00BE5595"/>
    <w:rsid w:val="00BE5BED"/>
    <w:rsid w:val="00BE5D93"/>
    <w:rsid w:val="00BE625A"/>
    <w:rsid w:val="00BE6342"/>
    <w:rsid w:val="00BE6652"/>
    <w:rsid w:val="00BE66C7"/>
    <w:rsid w:val="00BE67ED"/>
    <w:rsid w:val="00BE6D45"/>
    <w:rsid w:val="00BE6D8B"/>
    <w:rsid w:val="00BE6F38"/>
    <w:rsid w:val="00BE7148"/>
    <w:rsid w:val="00BE750D"/>
    <w:rsid w:val="00BE7648"/>
    <w:rsid w:val="00BE78E1"/>
    <w:rsid w:val="00BF0321"/>
    <w:rsid w:val="00BF0523"/>
    <w:rsid w:val="00BF0587"/>
    <w:rsid w:val="00BF073F"/>
    <w:rsid w:val="00BF08F7"/>
    <w:rsid w:val="00BF0AC2"/>
    <w:rsid w:val="00BF0C14"/>
    <w:rsid w:val="00BF10C1"/>
    <w:rsid w:val="00BF1151"/>
    <w:rsid w:val="00BF13FD"/>
    <w:rsid w:val="00BF19F0"/>
    <w:rsid w:val="00BF1AB4"/>
    <w:rsid w:val="00BF1DF7"/>
    <w:rsid w:val="00BF1E56"/>
    <w:rsid w:val="00BF1EF5"/>
    <w:rsid w:val="00BF2234"/>
    <w:rsid w:val="00BF2569"/>
    <w:rsid w:val="00BF2DDE"/>
    <w:rsid w:val="00BF3073"/>
    <w:rsid w:val="00BF3260"/>
    <w:rsid w:val="00BF3462"/>
    <w:rsid w:val="00BF35A7"/>
    <w:rsid w:val="00BF37C3"/>
    <w:rsid w:val="00BF3867"/>
    <w:rsid w:val="00BF3947"/>
    <w:rsid w:val="00BF3966"/>
    <w:rsid w:val="00BF3AF7"/>
    <w:rsid w:val="00BF3C89"/>
    <w:rsid w:val="00BF3D07"/>
    <w:rsid w:val="00BF450D"/>
    <w:rsid w:val="00BF46B7"/>
    <w:rsid w:val="00BF4748"/>
    <w:rsid w:val="00BF4A69"/>
    <w:rsid w:val="00BF4BBD"/>
    <w:rsid w:val="00BF4E7C"/>
    <w:rsid w:val="00BF4EC6"/>
    <w:rsid w:val="00BF50FB"/>
    <w:rsid w:val="00BF55B5"/>
    <w:rsid w:val="00BF55E3"/>
    <w:rsid w:val="00BF5693"/>
    <w:rsid w:val="00BF57D9"/>
    <w:rsid w:val="00BF58FC"/>
    <w:rsid w:val="00BF5E53"/>
    <w:rsid w:val="00BF638E"/>
    <w:rsid w:val="00BF63B9"/>
    <w:rsid w:val="00BF6CAF"/>
    <w:rsid w:val="00BF70DC"/>
    <w:rsid w:val="00BF720A"/>
    <w:rsid w:val="00BF7231"/>
    <w:rsid w:val="00BF7763"/>
    <w:rsid w:val="00BF7A37"/>
    <w:rsid w:val="00BF7D29"/>
    <w:rsid w:val="00C001FA"/>
    <w:rsid w:val="00C0043B"/>
    <w:rsid w:val="00C00704"/>
    <w:rsid w:val="00C00747"/>
    <w:rsid w:val="00C00832"/>
    <w:rsid w:val="00C008E9"/>
    <w:rsid w:val="00C010FE"/>
    <w:rsid w:val="00C01194"/>
    <w:rsid w:val="00C011D5"/>
    <w:rsid w:val="00C012CB"/>
    <w:rsid w:val="00C015F0"/>
    <w:rsid w:val="00C016B2"/>
    <w:rsid w:val="00C01781"/>
    <w:rsid w:val="00C0180B"/>
    <w:rsid w:val="00C01A15"/>
    <w:rsid w:val="00C01BA7"/>
    <w:rsid w:val="00C01E4A"/>
    <w:rsid w:val="00C02012"/>
    <w:rsid w:val="00C0258D"/>
    <w:rsid w:val="00C02A9F"/>
    <w:rsid w:val="00C02C6A"/>
    <w:rsid w:val="00C02C93"/>
    <w:rsid w:val="00C02D93"/>
    <w:rsid w:val="00C0311F"/>
    <w:rsid w:val="00C03138"/>
    <w:rsid w:val="00C032C2"/>
    <w:rsid w:val="00C03302"/>
    <w:rsid w:val="00C03B29"/>
    <w:rsid w:val="00C03DDA"/>
    <w:rsid w:val="00C0422B"/>
    <w:rsid w:val="00C04AEC"/>
    <w:rsid w:val="00C04B55"/>
    <w:rsid w:val="00C04C08"/>
    <w:rsid w:val="00C051D1"/>
    <w:rsid w:val="00C05312"/>
    <w:rsid w:val="00C058F7"/>
    <w:rsid w:val="00C05DEF"/>
    <w:rsid w:val="00C05F29"/>
    <w:rsid w:val="00C0621D"/>
    <w:rsid w:val="00C0635D"/>
    <w:rsid w:val="00C064C5"/>
    <w:rsid w:val="00C06550"/>
    <w:rsid w:val="00C06609"/>
    <w:rsid w:val="00C066B6"/>
    <w:rsid w:val="00C068C8"/>
    <w:rsid w:val="00C069FF"/>
    <w:rsid w:val="00C06AD7"/>
    <w:rsid w:val="00C06BC3"/>
    <w:rsid w:val="00C06FCF"/>
    <w:rsid w:val="00C07083"/>
    <w:rsid w:val="00C07093"/>
    <w:rsid w:val="00C0709A"/>
    <w:rsid w:val="00C07738"/>
    <w:rsid w:val="00C07CAE"/>
    <w:rsid w:val="00C10217"/>
    <w:rsid w:val="00C10683"/>
    <w:rsid w:val="00C10703"/>
    <w:rsid w:val="00C10817"/>
    <w:rsid w:val="00C10B57"/>
    <w:rsid w:val="00C10F59"/>
    <w:rsid w:val="00C11008"/>
    <w:rsid w:val="00C11119"/>
    <w:rsid w:val="00C120A9"/>
    <w:rsid w:val="00C121C7"/>
    <w:rsid w:val="00C121CD"/>
    <w:rsid w:val="00C12325"/>
    <w:rsid w:val="00C12517"/>
    <w:rsid w:val="00C12567"/>
    <w:rsid w:val="00C129B3"/>
    <w:rsid w:val="00C12D8F"/>
    <w:rsid w:val="00C12F83"/>
    <w:rsid w:val="00C133E1"/>
    <w:rsid w:val="00C136F1"/>
    <w:rsid w:val="00C13920"/>
    <w:rsid w:val="00C13A7C"/>
    <w:rsid w:val="00C13AD6"/>
    <w:rsid w:val="00C13C5D"/>
    <w:rsid w:val="00C13D79"/>
    <w:rsid w:val="00C13E64"/>
    <w:rsid w:val="00C13F86"/>
    <w:rsid w:val="00C14110"/>
    <w:rsid w:val="00C14BAF"/>
    <w:rsid w:val="00C14C11"/>
    <w:rsid w:val="00C1519D"/>
    <w:rsid w:val="00C15315"/>
    <w:rsid w:val="00C15579"/>
    <w:rsid w:val="00C157E9"/>
    <w:rsid w:val="00C15C96"/>
    <w:rsid w:val="00C15DDB"/>
    <w:rsid w:val="00C16372"/>
    <w:rsid w:val="00C166B5"/>
    <w:rsid w:val="00C16921"/>
    <w:rsid w:val="00C16965"/>
    <w:rsid w:val="00C16A0E"/>
    <w:rsid w:val="00C1700B"/>
    <w:rsid w:val="00C17169"/>
    <w:rsid w:val="00C1749E"/>
    <w:rsid w:val="00C20798"/>
    <w:rsid w:val="00C20941"/>
    <w:rsid w:val="00C20A86"/>
    <w:rsid w:val="00C20C98"/>
    <w:rsid w:val="00C20D23"/>
    <w:rsid w:val="00C20D55"/>
    <w:rsid w:val="00C20DE7"/>
    <w:rsid w:val="00C20F5E"/>
    <w:rsid w:val="00C215CD"/>
    <w:rsid w:val="00C21C02"/>
    <w:rsid w:val="00C21DE9"/>
    <w:rsid w:val="00C2221C"/>
    <w:rsid w:val="00C2239B"/>
    <w:rsid w:val="00C22A32"/>
    <w:rsid w:val="00C22DCB"/>
    <w:rsid w:val="00C22F85"/>
    <w:rsid w:val="00C23142"/>
    <w:rsid w:val="00C23192"/>
    <w:rsid w:val="00C23235"/>
    <w:rsid w:val="00C2344D"/>
    <w:rsid w:val="00C234E6"/>
    <w:rsid w:val="00C235A3"/>
    <w:rsid w:val="00C23AEE"/>
    <w:rsid w:val="00C242C4"/>
    <w:rsid w:val="00C2495E"/>
    <w:rsid w:val="00C24BAE"/>
    <w:rsid w:val="00C24C61"/>
    <w:rsid w:val="00C24E0E"/>
    <w:rsid w:val="00C24E1E"/>
    <w:rsid w:val="00C252C9"/>
    <w:rsid w:val="00C254BD"/>
    <w:rsid w:val="00C25ACE"/>
    <w:rsid w:val="00C25F8D"/>
    <w:rsid w:val="00C26097"/>
    <w:rsid w:val="00C26671"/>
    <w:rsid w:val="00C26947"/>
    <w:rsid w:val="00C269ED"/>
    <w:rsid w:val="00C26C39"/>
    <w:rsid w:val="00C26F13"/>
    <w:rsid w:val="00C2704B"/>
    <w:rsid w:val="00C27557"/>
    <w:rsid w:val="00C275C5"/>
    <w:rsid w:val="00C278C9"/>
    <w:rsid w:val="00C278E4"/>
    <w:rsid w:val="00C27953"/>
    <w:rsid w:val="00C27AE9"/>
    <w:rsid w:val="00C27B0D"/>
    <w:rsid w:val="00C27C25"/>
    <w:rsid w:val="00C27D1F"/>
    <w:rsid w:val="00C27E78"/>
    <w:rsid w:val="00C27F17"/>
    <w:rsid w:val="00C27FED"/>
    <w:rsid w:val="00C30297"/>
    <w:rsid w:val="00C3039F"/>
    <w:rsid w:val="00C30756"/>
    <w:rsid w:val="00C30B2F"/>
    <w:rsid w:val="00C30EC7"/>
    <w:rsid w:val="00C30FC4"/>
    <w:rsid w:val="00C312A2"/>
    <w:rsid w:val="00C3130A"/>
    <w:rsid w:val="00C31363"/>
    <w:rsid w:val="00C313FD"/>
    <w:rsid w:val="00C31490"/>
    <w:rsid w:val="00C31664"/>
    <w:rsid w:val="00C31AFF"/>
    <w:rsid w:val="00C31BA0"/>
    <w:rsid w:val="00C31BC1"/>
    <w:rsid w:val="00C31E79"/>
    <w:rsid w:val="00C3219B"/>
    <w:rsid w:val="00C3240E"/>
    <w:rsid w:val="00C3243E"/>
    <w:rsid w:val="00C328AA"/>
    <w:rsid w:val="00C32C04"/>
    <w:rsid w:val="00C33138"/>
    <w:rsid w:val="00C334BC"/>
    <w:rsid w:val="00C33730"/>
    <w:rsid w:val="00C33753"/>
    <w:rsid w:val="00C33A3F"/>
    <w:rsid w:val="00C33A5E"/>
    <w:rsid w:val="00C33F2E"/>
    <w:rsid w:val="00C34859"/>
    <w:rsid w:val="00C34AFA"/>
    <w:rsid w:val="00C34B52"/>
    <w:rsid w:val="00C34C78"/>
    <w:rsid w:val="00C34DA4"/>
    <w:rsid w:val="00C35015"/>
    <w:rsid w:val="00C35252"/>
    <w:rsid w:val="00C3539F"/>
    <w:rsid w:val="00C353F4"/>
    <w:rsid w:val="00C3552C"/>
    <w:rsid w:val="00C35564"/>
    <w:rsid w:val="00C35804"/>
    <w:rsid w:val="00C35808"/>
    <w:rsid w:val="00C35978"/>
    <w:rsid w:val="00C35AA4"/>
    <w:rsid w:val="00C35B0F"/>
    <w:rsid w:val="00C35B5C"/>
    <w:rsid w:val="00C36174"/>
    <w:rsid w:val="00C361BA"/>
    <w:rsid w:val="00C361D7"/>
    <w:rsid w:val="00C36308"/>
    <w:rsid w:val="00C36C9F"/>
    <w:rsid w:val="00C36CFB"/>
    <w:rsid w:val="00C36DA6"/>
    <w:rsid w:val="00C36DD0"/>
    <w:rsid w:val="00C36E62"/>
    <w:rsid w:val="00C371A9"/>
    <w:rsid w:val="00C37A8E"/>
    <w:rsid w:val="00C37BFA"/>
    <w:rsid w:val="00C37C35"/>
    <w:rsid w:val="00C37D7D"/>
    <w:rsid w:val="00C40097"/>
    <w:rsid w:val="00C40124"/>
    <w:rsid w:val="00C403E0"/>
    <w:rsid w:val="00C409AF"/>
    <w:rsid w:val="00C40AD9"/>
    <w:rsid w:val="00C40CAE"/>
    <w:rsid w:val="00C40DD0"/>
    <w:rsid w:val="00C414E3"/>
    <w:rsid w:val="00C41534"/>
    <w:rsid w:val="00C4193D"/>
    <w:rsid w:val="00C41B78"/>
    <w:rsid w:val="00C41F8B"/>
    <w:rsid w:val="00C421EA"/>
    <w:rsid w:val="00C42268"/>
    <w:rsid w:val="00C423C2"/>
    <w:rsid w:val="00C423F0"/>
    <w:rsid w:val="00C4258C"/>
    <w:rsid w:val="00C42706"/>
    <w:rsid w:val="00C42AB9"/>
    <w:rsid w:val="00C42C08"/>
    <w:rsid w:val="00C42D56"/>
    <w:rsid w:val="00C42DEE"/>
    <w:rsid w:val="00C42F1C"/>
    <w:rsid w:val="00C430E1"/>
    <w:rsid w:val="00C4351A"/>
    <w:rsid w:val="00C435CD"/>
    <w:rsid w:val="00C43603"/>
    <w:rsid w:val="00C437D9"/>
    <w:rsid w:val="00C43A60"/>
    <w:rsid w:val="00C43E75"/>
    <w:rsid w:val="00C442E4"/>
    <w:rsid w:val="00C442F2"/>
    <w:rsid w:val="00C44589"/>
    <w:rsid w:val="00C44BDA"/>
    <w:rsid w:val="00C44CB6"/>
    <w:rsid w:val="00C44DE7"/>
    <w:rsid w:val="00C44EBD"/>
    <w:rsid w:val="00C450DD"/>
    <w:rsid w:val="00C4515A"/>
    <w:rsid w:val="00C452FB"/>
    <w:rsid w:val="00C45652"/>
    <w:rsid w:val="00C45678"/>
    <w:rsid w:val="00C462A4"/>
    <w:rsid w:val="00C46438"/>
    <w:rsid w:val="00C4660A"/>
    <w:rsid w:val="00C466F0"/>
    <w:rsid w:val="00C46A90"/>
    <w:rsid w:val="00C46ECD"/>
    <w:rsid w:val="00C46F63"/>
    <w:rsid w:val="00C47120"/>
    <w:rsid w:val="00C477CD"/>
    <w:rsid w:val="00C477CF"/>
    <w:rsid w:val="00C47955"/>
    <w:rsid w:val="00C47C29"/>
    <w:rsid w:val="00C47CD2"/>
    <w:rsid w:val="00C47D21"/>
    <w:rsid w:val="00C47E42"/>
    <w:rsid w:val="00C47ED1"/>
    <w:rsid w:val="00C503ED"/>
    <w:rsid w:val="00C50AC2"/>
    <w:rsid w:val="00C5111D"/>
    <w:rsid w:val="00C51195"/>
    <w:rsid w:val="00C51328"/>
    <w:rsid w:val="00C51712"/>
    <w:rsid w:val="00C518BB"/>
    <w:rsid w:val="00C51A79"/>
    <w:rsid w:val="00C51C04"/>
    <w:rsid w:val="00C51E68"/>
    <w:rsid w:val="00C5230B"/>
    <w:rsid w:val="00C5244E"/>
    <w:rsid w:val="00C52BF7"/>
    <w:rsid w:val="00C530CE"/>
    <w:rsid w:val="00C53101"/>
    <w:rsid w:val="00C53109"/>
    <w:rsid w:val="00C53716"/>
    <w:rsid w:val="00C53B99"/>
    <w:rsid w:val="00C54029"/>
    <w:rsid w:val="00C5445F"/>
    <w:rsid w:val="00C544CA"/>
    <w:rsid w:val="00C546EA"/>
    <w:rsid w:val="00C547E5"/>
    <w:rsid w:val="00C54E4E"/>
    <w:rsid w:val="00C54E59"/>
    <w:rsid w:val="00C551EE"/>
    <w:rsid w:val="00C554CB"/>
    <w:rsid w:val="00C5576D"/>
    <w:rsid w:val="00C55834"/>
    <w:rsid w:val="00C55E43"/>
    <w:rsid w:val="00C561B1"/>
    <w:rsid w:val="00C56329"/>
    <w:rsid w:val="00C568EB"/>
    <w:rsid w:val="00C570FB"/>
    <w:rsid w:val="00C57280"/>
    <w:rsid w:val="00C57296"/>
    <w:rsid w:val="00C57946"/>
    <w:rsid w:val="00C579A6"/>
    <w:rsid w:val="00C57B87"/>
    <w:rsid w:val="00C57C3E"/>
    <w:rsid w:val="00C57C97"/>
    <w:rsid w:val="00C57D06"/>
    <w:rsid w:val="00C57F64"/>
    <w:rsid w:val="00C60B04"/>
    <w:rsid w:val="00C60BDF"/>
    <w:rsid w:val="00C60C85"/>
    <w:rsid w:val="00C60EBF"/>
    <w:rsid w:val="00C610C1"/>
    <w:rsid w:val="00C611DE"/>
    <w:rsid w:val="00C612DD"/>
    <w:rsid w:val="00C61938"/>
    <w:rsid w:val="00C619E6"/>
    <w:rsid w:val="00C61B0C"/>
    <w:rsid w:val="00C61F0C"/>
    <w:rsid w:val="00C61F2D"/>
    <w:rsid w:val="00C61FD3"/>
    <w:rsid w:val="00C6209C"/>
    <w:rsid w:val="00C62477"/>
    <w:rsid w:val="00C62B95"/>
    <w:rsid w:val="00C62BF3"/>
    <w:rsid w:val="00C63216"/>
    <w:rsid w:val="00C63727"/>
    <w:rsid w:val="00C6381A"/>
    <w:rsid w:val="00C63902"/>
    <w:rsid w:val="00C63AFF"/>
    <w:rsid w:val="00C63C23"/>
    <w:rsid w:val="00C6403B"/>
    <w:rsid w:val="00C64082"/>
    <w:rsid w:val="00C640D6"/>
    <w:rsid w:val="00C6467F"/>
    <w:rsid w:val="00C64862"/>
    <w:rsid w:val="00C64980"/>
    <w:rsid w:val="00C64BFF"/>
    <w:rsid w:val="00C64DAF"/>
    <w:rsid w:val="00C64E54"/>
    <w:rsid w:val="00C6507C"/>
    <w:rsid w:val="00C65155"/>
    <w:rsid w:val="00C65199"/>
    <w:rsid w:val="00C6542F"/>
    <w:rsid w:val="00C654AF"/>
    <w:rsid w:val="00C6593A"/>
    <w:rsid w:val="00C65CB8"/>
    <w:rsid w:val="00C65D14"/>
    <w:rsid w:val="00C65DAB"/>
    <w:rsid w:val="00C65E7F"/>
    <w:rsid w:val="00C65F7A"/>
    <w:rsid w:val="00C663AB"/>
    <w:rsid w:val="00C66421"/>
    <w:rsid w:val="00C665CC"/>
    <w:rsid w:val="00C66BFD"/>
    <w:rsid w:val="00C66DB6"/>
    <w:rsid w:val="00C67702"/>
    <w:rsid w:val="00C67821"/>
    <w:rsid w:val="00C67906"/>
    <w:rsid w:val="00C67CC0"/>
    <w:rsid w:val="00C67E56"/>
    <w:rsid w:val="00C701C9"/>
    <w:rsid w:val="00C7031F"/>
    <w:rsid w:val="00C70A14"/>
    <w:rsid w:val="00C70AA5"/>
    <w:rsid w:val="00C71725"/>
    <w:rsid w:val="00C718A7"/>
    <w:rsid w:val="00C719D3"/>
    <w:rsid w:val="00C71F45"/>
    <w:rsid w:val="00C71FDD"/>
    <w:rsid w:val="00C72762"/>
    <w:rsid w:val="00C727CC"/>
    <w:rsid w:val="00C72861"/>
    <w:rsid w:val="00C72A5C"/>
    <w:rsid w:val="00C72FED"/>
    <w:rsid w:val="00C733EB"/>
    <w:rsid w:val="00C73526"/>
    <w:rsid w:val="00C73627"/>
    <w:rsid w:val="00C73CFC"/>
    <w:rsid w:val="00C73F40"/>
    <w:rsid w:val="00C74104"/>
    <w:rsid w:val="00C741E6"/>
    <w:rsid w:val="00C74271"/>
    <w:rsid w:val="00C74478"/>
    <w:rsid w:val="00C746B0"/>
    <w:rsid w:val="00C747E2"/>
    <w:rsid w:val="00C74B09"/>
    <w:rsid w:val="00C75008"/>
    <w:rsid w:val="00C75146"/>
    <w:rsid w:val="00C75562"/>
    <w:rsid w:val="00C75791"/>
    <w:rsid w:val="00C75815"/>
    <w:rsid w:val="00C7585D"/>
    <w:rsid w:val="00C75B05"/>
    <w:rsid w:val="00C75B40"/>
    <w:rsid w:val="00C7613B"/>
    <w:rsid w:val="00C76831"/>
    <w:rsid w:val="00C768D3"/>
    <w:rsid w:val="00C76A4D"/>
    <w:rsid w:val="00C76AC9"/>
    <w:rsid w:val="00C76E89"/>
    <w:rsid w:val="00C76F31"/>
    <w:rsid w:val="00C77314"/>
    <w:rsid w:val="00C775E8"/>
    <w:rsid w:val="00C775FF"/>
    <w:rsid w:val="00C77AE8"/>
    <w:rsid w:val="00C77FF8"/>
    <w:rsid w:val="00C806FD"/>
    <w:rsid w:val="00C8072B"/>
    <w:rsid w:val="00C80AD0"/>
    <w:rsid w:val="00C80D23"/>
    <w:rsid w:val="00C80ED3"/>
    <w:rsid w:val="00C81541"/>
    <w:rsid w:val="00C81741"/>
    <w:rsid w:val="00C8184F"/>
    <w:rsid w:val="00C819CD"/>
    <w:rsid w:val="00C81B10"/>
    <w:rsid w:val="00C81C99"/>
    <w:rsid w:val="00C81CF5"/>
    <w:rsid w:val="00C81E09"/>
    <w:rsid w:val="00C81EEA"/>
    <w:rsid w:val="00C8217D"/>
    <w:rsid w:val="00C822BC"/>
    <w:rsid w:val="00C825A1"/>
    <w:rsid w:val="00C825D3"/>
    <w:rsid w:val="00C82653"/>
    <w:rsid w:val="00C8278C"/>
    <w:rsid w:val="00C8287B"/>
    <w:rsid w:val="00C82E00"/>
    <w:rsid w:val="00C82E60"/>
    <w:rsid w:val="00C82E64"/>
    <w:rsid w:val="00C82FF2"/>
    <w:rsid w:val="00C8306D"/>
    <w:rsid w:val="00C83128"/>
    <w:rsid w:val="00C83550"/>
    <w:rsid w:val="00C839EC"/>
    <w:rsid w:val="00C83B33"/>
    <w:rsid w:val="00C83C41"/>
    <w:rsid w:val="00C83F1C"/>
    <w:rsid w:val="00C84094"/>
    <w:rsid w:val="00C8412B"/>
    <w:rsid w:val="00C84191"/>
    <w:rsid w:val="00C84440"/>
    <w:rsid w:val="00C8453B"/>
    <w:rsid w:val="00C84B64"/>
    <w:rsid w:val="00C84E77"/>
    <w:rsid w:val="00C85083"/>
    <w:rsid w:val="00C850CA"/>
    <w:rsid w:val="00C85314"/>
    <w:rsid w:val="00C8557B"/>
    <w:rsid w:val="00C85C1F"/>
    <w:rsid w:val="00C85D9F"/>
    <w:rsid w:val="00C85FAB"/>
    <w:rsid w:val="00C85FE0"/>
    <w:rsid w:val="00C860EB"/>
    <w:rsid w:val="00C861CC"/>
    <w:rsid w:val="00C86C6C"/>
    <w:rsid w:val="00C86D26"/>
    <w:rsid w:val="00C86EAE"/>
    <w:rsid w:val="00C86F94"/>
    <w:rsid w:val="00C875F5"/>
    <w:rsid w:val="00C87678"/>
    <w:rsid w:val="00C8783B"/>
    <w:rsid w:val="00C87C4E"/>
    <w:rsid w:val="00C87F43"/>
    <w:rsid w:val="00C90038"/>
    <w:rsid w:val="00C90796"/>
    <w:rsid w:val="00C90EBD"/>
    <w:rsid w:val="00C9117F"/>
    <w:rsid w:val="00C91355"/>
    <w:rsid w:val="00C913A0"/>
    <w:rsid w:val="00C916AE"/>
    <w:rsid w:val="00C91AC1"/>
    <w:rsid w:val="00C91FC6"/>
    <w:rsid w:val="00C9218C"/>
    <w:rsid w:val="00C922BF"/>
    <w:rsid w:val="00C92362"/>
    <w:rsid w:val="00C923BA"/>
    <w:rsid w:val="00C924AD"/>
    <w:rsid w:val="00C92581"/>
    <w:rsid w:val="00C928B8"/>
    <w:rsid w:val="00C92D3C"/>
    <w:rsid w:val="00C92E29"/>
    <w:rsid w:val="00C93208"/>
    <w:rsid w:val="00C932A5"/>
    <w:rsid w:val="00C93445"/>
    <w:rsid w:val="00C93BF8"/>
    <w:rsid w:val="00C93E15"/>
    <w:rsid w:val="00C93F07"/>
    <w:rsid w:val="00C93F91"/>
    <w:rsid w:val="00C947E2"/>
    <w:rsid w:val="00C9492E"/>
    <w:rsid w:val="00C94A28"/>
    <w:rsid w:val="00C94D15"/>
    <w:rsid w:val="00C94F33"/>
    <w:rsid w:val="00C9519C"/>
    <w:rsid w:val="00C951F2"/>
    <w:rsid w:val="00C956C6"/>
    <w:rsid w:val="00C95DEE"/>
    <w:rsid w:val="00C960C8"/>
    <w:rsid w:val="00C9624C"/>
    <w:rsid w:val="00C9687D"/>
    <w:rsid w:val="00C96D1D"/>
    <w:rsid w:val="00C96ED8"/>
    <w:rsid w:val="00C97011"/>
    <w:rsid w:val="00C9710A"/>
    <w:rsid w:val="00C9712A"/>
    <w:rsid w:val="00C971D4"/>
    <w:rsid w:val="00C97448"/>
    <w:rsid w:val="00C97639"/>
    <w:rsid w:val="00C9773C"/>
    <w:rsid w:val="00C97859"/>
    <w:rsid w:val="00C97B8D"/>
    <w:rsid w:val="00C97CB7"/>
    <w:rsid w:val="00CA0538"/>
    <w:rsid w:val="00CA0652"/>
    <w:rsid w:val="00CA0BAF"/>
    <w:rsid w:val="00CA1179"/>
    <w:rsid w:val="00CA1210"/>
    <w:rsid w:val="00CA128C"/>
    <w:rsid w:val="00CA148A"/>
    <w:rsid w:val="00CA149C"/>
    <w:rsid w:val="00CA1642"/>
    <w:rsid w:val="00CA1841"/>
    <w:rsid w:val="00CA1AB2"/>
    <w:rsid w:val="00CA1CE0"/>
    <w:rsid w:val="00CA20C3"/>
    <w:rsid w:val="00CA2216"/>
    <w:rsid w:val="00CA2361"/>
    <w:rsid w:val="00CA2456"/>
    <w:rsid w:val="00CA278C"/>
    <w:rsid w:val="00CA2D84"/>
    <w:rsid w:val="00CA30A5"/>
    <w:rsid w:val="00CA34F7"/>
    <w:rsid w:val="00CA378D"/>
    <w:rsid w:val="00CA3863"/>
    <w:rsid w:val="00CA3B43"/>
    <w:rsid w:val="00CA3EEE"/>
    <w:rsid w:val="00CA4162"/>
    <w:rsid w:val="00CA46D6"/>
    <w:rsid w:val="00CA48BA"/>
    <w:rsid w:val="00CA4BC0"/>
    <w:rsid w:val="00CA4BC6"/>
    <w:rsid w:val="00CA4F73"/>
    <w:rsid w:val="00CA5018"/>
    <w:rsid w:val="00CA50A8"/>
    <w:rsid w:val="00CA5215"/>
    <w:rsid w:val="00CA5254"/>
    <w:rsid w:val="00CA5258"/>
    <w:rsid w:val="00CA5305"/>
    <w:rsid w:val="00CA5592"/>
    <w:rsid w:val="00CA59D9"/>
    <w:rsid w:val="00CA5A10"/>
    <w:rsid w:val="00CA6056"/>
    <w:rsid w:val="00CA6180"/>
    <w:rsid w:val="00CA62B4"/>
    <w:rsid w:val="00CA66EC"/>
    <w:rsid w:val="00CA6771"/>
    <w:rsid w:val="00CA67CA"/>
    <w:rsid w:val="00CA683B"/>
    <w:rsid w:val="00CA690D"/>
    <w:rsid w:val="00CA6C02"/>
    <w:rsid w:val="00CA6C39"/>
    <w:rsid w:val="00CA6C7F"/>
    <w:rsid w:val="00CA6EDB"/>
    <w:rsid w:val="00CA71CF"/>
    <w:rsid w:val="00CA7475"/>
    <w:rsid w:val="00CA7FF8"/>
    <w:rsid w:val="00CB0129"/>
    <w:rsid w:val="00CB0486"/>
    <w:rsid w:val="00CB04E9"/>
    <w:rsid w:val="00CB04EB"/>
    <w:rsid w:val="00CB0CCB"/>
    <w:rsid w:val="00CB0F35"/>
    <w:rsid w:val="00CB10C5"/>
    <w:rsid w:val="00CB16A1"/>
    <w:rsid w:val="00CB19F2"/>
    <w:rsid w:val="00CB1C7F"/>
    <w:rsid w:val="00CB2479"/>
    <w:rsid w:val="00CB279C"/>
    <w:rsid w:val="00CB2BE7"/>
    <w:rsid w:val="00CB2D5D"/>
    <w:rsid w:val="00CB2F3D"/>
    <w:rsid w:val="00CB3106"/>
    <w:rsid w:val="00CB3911"/>
    <w:rsid w:val="00CB392E"/>
    <w:rsid w:val="00CB3C97"/>
    <w:rsid w:val="00CB43BF"/>
    <w:rsid w:val="00CB443B"/>
    <w:rsid w:val="00CB46B8"/>
    <w:rsid w:val="00CB489A"/>
    <w:rsid w:val="00CB4A73"/>
    <w:rsid w:val="00CB4ACE"/>
    <w:rsid w:val="00CB4BB6"/>
    <w:rsid w:val="00CB4BEF"/>
    <w:rsid w:val="00CB4E00"/>
    <w:rsid w:val="00CB4E25"/>
    <w:rsid w:val="00CB4F98"/>
    <w:rsid w:val="00CB5249"/>
    <w:rsid w:val="00CB5323"/>
    <w:rsid w:val="00CB5525"/>
    <w:rsid w:val="00CB5585"/>
    <w:rsid w:val="00CB56D6"/>
    <w:rsid w:val="00CB5886"/>
    <w:rsid w:val="00CB5BD1"/>
    <w:rsid w:val="00CB5E5E"/>
    <w:rsid w:val="00CB5F7C"/>
    <w:rsid w:val="00CB66D5"/>
    <w:rsid w:val="00CB6E43"/>
    <w:rsid w:val="00CB6EB6"/>
    <w:rsid w:val="00CB754F"/>
    <w:rsid w:val="00CB7A0B"/>
    <w:rsid w:val="00CB7A2A"/>
    <w:rsid w:val="00CB7C7C"/>
    <w:rsid w:val="00CB7E39"/>
    <w:rsid w:val="00CC0331"/>
    <w:rsid w:val="00CC0514"/>
    <w:rsid w:val="00CC075E"/>
    <w:rsid w:val="00CC09C7"/>
    <w:rsid w:val="00CC0BBA"/>
    <w:rsid w:val="00CC0D68"/>
    <w:rsid w:val="00CC1036"/>
    <w:rsid w:val="00CC10A0"/>
    <w:rsid w:val="00CC118C"/>
    <w:rsid w:val="00CC12E8"/>
    <w:rsid w:val="00CC151A"/>
    <w:rsid w:val="00CC1557"/>
    <w:rsid w:val="00CC1E29"/>
    <w:rsid w:val="00CC1EC8"/>
    <w:rsid w:val="00CC1FAD"/>
    <w:rsid w:val="00CC1FC3"/>
    <w:rsid w:val="00CC20E1"/>
    <w:rsid w:val="00CC2485"/>
    <w:rsid w:val="00CC2578"/>
    <w:rsid w:val="00CC2778"/>
    <w:rsid w:val="00CC28A0"/>
    <w:rsid w:val="00CC2C04"/>
    <w:rsid w:val="00CC2D49"/>
    <w:rsid w:val="00CC2F89"/>
    <w:rsid w:val="00CC30F8"/>
    <w:rsid w:val="00CC387A"/>
    <w:rsid w:val="00CC4815"/>
    <w:rsid w:val="00CC494B"/>
    <w:rsid w:val="00CC4E7F"/>
    <w:rsid w:val="00CC4F27"/>
    <w:rsid w:val="00CC4FF3"/>
    <w:rsid w:val="00CC5033"/>
    <w:rsid w:val="00CC52B0"/>
    <w:rsid w:val="00CC559D"/>
    <w:rsid w:val="00CC55A9"/>
    <w:rsid w:val="00CC56B7"/>
    <w:rsid w:val="00CC582E"/>
    <w:rsid w:val="00CC589F"/>
    <w:rsid w:val="00CC59B2"/>
    <w:rsid w:val="00CC5D35"/>
    <w:rsid w:val="00CC6384"/>
    <w:rsid w:val="00CC64CC"/>
    <w:rsid w:val="00CC6D56"/>
    <w:rsid w:val="00CC6F72"/>
    <w:rsid w:val="00CC6FA2"/>
    <w:rsid w:val="00CC71CE"/>
    <w:rsid w:val="00CC71D6"/>
    <w:rsid w:val="00CC7299"/>
    <w:rsid w:val="00CC7346"/>
    <w:rsid w:val="00CC7445"/>
    <w:rsid w:val="00CC7488"/>
    <w:rsid w:val="00CC78D0"/>
    <w:rsid w:val="00CC7A13"/>
    <w:rsid w:val="00CC7E29"/>
    <w:rsid w:val="00CD0BB4"/>
    <w:rsid w:val="00CD0CE4"/>
    <w:rsid w:val="00CD0CFB"/>
    <w:rsid w:val="00CD0F72"/>
    <w:rsid w:val="00CD0FE4"/>
    <w:rsid w:val="00CD1307"/>
    <w:rsid w:val="00CD13CF"/>
    <w:rsid w:val="00CD153B"/>
    <w:rsid w:val="00CD182C"/>
    <w:rsid w:val="00CD195D"/>
    <w:rsid w:val="00CD1BAE"/>
    <w:rsid w:val="00CD1FC7"/>
    <w:rsid w:val="00CD206C"/>
    <w:rsid w:val="00CD217C"/>
    <w:rsid w:val="00CD25B8"/>
    <w:rsid w:val="00CD25BC"/>
    <w:rsid w:val="00CD2874"/>
    <w:rsid w:val="00CD2DA4"/>
    <w:rsid w:val="00CD2E5C"/>
    <w:rsid w:val="00CD2F39"/>
    <w:rsid w:val="00CD3178"/>
    <w:rsid w:val="00CD39EE"/>
    <w:rsid w:val="00CD3F91"/>
    <w:rsid w:val="00CD41B0"/>
    <w:rsid w:val="00CD422A"/>
    <w:rsid w:val="00CD4285"/>
    <w:rsid w:val="00CD435B"/>
    <w:rsid w:val="00CD4375"/>
    <w:rsid w:val="00CD4541"/>
    <w:rsid w:val="00CD45B4"/>
    <w:rsid w:val="00CD4781"/>
    <w:rsid w:val="00CD484F"/>
    <w:rsid w:val="00CD489D"/>
    <w:rsid w:val="00CD4A3C"/>
    <w:rsid w:val="00CD4B29"/>
    <w:rsid w:val="00CD4B79"/>
    <w:rsid w:val="00CD4B99"/>
    <w:rsid w:val="00CD4C9D"/>
    <w:rsid w:val="00CD4E72"/>
    <w:rsid w:val="00CD4F4C"/>
    <w:rsid w:val="00CD4FE0"/>
    <w:rsid w:val="00CD5949"/>
    <w:rsid w:val="00CD59CF"/>
    <w:rsid w:val="00CD5DA9"/>
    <w:rsid w:val="00CD5F1F"/>
    <w:rsid w:val="00CD61C8"/>
    <w:rsid w:val="00CD631E"/>
    <w:rsid w:val="00CD654B"/>
    <w:rsid w:val="00CD659B"/>
    <w:rsid w:val="00CD6785"/>
    <w:rsid w:val="00CD67E7"/>
    <w:rsid w:val="00CD6881"/>
    <w:rsid w:val="00CD6BD4"/>
    <w:rsid w:val="00CD6D1E"/>
    <w:rsid w:val="00CD6D63"/>
    <w:rsid w:val="00CD6E24"/>
    <w:rsid w:val="00CD6EA0"/>
    <w:rsid w:val="00CD6EC7"/>
    <w:rsid w:val="00CD7038"/>
    <w:rsid w:val="00CD70B7"/>
    <w:rsid w:val="00CD737B"/>
    <w:rsid w:val="00CD73AE"/>
    <w:rsid w:val="00CD7632"/>
    <w:rsid w:val="00CD7B3D"/>
    <w:rsid w:val="00CE0B54"/>
    <w:rsid w:val="00CE0EA0"/>
    <w:rsid w:val="00CE1744"/>
    <w:rsid w:val="00CE1757"/>
    <w:rsid w:val="00CE1921"/>
    <w:rsid w:val="00CE1BEE"/>
    <w:rsid w:val="00CE1CC9"/>
    <w:rsid w:val="00CE1DCC"/>
    <w:rsid w:val="00CE1DFF"/>
    <w:rsid w:val="00CE1F08"/>
    <w:rsid w:val="00CE21B9"/>
    <w:rsid w:val="00CE223E"/>
    <w:rsid w:val="00CE2356"/>
    <w:rsid w:val="00CE2B1C"/>
    <w:rsid w:val="00CE2BDA"/>
    <w:rsid w:val="00CE2E09"/>
    <w:rsid w:val="00CE2E6C"/>
    <w:rsid w:val="00CE2EEA"/>
    <w:rsid w:val="00CE36E4"/>
    <w:rsid w:val="00CE38CE"/>
    <w:rsid w:val="00CE3BB2"/>
    <w:rsid w:val="00CE3D4F"/>
    <w:rsid w:val="00CE3DA8"/>
    <w:rsid w:val="00CE3DAD"/>
    <w:rsid w:val="00CE43E7"/>
    <w:rsid w:val="00CE4528"/>
    <w:rsid w:val="00CE48A0"/>
    <w:rsid w:val="00CE4A18"/>
    <w:rsid w:val="00CE4C70"/>
    <w:rsid w:val="00CE4DC6"/>
    <w:rsid w:val="00CE4E82"/>
    <w:rsid w:val="00CE517A"/>
    <w:rsid w:val="00CE52C9"/>
    <w:rsid w:val="00CE5357"/>
    <w:rsid w:val="00CE535D"/>
    <w:rsid w:val="00CE5567"/>
    <w:rsid w:val="00CE5705"/>
    <w:rsid w:val="00CE58B9"/>
    <w:rsid w:val="00CE5B0C"/>
    <w:rsid w:val="00CE5B36"/>
    <w:rsid w:val="00CE5C31"/>
    <w:rsid w:val="00CE5FCF"/>
    <w:rsid w:val="00CE60DF"/>
    <w:rsid w:val="00CE61D2"/>
    <w:rsid w:val="00CE64A3"/>
    <w:rsid w:val="00CE6757"/>
    <w:rsid w:val="00CE6B26"/>
    <w:rsid w:val="00CE6D48"/>
    <w:rsid w:val="00CE71C5"/>
    <w:rsid w:val="00CE7224"/>
    <w:rsid w:val="00CE725E"/>
    <w:rsid w:val="00CE7285"/>
    <w:rsid w:val="00CE7468"/>
    <w:rsid w:val="00CE7473"/>
    <w:rsid w:val="00CE74CD"/>
    <w:rsid w:val="00CE76FE"/>
    <w:rsid w:val="00CE7704"/>
    <w:rsid w:val="00CE7865"/>
    <w:rsid w:val="00CE7876"/>
    <w:rsid w:val="00CE7AFA"/>
    <w:rsid w:val="00CE7C3E"/>
    <w:rsid w:val="00CE7C6B"/>
    <w:rsid w:val="00CE7C90"/>
    <w:rsid w:val="00CF02DC"/>
    <w:rsid w:val="00CF0706"/>
    <w:rsid w:val="00CF0782"/>
    <w:rsid w:val="00CF07B7"/>
    <w:rsid w:val="00CF0866"/>
    <w:rsid w:val="00CF092D"/>
    <w:rsid w:val="00CF0992"/>
    <w:rsid w:val="00CF0F0C"/>
    <w:rsid w:val="00CF1047"/>
    <w:rsid w:val="00CF10AE"/>
    <w:rsid w:val="00CF131C"/>
    <w:rsid w:val="00CF136A"/>
    <w:rsid w:val="00CF15F7"/>
    <w:rsid w:val="00CF1636"/>
    <w:rsid w:val="00CF19F0"/>
    <w:rsid w:val="00CF1C26"/>
    <w:rsid w:val="00CF1D05"/>
    <w:rsid w:val="00CF2007"/>
    <w:rsid w:val="00CF20E4"/>
    <w:rsid w:val="00CF297E"/>
    <w:rsid w:val="00CF29A7"/>
    <w:rsid w:val="00CF2AE4"/>
    <w:rsid w:val="00CF2D70"/>
    <w:rsid w:val="00CF2E12"/>
    <w:rsid w:val="00CF2E54"/>
    <w:rsid w:val="00CF300A"/>
    <w:rsid w:val="00CF32CC"/>
    <w:rsid w:val="00CF32CD"/>
    <w:rsid w:val="00CF34AE"/>
    <w:rsid w:val="00CF3574"/>
    <w:rsid w:val="00CF39B9"/>
    <w:rsid w:val="00CF3A82"/>
    <w:rsid w:val="00CF3AEF"/>
    <w:rsid w:val="00CF3B0B"/>
    <w:rsid w:val="00CF3D13"/>
    <w:rsid w:val="00CF3F56"/>
    <w:rsid w:val="00CF43E1"/>
    <w:rsid w:val="00CF4563"/>
    <w:rsid w:val="00CF458C"/>
    <w:rsid w:val="00CF47A3"/>
    <w:rsid w:val="00CF49D9"/>
    <w:rsid w:val="00CF4A5E"/>
    <w:rsid w:val="00CF4D88"/>
    <w:rsid w:val="00CF514C"/>
    <w:rsid w:val="00CF5157"/>
    <w:rsid w:val="00CF52F0"/>
    <w:rsid w:val="00CF5421"/>
    <w:rsid w:val="00CF5D6F"/>
    <w:rsid w:val="00CF5DB0"/>
    <w:rsid w:val="00CF6B51"/>
    <w:rsid w:val="00CF6C46"/>
    <w:rsid w:val="00CF6CFB"/>
    <w:rsid w:val="00CF724E"/>
    <w:rsid w:val="00CF74C9"/>
    <w:rsid w:val="00CF7703"/>
    <w:rsid w:val="00CF770A"/>
    <w:rsid w:val="00CF78C1"/>
    <w:rsid w:val="00CF79EF"/>
    <w:rsid w:val="00CF7B14"/>
    <w:rsid w:val="00CF7F3E"/>
    <w:rsid w:val="00D00118"/>
    <w:rsid w:val="00D00187"/>
    <w:rsid w:val="00D00972"/>
    <w:rsid w:val="00D00991"/>
    <w:rsid w:val="00D01164"/>
    <w:rsid w:val="00D011BD"/>
    <w:rsid w:val="00D01505"/>
    <w:rsid w:val="00D01C64"/>
    <w:rsid w:val="00D01E89"/>
    <w:rsid w:val="00D021AB"/>
    <w:rsid w:val="00D025F3"/>
    <w:rsid w:val="00D02B10"/>
    <w:rsid w:val="00D02E08"/>
    <w:rsid w:val="00D03174"/>
    <w:rsid w:val="00D03211"/>
    <w:rsid w:val="00D03231"/>
    <w:rsid w:val="00D03690"/>
    <w:rsid w:val="00D037EB"/>
    <w:rsid w:val="00D03814"/>
    <w:rsid w:val="00D03938"/>
    <w:rsid w:val="00D039C2"/>
    <w:rsid w:val="00D03B93"/>
    <w:rsid w:val="00D03E11"/>
    <w:rsid w:val="00D03F2A"/>
    <w:rsid w:val="00D04041"/>
    <w:rsid w:val="00D042BD"/>
    <w:rsid w:val="00D04386"/>
    <w:rsid w:val="00D043DC"/>
    <w:rsid w:val="00D044AC"/>
    <w:rsid w:val="00D0485D"/>
    <w:rsid w:val="00D04A1C"/>
    <w:rsid w:val="00D04D1C"/>
    <w:rsid w:val="00D04E64"/>
    <w:rsid w:val="00D0593B"/>
    <w:rsid w:val="00D06E11"/>
    <w:rsid w:val="00D07034"/>
    <w:rsid w:val="00D07306"/>
    <w:rsid w:val="00D074B2"/>
    <w:rsid w:val="00D07586"/>
    <w:rsid w:val="00D07763"/>
    <w:rsid w:val="00D0797D"/>
    <w:rsid w:val="00D079A8"/>
    <w:rsid w:val="00D07ADD"/>
    <w:rsid w:val="00D07B92"/>
    <w:rsid w:val="00D07CF5"/>
    <w:rsid w:val="00D07D7F"/>
    <w:rsid w:val="00D07DF4"/>
    <w:rsid w:val="00D07F45"/>
    <w:rsid w:val="00D10013"/>
    <w:rsid w:val="00D1031D"/>
    <w:rsid w:val="00D104A5"/>
    <w:rsid w:val="00D10994"/>
    <w:rsid w:val="00D10A4B"/>
    <w:rsid w:val="00D10E05"/>
    <w:rsid w:val="00D10E35"/>
    <w:rsid w:val="00D10F42"/>
    <w:rsid w:val="00D11186"/>
    <w:rsid w:val="00D11289"/>
    <w:rsid w:val="00D11350"/>
    <w:rsid w:val="00D1156D"/>
    <w:rsid w:val="00D11912"/>
    <w:rsid w:val="00D11960"/>
    <w:rsid w:val="00D11A2C"/>
    <w:rsid w:val="00D11A83"/>
    <w:rsid w:val="00D11B66"/>
    <w:rsid w:val="00D11D84"/>
    <w:rsid w:val="00D1224D"/>
    <w:rsid w:val="00D12B1E"/>
    <w:rsid w:val="00D12E47"/>
    <w:rsid w:val="00D12EED"/>
    <w:rsid w:val="00D131C0"/>
    <w:rsid w:val="00D13400"/>
    <w:rsid w:val="00D1353B"/>
    <w:rsid w:val="00D136A2"/>
    <w:rsid w:val="00D138AB"/>
    <w:rsid w:val="00D138E7"/>
    <w:rsid w:val="00D13A37"/>
    <w:rsid w:val="00D140F2"/>
    <w:rsid w:val="00D14246"/>
    <w:rsid w:val="00D144CA"/>
    <w:rsid w:val="00D145F5"/>
    <w:rsid w:val="00D14A86"/>
    <w:rsid w:val="00D14E80"/>
    <w:rsid w:val="00D1501C"/>
    <w:rsid w:val="00D1515D"/>
    <w:rsid w:val="00D15422"/>
    <w:rsid w:val="00D15445"/>
    <w:rsid w:val="00D15C31"/>
    <w:rsid w:val="00D16273"/>
    <w:rsid w:val="00D16574"/>
    <w:rsid w:val="00D16868"/>
    <w:rsid w:val="00D169AC"/>
    <w:rsid w:val="00D16A73"/>
    <w:rsid w:val="00D16ACF"/>
    <w:rsid w:val="00D16BCC"/>
    <w:rsid w:val="00D16C5A"/>
    <w:rsid w:val="00D16D3A"/>
    <w:rsid w:val="00D16E63"/>
    <w:rsid w:val="00D170D3"/>
    <w:rsid w:val="00D17312"/>
    <w:rsid w:val="00D173C3"/>
    <w:rsid w:val="00D1756A"/>
    <w:rsid w:val="00D1782F"/>
    <w:rsid w:val="00D179C9"/>
    <w:rsid w:val="00D17B84"/>
    <w:rsid w:val="00D17BF4"/>
    <w:rsid w:val="00D17CC2"/>
    <w:rsid w:val="00D17D21"/>
    <w:rsid w:val="00D17FC2"/>
    <w:rsid w:val="00D200DA"/>
    <w:rsid w:val="00D201E8"/>
    <w:rsid w:val="00D2039B"/>
    <w:rsid w:val="00D2043E"/>
    <w:rsid w:val="00D2067B"/>
    <w:rsid w:val="00D208CD"/>
    <w:rsid w:val="00D20A34"/>
    <w:rsid w:val="00D20A74"/>
    <w:rsid w:val="00D20BB4"/>
    <w:rsid w:val="00D20DC2"/>
    <w:rsid w:val="00D20E9F"/>
    <w:rsid w:val="00D21049"/>
    <w:rsid w:val="00D21053"/>
    <w:rsid w:val="00D21229"/>
    <w:rsid w:val="00D213D0"/>
    <w:rsid w:val="00D21416"/>
    <w:rsid w:val="00D21532"/>
    <w:rsid w:val="00D21592"/>
    <w:rsid w:val="00D216C7"/>
    <w:rsid w:val="00D2173F"/>
    <w:rsid w:val="00D21768"/>
    <w:rsid w:val="00D21CA9"/>
    <w:rsid w:val="00D21E90"/>
    <w:rsid w:val="00D21EA0"/>
    <w:rsid w:val="00D2227F"/>
    <w:rsid w:val="00D222F1"/>
    <w:rsid w:val="00D2248F"/>
    <w:rsid w:val="00D2285C"/>
    <w:rsid w:val="00D22900"/>
    <w:rsid w:val="00D22AA8"/>
    <w:rsid w:val="00D22ADB"/>
    <w:rsid w:val="00D22EA1"/>
    <w:rsid w:val="00D23421"/>
    <w:rsid w:val="00D2357C"/>
    <w:rsid w:val="00D235EE"/>
    <w:rsid w:val="00D23B7C"/>
    <w:rsid w:val="00D24036"/>
    <w:rsid w:val="00D24464"/>
    <w:rsid w:val="00D244F9"/>
    <w:rsid w:val="00D2478E"/>
    <w:rsid w:val="00D24979"/>
    <w:rsid w:val="00D24C1F"/>
    <w:rsid w:val="00D24C5E"/>
    <w:rsid w:val="00D24CDC"/>
    <w:rsid w:val="00D24EA9"/>
    <w:rsid w:val="00D25113"/>
    <w:rsid w:val="00D25398"/>
    <w:rsid w:val="00D254C2"/>
    <w:rsid w:val="00D257F6"/>
    <w:rsid w:val="00D25AAD"/>
    <w:rsid w:val="00D25AC3"/>
    <w:rsid w:val="00D25FDC"/>
    <w:rsid w:val="00D26058"/>
    <w:rsid w:val="00D26269"/>
    <w:rsid w:val="00D26294"/>
    <w:rsid w:val="00D263C6"/>
    <w:rsid w:val="00D26516"/>
    <w:rsid w:val="00D2660D"/>
    <w:rsid w:val="00D266A6"/>
    <w:rsid w:val="00D269C9"/>
    <w:rsid w:val="00D26D10"/>
    <w:rsid w:val="00D26DE8"/>
    <w:rsid w:val="00D26E88"/>
    <w:rsid w:val="00D271AF"/>
    <w:rsid w:val="00D27202"/>
    <w:rsid w:val="00D2722F"/>
    <w:rsid w:val="00D2732F"/>
    <w:rsid w:val="00D273C7"/>
    <w:rsid w:val="00D273F1"/>
    <w:rsid w:val="00D274A1"/>
    <w:rsid w:val="00D27722"/>
    <w:rsid w:val="00D30277"/>
    <w:rsid w:val="00D302BF"/>
    <w:rsid w:val="00D302FF"/>
    <w:rsid w:val="00D30490"/>
    <w:rsid w:val="00D304B0"/>
    <w:rsid w:val="00D30662"/>
    <w:rsid w:val="00D306B0"/>
    <w:rsid w:val="00D30DDC"/>
    <w:rsid w:val="00D30FBE"/>
    <w:rsid w:val="00D31098"/>
    <w:rsid w:val="00D31182"/>
    <w:rsid w:val="00D31278"/>
    <w:rsid w:val="00D31348"/>
    <w:rsid w:val="00D315C8"/>
    <w:rsid w:val="00D31A50"/>
    <w:rsid w:val="00D31ECC"/>
    <w:rsid w:val="00D32104"/>
    <w:rsid w:val="00D3216E"/>
    <w:rsid w:val="00D321CD"/>
    <w:rsid w:val="00D327F7"/>
    <w:rsid w:val="00D32D6D"/>
    <w:rsid w:val="00D32E75"/>
    <w:rsid w:val="00D32F4B"/>
    <w:rsid w:val="00D33053"/>
    <w:rsid w:val="00D3392D"/>
    <w:rsid w:val="00D33A45"/>
    <w:rsid w:val="00D33B34"/>
    <w:rsid w:val="00D33B7E"/>
    <w:rsid w:val="00D3439A"/>
    <w:rsid w:val="00D34865"/>
    <w:rsid w:val="00D34B80"/>
    <w:rsid w:val="00D34D47"/>
    <w:rsid w:val="00D3501C"/>
    <w:rsid w:val="00D35039"/>
    <w:rsid w:val="00D35416"/>
    <w:rsid w:val="00D3556C"/>
    <w:rsid w:val="00D355AC"/>
    <w:rsid w:val="00D355F0"/>
    <w:rsid w:val="00D357EC"/>
    <w:rsid w:val="00D358EF"/>
    <w:rsid w:val="00D35A22"/>
    <w:rsid w:val="00D35D52"/>
    <w:rsid w:val="00D35DE0"/>
    <w:rsid w:val="00D35E1F"/>
    <w:rsid w:val="00D3623E"/>
    <w:rsid w:val="00D3686E"/>
    <w:rsid w:val="00D36927"/>
    <w:rsid w:val="00D36AC6"/>
    <w:rsid w:val="00D36DC6"/>
    <w:rsid w:val="00D36FCA"/>
    <w:rsid w:val="00D37149"/>
    <w:rsid w:val="00D3736D"/>
    <w:rsid w:val="00D37865"/>
    <w:rsid w:val="00D378DB"/>
    <w:rsid w:val="00D37F06"/>
    <w:rsid w:val="00D400E4"/>
    <w:rsid w:val="00D40368"/>
    <w:rsid w:val="00D4058D"/>
    <w:rsid w:val="00D408FE"/>
    <w:rsid w:val="00D40DC2"/>
    <w:rsid w:val="00D40DC4"/>
    <w:rsid w:val="00D40E66"/>
    <w:rsid w:val="00D4131F"/>
    <w:rsid w:val="00D413C8"/>
    <w:rsid w:val="00D414E5"/>
    <w:rsid w:val="00D416E8"/>
    <w:rsid w:val="00D41896"/>
    <w:rsid w:val="00D41A05"/>
    <w:rsid w:val="00D41BC8"/>
    <w:rsid w:val="00D41C68"/>
    <w:rsid w:val="00D41C71"/>
    <w:rsid w:val="00D421BF"/>
    <w:rsid w:val="00D421FB"/>
    <w:rsid w:val="00D4239B"/>
    <w:rsid w:val="00D4240C"/>
    <w:rsid w:val="00D42A1C"/>
    <w:rsid w:val="00D42C43"/>
    <w:rsid w:val="00D42D9D"/>
    <w:rsid w:val="00D42F0F"/>
    <w:rsid w:val="00D43117"/>
    <w:rsid w:val="00D4326F"/>
    <w:rsid w:val="00D43512"/>
    <w:rsid w:val="00D43535"/>
    <w:rsid w:val="00D435AE"/>
    <w:rsid w:val="00D438AE"/>
    <w:rsid w:val="00D43DDE"/>
    <w:rsid w:val="00D43EC7"/>
    <w:rsid w:val="00D43F28"/>
    <w:rsid w:val="00D43F45"/>
    <w:rsid w:val="00D43F9A"/>
    <w:rsid w:val="00D44095"/>
    <w:rsid w:val="00D44184"/>
    <w:rsid w:val="00D44587"/>
    <w:rsid w:val="00D445D5"/>
    <w:rsid w:val="00D44BED"/>
    <w:rsid w:val="00D44E10"/>
    <w:rsid w:val="00D454D0"/>
    <w:rsid w:val="00D4560E"/>
    <w:rsid w:val="00D45739"/>
    <w:rsid w:val="00D45A30"/>
    <w:rsid w:val="00D45AF8"/>
    <w:rsid w:val="00D46086"/>
    <w:rsid w:val="00D46169"/>
    <w:rsid w:val="00D4629B"/>
    <w:rsid w:val="00D46320"/>
    <w:rsid w:val="00D46425"/>
    <w:rsid w:val="00D464CE"/>
    <w:rsid w:val="00D4665C"/>
    <w:rsid w:val="00D468B1"/>
    <w:rsid w:val="00D46903"/>
    <w:rsid w:val="00D469F0"/>
    <w:rsid w:val="00D46B72"/>
    <w:rsid w:val="00D46E62"/>
    <w:rsid w:val="00D4710E"/>
    <w:rsid w:val="00D4729C"/>
    <w:rsid w:val="00D473ED"/>
    <w:rsid w:val="00D4748B"/>
    <w:rsid w:val="00D47608"/>
    <w:rsid w:val="00D47912"/>
    <w:rsid w:val="00D50356"/>
    <w:rsid w:val="00D50383"/>
    <w:rsid w:val="00D504CD"/>
    <w:rsid w:val="00D504D9"/>
    <w:rsid w:val="00D50816"/>
    <w:rsid w:val="00D50A00"/>
    <w:rsid w:val="00D50D44"/>
    <w:rsid w:val="00D51006"/>
    <w:rsid w:val="00D5127F"/>
    <w:rsid w:val="00D51354"/>
    <w:rsid w:val="00D51679"/>
    <w:rsid w:val="00D516CB"/>
    <w:rsid w:val="00D519E6"/>
    <w:rsid w:val="00D51C05"/>
    <w:rsid w:val="00D51D59"/>
    <w:rsid w:val="00D51ECA"/>
    <w:rsid w:val="00D521DB"/>
    <w:rsid w:val="00D527E4"/>
    <w:rsid w:val="00D52C59"/>
    <w:rsid w:val="00D52F0E"/>
    <w:rsid w:val="00D530DE"/>
    <w:rsid w:val="00D53185"/>
    <w:rsid w:val="00D53300"/>
    <w:rsid w:val="00D533F1"/>
    <w:rsid w:val="00D534F0"/>
    <w:rsid w:val="00D5364B"/>
    <w:rsid w:val="00D540D8"/>
    <w:rsid w:val="00D542C6"/>
    <w:rsid w:val="00D54A2B"/>
    <w:rsid w:val="00D54A8B"/>
    <w:rsid w:val="00D54CCC"/>
    <w:rsid w:val="00D54DE4"/>
    <w:rsid w:val="00D54E1B"/>
    <w:rsid w:val="00D55B84"/>
    <w:rsid w:val="00D55D08"/>
    <w:rsid w:val="00D55D4D"/>
    <w:rsid w:val="00D563B2"/>
    <w:rsid w:val="00D56485"/>
    <w:rsid w:val="00D564D2"/>
    <w:rsid w:val="00D56534"/>
    <w:rsid w:val="00D5655A"/>
    <w:rsid w:val="00D56780"/>
    <w:rsid w:val="00D56B6D"/>
    <w:rsid w:val="00D56E00"/>
    <w:rsid w:val="00D570C6"/>
    <w:rsid w:val="00D57928"/>
    <w:rsid w:val="00D57C09"/>
    <w:rsid w:val="00D57C62"/>
    <w:rsid w:val="00D6012E"/>
    <w:rsid w:val="00D601FA"/>
    <w:rsid w:val="00D60846"/>
    <w:rsid w:val="00D6084C"/>
    <w:rsid w:val="00D60B12"/>
    <w:rsid w:val="00D60DEB"/>
    <w:rsid w:val="00D610EE"/>
    <w:rsid w:val="00D6116B"/>
    <w:rsid w:val="00D611DB"/>
    <w:rsid w:val="00D61A20"/>
    <w:rsid w:val="00D61C1A"/>
    <w:rsid w:val="00D61DEC"/>
    <w:rsid w:val="00D61F32"/>
    <w:rsid w:val="00D61FAB"/>
    <w:rsid w:val="00D62333"/>
    <w:rsid w:val="00D624D7"/>
    <w:rsid w:val="00D62603"/>
    <w:rsid w:val="00D626B9"/>
    <w:rsid w:val="00D629A4"/>
    <w:rsid w:val="00D62B04"/>
    <w:rsid w:val="00D62C4B"/>
    <w:rsid w:val="00D63073"/>
    <w:rsid w:val="00D63395"/>
    <w:rsid w:val="00D63724"/>
    <w:rsid w:val="00D6394E"/>
    <w:rsid w:val="00D63956"/>
    <w:rsid w:val="00D63958"/>
    <w:rsid w:val="00D63A3A"/>
    <w:rsid w:val="00D63E1D"/>
    <w:rsid w:val="00D64068"/>
    <w:rsid w:val="00D64102"/>
    <w:rsid w:val="00D64104"/>
    <w:rsid w:val="00D641D1"/>
    <w:rsid w:val="00D64492"/>
    <w:rsid w:val="00D6463D"/>
    <w:rsid w:val="00D646BF"/>
    <w:rsid w:val="00D64AB0"/>
    <w:rsid w:val="00D64F45"/>
    <w:rsid w:val="00D6500E"/>
    <w:rsid w:val="00D654D2"/>
    <w:rsid w:val="00D65E0B"/>
    <w:rsid w:val="00D65E25"/>
    <w:rsid w:val="00D65E92"/>
    <w:rsid w:val="00D65FD3"/>
    <w:rsid w:val="00D66017"/>
    <w:rsid w:val="00D661A6"/>
    <w:rsid w:val="00D66256"/>
    <w:rsid w:val="00D662D0"/>
    <w:rsid w:val="00D6633D"/>
    <w:rsid w:val="00D663AC"/>
    <w:rsid w:val="00D66738"/>
    <w:rsid w:val="00D66742"/>
    <w:rsid w:val="00D667EB"/>
    <w:rsid w:val="00D66C5E"/>
    <w:rsid w:val="00D66C8F"/>
    <w:rsid w:val="00D66DC2"/>
    <w:rsid w:val="00D66E5D"/>
    <w:rsid w:val="00D66FE0"/>
    <w:rsid w:val="00D66FEB"/>
    <w:rsid w:val="00D67622"/>
    <w:rsid w:val="00D676A9"/>
    <w:rsid w:val="00D676C4"/>
    <w:rsid w:val="00D6774D"/>
    <w:rsid w:val="00D67F19"/>
    <w:rsid w:val="00D67F49"/>
    <w:rsid w:val="00D700C0"/>
    <w:rsid w:val="00D70AD3"/>
    <w:rsid w:val="00D70D36"/>
    <w:rsid w:val="00D70FA0"/>
    <w:rsid w:val="00D7132F"/>
    <w:rsid w:val="00D71404"/>
    <w:rsid w:val="00D716D2"/>
    <w:rsid w:val="00D71707"/>
    <w:rsid w:val="00D718C7"/>
    <w:rsid w:val="00D71A27"/>
    <w:rsid w:val="00D71BFC"/>
    <w:rsid w:val="00D71D16"/>
    <w:rsid w:val="00D71F42"/>
    <w:rsid w:val="00D72079"/>
    <w:rsid w:val="00D722A1"/>
    <w:rsid w:val="00D723D5"/>
    <w:rsid w:val="00D7272F"/>
    <w:rsid w:val="00D727E2"/>
    <w:rsid w:val="00D72DEB"/>
    <w:rsid w:val="00D734FA"/>
    <w:rsid w:val="00D7362F"/>
    <w:rsid w:val="00D73AAC"/>
    <w:rsid w:val="00D73C17"/>
    <w:rsid w:val="00D73DF5"/>
    <w:rsid w:val="00D73FB5"/>
    <w:rsid w:val="00D74600"/>
    <w:rsid w:val="00D746F1"/>
    <w:rsid w:val="00D74A4B"/>
    <w:rsid w:val="00D74ADE"/>
    <w:rsid w:val="00D74BA1"/>
    <w:rsid w:val="00D74E6A"/>
    <w:rsid w:val="00D74F98"/>
    <w:rsid w:val="00D750B7"/>
    <w:rsid w:val="00D75521"/>
    <w:rsid w:val="00D757E4"/>
    <w:rsid w:val="00D76293"/>
    <w:rsid w:val="00D764E0"/>
    <w:rsid w:val="00D76B1B"/>
    <w:rsid w:val="00D76BF4"/>
    <w:rsid w:val="00D7714C"/>
    <w:rsid w:val="00D7716A"/>
    <w:rsid w:val="00D77341"/>
    <w:rsid w:val="00D77367"/>
    <w:rsid w:val="00D778D6"/>
    <w:rsid w:val="00D779AF"/>
    <w:rsid w:val="00D77A58"/>
    <w:rsid w:val="00D77BF3"/>
    <w:rsid w:val="00D77CBC"/>
    <w:rsid w:val="00D8009C"/>
    <w:rsid w:val="00D808C5"/>
    <w:rsid w:val="00D80CDA"/>
    <w:rsid w:val="00D80D8E"/>
    <w:rsid w:val="00D80DD5"/>
    <w:rsid w:val="00D80F49"/>
    <w:rsid w:val="00D81978"/>
    <w:rsid w:val="00D819B4"/>
    <w:rsid w:val="00D81A4A"/>
    <w:rsid w:val="00D81F4A"/>
    <w:rsid w:val="00D821B3"/>
    <w:rsid w:val="00D8239F"/>
    <w:rsid w:val="00D8248B"/>
    <w:rsid w:val="00D824A7"/>
    <w:rsid w:val="00D82728"/>
    <w:rsid w:val="00D827A2"/>
    <w:rsid w:val="00D82915"/>
    <w:rsid w:val="00D829D2"/>
    <w:rsid w:val="00D82F16"/>
    <w:rsid w:val="00D832AB"/>
    <w:rsid w:val="00D83970"/>
    <w:rsid w:val="00D839FE"/>
    <w:rsid w:val="00D83BD9"/>
    <w:rsid w:val="00D83D5B"/>
    <w:rsid w:val="00D83ED6"/>
    <w:rsid w:val="00D84072"/>
    <w:rsid w:val="00D84278"/>
    <w:rsid w:val="00D84390"/>
    <w:rsid w:val="00D84418"/>
    <w:rsid w:val="00D8451D"/>
    <w:rsid w:val="00D84A99"/>
    <w:rsid w:val="00D84CCE"/>
    <w:rsid w:val="00D85027"/>
    <w:rsid w:val="00D85367"/>
    <w:rsid w:val="00D854A0"/>
    <w:rsid w:val="00D85565"/>
    <w:rsid w:val="00D85D19"/>
    <w:rsid w:val="00D863FD"/>
    <w:rsid w:val="00D86755"/>
    <w:rsid w:val="00D86761"/>
    <w:rsid w:val="00D8683E"/>
    <w:rsid w:val="00D868D3"/>
    <w:rsid w:val="00D8698A"/>
    <w:rsid w:val="00D86B85"/>
    <w:rsid w:val="00D86C22"/>
    <w:rsid w:val="00D86C96"/>
    <w:rsid w:val="00D8705C"/>
    <w:rsid w:val="00D871FD"/>
    <w:rsid w:val="00D8725A"/>
    <w:rsid w:val="00D8739C"/>
    <w:rsid w:val="00D8787A"/>
    <w:rsid w:val="00D878C1"/>
    <w:rsid w:val="00D87AF0"/>
    <w:rsid w:val="00D87F86"/>
    <w:rsid w:val="00D87FA8"/>
    <w:rsid w:val="00D900F3"/>
    <w:rsid w:val="00D90173"/>
    <w:rsid w:val="00D905C2"/>
    <w:rsid w:val="00D90741"/>
    <w:rsid w:val="00D90D93"/>
    <w:rsid w:val="00D91046"/>
    <w:rsid w:val="00D91429"/>
    <w:rsid w:val="00D916A2"/>
    <w:rsid w:val="00D916CF"/>
    <w:rsid w:val="00D91B1C"/>
    <w:rsid w:val="00D91BE2"/>
    <w:rsid w:val="00D91C05"/>
    <w:rsid w:val="00D91E3A"/>
    <w:rsid w:val="00D9202F"/>
    <w:rsid w:val="00D9203A"/>
    <w:rsid w:val="00D9208B"/>
    <w:rsid w:val="00D921C0"/>
    <w:rsid w:val="00D92488"/>
    <w:rsid w:val="00D92620"/>
    <w:rsid w:val="00D930AC"/>
    <w:rsid w:val="00D9324E"/>
    <w:rsid w:val="00D932D3"/>
    <w:rsid w:val="00D93759"/>
    <w:rsid w:val="00D93CF2"/>
    <w:rsid w:val="00D93E8D"/>
    <w:rsid w:val="00D93F33"/>
    <w:rsid w:val="00D94774"/>
    <w:rsid w:val="00D94925"/>
    <w:rsid w:val="00D94A76"/>
    <w:rsid w:val="00D94D96"/>
    <w:rsid w:val="00D94E7E"/>
    <w:rsid w:val="00D94EA9"/>
    <w:rsid w:val="00D9540F"/>
    <w:rsid w:val="00D95531"/>
    <w:rsid w:val="00D95683"/>
    <w:rsid w:val="00D95ADC"/>
    <w:rsid w:val="00D95C92"/>
    <w:rsid w:val="00D95CEC"/>
    <w:rsid w:val="00D95EB9"/>
    <w:rsid w:val="00D95F20"/>
    <w:rsid w:val="00D95FB9"/>
    <w:rsid w:val="00D95FDC"/>
    <w:rsid w:val="00D96257"/>
    <w:rsid w:val="00D96587"/>
    <w:rsid w:val="00D96CC5"/>
    <w:rsid w:val="00D96D7C"/>
    <w:rsid w:val="00D96DF3"/>
    <w:rsid w:val="00D97014"/>
    <w:rsid w:val="00D9705F"/>
    <w:rsid w:val="00D97208"/>
    <w:rsid w:val="00D974B4"/>
    <w:rsid w:val="00D97CB0"/>
    <w:rsid w:val="00D97DF8"/>
    <w:rsid w:val="00DA01D0"/>
    <w:rsid w:val="00DA044B"/>
    <w:rsid w:val="00DA0699"/>
    <w:rsid w:val="00DA06F6"/>
    <w:rsid w:val="00DA0732"/>
    <w:rsid w:val="00DA07BA"/>
    <w:rsid w:val="00DA07E9"/>
    <w:rsid w:val="00DA0876"/>
    <w:rsid w:val="00DA0954"/>
    <w:rsid w:val="00DA0B07"/>
    <w:rsid w:val="00DA0DD3"/>
    <w:rsid w:val="00DA10C9"/>
    <w:rsid w:val="00DA12D4"/>
    <w:rsid w:val="00DA168E"/>
    <w:rsid w:val="00DA19C3"/>
    <w:rsid w:val="00DA1F29"/>
    <w:rsid w:val="00DA214E"/>
    <w:rsid w:val="00DA2203"/>
    <w:rsid w:val="00DA245D"/>
    <w:rsid w:val="00DA2DC7"/>
    <w:rsid w:val="00DA2E97"/>
    <w:rsid w:val="00DA30EF"/>
    <w:rsid w:val="00DA323F"/>
    <w:rsid w:val="00DA32C9"/>
    <w:rsid w:val="00DA353A"/>
    <w:rsid w:val="00DA358D"/>
    <w:rsid w:val="00DA380C"/>
    <w:rsid w:val="00DA3C12"/>
    <w:rsid w:val="00DA3DFB"/>
    <w:rsid w:val="00DA3F0C"/>
    <w:rsid w:val="00DA3FB4"/>
    <w:rsid w:val="00DA42A4"/>
    <w:rsid w:val="00DA4303"/>
    <w:rsid w:val="00DA431E"/>
    <w:rsid w:val="00DA4ACF"/>
    <w:rsid w:val="00DA4B3E"/>
    <w:rsid w:val="00DA4BF9"/>
    <w:rsid w:val="00DA4D64"/>
    <w:rsid w:val="00DA4DCD"/>
    <w:rsid w:val="00DA4E5F"/>
    <w:rsid w:val="00DA4E8F"/>
    <w:rsid w:val="00DA4EFC"/>
    <w:rsid w:val="00DA50CB"/>
    <w:rsid w:val="00DA52BE"/>
    <w:rsid w:val="00DA5321"/>
    <w:rsid w:val="00DA5A00"/>
    <w:rsid w:val="00DA5CEC"/>
    <w:rsid w:val="00DA5DEA"/>
    <w:rsid w:val="00DA5E0A"/>
    <w:rsid w:val="00DA668B"/>
    <w:rsid w:val="00DA686B"/>
    <w:rsid w:val="00DA68DA"/>
    <w:rsid w:val="00DA6A83"/>
    <w:rsid w:val="00DA6B71"/>
    <w:rsid w:val="00DA6C86"/>
    <w:rsid w:val="00DA6D28"/>
    <w:rsid w:val="00DA6DAE"/>
    <w:rsid w:val="00DA7014"/>
    <w:rsid w:val="00DA751E"/>
    <w:rsid w:val="00DA75B6"/>
    <w:rsid w:val="00DA77CD"/>
    <w:rsid w:val="00DA7907"/>
    <w:rsid w:val="00DA7BFF"/>
    <w:rsid w:val="00DA7D31"/>
    <w:rsid w:val="00DA7D43"/>
    <w:rsid w:val="00DA7F6E"/>
    <w:rsid w:val="00DB006A"/>
    <w:rsid w:val="00DB01EB"/>
    <w:rsid w:val="00DB033D"/>
    <w:rsid w:val="00DB0544"/>
    <w:rsid w:val="00DB067F"/>
    <w:rsid w:val="00DB0A6D"/>
    <w:rsid w:val="00DB0BB8"/>
    <w:rsid w:val="00DB0C4F"/>
    <w:rsid w:val="00DB14E3"/>
    <w:rsid w:val="00DB199D"/>
    <w:rsid w:val="00DB1A03"/>
    <w:rsid w:val="00DB1B0F"/>
    <w:rsid w:val="00DB1CC4"/>
    <w:rsid w:val="00DB1F69"/>
    <w:rsid w:val="00DB205A"/>
    <w:rsid w:val="00DB21A6"/>
    <w:rsid w:val="00DB225D"/>
    <w:rsid w:val="00DB2279"/>
    <w:rsid w:val="00DB23F1"/>
    <w:rsid w:val="00DB2425"/>
    <w:rsid w:val="00DB24FF"/>
    <w:rsid w:val="00DB25A7"/>
    <w:rsid w:val="00DB26D2"/>
    <w:rsid w:val="00DB285A"/>
    <w:rsid w:val="00DB2E02"/>
    <w:rsid w:val="00DB2F3F"/>
    <w:rsid w:val="00DB314B"/>
    <w:rsid w:val="00DB316E"/>
    <w:rsid w:val="00DB3263"/>
    <w:rsid w:val="00DB3696"/>
    <w:rsid w:val="00DB37D1"/>
    <w:rsid w:val="00DB4714"/>
    <w:rsid w:val="00DB4B54"/>
    <w:rsid w:val="00DB4C12"/>
    <w:rsid w:val="00DB4D8A"/>
    <w:rsid w:val="00DB552A"/>
    <w:rsid w:val="00DB5769"/>
    <w:rsid w:val="00DB5BEF"/>
    <w:rsid w:val="00DB5F71"/>
    <w:rsid w:val="00DB5FA2"/>
    <w:rsid w:val="00DB62A7"/>
    <w:rsid w:val="00DB658C"/>
    <w:rsid w:val="00DB6D8E"/>
    <w:rsid w:val="00DB6E37"/>
    <w:rsid w:val="00DB7273"/>
    <w:rsid w:val="00DB76BA"/>
    <w:rsid w:val="00DB7718"/>
    <w:rsid w:val="00DB7777"/>
    <w:rsid w:val="00DB7807"/>
    <w:rsid w:val="00DB7836"/>
    <w:rsid w:val="00DB7B7D"/>
    <w:rsid w:val="00DB7F09"/>
    <w:rsid w:val="00DC00E8"/>
    <w:rsid w:val="00DC03A8"/>
    <w:rsid w:val="00DC049E"/>
    <w:rsid w:val="00DC0E77"/>
    <w:rsid w:val="00DC11B3"/>
    <w:rsid w:val="00DC127E"/>
    <w:rsid w:val="00DC12ED"/>
    <w:rsid w:val="00DC1645"/>
    <w:rsid w:val="00DC1F16"/>
    <w:rsid w:val="00DC20AB"/>
    <w:rsid w:val="00DC2274"/>
    <w:rsid w:val="00DC23F0"/>
    <w:rsid w:val="00DC24C3"/>
    <w:rsid w:val="00DC2ABF"/>
    <w:rsid w:val="00DC2B13"/>
    <w:rsid w:val="00DC2E6F"/>
    <w:rsid w:val="00DC33D0"/>
    <w:rsid w:val="00DC371C"/>
    <w:rsid w:val="00DC3801"/>
    <w:rsid w:val="00DC3AEE"/>
    <w:rsid w:val="00DC41C6"/>
    <w:rsid w:val="00DC47EB"/>
    <w:rsid w:val="00DC4AFB"/>
    <w:rsid w:val="00DC4E80"/>
    <w:rsid w:val="00DC4EC3"/>
    <w:rsid w:val="00DC505C"/>
    <w:rsid w:val="00DC5070"/>
    <w:rsid w:val="00DC54C6"/>
    <w:rsid w:val="00DC5627"/>
    <w:rsid w:val="00DC5831"/>
    <w:rsid w:val="00DC5969"/>
    <w:rsid w:val="00DC5A7E"/>
    <w:rsid w:val="00DC5CFC"/>
    <w:rsid w:val="00DC6026"/>
    <w:rsid w:val="00DC626B"/>
    <w:rsid w:val="00DC6744"/>
    <w:rsid w:val="00DC681D"/>
    <w:rsid w:val="00DC6928"/>
    <w:rsid w:val="00DC6C02"/>
    <w:rsid w:val="00DC72E1"/>
    <w:rsid w:val="00DC7557"/>
    <w:rsid w:val="00DC764D"/>
    <w:rsid w:val="00DC7987"/>
    <w:rsid w:val="00DC7C00"/>
    <w:rsid w:val="00DC7E5A"/>
    <w:rsid w:val="00DC7EEC"/>
    <w:rsid w:val="00DC7F8B"/>
    <w:rsid w:val="00DD0088"/>
    <w:rsid w:val="00DD052B"/>
    <w:rsid w:val="00DD075B"/>
    <w:rsid w:val="00DD076B"/>
    <w:rsid w:val="00DD098E"/>
    <w:rsid w:val="00DD0992"/>
    <w:rsid w:val="00DD0BF2"/>
    <w:rsid w:val="00DD0CB7"/>
    <w:rsid w:val="00DD118B"/>
    <w:rsid w:val="00DD13A0"/>
    <w:rsid w:val="00DD1841"/>
    <w:rsid w:val="00DD1A6F"/>
    <w:rsid w:val="00DD1CE1"/>
    <w:rsid w:val="00DD1E07"/>
    <w:rsid w:val="00DD2380"/>
    <w:rsid w:val="00DD24B1"/>
    <w:rsid w:val="00DD24CA"/>
    <w:rsid w:val="00DD2BCD"/>
    <w:rsid w:val="00DD2E69"/>
    <w:rsid w:val="00DD2F5A"/>
    <w:rsid w:val="00DD2FF3"/>
    <w:rsid w:val="00DD32A1"/>
    <w:rsid w:val="00DD341C"/>
    <w:rsid w:val="00DD3585"/>
    <w:rsid w:val="00DD37B4"/>
    <w:rsid w:val="00DD3B84"/>
    <w:rsid w:val="00DD42F8"/>
    <w:rsid w:val="00DD446B"/>
    <w:rsid w:val="00DD462F"/>
    <w:rsid w:val="00DD470E"/>
    <w:rsid w:val="00DD48C4"/>
    <w:rsid w:val="00DD4B63"/>
    <w:rsid w:val="00DD4DF2"/>
    <w:rsid w:val="00DD5064"/>
    <w:rsid w:val="00DD508B"/>
    <w:rsid w:val="00DD5102"/>
    <w:rsid w:val="00DD5838"/>
    <w:rsid w:val="00DD58CC"/>
    <w:rsid w:val="00DD5AFF"/>
    <w:rsid w:val="00DD618D"/>
    <w:rsid w:val="00DD618F"/>
    <w:rsid w:val="00DD61B6"/>
    <w:rsid w:val="00DD6235"/>
    <w:rsid w:val="00DD641B"/>
    <w:rsid w:val="00DD6796"/>
    <w:rsid w:val="00DD6BE9"/>
    <w:rsid w:val="00DD6E97"/>
    <w:rsid w:val="00DD7906"/>
    <w:rsid w:val="00DD7A0C"/>
    <w:rsid w:val="00DD7A71"/>
    <w:rsid w:val="00DD7B5C"/>
    <w:rsid w:val="00DE0164"/>
    <w:rsid w:val="00DE02CA"/>
    <w:rsid w:val="00DE02DB"/>
    <w:rsid w:val="00DE04A4"/>
    <w:rsid w:val="00DE07F7"/>
    <w:rsid w:val="00DE08E4"/>
    <w:rsid w:val="00DE09E4"/>
    <w:rsid w:val="00DE0E5E"/>
    <w:rsid w:val="00DE1199"/>
    <w:rsid w:val="00DE169F"/>
    <w:rsid w:val="00DE1918"/>
    <w:rsid w:val="00DE1B16"/>
    <w:rsid w:val="00DE1F31"/>
    <w:rsid w:val="00DE1FCC"/>
    <w:rsid w:val="00DE2006"/>
    <w:rsid w:val="00DE2021"/>
    <w:rsid w:val="00DE2366"/>
    <w:rsid w:val="00DE297D"/>
    <w:rsid w:val="00DE29C7"/>
    <w:rsid w:val="00DE2ED4"/>
    <w:rsid w:val="00DE3016"/>
    <w:rsid w:val="00DE30AA"/>
    <w:rsid w:val="00DE325D"/>
    <w:rsid w:val="00DE32E7"/>
    <w:rsid w:val="00DE34B7"/>
    <w:rsid w:val="00DE34CF"/>
    <w:rsid w:val="00DE3A19"/>
    <w:rsid w:val="00DE3A9C"/>
    <w:rsid w:val="00DE3C1E"/>
    <w:rsid w:val="00DE3F11"/>
    <w:rsid w:val="00DE4014"/>
    <w:rsid w:val="00DE4109"/>
    <w:rsid w:val="00DE493E"/>
    <w:rsid w:val="00DE4A09"/>
    <w:rsid w:val="00DE4A0E"/>
    <w:rsid w:val="00DE4AE4"/>
    <w:rsid w:val="00DE4B87"/>
    <w:rsid w:val="00DE4D44"/>
    <w:rsid w:val="00DE4E5F"/>
    <w:rsid w:val="00DE59A6"/>
    <w:rsid w:val="00DE5A7E"/>
    <w:rsid w:val="00DE5ACC"/>
    <w:rsid w:val="00DE5C77"/>
    <w:rsid w:val="00DE62BE"/>
    <w:rsid w:val="00DE630B"/>
    <w:rsid w:val="00DE6472"/>
    <w:rsid w:val="00DE64A0"/>
    <w:rsid w:val="00DE66EE"/>
    <w:rsid w:val="00DE670C"/>
    <w:rsid w:val="00DE6830"/>
    <w:rsid w:val="00DE6857"/>
    <w:rsid w:val="00DE68D6"/>
    <w:rsid w:val="00DE692E"/>
    <w:rsid w:val="00DE6A21"/>
    <w:rsid w:val="00DE6D4D"/>
    <w:rsid w:val="00DE7290"/>
    <w:rsid w:val="00DE72C1"/>
    <w:rsid w:val="00DE744F"/>
    <w:rsid w:val="00DE74B8"/>
    <w:rsid w:val="00DE7551"/>
    <w:rsid w:val="00DE75AC"/>
    <w:rsid w:val="00DE7647"/>
    <w:rsid w:val="00DE7783"/>
    <w:rsid w:val="00DE7EDD"/>
    <w:rsid w:val="00DE7FAF"/>
    <w:rsid w:val="00DF014B"/>
    <w:rsid w:val="00DF01FD"/>
    <w:rsid w:val="00DF034F"/>
    <w:rsid w:val="00DF038E"/>
    <w:rsid w:val="00DF083B"/>
    <w:rsid w:val="00DF0C0D"/>
    <w:rsid w:val="00DF0C9F"/>
    <w:rsid w:val="00DF0FA2"/>
    <w:rsid w:val="00DF13C1"/>
    <w:rsid w:val="00DF19B9"/>
    <w:rsid w:val="00DF1CAD"/>
    <w:rsid w:val="00DF1EC6"/>
    <w:rsid w:val="00DF2003"/>
    <w:rsid w:val="00DF2178"/>
    <w:rsid w:val="00DF2258"/>
    <w:rsid w:val="00DF2824"/>
    <w:rsid w:val="00DF288A"/>
    <w:rsid w:val="00DF2A84"/>
    <w:rsid w:val="00DF2B35"/>
    <w:rsid w:val="00DF31FC"/>
    <w:rsid w:val="00DF33FE"/>
    <w:rsid w:val="00DF35C2"/>
    <w:rsid w:val="00DF39BC"/>
    <w:rsid w:val="00DF447D"/>
    <w:rsid w:val="00DF4507"/>
    <w:rsid w:val="00DF4814"/>
    <w:rsid w:val="00DF48A5"/>
    <w:rsid w:val="00DF48F6"/>
    <w:rsid w:val="00DF4AB2"/>
    <w:rsid w:val="00DF4AEC"/>
    <w:rsid w:val="00DF4B6C"/>
    <w:rsid w:val="00DF4F83"/>
    <w:rsid w:val="00DF55BE"/>
    <w:rsid w:val="00DF5726"/>
    <w:rsid w:val="00DF58F6"/>
    <w:rsid w:val="00DF5B74"/>
    <w:rsid w:val="00DF5FB2"/>
    <w:rsid w:val="00DF617F"/>
    <w:rsid w:val="00DF6539"/>
    <w:rsid w:val="00DF656F"/>
    <w:rsid w:val="00DF674D"/>
    <w:rsid w:val="00DF6AA8"/>
    <w:rsid w:val="00DF6DC5"/>
    <w:rsid w:val="00DF6E47"/>
    <w:rsid w:val="00DF6F4D"/>
    <w:rsid w:val="00DF71A6"/>
    <w:rsid w:val="00DF731F"/>
    <w:rsid w:val="00DF7510"/>
    <w:rsid w:val="00DF7519"/>
    <w:rsid w:val="00DF7FDD"/>
    <w:rsid w:val="00E002D0"/>
    <w:rsid w:val="00E0077C"/>
    <w:rsid w:val="00E00BAB"/>
    <w:rsid w:val="00E00DBE"/>
    <w:rsid w:val="00E00E4F"/>
    <w:rsid w:val="00E00F2C"/>
    <w:rsid w:val="00E011C7"/>
    <w:rsid w:val="00E01B53"/>
    <w:rsid w:val="00E01BC9"/>
    <w:rsid w:val="00E01C36"/>
    <w:rsid w:val="00E01D09"/>
    <w:rsid w:val="00E02466"/>
    <w:rsid w:val="00E02631"/>
    <w:rsid w:val="00E02648"/>
    <w:rsid w:val="00E02653"/>
    <w:rsid w:val="00E0270E"/>
    <w:rsid w:val="00E02765"/>
    <w:rsid w:val="00E0294C"/>
    <w:rsid w:val="00E029D7"/>
    <w:rsid w:val="00E02AB1"/>
    <w:rsid w:val="00E032DA"/>
    <w:rsid w:val="00E0337B"/>
    <w:rsid w:val="00E034AB"/>
    <w:rsid w:val="00E03669"/>
    <w:rsid w:val="00E0392E"/>
    <w:rsid w:val="00E03A11"/>
    <w:rsid w:val="00E03BB3"/>
    <w:rsid w:val="00E03C37"/>
    <w:rsid w:val="00E03DB6"/>
    <w:rsid w:val="00E04148"/>
    <w:rsid w:val="00E045B2"/>
    <w:rsid w:val="00E04837"/>
    <w:rsid w:val="00E0492D"/>
    <w:rsid w:val="00E04ABE"/>
    <w:rsid w:val="00E04C28"/>
    <w:rsid w:val="00E04F82"/>
    <w:rsid w:val="00E050B1"/>
    <w:rsid w:val="00E05186"/>
    <w:rsid w:val="00E05535"/>
    <w:rsid w:val="00E055DC"/>
    <w:rsid w:val="00E05BC2"/>
    <w:rsid w:val="00E05F0A"/>
    <w:rsid w:val="00E05F88"/>
    <w:rsid w:val="00E06682"/>
    <w:rsid w:val="00E06C61"/>
    <w:rsid w:val="00E070A0"/>
    <w:rsid w:val="00E071CB"/>
    <w:rsid w:val="00E073A6"/>
    <w:rsid w:val="00E07733"/>
    <w:rsid w:val="00E077E3"/>
    <w:rsid w:val="00E079DE"/>
    <w:rsid w:val="00E10143"/>
    <w:rsid w:val="00E1034D"/>
    <w:rsid w:val="00E104DB"/>
    <w:rsid w:val="00E10630"/>
    <w:rsid w:val="00E106BC"/>
    <w:rsid w:val="00E10B84"/>
    <w:rsid w:val="00E10C1E"/>
    <w:rsid w:val="00E10D39"/>
    <w:rsid w:val="00E1104F"/>
    <w:rsid w:val="00E11247"/>
    <w:rsid w:val="00E1136B"/>
    <w:rsid w:val="00E114CC"/>
    <w:rsid w:val="00E11729"/>
    <w:rsid w:val="00E11B41"/>
    <w:rsid w:val="00E11C78"/>
    <w:rsid w:val="00E11EC5"/>
    <w:rsid w:val="00E11F44"/>
    <w:rsid w:val="00E12016"/>
    <w:rsid w:val="00E124DD"/>
    <w:rsid w:val="00E12C62"/>
    <w:rsid w:val="00E12FAD"/>
    <w:rsid w:val="00E1300F"/>
    <w:rsid w:val="00E133F3"/>
    <w:rsid w:val="00E1345F"/>
    <w:rsid w:val="00E135CF"/>
    <w:rsid w:val="00E13BBC"/>
    <w:rsid w:val="00E13E2A"/>
    <w:rsid w:val="00E13E90"/>
    <w:rsid w:val="00E14039"/>
    <w:rsid w:val="00E14045"/>
    <w:rsid w:val="00E1443F"/>
    <w:rsid w:val="00E14480"/>
    <w:rsid w:val="00E14731"/>
    <w:rsid w:val="00E14B87"/>
    <w:rsid w:val="00E14BA0"/>
    <w:rsid w:val="00E1531D"/>
    <w:rsid w:val="00E1547C"/>
    <w:rsid w:val="00E15997"/>
    <w:rsid w:val="00E16073"/>
    <w:rsid w:val="00E1613B"/>
    <w:rsid w:val="00E16561"/>
    <w:rsid w:val="00E165FE"/>
    <w:rsid w:val="00E16749"/>
    <w:rsid w:val="00E16A49"/>
    <w:rsid w:val="00E16B80"/>
    <w:rsid w:val="00E16BBC"/>
    <w:rsid w:val="00E172DD"/>
    <w:rsid w:val="00E17348"/>
    <w:rsid w:val="00E174A3"/>
    <w:rsid w:val="00E17760"/>
    <w:rsid w:val="00E17BA0"/>
    <w:rsid w:val="00E17CD5"/>
    <w:rsid w:val="00E20476"/>
    <w:rsid w:val="00E206B8"/>
    <w:rsid w:val="00E207FB"/>
    <w:rsid w:val="00E208A8"/>
    <w:rsid w:val="00E20DDB"/>
    <w:rsid w:val="00E20FB4"/>
    <w:rsid w:val="00E2105E"/>
    <w:rsid w:val="00E2106B"/>
    <w:rsid w:val="00E21563"/>
    <w:rsid w:val="00E21659"/>
    <w:rsid w:val="00E21828"/>
    <w:rsid w:val="00E22367"/>
    <w:rsid w:val="00E2240C"/>
    <w:rsid w:val="00E226E7"/>
    <w:rsid w:val="00E22705"/>
    <w:rsid w:val="00E22ABF"/>
    <w:rsid w:val="00E22B34"/>
    <w:rsid w:val="00E22B9A"/>
    <w:rsid w:val="00E22D51"/>
    <w:rsid w:val="00E22DA6"/>
    <w:rsid w:val="00E22EC6"/>
    <w:rsid w:val="00E2305A"/>
    <w:rsid w:val="00E236FC"/>
    <w:rsid w:val="00E239BD"/>
    <w:rsid w:val="00E240F5"/>
    <w:rsid w:val="00E242C1"/>
    <w:rsid w:val="00E242C2"/>
    <w:rsid w:val="00E24559"/>
    <w:rsid w:val="00E24A58"/>
    <w:rsid w:val="00E24B45"/>
    <w:rsid w:val="00E24D6C"/>
    <w:rsid w:val="00E25293"/>
    <w:rsid w:val="00E2559F"/>
    <w:rsid w:val="00E2573E"/>
    <w:rsid w:val="00E25777"/>
    <w:rsid w:val="00E25875"/>
    <w:rsid w:val="00E259B7"/>
    <w:rsid w:val="00E25B58"/>
    <w:rsid w:val="00E2663F"/>
    <w:rsid w:val="00E266F7"/>
    <w:rsid w:val="00E270BA"/>
    <w:rsid w:val="00E27166"/>
    <w:rsid w:val="00E27362"/>
    <w:rsid w:val="00E27518"/>
    <w:rsid w:val="00E27548"/>
    <w:rsid w:val="00E2777C"/>
    <w:rsid w:val="00E27A46"/>
    <w:rsid w:val="00E27B67"/>
    <w:rsid w:val="00E27D85"/>
    <w:rsid w:val="00E27FF3"/>
    <w:rsid w:val="00E30245"/>
    <w:rsid w:val="00E30262"/>
    <w:rsid w:val="00E30392"/>
    <w:rsid w:val="00E303B4"/>
    <w:rsid w:val="00E305D2"/>
    <w:rsid w:val="00E30685"/>
    <w:rsid w:val="00E31503"/>
    <w:rsid w:val="00E318AC"/>
    <w:rsid w:val="00E31CDA"/>
    <w:rsid w:val="00E31D94"/>
    <w:rsid w:val="00E322FA"/>
    <w:rsid w:val="00E32518"/>
    <w:rsid w:val="00E32557"/>
    <w:rsid w:val="00E3258A"/>
    <w:rsid w:val="00E32646"/>
    <w:rsid w:val="00E32672"/>
    <w:rsid w:val="00E32791"/>
    <w:rsid w:val="00E32E0C"/>
    <w:rsid w:val="00E32FD2"/>
    <w:rsid w:val="00E33889"/>
    <w:rsid w:val="00E33A0A"/>
    <w:rsid w:val="00E33B47"/>
    <w:rsid w:val="00E33B6C"/>
    <w:rsid w:val="00E33BAF"/>
    <w:rsid w:val="00E33BE9"/>
    <w:rsid w:val="00E33E02"/>
    <w:rsid w:val="00E3424E"/>
    <w:rsid w:val="00E3461D"/>
    <w:rsid w:val="00E34AC3"/>
    <w:rsid w:val="00E34B3A"/>
    <w:rsid w:val="00E34E10"/>
    <w:rsid w:val="00E34E63"/>
    <w:rsid w:val="00E34F97"/>
    <w:rsid w:val="00E353D5"/>
    <w:rsid w:val="00E356DB"/>
    <w:rsid w:val="00E357E1"/>
    <w:rsid w:val="00E35B82"/>
    <w:rsid w:val="00E35E44"/>
    <w:rsid w:val="00E35E8C"/>
    <w:rsid w:val="00E35EB8"/>
    <w:rsid w:val="00E35FA1"/>
    <w:rsid w:val="00E36000"/>
    <w:rsid w:val="00E36222"/>
    <w:rsid w:val="00E36659"/>
    <w:rsid w:val="00E36D26"/>
    <w:rsid w:val="00E36DFC"/>
    <w:rsid w:val="00E370C8"/>
    <w:rsid w:val="00E3756F"/>
    <w:rsid w:val="00E3758A"/>
    <w:rsid w:val="00E3771F"/>
    <w:rsid w:val="00E37919"/>
    <w:rsid w:val="00E37A35"/>
    <w:rsid w:val="00E37E2C"/>
    <w:rsid w:val="00E37E67"/>
    <w:rsid w:val="00E37F01"/>
    <w:rsid w:val="00E40168"/>
    <w:rsid w:val="00E405B2"/>
    <w:rsid w:val="00E40880"/>
    <w:rsid w:val="00E40FAD"/>
    <w:rsid w:val="00E4109F"/>
    <w:rsid w:val="00E410E4"/>
    <w:rsid w:val="00E41518"/>
    <w:rsid w:val="00E415EC"/>
    <w:rsid w:val="00E415FE"/>
    <w:rsid w:val="00E41A6F"/>
    <w:rsid w:val="00E41C50"/>
    <w:rsid w:val="00E4268F"/>
    <w:rsid w:val="00E42A50"/>
    <w:rsid w:val="00E42A62"/>
    <w:rsid w:val="00E42B6F"/>
    <w:rsid w:val="00E42F23"/>
    <w:rsid w:val="00E430D4"/>
    <w:rsid w:val="00E4320C"/>
    <w:rsid w:val="00E43608"/>
    <w:rsid w:val="00E43DAA"/>
    <w:rsid w:val="00E4451B"/>
    <w:rsid w:val="00E44BD0"/>
    <w:rsid w:val="00E45081"/>
    <w:rsid w:val="00E4530C"/>
    <w:rsid w:val="00E45A21"/>
    <w:rsid w:val="00E45D3E"/>
    <w:rsid w:val="00E45F46"/>
    <w:rsid w:val="00E46097"/>
    <w:rsid w:val="00E464FB"/>
    <w:rsid w:val="00E46673"/>
    <w:rsid w:val="00E46817"/>
    <w:rsid w:val="00E46A36"/>
    <w:rsid w:val="00E46CA9"/>
    <w:rsid w:val="00E46ED6"/>
    <w:rsid w:val="00E46F4D"/>
    <w:rsid w:val="00E46F64"/>
    <w:rsid w:val="00E47086"/>
    <w:rsid w:val="00E471C0"/>
    <w:rsid w:val="00E47430"/>
    <w:rsid w:val="00E4755E"/>
    <w:rsid w:val="00E476E6"/>
    <w:rsid w:val="00E477E1"/>
    <w:rsid w:val="00E47A86"/>
    <w:rsid w:val="00E47AAB"/>
    <w:rsid w:val="00E47C29"/>
    <w:rsid w:val="00E47D02"/>
    <w:rsid w:val="00E47F35"/>
    <w:rsid w:val="00E50CD5"/>
    <w:rsid w:val="00E50E7C"/>
    <w:rsid w:val="00E511E1"/>
    <w:rsid w:val="00E512D1"/>
    <w:rsid w:val="00E51495"/>
    <w:rsid w:val="00E51545"/>
    <w:rsid w:val="00E51547"/>
    <w:rsid w:val="00E5176F"/>
    <w:rsid w:val="00E51990"/>
    <w:rsid w:val="00E51D70"/>
    <w:rsid w:val="00E51F1C"/>
    <w:rsid w:val="00E52327"/>
    <w:rsid w:val="00E527DE"/>
    <w:rsid w:val="00E52801"/>
    <w:rsid w:val="00E5286C"/>
    <w:rsid w:val="00E528B2"/>
    <w:rsid w:val="00E52B09"/>
    <w:rsid w:val="00E52CB7"/>
    <w:rsid w:val="00E53119"/>
    <w:rsid w:val="00E53164"/>
    <w:rsid w:val="00E5323B"/>
    <w:rsid w:val="00E53262"/>
    <w:rsid w:val="00E53334"/>
    <w:rsid w:val="00E53652"/>
    <w:rsid w:val="00E538B1"/>
    <w:rsid w:val="00E53DCA"/>
    <w:rsid w:val="00E541CB"/>
    <w:rsid w:val="00E5454D"/>
    <w:rsid w:val="00E54B44"/>
    <w:rsid w:val="00E55326"/>
    <w:rsid w:val="00E55638"/>
    <w:rsid w:val="00E558DA"/>
    <w:rsid w:val="00E55C34"/>
    <w:rsid w:val="00E55CCC"/>
    <w:rsid w:val="00E55D43"/>
    <w:rsid w:val="00E56241"/>
    <w:rsid w:val="00E56299"/>
    <w:rsid w:val="00E565B2"/>
    <w:rsid w:val="00E56B70"/>
    <w:rsid w:val="00E56BC7"/>
    <w:rsid w:val="00E56C49"/>
    <w:rsid w:val="00E56C8B"/>
    <w:rsid w:val="00E56CDA"/>
    <w:rsid w:val="00E56F9F"/>
    <w:rsid w:val="00E573D3"/>
    <w:rsid w:val="00E573ED"/>
    <w:rsid w:val="00E57574"/>
    <w:rsid w:val="00E577FD"/>
    <w:rsid w:val="00E57C28"/>
    <w:rsid w:val="00E57F93"/>
    <w:rsid w:val="00E60186"/>
    <w:rsid w:val="00E60573"/>
    <w:rsid w:val="00E60589"/>
    <w:rsid w:val="00E6079A"/>
    <w:rsid w:val="00E60889"/>
    <w:rsid w:val="00E60B30"/>
    <w:rsid w:val="00E60D9A"/>
    <w:rsid w:val="00E61277"/>
    <w:rsid w:val="00E612E1"/>
    <w:rsid w:val="00E61473"/>
    <w:rsid w:val="00E61CDF"/>
    <w:rsid w:val="00E61FF8"/>
    <w:rsid w:val="00E623B5"/>
    <w:rsid w:val="00E633B1"/>
    <w:rsid w:val="00E63748"/>
    <w:rsid w:val="00E63BB8"/>
    <w:rsid w:val="00E63C0F"/>
    <w:rsid w:val="00E63E66"/>
    <w:rsid w:val="00E63FCB"/>
    <w:rsid w:val="00E64110"/>
    <w:rsid w:val="00E6411A"/>
    <w:rsid w:val="00E642AB"/>
    <w:rsid w:val="00E64835"/>
    <w:rsid w:val="00E64D21"/>
    <w:rsid w:val="00E64F76"/>
    <w:rsid w:val="00E6512A"/>
    <w:rsid w:val="00E652B5"/>
    <w:rsid w:val="00E652E7"/>
    <w:rsid w:val="00E653C0"/>
    <w:rsid w:val="00E657A4"/>
    <w:rsid w:val="00E65FBA"/>
    <w:rsid w:val="00E65FBB"/>
    <w:rsid w:val="00E661CA"/>
    <w:rsid w:val="00E66458"/>
    <w:rsid w:val="00E6649D"/>
    <w:rsid w:val="00E66532"/>
    <w:rsid w:val="00E66613"/>
    <w:rsid w:val="00E666BF"/>
    <w:rsid w:val="00E66840"/>
    <w:rsid w:val="00E66C94"/>
    <w:rsid w:val="00E66E9E"/>
    <w:rsid w:val="00E67065"/>
    <w:rsid w:val="00E67539"/>
    <w:rsid w:val="00E678D0"/>
    <w:rsid w:val="00E67970"/>
    <w:rsid w:val="00E67A43"/>
    <w:rsid w:val="00E67C25"/>
    <w:rsid w:val="00E67E17"/>
    <w:rsid w:val="00E70C03"/>
    <w:rsid w:val="00E70C56"/>
    <w:rsid w:val="00E711D7"/>
    <w:rsid w:val="00E7121E"/>
    <w:rsid w:val="00E71255"/>
    <w:rsid w:val="00E718DC"/>
    <w:rsid w:val="00E71929"/>
    <w:rsid w:val="00E71AA4"/>
    <w:rsid w:val="00E71C5B"/>
    <w:rsid w:val="00E71D78"/>
    <w:rsid w:val="00E71EC6"/>
    <w:rsid w:val="00E71F8D"/>
    <w:rsid w:val="00E722BD"/>
    <w:rsid w:val="00E72543"/>
    <w:rsid w:val="00E726B5"/>
    <w:rsid w:val="00E7284C"/>
    <w:rsid w:val="00E72C05"/>
    <w:rsid w:val="00E72E01"/>
    <w:rsid w:val="00E73283"/>
    <w:rsid w:val="00E73400"/>
    <w:rsid w:val="00E73414"/>
    <w:rsid w:val="00E736D1"/>
    <w:rsid w:val="00E73E71"/>
    <w:rsid w:val="00E74069"/>
    <w:rsid w:val="00E741EA"/>
    <w:rsid w:val="00E74257"/>
    <w:rsid w:val="00E746EE"/>
    <w:rsid w:val="00E749AD"/>
    <w:rsid w:val="00E749D6"/>
    <w:rsid w:val="00E74C3C"/>
    <w:rsid w:val="00E74C4F"/>
    <w:rsid w:val="00E74DF2"/>
    <w:rsid w:val="00E753D4"/>
    <w:rsid w:val="00E754CE"/>
    <w:rsid w:val="00E755D2"/>
    <w:rsid w:val="00E755EA"/>
    <w:rsid w:val="00E7571A"/>
    <w:rsid w:val="00E75753"/>
    <w:rsid w:val="00E75763"/>
    <w:rsid w:val="00E75791"/>
    <w:rsid w:val="00E759B8"/>
    <w:rsid w:val="00E75B30"/>
    <w:rsid w:val="00E75EE7"/>
    <w:rsid w:val="00E75F47"/>
    <w:rsid w:val="00E760C6"/>
    <w:rsid w:val="00E76516"/>
    <w:rsid w:val="00E76803"/>
    <w:rsid w:val="00E7692D"/>
    <w:rsid w:val="00E769A7"/>
    <w:rsid w:val="00E76AB2"/>
    <w:rsid w:val="00E771BB"/>
    <w:rsid w:val="00E77246"/>
    <w:rsid w:val="00E775D1"/>
    <w:rsid w:val="00E77607"/>
    <w:rsid w:val="00E777E3"/>
    <w:rsid w:val="00E778D5"/>
    <w:rsid w:val="00E77CDB"/>
    <w:rsid w:val="00E77F8F"/>
    <w:rsid w:val="00E8038C"/>
    <w:rsid w:val="00E80A36"/>
    <w:rsid w:val="00E80B0A"/>
    <w:rsid w:val="00E80BE4"/>
    <w:rsid w:val="00E80FE4"/>
    <w:rsid w:val="00E81518"/>
    <w:rsid w:val="00E815CF"/>
    <w:rsid w:val="00E81A40"/>
    <w:rsid w:val="00E81F62"/>
    <w:rsid w:val="00E82446"/>
    <w:rsid w:val="00E8276A"/>
    <w:rsid w:val="00E828FB"/>
    <w:rsid w:val="00E82A1E"/>
    <w:rsid w:val="00E82B86"/>
    <w:rsid w:val="00E82E86"/>
    <w:rsid w:val="00E82FF9"/>
    <w:rsid w:val="00E8318F"/>
    <w:rsid w:val="00E833AE"/>
    <w:rsid w:val="00E835D6"/>
    <w:rsid w:val="00E83852"/>
    <w:rsid w:val="00E83893"/>
    <w:rsid w:val="00E839E3"/>
    <w:rsid w:val="00E839E9"/>
    <w:rsid w:val="00E846D9"/>
    <w:rsid w:val="00E84ACF"/>
    <w:rsid w:val="00E84C95"/>
    <w:rsid w:val="00E851A9"/>
    <w:rsid w:val="00E85312"/>
    <w:rsid w:val="00E85545"/>
    <w:rsid w:val="00E855AC"/>
    <w:rsid w:val="00E858E7"/>
    <w:rsid w:val="00E8590B"/>
    <w:rsid w:val="00E85C50"/>
    <w:rsid w:val="00E85C98"/>
    <w:rsid w:val="00E85E9A"/>
    <w:rsid w:val="00E85EDC"/>
    <w:rsid w:val="00E85FCC"/>
    <w:rsid w:val="00E862EE"/>
    <w:rsid w:val="00E864A9"/>
    <w:rsid w:val="00E86580"/>
    <w:rsid w:val="00E86655"/>
    <w:rsid w:val="00E8694C"/>
    <w:rsid w:val="00E86A0C"/>
    <w:rsid w:val="00E86B96"/>
    <w:rsid w:val="00E86E8F"/>
    <w:rsid w:val="00E86FCF"/>
    <w:rsid w:val="00E874BF"/>
    <w:rsid w:val="00E87562"/>
    <w:rsid w:val="00E875EA"/>
    <w:rsid w:val="00E879FB"/>
    <w:rsid w:val="00E87E9C"/>
    <w:rsid w:val="00E902B0"/>
    <w:rsid w:val="00E902E8"/>
    <w:rsid w:val="00E90496"/>
    <w:rsid w:val="00E90604"/>
    <w:rsid w:val="00E907EC"/>
    <w:rsid w:val="00E90B4A"/>
    <w:rsid w:val="00E90B62"/>
    <w:rsid w:val="00E90D0B"/>
    <w:rsid w:val="00E910CF"/>
    <w:rsid w:val="00E910D6"/>
    <w:rsid w:val="00E91207"/>
    <w:rsid w:val="00E9143A"/>
    <w:rsid w:val="00E91762"/>
    <w:rsid w:val="00E9186F"/>
    <w:rsid w:val="00E920FD"/>
    <w:rsid w:val="00E923EA"/>
    <w:rsid w:val="00E927FD"/>
    <w:rsid w:val="00E92A86"/>
    <w:rsid w:val="00E92D52"/>
    <w:rsid w:val="00E9383F"/>
    <w:rsid w:val="00E938BD"/>
    <w:rsid w:val="00E93A6F"/>
    <w:rsid w:val="00E93FB1"/>
    <w:rsid w:val="00E943FE"/>
    <w:rsid w:val="00E945E1"/>
    <w:rsid w:val="00E94829"/>
    <w:rsid w:val="00E9492E"/>
    <w:rsid w:val="00E949AF"/>
    <w:rsid w:val="00E94A71"/>
    <w:rsid w:val="00E94B6B"/>
    <w:rsid w:val="00E94BDC"/>
    <w:rsid w:val="00E94CA0"/>
    <w:rsid w:val="00E94E67"/>
    <w:rsid w:val="00E95492"/>
    <w:rsid w:val="00E956D3"/>
    <w:rsid w:val="00E95840"/>
    <w:rsid w:val="00E95A5C"/>
    <w:rsid w:val="00E95D7E"/>
    <w:rsid w:val="00E95E02"/>
    <w:rsid w:val="00E95E62"/>
    <w:rsid w:val="00E96271"/>
    <w:rsid w:val="00E96296"/>
    <w:rsid w:val="00E9657C"/>
    <w:rsid w:val="00E9658A"/>
    <w:rsid w:val="00E96781"/>
    <w:rsid w:val="00E96895"/>
    <w:rsid w:val="00E968F3"/>
    <w:rsid w:val="00E96E80"/>
    <w:rsid w:val="00E96E87"/>
    <w:rsid w:val="00E971BC"/>
    <w:rsid w:val="00E971D3"/>
    <w:rsid w:val="00E97642"/>
    <w:rsid w:val="00E9784C"/>
    <w:rsid w:val="00E97A8C"/>
    <w:rsid w:val="00E97AA9"/>
    <w:rsid w:val="00E97C05"/>
    <w:rsid w:val="00E97C6F"/>
    <w:rsid w:val="00EA0A50"/>
    <w:rsid w:val="00EA0B85"/>
    <w:rsid w:val="00EA0E76"/>
    <w:rsid w:val="00EA0ECD"/>
    <w:rsid w:val="00EA1107"/>
    <w:rsid w:val="00EA138D"/>
    <w:rsid w:val="00EA141D"/>
    <w:rsid w:val="00EA1AA3"/>
    <w:rsid w:val="00EA1AB4"/>
    <w:rsid w:val="00EA1C27"/>
    <w:rsid w:val="00EA1F3B"/>
    <w:rsid w:val="00EA1FD0"/>
    <w:rsid w:val="00EA2369"/>
    <w:rsid w:val="00EA23EA"/>
    <w:rsid w:val="00EA2913"/>
    <w:rsid w:val="00EA2ED6"/>
    <w:rsid w:val="00EA333F"/>
    <w:rsid w:val="00EA3420"/>
    <w:rsid w:val="00EA34C2"/>
    <w:rsid w:val="00EA34FE"/>
    <w:rsid w:val="00EA3719"/>
    <w:rsid w:val="00EA3B4D"/>
    <w:rsid w:val="00EA4181"/>
    <w:rsid w:val="00EA425B"/>
    <w:rsid w:val="00EA446D"/>
    <w:rsid w:val="00EA4656"/>
    <w:rsid w:val="00EA48E5"/>
    <w:rsid w:val="00EA4C85"/>
    <w:rsid w:val="00EA514D"/>
    <w:rsid w:val="00EA594B"/>
    <w:rsid w:val="00EA5970"/>
    <w:rsid w:val="00EA59DF"/>
    <w:rsid w:val="00EA5B57"/>
    <w:rsid w:val="00EA6151"/>
    <w:rsid w:val="00EA6259"/>
    <w:rsid w:val="00EA6B59"/>
    <w:rsid w:val="00EA6E16"/>
    <w:rsid w:val="00EA6E6B"/>
    <w:rsid w:val="00EA6EC7"/>
    <w:rsid w:val="00EA72BA"/>
    <w:rsid w:val="00EA751A"/>
    <w:rsid w:val="00EA7593"/>
    <w:rsid w:val="00EA7721"/>
    <w:rsid w:val="00EA77BF"/>
    <w:rsid w:val="00EB00BE"/>
    <w:rsid w:val="00EB030F"/>
    <w:rsid w:val="00EB0351"/>
    <w:rsid w:val="00EB038D"/>
    <w:rsid w:val="00EB07BF"/>
    <w:rsid w:val="00EB0AF5"/>
    <w:rsid w:val="00EB0D4A"/>
    <w:rsid w:val="00EB12CD"/>
    <w:rsid w:val="00EB180F"/>
    <w:rsid w:val="00EB1D41"/>
    <w:rsid w:val="00EB1DFD"/>
    <w:rsid w:val="00EB20C0"/>
    <w:rsid w:val="00EB2221"/>
    <w:rsid w:val="00EB244F"/>
    <w:rsid w:val="00EB2619"/>
    <w:rsid w:val="00EB26C9"/>
    <w:rsid w:val="00EB27B4"/>
    <w:rsid w:val="00EB2844"/>
    <w:rsid w:val="00EB2AAD"/>
    <w:rsid w:val="00EB2B89"/>
    <w:rsid w:val="00EB3054"/>
    <w:rsid w:val="00EB30BD"/>
    <w:rsid w:val="00EB331C"/>
    <w:rsid w:val="00EB3533"/>
    <w:rsid w:val="00EB36CD"/>
    <w:rsid w:val="00EB38EE"/>
    <w:rsid w:val="00EB394E"/>
    <w:rsid w:val="00EB39E3"/>
    <w:rsid w:val="00EB39ED"/>
    <w:rsid w:val="00EB3A0A"/>
    <w:rsid w:val="00EB3CD0"/>
    <w:rsid w:val="00EB3F7C"/>
    <w:rsid w:val="00EB4398"/>
    <w:rsid w:val="00EB4427"/>
    <w:rsid w:val="00EB448F"/>
    <w:rsid w:val="00EB47A3"/>
    <w:rsid w:val="00EB4A39"/>
    <w:rsid w:val="00EB4BEB"/>
    <w:rsid w:val="00EB4D7A"/>
    <w:rsid w:val="00EB4DAD"/>
    <w:rsid w:val="00EB50AB"/>
    <w:rsid w:val="00EB5113"/>
    <w:rsid w:val="00EB5251"/>
    <w:rsid w:val="00EB5680"/>
    <w:rsid w:val="00EB5958"/>
    <w:rsid w:val="00EB5A79"/>
    <w:rsid w:val="00EB5A9C"/>
    <w:rsid w:val="00EB5C45"/>
    <w:rsid w:val="00EB5DAC"/>
    <w:rsid w:val="00EB5EDC"/>
    <w:rsid w:val="00EB60C8"/>
    <w:rsid w:val="00EB68EC"/>
    <w:rsid w:val="00EB70CA"/>
    <w:rsid w:val="00EB722E"/>
    <w:rsid w:val="00EB72B2"/>
    <w:rsid w:val="00EB769D"/>
    <w:rsid w:val="00EB7732"/>
    <w:rsid w:val="00EB77C9"/>
    <w:rsid w:val="00EB785A"/>
    <w:rsid w:val="00EB7C56"/>
    <w:rsid w:val="00EB7C69"/>
    <w:rsid w:val="00EB7DF6"/>
    <w:rsid w:val="00EC0021"/>
    <w:rsid w:val="00EC0ADF"/>
    <w:rsid w:val="00EC0E7F"/>
    <w:rsid w:val="00EC0EDD"/>
    <w:rsid w:val="00EC1395"/>
    <w:rsid w:val="00EC16BF"/>
    <w:rsid w:val="00EC1797"/>
    <w:rsid w:val="00EC1D45"/>
    <w:rsid w:val="00EC1E6E"/>
    <w:rsid w:val="00EC26F6"/>
    <w:rsid w:val="00EC2926"/>
    <w:rsid w:val="00EC2DD9"/>
    <w:rsid w:val="00EC2E85"/>
    <w:rsid w:val="00EC311D"/>
    <w:rsid w:val="00EC3493"/>
    <w:rsid w:val="00EC362D"/>
    <w:rsid w:val="00EC3990"/>
    <w:rsid w:val="00EC3B75"/>
    <w:rsid w:val="00EC408F"/>
    <w:rsid w:val="00EC41E7"/>
    <w:rsid w:val="00EC42DB"/>
    <w:rsid w:val="00EC4393"/>
    <w:rsid w:val="00EC4528"/>
    <w:rsid w:val="00EC4600"/>
    <w:rsid w:val="00EC47B5"/>
    <w:rsid w:val="00EC4A38"/>
    <w:rsid w:val="00EC4C5D"/>
    <w:rsid w:val="00EC4F40"/>
    <w:rsid w:val="00EC50F9"/>
    <w:rsid w:val="00EC52EF"/>
    <w:rsid w:val="00EC5EE4"/>
    <w:rsid w:val="00EC5FB0"/>
    <w:rsid w:val="00EC6014"/>
    <w:rsid w:val="00EC606A"/>
    <w:rsid w:val="00EC622D"/>
    <w:rsid w:val="00EC634B"/>
    <w:rsid w:val="00EC66DC"/>
    <w:rsid w:val="00EC6870"/>
    <w:rsid w:val="00EC69EE"/>
    <w:rsid w:val="00EC6A98"/>
    <w:rsid w:val="00EC6B16"/>
    <w:rsid w:val="00EC6B5A"/>
    <w:rsid w:val="00EC6C58"/>
    <w:rsid w:val="00EC6D1A"/>
    <w:rsid w:val="00EC7489"/>
    <w:rsid w:val="00EC75BE"/>
    <w:rsid w:val="00EC7DC4"/>
    <w:rsid w:val="00EC7F36"/>
    <w:rsid w:val="00EC7F8B"/>
    <w:rsid w:val="00ED00A3"/>
    <w:rsid w:val="00ED02B5"/>
    <w:rsid w:val="00ED03B2"/>
    <w:rsid w:val="00ED08DC"/>
    <w:rsid w:val="00ED14FB"/>
    <w:rsid w:val="00ED16A6"/>
    <w:rsid w:val="00ED16D6"/>
    <w:rsid w:val="00ED25ED"/>
    <w:rsid w:val="00ED261A"/>
    <w:rsid w:val="00ED275E"/>
    <w:rsid w:val="00ED2A05"/>
    <w:rsid w:val="00ED2B3C"/>
    <w:rsid w:val="00ED2BEB"/>
    <w:rsid w:val="00ED2D20"/>
    <w:rsid w:val="00ED2E68"/>
    <w:rsid w:val="00ED3013"/>
    <w:rsid w:val="00ED3124"/>
    <w:rsid w:val="00ED3137"/>
    <w:rsid w:val="00ED369B"/>
    <w:rsid w:val="00ED3761"/>
    <w:rsid w:val="00ED3907"/>
    <w:rsid w:val="00ED3B54"/>
    <w:rsid w:val="00ED3B7C"/>
    <w:rsid w:val="00ED4289"/>
    <w:rsid w:val="00ED439C"/>
    <w:rsid w:val="00ED4609"/>
    <w:rsid w:val="00ED4649"/>
    <w:rsid w:val="00ED47E3"/>
    <w:rsid w:val="00ED4D88"/>
    <w:rsid w:val="00ED4E53"/>
    <w:rsid w:val="00ED553E"/>
    <w:rsid w:val="00ED56C1"/>
    <w:rsid w:val="00ED5711"/>
    <w:rsid w:val="00ED573C"/>
    <w:rsid w:val="00ED5DF0"/>
    <w:rsid w:val="00ED5F38"/>
    <w:rsid w:val="00ED5F5D"/>
    <w:rsid w:val="00ED6135"/>
    <w:rsid w:val="00ED6228"/>
    <w:rsid w:val="00ED6467"/>
    <w:rsid w:val="00ED657B"/>
    <w:rsid w:val="00ED6B3E"/>
    <w:rsid w:val="00ED6CA3"/>
    <w:rsid w:val="00ED71FE"/>
    <w:rsid w:val="00ED72D4"/>
    <w:rsid w:val="00ED7752"/>
    <w:rsid w:val="00ED7801"/>
    <w:rsid w:val="00ED7E57"/>
    <w:rsid w:val="00ED7EF0"/>
    <w:rsid w:val="00ED7F2C"/>
    <w:rsid w:val="00ED7F7B"/>
    <w:rsid w:val="00EE0271"/>
    <w:rsid w:val="00EE04CC"/>
    <w:rsid w:val="00EE0615"/>
    <w:rsid w:val="00EE0AE9"/>
    <w:rsid w:val="00EE11B2"/>
    <w:rsid w:val="00EE14A9"/>
    <w:rsid w:val="00EE14CC"/>
    <w:rsid w:val="00EE152D"/>
    <w:rsid w:val="00EE16BC"/>
    <w:rsid w:val="00EE178A"/>
    <w:rsid w:val="00EE1798"/>
    <w:rsid w:val="00EE1830"/>
    <w:rsid w:val="00EE210B"/>
    <w:rsid w:val="00EE22F4"/>
    <w:rsid w:val="00EE246A"/>
    <w:rsid w:val="00EE2484"/>
    <w:rsid w:val="00EE26E7"/>
    <w:rsid w:val="00EE282F"/>
    <w:rsid w:val="00EE2D84"/>
    <w:rsid w:val="00EE3060"/>
    <w:rsid w:val="00EE3150"/>
    <w:rsid w:val="00EE323D"/>
    <w:rsid w:val="00EE3257"/>
    <w:rsid w:val="00EE3703"/>
    <w:rsid w:val="00EE3731"/>
    <w:rsid w:val="00EE3837"/>
    <w:rsid w:val="00EE3B4B"/>
    <w:rsid w:val="00EE4119"/>
    <w:rsid w:val="00EE42B3"/>
    <w:rsid w:val="00EE4434"/>
    <w:rsid w:val="00EE4559"/>
    <w:rsid w:val="00EE493C"/>
    <w:rsid w:val="00EE4AB5"/>
    <w:rsid w:val="00EE4BFB"/>
    <w:rsid w:val="00EE50F0"/>
    <w:rsid w:val="00EE5287"/>
    <w:rsid w:val="00EE5317"/>
    <w:rsid w:val="00EE54FC"/>
    <w:rsid w:val="00EE5521"/>
    <w:rsid w:val="00EE5E5C"/>
    <w:rsid w:val="00EE5F20"/>
    <w:rsid w:val="00EE5FD4"/>
    <w:rsid w:val="00EE6238"/>
    <w:rsid w:val="00EE668F"/>
    <w:rsid w:val="00EE66E8"/>
    <w:rsid w:val="00EE677F"/>
    <w:rsid w:val="00EE6905"/>
    <w:rsid w:val="00EE6BFC"/>
    <w:rsid w:val="00EE6D83"/>
    <w:rsid w:val="00EE6E39"/>
    <w:rsid w:val="00EE770F"/>
    <w:rsid w:val="00EE7C01"/>
    <w:rsid w:val="00EE7F7F"/>
    <w:rsid w:val="00EF053C"/>
    <w:rsid w:val="00EF0879"/>
    <w:rsid w:val="00EF0A1E"/>
    <w:rsid w:val="00EF0ADB"/>
    <w:rsid w:val="00EF0CDA"/>
    <w:rsid w:val="00EF0CE1"/>
    <w:rsid w:val="00EF0E4D"/>
    <w:rsid w:val="00EF1384"/>
    <w:rsid w:val="00EF1835"/>
    <w:rsid w:val="00EF1A61"/>
    <w:rsid w:val="00EF1B23"/>
    <w:rsid w:val="00EF1F58"/>
    <w:rsid w:val="00EF2222"/>
    <w:rsid w:val="00EF243B"/>
    <w:rsid w:val="00EF2852"/>
    <w:rsid w:val="00EF2B03"/>
    <w:rsid w:val="00EF2C21"/>
    <w:rsid w:val="00EF2C69"/>
    <w:rsid w:val="00EF2FBF"/>
    <w:rsid w:val="00EF30FB"/>
    <w:rsid w:val="00EF31C9"/>
    <w:rsid w:val="00EF35D4"/>
    <w:rsid w:val="00EF3675"/>
    <w:rsid w:val="00EF3800"/>
    <w:rsid w:val="00EF3ACE"/>
    <w:rsid w:val="00EF3CD9"/>
    <w:rsid w:val="00EF406C"/>
    <w:rsid w:val="00EF4286"/>
    <w:rsid w:val="00EF4550"/>
    <w:rsid w:val="00EF4A67"/>
    <w:rsid w:val="00EF4AA5"/>
    <w:rsid w:val="00EF4F6F"/>
    <w:rsid w:val="00EF4FED"/>
    <w:rsid w:val="00EF50A4"/>
    <w:rsid w:val="00EF5305"/>
    <w:rsid w:val="00EF564A"/>
    <w:rsid w:val="00EF5891"/>
    <w:rsid w:val="00EF5AFD"/>
    <w:rsid w:val="00EF5BE3"/>
    <w:rsid w:val="00EF5FC3"/>
    <w:rsid w:val="00EF6015"/>
    <w:rsid w:val="00EF648C"/>
    <w:rsid w:val="00EF678F"/>
    <w:rsid w:val="00EF6E90"/>
    <w:rsid w:val="00EF6F73"/>
    <w:rsid w:val="00EF6FB8"/>
    <w:rsid w:val="00EF74F8"/>
    <w:rsid w:val="00EF7532"/>
    <w:rsid w:val="00EF7569"/>
    <w:rsid w:val="00EF77D7"/>
    <w:rsid w:val="00EF7838"/>
    <w:rsid w:val="00EF78E6"/>
    <w:rsid w:val="00EF7B9D"/>
    <w:rsid w:val="00F00148"/>
    <w:rsid w:val="00F0063F"/>
    <w:rsid w:val="00F0082D"/>
    <w:rsid w:val="00F0092C"/>
    <w:rsid w:val="00F011A7"/>
    <w:rsid w:val="00F015E4"/>
    <w:rsid w:val="00F0190E"/>
    <w:rsid w:val="00F01AB4"/>
    <w:rsid w:val="00F01ED6"/>
    <w:rsid w:val="00F0208F"/>
    <w:rsid w:val="00F0217E"/>
    <w:rsid w:val="00F02246"/>
    <w:rsid w:val="00F0228D"/>
    <w:rsid w:val="00F02798"/>
    <w:rsid w:val="00F02A1D"/>
    <w:rsid w:val="00F02DAC"/>
    <w:rsid w:val="00F02E44"/>
    <w:rsid w:val="00F032A9"/>
    <w:rsid w:val="00F03FDF"/>
    <w:rsid w:val="00F04038"/>
    <w:rsid w:val="00F0438D"/>
    <w:rsid w:val="00F045B4"/>
    <w:rsid w:val="00F048AD"/>
    <w:rsid w:val="00F04DD5"/>
    <w:rsid w:val="00F056CF"/>
    <w:rsid w:val="00F05A66"/>
    <w:rsid w:val="00F05C9B"/>
    <w:rsid w:val="00F061D5"/>
    <w:rsid w:val="00F063BF"/>
    <w:rsid w:val="00F066E7"/>
    <w:rsid w:val="00F068DC"/>
    <w:rsid w:val="00F06B03"/>
    <w:rsid w:val="00F06B04"/>
    <w:rsid w:val="00F06E68"/>
    <w:rsid w:val="00F06EC9"/>
    <w:rsid w:val="00F07009"/>
    <w:rsid w:val="00F0702D"/>
    <w:rsid w:val="00F07410"/>
    <w:rsid w:val="00F07606"/>
    <w:rsid w:val="00F07707"/>
    <w:rsid w:val="00F0770B"/>
    <w:rsid w:val="00F07A45"/>
    <w:rsid w:val="00F07AE0"/>
    <w:rsid w:val="00F07C76"/>
    <w:rsid w:val="00F07C90"/>
    <w:rsid w:val="00F07D7B"/>
    <w:rsid w:val="00F07DE9"/>
    <w:rsid w:val="00F07F5B"/>
    <w:rsid w:val="00F100D2"/>
    <w:rsid w:val="00F1037E"/>
    <w:rsid w:val="00F1058C"/>
    <w:rsid w:val="00F10A16"/>
    <w:rsid w:val="00F10ABC"/>
    <w:rsid w:val="00F10C3A"/>
    <w:rsid w:val="00F10DBE"/>
    <w:rsid w:val="00F110BB"/>
    <w:rsid w:val="00F1131C"/>
    <w:rsid w:val="00F116C1"/>
    <w:rsid w:val="00F11888"/>
    <w:rsid w:val="00F11967"/>
    <w:rsid w:val="00F11C1D"/>
    <w:rsid w:val="00F11E09"/>
    <w:rsid w:val="00F122AE"/>
    <w:rsid w:val="00F12688"/>
    <w:rsid w:val="00F1287C"/>
    <w:rsid w:val="00F12946"/>
    <w:rsid w:val="00F12AD3"/>
    <w:rsid w:val="00F12C3F"/>
    <w:rsid w:val="00F12DEE"/>
    <w:rsid w:val="00F12E79"/>
    <w:rsid w:val="00F1348A"/>
    <w:rsid w:val="00F13737"/>
    <w:rsid w:val="00F1376B"/>
    <w:rsid w:val="00F13A75"/>
    <w:rsid w:val="00F13CA0"/>
    <w:rsid w:val="00F13D4E"/>
    <w:rsid w:val="00F13E59"/>
    <w:rsid w:val="00F13E9C"/>
    <w:rsid w:val="00F1435E"/>
    <w:rsid w:val="00F14497"/>
    <w:rsid w:val="00F144B7"/>
    <w:rsid w:val="00F146D8"/>
    <w:rsid w:val="00F147F0"/>
    <w:rsid w:val="00F14926"/>
    <w:rsid w:val="00F14A65"/>
    <w:rsid w:val="00F14ED1"/>
    <w:rsid w:val="00F152ED"/>
    <w:rsid w:val="00F156B0"/>
    <w:rsid w:val="00F1581D"/>
    <w:rsid w:val="00F15CD7"/>
    <w:rsid w:val="00F15D0D"/>
    <w:rsid w:val="00F15E42"/>
    <w:rsid w:val="00F15EF0"/>
    <w:rsid w:val="00F160D7"/>
    <w:rsid w:val="00F1641F"/>
    <w:rsid w:val="00F16497"/>
    <w:rsid w:val="00F165CE"/>
    <w:rsid w:val="00F1665B"/>
    <w:rsid w:val="00F16813"/>
    <w:rsid w:val="00F17020"/>
    <w:rsid w:val="00F170C1"/>
    <w:rsid w:val="00F17134"/>
    <w:rsid w:val="00F17300"/>
    <w:rsid w:val="00F17619"/>
    <w:rsid w:val="00F17851"/>
    <w:rsid w:val="00F17C20"/>
    <w:rsid w:val="00F20029"/>
    <w:rsid w:val="00F20105"/>
    <w:rsid w:val="00F201D0"/>
    <w:rsid w:val="00F20469"/>
    <w:rsid w:val="00F20682"/>
    <w:rsid w:val="00F2084A"/>
    <w:rsid w:val="00F20A18"/>
    <w:rsid w:val="00F20F25"/>
    <w:rsid w:val="00F20F3B"/>
    <w:rsid w:val="00F21370"/>
    <w:rsid w:val="00F2137F"/>
    <w:rsid w:val="00F21454"/>
    <w:rsid w:val="00F2176C"/>
    <w:rsid w:val="00F217A6"/>
    <w:rsid w:val="00F21844"/>
    <w:rsid w:val="00F219F6"/>
    <w:rsid w:val="00F21B4F"/>
    <w:rsid w:val="00F226AE"/>
    <w:rsid w:val="00F227B9"/>
    <w:rsid w:val="00F227FB"/>
    <w:rsid w:val="00F22902"/>
    <w:rsid w:val="00F229FA"/>
    <w:rsid w:val="00F22CBE"/>
    <w:rsid w:val="00F22D14"/>
    <w:rsid w:val="00F23038"/>
    <w:rsid w:val="00F235D5"/>
    <w:rsid w:val="00F238DF"/>
    <w:rsid w:val="00F23968"/>
    <w:rsid w:val="00F23C91"/>
    <w:rsid w:val="00F23C99"/>
    <w:rsid w:val="00F23D9D"/>
    <w:rsid w:val="00F23EFC"/>
    <w:rsid w:val="00F23F36"/>
    <w:rsid w:val="00F23FA0"/>
    <w:rsid w:val="00F24557"/>
    <w:rsid w:val="00F245E7"/>
    <w:rsid w:val="00F24AA7"/>
    <w:rsid w:val="00F24D5D"/>
    <w:rsid w:val="00F253A7"/>
    <w:rsid w:val="00F2554E"/>
    <w:rsid w:val="00F25668"/>
    <w:rsid w:val="00F256BD"/>
    <w:rsid w:val="00F25A94"/>
    <w:rsid w:val="00F25B0C"/>
    <w:rsid w:val="00F25C71"/>
    <w:rsid w:val="00F25C72"/>
    <w:rsid w:val="00F25F10"/>
    <w:rsid w:val="00F26140"/>
    <w:rsid w:val="00F2633C"/>
    <w:rsid w:val="00F2634D"/>
    <w:rsid w:val="00F2657B"/>
    <w:rsid w:val="00F2675C"/>
    <w:rsid w:val="00F2688E"/>
    <w:rsid w:val="00F26937"/>
    <w:rsid w:val="00F2699C"/>
    <w:rsid w:val="00F26C4E"/>
    <w:rsid w:val="00F26FD7"/>
    <w:rsid w:val="00F27226"/>
    <w:rsid w:val="00F272E4"/>
    <w:rsid w:val="00F276DE"/>
    <w:rsid w:val="00F279A2"/>
    <w:rsid w:val="00F27D6E"/>
    <w:rsid w:val="00F27EE7"/>
    <w:rsid w:val="00F27F8F"/>
    <w:rsid w:val="00F30252"/>
    <w:rsid w:val="00F3027C"/>
    <w:rsid w:val="00F3036D"/>
    <w:rsid w:val="00F306FB"/>
    <w:rsid w:val="00F3081A"/>
    <w:rsid w:val="00F30A74"/>
    <w:rsid w:val="00F30DEF"/>
    <w:rsid w:val="00F3140E"/>
    <w:rsid w:val="00F31582"/>
    <w:rsid w:val="00F3174C"/>
    <w:rsid w:val="00F31908"/>
    <w:rsid w:val="00F31976"/>
    <w:rsid w:val="00F319D5"/>
    <w:rsid w:val="00F31C51"/>
    <w:rsid w:val="00F32042"/>
    <w:rsid w:val="00F32236"/>
    <w:rsid w:val="00F32264"/>
    <w:rsid w:val="00F32955"/>
    <w:rsid w:val="00F32BDC"/>
    <w:rsid w:val="00F32FF3"/>
    <w:rsid w:val="00F33082"/>
    <w:rsid w:val="00F330AC"/>
    <w:rsid w:val="00F33177"/>
    <w:rsid w:val="00F33193"/>
    <w:rsid w:val="00F33310"/>
    <w:rsid w:val="00F33337"/>
    <w:rsid w:val="00F33368"/>
    <w:rsid w:val="00F3336E"/>
    <w:rsid w:val="00F33CD8"/>
    <w:rsid w:val="00F342F2"/>
    <w:rsid w:val="00F34328"/>
    <w:rsid w:val="00F3436F"/>
    <w:rsid w:val="00F343BB"/>
    <w:rsid w:val="00F343CC"/>
    <w:rsid w:val="00F343EF"/>
    <w:rsid w:val="00F34493"/>
    <w:rsid w:val="00F344CA"/>
    <w:rsid w:val="00F345AC"/>
    <w:rsid w:val="00F34638"/>
    <w:rsid w:val="00F347A4"/>
    <w:rsid w:val="00F34D55"/>
    <w:rsid w:val="00F350F6"/>
    <w:rsid w:val="00F353DC"/>
    <w:rsid w:val="00F355BF"/>
    <w:rsid w:val="00F357FD"/>
    <w:rsid w:val="00F35C74"/>
    <w:rsid w:val="00F35D9C"/>
    <w:rsid w:val="00F35EB2"/>
    <w:rsid w:val="00F360F7"/>
    <w:rsid w:val="00F361F9"/>
    <w:rsid w:val="00F36476"/>
    <w:rsid w:val="00F3649A"/>
    <w:rsid w:val="00F366F3"/>
    <w:rsid w:val="00F369B2"/>
    <w:rsid w:val="00F369BC"/>
    <w:rsid w:val="00F36ABA"/>
    <w:rsid w:val="00F36C63"/>
    <w:rsid w:val="00F370A5"/>
    <w:rsid w:val="00F37262"/>
    <w:rsid w:val="00F3731C"/>
    <w:rsid w:val="00F37A94"/>
    <w:rsid w:val="00F403DA"/>
    <w:rsid w:val="00F40423"/>
    <w:rsid w:val="00F405E4"/>
    <w:rsid w:val="00F40787"/>
    <w:rsid w:val="00F408A3"/>
    <w:rsid w:val="00F40A41"/>
    <w:rsid w:val="00F40F3C"/>
    <w:rsid w:val="00F41198"/>
    <w:rsid w:val="00F416A2"/>
    <w:rsid w:val="00F4189E"/>
    <w:rsid w:val="00F419C2"/>
    <w:rsid w:val="00F41C13"/>
    <w:rsid w:val="00F421EE"/>
    <w:rsid w:val="00F4226E"/>
    <w:rsid w:val="00F424ED"/>
    <w:rsid w:val="00F426DC"/>
    <w:rsid w:val="00F43168"/>
    <w:rsid w:val="00F43277"/>
    <w:rsid w:val="00F433D4"/>
    <w:rsid w:val="00F43754"/>
    <w:rsid w:val="00F43856"/>
    <w:rsid w:val="00F4433E"/>
    <w:rsid w:val="00F443E8"/>
    <w:rsid w:val="00F44460"/>
    <w:rsid w:val="00F44489"/>
    <w:rsid w:val="00F444CE"/>
    <w:rsid w:val="00F44A15"/>
    <w:rsid w:val="00F44E90"/>
    <w:rsid w:val="00F44F3C"/>
    <w:rsid w:val="00F4537C"/>
    <w:rsid w:val="00F458A9"/>
    <w:rsid w:val="00F45B37"/>
    <w:rsid w:val="00F4605E"/>
    <w:rsid w:val="00F460F6"/>
    <w:rsid w:val="00F461CF"/>
    <w:rsid w:val="00F465E1"/>
    <w:rsid w:val="00F46847"/>
    <w:rsid w:val="00F468E8"/>
    <w:rsid w:val="00F46A9B"/>
    <w:rsid w:val="00F46CE1"/>
    <w:rsid w:val="00F470AF"/>
    <w:rsid w:val="00F471C4"/>
    <w:rsid w:val="00F473A4"/>
    <w:rsid w:val="00F474EF"/>
    <w:rsid w:val="00F47583"/>
    <w:rsid w:val="00F476AD"/>
    <w:rsid w:val="00F47803"/>
    <w:rsid w:val="00F47F72"/>
    <w:rsid w:val="00F47F87"/>
    <w:rsid w:val="00F505FE"/>
    <w:rsid w:val="00F50619"/>
    <w:rsid w:val="00F50AF8"/>
    <w:rsid w:val="00F50CC6"/>
    <w:rsid w:val="00F50E3B"/>
    <w:rsid w:val="00F511AC"/>
    <w:rsid w:val="00F51EC1"/>
    <w:rsid w:val="00F52089"/>
    <w:rsid w:val="00F520D8"/>
    <w:rsid w:val="00F52375"/>
    <w:rsid w:val="00F524B0"/>
    <w:rsid w:val="00F528A1"/>
    <w:rsid w:val="00F528B9"/>
    <w:rsid w:val="00F52A8A"/>
    <w:rsid w:val="00F52BEA"/>
    <w:rsid w:val="00F52CC2"/>
    <w:rsid w:val="00F52CE0"/>
    <w:rsid w:val="00F52D03"/>
    <w:rsid w:val="00F52E83"/>
    <w:rsid w:val="00F52F42"/>
    <w:rsid w:val="00F5311E"/>
    <w:rsid w:val="00F5312A"/>
    <w:rsid w:val="00F531C2"/>
    <w:rsid w:val="00F53713"/>
    <w:rsid w:val="00F53872"/>
    <w:rsid w:val="00F53993"/>
    <w:rsid w:val="00F53ACE"/>
    <w:rsid w:val="00F53CB1"/>
    <w:rsid w:val="00F53EB9"/>
    <w:rsid w:val="00F53F5D"/>
    <w:rsid w:val="00F53F9F"/>
    <w:rsid w:val="00F546E2"/>
    <w:rsid w:val="00F54790"/>
    <w:rsid w:val="00F54915"/>
    <w:rsid w:val="00F54966"/>
    <w:rsid w:val="00F54B00"/>
    <w:rsid w:val="00F54DD8"/>
    <w:rsid w:val="00F550DF"/>
    <w:rsid w:val="00F55239"/>
    <w:rsid w:val="00F553AC"/>
    <w:rsid w:val="00F55492"/>
    <w:rsid w:val="00F55D4D"/>
    <w:rsid w:val="00F563BF"/>
    <w:rsid w:val="00F56443"/>
    <w:rsid w:val="00F564E0"/>
    <w:rsid w:val="00F56CDE"/>
    <w:rsid w:val="00F56DCE"/>
    <w:rsid w:val="00F56EF3"/>
    <w:rsid w:val="00F57170"/>
    <w:rsid w:val="00F57BD4"/>
    <w:rsid w:val="00F57D5F"/>
    <w:rsid w:val="00F57E6B"/>
    <w:rsid w:val="00F57F01"/>
    <w:rsid w:val="00F60010"/>
    <w:rsid w:val="00F60167"/>
    <w:rsid w:val="00F60261"/>
    <w:rsid w:val="00F6053A"/>
    <w:rsid w:val="00F609A0"/>
    <w:rsid w:val="00F60EC1"/>
    <w:rsid w:val="00F60ED2"/>
    <w:rsid w:val="00F61959"/>
    <w:rsid w:val="00F61BEE"/>
    <w:rsid w:val="00F61F4D"/>
    <w:rsid w:val="00F62089"/>
    <w:rsid w:val="00F6258E"/>
    <w:rsid w:val="00F62AE3"/>
    <w:rsid w:val="00F62B01"/>
    <w:rsid w:val="00F62BEC"/>
    <w:rsid w:val="00F62CCA"/>
    <w:rsid w:val="00F62CED"/>
    <w:rsid w:val="00F62D88"/>
    <w:rsid w:val="00F62E06"/>
    <w:rsid w:val="00F62F3F"/>
    <w:rsid w:val="00F630C0"/>
    <w:rsid w:val="00F63172"/>
    <w:rsid w:val="00F63326"/>
    <w:rsid w:val="00F63925"/>
    <w:rsid w:val="00F63A07"/>
    <w:rsid w:val="00F63C09"/>
    <w:rsid w:val="00F64108"/>
    <w:rsid w:val="00F64217"/>
    <w:rsid w:val="00F6433A"/>
    <w:rsid w:val="00F6460F"/>
    <w:rsid w:val="00F64BEE"/>
    <w:rsid w:val="00F64CBD"/>
    <w:rsid w:val="00F65046"/>
    <w:rsid w:val="00F6525F"/>
    <w:rsid w:val="00F652B6"/>
    <w:rsid w:val="00F656D6"/>
    <w:rsid w:val="00F65C23"/>
    <w:rsid w:val="00F65EFF"/>
    <w:rsid w:val="00F660A1"/>
    <w:rsid w:val="00F6629D"/>
    <w:rsid w:val="00F664E3"/>
    <w:rsid w:val="00F665C7"/>
    <w:rsid w:val="00F66813"/>
    <w:rsid w:val="00F66B0C"/>
    <w:rsid w:val="00F66B9F"/>
    <w:rsid w:val="00F66CF0"/>
    <w:rsid w:val="00F66EC1"/>
    <w:rsid w:val="00F66F1E"/>
    <w:rsid w:val="00F67242"/>
    <w:rsid w:val="00F679E7"/>
    <w:rsid w:val="00F700DB"/>
    <w:rsid w:val="00F70227"/>
    <w:rsid w:val="00F70411"/>
    <w:rsid w:val="00F7057B"/>
    <w:rsid w:val="00F706C1"/>
    <w:rsid w:val="00F70911"/>
    <w:rsid w:val="00F709F3"/>
    <w:rsid w:val="00F70C72"/>
    <w:rsid w:val="00F70EEC"/>
    <w:rsid w:val="00F70FB8"/>
    <w:rsid w:val="00F71373"/>
    <w:rsid w:val="00F713CA"/>
    <w:rsid w:val="00F71A0E"/>
    <w:rsid w:val="00F71C35"/>
    <w:rsid w:val="00F71E21"/>
    <w:rsid w:val="00F7208D"/>
    <w:rsid w:val="00F721AF"/>
    <w:rsid w:val="00F7220C"/>
    <w:rsid w:val="00F72406"/>
    <w:rsid w:val="00F7268D"/>
    <w:rsid w:val="00F72842"/>
    <w:rsid w:val="00F72CAF"/>
    <w:rsid w:val="00F72D77"/>
    <w:rsid w:val="00F72F81"/>
    <w:rsid w:val="00F73324"/>
    <w:rsid w:val="00F73448"/>
    <w:rsid w:val="00F7346C"/>
    <w:rsid w:val="00F73523"/>
    <w:rsid w:val="00F737C6"/>
    <w:rsid w:val="00F73931"/>
    <w:rsid w:val="00F7399C"/>
    <w:rsid w:val="00F740B5"/>
    <w:rsid w:val="00F7467D"/>
    <w:rsid w:val="00F74A3F"/>
    <w:rsid w:val="00F74C9A"/>
    <w:rsid w:val="00F74E3A"/>
    <w:rsid w:val="00F74E6A"/>
    <w:rsid w:val="00F74FA7"/>
    <w:rsid w:val="00F7546C"/>
    <w:rsid w:val="00F75682"/>
    <w:rsid w:val="00F75809"/>
    <w:rsid w:val="00F7589D"/>
    <w:rsid w:val="00F759E3"/>
    <w:rsid w:val="00F75B7B"/>
    <w:rsid w:val="00F75D27"/>
    <w:rsid w:val="00F760B1"/>
    <w:rsid w:val="00F76226"/>
    <w:rsid w:val="00F7622E"/>
    <w:rsid w:val="00F76432"/>
    <w:rsid w:val="00F764A3"/>
    <w:rsid w:val="00F7662A"/>
    <w:rsid w:val="00F76DDD"/>
    <w:rsid w:val="00F76DFD"/>
    <w:rsid w:val="00F76E78"/>
    <w:rsid w:val="00F76F71"/>
    <w:rsid w:val="00F77190"/>
    <w:rsid w:val="00F77376"/>
    <w:rsid w:val="00F7798B"/>
    <w:rsid w:val="00F77B77"/>
    <w:rsid w:val="00F77ECA"/>
    <w:rsid w:val="00F800EC"/>
    <w:rsid w:val="00F80551"/>
    <w:rsid w:val="00F8089D"/>
    <w:rsid w:val="00F80AE5"/>
    <w:rsid w:val="00F80D9B"/>
    <w:rsid w:val="00F80F5C"/>
    <w:rsid w:val="00F81793"/>
    <w:rsid w:val="00F819D8"/>
    <w:rsid w:val="00F81C54"/>
    <w:rsid w:val="00F81EA3"/>
    <w:rsid w:val="00F82258"/>
    <w:rsid w:val="00F8243D"/>
    <w:rsid w:val="00F8269D"/>
    <w:rsid w:val="00F827BF"/>
    <w:rsid w:val="00F8286F"/>
    <w:rsid w:val="00F828A2"/>
    <w:rsid w:val="00F829DE"/>
    <w:rsid w:val="00F82B6D"/>
    <w:rsid w:val="00F82C26"/>
    <w:rsid w:val="00F82DDA"/>
    <w:rsid w:val="00F8321A"/>
    <w:rsid w:val="00F83564"/>
    <w:rsid w:val="00F835AB"/>
    <w:rsid w:val="00F83A03"/>
    <w:rsid w:val="00F83AB4"/>
    <w:rsid w:val="00F83B59"/>
    <w:rsid w:val="00F83D60"/>
    <w:rsid w:val="00F83E60"/>
    <w:rsid w:val="00F8432D"/>
    <w:rsid w:val="00F845E7"/>
    <w:rsid w:val="00F84618"/>
    <w:rsid w:val="00F84CCF"/>
    <w:rsid w:val="00F84DC3"/>
    <w:rsid w:val="00F85482"/>
    <w:rsid w:val="00F85487"/>
    <w:rsid w:val="00F854BA"/>
    <w:rsid w:val="00F859B6"/>
    <w:rsid w:val="00F86243"/>
    <w:rsid w:val="00F86263"/>
    <w:rsid w:val="00F86358"/>
    <w:rsid w:val="00F863A3"/>
    <w:rsid w:val="00F863D0"/>
    <w:rsid w:val="00F86585"/>
    <w:rsid w:val="00F86754"/>
    <w:rsid w:val="00F86832"/>
    <w:rsid w:val="00F8683F"/>
    <w:rsid w:val="00F86927"/>
    <w:rsid w:val="00F86944"/>
    <w:rsid w:val="00F869E5"/>
    <w:rsid w:val="00F86AE6"/>
    <w:rsid w:val="00F86E05"/>
    <w:rsid w:val="00F86E72"/>
    <w:rsid w:val="00F87579"/>
    <w:rsid w:val="00F8776D"/>
    <w:rsid w:val="00F87B00"/>
    <w:rsid w:val="00F87D28"/>
    <w:rsid w:val="00F87E1C"/>
    <w:rsid w:val="00F87E95"/>
    <w:rsid w:val="00F90132"/>
    <w:rsid w:val="00F901C3"/>
    <w:rsid w:val="00F91352"/>
    <w:rsid w:val="00F9151D"/>
    <w:rsid w:val="00F918BA"/>
    <w:rsid w:val="00F91A11"/>
    <w:rsid w:val="00F92256"/>
    <w:rsid w:val="00F92279"/>
    <w:rsid w:val="00F92685"/>
    <w:rsid w:val="00F92768"/>
    <w:rsid w:val="00F92997"/>
    <w:rsid w:val="00F92A9E"/>
    <w:rsid w:val="00F92E90"/>
    <w:rsid w:val="00F92F2D"/>
    <w:rsid w:val="00F92FCA"/>
    <w:rsid w:val="00F92FF4"/>
    <w:rsid w:val="00F933FE"/>
    <w:rsid w:val="00F933FF"/>
    <w:rsid w:val="00F93B46"/>
    <w:rsid w:val="00F93B65"/>
    <w:rsid w:val="00F93E25"/>
    <w:rsid w:val="00F93EF2"/>
    <w:rsid w:val="00F941A8"/>
    <w:rsid w:val="00F94423"/>
    <w:rsid w:val="00F94494"/>
    <w:rsid w:val="00F945E4"/>
    <w:rsid w:val="00F946B1"/>
    <w:rsid w:val="00F946B5"/>
    <w:rsid w:val="00F946D0"/>
    <w:rsid w:val="00F94B1D"/>
    <w:rsid w:val="00F94E27"/>
    <w:rsid w:val="00F94F19"/>
    <w:rsid w:val="00F95447"/>
    <w:rsid w:val="00F95477"/>
    <w:rsid w:val="00F9552A"/>
    <w:rsid w:val="00F958E8"/>
    <w:rsid w:val="00F95A7B"/>
    <w:rsid w:val="00F95FA3"/>
    <w:rsid w:val="00F96098"/>
    <w:rsid w:val="00F961DC"/>
    <w:rsid w:val="00F964A9"/>
    <w:rsid w:val="00F96816"/>
    <w:rsid w:val="00F96932"/>
    <w:rsid w:val="00F96B75"/>
    <w:rsid w:val="00F96FA6"/>
    <w:rsid w:val="00F9734E"/>
    <w:rsid w:val="00F973A9"/>
    <w:rsid w:val="00F9747D"/>
    <w:rsid w:val="00F976D7"/>
    <w:rsid w:val="00F979D6"/>
    <w:rsid w:val="00F97C42"/>
    <w:rsid w:val="00F97F63"/>
    <w:rsid w:val="00FA023D"/>
    <w:rsid w:val="00FA03C9"/>
    <w:rsid w:val="00FA045D"/>
    <w:rsid w:val="00FA055F"/>
    <w:rsid w:val="00FA0947"/>
    <w:rsid w:val="00FA0C67"/>
    <w:rsid w:val="00FA0D0F"/>
    <w:rsid w:val="00FA0D60"/>
    <w:rsid w:val="00FA14B4"/>
    <w:rsid w:val="00FA163D"/>
    <w:rsid w:val="00FA1884"/>
    <w:rsid w:val="00FA19DB"/>
    <w:rsid w:val="00FA1A33"/>
    <w:rsid w:val="00FA1F51"/>
    <w:rsid w:val="00FA1FFD"/>
    <w:rsid w:val="00FA2166"/>
    <w:rsid w:val="00FA221C"/>
    <w:rsid w:val="00FA25D8"/>
    <w:rsid w:val="00FA2A29"/>
    <w:rsid w:val="00FA2AFF"/>
    <w:rsid w:val="00FA2C9C"/>
    <w:rsid w:val="00FA335B"/>
    <w:rsid w:val="00FA3433"/>
    <w:rsid w:val="00FA3534"/>
    <w:rsid w:val="00FA3590"/>
    <w:rsid w:val="00FA3795"/>
    <w:rsid w:val="00FA3F20"/>
    <w:rsid w:val="00FA3FB5"/>
    <w:rsid w:val="00FA409A"/>
    <w:rsid w:val="00FA4120"/>
    <w:rsid w:val="00FA4CBE"/>
    <w:rsid w:val="00FA4F36"/>
    <w:rsid w:val="00FA5397"/>
    <w:rsid w:val="00FA5713"/>
    <w:rsid w:val="00FA57F9"/>
    <w:rsid w:val="00FA5B66"/>
    <w:rsid w:val="00FA5BB4"/>
    <w:rsid w:val="00FA5CA1"/>
    <w:rsid w:val="00FA61EE"/>
    <w:rsid w:val="00FA642E"/>
    <w:rsid w:val="00FA649E"/>
    <w:rsid w:val="00FA64A0"/>
    <w:rsid w:val="00FA66D6"/>
    <w:rsid w:val="00FA6A0C"/>
    <w:rsid w:val="00FA6A22"/>
    <w:rsid w:val="00FA6A42"/>
    <w:rsid w:val="00FA6E59"/>
    <w:rsid w:val="00FA6F7B"/>
    <w:rsid w:val="00FA719F"/>
    <w:rsid w:val="00FA7379"/>
    <w:rsid w:val="00FA76E7"/>
    <w:rsid w:val="00FA7C19"/>
    <w:rsid w:val="00FA7CB5"/>
    <w:rsid w:val="00FA7EBE"/>
    <w:rsid w:val="00FA7F44"/>
    <w:rsid w:val="00FB0089"/>
    <w:rsid w:val="00FB0165"/>
    <w:rsid w:val="00FB0276"/>
    <w:rsid w:val="00FB03C8"/>
    <w:rsid w:val="00FB06F2"/>
    <w:rsid w:val="00FB07E4"/>
    <w:rsid w:val="00FB080E"/>
    <w:rsid w:val="00FB08C8"/>
    <w:rsid w:val="00FB0B64"/>
    <w:rsid w:val="00FB12A2"/>
    <w:rsid w:val="00FB1FE3"/>
    <w:rsid w:val="00FB21CB"/>
    <w:rsid w:val="00FB24E2"/>
    <w:rsid w:val="00FB259A"/>
    <w:rsid w:val="00FB28C6"/>
    <w:rsid w:val="00FB2FCE"/>
    <w:rsid w:val="00FB3018"/>
    <w:rsid w:val="00FB330A"/>
    <w:rsid w:val="00FB345B"/>
    <w:rsid w:val="00FB358A"/>
    <w:rsid w:val="00FB3787"/>
    <w:rsid w:val="00FB3CA3"/>
    <w:rsid w:val="00FB3CE6"/>
    <w:rsid w:val="00FB4184"/>
    <w:rsid w:val="00FB4269"/>
    <w:rsid w:val="00FB47B7"/>
    <w:rsid w:val="00FB4810"/>
    <w:rsid w:val="00FB4981"/>
    <w:rsid w:val="00FB4B34"/>
    <w:rsid w:val="00FB4C64"/>
    <w:rsid w:val="00FB506C"/>
    <w:rsid w:val="00FB51A6"/>
    <w:rsid w:val="00FB52E0"/>
    <w:rsid w:val="00FB559C"/>
    <w:rsid w:val="00FB55BD"/>
    <w:rsid w:val="00FB56F4"/>
    <w:rsid w:val="00FB5A6C"/>
    <w:rsid w:val="00FB5CAC"/>
    <w:rsid w:val="00FB6266"/>
    <w:rsid w:val="00FB62E4"/>
    <w:rsid w:val="00FB63CC"/>
    <w:rsid w:val="00FB64AA"/>
    <w:rsid w:val="00FB6C72"/>
    <w:rsid w:val="00FB6FE9"/>
    <w:rsid w:val="00FB7200"/>
    <w:rsid w:val="00FB76B9"/>
    <w:rsid w:val="00FB7849"/>
    <w:rsid w:val="00FB7968"/>
    <w:rsid w:val="00FB7979"/>
    <w:rsid w:val="00FC00B5"/>
    <w:rsid w:val="00FC04E0"/>
    <w:rsid w:val="00FC05E2"/>
    <w:rsid w:val="00FC07FA"/>
    <w:rsid w:val="00FC08D3"/>
    <w:rsid w:val="00FC09DE"/>
    <w:rsid w:val="00FC0C90"/>
    <w:rsid w:val="00FC1058"/>
    <w:rsid w:val="00FC1660"/>
    <w:rsid w:val="00FC184B"/>
    <w:rsid w:val="00FC1C8B"/>
    <w:rsid w:val="00FC1DEA"/>
    <w:rsid w:val="00FC1F63"/>
    <w:rsid w:val="00FC207D"/>
    <w:rsid w:val="00FC23F5"/>
    <w:rsid w:val="00FC2568"/>
    <w:rsid w:val="00FC2672"/>
    <w:rsid w:val="00FC274F"/>
    <w:rsid w:val="00FC295B"/>
    <w:rsid w:val="00FC297C"/>
    <w:rsid w:val="00FC2992"/>
    <w:rsid w:val="00FC29EC"/>
    <w:rsid w:val="00FC2B91"/>
    <w:rsid w:val="00FC2BE1"/>
    <w:rsid w:val="00FC32E3"/>
    <w:rsid w:val="00FC3683"/>
    <w:rsid w:val="00FC3692"/>
    <w:rsid w:val="00FC3769"/>
    <w:rsid w:val="00FC383B"/>
    <w:rsid w:val="00FC3B0C"/>
    <w:rsid w:val="00FC3C5B"/>
    <w:rsid w:val="00FC3DC9"/>
    <w:rsid w:val="00FC3E1D"/>
    <w:rsid w:val="00FC42F7"/>
    <w:rsid w:val="00FC43AA"/>
    <w:rsid w:val="00FC44D5"/>
    <w:rsid w:val="00FC4943"/>
    <w:rsid w:val="00FC4C0E"/>
    <w:rsid w:val="00FC4DCF"/>
    <w:rsid w:val="00FC564A"/>
    <w:rsid w:val="00FC5FE6"/>
    <w:rsid w:val="00FC608D"/>
    <w:rsid w:val="00FC6517"/>
    <w:rsid w:val="00FC6646"/>
    <w:rsid w:val="00FC67A4"/>
    <w:rsid w:val="00FC6ADA"/>
    <w:rsid w:val="00FC6C7B"/>
    <w:rsid w:val="00FC6D59"/>
    <w:rsid w:val="00FC6DCA"/>
    <w:rsid w:val="00FC75BF"/>
    <w:rsid w:val="00FC764F"/>
    <w:rsid w:val="00FC782F"/>
    <w:rsid w:val="00FC78DA"/>
    <w:rsid w:val="00FC7BA4"/>
    <w:rsid w:val="00FC7D86"/>
    <w:rsid w:val="00FD02CF"/>
    <w:rsid w:val="00FD0696"/>
    <w:rsid w:val="00FD0818"/>
    <w:rsid w:val="00FD08DD"/>
    <w:rsid w:val="00FD0B17"/>
    <w:rsid w:val="00FD0B4C"/>
    <w:rsid w:val="00FD1063"/>
    <w:rsid w:val="00FD1A36"/>
    <w:rsid w:val="00FD1AD7"/>
    <w:rsid w:val="00FD1FA2"/>
    <w:rsid w:val="00FD201B"/>
    <w:rsid w:val="00FD213B"/>
    <w:rsid w:val="00FD2301"/>
    <w:rsid w:val="00FD2355"/>
    <w:rsid w:val="00FD251B"/>
    <w:rsid w:val="00FD2528"/>
    <w:rsid w:val="00FD260E"/>
    <w:rsid w:val="00FD268B"/>
    <w:rsid w:val="00FD2897"/>
    <w:rsid w:val="00FD2A86"/>
    <w:rsid w:val="00FD2B19"/>
    <w:rsid w:val="00FD305F"/>
    <w:rsid w:val="00FD3386"/>
    <w:rsid w:val="00FD3447"/>
    <w:rsid w:val="00FD35D3"/>
    <w:rsid w:val="00FD4129"/>
    <w:rsid w:val="00FD4581"/>
    <w:rsid w:val="00FD476F"/>
    <w:rsid w:val="00FD4BA6"/>
    <w:rsid w:val="00FD4CB3"/>
    <w:rsid w:val="00FD50BF"/>
    <w:rsid w:val="00FD527A"/>
    <w:rsid w:val="00FD52B7"/>
    <w:rsid w:val="00FD54ED"/>
    <w:rsid w:val="00FD55D6"/>
    <w:rsid w:val="00FD5716"/>
    <w:rsid w:val="00FD5795"/>
    <w:rsid w:val="00FD5827"/>
    <w:rsid w:val="00FD595F"/>
    <w:rsid w:val="00FD59F0"/>
    <w:rsid w:val="00FD605F"/>
    <w:rsid w:val="00FD65BA"/>
    <w:rsid w:val="00FD688E"/>
    <w:rsid w:val="00FD68A2"/>
    <w:rsid w:val="00FD6AD7"/>
    <w:rsid w:val="00FD6EEE"/>
    <w:rsid w:val="00FD6F86"/>
    <w:rsid w:val="00FD7434"/>
    <w:rsid w:val="00FD7D23"/>
    <w:rsid w:val="00FE0263"/>
    <w:rsid w:val="00FE09FC"/>
    <w:rsid w:val="00FE1591"/>
    <w:rsid w:val="00FE1879"/>
    <w:rsid w:val="00FE197B"/>
    <w:rsid w:val="00FE19D0"/>
    <w:rsid w:val="00FE1A73"/>
    <w:rsid w:val="00FE1CB4"/>
    <w:rsid w:val="00FE1E4B"/>
    <w:rsid w:val="00FE1EF6"/>
    <w:rsid w:val="00FE2090"/>
    <w:rsid w:val="00FE20D3"/>
    <w:rsid w:val="00FE21ED"/>
    <w:rsid w:val="00FE26D6"/>
    <w:rsid w:val="00FE2915"/>
    <w:rsid w:val="00FE2C75"/>
    <w:rsid w:val="00FE2F9E"/>
    <w:rsid w:val="00FE3622"/>
    <w:rsid w:val="00FE3A11"/>
    <w:rsid w:val="00FE3BD4"/>
    <w:rsid w:val="00FE3CDC"/>
    <w:rsid w:val="00FE3F0B"/>
    <w:rsid w:val="00FE3F52"/>
    <w:rsid w:val="00FE4386"/>
    <w:rsid w:val="00FE456D"/>
    <w:rsid w:val="00FE45E7"/>
    <w:rsid w:val="00FE46DE"/>
    <w:rsid w:val="00FE46F6"/>
    <w:rsid w:val="00FE4739"/>
    <w:rsid w:val="00FE492A"/>
    <w:rsid w:val="00FE4B17"/>
    <w:rsid w:val="00FE4B9C"/>
    <w:rsid w:val="00FE4BE9"/>
    <w:rsid w:val="00FE4CE7"/>
    <w:rsid w:val="00FE4F39"/>
    <w:rsid w:val="00FE515B"/>
    <w:rsid w:val="00FE523F"/>
    <w:rsid w:val="00FE525E"/>
    <w:rsid w:val="00FE549E"/>
    <w:rsid w:val="00FE54DA"/>
    <w:rsid w:val="00FE5E41"/>
    <w:rsid w:val="00FE6010"/>
    <w:rsid w:val="00FE672B"/>
    <w:rsid w:val="00FE6AC0"/>
    <w:rsid w:val="00FE710C"/>
    <w:rsid w:val="00FE7AE9"/>
    <w:rsid w:val="00FE7B7D"/>
    <w:rsid w:val="00FF0044"/>
    <w:rsid w:val="00FF02BE"/>
    <w:rsid w:val="00FF0347"/>
    <w:rsid w:val="00FF0458"/>
    <w:rsid w:val="00FF0B89"/>
    <w:rsid w:val="00FF0B95"/>
    <w:rsid w:val="00FF0D8A"/>
    <w:rsid w:val="00FF0F37"/>
    <w:rsid w:val="00FF0F6F"/>
    <w:rsid w:val="00FF190C"/>
    <w:rsid w:val="00FF1CCE"/>
    <w:rsid w:val="00FF21B0"/>
    <w:rsid w:val="00FF2391"/>
    <w:rsid w:val="00FF27A5"/>
    <w:rsid w:val="00FF2856"/>
    <w:rsid w:val="00FF2B48"/>
    <w:rsid w:val="00FF2C96"/>
    <w:rsid w:val="00FF2CE2"/>
    <w:rsid w:val="00FF2F95"/>
    <w:rsid w:val="00FF32DE"/>
    <w:rsid w:val="00FF33C4"/>
    <w:rsid w:val="00FF3AEE"/>
    <w:rsid w:val="00FF3B62"/>
    <w:rsid w:val="00FF3F1B"/>
    <w:rsid w:val="00FF3FFE"/>
    <w:rsid w:val="00FF404C"/>
    <w:rsid w:val="00FF410F"/>
    <w:rsid w:val="00FF41F2"/>
    <w:rsid w:val="00FF45D4"/>
    <w:rsid w:val="00FF4D48"/>
    <w:rsid w:val="00FF4EE8"/>
    <w:rsid w:val="00FF4F46"/>
    <w:rsid w:val="00FF5093"/>
    <w:rsid w:val="00FF5452"/>
    <w:rsid w:val="00FF5583"/>
    <w:rsid w:val="00FF56AF"/>
    <w:rsid w:val="00FF588F"/>
    <w:rsid w:val="00FF5C2D"/>
    <w:rsid w:val="00FF5C92"/>
    <w:rsid w:val="00FF5CFA"/>
    <w:rsid w:val="00FF5DBB"/>
    <w:rsid w:val="00FF5E8D"/>
    <w:rsid w:val="00FF6201"/>
    <w:rsid w:val="00FF62EE"/>
    <w:rsid w:val="00FF6308"/>
    <w:rsid w:val="00FF630E"/>
    <w:rsid w:val="00FF66C8"/>
    <w:rsid w:val="00FF67A5"/>
    <w:rsid w:val="00FF6BE8"/>
    <w:rsid w:val="00FF6D00"/>
    <w:rsid w:val="00FF6E62"/>
    <w:rsid w:val="00FF6F39"/>
    <w:rsid w:val="00FF6F79"/>
    <w:rsid w:val="00FF7226"/>
    <w:rsid w:val="00FF72DD"/>
    <w:rsid w:val="00FF7CF8"/>
    <w:rsid w:val="00FF7D50"/>
    <w:rsid w:val="00FF7D6A"/>
    <w:rsid w:val="012D0A05"/>
    <w:rsid w:val="01853A18"/>
    <w:rsid w:val="027A089E"/>
    <w:rsid w:val="0294D2A4"/>
    <w:rsid w:val="0335A677"/>
    <w:rsid w:val="0504FC8D"/>
    <w:rsid w:val="0586C5FF"/>
    <w:rsid w:val="058B800A"/>
    <w:rsid w:val="0691A8EF"/>
    <w:rsid w:val="07BAF00B"/>
    <w:rsid w:val="0812FE1C"/>
    <w:rsid w:val="0863ACDB"/>
    <w:rsid w:val="088C1E70"/>
    <w:rsid w:val="08D3713C"/>
    <w:rsid w:val="09488706"/>
    <w:rsid w:val="0974CAD0"/>
    <w:rsid w:val="097D3008"/>
    <w:rsid w:val="09F517E9"/>
    <w:rsid w:val="0A8FF227"/>
    <w:rsid w:val="0ABCE88E"/>
    <w:rsid w:val="0AC5402B"/>
    <w:rsid w:val="0B06EEBF"/>
    <w:rsid w:val="0BFBDD29"/>
    <w:rsid w:val="0C7EF460"/>
    <w:rsid w:val="0CB9024D"/>
    <w:rsid w:val="0D06300E"/>
    <w:rsid w:val="0D17BD09"/>
    <w:rsid w:val="0D3F4246"/>
    <w:rsid w:val="0D59BB14"/>
    <w:rsid w:val="0F656032"/>
    <w:rsid w:val="0F699E73"/>
    <w:rsid w:val="0FA796C6"/>
    <w:rsid w:val="102D50BC"/>
    <w:rsid w:val="104DAC3C"/>
    <w:rsid w:val="10931415"/>
    <w:rsid w:val="116B3450"/>
    <w:rsid w:val="1175CD3A"/>
    <w:rsid w:val="1176D50F"/>
    <w:rsid w:val="11FA2065"/>
    <w:rsid w:val="1229CA9E"/>
    <w:rsid w:val="1229E1CF"/>
    <w:rsid w:val="122C4F84"/>
    <w:rsid w:val="13225D5F"/>
    <w:rsid w:val="13602C64"/>
    <w:rsid w:val="136E8E88"/>
    <w:rsid w:val="14A256E8"/>
    <w:rsid w:val="152936D1"/>
    <w:rsid w:val="1563BB8E"/>
    <w:rsid w:val="159E45D4"/>
    <w:rsid w:val="15E4E95B"/>
    <w:rsid w:val="1623EDDB"/>
    <w:rsid w:val="167FFF8F"/>
    <w:rsid w:val="16AE9CF0"/>
    <w:rsid w:val="16E9CBD9"/>
    <w:rsid w:val="1729297C"/>
    <w:rsid w:val="17BBC620"/>
    <w:rsid w:val="180C0130"/>
    <w:rsid w:val="1823BC3D"/>
    <w:rsid w:val="18EFFBF4"/>
    <w:rsid w:val="193696CA"/>
    <w:rsid w:val="193C1F17"/>
    <w:rsid w:val="1A0E64AE"/>
    <w:rsid w:val="1AC3B66B"/>
    <w:rsid w:val="1B713B19"/>
    <w:rsid w:val="1B872BF2"/>
    <w:rsid w:val="1BE565ED"/>
    <w:rsid w:val="1C96888A"/>
    <w:rsid w:val="1CC1C34B"/>
    <w:rsid w:val="1D4CB697"/>
    <w:rsid w:val="1D55101D"/>
    <w:rsid w:val="1DFD36C0"/>
    <w:rsid w:val="1E5FE8E6"/>
    <w:rsid w:val="201148C4"/>
    <w:rsid w:val="201D43AA"/>
    <w:rsid w:val="202363AA"/>
    <w:rsid w:val="20610FAA"/>
    <w:rsid w:val="20D75770"/>
    <w:rsid w:val="21636E49"/>
    <w:rsid w:val="222EED15"/>
    <w:rsid w:val="22C6688A"/>
    <w:rsid w:val="232DDA71"/>
    <w:rsid w:val="23C0F790"/>
    <w:rsid w:val="24071BC5"/>
    <w:rsid w:val="248C5F70"/>
    <w:rsid w:val="24BCE880"/>
    <w:rsid w:val="25DFC8C5"/>
    <w:rsid w:val="262BFECE"/>
    <w:rsid w:val="26384BB0"/>
    <w:rsid w:val="2642D840"/>
    <w:rsid w:val="266B7A0F"/>
    <w:rsid w:val="279D1DEA"/>
    <w:rsid w:val="27E403FE"/>
    <w:rsid w:val="27FC839D"/>
    <w:rsid w:val="28002F5D"/>
    <w:rsid w:val="28042D20"/>
    <w:rsid w:val="282F779B"/>
    <w:rsid w:val="28A43554"/>
    <w:rsid w:val="28EF6E04"/>
    <w:rsid w:val="28F54639"/>
    <w:rsid w:val="298E4F90"/>
    <w:rsid w:val="2A06B6B1"/>
    <w:rsid w:val="2A764F94"/>
    <w:rsid w:val="2ADB9300"/>
    <w:rsid w:val="2AE87489"/>
    <w:rsid w:val="2B2B183C"/>
    <w:rsid w:val="2B47555D"/>
    <w:rsid w:val="2B4EAEB9"/>
    <w:rsid w:val="2BA5B02B"/>
    <w:rsid w:val="2BA7A225"/>
    <w:rsid w:val="2BB9B419"/>
    <w:rsid w:val="2BF21E22"/>
    <w:rsid w:val="2CAC2915"/>
    <w:rsid w:val="2D391F4E"/>
    <w:rsid w:val="2D3A74D8"/>
    <w:rsid w:val="2D3B523C"/>
    <w:rsid w:val="2E0E9DAE"/>
    <w:rsid w:val="2F6BBC7F"/>
    <w:rsid w:val="30FA933A"/>
    <w:rsid w:val="310C3B5B"/>
    <w:rsid w:val="320D0584"/>
    <w:rsid w:val="325549B1"/>
    <w:rsid w:val="330809B2"/>
    <w:rsid w:val="33E64D64"/>
    <w:rsid w:val="345FEE74"/>
    <w:rsid w:val="3472CE46"/>
    <w:rsid w:val="3532EA15"/>
    <w:rsid w:val="355149FC"/>
    <w:rsid w:val="359E2EEC"/>
    <w:rsid w:val="3604F1D3"/>
    <w:rsid w:val="37F2D1EA"/>
    <w:rsid w:val="380F54FD"/>
    <w:rsid w:val="381ACC97"/>
    <w:rsid w:val="38380BA8"/>
    <w:rsid w:val="384524EC"/>
    <w:rsid w:val="38BA643B"/>
    <w:rsid w:val="3A4983D7"/>
    <w:rsid w:val="3A94E69E"/>
    <w:rsid w:val="3B4C40A8"/>
    <w:rsid w:val="3B84DDBD"/>
    <w:rsid w:val="3CCE67C1"/>
    <w:rsid w:val="3CF889DA"/>
    <w:rsid w:val="3E5B5E3B"/>
    <w:rsid w:val="3E87F197"/>
    <w:rsid w:val="3E8C865F"/>
    <w:rsid w:val="3F581EC3"/>
    <w:rsid w:val="413ACCBE"/>
    <w:rsid w:val="41A455F9"/>
    <w:rsid w:val="42094F0A"/>
    <w:rsid w:val="42454494"/>
    <w:rsid w:val="424ABCA4"/>
    <w:rsid w:val="44594059"/>
    <w:rsid w:val="451187C3"/>
    <w:rsid w:val="453253D6"/>
    <w:rsid w:val="4537A3FA"/>
    <w:rsid w:val="453FD960"/>
    <w:rsid w:val="459751A8"/>
    <w:rsid w:val="461B4EB0"/>
    <w:rsid w:val="463D0B76"/>
    <w:rsid w:val="4682D3E6"/>
    <w:rsid w:val="474FF9BC"/>
    <w:rsid w:val="47727F8C"/>
    <w:rsid w:val="47DE310D"/>
    <w:rsid w:val="48D43F1B"/>
    <w:rsid w:val="49772E8E"/>
    <w:rsid w:val="49A0FAD8"/>
    <w:rsid w:val="4A1F6A7F"/>
    <w:rsid w:val="4A7F13CE"/>
    <w:rsid w:val="4B285EE3"/>
    <w:rsid w:val="4B59F3E6"/>
    <w:rsid w:val="4B660DD1"/>
    <w:rsid w:val="4B7CF89E"/>
    <w:rsid w:val="4B88F887"/>
    <w:rsid w:val="4B90D35F"/>
    <w:rsid w:val="4BFB6802"/>
    <w:rsid w:val="4C2A8B8A"/>
    <w:rsid w:val="4C35BA73"/>
    <w:rsid w:val="4DC4AC37"/>
    <w:rsid w:val="4DDD8D75"/>
    <w:rsid w:val="4E1065FC"/>
    <w:rsid w:val="4E40D7B2"/>
    <w:rsid w:val="4E9174AF"/>
    <w:rsid w:val="4EE86494"/>
    <w:rsid w:val="4F309715"/>
    <w:rsid w:val="4FBC8AF8"/>
    <w:rsid w:val="505A563C"/>
    <w:rsid w:val="50A1FB7D"/>
    <w:rsid w:val="50F9B1D9"/>
    <w:rsid w:val="51849810"/>
    <w:rsid w:val="51E91E05"/>
    <w:rsid w:val="52554C9D"/>
    <w:rsid w:val="52E005CC"/>
    <w:rsid w:val="5361378D"/>
    <w:rsid w:val="541D9A4A"/>
    <w:rsid w:val="54271352"/>
    <w:rsid w:val="545A6314"/>
    <w:rsid w:val="546765C3"/>
    <w:rsid w:val="546DBC48"/>
    <w:rsid w:val="54AE15F6"/>
    <w:rsid w:val="54C10299"/>
    <w:rsid w:val="54C13F51"/>
    <w:rsid w:val="551ED387"/>
    <w:rsid w:val="554A48F0"/>
    <w:rsid w:val="563D9203"/>
    <w:rsid w:val="5691CCA2"/>
    <w:rsid w:val="56B7C083"/>
    <w:rsid w:val="5704DC77"/>
    <w:rsid w:val="579D651C"/>
    <w:rsid w:val="57FCC5AE"/>
    <w:rsid w:val="597830E1"/>
    <w:rsid w:val="59912F98"/>
    <w:rsid w:val="59F8E90E"/>
    <w:rsid w:val="5A027C13"/>
    <w:rsid w:val="5A0D3C1E"/>
    <w:rsid w:val="5A5A2E1A"/>
    <w:rsid w:val="5A5E6AD7"/>
    <w:rsid w:val="5C1D9958"/>
    <w:rsid w:val="5C6F3E8D"/>
    <w:rsid w:val="5C73A453"/>
    <w:rsid w:val="5DADC9AE"/>
    <w:rsid w:val="5EFE40CE"/>
    <w:rsid w:val="5F930117"/>
    <w:rsid w:val="600EA28F"/>
    <w:rsid w:val="6075D0DB"/>
    <w:rsid w:val="6188BF6D"/>
    <w:rsid w:val="618A0291"/>
    <w:rsid w:val="630666A9"/>
    <w:rsid w:val="64BB96A9"/>
    <w:rsid w:val="6522B0E1"/>
    <w:rsid w:val="6581DDDB"/>
    <w:rsid w:val="6583803E"/>
    <w:rsid w:val="6682103F"/>
    <w:rsid w:val="66D163C9"/>
    <w:rsid w:val="67084AB3"/>
    <w:rsid w:val="67190CFA"/>
    <w:rsid w:val="67244A15"/>
    <w:rsid w:val="687724AE"/>
    <w:rsid w:val="68838D87"/>
    <w:rsid w:val="68D7FAD9"/>
    <w:rsid w:val="699C7452"/>
    <w:rsid w:val="69B50E85"/>
    <w:rsid w:val="6A648B78"/>
    <w:rsid w:val="6ADEF9BA"/>
    <w:rsid w:val="6DC881AE"/>
    <w:rsid w:val="6E551DFA"/>
    <w:rsid w:val="6F31063D"/>
    <w:rsid w:val="6F630D8A"/>
    <w:rsid w:val="6F6652D4"/>
    <w:rsid w:val="6F788BBC"/>
    <w:rsid w:val="6F8E8852"/>
    <w:rsid w:val="6F9D7FB2"/>
    <w:rsid w:val="6FBEC55F"/>
    <w:rsid w:val="700951DF"/>
    <w:rsid w:val="702BECA1"/>
    <w:rsid w:val="703E2B54"/>
    <w:rsid w:val="7073B3E4"/>
    <w:rsid w:val="70DC31F4"/>
    <w:rsid w:val="711B5590"/>
    <w:rsid w:val="71C458F7"/>
    <w:rsid w:val="720D7626"/>
    <w:rsid w:val="7250CB2F"/>
    <w:rsid w:val="727B7091"/>
    <w:rsid w:val="7295A5E2"/>
    <w:rsid w:val="72E589A1"/>
    <w:rsid w:val="7415C251"/>
    <w:rsid w:val="74491516"/>
    <w:rsid w:val="75438A57"/>
    <w:rsid w:val="762799C7"/>
    <w:rsid w:val="76DF1310"/>
    <w:rsid w:val="77542F51"/>
    <w:rsid w:val="7792CED2"/>
    <w:rsid w:val="78BE03F4"/>
    <w:rsid w:val="78CF4F44"/>
    <w:rsid w:val="791F4D20"/>
    <w:rsid w:val="792E9BE9"/>
    <w:rsid w:val="7AA4AC42"/>
    <w:rsid w:val="7AFDDC49"/>
    <w:rsid w:val="7B8E4969"/>
    <w:rsid w:val="7BECBF4C"/>
    <w:rsid w:val="7BF0EEE4"/>
    <w:rsid w:val="7D8D053C"/>
    <w:rsid w:val="7E005306"/>
    <w:rsid w:val="7ED4646F"/>
    <w:rsid w:val="7FB7092C"/>
    <w:rsid w:val="7FC44A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A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136118"/>
    <w:pPr>
      <w:numPr>
        <w:numId w:val="17"/>
      </w:numPr>
      <w:tabs>
        <w:tab w:val="clear" w:pos="520"/>
      </w:tabs>
      <w:spacing w:after="0" w:line="276" w:lineRule="auto"/>
      <w:ind w:left="284" w:hanging="284"/>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33"/>
      </w:numPr>
      <w:spacing w:before="0"/>
    </w:pPr>
  </w:style>
  <w:style w:type="paragraph" w:customStyle="1" w:styleId="OneLevelNumberedParagraph">
    <w:name w:val="One Level Numbered Paragraph"/>
    <w:basedOn w:val="Normal"/>
    <w:rsid w:val="008043EA"/>
    <w:pPr>
      <w:numPr>
        <w:numId w:val="29"/>
      </w:numPr>
      <w:tabs>
        <w:tab w:val="clear" w:pos="284"/>
        <w:tab w:val="num" w:pos="360"/>
      </w:tabs>
      <w:spacing w:before="0"/>
    </w:pPr>
  </w:style>
  <w:style w:type="paragraph" w:customStyle="1" w:styleId="OutlineNumbered2">
    <w:name w:val="Outline Numbered 2"/>
    <w:basedOn w:val="Normal"/>
    <w:rsid w:val="008043EA"/>
    <w:pPr>
      <w:numPr>
        <w:ilvl w:val="1"/>
        <w:numId w:val="33"/>
      </w:numPr>
      <w:spacing w:before="0"/>
    </w:pPr>
  </w:style>
  <w:style w:type="paragraph" w:customStyle="1" w:styleId="OutlineNumbered3">
    <w:name w:val="Outline Numbered 3"/>
    <w:basedOn w:val="Normal"/>
    <w:rsid w:val="008043EA"/>
    <w:pPr>
      <w:numPr>
        <w:ilvl w:val="2"/>
        <w:numId w:val="33"/>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character" w:styleId="CommentReference">
    <w:name w:val="annotation reference"/>
    <w:basedOn w:val="DefaultParagraphFont"/>
    <w:uiPriority w:val="99"/>
    <w:semiHidden/>
    <w:unhideWhenUsed/>
    <w:rsid w:val="00D2722F"/>
    <w:rPr>
      <w:sz w:val="16"/>
      <w:szCs w:val="16"/>
    </w:rPr>
  </w:style>
  <w:style w:type="paragraph" w:styleId="CommentText">
    <w:name w:val="annotation text"/>
    <w:basedOn w:val="Normal"/>
    <w:link w:val="CommentTextChar"/>
    <w:uiPriority w:val="99"/>
    <w:unhideWhenUsed/>
    <w:rsid w:val="00D2722F"/>
    <w:rPr>
      <w:sz w:val="20"/>
    </w:rPr>
  </w:style>
  <w:style w:type="character" w:customStyle="1" w:styleId="CommentTextChar">
    <w:name w:val="Comment Text Char"/>
    <w:basedOn w:val="DefaultParagraphFont"/>
    <w:link w:val="CommentText"/>
    <w:uiPriority w:val="99"/>
    <w:rsid w:val="00D2722F"/>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2722F"/>
    <w:rPr>
      <w:b/>
      <w:bCs/>
    </w:rPr>
  </w:style>
  <w:style w:type="character" w:customStyle="1" w:styleId="CommentSubjectChar">
    <w:name w:val="Comment Subject Char"/>
    <w:basedOn w:val="CommentTextChar"/>
    <w:link w:val="CommentSubject"/>
    <w:uiPriority w:val="99"/>
    <w:semiHidden/>
    <w:rsid w:val="00D2722F"/>
    <w:rPr>
      <w:rFonts w:ascii="Calibri Light" w:eastAsia="Times New Roman" w:hAnsi="Calibri Light" w:cs="Times New Roman"/>
      <w:b/>
      <w:bCs/>
      <w:sz w:val="20"/>
      <w:szCs w:val="20"/>
      <w:lang w:eastAsia="en-AU"/>
    </w:rPr>
  </w:style>
  <w:style w:type="paragraph" w:styleId="Revision">
    <w:name w:val="Revision"/>
    <w:hidden/>
    <w:uiPriority w:val="99"/>
    <w:semiHidden/>
    <w:rsid w:val="001B10D0"/>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3B7EB1"/>
    <w:rPr>
      <w:color w:val="2B579A"/>
      <w:shd w:val="clear" w:color="auto" w:fill="E1DFDD"/>
    </w:rPr>
  </w:style>
  <w:style w:type="paragraph" w:customStyle="1" w:styleId="SecurityClassificationHeader">
    <w:name w:val="Security Classification Header"/>
    <w:link w:val="SecurityClassificationHeaderChar"/>
    <w:rsid w:val="000145D3"/>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0145D3"/>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0145D3"/>
    <w:pPr>
      <w:spacing w:before="24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0145D3"/>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0145D3"/>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0145D3"/>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0145D3"/>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0145D3"/>
    <w:rPr>
      <w:rFonts w:ascii="Calibri" w:eastAsia="Times New Roman" w:hAnsi="Calibri" w:cs="Calibri"/>
      <w:b/>
      <w:color w:val="FF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04">
      <w:bodyDiv w:val="1"/>
      <w:marLeft w:val="0"/>
      <w:marRight w:val="0"/>
      <w:marTop w:val="0"/>
      <w:marBottom w:val="0"/>
      <w:divBdr>
        <w:top w:val="none" w:sz="0" w:space="0" w:color="auto"/>
        <w:left w:val="none" w:sz="0" w:space="0" w:color="auto"/>
        <w:bottom w:val="none" w:sz="0" w:space="0" w:color="auto"/>
        <w:right w:val="none" w:sz="0" w:space="0" w:color="auto"/>
      </w:divBdr>
    </w:div>
    <w:div w:id="27681571">
      <w:bodyDiv w:val="1"/>
      <w:marLeft w:val="0"/>
      <w:marRight w:val="0"/>
      <w:marTop w:val="0"/>
      <w:marBottom w:val="0"/>
      <w:divBdr>
        <w:top w:val="none" w:sz="0" w:space="0" w:color="auto"/>
        <w:left w:val="none" w:sz="0" w:space="0" w:color="auto"/>
        <w:bottom w:val="none" w:sz="0" w:space="0" w:color="auto"/>
        <w:right w:val="none" w:sz="0" w:space="0" w:color="auto"/>
      </w:divBdr>
    </w:div>
    <w:div w:id="35005882">
      <w:bodyDiv w:val="1"/>
      <w:marLeft w:val="0"/>
      <w:marRight w:val="0"/>
      <w:marTop w:val="0"/>
      <w:marBottom w:val="0"/>
      <w:divBdr>
        <w:top w:val="none" w:sz="0" w:space="0" w:color="auto"/>
        <w:left w:val="none" w:sz="0" w:space="0" w:color="auto"/>
        <w:bottom w:val="none" w:sz="0" w:space="0" w:color="auto"/>
        <w:right w:val="none" w:sz="0" w:space="0" w:color="auto"/>
      </w:divBdr>
    </w:div>
    <w:div w:id="47264569">
      <w:bodyDiv w:val="1"/>
      <w:marLeft w:val="0"/>
      <w:marRight w:val="0"/>
      <w:marTop w:val="0"/>
      <w:marBottom w:val="0"/>
      <w:divBdr>
        <w:top w:val="none" w:sz="0" w:space="0" w:color="auto"/>
        <w:left w:val="none" w:sz="0" w:space="0" w:color="auto"/>
        <w:bottom w:val="none" w:sz="0" w:space="0" w:color="auto"/>
        <w:right w:val="none" w:sz="0" w:space="0" w:color="auto"/>
      </w:divBdr>
    </w:div>
    <w:div w:id="47917734">
      <w:bodyDiv w:val="1"/>
      <w:marLeft w:val="0"/>
      <w:marRight w:val="0"/>
      <w:marTop w:val="0"/>
      <w:marBottom w:val="0"/>
      <w:divBdr>
        <w:top w:val="none" w:sz="0" w:space="0" w:color="auto"/>
        <w:left w:val="none" w:sz="0" w:space="0" w:color="auto"/>
        <w:bottom w:val="none" w:sz="0" w:space="0" w:color="auto"/>
        <w:right w:val="none" w:sz="0" w:space="0" w:color="auto"/>
      </w:divBdr>
    </w:div>
    <w:div w:id="90510410">
      <w:bodyDiv w:val="1"/>
      <w:marLeft w:val="0"/>
      <w:marRight w:val="0"/>
      <w:marTop w:val="0"/>
      <w:marBottom w:val="0"/>
      <w:divBdr>
        <w:top w:val="none" w:sz="0" w:space="0" w:color="auto"/>
        <w:left w:val="none" w:sz="0" w:space="0" w:color="auto"/>
        <w:bottom w:val="none" w:sz="0" w:space="0" w:color="auto"/>
        <w:right w:val="none" w:sz="0" w:space="0" w:color="auto"/>
      </w:divBdr>
    </w:div>
    <w:div w:id="92435756">
      <w:bodyDiv w:val="1"/>
      <w:marLeft w:val="0"/>
      <w:marRight w:val="0"/>
      <w:marTop w:val="0"/>
      <w:marBottom w:val="0"/>
      <w:divBdr>
        <w:top w:val="none" w:sz="0" w:space="0" w:color="auto"/>
        <w:left w:val="none" w:sz="0" w:space="0" w:color="auto"/>
        <w:bottom w:val="none" w:sz="0" w:space="0" w:color="auto"/>
        <w:right w:val="none" w:sz="0" w:space="0" w:color="auto"/>
      </w:divBdr>
    </w:div>
    <w:div w:id="101921126">
      <w:bodyDiv w:val="1"/>
      <w:marLeft w:val="0"/>
      <w:marRight w:val="0"/>
      <w:marTop w:val="0"/>
      <w:marBottom w:val="0"/>
      <w:divBdr>
        <w:top w:val="none" w:sz="0" w:space="0" w:color="auto"/>
        <w:left w:val="none" w:sz="0" w:space="0" w:color="auto"/>
        <w:bottom w:val="none" w:sz="0" w:space="0" w:color="auto"/>
        <w:right w:val="none" w:sz="0" w:space="0" w:color="auto"/>
      </w:divBdr>
    </w:div>
    <w:div w:id="104011080">
      <w:bodyDiv w:val="1"/>
      <w:marLeft w:val="0"/>
      <w:marRight w:val="0"/>
      <w:marTop w:val="0"/>
      <w:marBottom w:val="0"/>
      <w:divBdr>
        <w:top w:val="none" w:sz="0" w:space="0" w:color="auto"/>
        <w:left w:val="none" w:sz="0" w:space="0" w:color="auto"/>
        <w:bottom w:val="none" w:sz="0" w:space="0" w:color="auto"/>
        <w:right w:val="none" w:sz="0" w:space="0" w:color="auto"/>
      </w:divBdr>
    </w:div>
    <w:div w:id="125658299">
      <w:bodyDiv w:val="1"/>
      <w:marLeft w:val="0"/>
      <w:marRight w:val="0"/>
      <w:marTop w:val="0"/>
      <w:marBottom w:val="0"/>
      <w:divBdr>
        <w:top w:val="none" w:sz="0" w:space="0" w:color="auto"/>
        <w:left w:val="none" w:sz="0" w:space="0" w:color="auto"/>
        <w:bottom w:val="none" w:sz="0" w:space="0" w:color="auto"/>
        <w:right w:val="none" w:sz="0" w:space="0" w:color="auto"/>
      </w:divBdr>
    </w:div>
    <w:div w:id="137118018">
      <w:bodyDiv w:val="1"/>
      <w:marLeft w:val="0"/>
      <w:marRight w:val="0"/>
      <w:marTop w:val="0"/>
      <w:marBottom w:val="0"/>
      <w:divBdr>
        <w:top w:val="none" w:sz="0" w:space="0" w:color="auto"/>
        <w:left w:val="none" w:sz="0" w:space="0" w:color="auto"/>
        <w:bottom w:val="none" w:sz="0" w:space="0" w:color="auto"/>
        <w:right w:val="none" w:sz="0" w:space="0" w:color="auto"/>
      </w:divBdr>
    </w:div>
    <w:div w:id="139034437">
      <w:bodyDiv w:val="1"/>
      <w:marLeft w:val="0"/>
      <w:marRight w:val="0"/>
      <w:marTop w:val="0"/>
      <w:marBottom w:val="0"/>
      <w:divBdr>
        <w:top w:val="none" w:sz="0" w:space="0" w:color="auto"/>
        <w:left w:val="none" w:sz="0" w:space="0" w:color="auto"/>
        <w:bottom w:val="none" w:sz="0" w:space="0" w:color="auto"/>
        <w:right w:val="none" w:sz="0" w:space="0" w:color="auto"/>
      </w:divBdr>
    </w:div>
    <w:div w:id="149910484">
      <w:bodyDiv w:val="1"/>
      <w:marLeft w:val="0"/>
      <w:marRight w:val="0"/>
      <w:marTop w:val="0"/>
      <w:marBottom w:val="0"/>
      <w:divBdr>
        <w:top w:val="none" w:sz="0" w:space="0" w:color="auto"/>
        <w:left w:val="none" w:sz="0" w:space="0" w:color="auto"/>
        <w:bottom w:val="none" w:sz="0" w:space="0" w:color="auto"/>
        <w:right w:val="none" w:sz="0" w:space="0" w:color="auto"/>
      </w:divBdr>
    </w:div>
    <w:div w:id="194927592">
      <w:bodyDiv w:val="1"/>
      <w:marLeft w:val="0"/>
      <w:marRight w:val="0"/>
      <w:marTop w:val="0"/>
      <w:marBottom w:val="0"/>
      <w:divBdr>
        <w:top w:val="none" w:sz="0" w:space="0" w:color="auto"/>
        <w:left w:val="none" w:sz="0" w:space="0" w:color="auto"/>
        <w:bottom w:val="none" w:sz="0" w:space="0" w:color="auto"/>
        <w:right w:val="none" w:sz="0" w:space="0" w:color="auto"/>
      </w:divBdr>
    </w:div>
    <w:div w:id="203754696">
      <w:bodyDiv w:val="1"/>
      <w:marLeft w:val="0"/>
      <w:marRight w:val="0"/>
      <w:marTop w:val="0"/>
      <w:marBottom w:val="0"/>
      <w:divBdr>
        <w:top w:val="none" w:sz="0" w:space="0" w:color="auto"/>
        <w:left w:val="none" w:sz="0" w:space="0" w:color="auto"/>
        <w:bottom w:val="none" w:sz="0" w:space="0" w:color="auto"/>
        <w:right w:val="none" w:sz="0" w:space="0" w:color="auto"/>
      </w:divBdr>
    </w:div>
    <w:div w:id="206455023">
      <w:bodyDiv w:val="1"/>
      <w:marLeft w:val="0"/>
      <w:marRight w:val="0"/>
      <w:marTop w:val="0"/>
      <w:marBottom w:val="0"/>
      <w:divBdr>
        <w:top w:val="none" w:sz="0" w:space="0" w:color="auto"/>
        <w:left w:val="none" w:sz="0" w:space="0" w:color="auto"/>
        <w:bottom w:val="none" w:sz="0" w:space="0" w:color="auto"/>
        <w:right w:val="none" w:sz="0" w:space="0" w:color="auto"/>
      </w:divBdr>
    </w:div>
    <w:div w:id="217322185">
      <w:bodyDiv w:val="1"/>
      <w:marLeft w:val="0"/>
      <w:marRight w:val="0"/>
      <w:marTop w:val="0"/>
      <w:marBottom w:val="0"/>
      <w:divBdr>
        <w:top w:val="none" w:sz="0" w:space="0" w:color="auto"/>
        <w:left w:val="none" w:sz="0" w:space="0" w:color="auto"/>
        <w:bottom w:val="none" w:sz="0" w:space="0" w:color="auto"/>
        <w:right w:val="none" w:sz="0" w:space="0" w:color="auto"/>
      </w:divBdr>
    </w:div>
    <w:div w:id="220140666">
      <w:bodyDiv w:val="1"/>
      <w:marLeft w:val="0"/>
      <w:marRight w:val="0"/>
      <w:marTop w:val="0"/>
      <w:marBottom w:val="0"/>
      <w:divBdr>
        <w:top w:val="none" w:sz="0" w:space="0" w:color="auto"/>
        <w:left w:val="none" w:sz="0" w:space="0" w:color="auto"/>
        <w:bottom w:val="none" w:sz="0" w:space="0" w:color="auto"/>
        <w:right w:val="none" w:sz="0" w:space="0" w:color="auto"/>
      </w:divBdr>
    </w:div>
    <w:div w:id="239221226">
      <w:bodyDiv w:val="1"/>
      <w:marLeft w:val="0"/>
      <w:marRight w:val="0"/>
      <w:marTop w:val="0"/>
      <w:marBottom w:val="0"/>
      <w:divBdr>
        <w:top w:val="none" w:sz="0" w:space="0" w:color="auto"/>
        <w:left w:val="none" w:sz="0" w:space="0" w:color="auto"/>
        <w:bottom w:val="none" w:sz="0" w:space="0" w:color="auto"/>
        <w:right w:val="none" w:sz="0" w:space="0" w:color="auto"/>
      </w:divBdr>
    </w:div>
    <w:div w:id="244270220">
      <w:bodyDiv w:val="1"/>
      <w:marLeft w:val="0"/>
      <w:marRight w:val="0"/>
      <w:marTop w:val="0"/>
      <w:marBottom w:val="0"/>
      <w:divBdr>
        <w:top w:val="none" w:sz="0" w:space="0" w:color="auto"/>
        <w:left w:val="none" w:sz="0" w:space="0" w:color="auto"/>
        <w:bottom w:val="none" w:sz="0" w:space="0" w:color="auto"/>
        <w:right w:val="none" w:sz="0" w:space="0" w:color="auto"/>
      </w:divBdr>
    </w:div>
    <w:div w:id="246499617">
      <w:bodyDiv w:val="1"/>
      <w:marLeft w:val="0"/>
      <w:marRight w:val="0"/>
      <w:marTop w:val="0"/>
      <w:marBottom w:val="0"/>
      <w:divBdr>
        <w:top w:val="none" w:sz="0" w:space="0" w:color="auto"/>
        <w:left w:val="none" w:sz="0" w:space="0" w:color="auto"/>
        <w:bottom w:val="none" w:sz="0" w:space="0" w:color="auto"/>
        <w:right w:val="none" w:sz="0" w:space="0" w:color="auto"/>
      </w:divBdr>
    </w:div>
    <w:div w:id="246575379">
      <w:bodyDiv w:val="1"/>
      <w:marLeft w:val="0"/>
      <w:marRight w:val="0"/>
      <w:marTop w:val="0"/>
      <w:marBottom w:val="0"/>
      <w:divBdr>
        <w:top w:val="none" w:sz="0" w:space="0" w:color="auto"/>
        <w:left w:val="none" w:sz="0" w:space="0" w:color="auto"/>
        <w:bottom w:val="none" w:sz="0" w:space="0" w:color="auto"/>
        <w:right w:val="none" w:sz="0" w:space="0" w:color="auto"/>
      </w:divBdr>
    </w:div>
    <w:div w:id="253977000">
      <w:bodyDiv w:val="1"/>
      <w:marLeft w:val="0"/>
      <w:marRight w:val="0"/>
      <w:marTop w:val="0"/>
      <w:marBottom w:val="0"/>
      <w:divBdr>
        <w:top w:val="none" w:sz="0" w:space="0" w:color="auto"/>
        <w:left w:val="none" w:sz="0" w:space="0" w:color="auto"/>
        <w:bottom w:val="none" w:sz="0" w:space="0" w:color="auto"/>
        <w:right w:val="none" w:sz="0" w:space="0" w:color="auto"/>
      </w:divBdr>
    </w:div>
    <w:div w:id="263421278">
      <w:bodyDiv w:val="1"/>
      <w:marLeft w:val="0"/>
      <w:marRight w:val="0"/>
      <w:marTop w:val="0"/>
      <w:marBottom w:val="0"/>
      <w:divBdr>
        <w:top w:val="none" w:sz="0" w:space="0" w:color="auto"/>
        <w:left w:val="none" w:sz="0" w:space="0" w:color="auto"/>
        <w:bottom w:val="none" w:sz="0" w:space="0" w:color="auto"/>
        <w:right w:val="none" w:sz="0" w:space="0" w:color="auto"/>
      </w:divBdr>
    </w:div>
    <w:div w:id="274749296">
      <w:bodyDiv w:val="1"/>
      <w:marLeft w:val="0"/>
      <w:marRight w:val="0"/>
      <w:marTop w:val="0"/>
      <w:marBottom w:val="0"/>
      <w:divBdr>
        <w:top w:val="none" w:sz="0" w:space="0" w:color="auto"/>
        <w:left w:val="none" w:sz="0" w:space="0" w:color="auto"/>
        <w:bottom w:val="none" w:sz="0" w:space="0" w:color="auto"/>
        <w:right w:val="none" w:sz="0" w:space="0" w:color="auto"/>
      </w:divBdr>
    </w:div>
    <w:div w:id="283118467">
      <w:bodyDiv w:val="1"/>
      <w:marLeft w:val="0"/>
      <w:marRight w:val="0"/>
      <w:marTop w:val="0"/>
      <w:marBottom w:val="0"/>
      <w:divBdr>
        <w:top w:val="none" w:sz="0" w:space="0" w:color="auto"/>
        <w:left w:val="none" w:sz="0" w:space="0" w:color="auto"/>
        <w:bottom w:val="none" w:sz="0" w:space="0" w:color="auto"/>
        <w:right w:val="none" w:sz="0" w:space="0" w:color="auto"/>
      </w:divBdr>
    </w:div>
    <w:div w:id="286811800">
      <w:bodyDiv w:val="1"/>
      <w:marLeft w:val="0"/>
      <w:marRight w:val="0"/>
      <w:marTop w:val="0"/>
      <w:marBottom w:val="0"/>
      <w:divBdr>
        <w:top w:val="none" w:sz="0" w:space="0" w:color="auto"/>
        <w:left w:val="none" w:sz="0" w:space="0" w:color="auto"/>
        <w:bottom w:val="none" w:sz="0" w:space="0" w:color="auto"/>
        <w:right w:val="none" w:sz="0" w:space="0" w:color="auto"/>
      </w:divBdr>
    </w:div>
    <w:div w:id="306857315">
      <w:bodyDiv w:val="1"/>
      <w:marLeft w:val="0"/>
      <w:marRight w:val="0"/>
      <w:marTop w:val="0"/>
      <w:marBottom w:val="0"/>
      <w:divBdr>
        <w:top w:val="none" w:sz="0" w:space="0" w:color="auto"/>
        <w:left w:val="none" w:sz="0" w:space="0" w:color="auto"/>
        <w:bottom w:val="none" w:sz="0" w:space="0" w:color="auto"/>
        <w:right w:val="none" w:sz="0" w:space="0" w:color="auto"/>
      </w:divBdr>
    </w:div>
    <w:div w:id="337466506">
      <w:bodyDiv w:val="1"/>
      <w:marLeft w:val="0"/>
      <w:marRight w:val="0"/>
      <w:marTop w:val="0"/>
      <w:marBottom w:val="0"/>
      <w:divBdr>
        <w:top w:val="none" w:sz="0" w:space="0" w:color="auto"/>
        <w:left w:val="none" w:sz="0" w:space="0" w:color="auto"/>
        <w:bottom w:val="none" w:sz="0" w:space="0" w:color="auto"/>
        <w:right w:val="none" w:sz="0" w:space="0" w:color="auto"/>
      </w:divBdr>
    </w:div>
    <w:div w:id="349990208">
      <w:bodyDiv w:val="1"/>
      <w:marLeft w:val="0"/>
      <w:marRight w:val="0"/>
      <w:marTop w:val="0"/>
      <w:marBottom w:val="0"/>
      <w:divBdr>
        <w:top w:val="none" w:sz="0" w:space="0" w:color="auto"/>
        <w:left w:val="none" w:sz="0" w:space="0" w:color="auto"/>
        <w:bottom w:val="none" w:sz="0" w:space="0" w:color="auto"/>
        <w:right w:val="none" w:sz="0" w:space="0" w:color="auto"/>
      </w:divBdr>
    </w:div>
    <w:div w:id="351029692">
      <w:bodyDiv w:val="1"/>
      <w:marLeft w:val="0"/>
      <w:marRight w:val="0"/>
      <w:marTop w:val="0"/>
      <w:marBottom w:val="0"/>
      <w:divBdr>
        <w:top w:val="none" w:sz="0" w:space="0" w:color="auto"/>
        <w:left w:val="none" w:sz="0" w:space="0" w:color="auto"/>
        <w:bottom w:val="none" w:sz="0" w:space="0" w:color="auto"/>
        <w:right w:val="none" w:sz="0" w:space="0" w:color="auto"/>
      </w:divBdr>
    </w:div>
    <w:div w:id="355740277">
      <w:bodyDiv w:val="1"/>
      <w:marLeft w:val="0"/>
      <w:marRight w:val="0"/>
      <w:marTop w:val="0"/>
      <w:marBottom w:val="0"/>
      <w:divBdr>
        <w:top w:val="none" w:sz="0" w:space="0" w:color="auto"/>
        <w:left w:val="none" w:sz="0" w:space="0" w:color="auto"/>
        <w:bottom w:val="none" w:sz="0" w:space="0" w:color="auto"/>
        <w:right w:val="none" w:sz="0" w:space="0" w:color="auto"/>
      </w:divBdr>
    </w:div>
    <w:div w:id="357199890">
      <w:bodyDiv w:val="1"/>
      <w:marLeft w:val="0"/>
      <w:marRight w:val="0"/>
      <w:marTop w:val="0"/>
      <w:marBottom w:val="0"/>
      <w:divBdr>
        <w:top w:val="none" w:sz="0" w:space="0" w:color="auto"/>
        <w:left w:val="none" w:sz="0" w:space="0" w:color="auto"/>
        <w:bottom w:val="none" w:sz="0" w:space="0" w:color="auto"/>
        <w:right w:val="none" w:sz="0" w:space="0" w:color="auto"/>
      </w:divBdr>
    </w:div>
    <w:div w:id="363140782">
      <w:bodyDiv w:val="1"/>
      <w:marLeft w:val="0"/>
      <w:marRight w:val="0"/>
      <w:marTop w:val="0"/>
      <w:marBottom w:val="0"/>
      <w:divBdr>
        <w:top w:val="none" w:sz="0" w:space="0" w:color="auto"/>
        <w:left w:val="none" w:sz="0" w:space="0" w:color="auto"/>
        <w:bottom w:val="none" w:sz="0" w:space="0" w:color="auto"/>
        <w:right w:val="none" w:sz="0" w:space="0" w:color="auto"/>
      </w:divBdr>
    </w:div>
    <w:div w:id="383286915">
      <w:bodyDiv w:val="1"/>
      <w:marLeft w:val="0"/>
      <w:marRight w:val="0"/>
      <w:marTop w:val="0"/>
      <w:marBottom w:val="0"/>
      <w:divBdr>
        <w:top w:val="none" w:sz="0" w:space="0" w:color="auto"/>
        <w:left w:val="none" w:sz="0" w:space="0" w:color="auto"/>
        <w:bottom w:val="none" w:sz="0" w:space="0" w:color="auto"/>
        <w:right w:val="none" w:sz="0" w:space="0" w:color="auto"/>
      </w:divBdr>
    </w:div>
    <w:div w:id="386147274">
      <w:bodyDiv w:val="1"/>
      <w:marLeft w:val="0"/>
      <w:marRight w:val="0"/>
      <w:marTop w:val="0"/>
      <w:marBottom w:val="0"/>
      <w:divBdr>
        <w:top w:val="none" w:sz="0" w:space="0" w:color="auto"/>
        <w:left w:val="none" w:sz="0" w:space="0" w:color="auto"/>
        <w:bottom w:val="none" w:sz="0" w:space="0" w:color="auto"/>
        <w:right w:val="none" w:sz="0" w:space="0" w:color="auto"/>
      </w:divBdr>
    </w:div>
    <w:div w:id="389815469">
      <w:bodyDiv w:val="1"/>
      <w:marLeft w:val="0"/>
      <w:marRight w:val="0"/>
      <w:marTop w:val="0"/>
      <w:marBottom w:val="0"/>
      <w:divBdr>
        <w:top w:val="none" w:sz="0" w:space="0" w:color="auto"/>
        <w:left w:val="none" w:sz="0" w:space="0" w:color="auto"/>
        <w:bottom w:val="none" w:sz="0" w:space="0" w:color="auto"/>
        <w:right w:val="none" w:sz="0" w:space="0" w:color="auto"/>
      </w:divBdr>
    </w:div>
    <w:div w:id="398286157">
      <w:bodyDiv w:val="1"/>
      <w:marLeft w:val="0"/>
      <w:marRight w:val="0"/>
      <w:marTop w:val="0"/>
      <w:marBottom w:val="0"/>
      <w:divBdr>
        <w:top w:val="none" w:sz="0" w:space="0" w:color="auto"/>
        <w:left w:val="none" w:sz="0" w:space="0" w:color="auto"/>
        <w:bottom w:val="none" w:sz="0" w:space="0" w:color="auto"/>
        <w:right w:val="none" w:sz="0" w:space="0" w:color="auto"/>
      </w:divBdr>
    </w:div>
    <w:div w:id="407270497">
      <w:bodyDiv w:val="1"/>
      <w:marLeft w:val="0"/>
      <w:marRight w:val="0"/>
      <w:marTop w:val="0"/>
      <w:marBottom w:val="0"/>
      <w:divBdr>
        <w:top w:val="none" w:sz="0" w:space="0" w:color="auto"/>
        <w:left w:val="none" w:sz="0" w:space="0" w:color="auto"/>
        <w:bottom w:val="none" w:sz="0" w:space="0" w:color="auto"/>
        <w:right w:val="none" w:sz="0" w:space="0" w:color="auto"/>
      </w:divBdr>
    </w:div>
    <w:div w:id="419058823">
      <w:bodyDiv w:val="1"/>
      <w:marLeft w:val="0"/>
      <w:marRight w:val="0"/>
      <w:marTop w:val="0"/>
      <w:marBottom w:val="0"/>
      <w:divBdr>
        <w:top w:val="none" w:sz="0" w:space="0" w:color="auto"/>
        <w:left w:val="none" w:sz="0" w:space="0" w:color="auto"/>
        <w:bottom w:val="none" w:sz="0" w:space="0" w:color="auto"/>
        <w:right w:val="none" w:sz="0" w:space="0" w:color="auto"/>
      </w:divBdr>
    </w:div>
    <w:div w:id="422148840">
      <w:bodyDiv w:val="1"/>
      <w:marLeft w:val="0"/>
      <w:marRight w:val="0"/>
      <w:marTop w:val="0"/>
      <w:marBottom w:val="0"/>
      <w:divBdr>
        <w:top w:val="none" w:sz="0" w:space="0" w:color="auto"/>
        <w:left w:val="none" w:sz="0" w:space="0" w:color="auto"/>
        <w:bottom w:val="none" w:sz="0" w:space="0" w:color="auto"/>
        <w:right w:val="none" w:sz="0" w:space="0" w:color="auto"/>
      </w:divBdr>
    </w:div>
    <w:div w:id="434978791">
      <w:bodyDiv w:val="1"/>
      <w:marLeft w:val="0"/>
      <w:marRight w:val="0"/>
      <w:marTop w:val="0"/>
      <w:marBottom w:val="0"/>
      <w:divBdr>
        <w:top w:val="none" w:sz="0" w:space="0" w:color="auto"/>
        <w:left w:val="none" w:sz="0" w:space="0" w:color="auto"/>
        <w:bottom w:val="none" w:sz="0" w:space="0" w:color="auto"/>
        <w:right w:val="none" w:sz="0" w:space="0" w:color="auto"/>
      </w:divBdr>
    </w:div>
    <w:div w:id="436754871">
      <w:bodyDiv w:val="1"/>
      <w:marLeft w:val="0"/>
      <w:marRight w:val="0"/>
      <w:marTop w:val="0"/>
      <w:marBottom w:val="0"/>
      <w:divBdr>
        <w:top w:val="none" w:sz="0" w:space="0" w:color="auto"/>
        <w:left w:val="none" w:sz="0" w:space="0" w:color="auto"/>
        <w:bottom w:val="none" w:sz="0" w:space="0" w:color="auto"/>
        <w:right w:val="none" w:sz="0" w:space="0" w:color="auto"/>
      </w:divBdr>
    </w:div>
    <w:div w:id="452990076">
      <w:bodyDiv w:val="1"/>
      <w:marLeft w:val="0"/>
      <w:marRight w:val="0"/>
      <w:marTop w:val="0"/>
      <w:marBottom w:val="0"/>
      <w:divBdr>
        <w:top w:val="none" w:sz="0" w:space="0" w:color="auto"/>
        <w:left w:val="none" w:sz="0" w:space="0" w:color="auto"/>
        <w:bottom w:val="none" w:sz="0" w:space="0" w:color="auto"/>
        <w:right w:val="none" w:sz="0" w:space="0" w:color="auto"/>
      </w:divBdr>
    </w:div>
    <w:div w:id="458187664">
      <w:bodyDiv w:val="1"/>
      <w:marLeft w:val="0"/>
      <w:marRight w:val="0"/>
      <w:marTop w:val="0"/>
      <w:marBottom w:val="0"/>
      <w:divBdr>
        <w:top w:val="none" w:sz="0" w:space="0" w:color="auto"/>
        <w:left w:val="none" w:sz="0" w:space="0" w:color="auto"/>
        <w:bottom w:val="none" w:sz="0" w:space="0" w:color="auto"/>
        <w:right w:val="none" w:sz="0" w:space="0" w:color="auto"/>
      </w:divBdr>
    </w:div>
    <w:div w:id="462237045">
      <w:bodyDiv w:val="1"/>
      <w:marLeft w:val="0"/>
      <w:marRight w:val="0"/>
      <w:marTop w:val="0"/>
      <w:marBottom w:val="0"/>
      <w:divBdr>
        <w:top w:val="none" w:sz="0" w:space="0" w:color="auto"/>
        <w:left w:val="none" w:sz="0" w:space="0" w:color="auto"/>
        <w:bottom w:val="none" w:sz="0" w:space="0" w:color="auto"/>
        <w:right w:val="none" w:sz="0" w:space="0" w:color="auto"/>
      </w:divBdr>
    </w:div>
    <w:div w:id="483935502">
      <w:bodyDiv w:val="1"/>
      <w:marLeft w:val="0"/>
      <w:marRight w:val="0"/>
      <w:marTop w:val="0"/>
      <w:marBottom w:val="0"/>
      <w:divBdr>
        <w:top w:val="none" w:sz="0" w:space="0" w:color="auto"/>
        <w:left w:val="none" w:sz="0" w:space="0" w:color="auto"/>
        <w:bottom w:val="none" w:sz="0" w:space="0" w:color="auto"/>
        <w:right w:val="none" w:sz="0" w:space="0" w:color="auto"/>
      </w:divBdr>
    </w:div>
    <w:div w:id="488713680">
      <w:bodyDiv w:val="1"/>
      <w:marLeft w:val="0"/>
      <w:marRight w:val="0"/>
      <w:marTop w:val="0"/>
      <w:marBottom w:val="0"/>
      <w:divBdr>
        <w:top w:val="none" w:sz="0" w:space="0" w:color="auto"/>
        <w:left w:val="none" w:sz="0" w:space="0" w:color="auto"/>
        <w:bottom w:val="none" w:sz="0" w:space="0" w:color="auto"/>
        <w:right w:val="none" w:sz="0" w:space="0" w:color="auto"/>
      </w:divBdr>
    </w:div>
    <w:div w:id="502818292">
      <w:bodyDiv w:val="1"/>
      <w:marLeft w:val="0"/>
      <w:marRight w:val="0"/>
      <w:marTop w:val="0"/>
      <w:marBottom w:val="0"/>
      <w:divBdr>
        <w:top w:val="none" w:sz="0" w:space="0" w:color="auto"/>
        <w:left w:val="none" w:sz="0" w:space="0" w:color="auto"/>
        <w:bottom w:val="none" w:sz="0" w:space="0" w:color="auto"/>
        <w:right w:val="none" w:sz="0" w:space="0" w:color="auto"/>
      </w:divBdr>
    </w:div>
    <w:div w:id="504824358">
      <w:bodyDiv w:val="1"/>
      <w:marLeft w:val="0"/>
      <w:marRight w:val="0"/>
      <w:marTop w:val="0"/>
      <w:marBottom w:val="0"/>
      <w:divBdr>
        <w:top w:val="none" w:sz="0" w:space="0" w:color="auto"/>
        <w:left w:val="none" w:sz="0" w:space="0" w:color="auto"/>
        <w:bottom w:val="none" w:sz="0" w:space="0" w:color="auto"/>
        <w:right w:val="none" w:sz="0" w:space="0" w:color="auto"/>
      </w:divBdr>
    </w:div>
    <w:div w:id="514226208">
      <w:bodyDiv w:val="1"/>
      <w:marLeft w:val="0"/>
      <w:marRight w:val="0"/>
      <w:marTop w:val="0"/>
      <w:marBottom w:val="0"/>
      <w:divBdr>
        <w:top w:val="none" w:sz="0" w:space="0" w:color="auto"/>
        <w:left w:val="none" w:sz="0" w:space="0" w:color="auto"/>
        <w:bottom w:val="none" w:sz="0" w:space="0" w:color="auto"/>
        <w:right w:val="none" w:sz="0" w:space="0" w:color="auto"/>
      </w:divBdr>
    </w:div>
    <w:div w:id="514924872">
      <w:bodyDiv w:val="1"/>
      <w:marLeft w:val="0"/>
      <w:marRight w:val="0"/>
      <w:marTop w:val="0"/>
      <w:marBottom w:val="0"/>
      <w:divBdr>
        <w:top w:val="none" w:sz="0" w:space="0" w:color="auto"/>
        <w:left w:val="none" w:sz="0" w:space="0" w:color="auto"/>
        <w:bottom w:val="none" w:sz="0" w:space="0" w:color="auto"/>
        <w:right w:val="none" w:sz="0" w:space="0" w:color="auto"/>
      </w:divBdr>
    </w:div>
    <w:div w:id="549464362">
      <w:bodyDiv w:val="1"/>
      <w:marLeft w:val="0"/>
      <w:marRight w:val="0"/>
      <w:marTop w:val="0"/>
      <w:marBottom w:val="0"/>
      <w:divBdr>
        <w:top w:val="none" w:sz="0" w:space="0" w:color="auto"/>
        <w:left w:val="none" w:sz="0" w:space="0" w:color="auto"/>
        <w:bottom w:val="none" w:sz="0" w:space="0" w:color="auto"/>
        <w:right w:val="none" w:sz="0" w:space="0" w:color="auto"/>
      </w:divBdr>
    </w:div>
    <w:div w:id="554582083">
      <w:bodyDiv w:val="1"/>
      <w:marLeft w:val="0"/>
      <w:marRight w:val="0"/>
      <w:marTop w:val="0"/>
      <w:marBottom w:val="0"/>
      <w:divBdr>
        <w:top w:val="none" w:sz="0" w:space="0" w:color="auto"/>
        <w:left w:val="none" w:sz="0" w:space="0" w:color="auto"/>
        <w:bottom w:val="none" w:sz="0" w:space="0" w:color="auto"/>
        <w:right w:val="none" w:sz="0" w:space="0" w:color="auto"/>
      </w:divBdr>
    </w:div>
    <w:div w:id="557790546">
      <w:bodyDiv w:val="1"/>
      <w:marLeft w:val="0"/>
      <w:marRight w:val="0"/>
      <w:marTop w:val="0"/>
      <w:marBottom w:val="0"/>
      <w:divBdr>
        <w:top w:val="none" w:sz="0" w:space="0" w:color="auto"/>
        <w:left w:val="none" w:sz="0" w:space="0" w:color="auto"/>
        <w:bottom w:val="none" w:sz="0" w:space="0" w:color="auto"/>
        <w:right w:val="none" w:sz="0" w:space="0" w:color="auto"/>
      </w:divBdr>
    </w:div>
    <w:div w:id="559706229">
      <w:bodyDiv w:val="1"/>
      <w:marLeft w:val="0"/>
      <w:marRight w:val="0"/>
      <w:marTop w:val="0"/>
      <w:marBottom w:val="0"/>
      <w:divBdr>
        <w:top w:val="none" w:sz="0" w:space="0" w:color="auto"/>
        <w:left w:val="none" w:sz="0" w:space="0" w:color="auto"/>
        <w:bottom w:val="none" w:sz="0" w:space="0" w:color="auto"/>
        <w:right w:val="none" w:sz="0" w:space="0" w:color="auto"/>
      </w:divBdr>
    </w:div>
    <w:div w:id="559751281">
      <w:bodyDiv w:val="1"/>
      <w:marLeft w:val="0"/>
      <w:marRight w:val="0"/>
      <w:marTop w:val="0"/>
      <w:marBottom w:val="0"/>
      <w:divBdr>
        <w:top w:val="none" w:sz="0" w:space="0" w:color="auto"/>
        <w:left w:val="none" w:sz="0" w:space="0" w:color="auto"/>
        <w:bottom w:val="none" w:sz="0" w:space="0" w:color="auto"/>
        <w:right w:val="none" w:sz="0" w:space="0" w:color="auto"/>
      </w:divBdr>
    </w:div>
    <w:div w:id="567498379">
      <w:bodyDiv w:val="1"/>
      <w:marLeft w:val="0"/>
      <w:marRight w:val="0"/>
      <w:marTop w:val="0"/>
      <w:marBottom w:val="0"/>
      <w:divBdr>
        <w:top w:val="none" w:sz="0" w:space="0" w:color="auto"/>
        <w:left w:val="none" w:sz="0" w:space="0" w:color="auto"/>
        <w:bottom w:val="none" w:sz="0" w:space="0" w:color="auto"/>
        <w:right w:val="none" w:sz="0" w:space="0" w:color="auto"/>
      </w:divBdr>
    </w:div>
    <w:div w:id="568227893">
      <w:bodyDiv w:val="1"/>
      <w:marLeft w:val="0"/>
      <w:marRight w:val="0"/>
      <w:marTop w:val="0"/>
      <w:marBottom w:val="0"/>
      <w:divBdr>
        <w:top w:val="none" w:sz="0" w:space="0" w:color="auto"/>
        <w:left w:val="none" w:sz="0" w:space="0" w:color="auto"/>
        <w:bottom w:val="none" w:sz="0" w:space="0" w:color="auto"/>
        <w:right w:val="none" w:sz="0" w:space="0" w:color="auto"/>
      </w:divBdr>
    </w:div>
    <w:div w:id="586810726">
      <w:bodyDiv w:val="1"/>
      <w:marLeft w:val="0"/>
      <w:marRight w:val="0"/>
      <w:marTop w:val="0"/>
      <w:marBottom w:val="0"/>
      <w:divBdr>
        <w:top w:val="none" w:sz="0" w:space="0" w:color="auto"/>
        <w:left w:val="none" w:sz="0" w:space="0" w:color="auto"/>
        <w:bottom w:val="none" w:sz="0" w:space="0" w:color="auto"/>
        <w:right w:val="none" w:sz="0" w:space="0" w:color="auto"/>
      </w:divBdr>
    </w:div>
    <w:div w:id="588347124">
      <w:bodyDiv w:val="1"/>
      <w:marLeft w:val="0"/>
      <w:marRight w:val="0"/>
      <w:marTop w:val="0"/>
      <w:marBottom w:val="0"/>
      <w:divBdr>
        <w:top w:val="none" w:sz="0" w:space="0" w:color="auto"/>
        <w:left w:val="none" w:sz="0" w:space="0" w:color="auto"/>
        <w:bottom w:val="none" w:sz="0" w:space="0" w:color="auto"/>
        <w:right w:val="none" w:sz="0" w:space="0" w:color="auto"/>
      </w:divBdr>
    </w:div>
    <w:div w:id="594628018">
      <w:bodyDiv w:val="1"/>
      <w:marLeft w:val="0"/>
      <w:marRight w:val="0"/>
      <w:marTop w:val="0"/>
      <w:marBottom w:val="0"/>
      <w:divBdr>
        <w:top w:val="none" w:sz="0" w:space="0" w:color="auto"/>
        <w:left w:val="none" w:sz="0" w:space="0" w:color="auto"/>
        <w:bottom w:val="none" w:sz="0" w:space="0" w:color="auto"/>
        <w:right w:val="none" w:sz="0" w:space="0" w:color="auto"/>
      </w:divBdr>
    </w:div>
    <w:div w:id="595986584">
      <w:bodyDiv w:val="1"/>
      <w:marLeft w:val="0"/>
      <w:marRight w:val="0"/>
      <w:marTop w:val="0"/>
      <w:marBottom w:val="0"/>
      <w:divBdr>
        <w:top w:val="none" w:sz="0" w:space="0" w:color="auto"/>
        <w:left w:val="none" w:sz="0" w:space="0" w:color="auto"/>
        <w:bottom w:val="none" w:sz="0" w:space="0" w:color="auto"/>
        <w:right w:val="none" w:sz="0" w:space="0" w:color="auto"/>
      </w:divBdr>
    </w:div>
    <w:div w:id="604994626">
      <w:bodyDiv w:val="1"/>
      <w:marLeft w:val="0"/>
      <w:marRight w:val="0"/>
      <w:marTop w:val="0"/>
      <w:marBottom w:val="0"/>
      <w:divBdr>
        <w:top w:val="none" w:sz="0" w:space="0" w:color="auto"/>
        <w:left w:val="none" w:sz="0" w:space="0" w:color="auto"/>
        <w:bottom w:val="none" w:sz="0" w:space="0" w:color="auto"/>
        <w:right w:val="none" w:sz="0" w:space="0" w:color="auto"/>
      </w:divBdr>
    </w:div>
    <w:div w:id="608896706">
      <w:bodyDiv w:val="1"/>
      <w:marLeft w:val="0"/>
      <w:marRight w:val="0"/>
      <w:marTop w:val="0"/>
      <w:marBottom w:val="0"/>
      <w:divBdr>
        <w:top w:val="none" w:sz="0" w:space="0" w:color="auto"/>
        <w:left w:val="none" w:sz="0" w:space="0" w:color="auto"/>
        <w:bottom w:val="none" w:sz="0" w:space="0" w:color="auto"/>
        <w:right w:val="none" w:sz="0" w:space="0" w:color="auto"/>
      </w:divBdr>
    </w:div>
    <w:div w:id="612713497">
      <w:bodyDiv w:val="1"/>
      <w:marLeft w:val="0"/>
      <w:marRight w:val="0"/>
      <w:marTop w:val="0"/>
      <w:marBottom w:val="0"/>
      <w:divBdr>
        <w:top w:val="none" w:sz="0" w:space="0" w:color="auto"/>
        <w:left w:val="none" w:sz="0" w:space="0" w:color="auto"/>
        <w:bottom w:val="none" w:sz="0" w:space="0" w:color="auto"/>
        <w:right w:val="none" w:sz="0" w:space="0" w:color="auto"/>
      </w:divBdr>
    </w:div>
    <w:div w:id="621499193">
      <w:bodyDiv w:val="1"/>
      <w:marLeft w:val="0"/>
      <w:marRight w:val="0"/>
      <w:marTop w:val="0"/>
      <w:marBottom w:val="0"/>
      <w:divBdr>
        <w:top w:val="none" w:sz="0" w:space="0" w:color="auto"/>
        <w:left w:val="none" w:sz="0" w:space="0" w:color="auto"/>
        <w:bottom w:val="none" w:sz="0" w:space="0" w:color="auto"/>
        <w:right w:val="none" w:sz="0" w:space="0" w:color="auto"/>
      </w:divBdr>
    </w:div>
    <w:div w:id="642083932">
      <w:bodyDiv w:val="1"/>
      <w:marLeft w:val="0"/>
      <w:marRight w:val="0"/>
      <w:marTop w:val="0"/>
      <w:marBottom w:val="0"/>
      <w:divBdr>
        <w:top w:val="none" w:sz="0" w:space="0" w:color="auto"/>
        <w:left w:val="none" w:sz="0" w:space="0" w:color="auto"/>
        <w:bottom w:val="none" w:sz="0" w:space="0" w:color="auto"/>
        <w:right w:val="none" w:sz="0" w:space="0" w:color="auto"/>
      </w:divBdr>
    </w:div>
    <w:div w:id="643318227">
      <w:bodyDiv w:val="1"/>
      <w:marLeft w:val="0"/>
      <w:marRight w:val="0"/>
      <w:marTop w:val="0"/>
      <w:marBottom w:val="0"/>
      <w:divBdr>
        <w:top w:val="none" w:sz="0" w:space="0" w:color="auto"/>
        <w:left w:val="none" w:sz="0" w:space="0" w:color="auto"/>
        <w:bottom w:val="none" w:sz="0" w:space="0" w:color="auto"/>
        <w:right w:val="none" w:sz="0" w:space="0" w:color="auto"/>
      </w:divBdr>
    </w:div>
    <w:div w:id="658313873">
      <w:bodyDiv w:val="1"/>
      <w:marLeft w:val="0"/>
      <w:marRight w:val="0"/>
      <w:marTop w:val="0"/>
      <w:marBottom w:val="0"/>
      <w:divBdr>
        <w:top w:val="none" w:sz="0" w:space="0" w:color="auto"/>
        <w:left w:val="none" w:sz="0" w:space="0" w:color="auto"/>
        <w:bottom w:val="none" w:sz="0" w:space="0" w:color="auto"/>
        <w:right w:val="none" w:sz="0" w:space="0" w:color="auto"/>
      </w:divBdr>
    </w:div>
    <w:div w:id="670379152">
      <w:bodyDiv w:val="1"/>
      <w:marLeft w:val="0"/>
      <w:marRight w:val="0"/>
      <w:marTop w:val="0"/>
      <w:marBottom w:val="0"/>
      <w:divBdr>
        <w:top w:val="none" w:sz="0" w:space="0" w:color="auto"/>
        <w:left w:val="none" w:sz="0" w:space="0" w:color="auto"/>
        <w:bottom w:val="none" w:sz="0" w:space="0" w:color="auto"/>
        <w:right w:val="none" w:sz="0" w:space="0" w:color="auto"/>
      </w:divBdr>
    </w:div>
    <w:div w:id="692657750">
      <w:bodyDiv w:val="1"/>
      <w:marLeft w:val="0"/>
      <w:marRight w:val="0"/>
      <w:marTop w:val="0"/>
      <w:marBottom w:val="0"/>
      <w:divBdr>
        <w:top w:val="none" w:sz="0" w:space="0" w:color="auto"/>
        <w:left w:val="none" w:sz="0" w:space="0" w:color="auto"/>
        <w:bottom w:val="none" w:sz="0" w:space="0" w:color="auto"/>
        <w:right w:val="none" w:sz="0" w:space="0" w:color="auto"/>
      </w:divBdr>
    </w:div>
    <w:div w:id="707335610">
      <w:bodyDiv w:val="1"/>
      <w:marLeft w:val="0"/>
      <w:marRight w:val="0"/>
      <w:marTop w:val="0"/>
      <w:marBottom w:val="0"/>
      <w:divBdr>
        <w:top w:val="none" w:sz="0" w:space="0" w:color="auto"/>
        <w:left w:val="none" w:sz="0" w:space="0" w:color="auto"/>
        <w:bottom w:val="none" w:sz="0" w:space="0" w:color="auto"/>
        <w:right w:val="none" w:sz="0" w:space="0" w:color="auto"/>
      </w:divBdr>
    </w:div>
    <w:div w:id="708530319">
      <w:bodyDiv w:val="1"/>
      <w:marLeft w:val="0"/>
      <w:marRight w:val="0"/>
      <w:marTop w:val="0"/>
      <w:marBottom w:val="0"/>
      <w:divBdr>
        <w:top w:val="none" w:sz="0" w:space="0" w:color="auto"/>
        <w:left w:val="none" w:sz="0" w:space="0" w:color="auto"/>
        <w:bottom w:val="none" w:sz="0" w:space="0" w:color="auto"/>
        <w:right w:val="none" w:sz="0" w:space="0" w:color="auto"/>
      </w:divBdr>
    </w:div>
    <w:div w:id="715012484">
      <w:bodyDiv w:val="1"/>
      <w:marLeft w:val="0"/>
      <w:marRight w:val="0"/>
      <w:marTop w:val="0"/>
      <w:marBottom w:val="0"/>
      <w:divBdr>
        <w:top w:val="none" w:sz="0" w:space="0" w:color="auto"/>
        <w:left w:val="none" w:sz="0" w:space="0" w:color="auto"/>
        <w:bottom w:val="none" w:sz="0" w:space="0" w:color="auto"/>
        <w:right w:val="none" w:sz="0" w:space="0" w:color="auto"/>
      </w:divBdr>
    </w:div>
    <w:div w:id="738792890">
      <w:bodyDiv w:val="1"/>
      <w:marLeft w:val="0"/>
      <w:marRight w:val="0"/>
      <w:marTop w:val="0"/>
      <w:marBottom w:val="0"/>
      <w:divBdr>
        <w:top w:val="none" w:sz="0" w:space="0" w:color="auto"/>
        <w:left w:val="none" w:sz="0" w:space="0" w:color="auto"/>
        <w:bottom w:val="none" w:sz="0" w:space="0" w:color="auto"/>
        <w:right w:val="none" w:sz="0" w:space="0" w:color="auto"/>
      </w:divBdr>
    </w:div>
    <w:div w:id="751704928">
      <w:bodyDiv w:val="1"/>
      <w:marLeft w:val="0"/>
      <w:marRight w:val="0"/>
      <w:marTop w:val="0"/>
      <w:marBottom w:val="0"/>
      <w:divBdr>
        <w:top w:val="none" w:sz="0" w:space="0" w:color="auto"/>
        <w:left w:val="none" w:sz="0" w:space="0" w:color="auto"/>
        <w:bottom w:val="none" w:sz="0" w:space="0" w:color="auto"/>
        <w:right w:val="none" w:sz="0" w:space="0" w:color="auto"/>
      </w:divBdr>
    </w:div>
    <w:div w:id="761606403">
      <w:bodyDiv w:val="1"/>
      <w:marLeft w:val="0"/>
      <w:marRight w:val="0"/>
      <w:marTop w:val="0"/>
      <w:marBottom w:val="0"/>
      <w:divBdr>
        <w:top w:val="none" w:sz="0" w:space="0" w:color="auto"/>
        <w:left w:val="none" w:sz="0" w:space="0" w:color="auto"/>
        <w:bottom w:val="none" w:sz="0" w:space="0" w:color="auto"/>
        <w:right w:val="none" w:sz="0" w:space="0" w:color="auto"/>
      </w:divBdr>
    </w:div>
    <w:div w:id="761728029">
      <w:bodyDiv w:val="1"/>
      <w:marLeft w:val="0"/>
      <w:marRight w:val="0"/>
      <w:marTop w:val="0"/>
      <w:marBottom w:val="0"/>
      <w:divBdr>
        <w:top w:val="none" w:sz="0" w:space="0" w:color="auto"/>
        <w:left w:val="none" w:sz="0" w:space="0" w:color="auto"/>
        <w:bottom w:val="none" w:sz="0" w:space="0" w:color="auto"/>
        <w:right w:val="none" w:sz="0" w:space="0" w:color="auto"/>
      </w:divBdr>
    </w:div>
    <w:div w:id="764958607">
      <w:bodyDiv w:val="1"/>
      <w:marLeft w:val="0"/>
      <w:marRight w:val="0"/>
      <w:marTop w:val="0"/>
      <w:marBottom w:val="0"/>
      <w:divBdr>
        <w:top w:val="none" w:sz="0" w:space="0" w:color="auto"/>
        <w:left w:val="none" w:sz="0" w:space="0" w:color="auto"/>
        <w:bottom w:val="none" w:sz="0" w:space="0" w:color="auto"/>
        <w:right w:val="none" w:sz="0" w:space="0" w:color="auto"/>
      </w:divBdr>
    </w:div>
    <w:div w:id="782266028">
      <w:bodyDiv w:val="1"/>
      <w:marLeft w:val="0"/>
      <w:marRight w:val="0"/>
      <w:marTop w:val="0"/>
      <w:marBottom w:val="0"/>
      <w:divBdr>
        <w:top w:val="none" w:sz="0" w:space="0" w:color="auto"/>
        <w:left w:val="none" w:sz="0" w:space="0" w:color="auto"/>
        <w:bottom w:val="none" w:sz="0" w:space="0" w:color="auto"/>
        <w:right w:val="none" w:sz="0" w:space="0" w:color="auto"/>
      </w:divBdr>
    </w:div>
    <w:div w:id="792134485">
      <w:bodyDiv w:val="1"/>
      <w:marLeft w:val="0"/>
      <w:marRight w:val="0"/>
      <w:marTop w:val="0"/>
      <w:marBottom w:val="0"/>
      <w:divBdr>
        <w:top w:val="none" w:sz="0" w:space="0" w:color="auto"/>
        <w:left w:val="none" w:sz="0" w:space="0" w:color="auto"/>
        <w:bottom w:val="none" w:sz="0" w:space="0" w:color="auto"/>
        <w:right w:val="none" w:sz="0" w:space="0" w:color="auto"/>
      </w:divBdr>
    </w:div>
    <w:div w:id="814760015">
      <w:bodyDiv w:val="1"/>
      <w:marLeft w:val="0"/>
      <w:marRight w:val="0"/>
      <w:marTop w:val="0"/>
      <w:marBottom w:val="0"/>
      <w:divBdr>
        <w:top w:val="none" w:sz="0" w:space="0" w:color="auto"/>
        <w:left w:val="none" w:sz="0" w:space="0" w:color="auto"/>
        <w:bottom w:val="none" w:sz="0" w:space="0" w:color="auto"/>
        <w:right w:val="none" w:sz="0" w:space="0" w:color="auto"/>
      </w:divBdr>
    </w:div>
    <w:div w:id="819152403">
      <w:bodyDiv w:val="1"/>
      <w:marLeft w:val="0"/>
      <w:marRight w:val="0"/>
      <w:marTop w:val="0"/>
      <w:marBottom w:val="0"/>
      <w:divBdr>
        <w:top w:val="none" w:sz="0" w:space="0" w:color="auto"/>
        <w:left w:val="none" w:sz="0" w:space="0" w:color="auto"/>
        <w:bottom w:val="none" w:sz="0" w:space="0" w:color="auto"/>
        <w:right w:val="none" w:sz="0" w:space="0" w:color="auto"/>
      </w:divBdr>
    </w:div>
    <w:div w:id="822042478">
      <w:bodyDiv w:val="1"/>
      <w:marLeft w:val="0"/>
      <w:marRight w:val="0"/>
      <w:marTop w:val="0"/>
      <w:marBottom w:val="0"/>
      <w:divBdr>
        <w:top w:val="none" w:sz="0" w:space="0" w:color="auto"/>
        <w:left w:val="none" w:sz="0" w:space="0" w:color="auto"/>
        <w:bottom w:val="none" w:sz="0" w:space="0" w:color="auto"/>
        <w:right w:val="none" w:sz="0" w:space="0" w:color="auto"/>
      </w:divBdr>
    </w:div>
    <w:div w:id="830826495">
      <w:bodyDiv w:val="1"/>
      <w:marLeft w:val="0"/>
      <w:marRight w:val="0"/>
      <w:marTop w:val="0"/>
      <w:marBottom w:val="0"/>
      <w:divBdr>
        <w:top w:val="none" w:sz="0" w:space="0" w:color="auto"/>
        <w:left w:val="none" w:sz="0" w:space="0" w:color="auto"/>
        <w:bottom w:val="none" w:sz="0" w:space="0" w:color="auto"/>
        <w:right w:val="none" w:sz="0" w:space="0" w:color="auto"/>
      </w:divBdr>
    </w:div>
    <w:div w:id="836728224">
      <w:bodyDiv w:val="1"/>
      <w:marLeft w:val="0"/>
      <w:marRight w:val="0"/>
      <w:marTop w:val="0"/>
      <w:marBottom w:val="0"/>
      <w:divBdr>
        <w:top w:val="none" w:sz="0" w:space="0" w:color="auto"/>
        <w:left w:val="none" w:sz="0" w:space="0" w:color="auto"/>
        <w:bottom w:val="none" w:sz="0" w:space="0" w:color="auto"/>
        <w:right w:val="none" w:sz="0" w:space="0" w:color="auto"/>
      </w:divBdr>
    </w:div>
    <w:div w:id="875846782">
      <w:bodyDiv w:val="1"/>
      <w:marLeft w:val="0"/>
      <w:marRight w:val="0"/>
      <w:marTop w:val="0"/>
      <w:marBottom w:val="0"/>
      <w:divBdr>
        <w:top w:val="none" w:sz="0" w:space="0" w:color="auto"/>
        <w:left w:val="none" w:sz="0" w:space="0" w:color="auto"/>
        <w:bottom w:val="none" w:sz="0" w:space="0" w:color="auto"/>
        <w:right w:val="none" w:sz="0" w:space="0" w:color="auto"/>
      </w:divBdr>
    </w:div>
    <w:div w:id="883056671">
      <w:bodyDiv w:val="1"/>
      <w:marLeft w:val="0"/>
      <w:marRight w:val="0"/>
      <w:marTop w:val="0"/>
      <w:marBottom w:val="0"/>
      <w:divBdr>
        <w:top w:val="none" w:sz="0" w:space="0" w:color="auto"/>
        <w:left w:val="none" w:sz="0" w:space="0" w:color="auto"/>
        <w:bottom w:val="none" w:sz="0" w:space="0" w:color="auto"/>
        <w:right w:val="none" w:sz="0" w:space="0" w:color="auto"/>
      </w:divBdr>
    </w:div>
    <w:div w:id="893659184">
      <w:bodyDiv w:val="1"/>
      <w:marLeft w:val="0"/>
      <w:marRight w:val="0"/>
      <w:marTop w:val="0"/>
      <w:marBottom w:val="0"/>
      <w:divBdr>
        <w:top w:val="none" w:sz="0" w:space="0" w:color="auto"/>
        <w:left w:val="none" w:sz="0" w:space="0" w:color="auto"/>
        <w:bottom w:val="none" w:sz="0" w:space="0" w:color="auto"/>
        <w:right w:val="none" w:sz="0" w:space="0" w:color="auto"/>
      </w:divBdr>
    </w:div>
    <w:div w:id="906695908">
      <w:bodyDiv w:val="1"/>
      <w:marLeft w:val="0"/>
      <w:marRight w:val="0"/>
      <w:marTop w:val="0"/>
      <w:marBottom w:val="0"/>
      <w:divBdr>
        <w:top w:val="none" w:sz="0" w:space="0" w:color="auto"/>
        <w:left w:val="none" w:sz="0" w:space="0" w:color="auto"/>
        <w:bottom w:val="none" w:sz="0" w:space="0" w:color="auto"/>
        <w:right w:val="none" w:sz="0" w:space="0" w:color="auto"/>
      </w:divBdr>
    </w:div>
    <w:div w:id="910390592">
      <w:bodyDiv w:val="1"/>
      <w:marLeft w:val="0"/>
      <w:marRight w:val="0"/>
      <w:marTop w:val="0"/>
      <w:marBottom w:val="0"/>
      <w:divBdr>
        <w:top w:val="none" w:sz="0" w:space="0" w:color="auto"/>
        <w:left w:val="none" w:sz="0" w:space="0" w:color="auto"/>
        <w:bottom w:val="none" w:sz="0" w:space="0" w:color="auto"/>
        <w:right w:val="none" w:sz="0" w:space="0" w:color="auto"/>
      </w:divBdr>
    </w:div>
    <w:div w:id="918295325">
      <w:bodyDiv w:val="1"/>
      <w:marLeft w:val="0"/>
      <w:marRight w:val="0"/>
      <w:marTop w:val="0"/>
      <w:marBottom w:val="0"/>
      <w:divBdr>
        <w:top w:val="none" w:sz="0" w:space="0" w:color="auto"/>
        <w:left w:val="none" w:sz="0" w:space="0" w:color="auto"/>
        <w:bottom w:val="none" w:sz="0" w:space="0" w:color="auto"/>
        <w:right w:val="none" w:sz="0" w:space="0" w:color="auto"/>
      </w:divBdr>
    </w:div>
    <w:div w:id="932978771">
      <w:bodyDiv w:val="1"/>
      <w:marLeft w:val="0"/>
      <w:marRight w:val="0"/>
      <w:marTop w:val="0"/>
      <w:marBottom w:val="0"/>
      <w:divBdr>
        <w:top w:val="none" w:sz="0" w:space="0" w:color="auto"/>
        <w:left w:val="none" w:sz="0" w:space="0" w:color="auto"/>
        <w:bottom w:val="none" w:sz="0" w:space="0" w:color="auto"/>
        <w:right w:val="none" w:sz="0" w:space="0" w:color="auto"/>
      </w:divBdr>
    </w:div>
    <w:div w:id="933703360">
      <w:bodyDiv w:val="1"/>
      <w:marLeft w:val="0"/>
      <w:marRight w:val="0"/>
      <w:marTop w:val="0"/>
      <w:marBottom w:val="0"/>
      <w:divBdr>
        <w:top w:val="none" w:sz="0" w:space="0" w:color="auto"/>
        <w:left w:val="none" w:sz="0" w:space="0" w:color="auto"/>
        <w:bottom w:val="none" w:sz="0" w:space="0" w:color="auto"/>
        <w:right w:val="none" w:sz="0" w:space="0" w:color="auto"/>
      </w:divBdr>
    </w:div>
    <w:div w:id="938215156">
      <w:bodyDiv w:val="1"/>
      <w:marLeft w:val="0"/>
      <w:marRight w:val="0"/>
      <w:marTop w:val="0"/>
      <w:marBottom w:val="0"/>
      <w:divBdr>
        <w:top w:val="none" w:sz="0" w:space="0" w:color="auto"/>
        <w:left w:val="none" w:sz="0" w:space="0" w:color="auto"/>
        <w:bottom w:val="none" w:sz="0" w:space="0" w:color="auto"/>
        <w:right w:val="none" w:sz="0" w:space="0" w:color="auto"/>
      </w:divBdr>
    </w:div>
    <w:div w:id="938218213">
      <w:bodyDiv w:val="1"/>
      <w:marLeft w:val="0"/>
      <w:marRight w:val="0"/>
      <w:marTop w:val="0"/>
      <w:marBottom w:val="0"/>
      <w:divBdr>
        <w:top w:val="none" w:sz="0" w:space="0" w:color="auto"/>
        <w:left w:val="none" w:sz="0" w:space="0" w:color="auto"/>
        <w:bottom w:val="none" w:sz="0" w:space="0" w:color="auto"/>
        <w:right w:val="none" w:sz="0" w:space="0" w:color="auto"/>
      </w:divBdr>
    </w:div>
    <w:div w:id="958268571">
      <w:bodyDiv w:val="1"/>
      <w:marLeft w:val="0"/>
      <w:marRight w:val="0"/>
      <w:marTop w:val="0"/>
      <w:marBottom w:val="0"/>
      <w:divBdr>
        <w:top w:val="none" w:sz="0" w:space="0" w:color="auto"/>
        <w:left w:val="none" w:sz="0" w:space="0" w:color="auto"/>
        <w:bottom w:val="none" w:sz="0" w:space="0" w:color="auto"/>
        <w:right w:val="none" w:sz="0" w:space="0" w:color="auto"/>
      </w:divBdr>
    </w:div>
    <w:div w:id="962273951">
      <w:bodyDiv w:val="1"/>
      <w:marLeft w:val="0"/>
      <w:marRight w:val="0"/>
      <w:marTop w:val="0"/>
      <w:marBottom w:val="0"/>
      <w:divBdr>
        <w:top w:val="none" w:sz="0" w:space="0" w:color="auto"/>
        <w:left w:val="none" w:sz="0" w:space="0" w:color="auto"/>
        <w:bottom w:val="none" w:sz="0" w:space="0" w:color="auto"/>
        <w:right w:val="none" w:sz="0" w:space="0" w:color="auto"/>
      </w:divBdr>
    </w:div>
    <w:div w:id="966398360">
      <w:bodyDiv w:val="1"/>
      <w:marLeft w:val="0"/>
      <w:marRight w:val="0"/>
      <w:marTop w:val="0"/>
      <w:marBottom w:val="0"/>
      <w:divBdr>
        <w:top w:val="none" w:sz="0" w:space="0" w:color="auto"/>
        <w:left w:val="none" w:sz="0" w:space="0" w:color="auto"/>
        <w:bottom w:val="none" w:sz="0" w:space="0" w:color="auto"/>
        <w:right w:val="none" w:sz="0" w:space="0" w:color="auto"/>
      </w:divBdr>
    </w:div>
    <w:div w:id="972490660">
      <w:bodyDiv w:val="1"/>
      <w:marLeft w:val="0"/>
      <w:marRight w:val="0"/>
      <w:marTop w:val="0"/>
      <w:marBottom w:val="0"/>
      <w:divBdr>
        <w:top w:val="none" w:sz="0" w:space="0" w:color="auto"/>
        <w:left w:val="none" w:sz="0" w:space="0" w:color="auto"/>
        <w:bottom w:val="none" w:sz="0" w:space="0" w:color="auto"/>
        <w:right w:val="none" w:sz="0" w:space="0" w:color="auto"/>
      </w:divBdr>
    </w:div>
    <w:div w:id="986130968">
      <w:bodyDiv w:val="1"/>
      <w:marLeft w:val="0"/>
      <w:marRight w:val="0"/>
      <w:marTop w:val="0"/>
      <w:marBottom w:val="0"/>
      <w:divBdr>
        <w:top w:val="none" w:sz="0" w:space="0" w:color="auto"/>
        <w:left w:val="none" w:sz="0" w:space="0" w:color="auto"/>
        <w:bottom w:val="none" w:sz="0" w:space="0" w:color="auto"/>
        <w:right w:val="none" w:sz="0" w:space="0" w:color="auto"/>
      </w:divBdr>
    </w:div>
    <w:div w:id="992833624">
      <w:bodyDiv w:val="1"/>
      <w:marLeft w:val="0"/>
      <w:marRight w:val="0"/>
      <w:marTop w:val="0"/>
      <w:marBottom w:val="0"/>
      <w:divBdr>
        <w:top w:val="none" w:sz="0" w:space="0" w:color="auto"/>
        <w:left w:val="none" w:sz="0" w:space="0" w:color="auto"/>
        <w:bottom w:val="none" w:sz="0" w:space="0" w:color="auto"/>
        <w:right w:val="none" w:sz="0" w:space="0" w:color="auto"/>
      </w:divBdr>
    </w:div>
    <w:div w:id="1002858861">
      <w:bodyDiv w:val="1"/>
      <w:marLeft w:val="0"/>
      <w:marRight w:val="0"/>
      <w:marTop w:val="0"/>
      <w:marBottom w:val="0"/>
      <w:divBdr>
        <w:top w:val="none" w:sz="0" w:space="0" w:color="auto"/>
        <w:left w:val="none" w:sz="0" w:space="0" w:color="auto"/>
        <w:bottom w:val="none" w:sz="0" w:space="0" w:color="auto"/>
        <w:right w:val="none" w:sz="0" w:space="0" w:color="auto"/>
      </w:divBdr>
    </w:div>
    <w:div w:id="1005789436">
      <w:bodyDiv w:val="1"/>
      <w:marLeft w:val="0"/>
      <w:marRight w:val="0"/>
      <w:marTop w:val="0"/>
      <w:marBottom w:val="0"/>
      <w:divBdr>
        <w:top w:val="none" w:sz="0" w:space="0" w:color="auto"/>
        <w:left w:val="none" w:sz="0" w:space="0" w:color="auto"/>
        <w:bottom w:val="none" w:sz="0" w:space="0" w:color="auto"/>
        <w:right w:val="none" w:sz="0" w:space="0" w:color="auto"/>
      </w:divBdr>
    </w:div>
    <w:div w:id="1018391021">
      <w:bodyDiv w:val="1"/>
      <w:marLeft w:val="0"/>
      <w:marRight w:val="0"/>
      <w:marTop w:val="0"/>
      <w:marBottom w:val="0"/>
      <w:divBdr>
        <w:top w:val="none" w:sz="0" w:space="0" w:color="auto"/>
        <w:left w:val="none" w:sz="0" w:space="0" w:color="auto"/>
        <w:bottom w:val="none" w:sz="0" w:space="0" w:color="auto"/>
        <w:right w:val="none" w:sz="0" w:space="0" w:color="auto"/>
      </w:divBdr>
    </w:div>
    <w:div w:id="1020857472">
      <w:bodyDiv w:val="1"/>
      <w:marLeft w:val="0"/>
      <w:marRight w:val="0"/>
      <w:marTop w:val="0"/>
      <w:marBottom w:val="0"/>
      <w:divBdr>
        <w:top w:val="none" w:sz="0" w:space="0" w:color="auto"/>
        <w:left w:val="none" w:sz="0" w:space="0" w:color="auto"/>
        <w:bottom w:val="none" w:sz="0" w:space="0" w:color="auto"/>
        <w:right w:val="none" w:sz="0" w:space="0" w:color="auto"/>
      </w:divBdr>
    </w:div>
    <w:div w:id="1024860843">
      <w:bodyDiv w:val="1"/>
      <w:marLeft w:val="0"/>
      <w:marRight w:val="0"/>
      <w:marTop w:val="0"/>
      <w:marBottom w:val="0"/>
      <w:divBdr>
        <w:top w:val="none" w:sz="0" w:space="0" w:color="auto"/>
        <w:left w:val="none" w:sz="0" w:space="0" w:color="auto"/>
        <w:bottom w:val="none" w:sz="0" w:space="0" w:color="auto"/>
        <w:right w:val="none" w:sz="0" w:space="0" w:color="auto"/>
      </w:divBdr>
    </w:div>
    <w:div w:id="1035816483">
      <w:bodyDiv w:val="1"/>
      <w:marLeft w:val="0"/>
      <w:marRight w:val="0"/>
      <w:marTop w:val="0"/>
      <w:marBottom w:val="0"/>
      <w:divBdr>
        <w:top w:val="none" w:sz="0" w:space="0" w:color="auto"/>
        <w:left w:val="none" w:sz="0" w:space="0" w:color="auto"/>
        <w:bottom w:val="none" w:sz="0" w:space="0" w:color="auto"/>
        <w:right w:val="none" w:sz="0" w:space="0" w:color="auto"/>
      </w:divBdr>
    </w:div>
    <w:div w:id="1052458933">
      <w:bodyDiv w:val="1"/>
      <w:marLeft w:val="0"/>
      <w:marRight w:val="0"/>
      <w:marTop w:val="0"/>
      <w:marBottom w:val="0"/>
      <w:divBdr>
        <w:top w:val="none" w:sz="0" w:space="0" w:color="auto"/>
        <w:left w:val="none" w:sz="0" w:space="0" w:color="auto"/>
        <w:bottom w:val="none" w:sz="0" w:space="0" w:color="auto"/>
        <w:right w:val="none" w:sz="0" w:space="0" w:color="auto"/>
      </w:divBdr>
    </w:div>
    <w:div w:id="1058817111">
      <w:bodyDiv w:val="1"/>
      <w:marLeft w:val="0"/>
      <w:marRight w:val="0"/>
      <w:marTop w:val="0"/>
      <w:marBottom w:val="0"/>
      <w:divBdr>
        <w:top w:val="none" w:sz="0" w:space="0" w:color="auto"/>
        <w:left w:val="none" w:sz="0" w:space="0" w:color="auto"/>
        <w:bottom w:val="none" w:sz="0" w:space="0" w:color="auto"/>
        <w:right w:val="none" w:sz="0" w:space="0" w:color="auto"/>
      </w:divBdr>
    </w:div>
    <w:div w:id="1066226435">
      <w:bodyDiv w:val="1"/>
      <w:marLeft w:val="0"/>
      <w:marRight w:val="0"/>
      <w:marTop w:val="0"/>
      <w:marBottom w:val="0"/>
      <w:divBdr>
        <w:top w:val="none" w:sz="0" w:space="0" w:color="auto"/>
        <w:left w:val="none" w:sz="0" w:space="0" w:color="auto"/>
        <w:bottom w:val="none" w:sz="0" w:space="0" w:color="auto"/>
        <w:right w:val="none" w:sz="0" w:space="0" w:color="auto"/>
      </w:divBdr>
    </w:div>
    <w:div w:id="1086656486">
      <w:bodyDiv w:val="1"/>
      <w:marLeft w:val="0"/>
      <w:marRight w:val="0"/>
      <w:marTop w:val="0"/>
      <w:marBottom w:val="0"/>
      <w:divBdr>
        <w:top w:val="none" w:sz="0" w:space="0" w:color="auto"/>
        <w:left w:val="none" w:sz="0" w:space="0" w:color="auto"/>
        <w:bottom w:val="none" w:sz="0" w:space="0" w:color="auto"/>
        <w:right w:val="none" w:sz="0" w:space="0" w:color="auto"/>
      </w:divBdr>
    </w:div>
    <w:div w:id="1136215352">
      <w:bodyDiv w:val="1"/>
      <w:marLeft w:val="0"/>
      <w:marRight w:val="0"/>
      <w:marTop w:val="0"/>
      <w:marBottom w:val="0"/>
      <w:divBdr>
        <w:top w:val="none" w:sz="0" w:space="0" w:color="auto"/>
        <w:left w:val="none" w:sz="0" w:space="0" w:color="auto"/>
        <w:bottom w:val="none" w:sz="0" w:space="0" w:color="auto"/>
        <w:right w:val="none" w:sz="0" w:space="0" w:color="auto"/>
      </w:divBdr>
    </w:div>
    <w:div w:id="1140996705">
      <w:bodyDiv w:val="1"/>
      <w:marLeft w:val="0"/>
      <w:marRight w:val="0"/>
      <w:marTop w:val="0"/>
      <w:marBottom w:val="0"/>
      <w:divBdr>
        <w:top w:val="none" w:sz="0" w:space="0" w:color="auto"/>
        <w:left w:val="none" w:sz="0" w:space="0" w:color="auto"/>
        <w:bottom w:val="none" w:sz="0" w:space="0" w:color="auto"/>
        <w:right w:val="none" w:sz="0" w:space="0" w:color="auto"/>
      </w:divBdr>
    </w:div>
    <w:div w:id="1143157003">
      <w:bodyDiv w:val="1"/>
      <w:marLeft w:val="0"/>
      <w:marRight w:val="0"/>
      <w:marTop w:val="0"/>
      <w:marBottom w:val="0"/>
      <w:divBdr>
        <w:top w:val="none" w:sz="0" w:space="0" w:color="auto"/>
        <w:left w:val="none" w:sz="0" w:space="0" w:color="auto"/>
        <w:bottom w:val="none" w:sz="0" w:space="0" w:color="auto"/>
        <w:right w:val="none" w:sz="0" w:space="0" w:color="auto"/>
      </w:divBdr>
    </w:div>
    <w:div w:id="1150900185">
      <w:bodyDiv w:val="1"/>
      <w:marLeft w:val="0"/>
      <w:marRight w:val="0"/>
      <w:marTop w:val="0"/>
      <w:marBottom w:val="0"/>
      <w:divBdr>
        <w:top w:val="none" w:sz="0" w:space="0" w:color="auto"/>
        <w:left w:val="none" w:sz="0" w:space="0" w:color="auto"/>
        <w:bottom w:val="none" w:sz="0" w:space="0" w:color="auto"/>
        <w:right w:val="none" w:sz="0" w:space="0" w:color="auto"/>
      </w:divBdr>
    </w:div>
    <w:div w:id="1154569032">
      <w:bodyDiv w:val="1"/>
      <w:marLeft w:val="0"/>
      <w:marRight w:val="0"/>
      <w:marTop w:val="0"/>
      <w:marBottom w:val="0"/>
      <w:divBdr>
        <w:top w:val="none" w:sz="0" w:space="0" w:color="auto"/>
        <w:left w:val="none" w:sz="0" w:space="0" w:color="auto"/>
        <w:bottom w:val="none" w:sz="0" w:space="0" w:color="auto"/>
        <w:right w:val="none" w:sz="0" w:space="0" w:color="auto"/>
      </w:divBdr>
    </w:div>
    <w:div w:id="1159468172">
      <w:bodyDiv w:val="1"/>
      <w:marLeft w:val="0"/>
      <w:marRight w:val="0"/>
      <w:marTop w:val="0"/>
      <w:marBottom w:val="0"/>
      <w:divBdr>
        <w:top w:val="none" w:sz="0" w:space="0" w:color="auto"/>
        <w:left w:val="none" w:sz="0" w:space="0" w:color="auto"/>
        <w:bottom w:val="none" w:sz="0" w:space="0" w:color="auto"/>
        <w:right w:val="none" w:sz="0" w:space="0" w:color="auto"/>
      </w:divBdr>
    </w:div>
    <w:div w:id="1167135634">
      <w:bodyDiv w:val="1"/>
      <w:marLeft w:val="0"/>
      <w:marRight w:val="0"/>
      <w:marTop w:val="0"/>
      <w:marBottom w:val="0"/>
      <w:divBdr>
        <w:top w:val="none" w:sz="0" w:space="0" w:color="auto"/>
        <w:left w:val="none" w:sz="0" w:space="0" w:color="auto"/>
        <w:bottom w:val="none" w:sz="0" w:space="0" w:color="auto"/>
        <w:right w:val="none" w:sz="0" w:space="0" w:color="auto"/>
      </w:divBdr>
    </w:div>
    <w:div w:id="1173766172">
      <w:bodyDiv w:val="1"/>
      <w:marLeft w:val="0"/>
      <w:marRight w:val="0"/>
      <w:marTop w:val="0"/>
      <w:marBottom w:val="0"/>
      <w:divBdr>
        <w:top w:val="none" w:sz="0" w:space="0" w:color="auto"/>
        <w:left w:val="none" w:sz="0" w:space="0" w:color="auto"/>
        <w:bottom w:val="none" w:sz="0" w:space="0" w:color="auto"/>
        <w:right w:val="none" w:sz="0" w:space="0" w:color="auto"/>
      </w:divBdr>
    </w:div>
    <w:div w:id="1208227212">
      <w:bodyDiv w:val="1"/>
      <w:marLeft w:val="0"/>
      <w:marRight w:val="0"/>
      <w:marTop w:val="0"/>
      <w:marBottom w:val="0"/>
      <w:divBdr>
        <w:top w:val="none" w:sz="0" w:space="0" w:color="auto"/>
        <w:left w:val="none" w:sz="0" w:space="0" w:color="auto"/>
        <w:bottom w:val="none" w:sz="0" w:space="0" w:color="auto"/>
        <w:right w:val="none" w:sz="0" w:space="0" w:color="auto"/>
      </w:divBdr>
    </w:div>
    <w:div w:id="1209873478">
      <w:bodyDiv w:val="1"/>
      <w:marLeft w:val="0"/>
      <w:marRight w:val="0"/>
      <w:marTop w:val="0"/>
      <w:marBottom w:val="0"/>
      <w:divBdr>
        <w:top w:val="none" w:sz="0" w:space="0" w:color="auto"/>
        <w:left w:val="none" w:sz="0" w:space="0" w:color="auto"/>
        <w:bottom w:val="none" w:sz="0" w:space="0" w:color="auto"/>
        <w:right w:val="none" w:sz="0" w:space="0" w:color="auto"/>
      </w:divBdr>
    </w:div>
    <w:div w:id="1216351431">
      <w:bodyDiv w:val="1"/>
      <w:marLeft w:val="0"/>
      <w:marRight w:val="0"/>
      <w:marTop w:val="0"/>
      <w:marBottom w:val="0"/>
      <w:divBdr>
        <w:top w:val="none" w:sz="0" w:space="0" w:color="auto"/>
        <w:left w:val="none" w:sz="0" w:space="0" w:color="auto"/>
        <w:bottom w:val="none" w:sz="0" w:space="0" w:color="auto"/>
        <w:right w:val="none" w:sz="0" w:space="0" w:color="auto"/>
      </w:divBdr>
    </w:div>
    <w:div w:id="1224833409">
      <w:bodyDiv w:val="1"/>
      <w:marLeft w:val="0"/>
      <w:marRight w:val="0"/>
      <w:marTop w:val="0"/>
      <w:marBottom w:val="0"/>
      <w:divBdr>
        <w:top w:val="none" w:sz="0" w:space="0" w:color="auto"/>
        <w:left w:val="none" w:sz="0" w:space="0" w:color="auto"/>
        <w:bottom w:val="none" w:sz="0" w:space="0" w:color="auto"/>
        <w:right w:val="none" w:sz="0" w:space="0" w:color="auto"/>
      </w:divBdr>
    </w:div>
    <w:div w:id="1229534388">
      <w:bodyDiv w:val="1"/>
      <w:marLeft w:val="0"/>
      <w:marRight w:val="0"/>
      <w:marTop w:val="0"/>
      <w:marBottom w:val="0"/>
      <w:divBdr>
        <w:top w:val="none" w:sz="0" w:space="0" w:color="auto"/>
        <w:left w:val="none" w:sz="0" w:space="0" w:color="auto"/>
        <w:bottom w:val="none" w:sz="0" w:space="0" w:color="auto"/>
        <w:right w:val="none" w:sz="0" w:space="0" w:color="auto"/>
      </w:divBdr>
    </w:div>
    <w:div w:id="1232302849">
      <w:bodyDiv w:val="1"/>
      <w:marLeft w:val="0"/>
      <w:marRight w:val="0"/>
      <w:marTop w:val="0"/>
      <w:marBottom w:val="0"/>
      <w:divBdr>
        <w:top w:val="none" w:sz="0" w:space="0" w:color="auto"/>
        <w:left w:val="none" w:sz="0" w:space="0" w:color="auto"/>
        <w:bottom w:val="none" w:sz="0" w:space="0" w:color="auto"/>
        <w:right w:val="none" w:sz="0" w:space="0" w:color="auto"/>
      </w:divBdr>
    </w:div>
    <w:div w:id="1235698972">
      <w:bodyDiv w:val="1"/>
      <w:marLeft w:val="0"/>
      <w:marRight w:val="0"/>
      <w:marTop w:val="0"/>
      <w:marBottom w:val="0"/>
      <w:divBdr>
        <w:top w:val="none" w:sz="0" w:space="0" w:color="auto"/>
        <w:left w:val="none" w:sz="0" w:space="0" w:color="auto"/>
        <w:bottom w:val="none" w:sz="0" w:space="0" w:color="auto"/>
        <w:right w:val="none" w:sz="0" w:space="0" w:color="auto"/>
      </w:divBdr>
    </w:div>
    <w:div w:id="1236431893">
      <w:bodyDiv w:val="1"/>
      <w:marLeft w:val="0"/>
      <w:marRight w:val="0"/>
      <w:marTop w:val="0"/>
      <w:marBottom w:val="0"/>
      <w:divBdr>
        <w:top w:val="none" w:sz="0" w:space="0" w:color="auto"/>
        <w:left w:val="none" w:sz="0" w:space="0" w:color="auto"/>
        <w:bottom w:val="none" w:sz="0" w:space="0" w:color="auto"/>
        <w:right w:val="none" w:sz="0" w:space="0" w:color="auto"/>
      </w:divBdr>
    </w:div>
    <w:div w:id="1271429435">
      <w:bodyDiv w:val="1"/>
      <w:marLeft w:val="0"/>
      <w:marRight w:val="0"/>
      <w:marTop w:val="0"/>
      <w:marBottom w:val="0"/>
      <w:divBdr>
        <w:top w:val="none" w:sz="0" w:space="0" w:color="auto"/>
        <w:left w:val="none" w:sz="0" w:space="0" w:color="auto"/>
        <w:bottom w:val="none" w:sz="0" w:space="0" w:color="auto"/>
        <w:right w:val="none" w:sz="0" w:space="0" w:color="auto"/>
      </w:divBdr>
    </w:div>
    <w:div w:id="1273391269">
      <w:bodyDiv w:val="1"/>
      <w:marLeft w:val="0"/>
      <w:marRight w:val="0"/>
      <w:marTop w:val="0"/>
      <w:marBottom w:val="0"/>
      <w:divBdr>
        <w:top w:val="none" w:sz="0" w:space="0" w:color="auto"/>
        <w:left w:val="none" w:sz="0" w:space="0" w:color="auto"/>
        <w:bottom w:val="none" w:sz="0" w:space="0" w:color="auto"/>
        <w:right w:val="none" w:sz="0" w:space="0" w:color="auto"/>
      </w:divBdr>
    </w:div>
    <w:div w:id="1325745418">
      <w:bodyDiv w:val="1"/>
      <w:marLeft w:val="0"/>
      <w:marRight w:val="0"/>
      <w:marTop w:val="0"/>
      <w:marBottom w:val="0"/>
      <w:divBdr>
        <w:top w:val="none" w:sz="0" w:space="0" w:color="auto"/>
        <w:left w:val="none" w:sz="0" w:space="0" w:color="auto"/>
        <w:bottom w:val="none" w:sz="0" w:space="0" w:color="auto"/>
        <w:right w:val="none" w:sz="0" w:space="0" w:color="auto"/>
      </w:divBdr>
    </w:div>
    <w:div w:id="1338462836">
      <w:bodyDiv w:val="1"/>
      <w:marLeft w:val="0"/>
      <w:marRight w:val="0"/>
      <w:marTop w:val="0"/>
      <w:marBottom w:val="0"/>
      <w:divBdr>
        <w:top w:val="none" w:sz="0" w:space="0" w:color="auto"/>
        <w:left w:val="none" w:sz="0" w:space="0" w:color="auto"/>
        <w:bottom w:val="none" w:sz="0" w:space="0" w:color="auto"/>
        <w:right w:val="none" w:sz="0" w:space="0" w:color="auto"/>
      </w:divBdr>
    </w:div>
    <w:div w:id="1343900955">
      <w:bodyDiv w:val="1"/>
      <w:marLeft w:val="0"/>
      <w:marRight w:val="0"/>
      <w:marTop w:val="0"/>
      <w:marBottom w:val="0"/>
      <w:divBdr>
        <w:top w:val="none" w:sz="0" w:space="0" w:color="auto"/>
        <w:left w:val="none" w:sz="0" w:space="0" w:color="auto"/>
        <w:bottom w:val="none" w:sz="0" w:space="0" w:color="auto"/>
        <w:right w:val="none" w:sz="0" w:space="0" w:color="auto"/>
      </w:divBdr>
    </w:div>
    <w:div w:id="1346706743">
      <w:bodyDiv w:val="1"/>
      <w:marLeft w:val="0"/>
      <w:marRight w:val="0"/>
      <w:marTop w:val="0"/>
      <w:marBottom w:val="0"/>
      <w:divBdr>
        <w:top w:val="none" w:sz="0" w:space="0" w:color="auto"/>
        <w:left w:val="none" w:sz="0" w:space="0" w:color="auto"/>
        <w:bottom w:val="none" w:sz="0" w:space="0" w:color="auto"/>
        <w:right w:val="none" w:sz="0" w:space="0" w:color="auto"/>
      </w:divBdr>
    </w:div>
    <w:div w:id="1378581021">
      <w:bodyDiv w:val="1"/>
      <w:marLeft w:val="0"/>
      <w:marRight w:val="0"/>
      <w:marTop w:val="0"/>
      <w:marBottom w:val="0"/>
      <w:divBdr>
        <w:top w:val="none" w:sz="0" w:space="0" w:color="auto"/>
        <w:left w:val="none" w:sz="0" w:space="0" w:color="auto"/>
        <w:bottom w:val="none" w:sz="0" w:space="0" w:color="auto"/>
        <w:right w:val="none" w:sz="0" w:space="0" w:color="auto"/>
      </w:divBdr>
    </w:div>
    <w:div w:id="1391809999">
      <w:bodyDiv w:val="1"/>
      <w:marLeft w:val="0"/>
      <w:marRight w:val="0"/>
      <w:marTop w:val="0"/>
      <w:marBottom w:val="0"/>
      <w:divBdr>
        <w:top w:val="none" w:sz="0" w:space="0" w:color="auto"/>
        <w:left w:val="none" w:sz="0" w:space="0" w:color="auto"/>
        <w:bottom w:val="none" w:sz="0" w:space="0" w:color="auto"/>
        <w:right w:val="none" w:sz="0" w:space="0" w:color="auto"/>
      </w:divBdr>
    </w:div>
    <w:div w:id="1420441119">
      <w:bodyDiv w:val="1"/>
      <w:marLeft w:val="0"/>
      <w:marRight w:val="0"/>
      <w:marTop w:val="0"/>
      <w:marBottom w:val="0"/>
      <w:divBdr>
        <w:top w:val="none" w:sz="0" w:space="0" w:color="auto"/>
        <w:left w:val="none" w:sz="0" w:space="0" w:color="auto"/>
        <w:bottom w:val="none" w:sz="0" w:space="0" w:color="auto"/>
        <w:right w:val="none" w:sz="0" w:space="0" w:color="auto"/>
      </w:divBdr>
    </w:div>
    <w:div w:id="1430278103">
      <w:bodyDiv w:val="1"/>
      <w:marLeft w:val="0"/>
      <w:marRight w:val="0"/>
      <w:marTop w:val="0"/>
      <w:marBottom w:val="0"/>
      <w:divBdr>
        <w:top w:val="none" w:sz="0" w:space="0" w:color="auto"/>
        <w:left w:val="none" w:sz="0" w:space="0" w:color="auto"/>
        <w:bottom w:val="none" w:sz="0" w:space="0" w:color="auto"/>
        <w:right w:val="none" w:sz="0" w:space="0" w:color="auto"/>
      </w:divBdr>
    </w:div>
    <w:div w:id="1436638251">
      <w:bodyDiv w:val="1"/>
      <w:marLeft w:val="0"/>
      <w:marRight w:val="0"/>
      <w:marTop w:val="0"/>
      <w:marBottom w:val="0"/>
      <w:divBdr>
        <w:top w:val="none" w:sz="0" w:space="0" w:color="auto"/>
        <w:left w:val="none" w:sz="0" w:space="0" w:color="auto"/>
        <w:bottom w:val="none" w:sz="0" w:space="0" w:color="auto"/>
        <w:right w:val="none" w:sz="0" w:space="0" w:color="auto"/>
      </w:divBdr>
    </w:div>
    <w:div w:id="1437364607">
      <w:bodyDiv w:val="1"/>
      <w:marLeft w:val="0"/>
      <w:marRight w:val="0"/>
      <w:marTop w:val="0"/>
      <w:marBottom w:val="0"/>
      <w:divBdr>
        <w:top w:val="none" w:sz="0" w:space="0" w:color="auto"/>
        <w:left w:val="none" w:sz="0" w:space="0" w:color="auto"/>
        <w:bottom w:val="none" w:sz="0" w:space="0" w:color="auto"/>
        <w:right w:val="none" w:sz="0" w:space="0" w:color="auto"/>
      </w:divBdr>
    </w:div>
    <w:div w:id="1439108250">
      <w:bodyDiv w:val="1"/>
      <w:marLeft w:val="0"/>
      <w:marRight w:val="0"/>
      <w:marTop w:val="0"/>
      <w:marBottom w:val="0"/>
      <w:divBdr>
        <w:top w:val="none" w:sz="0" w:space="0" w:color="auto"/>
        <w:left w:val="none" w:sz="0" w:space="0" w:color="auto"/>
        <w:bottom w:val="none" w:sz="0" w:space="0" w:color="auto"/>
        <w:right w:val="none" w:sz="0" w:space="0" w:color="auto"/>
      </w:divBdr>
    </w:div>
    <w:div w:id="1447431484">
      <w:bodyDiv w:val="1"/>
      <w:marLeft w:val="0"/>
      <w:marRight w:val="0"/>
      <w:marTop w:val="0"/>
      <w:marBottom w:val="0"/>
      <w:divBdr>
        <w:top w:val="none" w:sz="0" w:space="0" w:color="auto"/>
        <w:left w:val="none" w:sz="0" w:space="0" w:color="auto"/>
        <w:bottom w:val="none" w:sz="0" w:space="0" w:color="auto"/>
        <w:right w:val="none" w:sz="0" w:space="0" w:color="auto"/>
      </w:divBdr>
    </w:div>
    <w:div w:id="1463113337">
      <w:bodyDiv w:val="1"/>
      <w:marLeft w:val="0"/>
      <w:marRight w:val="0"/>
      <w:marTop w:val="0"/>
      <w:marBottom w:val="0"/>
      <w:divBdr>
        <w:top w:val="none" w:sz="0" w:space="0" w:color="auto"/>
        <w:left w:val="none" w:sz="0" w:space="0" w:color="auto"/>
        <w:bottom w:val="none" w:sz="0" w:space="0" w:color="auto"/>
        <w:right w:val="none" w:sz="0" w:space="0" w:color="auto"/>
      </w:divBdr>
    </w:div>
    <w:div w:id="1486311311">
      <w:bodyDiv w:val="1"/>
      <w:marLeft w:val="0"/>
      <w:marRight w:val="0"/>
      <w:marTop w:val="0"/>
      <w:marBottom w:val="0"/>
      <w:divBdr>
        <w:top w:val="none" w:sz="0" w:space="0" w:color="auto"/>
        <w:left w:val="none" w:sz="0" w:space="0" w:color="auto"/>
        <w:bottom w:val="none" w:sz="0" w:space="0" w:color="auto"/>
        <w:right w:val="none" w:sz="0" w:space="0" w:color="auto"/>
      </w:divBdr>
    </w:div>
    <w:div w:id="1487823460">
      <w:bodyDiv w:val="1"/>
      <w:marLeft w:val="0"/>
      <w:marRight w:val="0"/>
      <w:marTop w:val="0"/>
      <w:marBottom w:val="0"/>
      <w:divBdr>
        <w:top w:val="none" w:sz="0" w:space="0" w:color="auto"/>
        <w:left w:val="none" w:sz="0" w:space="0" w:color="auto"/>
        <w:bottom w:val="none" w:sz="0" w:space="0" w:color="auto"/>
        <w:right w:val="none" w:sz="0" w:space="0" w:color="auto"/>
      </w:divBdr>
    </w:div>
    <w:div w:id="1513257388">
      <w:bodyDiv w:val="1"/>
      <w:marLeft w:val="0"/>
      <w:marRight w:val="0"/>
      <w:marTop w:val="0"/>
      <w:marBottom w:val="0"/>
      <w:divBdr>
        <w:top w:val="none" w:sz="0" w:space="0" w:color="auto"/>
        <w:left w:val="none" w:sz="0" w:space="0" w:color="auto"/>
        <w:bottom w:val="none" w:sz="0" w:space="0" w:color="auto"/>
        <w:right w:val="none" w:sz="0" w:space="0" w:color="auto"/>
      </w:divBdr>
    </w:div>
    <w:div w:id="1516338329">
      <w:bodyDiv w:val="1"/>
      <w:marLeft w:val="0"/>
      <w:marRight w:val="0"/>
      <w:marTop w:val="0"/>
      <w:marBottom w:val="0"/>
      <w:divBdr>
        <w:top w:val="none" w:sz="0" w:space="0" w:color="auto"/>
        <w:left w:val="none" w:sz="0" w:space="0" w:color="auto"/>
        <w:bottom w:val="none" w:sz="0" w:space="0" w:color="auto"/>
        <w:right w:val="none" w:sz="0" w:space="0" w:color="auto"/>
      </w:divBdr>
    </w:div>
    <w:div w:id="1516843562">
      <w:bodyDiv w:val="1"/>
      <w:marLeft w:val="0"/>
      <w:marRight w:val="0"/>
      <w:marTop w:val="0"/>
      <w:marBottom w:val="0"/>
      <w:divBdr>
        <w:top w:val="none" w:sz="0" w:space="0" w:color="auto"/>
        <w:left w:val="none" w:sz="0" w:space="0" w:color="auto"/>
        <w:bottom w:val="none" w:sz="0" w:space="0" w:color="auto"/>
        <w:right w:val="none" w:sz="0" w:space="0" w:color="auto"/>
      </w:divBdr>
    </w:div>
    <w:div w:id="1522668221">
      <w:bodyDiv w:val="1"/>
      <w:marLeft w:val="0"/>
      <w:marRight w:val="0"/>
      <w:marTop w:val="0"/>
      <w:marBottom w:val="0"/>
      <w:divBdr>
        <w:top w:val="none" w:sz="0" w:space="0" w:color="auto"/>
        <w:left w:val="none" w:sz="0" w:space="0" w:color="auto"/>
        <w:bottom w:val="none" w:sz="0" w:space="0" w:color="auto"/>
        <w:right w:val="none" w:sz="0" w:space="0" w:color="auto"/>
      </w:divBdr>
    </w:div>
    <w:div w:id="1594241878">
      <w:bodyDiv w:val="1"/>
      <w:marLeft w:val="0"/>
      <w:marRight w:val="0"/>
      <w:marTop w:val="0"/>
      <w:marBottom w:val="0"/>
      <w:divBdr>
        <w:top w:val="none" w:sz="0" w:space="0" w:color="auto"/>
        <w:left w:val="none" w:sz="0" w:space="0" w:color="auto"/>
        <w:bottom w:val="none" w:sz="0" w:space="0" w:color="auto"/>
        <w:right w:val="none" w:sz="0" w:space="0" w:color="auto"/>
      </w:divBdr>
    </w:div>
    <w:div w:id="1601907806">
      <w:bodyDiv w:val="1"/>
      <w:marLeft w:val="0"/>
      <w:marRight w:val="0"/>
      <w:marTop w:val="0"/>
      <w:marBottom w:val="0"/>
      <w:divBdr>
        <w:top w:val="none" w:sz="0" w:space="0" w:color="auto"/>
        <w:left w:val="none" w:sz="0" w:space="0" w:color="auto"/>
        <w:bottom w:val="none" w:sz="0" w:space="0" w:color="auto"/>
        <w:right w:val="none" w:sz="0" w:space="0" w:color="auto"/>
      </w:divBdr>
    </w:div>
    <w:div w:id="1603296057">
      <w:bodyDiv w:val="1"/>
      <w:marLeft w:val="0"/>
      <w:marRight w:val="0"/>
      <w:marTop w:val="0"/>
      <w:marBottom w:val="0"/>
      <w:divBdr>
        <w:top w:val="none" w:sz="0" w:space="0" w:color="auto"/>
        <w:left w:val="none" w:sz="0" w:space="0" w:color="auto"/>
        <w:bottom w:val="none" w:sz="0" w:space="0" w:color="auto"/>
        <w:right w:val="none" w:sz="0" w:space="0" w:color="auto"/>
      </w:divBdr>
    </w:div>
    <w:div w:id="1609464719">
      <w:bodyDiv w:val="1"/>
      <w:marLeft w:val="0"/>
      <w:marRight w:val="0"/>
      <w:marTop w:val="0"/>
      <w:marBottom w:val="0"/>
      <w:divBdr>
        <w:top w:val="none" w:sz="0" w:space="0" w:color="auto"/>
        <w:left w:val="none" w:sz="0" w:space="0" w:color="auto"/>
        <w:bottom w:val="none" w:sz="0" w:space="0" w:color="auto"/>
        <w:right w:val="none" w:sz="0" w:space="0" w:color="auto"/>
      </w:divBdr>
    </w:div>
    <w:div w:id="1611430020">
      <w:bodyDiv w:val="1"/>
      <w:marLeft w:val="0"/>
      <w:marRight w:val="0"/>
      <w:marTop w:val="0"/>
      <w:marBottom w:val="0"/>
      <w:divBdr>
        <w:top w:val="none" w:sz="0" w:space="0" w:color="auto"/>
        <w:left w:val="none" w:sz="0" w:space="0" w:color="auto"/>
        <w:bottom w:val="none" w:sz="0" w:space="0" w:color="auto"/>
        <w:right w:val="none" w:sz="0" w:space="0" w:color="auto"/>
      </w:divBdr>
    </w:div>
    <w:div w:id="1629819531">
      <w:bodyDiv w:val="1"/>
      <w:marLeft w:val="0"/>
      <w:marRight w:val="0"/>
      <w:marTop w:val="0"/>
      <w:marBottom w:val="0"/>
      <w:divBdr>
        <w:top w:val="none" w:sz="0" w:space="0" w:color="auto"/>
        <w:left w:val="none" w:sz="0" w:space="0" w:color="auto"/>
        <w:bottom w:val="none" w:sz="0" w:space="0" w:color="auto"/>
        <w:right w:val="none" w:sz="0" w:space="0" w:color="auto"/>
      </w:divBdr>
    </w:div>
    <w:div w:id="1631471895">
      <w:bodyDiv w:val="1"/>
      <w:marLeft w:val="0"/>
      <w:marRight w:val="0"/>
      <w:marTop w:val="0"/>
      <w:marBottom w:val="0"/>
      <w:divBdr>
        <w:top w:val="none" w:sz="0" w:space="0" w:color="auto"/>
        <w:left w:val="none" w:sz="0" w:space="0" w:color="auto"/>
        <w:bottom w:val="none" w:sz="0" w:space="0" w:color="auto"/>
        <w:right w:val="none" w:sz="0" w:space="0" w:color="auto"/>
      </w:divBdr>
    </w:div>
    <w:div w:id="1654024057">
      <w:bodyDiv w:val="1"/>
      <w:marLeft w:val="0"/>
      <w:marRight w:val="0"/>
      <w:marTop w:val="0"/>
      <w:marBottom w:val="0"/>
      <w:divBdr>
        <w:top w:val="none" w:sz="0" w:space="0" w:color="auto"/>
        <w:left w:val="none" w:sz="0" w:space="0" w:color="auto"/>
        <w:bottom w:val="none" w:sz="0" w:space="0" w:color="auto"/>
        <w:right w:val="none" w:sz="0" w:space="0" w:color="auto"/>
      </w:divBdr>
    </w:div>
    <w:div w:id="1670789336">
      <w:bodyDiv w:val="1"/>
      <w:marLeft w:val="0"/>
      <w:marRight w:val="0"/>
      <w:marTop w:val="0"/>
      <w:marBottom w:val="0"/>
      <w:divBdr>
        <w:top w:val="none" w:sz="0" w:space="0" w:color="auto"/>
        <w:left w:val="none" w:sz="0" w:space="0" w:color="auto"/>
        <w:bottom w:val="none" w:sz="0" w:space="0" w:color="auto"/>
        <w:right w:val="none" w:sz="0" w:space="0" w:color="auto"/>
      </w:divBdr>
    </w:div>
    <w:div w:id="1672949810">
      <w:bodyDiv w:val="1"/>
      <w:marLeft w:val="0"/>
      <w:marRight w:val="0"/>
      <w:marTop w:val="0"/>
      <w:marBottom w:val="0"/>
      <w:divBdr>
        <w:top w:val="none" w:sz="0" w:space="0" w:color="auto"/>
        <w:left w:val="none" w:sz="0" w:space="0" w:color="auto"/>
        <w:bottom w:val="none" w:sz="0" w:space="0" w:color="auto"/>
        <w:right w:val="none" w:sz="0" w:space="0" w:color="auto"/>
      </w:divBdr>
    </w:div>
    <w:div w:id="1678313783">
      <w:bodyDiv w:val="1"/>
      <w:marLeft w:val="0"/>
      <w:marRight w:val="0"/>
      <w:marTop w:val="0"/>
      <w:marBottom w:val="0"/>
      <w:divBdr>
        <w:top w:val="none" w:sz="0" w:space="0" w:color="auto"/>
        <w:left w:val="none" w:sz="0" w:space="0" w:color="auto"/>
        <w:bottom w:val="none" w:sz="0" w:space="0" w:color="auto"/>
        <w:right w:val="none" w:sz="0" w:space="0" w:color="auto"/>
      </w:divBdr>
    </w:div>
    <w:div w:id="1686975504">
      <w:bodyDiv w:val="1"/>
      <w:marLeft w:val="0"/>
      <w:marRight w:val="0"/>
      <w:marTop w:val="0"/>
      <w:marBottom w:val="0"/>
      <w:divBdr>
        <w:top w:val="none" w:sz="0" w:space="0" w:color="auto"/>
        <w:left w:val="none" w:sz="0" w:space="0" w:color="auto"/>
        <w:bottom w:val="none" w:sz="0" w:space="0" w:color="auto"/>
        <w:right w:val="none" w:sz="0" w:space="0" w:color="auto"/>
      </w:divBdr>
    </w:div>
    <w:div w:id="1689520358">
      <w:bodyDiv w:val="1"/>
      <w:marLeft w:val="0"/>
      <w:marRight w:val="0"/>
      <w:marTop w:val="0"/>
      <w:marBottom w:val="0"/>
      <w:divBdr>
        <w:top w:val="none" w:sz="0" w:space="0" w:color="auto"/>
        <w:left w:val="none" w:sz="0" w:space="0" w:color="auto"/>
        <w:bottom w:val="none" w:sz="0" w:space="0" w:color="auto"/>
        <w:right w:val="none" w:sz="0" w:space="0" w:color="auto"/>
      </w:divBdr>
    </w:div>
    <w:div w:id="1694964349">
      <w:bodyDiv w:val="1"/>
      <w:marLeft w:val="0"/>
      <w:marRight w:val="0"/>
      <w:marTop w:val="0"/>
      <w:marBottom w:val="0"/>
      <w:divBdr>
        <w:top w:val="none" w:sz="0" w:space="0" w:color="auto"/>
        <w:left w:val="none" w:sz="0" w:space="0" w:color="auto"/>
        <w:bottom w:val="none" w:sz="0" w:space="0" w:color="auto"/>
        <w:right w:val="none" w:sz="0" w:space="0" w:color="auto"/>
      </w:divBdr>
    </w:div>
    <w:div w:id="1697805247">
      <w:bodyDiv w:val="1"/>
      <w:marLeft w:val="0"/>
      <w:marRight w:val="0"/>
      <w:marTop w:val="0"/>
      <w:marBottom w:val="0"/>
      <w:divBdr>
        <w:top w:val="none" w:sz="0" w:space="0" w:color="auto"/>
        <w:left w:val="none" w:sz="0" w:space="0" w:color="auto"/>
        <w:bottom w:val="none" w:sz="0" w:space="0" w:color="auto"/>
        <w:right w:val="none" w:sz="0" w:space="0" w:color="auto"/>
      </w:divBdr>
    </w:div>
    <w:div w:id="1711688253">
      <w:bodyDiv w:val="1"/>
      <w:marLeft w:val="0"/>
      <w:marRight w:val="0"/>
      <w:marTop w:val="0"/>
      <w:marBottom w:val="0"/>
      <w:divBdr>
        <w:top w:val="none" w:sz="0" w:space="0" w:color="auto"/>
        <w:left w:val="none" w:sz="0" w:space="0" w:color="auto"/>
        <w:bottom w:val="none" w:sz="0" w:space="0" w:color="auto"/>
        <w:right w:val="none" w:sz="0" w:space="0" w:color="auto"/>
      </w:divBdr>
    </w:div>
    <w:div w:id="1716155355">
      <w:bodyDiv w:val="1"/>
      <w:marLeft w:val="0"/>
      <w:marRight w:val="0"/>
      <w:marTop w:val="0"/>
      <w:marBottom w:val="0"/>
      <w:divBdr>
        <w:top w:val="none" w:sz="0" w:space="0" w:color="auto"/>
        <w:left w:val="none" w:sz="0" w:space="0" w:color="auto"/>
        <w:bottom w:val="none" w:sz="0" w:space="0" w:color="auto"/>
        <w:right w:val="none" w:sz="0" w:space="0" w:color="auto"/>
      </w:divBdr>
    </w:div>
    <w:div w:id="1717579200">
      <w:bodyDiv w:val="1"/>
      <w:marLeft w:val="0"/>
      <w:marRight w:val="0"/>
      <w:marTop w:val="0"/>
      <w:marBottom w:val="0"/>
      <w:divBdr>
        <w:top w:val="none" w:sz="0" w:space="0" w:color="auto"/>
        <w:left w:val="none" w:sz="0" w:space="0" w:color="auto"/>
        <w:bottom w:val="none" w:sz="0" w:space="0" w:color="auto"/>
        <w:right w:val="none" w:sz="0" w:space="0" w:color="auto"/>
      </w:divBdr>
    </w:div>
    <w:div w:id="1724056209">
      <w:bodyDiv w:val="1"/>
      <w:marLeft w:val="0"/>
      <w:marRight w:val="0"/>
      <w:marTop w:val="0"/>
      <w:marBottom w:val="0"/>
      <w:divBdr>
        <w:top w:val="none" w:sz="0" w:space="0" w:color="auto"/>
        <w:left w:val="none" w:sz="0" w:space="0" w:color="auto"/>
        <w:bottom w:val="none" w:sz="0" w:space="0" w:color="auto"/>
        <w:right w:val="none" w:sz="0" w:space="0" w:color="auto"/>
      </w:divBdr>
    </w:div>
    <w:div w:id="1727333436">
      <w:bodyDiv w:val="1"/>
      <w:marLeft w:val="0"/>
      <w:marRight w:val="0"/>
      <w:marTop w:val="0"/>
      <w:marBottom w:val="0"/>
      <w:divBdr>
        <w:top w:val="none" w:sz="0" w:space="0" w:color="auto"/>
        <w:left w:val="none" w:sz="0" w:space="0" w:color="auto"/>
        <w:bottom w:val="none" w:sz="0" w:space="0" w:color="auto"/>
        <w:right w:val="none" w:sz="0" w:space="0" w:color="auto"/>
      </w:divBdr>
    </w:div>
    <w:div w:id="1731882849">
      <w:bodyDiv w:val="1"/>
      <w:marLeft w:val="0"/>
      <w:marRight w:val="0"/>
      <w:marTop w:val="0"/>
      <w:marBottom w:val="0"/>
      <w:divBdr>
        <w:top w:val="none" w:sz="0" w:space="0" w:color="auto"/>
        <w:left w:val="none" w:sz="0" w:space="0" w:color="auto"/>
        <w:bottom w:val="none" w:sz="0" w:space="0" w:color="auto"/>
        <w:right w:val="none" w:sz="0" w:space="0" w:color="auto"/>
      </w:divBdr>
    </w:div>
    <w:div w:id="1740784905">
      <w:bodyDiv w:val="1"/>
      <w:marLeft w:val="0"/>
      <w:marRight w:val="0"/>
      <w:marTop w:val="0"/>
      <w:marBottom w:val="0"/>
      <w:divBdr>
        <w:top w:val="none" w:sz="0" w:space="0" w:color="auto"/>
        <w:left w:val="none" w:sz="0" w:space="0" w:color="auto"/>
        <w:bottom w:val="none" w:sz="0" w:space="0" w:color="auto"/>
        <w:right w:val="none" w:sz="0" w:space="0" w:color="auto"/>
      </w:divBdr>
    </w:div>
    <w:div w:id="1745027584">
      <w:bodyDiv w:val="1"/>
      <w:marLeft w:val="0"/>
      <w:marRight w:val="0"/>
      <w:marTop w:val="0"/>
      <w:marBottom w:val="0"/>
      <w:divBdr>
        <w:top w:val="none" w:sz="0" w:space="0" w:color="auto"/>
        <w:left w:val="none" w:sz="0" w:space="0" w:color="auto"/>
        <w:bottom w:val="none" w:sz="0" w:space="0" w:color="auto"/>
        <w:right w:val="none" w:sz="0" w:space="0" w:color="auto"/>
      </w:divBdr>
    </w:div>
    <w:div w:id="1751582062">
      <w:bodyDiv w:val="1"/>
      <w:marLeft w:val="0"/>
      <w:marRight w:val="0"/>
      <w:marTop w:val="0"/>
      <w:marBottom w:val="0"/>
      <w:divBdr>
        <w:top w:val="none" w:sz="0" w:space="0" w:color="auto"/>
        <w:left w:val="none" w:sz="0" w:space="0" w:color="auto"/>
        <w:bottom w:val="none" w:sz="0" w:space="0" w:color="auto"/>
        <w:right w:val="none" w:sz="0" w:space="0" w:color="auto"/>
      </w:divBdr>
    </w:div>
    <w:div w:id="1765957539">
      <w:bodyDiv w:val="1"/>
      <w:marLeft w:val="0"/>
      <w:marRight w:val="0"/>
      <w:marTop w:val="0"/>
      <w:marBottom w:val="0"/>
      <w:divBdr>
        <w:top w:val="none" w:sz="0" w:space="0" w:color="auto"/>
        <w:left w:val="none" w:sz="0" w:space="0" w:color="auto"/>
        <w:bottom w:val="none" w:sz="0" w:space="0" w:color="auto"/>
        <w:right w:val="none" w:sz="0" w:space="0" w:color="auto"/>
      </w:divBdr>
    </w:div>
    <w:div w:id="1778788721">
      <w:bodyDiv w:val="1"/>
      <w:marLeft w:val="0"/>
      <w:marRight w:val="0"/>
      <w:marTop w:val="0"/>
      <w:marBottom w:val="0"/>
      <w:divBdr>
        <w:top w:val="none" w:sz="0" w:space="0" w:color="auto"/>
        <w:left w:val="none" w:sz="0" w:space="0" w:color="auto"/>
        <w:bottom w:val="none" w:sz="0" w:space="0" w:color="auto"/>
        <w:right w:val="none" w:sz="0" w:space="0" w:color="auto"/>
      </w:divBdr>
    </w:div>
    <w:div w:id="1783107960">
      <w:bodyDiv w:val="1"/>
      <w:marLeft w:val="0"/>
      <w:marRight w:val="0"/>
      <w:marTop w:val="0"/>
      <w:marBottom w:val="0"/>
      <w:divBdr>
        <w:top w:val="none" w:sz="0" w:space="0" w:color="auto"/>
        <w:left w:val="none" w:sz="0" w:space="0" w:color="auto"/>
        <w:bottom w:val="none" w:sz="0" w:space="0" w:color="auto"/>
        <w:right w:val="none" w:sz="0" w:space="0" w:color="auto"/>
      </w:divBdr>
    </w:div>
    <w:div w:id="1783916257">
      <w:bodyDiv w:val="1"/>
      <w:marLeft w:val="0"/>
      <w:marRight w:val="0"/>
      <w:marTop w:val="0"/>
      <w:marBottom w:val="0"/>
      <w:divBdr>
        <w:top w:val="none" w:sz="0" w:space="0" w:color="auto"/>
        <w:left w:val="none" w:sz="0" w:space="0" w:color="auto"/>
        <w:bottom w:val="none" w:sz="0" w:space="0" w:color="auto"/>
        <w:right w:val="none" w:sz="0" w:space="0" w:color="auto"/>
      </w:divBdr>
    </w:div>
    <w:div w:id="1788040300">
      <w:bodyDiv w:val="1"/>
      <w:marLeft w:val="0"/>
      <w:marRight w:val="0"/>
      <w:marTop w:val="0"/>
      <w:marBottom w:val="0"/>
      <w:divBdr>
        <w:top w:val="none" w:sz="0" w:space="0" w:color="auto"/>
        <w:left w:val="none" w:sz="0" w:space="0" w:color="auto"/>
        <w:bottom w:val="none" w:sz="0" w:space="0" w:color="auto"/>
        <w:right w:val="none" w:sz="0" w:space="0" w:color="auto"/>
      </w:divBdr>
    </w:div>
    <w:div w:id="1796941897">
      <w:bodyDiv w:val="1"/>
      <w:marLeft w:val="0"/>
      <w:marRight w:val="0"/>
      <w:marTop w:val="0"/>
      <w:marBottom w:val="0"/>
      <w:divBdr>
        <w:top w:val="none" w:sz="0" w:space="0" w:color="auto"/>
        <w:left w:val="none" w:sz="0" w:space="0" w:color="auto"/>
        <w:bottom w:val="none" w:sz="0" w:space="0" w:color="auto"/>
        <w:right w:val="none" w:sz="0" w:space="0" w:color="auto"/>
      </w:divBdr>
    </w:div>
    <w:div w:id="1827017613">
      <w:bodyDiv w:val="1"/>
      <w:marLeft w:val="0"/>
      <w:marRight w:val="0"/>
      <w:marTop w:val="0"/>
      <w:marBottom w:val="0"/>
      <w:divBdr>
        <w:top w:val="none" w:sz="0" w:space="0" w:color="auto"/>
        <w:left w:val="none" w:sz="0" w:space="0" w:color="auto"/>
        <w:bottom w:val="none" w:sz="0" w:space="0" w:color="auto"/>
        <w:right w:val="none" w:sz="0" w:space="0" w:color="auto"/>
      </w:divBdr>
    </w:div>
    <w:div w:id="1833715329">
      <w:bodyDiv w:val="1"/>
      <w:marLeft w:val="0"/>
      <w:marRight w:val="0"/>
      <w:marTop w:val="0"/>
      <w:marBottom w:val="0"/>
      <w:divBdr>
        <w:top w:val="none" w:sz="0" w:space="0" w:color="auto"/>
        <w:left w:val="none" w:sz="0" w:space="0" w:color="auto"/>
        <w:bottom w:val="none" w:sz="0" w:space="0" w:color="auto"/>
        <w:right w:val="none" w:sz="0" w:space="0" w:color="auto"/>
      </w:divBdr>
    </w:div>
    <w:div w:id="1856648146">
      <w:bodyDiv w:val="1"/>
      <w:marLeft w:val="0"/>
      <w:marRight w:val="0"/>
      <w:marTop w:val="0"/>
      <w:marBottom w:val="0"/>
      <w:divBdr>
        <w:top w:val="none" w:sz="0" w:space="0" w:color="auto"/>
        <w:left w:val="none" w:sz="0" w:space="0" w:color="auto"/>
        <w:bottom w:val="none" w:sz="0" w:space="0" w:color="auto"/>
        <w:right w:val="none" w:sz="0" w:space="0" w:color="auto"/>
      </w:divBdr>
    </w:div>
    <w:div w:id="1864049486">
      <w:bodyDiv w:val="1"/>
      <w:marLeft w:val="0"/>
      <w:marRight w:val="0"/>
      <w:marTop w:val="0"/>
      <w:marBottom w:val="0"/>
      <w:divBdr>
        <w:top w:val="none" w:sz="0" w:space="0" w:color="auto"/>
        <w:left w:val="none" w:sz="0" w:space="0" w:color="auto"/>
        <w:bottom w:val="none" w:sz="0" w:space="0" w:color="auto"/>
        <w:right w:val="none" w:sz="0" w:space="0" w:color="auto"/>
      </w:divBdr>
    </w:div>
    <w:div w:id="1866553862">
      <w:bodyDiv w:val="1"/>
      <w:marLeft w:val="0"/>
      <w:marRight w:val="0"/>
      <w:marTop w:val="0"/>
      <w:marBottom w:val="0"/>
      <w:divBdr>
        <w:top w:val="none" w:sz="0" w:space="0" w:color="auto"/>
        <w:left w:val="none" w:sz="0" w:space="0" w:color="auto"/>
        <w:bottom w:val="none" w:sz="0" w:space="0" w:color="auto"/>
        <w:right w:val="none" w:sz="0" w:space="0" w:color="auto"/>
      </w:divBdr>
    </w:div>
    <w:div w:id="1880389592">
      <w:bodyDiv w:val="1"/>
      <w:marLeft w:val="0"/>
      <w:marRight w:val="0"/>
      <w:marTop w:val="0"/>
      <w:marBottom w:val="0"/>
      <w:divBdr>
        <w:top w:val="none" w:sz="0" w:space="0" w:color="auto"/>
        <w:left w:val="none" w:sz="0" w:space="0" w:color="auto"/>
        <w:bottom w:val="none" w:sz="0" w:space="0" w:color="auto"/>
        <w:right w:val="none" w:sz="0" w:space="0" w:color="auto"/>
      </w:divBdr>
    </w:div>
    <w:div w:id="1889951353">
      <w:bodyDiv w:val="1"/>
      <w:marLeft w:val="0"/>
      <w:marRight w:val="0"/>
      <w:marTop w:val="0"/>
      <w:marBottom w:val="0"/>
      <w:divBdr>
        <w:top w:val="none" w:sz="0" w:space="0" w:color="auto"/>
        <w:left w:val="none" w:sz="0" w:space="0" w:color="auto"/>
        <w:bottom w:val="none" w:sz="0" w:space="0" w:color="auto"/>
        <w:right w:val="none" w:sz="0" w:space="0" w:color="auto"/>
      </w:divBdr>
    </w:div>
    <w:div w:id="1899124595">
      <w:bodyDiv w:val="1"/>
      <w:marLeft w:val="0"/>
      <w:marRight w:val="0"/>
      <w:marTop w:val="0"/>
      <w:marBottom w:val="0"/>
      <w:divBdr>
        <w:top w:val="none" w:sz="0" w:space="0" w:color="auto"/>
        <w:left w:val="none" w:sz="0" w:space="0" w:color="auto"/>
        <w:bottom w:val="none" w:sz="0" w:space="0" w:color="auto"/>
        <w:right w:val="none" w:sz="0" w:space="0" w:color="auto"/>
      </w:divBdr>
    </w:div>
    <w:div w:id="1909653819">
      <w:bodyDiv w:val="1"/>
      <w:marLeft w:val="0"/>
      <w:marRight w:val="0"/>
      <w:marTop w:val="0"/>
      <w:marBottom w:val="0"/>
      <w:divBdr>
        <w:top w:val="none" w:sz="0" w:space="0" w:color="auto"/>
        <w:left w:val="none" w:sz="0" w:space="0" w:color="auto"/>
        <w:bottom w:val="none" w:sz="0" w:space="0" w:color="auto"/>
        <w:right w:val="none" w:sz="0" w:space="0" w:color="auto"/>
      </w:divBdr>
    </w:div>
    <w:div w:id="1932810579">
      <w:bodyDiv w:val="1"/>
      <w:marLeft w:val="0"/>
      <w:marRight w:val="0"/>
      <w:marTop w:val="0"/>
      <w:marBottom w:val="0"/>
      <w:divBdr>
        <w:top w:val="none" w:sz="0" w:space="0" w:color="auto"/>
        <w:left w:val="none" w:sz="0" w:space="0" w:color="auto"/>
        <w:bottom w:val="none" w:sz="0" w:space="0" w:color="auto"/>
        <w:right w:val="none" w:sz="0" w:space="0" w:color="auto"/>
      </w:divBdr>
    </w:div>
    <w:div w:id="1936593562">
      <w:bodyDiv w:val="1"/>
      <w:marLeft w:val="0"/>
      <w:marRight w:val="0"/>
      <w:marTop w:val="0"/>
      <w:marBottom w:val="0"/>
      <w:divBdr>
        <w:top w:val="none" w:sz="0" w:space="0" w:color="auto"/>
        <w:left w:val="none" w:sz="0" w:space="0" w:color="auto"/>
        <w:bottom w:val="none" w:sz="0" w:space="0" w:color="auto"/>
        <w:right w:val="none" w:sz="0" w:space="0" w:color="auto"/>
      </w:divBdr>
    </w:div>
    <w:div w:id="1943030865">
      <w:bodyDiv w:val="1"/>
      <w:marLeft w:val="0"/>
      <w:marRight w:val="0"/>
      <w:marTop w:val="0"/>
      <w:marBottom w:val="0"/>
      <w:divBdr>
        <w:top w:val="none" w:sz="0" w:space="0" w:color="auto"/>
        <w:left w:val="none" w:sz="0" w:space="0" w:color="auto"/>
        <w:bottom w:val="none" w:sz="0" w:space="0" w:color="auto"/>
        <w:right w:val="none" w:sz="0" w:space="0" w:color="auto"/>
      </w:divBdr>
    </w:div>
    <w:div w:id="1943493183">
      <w:bodyDiv w:val="1"/>
      <w:marLeft w:val="0"/>
      <w:marRight w:val="0"/>
      <w:marTop w:val="0"/>
      <w:marBottom w:val="0"/>
      <w:divBdr>
        <w:top w:val="none" w:sz="0" w:space="0" w:color="auto"/>
        <w:left w:val="none" w:sz="0" w:space="0" w:color="auto"/>
        <w:bottom w:val="none" w:sz="0" w:space="0" w:color="auto"/>
        <w:right w:val="none" w:sz="0" w:space="0" w:color="auto"/>
      </w:divBdr>
    </w:div>
    <w:div w:id="1970017259">
      <w:bodyDiv w:val="1"/>
      <w:marLeft w:val="0"/>
      <w:marRight w:val="0"/>
      <w:marTop w:val="0"/>
      <w:marBottom w:val="0"/>
      <w:divBdr>
        <w:top w:val="none" w:sz="0" w:space="0" w:color="auto"/>
        <w:left w:val="none" w:sz="0" w:space="0" w:color="auto"/>
        <w:bottom w:val="none" w:sz="0" w:space="0" w:color="auto"/>
        <w:right w:val="none" w:sz="0" w:space="0" w:color="auto"/>
      </w:divBdr>
    </w:div>
    <w:div w:id="1978611213">
      <w:bodyDiv w:val="1"/>
      <w:marLeft w:val="0"/>
      <w:marRight w:val="0"/>
      <w:marTop w:val="0"/>
      <w:marBottom w:val="0"/>
      <w:divBdr>
        <w:top w:val="none" w:sz="0" w:space="0" w:color="auto"/>
        <w:left w:val="none" w:sz="0" w:space="0" w:color="auto"/>
        <w:bottom w:val="none" w:sz="0" w:space="0" w:color="auto"/>
        <w:right w:val="none" w:sz="0" w:space="0" w:color="auto"/>
      </w:divBdr>
    </w:div>
    <w:div w:id="1990205574">
      <w:bodyDiv w:val="1"/>
      <w:marLeft w:val="0"/>
      <w:marRight w:val="0"/>
      <w:marTop w:val="0"/>
      <w:marBottom w:val="0"/>
      <w:divBdr>
        <w:top w:val="none" w:sz="0" w:space="0" w:color="auto"/>
        <w:left w:val="none" w:sz="0" w:space="0" w:color="auto"/>
        <w:bottom w:val="none" w:sz="0" w:space="0" w:color="auto"/>
        <w:right w:val="none" w:sz="0" w:space="0" w:color="auto"/>
      </w:divBdr>
    </w:div>
    <w:div w:id="1992252370">
      <w:bodyDiv w:val="1"/>
      <w:marLeft w:val="0"/>
      <w:marRight w:val="0"/>
      <w:marTop w:val="0"/>
      <w:marBottom w:val="0"/>
      <w:divBdr>
        <w:top w:val="none" w:sz="0" w:space="0" w:color="auto"/>
        <w:left w:val="none" w:sz="0" w:space="0" w:color="auto"/>
        <w:bottom w:val="none" w:sz="0" w:space="0" w:color="auto"/>
        <w:right w:val="none" w:sz="0" w:space="0" w:color="auto"/>
      </w:divBdr>
    </w:div>
    <w:div w:id="2000647752">
      <w:bodyDiv w:val="1"/>
      <w:marLeft w:val="0"/>
      <w:marRight w:val="0"/>
      <w:marTop w:val="0"/>
      <w:marBottom w:val="0"/>
      <w:divBdr>
        <w:top w:val="none" w:sz="0" w:space="0" w:color="auto"/>
        <w:left w:val="none" w:sz="0" w:space="0" w:color="auto"/>
        <w:bottom w:val="none" w:sz="0" w:space="0" w:color="auto"/>
        <w:right w:val="none" w:sz="0" w:space="0" w:color="auto"/>
      </w:divBdr>
    </w:div>
    <w:div w:id="2006593011">
      <w:bodyDiv w:val="1"/>
      <w:marLeft w:val="0"/>
      <w:marRight w:val="0"/>
      <w:marTop w:val="0"/>
      <w:marBottom w:val="0"/>
      <w:divBdr>
        <w:top w:val="none" w:sz="0" w:space="0" w:color="auto"/>
        <w:left w:val="none" w:sz="0" w:space="0" w:color="auto"/>
        <w:bottom w:val="none" w:sz="0" w:space="0" w:color="auto"/>
        <w:right w:val="none" w:sz="0" w:space="0" w:color="auto"/>
      </w:divBdr>
    </w:div>
    <w:div w:id="2013335363">
      <w:bodyDiv w:val="1"/>
      <w:marLeft w:val="0"/>
      <w:marRight w:val="0"/>
      <w:marTop w:val="0"/>
      <w:marBottom w:val="0"/>
      <w:divBdr>
        <w:top w:val="none" w:sz="0" w:space="0" w:color="auto"/>
        <w:left w:val="none" w:sz="0" w:space="0" w:color="auto"/>
        <w:bottom w:val="none" w:sz="0" w:space="0" w:color="auto"/>
        <w:right w:val="none" w:sz="0" w:space="0" w:color="auto"/>
      </w:divBdr>
    </w:div>
    <w:div w:id="2016422267">
      <w:bodyDiv w:val="1"/>
      <w:marLeft w:val="0"/>
      <w:marRight w:val="0"/>
      <w:marTop w:val="0"/>
      <w:marBottom w:val="0"/>
      <w:divBdr>
        <w:top w:val="none" w:sz="0" w:space="0" w:color="auto"/>
        <w:left w:val="none" w:sz="0" w:space="0" w:color="auto"/>
        <w:bottom w:val="none" w:sz="0" w:space="0" w:color="auto"/>
        <w:right w:val="none" w:sz="0" w:space="0" w:color="auto"/>
      </w:divBdr>
    </w:div>
    <w:div w:id="2023429640">
      <w:bodyDiv w:val="1"/>
      <w:marLeft w:val="0"/>
      <w:marRight w:val="0"/>
      <w:marTop w:val="0"/>
      <w:marBottom w:val="0"/>
      <w:divBdr>
        <w:top w:val="none" w:sz="0" w:space="0" w:color="auto"/>
        <w:left w:val="none" w:sz="0" w:space="0" w:color="auto"/>
        <w:bottom w:val="none" w:sz="0" w:space="0" w:color="auto"/>
        <w:right w:val="none" w:sz="0" w:space="0" w:color="auto"/>
      </w:divBdr>
    </w:div>
    <w:div w:id="2024548087">
      <w:bodyDiv w:val="1"/>
      <w:marLeft w:val="0"/>
      <w:marRight w:val="0"/>
      <w:marTop w:val="0"/>
      <w:marBottom w:val="0"/>
      <w:divBdr>
        <w:top w:val="none" w:sz="0" w:space="0" w:color="auto"/>
        <w:left w:val="none" w:sz="0" w:space="0" w:color="auto"/>
        <w:bottom w:val="none" w:sz="0" w:space="0" w:color="auto"/>
        <w:right w:val="none" w:sz="0" w:space="0" w:color="auto"/>
      </w:divBdr>
    </w:div>
    <w:div w:id="2024897281">
      <w:bodyDiv w:val="1"/>
      <w:marLeft w:val="0"/>
      <w:marRight w:val="0"/>
      <w:marTop w:val="0"/>
      <w:marBottom w:val="0"/>
      <w:divBdr>
        <w:top w:val="none" w:sz="0" w:space="0" w:color="auto"/>
        <w:left w:val="none" w:sz="0" w:space="0" w:color="auto"/>
        <w:bottom w:val="none" w:sz="0" w:space="0" w:color="auto"/>
        <w:right w:val="none" w:sz="0" w:space="0" w:color="auto"/>
      </w:divBdr>
    </w:div>
    <w:div w:id="2033340871">
      <w:bodyDiv w:val="1"/>
      <w:marLeft w:val="0"/>
      <w:marRight w:val="0"/>
      <w:marTop w:val="0"/>
      <w:marBottom w:val="0"/>
      <w:divBdr>
        <w:top w:val="none" w:sz="0" w:space="0" w:color="auto"/>
        <w:left w:val="none" w:sz="0" w:space="0" w:color="auto"/>
        <w:bottom w:val="none" w:sz="0" w:space="0" w:color="auto"/>
        <w:right w:val="none" w:sz="0" w:space="0" w:color="auto"/>
      </w:divBdr>
    </w:div>
    <w:div w:id="2039626115">
      <w:bodyDiv w:val="1"/>
      <w:marLeft w:val="0"/>
      <w:marRight w:val="0"/>
      <w:marTop w:val="0"/>
      <w:marBottom w:val="0"/>
      <w:divBdr>
        <w:top w:val="none" w:sz="0" w:space="0" w:color="auto"/>
        <w:left w:val="none" w:sz="0" w:space="0" w:color="auto"/>
        <w:bottom w:val="none" w:sz="0" w:space="0" w:color="auto"/>
        <w:right w:val="none" w:sz="0" w:space="0" w:color="auto"/>
      </w:divBdr>
    </w:div>
    <w:div w:id="2046364362">
      <w:bodyDiv w:val="1"/>
      <w:marLeft w:val="0"/>
      <w:marRight w:val="0"/>
      <w:marTop w:val="0"/>
      <w:marBottom w:val="0"/>
      <w:divBdr>
        <w:top w:val="none" w:sz="0" w:space="0" w:color="auto"/>
        <w:left w:val="none" w:sz="0" w:space="0" w:color="auto"/>
        <w:bottom w:val="none" w:sz="0" w:space="0" w:color="auto"/>
        <w:right w:val="none" w:sz="0" w:space="0" w:color="auto"/>
      </w:divBdr>
    </w:div>
    <w:div w:id="2051342426">
      <w:bodyDiv w:val="1"/>
      <w:marLeft w:val="0"/>
      <w:marRight w:val="0"/>
      <w:marTop w:val="0"/>
      <w:marBottom w:val="0"/>
      <w:divBdr>
        <w:top w:val="none" w:sz="0" w:space="0" w:color="auto"/>
        <w:left w:val="none" w:sz="0" w:space="0" w:color="auto"/>
        <w:bottom w:val="none" w:sz="0" w:space="0" w:color="auto"/>
        <w:right w:val="none" w:sz="0" w:space="0" w:color="auto"/>
      </w:divBdr>
    </w:div>
    <w:div w:id="2055107913">
      <w:bodyDiv w:val="1"/>
      <w:marLeft w:val="0"/>
      <w:marRight w:val="0"/>
      <w:marTop w:val="0"/>
      <w:marBottom w:val="0"/>
      <w:divBdr>
        <w:top w:val="none" w:sz="0" w:space="0" w:color="auto"/>
        <w:left w:val="none" w:sz="0" w:space="0" w:color="auto"/>
        <w:bottom w:val="none" w:sz="0" w:space="0" w:color="auto"/>
        <w:right w:val="none" w:sz="0" w:space="0" w:color="auto"/>
      </w:divBdr>
    </w:div>
    <w:div w:id="2064476845">
      <w:bodyDiv w:val="1"/>
      <w:marLeft w:val="0"/>
      <w:marRight w:val="0"/>
      <w:marTop w:val="0"/>
      <w:marBottom w:val="0"/>
      <w:divBdr>
        <w:top w:val="none" w:sz="0" w:space="0" w:color="auto"/>
        <w:left w:val="none" w:sz="0" w:space="0" w:color="auto"/>
        <w:bottom w:val="none" w:sz="0" w:space="0" w:color="auto"/>
        <w:right w:val="none" w:sz="0" w:space="0" w:color="auto"/>
      </w:divBdr>
    </w:div>
    <w:div w:id="2070882997">
      <w:bodyDiv w:val="1"/>
      <w:marLeft w:val="0"/>
      <w:marRight w:val="0"/>
      <w:marTop w:val="0"/>
      <w:marBottom w:val="0"/>
      <w:divBdr>
        <w:top w:val="none" w:sz="0" w:space="0" w:color="auto"/>
        <w:left w:val="none" w:sz="0" w:space="0" w:color="auto"/>
        <w:bottom w:val="none" w:sz="0" w:space="0" w:color="auto"/>
        <w:right w:val="none" w:sz="0" w:space="0" w:color="auto"/>
      </w:divBdr>
    </w:div>
    <w:div w:id="2074544379">
      <w:bodyDiv w:val="1"/>
      <w:marLeft w:val="0"/>
      <w:marRight w:val="0"/>
      <w:marTop w:val="0"/>
      <w:marBottom w:val="0"/>
      <w:divBdr>
        <w:top w:val="none" w:sz="0" w:space="0" w:color="auto"/>
        <w:left w:val="none" w:sz="0" w:space="0" w:color="auto"/>
        <w:bottom w:val="none" w:sz="0" w:space="0" w:color="auto"/>
        <w:right w:val="none" w:sz="0" w:space="0" w:color="auto"/>
      </w:divBdr>
    </w:div>
    <w:div w:id="2077779947">
      <w:bodyDiv w:val="1"/>
      <w:marLeft w:val="0"/>
      <w:marRight w:val="0"/>
      <w:marTop w:val="0"/>
      <w:marBottom w:val="0"/>
      <w:divBdr>
        <w:top w:val="none" w:sz="0" w:space="0" w:color="auto"/>
        <w:left w:val="none" w:sz="0" w:space="0" w:color="auto"/>
        <w:bottom w:val="none" w:sz="0" w:space="0" w:color="auto"/>
        <w:right w:val="none" w:sz="0" w:space="0" w:color="auto"/>
      </w:divBdr>
    </w:div>
    <w:div w:id="2109890978">
      <w:bodyDiv w:val="1"/>
      <w:marLeft w:val="0"/>
      <w:marRight w:val="0"/>
      <w:marTop w:val="0"/>
      <w:marBottom w:val="0"/>
      <w:divBdr>
        <w:top w:val="none" w:sz="0" w:space="0" w:color="auto"/>
        <w:left w:val="none" w:sz="0" w:space="0" w:color="auto"/>
        <w:bottom w:val="none" w:sz="0" w:space="0" w:color="auto"/>
        <w:right w:val="none" w:sz="0" w:space="0" w:color="auto"/>
      </w:divBdr>
    </w:div>
    <w:div w:id="2117751219">
      <w:bodyDiv w:val="1"/>
      <w:marLeft w:val="0"/>
      <w:marRight w:val="0"/>
      <w:marTop w:val="0"/>
      <w:marBottom w:val="0"/>
      <w:divBdr>
        <w:top w:val="none" w:sz="0" w:space="0" w:color="auto"/>
        <w:left w:val="none" w:sz="0" w:space="0" w:color="auto"/>
        <w:bottom w:val="none" w:sz="0" w:space="0" w:color="auto"/>
        <w:right w:val="none" w:sz="0" w:space="0" w:color="auto"/>
      </w:divBdr>
    </w:div>
    <w:div w:id="2120443103">
      <w:bodyDiv w:val="1"/>
      <w:marLeft w:val="0"/>
      <w:marRight w:val="0"/>
      <w:marTop w:val="0"/>
      <w:marBottom w:val="0"/>
      <w:divBdr>
        <w:top w:val="none" w:sz="0" w:space="0" w:color="auto"/>
        <w:left w:val="none" w:sz="0" w:space="0" w:color="auto"/>
        <w:bottom w:val="none" w:sz="0" w:space="0" w:color="auto"/>
        <w:right w:val="none" w:sz="0" w:space="0" w:color="auto"/>
      </w:divBdr>
    </w:div>
    <w:div w:id="2129087032">
      <w:bodyDiv w:val="1"/>
      <w:marLeft w:val="0"/>
      <w:marRight w:val="0"/>
      <w:marTop w:val="0"/>
      <w:marBottom w:val="0"/>
      <w:divBdr>
        <w:top w:val="none" w:sz="0" w:space="0" w:color="auto"/>
        <w:left w:val="none" w:sz="0" w:space="0" w:color="auto"/>
        <w:bottom w:val="none" w:sz="0" w:space="0" w:color="auto"/>
        <w:right w:val="none" w:sz="0" w:space="0" w:color="auto"/>
      </w:divBdr>
    </w:div>
    <w:div w:id="2138913097">
      <w:bodyDiv w:val="1"/>
      <w:marLeft w:val="0"/>
      <w:marRight w:val="0"/>
      <w:marTop w:val="0"/>
      <w:marBottom w:val="0"/>
      <w:divBdr>
        <w:top w:val="none" w:sz="0" w:space="0" w:color="auto"/>
        <w:left w:val="none" w:sz="0" w:space="0" w:color="auto"/>
        <w:bottom w:val="none" w:sz="0" w:space="0" w:color="auto"/>
        <w:right w:val="none" w:sz="0" w:space="0" w:color="auto"/>
      </w:divBdr>
    </w:div>
    <w:div w:id="21426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chart" Target="charts/chart1.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footer" Target="footer3.xml"/><Relationship Id="rId32" Type="http://schemas.openxmlformats.org/officeDocument/2006/relationships/header" Target="header12.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3.xml"/><Relationship Id="rId8" Type="http://schemas.openxmlformats.org/officeDocument/2006/relationships/hyperlink" Target="https://creativecommons.org/licenses/by/4.0/"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[Special levy scenarios.xlsx]Charts!PivotTable1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Charts!$C$29:$C$30</c:f>
              <c:strCache>
                <c:ptCount val="1"/>
                <c:pt idx="0">
                  <c:v>Deposit taking and credit</c:v>
                </c:pt>
              </c:strCache>
            </c:strRef>
          </c:tx>
          <c:spPr>
            <a:solidFill>
              <a:schemeClr val="accent1"/>
            </a:solidFill>
            <a:ln>
              <a:noFill/>
            </a:ln>
            <a:effectLst/>
          </c:spPr>
          <c:invertIfNegative val="0"/>
          <c:cat>
            <c:strRef>
              <c:f>Charts!$B$31:$B$35</c:f>
              <c:strCache>
                <c:ptCount val="5"/>
                <c:pt idx="0">
                  <c:v>Spread equally</c:v>
                </c:pt>
                <c:pt idx="1">
                  <c:v>Spread by population</c:v>
                </c:pt>
                <c:pt idx="2">
                  <c:v>Spread by revenue</c:v>
                </c:pt>
                <c:pt idx="3">
                  <c:v>Spread by profit</c:v>
                </c:pt>
                <c:pt idx="4">
                  <c:v>Spread by regulatory effort</c:v>
                </c:pt>
              </c:strCache>
            </c:strRef>
          </c:cat>
          <c:val>
            <c:numRef>
              <c:f>Charts!$C$31:$C$35</c:f>
              <c:numCache>
                <c:formatCode>_-"$"* #,##0_-;\-"$"* #,##0_-;_-"$"* "-"??_-;_-@_-</c:formatCode>
                <c:ptCount val="5"/>
                <c:pt idx="0">
                  <c:v>13511142.857142854</c:v>
                </c:pt>
                <c:pt idx="1">
                  <c:v>17588826.348046802</c:v>
                </c:pt>
                <c:pt idx="2">
                  <c:v>23005042.54557278</c:v>
                </c:pt>
                <c:pt idx="3">
                  <c:v>24082673.279574778</c:v>
                </c:pt>
                <c:pt idx="4">
                  <c:v>13020629.457566366</c:v>
                </c:pt>
              </c:numCache>
            </c:numRef>
          </c:val>
          <c:extLst>
            <c:ext xmlns:c16="http://schemas.microsoft.com/office/drawing/2014/chart" uri="{C3380CC4-5D6E-409C-BE32-E72D297353CC}">
              <c16:uniqueId val="{00000000-6F4F-4A19-8F67-376C45A61517}"/>
            </c:ext>
          </c:extLst>
        </c:ser>
        <c:ser>
          <c:idx val="1"/>
          <c:order val="1"/>
          <c:tx>
            <c:strRef>
              <c:f>Charts!$D$29:$D$30</c:f>
              <c:strCache>
                <c:ptCount val="1"/>
                <c:pt idx="0">
                  <c:v>Financial advice</c:v>
                </c:pt>
              </c:strCache>
            </c:strRef>
          </c:tx>
          <c:spPr>
            <a:solidFill>
              <a:schemeClr val="accent2"/>
            </a:solidFill>
            <a:ln>
              <a:noFill/>
            </a:ln>
            <a:effectLst/>
          </c:spPr>
          <c:invertIfNegative val="0"/>
          <c:cat>
            <c:strRef>
              <c:f>Charts!$B$31:$B$35</c:f>
              <c:strCache>
                <c:ptCount val="5"/>
                <c:pt idx="0">
                  <c:v>Spread equally</c:v>
                </c:pt>
                <c:pt idx="1">
                  <c:v>Spread by population</c:v>
                </c:pt>
                <c:pt idx="2">
                  <c:v>Spread by revenue</c:v>
                </c:pt>
                <c:pt idx="3">
                  <c:v>Spread by profit</c:v>
                </c:pt>
                <c:pt idx="4">
                  <c:v>Spread by regulatory effort</c:v>
                </c:pt>
              </c:strCache>
            </c:strRef>
          </c:cat>
          <c:val>
            <c:numRef>
              <c:f>Charts!$D$31:$D$35</c:f>
              <c:numCache>
                <c:formatCode>_-"$"* #,##0_-;\-"$"* #,##0_-;_-"$"* "-"??_-;_-@_-</c:formatCode>
                <c:ptCount val="5"/>
                <c:pt idx="0">
                  <c:v>6755571.4285714282</c:v>
                </c:pt>
                <c:pt idx="1">
                  <c:v>12407031.634990403</c:v>
                </c:pt>
                <c:pt idx="2">
                  <c:v>3586405.3133137124</c:v>
                </c:pt>
                <c:pt idx="3">
                  <c:v>2917541.5987810884</c:v>
                </c:pt>
                <c:pt idx="4">
                  <c:v>12249123.885596007</c:v>
                </c:pt>
              </c:numCache>
            </c:numRef>
          </c:val>
          <c:extLst>
            <c:ext xmlns:c16="http://schemas.microsoft.com/office/drawing/2014/chart" uri="{C3380CC4-5D6E-409C-BE32-E72D297353CC}">
              <c16:uniqueId val="{00000001-6F4F-4A19-8F67-376C45A61517}"/>
            </c:ext>
          </c:extLst>
        </c:ser>
        <c:ser>
          <c:idx val="2"/>
          <c:order val="2"/>
          <c:tx>
            <c:strRef>
              <c:f>Charts!$E$29:$E$30</c:f>
              <c:strCache>
                <c:ptCount val="1"/>
                <c:pt idx="0">
                  <c:v>Insurance</c:v>
                </c:pt>
              </c:strCache>
            </c:strRef>
          </c:tx>
          <c:spPr>
            <a:solidFill>
              <a:schemeClr val="accent3"/>
            </a:solidFill>
            <a:ln>
              <a:noFill/>
            </a:ln>
            <a:effectLst/>
          </c:spPr>
          <c:invertIfNegative val="0"/>
          <c:cat>
            <c:strRef>
              <c:f>Charts!$B$31:$B$35</c:f>
              <c:strCache>
                <c:ptCount val="5"/>
                <c:pt idx="0">
                  <c:v>Spread equally</c:v>
                </c:pt>
                <c:pt idx="1">
                  <c:v>Spread by population</c:v>
                </c:pt>
                <c:pt idx="2">
                  <c:v>Spread by revenue</c:v>
                </c:pt>
                <c:pt idx="3">
                  <c:v>Spread by profit</c:v>
                </c:pt>
                <c:pt idx="4">
                  <c:v>Spread by regulatory effort</c:v>
                </c:pt>
              </c:strCache>
            </c:strRef>
          </c:cat>
          <c:val>
            <c:numRef>
              <c:f>Charts!$E$31:$E$35</c:f>
              <c:numCache>
                <c:formatCode>_-"$"* #,##0_-;\-"$"* #,##0_-;_-"$"* "-"??_-;_-@_-</c:formatCode>
                <c:ptCount val="5"/>
                <c:pt idx="0">
                  <c:v>9007428.5714285709</c:v>
                </c:pt>
                <c:pt idx="1">
                  <c:v>10111818.609546214</c:v>
                </c:pt>
                <c:pt idx="2">
                  <c:v>6489167.7079408513</c:v>
                </c:pt>
                <c:pt idx="3">
                  <c:v>5272895.7813774124</c:v>
                </c:pt>
                <c:pt idx="4">
                  <c:v>4884318.065255465</c:v>
                </c:pt>
              </c:numCache>
            </c:numRef>
          </c:val>
          <c:extLst>
            <c:ext xmlns:c16="http://schemas.microsoft.com/office/drawing/2014/chart" uri="{C3380CC4-5D6E-409C-BE32-E72D297353CC}">
              <c16:uniqueId val="{00000002-6F4F-4A19-8F67-376C45A61517}"/>
            </c:ext>
          </c:extLst>
        </c:ser>
        <c:ser>
          <c:idx val="3"/>
          <c:order val="3"/>
          <c:tx>
            <c:strRef>
              <c:f>Charts!$F$29:$F$30</c:f>
              <c:strCache>
                <c:ptCount val="1"/>
                <c:pt idx="0">
                  <c:v>Investment management and superannuation</c:v>
                </c:pt>
              </c:strCache>
            </c:strRef>
          </c:tx>
          <c:spPr>
            <a:solidFill>
              <a:schemeClr val="accent4"/>
            </a:solidFill>
            <a:ln>
              <a:noFill/>
            </a:ln>
            <a:effectLst/>
          </c:spPr>
          <c:invertIfNegative val="0"/>
          <c:cat>
            <c:strRef>
              <c:f>Charts!$B$31:$B$35</c:f>
              <c:strCache>
                <c:ptCount val="5"/>
                <c:pt idx="0">
                  <c:v>Spread equally</c:v>
                </c:pt>
                <c:pt idx="1">
                  <c:v>Spread by population</c:v>
                </c:pt>
                <c:pt idx="2">
                  <c:v>Spread by revenue</c:v>
                </c:pt>
                <c:pt idx="3">
                  <c:v>Spread by profit</c:v>
                </c:pt>
                <c:pt idx="4">
                  <c:v>Spread by regulatory effort</c:v>
                </c:pt>
              </c:strCache>
            </c:strRef>
          </c:cat>
          <c:val>
            <c:numRef>
              <c:f>Charts!$F$31:$F$35</c:f>
              <c:numCache>
                <c:formatCode>_-"$"* #,##0_-;\-"$"* #,##0_-;_-"$"* "-"??_-;_-@_-</c:formatCode>
                <c:ptCount val="5"/>
                <c:pt idx="0">
                  <c:v>13511142.857142854</c:v>
                </c:pt>
                <c:pt idx="1">
                  <c:v>3633111.4344084691</c:v>
                </c:pt>
                <c:pt idx="2">
                  <c:v>12893126.311022609</c:v>
                </c:pt>
                <c:pt idx="3">
                  <c:v>13905778.318596447</c:v>
                </c:pt>
                <c:pt idx="4">
                  <c:v>14515566.892011471</c:v>
                </c:pt>
              </c:numCache>
            </c:numRef>
          </c:val>
          <c:extLst>
            <c:ext xmlns:c16="http://schemas.microsoft.com/office/drawing/2014/chart" uri="{C3380CC4-5D6E-409C-BE32-E72D297353CC}">
              <c16:uniqueId val="{00000003-6F4F-4A19-8F67-376C45A61517}"/>
            </c:ext>
          </c:extLst>
        </c:ser>
        <c:ser>
          <c:idx val="4"/>
          <c:order val="4"/>
          <c:tx>
            <c:strRef>
              <c:f>Charts!$G$29:$G$30</c:f>
              <c:strCache>
                <c:ptCount val="1"/>
                <c:pt idx="0">
                  <c:v>Market intermediaries</c:v>
                </c:pt>
              </c:strCache>
            </c:strRef>
          </c:tx>
          <c:spPr>
            <a:solidFill>
              <a:schemeClr val="accent5"/>
            </a:solidFill>
            <a:ln>
              <a:noFill/>
            </a:ln>
            <a:effectLst/>
          </c:spPr>
          <c:invertIfNegative val="0"/>
          <c:cat>
            <c:strRef>
              <c:f>Charts!$B$31:$B$35</c:f>
              <c:strCache>
                <c:ptCount val="5"/>
                <c:pt idx="0">
                  <c:v>Spread equally</c:v>
                </c:pt>
                <c:pt idx="1">
                  <c:v>Spread by population</c:v>
                </c:pt>
                <c:pt idx="2">
                  <c:v>Spread by revenue</c:v>
                </c:pt>
                <c:pt idx="3">
                  <c:v>Spread by profit</c:v>
                </c:pt>
                <c:pt idx="4">
                  <c:v>Spread by regulatory effort</c:v>
                </c:pt>
              </c:strCache>
            </c:strRef>
          </c:cat>
          <c:val>
            <c:numRef>
              <c:f>Charts!$G$31:$G$35</c:f>
              <c:numCache>
                <c:formatCode>_-"$"* #,##0_-;\-"$"* #,##0_-;_-"$"* "-"??_-;_-@_-</c:formatCode>
                <c:ptCount val="5"/>
                <c:pt idx="0">
                  <c:v>4503714.2857142854</c:v>
                </c:pt>
                <c:pt idx="1">
                  <c:v>3548211.9730081102</c:v>
                </c:pt>
                <c:pt idx="2">
                  <c:v>1315258.1221500516</c:v>
                </c:pt>
                <c:pt idx="3">
                  <c:v>1110111.0216702663</c:v>
                </c:pt>
                <c:pt idx="4">
                  <c:v>2619361.6995706903</c:v>
                </c:pt>
              </c:numCache>
            </c:numRef>
          </c:val>
          <c:extLst>
            <c:ext xmlns:c16="http://schemas.microsoft.com/office/drawing/2014/chart" uri="{C3380CC4-5D6E-409C-BE32-E72D297353CC}">
              <c16:uniqueId val="{00000004-6F4F-4A19-8F67-376C45A61517}"/>
            </c:ext>
          </c:extLst>
        </c:ser>
        <c:dLbls>
          <c:showLegendKey val="0"/>
          <c:showVal val="0"/>
          <c:showCatName val="0"/>
          <c:showSerName val="0"/>
          <c:showPercent val="0"/>
          <c:showBubbleSize val="0"/>
        </c:dLbls>
        <c:gapWidth val="150"/>
        <c:overlap val="100"/>
        <c:axId val="911820655"/>
        <c:axId val="911816335"/>
      </c:barChart>
      <c:catAx>
        <c:axId val="91182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816335"/>
        <c:crosses val="autoZero"/>
        <c:auto val="1"/>
        <c:lblAlgn val="ctr"/>
        <c:lblOffset val="100"/>
        <c:noMultiLvlLbl val="0"/>
      </c:catAx>
      <c:valAx>
        <c:axId val="911816335"/>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82065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28</Pages>
  <Words>10354</Words>
  <Characters>54798</Characters>
  <Application>Microsoft Office Word</Application>
  <DocSecurity>0</DocSecurity>
  <Lines>1847</Lines>
  <Paragraphs>1139</Paragraphs>
  <ScaleCrop>false</ScaleCrop>
  <HeadingPairs>
    <vt:vector size="2" baseType="variant">
      <vt:variant>
        <vt:lpstr>Title</vt:lpstr>
      </vt:variant>
      <vt:variant>
        <vt:i4>1</vt:i4>
      </vt:variant>
    </vt:vector>
  </HeadingPairs>
  <TitlesOfParts>
    <vt:vector size="1" baseType="lpstr">
      <vt:lpstr>Consultation paper – Compensation Scheme of Last Resort: exceeding sub-sector levy caps</vt:lpstr>
    </vt:vector>
  </TitlesOfParts>
  <Company/>
  <LinksUpToDate>false</LinksUpToDate>
  <CharactersWithSpaces>64034</CharactersWithSpaces>
  <SharedDoc>false</SharedDoc>
  <HLinks>
    <vt:vector size="168" baseType="variant">
      <vt:variant>
        <vt:i4>1310775</vt:i4>
      </vt:variant>
      <vt:variant>
        <vt:i4>149</vt:i4>
      </vt:variant>
      <vt:variant>
        <vt:i4>0</vt:i4>
      </vt:variant>
      <vt:variant>
        <vt:i4>5</vt:i4>
      </vt:variant>
      <vt:variant>
        <vt:lpwstr/>
      </vt:variant>
      <vt:variant>
        <vt:lpwstr>_Toc202542349</vt:lpwstr>
      </vt:variant>
      <vt:variant>
        <vt:i4>1310775</vt:i4>
      </vt:variant>
      <vt:variant>
        <vt:i4>143</vt:i4>
      </vt:variant>
      <vt:variant>
        <vt:i4>0</vt:i4>
      </vt:variant>
      <vt:variant>
        <vt:i4>5</vt:i4>
      </vt:variant>
      <vt:variant>
        <vt:lpwstr/>
      </vt:variant>
      <vt:variant>
        <vt:lpwstr>_Toc202542348</vt:lpwstr>
      </vt:variant>
      <vt:variant>
        <vt:i4>1310775</vt:i4>
      </vt:variant>
      <vt:variant>
        <vt:i4>137</vt:i4>
      </vt:variant>
      <vt:variant>
        <vt:i4>0</vt:i4>
      </vt:variant>
      <vt:variant>
        <vt:i4>5</vt:i4>
      </vt:variant>
      <vt:variant>
        <vt:lpwstr/>
      </vt:variant>
      <vt:variant>
        <vt:lpwstr>_Toc202542347</vt:lpwstr>
      </vt:variant>
      <vt:variant>
        <vt:i4>1310775</vt:i4>
      </vt:variant>
      <vt:variant>
        <vt:i4>131</vt:i4>
      </vt:variant>
      <vt:variant>
        <vt:i4>0</vt:i4>
      </vt:variant>
      <vt:variant>
        <vt:i4>5</vt:i4>
      </vt:variant>
      <vt:variant>
        <vt:lpwstr/>
      </vt:variant>
      <vt:variant>
        <vt:lpwstr>_Toc202542346</vt:lpwstr>
      </vt:variant>
      <vt:variant>
        <vt:i4>1310775</vt:i4>
      </vt:variant>
      <vt:variant>
        <vt:i4>125</vt:i4>
      </vt:variant>
      <vt:variant>
        <vt:i4>0</vt:i4>
      </vt:variant>
      <vt:variant>
        <vt:i4>5</vt:i4>
      </vt:variant>
      <vt:variant>
        <vt:lpwstr/>
      </vt:variant>
      <vt:variant>
        <vt:lpwstr>_Toc202542345</vt:lpwstr>
      </vt:variant>
      <vt:variant>
        <vt:i4>1310775</vt:i4>
      </vt:variant>
      <vt:variant>
        <vt:i4>119</vt:i4>
      </vt:variant>
      <vt:variant>
        <vt:i4>0</vt:i4>
      </vt:variant>
      <vt:variant>
        <vt:i4>5</vt:i4>
      </vt:variant>
      <vt:variant>
        <vt:lpwstr/>
      </vt:variant>
      <vt:variant>
        <vt:lpwstr>_Toc202542344</vt:lpwstr>
      </vt:variant>
      <vt:variant>
        <vt:i4>1310775</vt:i4>
      </vt:variant>
      <vt:variant>
        <vt:i4>113</vt:i4>
      </vt:variant>
      <vt:variant>
        <vt:i4>0</vt:i4>
      </vt:variant>
      <vt:variant>
        <vt:i4>5</vt:i4>
      </vt:variant>
      <vt:variant>
        <vt:lpwstr/>
      </vt:variant>
      <vt:variant>
        <vt:lpwstr>_Toc202542343</vt:lpwstr>
      </vt:variant>
      <vt:variant>
        <vt:i4>1310775</vt:i4>
      </vt:variant>
      <vt:variant>
        <vt:i4>107</vt:i4>
      </vt:variant>
      <vt:variant>
        <vt:i4>0</vt:i4>
      </vt:variant>
      <vt:variant>
        <vt:i4>5</vt:i4>
      </vt:variant>
      <vt:variant>
        <vt:lpwstr/>
      </vt:variant>
      <vt:variant>
        <vt:lpwstr>_Toc202542342</vt:lpwstr>
      </vt:variant>
      <vt:variant>
        <vt:i4>1310775</vt:i4>
      </vt:variant>
      <vt:variant>
        <vt:i4>101</vt:i4>
      </vt:variant>
      <vt:variant>
        <vt:i4>0</vt:i4>
      </vt:variant>
      <vt:variant>
        <vt:i4>5</vt:i4>
      </vt:variant>
      <vt:variant>
        <vt:lpwstr/>
      </vt:variant>
      <vt:variant>
        <vt:lpwstr>_Toc202542341</vt:lpwstr>
      </vt:variant>
      <vt:variant>
        <vt:i4>1310775</vt:i4>
      </vt:variant>
      <vt:variant>
        <vt:i4>95</vt:i4>
      </vt:variant>
      <vt:variant>
        <vt:i4>0</vt:i4>
      </vt:variant>
      <vt:variant>
        <vt:i4>5</vt:i4>
      </vt:variant>
      <vt:variant>
        <vt:lpwstr/>
      </vt:variant>
      <vt:variant>
        <vt:lpwstr>_Toc202542340</vt:lpwstr>
      </vt:variant>
      <vt:variant>
        <vt:i4>1245239</vt:i4>
      </vt:variant>
      <vt:variant>
        <vt:i4>89</vt:i4>
      </vt:variant>
      <vt:variant>
        <vt:i4>0</vt:i4>
      </vt:variant>
      <vt:variant>
        <vt:i4>5</vt:i4>
      </vt:variant>
      <vt:variant>
        <vt:lpwstr/>
      </vt:variant>
      <vt:variant>
        <vt:lpwstr>_Toc202542339</vt:lpwstr>
      </vt:variant>
      <vt:variant>
        <vt:i4>1245239</vt:i4>
      </vt:variant>
      <vt:variant>
        <vt:i4>83</vt:i4>
      </vt:variant>
      <vt:variant>
        <vt:i4>0</vt:i4>
      </vt:variant>
      <vt:variant>
        <vt:i4>5</vt:i4>
      </vt:variant>
      <vt:variant>
        <vt:lpwstr/>
      </vt:variant>
      <vt:variant>
        <vt:lpwstr>_Toc202542338</vt:lpwstr>
      </vt:variant>
      <vt:variant>
        <vt:i4>1245239</vt:i4>
      </vt:variant>
      <vt:variant>
        <vt:i4>77</vt:i4>
      </vt:variant>
      <vt:variant>
        <vt:i4>0</vt:i4>
      </vt:variant>
      <vt:variant>
        <vt:i4>5</vt:i4>
      </vt:variant>
      <vt:variant>
        <vt:lpwstr/>
      </vt:variant>
      <vt:variant>
        <vt:lpwstr>_Toc202542337</vt:lpwstr>
      </vt:variant>
      <vt:variant>
        <vt:i4>1245239</vt:i4>
      </vt:variant>
      <vt:variant>
        <vt:i4>71</vt:i4>
      </vt:variant>
      <vt:variant>
        <vt:i4>0</vt:i4>
      </vt:variant>
      <vt:variant>
        <vt:i4>5</vt:i4>
      </vt:variant>
      <vt:variant>
        <vt:lpwstr/>
      </vt:variant>
      <vt:variant>
        <vt:lpwstr>_Toc202542336</vt:lpwstr>
      </vt:variant>
      <vt:variant>
        <vt:i4>1245239</vt:i4>
      </vt:variant>
      <vt:variant>
        <vt:i4>65</vt:i4>
      </vt:variant>
      <vt:variant>
        <vt:i4>0</vt:i4>
      </vt:variant>
      <vt:variant>
        <vt:i4>5</vt:i4>
      </vt:variant>
      <vt:variant>
        <vt:lpwstr/>
      </vt:variant>
      <vt:variant>
        <vt:lpwstr>_Toc202542335</vt:lpwstr>
      </vt:variant>
      <vt:variant>
        <vt:i4>1245239</vt:i4>
      </vt:variant>
      <vt:variant>
        <vt:i4>59</vt:i4>
      </vt:variant>
      <vt:variant>
        <vt:i4>0</vt:i4>
      </vt:variant>
      <vt:variant>
        <vt:i4>5</vt:i4>
      </vt:variant>
      <vt:variant>
        <vt:lpwstr/>
      </vt:variant>
      <vt:variant>
        <vt:lpwstr>_Toc202542334</vt:lpwstr>
      </vt:variant>
      <vt:variant>
        <vt:i4>1245239</vt:i4>
      </vt:variant>
      <vt:variant>
        <vt:i4>53</vt:i4>
      </vt:variant>
      <vt:variant>
        <vt:i4>0</vt:i4>
      </vt:variant>
      <vt:variant>
        <vt:i4>5</vt:i4>
      </vt:variant>
      <vt:variant>
        <vt:lpwstr/>
      </vt:variant>
      <vt:variant>
        <vt:lpwstr>_Toc202542333</vt:lpwstr>
      </vt:variant>
      <vt:variant>
        <vt:i4>1245239</vt:i4>
      </vt:variant>
      <vt:variant>
        <vt:i4>47</vt:i4>
      </vt:variant>
      <vt:variant>
        <vt:i4>0</vt:i4>
      </vt:variant>
      <vt:variant>
        <vt:i4>5</vt:i4>
      </vt:variant>
      <vt:variant>
        <vt:lpwstr/>
      </vt:variant>
      <vt:variant>
        <vt:lpwstr>_Toc202542332</vt:lpwstr>
      </vt:variant>
      <vt:variant>
        <vt:i4>1245239</vt:i4>
      </vt:variant>
      <vt:variant>
        <vt:i4>41</vt:i4>
      </vt:variant>
      <vt:variant>
        <vt:i4>0</vt:i4>
      </vt:variant>
      <vt:variant>
        <vt:i4>5</vt:i4>
      </vt:variant>
      <vt:variant>
        <vt:lpwstr/>
      </vt:variant>
      <vt:variant>
        <vt:lpwstr>_Toc202542331</vt:lpwstr>
      </vt:variant>
      <vt:variant>
        <vt:i4>1245239</vt:i4>
      </vt:variant>
      <vt:variant>
        <vt:i4>35</vt:i4>
      </vt:variant>
      <vt:variant>
        <vt:i4>0</vt:i4>
      </vt:variant>
      <vt:variant>
        <vt:i4>5</vt:i4>
      </vt:variant>
      <vt:variant>
        <vt:lpwstr/>
      </vt:variant>
      <vt:variant>
        <vt:lpwstr>_Toc202542330</vt:lpwstr>
      </vt:variant>
      <vt:variant>
        <vt:i4>1179703</vt:i4>
      </vt:variant>
      <vt:variant>
        <vt:i4>29</vt:i4>
      </vt:variant>
      <vt:variant>
        <vt:i4>0</vt:i4>
      </vt:variant>
      <vt:variant>
        <vt:i4>5</vt:i4>
      </vt:variant>
      <vt:variant>
        <vt:lpwstr/>
      </vt:variant>
      <vt:variant>
        <vt:lpwstr>_Toc202542329</vt:lpwstr>
      </vt:variant>
      <vt:variant>
        <vt:i4>1179703</vt:i4>
      </vt:variant>
      <vt:variant>
        <vt:i4>23</vt:i4>
      </vt:variant>
      <vt:variant>
        <vt:i4>0</vt:i4>
      </vt:variant>
      <vt:variant>
        <vt:i4>5</vt:i4>
      </vt:variant>
      <vt:variant>
        <vt:lpwstr/>
      </vt:variant>
      <vt:variant>
        <vt:lpwstr>_Toc202542328</vt:lpwstr>
      </vt:variant>
      <vt:variant>
        <vt:i4>1179703</vt:i4>
      </vt:variant>
      <vt:variant>
        <vt:i4>17</vt:i4>
      </vt:variant>
      <vt:variant>
        <vt:i4>0</vt:i4>
      </vt:variant>
      <vt:variant>
        <vt:i4>5</vt:i4>
      </vt:variant>
      <vt:variant>
        <vt:lpwstr/>
      </vt:variant>
      <vt:variant>
        <vt:lpwstr>_Toc202542327</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Compensation Scheme of Last Resort: exceeding sub-sector levy caps</dc:title>
  <dc:subject/>
  <dc:creator>Treasury</dc:creator>
  <cp:keywords/>
  <dc:description/>
  <cp:lastModifiedBy/>
  <cp:revision>1</cp:revision>
  <dcterms:created xsi:type="dcterms:W3CDTF">2025-07-31T22:55:00Z</dcterms:created>
  <dcterms:modified xsi:type="dcterms:W3CDTF">2025-07-31T22:56:00Z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2025-07-31T22:56:33Z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e41d7586-95d0-4969-9251-97d34172408a</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