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220DB" w14:textId="5E10ACA8" w:rsidR="00986A46" w:rsidRDefault="005C564C" w:rsidP="00300C95">
      <w:pPr>
        <w:pStyle w:val="Factsheettitle"/>
        <w:spacing w:before="1440"/>
      </w:pPr>
      <w:r>
        <w:t>List of c</w:t>
      </w:r>
      <w:r w:rsidR="006A070D">
        <w:t>onsultation questions</w:t>
      </w:r>
    </w:p>
    <w:p w14:paraId="50B87FFC" w14:textId="77777777" w:rsidR="0071410F" w:rsidRDefault="0071410F" w:rsidP="0071410F">
      <w:pPr>
        <w:pStyle w:val="Introtext"/>
      </w:pPr>
      <w:r>
        <w:t>This consultation seeks information and views to support the government’s consideration of reforms to non-compete clauses and related restraints that restrict worker from moving to higher paying jobs.</w:t>
      </w:r>
    </w:p>
    <w:p w14:paraId="5112C555" w14:textId="77777777" w:rsidR="0071410F" w:rsidRDefault="0071410F" w:rsidP="0071410F">
      <w:pPr>
        <w:pStyle w:val="Introtext"/>
      </w:pPr>
      <w:r>
        <w:t xml:space="preserve">You are invited to answer some or all of the questions, or to comment on the issues more broadly. </w:t>
      </w:r>
    </w:p>
    <w:p w14:paraId="58291F1A" w14:textId="77777777" w:rsidR="0071410F" w:rsidRDefault="0071410F" w:rsidP="0071410F">
      <w:pPr>
        <w:pStyle w:val="Introtext"/>
      </w:pPr>
      <w:r>
        <w:t>While submissions may be lodged electronically or by post, electronic lodgement is preferred.</w:t>
      </w:r>
    </w:p>
    <w:p w14:paraId="3C9AFE63" w14:textId="77777777" w:rsidR="0071410F" w:rsidRDefault="0071410F" w:rsidP="0071410F">
      <w:pPr>
        <w:pStyle w:val="Introtext"/>
      </w:pPr>
      <w:r>
        <w:t>All information (including name and address details) contained in formal submissions will be made available to the public on the Australian Treasury website, unless you indicate that you would like all or part of your submission to remain confidential. Automatically generated confidentiality statements in emails do not suffice for this purpose. Respondents who would like part of their submission to remain confidential should provide this information marked as such in a separate attachment.</w:t>
      </w:r>
    </w:p>
    <w:p w14:paraId="211E02EB" w14:textId="77777777" w:rsidR="0071410F" w:rsidRDefault="0071410F" w:rsidP="0071410F">
      <w:pPr>
        <w:pStyle w:val="Introtext"/>
      </w:pPr>
      <w:r>
        <w:t xml:space="preserve">Legal requirements, such as those imposed by the </w:t>
      </w:r>
      <w:r>
        <w:rPr>
          <w:i/>
          <w:iCs/>
        </w:rPr>
        <w:t>Freedom of Information Act 1982</w:t>
      </w:r>
      <w:r>
        <w:t>, may affect the confidentiality of your submission.</w:t>
      </w:r>
    </w:p>
    <w:p w14:paraId="1ED1408F" w14:textId="77777777" w:rsidR="0071410F" w:rsidRDefault="0071410F" w:rsidP="0071410F">
      <w:pPr>
        <w:keepNext/>
        <w:spacing w:before="320" w:after="0" w:line="276" w:lineRule="auto"/>
        <w:outlineLvl w:val="2"/>
        <w:rPr>
          <w:rFonts w:ascii="Calibri" w:hAnsi="Calibri" w:cs="Arial"/>
          <w:b/>
          <w:color w:val="4D7861" w:themeColor="accent2"/>
          <w:kern w:val="32"/>
          <w:sz w:val="28"/>
          <w:szCs w:val="28"/>
        </w:rPr>
      </w:pPr>
      <w:r w:rsidRPr="6C271849">
        <w:rPr>
          <w:rFonts w:ascii="Calibri" w:hAnsi="Calibri" w:cs="Arial"/>
          <w:b/>
          <w:color w:val="4D7861" w:themeColor="accent2"/>
          <w:kern w:val="32"/>
          <w:sz w:val="28"/>
          <w:szCs w:val="28"/>
        </w:rPr>
        <w:t>Closing date for submissions: 5 September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2"/>
        <w:gridCol w:w="7243"/>
      </w:tblGrid>
      <w:tr w:rsidR="0071410F" w14:paraId="17C7E3D0" w14:textId="77777777" w:rsidTr="00C65908">
        <w:tc>
          <w:tcPr>
            <w:tcW w:w="1029" w:type="dxa"/>
            <w:shd w:val="clear" w:color="auto" w:fill="F2F2F2" w:themeFill="background1" w:themeFillShade="F2"/>
          </w:tcPr>
          <w:p w14:paraId="5CA6750E" w14:textId="77777777" w:rsidR="0071410F" w:rsidRDefault="0071410F" w:rsidP="00A0341C">
            <w:pPr>
              <w:spacing w:before="40" w:after="40"/>
              <w:rPr>
                <w:rFonts w:ascii="Calibri" w:hAnsi="Calibri" w:cs="Arial"/>
                <w:b/>
                <w:color w:val="4D7861" w:themeColor="accent2"/>
                <w:kern w:val="32"/>
                <w:sz w:val="28"/>
                <w:szCs w:val="28"/>
              </w:rPr>
            </w:pPr>
            <w:r w:rsidRPr="0071410F">
              <w:rPr>
                <w:b/>
                <w:color w:val="2C384A" w:themeColor="accent1"/>
                <w:sz w:val="26"/>
                <w:szCs w:val="26"/>
              </w:rPr>
              <w:t>Online</w:t>
            </w:r>
          </w:p>
        </w:tc>
        <w:tc>
          <w:tcPr>
            <w:tcW w:w="7243" w:type="dxa"/>
            <w:shd w:val="clear" w:color="auto" w:fill="F2F2F2" w:themeFill="background1" w:themeFillShade="F2"/>
          </w:tcPr>
          <w:p w14:paraId="78E58262" w14:textId="77777777" w:rsidR="0071410F" w:rsidRPr="0071410F" w:rsidRDefault="0071410F" w:rsidP="00A0341C">
            <w:pPr>
              <w:spacing w:before="40" w:after="40"/>
              <w:rPr>
                <w:rFonts w:ascii="Calibri" w:hAnsi="Calibri" w:cs="Arial"/>
                <w:b/>
                <w:bCs/>
                <w:color w:val="4D7861" w:themeColor="accent2"/>
                <w:kern w:val="32"/>
                <w:sz w:val="28"/>
                <w:szCs w:val="28"/>
              </w:rPr>
            </w:pPr>
            <w:hyperlink r:id="rId7" w:history="1">
              <w:r w:rsidRPr="00C65908">
                <w:rPr>
                  <w:rStyle w:val="Hyperlink"/>
                  <w:b/>
                  <w:bCs/>
                  <w:color w:val="2C384A" w:themeColor="accent1"/>
                  <w:sz w:val="26"/>
                  <w:szCs w:val="26"/>
                </w:rPr>
                <w:t>https://consult.treasury.gov.au/c2025-681950/consultation</w:t>
              </w:r>
            </w:hyperlink>
            <w:r w:rsidRPr="00C65908">
              <w:rPr>
                <w:rStyle w:val="Hyperlink"/>
                <w:b/>
                <w:bCs/>
                <w:color w:val="2C384A" w:themeColor="accent1"/>
                <w:sz w:val="26"/>
                <w:szCs w:val="26"/>
              </w:rPr>
              <w:t xml:space="preserve"> </w:t>
            </w:r>
            <w:r w:rsidRPr="00C65908">
              <w:rPr>
                <w:rFonts w:ascii="Calibri" w:hAnsi="Calibri" w:cs="Arial"/>
                <w:b/>
                <w:bCs/>
                <w:color w:val="2C384A" w:themeColor="accent1"/>
                <w:kern w:val="32"/>
                <w:sz w:val="28"/>
                <w:szCs w:val="28"/>
              </w:rPr>
              <w:t xml:space="preserve">   </w:t>
            </w:r>
          </w:p>
        </w:tc>
      </w:tr>
      <w:tr w:rsidR="0071410F" w14:paraId="3EF5164B" w14:textId="77777777" w:rsidTr="00C65908">
        <w:tc>
          <w:tcPr>
            <w:tcW w:w="1029" w:type="dxa"/>
          </w:tcPr>
          <w:p w14:paraId="6A7B5FED" w14:textId="77777777" w:rsidR="0071410F" w:rsidRPr="0071410F" w:rsidRDefault="0071410F" w:rsidP="00A0341C">
            <w:pPr>
              <w:spacing w:before="40" w:after="40"/>
              <w:rPr>
                <w:sz w:val="26"/>
                <w:szCs w:val="26"/>
              </w:rPr>
            </w:pPr>
            <w:r w:rsidRPr="00134007">
              <w:rPr>
                <w:sz w:val="26"/>
                <w:szCs w:val="26"/>
              </w:rPr>
              <w:t>Email</w:t>
            </w:r>
          </w:p>
        </w:tc>
        <w:tc>
          <w:tcPr>
            <w:tcW w:w="7243" w:type="dxa"/>
          </w:tcPr>
          <w:p w14:paraId="1A1BFE3C" w14:textId="77777777" w:rsidR="0071410F" w:rsidRPr="0071410F" w:rsidRDefault="0071410F" w:rsidP="00A0341C">
            <w:pPr>
              <w:spacing w:before="40" w:after="40"/>
              <w:rPr>
                <w:sz w:val="26"/>
                <w:szCs w:val="26"/>
              </w:rPr>
            </w:pPr>
            <w:r w:rsidRPr="00134007">
              <w:rPr>
                <w:sz w:val="26"/>
                <w:szCs w:val="26"/>
              </w:rPr>
              <w:t xml:space="preserve">CompetitionTaskforce@treasury.gov.au </w:t>
            </w:r>
          </w:p>
        </w:tc>
      </w:tr>
      <w:tr w:rsidR="0071410F" w14:paraId="5E4073E9" w14:textId="77777777" w:rsidTr="00C65908">
        <w:tc>
          <w:tcPr>
            <w:tcW w:w="1029" w:type="dxa"/>
          </w:tcPr>
          <w:p w14:paraId="5B65148F" w14:textId="77777777" w:rsidR="0071410F" w:rsidRPr="0071410F" w:rsidRDefault="0071410F" w:rsidP="00A0341C">
            <w:pPr>
              <w:spacing w:before="40" w:after="40"/>
              <w:rPr>
                <w:sz w:val="26"/>
                <w:szCs w:val="26"/>
              </w:rPr>
            </w:pPr>
            <w:r w:rsidRPr="00134007">
              <w:rPr>
                <w:sz w:val="26"/>
                <w:szCs w:val="26"/>
              </w:rPr>
              <w:t>Mail</w:t>
            </w:r>
          </w:p>
        </w:tc>
        <w:tc>
          <w:tcPr>
            <w:tcW w:w="7243" w:type="dxa"/>
          </w:tcPr>
          <w:p w14:paraId="4FD29F92" w14:textId="77777777" w:rsidR="0071410F" w:rsidRPr="0071410F" w:rsidRDefault="0071410F" w:rsidP="00A0341C">
            <w:pPr>
              <w:spacing w:before="40" w:after="40"/>
              <w:rPr>
                <w:sz w:val="26"/>
                <w:szCs w:val="26"/>
              </w:rPr>
            </w:pPr>
            <w:r w:rsidRPr="00134007">
              <w:rPr>
                <w:sz w:val="26"/>
                <w:szCs w:val="26"/>
              </w:rPr>
              <w:t>Competition Taskforce</w:t>
            </w:r>
            <w:r w:rsidRPr="00134007">
              <w:rPr>
                <w:sz w:val="26"/>
                <w:szCs w:val="26"/>
              </w:rPr>
              <w:br/>
              <w:t>The Treasury</w:t>
            </w:r>
            <w:r w:rsidRPr="00134007">
              <w:rPr>
                <w:sz w:val="26"/>
                <w:szCs w:val="26"/>
              </w:rPr>
              <w:br/>
              <w:t>Langton Crescent</w:t>
            </w:r>
            <w:r w:rsidRPr="00134007">
              <w:rPr>
                <w:sz w:val="26"/>
                <w:szCs w:val="26"/>
              </w:rPr>
              <w:br/>
              <w:t>PARKES  ACT  2600</w:t>
            </w:r>
          </w:p>
        </w:tc>
      </w:tr>
      <w:tr w:rsidR="0071410F" w14:paraId="2594CE07" w14:textId="77777777" w:rsidTr="00C65908">
        <w:trPr>
          <w:trHeight w:val="77"/>
        </w:trPr>
        <w:tc>
          <w:tcPr>
            <w:tcW w:w="1029" w:type="dxa"/>
          </w:tcPr>
          <w:p w14:paraId="69ABA39C" w14:textId="77777777" w:rsidR="0071410F" w:rsidRPr="0071410F" w:rsidRDefault="0071410F" w:rsidP="00A0341C">
            <w:pPr>
              <w:spacing w:before="40" w:after="40"/>
              <w:rPr>
                <w:sz w:val="26"/>
                <w:szCs w:val="26"/>
              </w:rPr>
            </w:pPr>
            <w:r w:rsidRPr="00134007">
              <w:rPr>
                <w:sz w:val="26"/>
                <w:szCs w:val="26"/>
              </w:rPr>
              <w:t>Enquiries</w:t>
            </w:r>
          </w:p>
        </w:tc>
        <w:tc>
          <w:tcPr>
            <w:tcW w:w="7243" w:type="dxa"/>
          </w:tcPr>
          <w:p w14:paraId="78B07C13" w14:textId="77777777" w:rsidR="0071410F" w:rsidRPr="0071410F" w:rsidRDefault="0071410F" w:rsidP="00A0341C">
            <w:pPr>
              <w:spacing w:before="40" w:after="40"/>
              <w:rPr>
                <w:sz w:val="26"/>
                <w:szCs w:val="26"/>
              </w:rPr>
            </w:pPr>
            <w:r>
              <w:rPr>
                <w:sz w:val="26"/>
                <w:szCs w:val="26"/>
              </w:rPr>
              <w:t>Can be</w:t>
            </w:r>
            <w:r w:rsidRPr="00134007">
              <w:rPr>
                <w:sz w:val="26"/>
                <w:szCs w:val="26"/>
              </w:rPr>
              <w:t xml:space="preserve"> directed to</w:t>
            </w:r>
            <w:r>
              <w:rPr>
                <w:sz w:val="26"/>
                <w:szCs w:val="26"/>
              </w:rPr>
              <w:t xml:space="preserve"> </w:t>
            </w:r>
            <w:r w:rsidRPr="00134007">
              <w:rPr>
                <w:sz w:val="26"/>
                <w:szCs w:val="26"/>
              </w:rPr>
              <w:t>CompetitionTaskforce@treasury.gov.au</w:t>
            </w:r>
          </w:p>
        </w:tc>
      </w:tr>
    </w:tbl>
    <w:p w14:paraId="597367E8" w14:textId="79B74054" w:rsidR="009D436B" w:rsidRDefault="009D436B" w:rsidP="008F2212"/>
    <w:p w14:paraId="3D3D74D1" w14:textId="36986EF7" w:rsidR="009D436B" w:rsidRDefault="009D436B">
      <w:pPr>
        <w:spacing w:before="0" w:after="0"/>
      </w:pPr>
      <w:r>
        <w:br w:type="page"/>
      </w:r>
    </w:p>
    <w:p w14:paraId="23432F4E" w14:textId="5BFEC7BC" w:rsidR="002A6FB1" w:rsidRPr="002A6FB1" w:rsidRDefault="002A6FB1" w:rsidP="00D72A22">
      <w:pPr>
        <w:pStyle w:val="Heading3"/>
      </w:pPr>
      <w:r>
        <w:lastRenderedPageBreak/>
        <w:t>1. Introduction</w:t>
      </w:r>
    </w:p>
    <w:p w14:paraId="3D98F2B5" w14:textId="1F117CD4" w:rsidR="002A6FB1" w:rsidRPr="002A6FB1" w:rsidRDefault="00B11687" w:rsidP="00D72A22">
      <w:pPr>
        <w:pStyle w:val="Heading3"/>
      </w:pPr>
      <w:r>
        <w:t xml:space="preserve">2. </w:t>
      </w:r>
      <w:r w:rsidR="002A6FB1">
        <w:t>Scope and purpose of consultation</w:t>
      </w:r>
    </w:p>
    <w:p w14:paraId="10E5CE54" w14:textId="6AA0545C" w:rsidR="00DE74EC" w:rsidRDefault="009D436B" w:rsidP="009D436B">
      <w:pPr>
        <w:pStyle w:val="Heading3"/>
      </w:pPr>
      <w:r>
        <w:t>3</w:t>
      </w:r>
      <w:r w:rsidR="0047146F">
        <w:t xml:space="preserve">. </w:t>
      </w:r>
      <w:r>
        <w:t>The ban on non-compete clauses for low- and middle-income workers</w:t>
      </w:r>
    </w:p>
    <w:p w14:paraId="71DB1780" w14:textId="47F9034C" w:rsidR="009D436B" w:rsidRPr="00936EE4" w:rsidRDefault="00CB0F27" w:rsidP="00936EE4">
      <w:pPr>
        <w:pStyle w:val="Heading4"/>
        <w:rPr>
          <w:b/>
          <w:bCs/>
          <w:color w:val="auto"/>
        </w:rPr>
      </w:pPr>
      <w:r w:rsidRPr="00936EE4">
        <w:rPr>
          <w:b/>
          <w:bCs/>
          <w:color w:val="auto"/>
        </w:rPr>
        <w:t>3.1 Definition of a non-compete clause</w:t>
      </w:r>
    </w:p>
    <w:p w14:paraId="35AF53EF" w14:textId="77777777" w:rsidR="006F6301" w:rsidRPr="00625F6D" w:rsidRDefault="006F6301" w:rsidP="006F6301">
      <w:pPr>
        <w:pStyle w:val="OutlineNumbered1"/>
        <w:rPr>
          <w:rFonts w:asciiTheme="minorHAnsi" w:hAnsiTheme="minorHAnsi" w:cstheme="minorHAnsi"/>
          <w:szCs w:val="22"/>
        </w:rPr>
      </w:pPr>
      <w:r w:rsidRPr="00625F6D">
        <w:rPr>
          <w:rFonts w:asciiTheme="minorHAnsi" w:hAnsiTheme="minorHAnsi" w:cstheme="minorHAnsi"/>
          <w:szCs w:val="22"/>
        </w:rPr>
        <w:t xml:space="preserve">How should a non-compete clause be defined in the Fair Work Act? Is the FTC definition appropriate for an Australian context? </w:t>
      </w:r>
    </w:p>
    <w:p w14:paraId="2233C899" w14:textId="77777777" w:rsidR="006F6301" w:rsidRPr="00625F6D" w:rsidRDefault="006F6301" w:rsidP="006F6301">
      <w:pPr>
        <w:pStyle w:val="OutlineNumbered1"/>
        <w:rPr>
          <w:rFonts w:asciiTheme="minorHAnsi" w:hAnsiTheme="minorHAnsi" w:cstheme="minorHAnsi"/>
          <w:szCs w:val="22"/>
        </w:rPr>
      </w:pPr>
      <w:r w:rsidRPr="00625F6D">
        <w:rPr>
          <w:rFonts w:asciiTheme="minorHAnsi" w:hAnsiTheme="minorHAnsi" w:cstheme="minorHAnsi"/>
          <w:szCs w:val="22"/>
        </w:rPr>
        <w:t>Should any specific kinds of common contractual terms be explicitly included or excluded from this definition?</w:t>
      </w:r>
    </w:p>
    <w:p w14:paraId="6B572313" w14:textId="06D78AD9" w:rsidR="00CB0F27" w:rsidRPr="00936EE4" w:rsidRDefault="00CB0F27" w:rsidP="00936EE4">
      <w:pPr>
        <w:pStyle w:val="Heading4"/>
        <w:rPr>
          <w:b/>
          <w:bCs/>
          <w:color w:val="auto"/>
        </w:rPr>
      </w:pPr>
      <w:r w:rsidRPr="00936EE4">
        <w:rPr>
          <w:b/>
          <w:bCs/>
          <w:color w:val="auto"/>
        </w:rPr>
        <w:t>3.2 Scope of workers affected</w:t>
      </w:r>
    </w:p>
    <w:p w14:paraId="25FAA97B" w14:textId="77777777" w:rsidR="004C700B" w:rsidRPr="003B34A7" w:rsidRDefault="004C700B" w:rsidP="004C700B">
      <w:pPr>
        <w:pStyle w:val="OutlineNumbered1"/>
        <w:rPr>
          <w:rFonts w:asciiTheme="minorHAnsi" w:hAnsiTheme="minorHAnsi" w:cstheme="minorHAnsi"/>
          <w:szCs w:val="22"/>
        </w:rPr>
      </w:pPr>
      <w:r w:rsidRPr="003B34A7">
        <w:rPr>
          <w:rFonts w:asciiTheme="minorHAnsi" w:hAnsiTheme="minorHAnsi" w:cstheme="minorHAnsi"/>
          <w:szCs w:val="22"/>
        </w:rPr>
        <w:t>Should the ban on non-compete clauses apply to workers who are not employees, such as independent contractors?</w:t>
      </w:r>
    </w:p>
    <w:p w14:paraId="55A74E43" w14:textId="77777777" w:rsidR="004C700B" w:rsidRPr="00B9162B" w:rsidRDefault="004C700B" w:rsidP="002B4E28">
      <w:pPr>
        <w:pStyle w:val="OutlineNumbered1"/>
        <w:rPr>
          <w:rFonts w:asciiTheme="minorHAnsi" w:hAnsiTheme="minorHAnsi" w:cstheme="minorHAnsi"/>
        </w:rPr>
      </w:pPr>
      <w:r w:rsidRPr="00B9162B">
        <w:rPr>
          <w:rFonts w:asciiTheme="minorHAnsi" w:hAnsiTheme="minorHAnsi" w:cstheme="minorHAnsi"/>
        </w:rPr>
        <w:t>Are there any potential unintended consequences that may arise from a reliance on the high-income threshold in the Fair Work Act? If so, how could they be addressed?</w:t>
      </w:r>
    </w:p>
    <w:p w14:paraId="1165CEFF" w14:textId="77777777" w:rsidR="004C700B" w:rsidRPr="003B34A7" w:rsidRDefault="004C700B" w:rsidP="002B4E28">
      <w:pPr>
        <w:pStyle w:val="OutlineNumbered1"/>
        <w:rPr>
          <w:rFonts w:asciiTheme="minorHAnsi" w:hAnsiTheme="minorHAnsi" w:cstheme="minorHAnsi"/>
          <w:szCs w:val="22"/>
        </w:rPr>
      </w:pPr>
      <w:r w:rsidRPr="003B34A7">
        <w:rPr>
          <w:rFonts w:asciiTheme="minorHAnsi" w:hAnsiTheme="minorHAnsi" w:cstheme="minorHAnsi"/>
          <w:szCs w:val="22"/>
        </w:rPr>
        <w:t>At what point in the employment relationship should the high-income threshold be applied to determine whether a non-compete clause is allowable or not, and why? For example, should it be applied at the time the contract for employment is entered into or varied, the time the employment relationship ends, or some other time?</w:t>
      </w:r>
    </w:p>
    <w:p w14:paraId="2C3E4A3E" w14:textId="0EC59C89" w:rsidR="004C700B" w:rsidRPr="003B34A7" w:rsidRDefault="004C700B" w:rsidP="002B4E28">
      <w:pPr>
        <w:pStyle w:val="OutlineNumbered1"/>
        <w:rPr>
          <w:rFonts w:asciiTheme="minorHAnsi" w:hAnsiTheme="minorHAnsi" w:cstheme="minorHAnsi"/>
          <w:szCs w:val="22"/>
        </w:rPr>
      </w:pPr>
      <w:r w:rsidRPr="00D16B73">
        <w:rPr>
          <w:rFonts w:asciiTheme="minorHAnsi" w:hAnsiTheme="minorHAnsi" w:cstheme="minorHAnsi"/>
        </w:rPr>
        <w:t>Would the application of the ban to all fair work instruments, as defined by the Fair Work Act, have any unintended consequences?</w:t>
      </w:r>
    </w:p>
    <w:p w14:paraId="52F755F6" w14:textId="5A0F418A" w:rsidR="00CB0F27" w:rsidRPr="00936EE4" w:rsidRDefault="00CB0F27" w:rsidP="00936EE4">
      <w:pPr>
        <w:pStyle w:val="Heading4"/>
        <w:rPr>
          <w:b/>
          <w:bCs/>
          <w:color w:val="auto"/>
        </w:rPr>
      </w:pPr>
      <w:r w:rsidRPr="00936EE4">
        <w:rPr>
          <w:b/>
          <w:bCs/>
          <w:color w:val="auto"/>
        </w:rPr>
        <w:t>3.</w:t>
      </w:r>
      <w:r w:rsidR="00CC311B" w:rsidRPr="00936EE4">
        <w:rPr>
          <w:b/>
          <w:bCs/>
          <w:color w:val="auto"/>
        </w:rPr>
        <w:t>3</w:t>
      </w:r>
      <w:r w:rsidRPr="00936EE4">
        <w:rPr>
          <w:b/>
          <w:bCs/>
          <w:color w:val="auto"/>
        </w:rPr>
        <w:t xml:space="preserve"> Enforcement</w:t>
      </w:r>
    </w:p>
    <w:p w14:paraId="510B367B" w14:textId="77777777" w:rsidR="009A0962" w:rsidRPr="003B34A7" w:rsidRDefault="009A0962" w:rsidP="009A0962">
      <w:pPr>
        <w:pStyle w:val="OutlineNumbered1"/>
        <w:rPr>
          <w:rFonts w:asciiTheme="minorHAnsi" w:hAnsiTheme="minorHAnsi" w:cstheme="minorHAnsi"/>
          <w:szCs w:val="22"/>
        </w:rPr>
      </w:pPr>
      <w:r w:rsidRPr="003B34A7">
        <w:rPr>
          <w:rFonts w:asciiTheme="minorHAnsi" w:hAnsiTheme="minorHAnsi" w:cstheme="minorHAnsi"/>
          <w:szCs w:val="22"/>
        </w:rPr>
        <w:t>What is the appropriate penalty for</w:t>
      </w:r>
      <w:r w:rsidRPr="003B34A7" w:rsidDel="00130184">
        <w:rPr>
          <w:rFonts w:asciiTheme="minorHAnsi" w:hAnsiTheme="minorHAnsi" w:cstheme="minorHAnsi"/>
          <w:szCs w:val="22"/>
        </w:rPr>
        <w:t xml:space="preserve"> </w:t>
      </w:r>
      <w:r w:rsidRPr="003B34A7">
        <w:rPr>
          <w:rFonts w:asciiTheme="minorHAnsi" w:hAnsiTheme="minorHAnsi" w:cstheme="minorHAnsi"/>
          <w:szCs w:val="22"/>
        </w:rPr>
        <w:t xml:space="preserve">breaches of the ban on non-compete clauses? Are the existing penalties in the Fair Work Act for other contraventions appropriate? Please consider the following matters in your feedback: </w:t>
      </w:r>
    </w:p>
    <w:p w14:paraId="3635ED31" w14:textId="77777777" w:rsidR="009A0962" w:rsidRPr="003B34A7" w:rsidRDefault="009A0962" w:rsidP="002B4E28">
      <w:pPr>
        <w:pStyle w:val="OutlineNumbered1"/>
        <w:numPr>
          <w:ilvl w:val="0"/>
          <w:numId w:val="0"/>
        </w:numPr>
        <w:ind w:left="851"/>
        <w:rPr>
          <w:rFonts w:asciiTheme="minorHAnsi" w:hAnsiTheme="minorHAnsi" w:cstheme="minorHAnsi"/>
          <w:szCs w:val="22"/>
        </w:rPr>
      </w:pPr>
      <w:r w:rsidRPr="003B34A7">
        <w:rPr>
          <w:rFonts w:asciiTheme="minorHAnsi" w:hAnsiTheme="minorHAnsi" w:cstheme="minorHAnsi"/>
          <w:szCs w:val="22"/>
        </w:rPr>
        <w:t>(a) the type of penalty</w:t>
      </w:r>
    </w:p>
    <w:p w14:paraId="4DD948D7" w14:textId="77777777" w:rsidR="009A0962" w:rsidRPr="003B34A7" w:rsidRDefault="009A0962" w:rsidP="00FA714F">
      <w:pPr>
        <w:pStyle w:val="SingleParagraph"/>
        <w:spacing w:after="120"/>
        <w:ind w:left="851"/>
        <w:rPr>
          <w:rFonts w:asciiTheme="minorHAnsi" w:hAnsiTheme="minorHAnsi" w:cstheme="minorHAnsi"/>
          <w:szCs w:val="22"/>
        </w:rPr>
      </w:pPr>
      <w:r w:rsidRPr="003B34A7">
        <w:rPr>
          <w:rFonts w:asciiTheme="minorHAnsi" w:hAnsiTheme="minorHAnsi" w:cstheme="minorHAnsi"/>
          <w:szCs w:val="22"/>
        </w:rPr>
        <w:t xml:space="preserve">(b) the magnitude of the penalty, and </w:t>
      </w:r>
    </w:p>
    <w:p w14:paraId="23CC4A5B" w14:textId="77777777" w:rsidR="009A0962" w:rsidRPr="003B34A7" w:rsidRDefault="009A0962" w:rsidP="002B4E28">
      <w:pPr>
        <w:pStyle w:val="OutlineNumbered1"/>
        <w:numPr>
          <w:ilvl w:val="0"/>
          <w:numId w:val="0"/>
        </w:numPr>
        <w:ind w:left="851"/>
        <w:rPr>
          <w:rFonts w:asciiTheme="minorHAnsi" w:hAnsiTheme="minorHAnsi" w:cstheme="minorHAnsi"/>
          <w:szCs w:val="22"/>
        </w:rPr>
      </w:pPr>
      <w:r w:rsidRPr="003B34A7">
        <w:rPr>
          <w:rFonts w:asciiTheme="minorHAnsi" w:hAnsiTheme="minorHAnsi" w:cstheme="minorHAnsi"/>
          <w:szCs w:val="22"/>
        </w:rPr>
        <w:t>(c) the circumstances in which the penalty should apply.</w:t>
      </w:r>
    </w:p>
    <w:p w14:paraId="573A7561" w14:textId="77777777" w:rsidR="009A0962" w:rsidRPr="003B34A7" w:rsidRDefault="009A0962" w:rsidP="009A0962">
      <w:pPr>
        <w:pStyle w:val="OutlineNumbered1"/>
        <w:rPr>
          <w:rFonts w:asciiTheme="minorHAnsi" w:hAnsiTheme="minorHAnsi" w:cstheme="minorHAnsi"/>
          <w:szCs w:val="22"/>
        </w:rPr>
      </w:pPr>
      <w:r w:rsidRPr="003B34A7">
        <w:rPr>
          <w:rFonts w:asciiTheme="minorHAnsi" w:hAnsiTheme="minorHAnsi" w:cstheme="minorHAnsi"/>
          <w:szCs w:val="22"/>
        </w:rPr>
        <w:t>Should there be any defences available to contraventions of the ban on non-compete clauses? If so, in what circumstances?</w:t>
      </w:r>
    </w:p>
    <w:p w14:paraId="03C04BF1" w14:textId="2DE8CE2E" w:rsidR="009A0962" w:rsidRPr="003B34A7" w:rsidRDefault="009A0962" w:rsidP="009A0962">
      <w:pPr>
        <w:pStyle w:val="OutlineNumbered1"/>
        <w:rPr>
          <w:rFonts w:asciiTheme="minorHAnsi" w:hAnsiTheme="minorHAnsi" w:cstheme="minorHAnsi"/>
          <w:szCs w:val="22"/>
        </w:rPr>
      </w:pPr>
      <w:r w:rsidRPr="003B34A7">
        <w:rPr>
          <w:rFonts w:asciiTheme="minorHAnsi" w:hAnsiTheme="minorHAnsi" w:cstheme="minorHAnsi"/>
          <w:szCs w:val="22"/>
        </w:rPr>
        <w:t>Which parties should be able to commence proceedings for a breach of the ban on non-compete clauses and why?</w:t>
      </w:r>
    </w:p>
    <w:p w14:paraId="032E09BD" w14:textId="77777777" w:rsidR="009A0962" w:rsidRPr="003B34A7" w:rsidRDefault="009A0962" w:rsidP="002B4E28">
      <w:pPr>
        <w:pStyle w:val="OutlineNumbered1"/>
        <w:rPr>
          <w:rFonts w:asciiTheme="minorHAnsi" w:hAnsiTheme="minorHAnsi" w:cstheme="minorHAnsi"/>
          <w:szCs w:val="22"/>
        </w:rPr>
      </w:pPr>
      <w:r w:rsidRPr="003B34A7">
        <w:rPr>
          <w:rFonts w:asciiTheme="minorHAnsi" w:hAnsiTheme="minorHAnsi" w:cstheme="minorHAnsi"/>
          <w:szCs w:val="22"/>
        </w:rPr>
        <w:t>What role should the Fair Work Ombudsman have in relation to the ban on non-compete clauses? Are there particular areas where employees and employers may need assistance to understand and implement any proposed ban on non-compete clauses?</w:t>
      </w:r>
    </w:p>
    <w:p w14:paraId="18383915" w14:textId="0F9465C5" w:rsidR="009A0962" w:rsidRPr="003B34A7" w:rsidRDefault="009A0962" w:rsidP="009A0962">
      <w:pPr>
        <w:pStyle w:val="OutlineNumbered1"/>
        <w:rPr>
          <w:rFonts w:asciiTheme="minorHAnsi" w:hAnsiTheme="minorHAnsi" w:cstheme="minorHAnsi"/>
          <w:szCs w:val="22"/>
        </w:rPr>
      </w:pPr>
      <w:r w:rsidRPr="003B34A7">
        <w:rPr>
          <w:rFonts w:asciiTheme="minorHAnsi" w:hAnsiTheme="minorHAnsi" w:cstheme="minorHAnsi"/>
          <w:szCs w:val="22"/>
        </w:rPr>
        <w:t>Are there any specific remedies that should be available to persons impacted by potential non-compliance with the ban? What role would the Fair Work Ombudsman have to enforce breaches of the ban</w:t>
      </w:r>
      <w:r w:rsidR="001B6B29">
        <w:rPr>
          <w:rFonts w:asciiTheme="minorHAnsi" w:hAnsiTheme="minorHAnsi" w:cstheme="minorHAnsi"/>
          <w:szCs w:val="22"/>
        </w:rPr>
        <w:t>,</w:t>
      </w:r>
      <w:r w:rsidRPr="003B34A7">
        <w:rPr>
          <w:rFonts w:asciiTheme="minorHAnsi" w:hAnsiTheme="minorHAnsi" w:cstheme="minorHAnsi"/>
          <w:szCs w:val="22"/>
        </w:rPr>
        <w:t xml:space="preserve"> and would new compliance tools be necessary?</w:t>
      </w:r>
    </w:p>
    <w:p w14:paraId="265546AA" w14:textId="77777777" w:rsidR="002B4E28" w:rsidRDefault="009A0962" w:rsidP="002B4E28">
      <w:pPr>
        <w:pStyle w:val="OutlineNumbered1"/>
        <w:rPr>
          <w:rFonts w:asciiTheme="minorHAnsi" w:hAnsiTheme="minorHAnsi" w:cstheme="minorHAnsi"/>
          <w:szCs w:val="22"/>
        </w:rPr>
      </w:pPr>
      <w:r w:rsidRPr="003B34A7">
        <w:rPr>
          <w:rFonts w:asciiTheme="minorHAnsi" w:hAnsiTheme="minorHAnsi" w:cstheme="minorHAnsi"/>
          <w:szCs w:val="22"/>
        </w:rPr>
        <w:t>Should the Fair Work Commission have a role in resolving disputes that arise from the ban on non-compete clauses?</w:t>
      </w:r>
    </w:p>
    <w:p w14:paraId="5C261B14" w14:textId="2CBB3E64" w:rsidR="009A0962" w:rsidRPr="002B4E28" w:rsidRDefault="009A0962" w:rsidP="002B4E28">
      <w:pPr>
        <w:pStyle w:val="OutlineNumbered1"/>
        <w:rPr>
          <w:rFonts w:asciiTheme="minorHAnsi" w:hAnsiTheme="minorHAnsi" w:cstheme="minorHAnsi"/>
          <w:szCs w:val="22"/>
        </w:rPr>
      </w:pPr>
      <w:r w:rsidRPr="002B4E28">
        <w:rPr>
          <w:rFonts w:asciiTheme="minorHAnsi" w:hAnsiTheme="minorHAnsi" w:cstheme="minorHAnsi"/>
          <w:szCs w:val="22"/>
        </w:rPr>
        <w:lastRenderedPageBreak/>
        <w:t>What additional powers, if any, would the Fair Work Commission require to deal with disputes it may be permitted to hear about non-compete clauses?</w:t>
      </w:r>
    </w:p>
    <w:p w14:paraId="5097EAEA" w14:textId="080CABCB" w:rsidR="00CB0F27" w:rsidRPr="00936EE4" w:rsidRDefault="00CB0F27" w:rsidP="00936EE4">
      <w:pPr>
        <w:pStyle w:val="Heading4"/>
        <w:rPr>
          <w:b/>
          <w:bCs/>
          <w:color w:val="auto"/>
        </w:rPr>
      </w:pPr>
      <w:r w:rsidRPr="00936EE4">
        <w:rPr>
          <w:b/>
          <w:bCs/>
          <w:color w:val="auto"/>
        </w:rPr>
        <w:t>3.4 Limited statutory exemptions</w:t>
      </w:r>
    </w:p>
    <w:p w14:paraId="4952DD20" w14:textId="5DB6EF60" w:rsidR="00034D43" w:rsidRPr="003B34A7" w:rsidRDefault="00034D43" w:rsidP="009D436B">
      <w:pPr>
        <w:pStyle w:val="OutlineNumbered1"/>
        <w:rPr>
          <w:rFonts w:asciiTheme="minorHAnsi" w:hAnsiTheme="minorHAnsi" w:cstheme="minorHAnsi"/>
          <w:szCs w:val="22"/>
        </w:rPr>
      </w:pPr>
      <w:r w:rsidRPr="003B34A7">
        <w:rPr>
          <w:rFonts w:asciiTheme="minorHAnsi" w:hAnsiTheme="minorHAnsi" w:cstheme="minorHAnsi"/>
          <w:szCs w:val="22"/>
        </w:rPr>
        <w:t>Are there any exemptions to the non-compete ban that are justified on strong public policy or national interest grounds? How should any such exemptions be applied (e.g. permanent, temporary, by application etc)?</w:t>
      </w:r>
    </w:p>
    <w:p w14:paraId="1BEB7C57" w14:textId="70272FB2" w:rsidR="00CB0F27" w:rsidRPr="00936EE4" w:rsidRDefault="00CB0F27" w:rsidP="00936EE4">
      <w:pPr>
        <w:pStyle w:val="Heading4"/>
        <w:rPr>
          <w:b/>
          <w:bCs/>
          <w:color w:val="auto"/>
        </w:rPr>
      </w:pPr>
      <w:r w:rsidRPr="00936EE4">
        <w:rPr>
          <w:b/>
          <w:bCs/>
          <w:color w:val="auto"/>
        </w:rPr>
        <w:t>3.5 Transitional arrangements</w:t>
      </w:r>
    </w:p>
    <w:p w14:paraId="6CC75473" w14:textId="77777777" w:rsidR="00200F5C" w:rsidRPr="003B34A7" w:rsidRDefault="00200F5C" w:rsidP="00200F5C">
      <w:pPr>
        <w:pStyle w:val="OutlineNumbered1"/>
        <w:rPr>
          <w:rFonts w:asciiTheme="minorHAnsi" w:hAnsiTheme="minorHAnsi" w:cstheme="minorHAnsi"/>
          <w:szCs w:val="22"/>
        </w:rPr>
      </w:pPr>
      <w:r w:rsidRPr="003B34A7">
        <w:rPr>
          <w:rFonts w:asciiTheme="minorHAnsi" w:hAnsiTheme="minorHAnsi" w:cstheme="minorHAnsi"/>
          <w:szCs w:val="22"/>
        </w:rPr>
        <w:t>What transitional arrangements are required to support workers, and business compliance with the ban?</w:t>
      </w:r>
    </w:p>
    <w:p w14:paraId="2C9EE561" w14:textId="450BE5B1" w:rsidR="00200F5C" w:rsidRPr="003B34A7" w:rsidRDefault="00200F5C" w:rsidP="009D436B">
      <w:pPr>
        <w:pStyle w:val="OutlineNumbered1"/>
        <w:rPr>
          <w:rFonts w:asciiTheme="minorHAnsi" w:hAnsiTheme="minorHAnsi" w:cstheme="minorHAnsi"/>
          <w:szCs w:val="22"/>
        </w:rPr>
      </w:pPr>
      <w:r w:rsidRPr="003B34A7">
        <w:rPr>
          <w:rFonts w:asciiTheme="minorHAnsi" w:hAnsiTheme="minorHAnsi" w:cstheme="minorHAnsi"/>
          <w:szCs w:val="22"/>
        </w:rPr>
        <w:t>How should the ban apply to non-compete clauses contained in existing contracts after commencement?</w:t>
      </w:r>
    </w:p>
    <w:p w14:paraId="7B4661D1" w14:textId="1CC2DC00" w:rsidR="009D436B" w:rsidRDefault="0047146F" w:rsidP="009D436B">
      <w:pPr>
        <w:pStyle w:val="Heading3"/>
      </w:pPr>
      <w:r>
        <w:t xml:space="preserve">4. </w:t>
      </w:r>
      <w:r w:rsidR="009D436B">
        <w:t>Other reforms to employee restraints of trade</w:t>
      </w:r>
    </w:p>
    <w:p w14:paraId="3276D5A9" w14:textId="5DCE2C12" w:rsidR="009D436B" w:rsidRPr="00936EE4" w:rsidRDefault="00560A58" w:rsidP="00936EE4">
      <w:pPr>
        <w:pStyle w:val="Heading4"/>
        <w:rPr>
          <w:b/>
          <w:bCs/>
          <w:color w:val="auto"/>
        </w:rPr>
      </w:pPr>
      <w:r w:rsidRPr="00936EE4">
        <w:rPr>
          <w:b/>
          <w:bCs/>
          <w:color w:val="auto"/>
        </w:rPr>
        <w:t>4.1 Non-compete clause</w:t>
      </w:r>
      <w:r w:rsidR="005A1E60" w:rsidRPr="00936EE4">
        <w:rPr>
          <w:b/>
          <w:bCs/>
          <w:color w:val="auto"/>
        </w:rPr>
        <w:t>s</w:t>
      </w:r>
      <w:r w:rsidRPr="00936EE4">
        <w:rPr>
          <w:b/>
          <w:bCs/>
          <w:color w:val="auto"/>
        </w:rPr>
        <w:t xml:space="preserve"> for high-income employees</w:t>
      </w:r>
    </w:p>
    <w:p w14:paraId="58E2EF8E" w14:textId="77777777" w:rsidR="00BE0FB1" w:rsidRPr="00791259" w:rsidRDefault="00BE0FB1" w:rsidP="00791259">
      <w:pPr>
        <w:pStyle w:val="OutlineNumbered1"/>
        <w:numPr>
          <w:ilvl w:val="0"/>
          <w:numId w:val="25"/>
        </w:numPr>
        <w:rPr>
          <w:rFonts w:asciiTheme="minorHAnsi" w:hAnsiTheme="minorHAnsi" w:cstheme="minorHAnsi"/>
          <w:szCs w:val="22"/>
        </w:rPr>
      </w:pPr>
      <w:r w:rsidRPr="00791259">
        <w:rPr>
          <w:rFonts w:asciiTheme="minorHAnsi" w:hAnsiTheme="minorHAnsi" w:cstheme="minorHAnsi"/>
          <w:szCs w:val="22"/>
        </w:rPr>
        <w:t>What approach for employees earning above the high-income threshold best strikes the balance between the public interest in competition, productivity, job mobility and the protection of legitimate business interests?</w:t>
      </w:r>
    </w:p>
    <w:p w14:paraId="124AD3FF" w14:textId="77777777" w:rsidR="006B0B68" w:rsidRPr="006B0B68" w:rsidRDefault="006B0B68" w:rsidP="006B0B68">
      <w:pPr>
        <w:pStyle w:val="OutlineNumbered1"/>
        <w:rPr>
          <w:rFonts w:asciiTheme="minorHAnsi" w:hAnsiTheme="minorHAnsi" w:cstheme="minorHAnsi"/>
          <w:lang w:eastAsia="en-US"/>
        </w:rPr>
      </w:pPr>
      <w:r w:rsidRPr="006B0B68">
        <w:rPr>
          <w:rFonts w:asciiTheme="minorHAnsi" w:hAnsiTheme="minorHAnsi" w:cstheme="minorHAnsi"/>
          <w:lang w:eastAsia="en-US"/>
        </w:rPr>
        <w:t>If mandatory compensation were adopted what should be the minimum compensation required?</w:t>
      </w:r>
    </w:p>
    <w:p w14:paraId="03599569" w14:textId="77777777" w:rsidR="006B0B68" w:rsidRPr="006B0B68" w:rsidRDefault="006B0B68" w:rsidP="006B0B68">
      <w:pPr>
        <w:pStyle w:val="OutlineNumbered1"/>
        <w:rPr>
          <w:rFonts w:asciiTheme="minorHAnsi" w:hAnsiTheme="minorHAnsi" w:cstheme="minorHAnsi"/>
          <w:lang w:eastAsia="en-US"/>
        </w:rPr>
      </w:pPr>
      <w:r w:rsidRPr="006B0B68">
        <w:rPr>
          <w:rFonts w:asciiTheme="minorHAnsi" w:hAnsiTheme="minorHAnsi" w:cstheme="minorHAnsi"/>
          <w:lang w:eastAsia="en-US"/>
        </w:rPr>
        <w:t xml:space="preserve">If a duration limit were imposed, what would be the most appropriate maximum duration? </w:t>
      </w:r>
    </w:p>
    <w:p w14:paraId="49B4CBF2" w14:textId="397037D6" w:rsidR="00560A58" w:rsidRPr="00936EE4" w:rsidRDefault="00560A58" w:rsidP="00936EE4">
      <w:pPr>
        <w:pStyle w:val="Heading4"/>
        <w:rPr>
          <w:b/>
          <w:bCs/>
          <w:color w:val="auto"/>
        </w:rPr>
      </w:pPr>
      <w:r w:rsidRPr="00936EE4">
        <w:rPr>
          <w:b/>
          <w:bCs/>
          <w:color w:val="auto"/>
        </w:rPr>
        <w:t>4.2 Non-solicitation clauses</w:t>
      </w:r>
      <w:r w:rsidR="00C31BD7" w:rsidRPr="00936EE4">
        <w:rPr>
          <w:b/>
          <w:bCs/>
          <w:color w:val="auto"/>
        </w:rPr>
        <w:t xml:space="preserve"> for clients and co-workers</w:t>
      </w:r>
    </w:p>
    <w:p w14:paraId="240E9EE9" w14:textId="77777777" w:rsidR="00507716" w:rsidRPr="003B34A7" w:rsidRDefault="00507716" w:rsidP="00507716">
      <w:pPr>
        <w:pStyle w:val="OutlineNumbered1"/>
        <w:rPr>
          <w:rFonts w:asciiTheme="minorHAnsi" w:hAnsiTheme="minorHAnsi" w:cstheme="minorHAnsi"/>
          <w:szCs w:val="22"/>
        </w:rPr>
      </w:pPr>
      <w:r w:rsidRPr="003B34A7">
        <w:rPr>
          <w:rFonts w:asciiTheme="minorHAnsi" w:hAnsiTheme="minorHAnsi" w:cstheme="minorHAnsi"/>
          <w:szCs w:val="22"/>
        </w:rPr>
        <w:t>Should the use of client non-solicitation clauses be restricted? If so, what sorts of restrictions are appropriate (e.g. duration, type of activity, and scope of clients).</w:t>
      </w:r>
    </w:p>
    <w:p w14:paraId="4BE58671" w14:textId="7CE842C3" w:rsidR="00507716" w:rsidRPr="003B34A7" w:rsidRDefault="00507716" w:rsidP="009D436B">
      <w:pPr>
        <w:pStyle w:val="OutlineNumbered1"/>
        <w:rPr>
          <w:rFonts w:asciiTheme="minorHAnsi" w:hAnsiTheme="minorHAnsi" w:cstheme="minorHAnsi"/>
          <w:szCs w:val="22"/>
        </w:rPr>
      </w:pPr>
      <w:r w:rsidRPr="003B34A7">
        <w:rPr>
          <w:rFonts w:asciiTheme="minorHAnsi" w:hAnsiTheme="minorHAnsi" w:cstheme="minorHAnsi"/>
          <w:szCs w:val="22"/>
        </w:rPr>
        <w:t xml:space="preserve">When, if ever, should it be legitimate for </w:t>
      </w:r>
      <w:r w:rsidR="004E2EF9" w:rsidRPr="004E2EF9">
        <w:rPr>
          <w:rFonts w:asciiTheme="minorHAnsi" w:hAnsiTheme="minorHAnsi" w:cstheme="minorHAnsi"/>
          <w:lang w:eastAsia="en-US"/>
        </w:rPr>
        <w:t>business</w:t>
      </w:r>
      <w:r w:rsidRPr="003B34A7">
        <w:rPr>
          <w:rFonts w:asciiTheme="minorHAnsi" w:hAnsiTheme="minorHAnsi" w:cstheme="minorHAnsi"/>
          <w:szCs w:val="22"/>
        </w:rPr>
        <w:t xml:space="preserve"> to use co-worker non-solicitation clauses? If these clauses can be legitimate, what restrictions would be appropriate to impose on their use?</w:t>
      </w:r>
    </w:p>
    <w:p w14:paraId="03A732AA" w14:textId="6D469A03" w:rsidR="00560A58" w:rsidRPr="00936EE4" w:rsidRDefault="00560A58" w:rsidP="00936EE4">
      <w:pPr>
        <w:pStyle w:val="Heading4"/>
        <w:rPr>
          <w:b/>
          <w:bCs/>
          <w:color w:val="auto"/>
        </w:rPr>
      </w:pPr>
      <w:r w:rsidRPr="00936EE4">
        <w:rPr>
          <w:b/>
          <w:bCs/>
          <w:color w:val="auto"/>
        </w:rPr>
        <w:t>4.3</w:t>
      </w:r>
      <w:r w:rsidR="00C31BD7" w:rsidRPr="00936EE4">
        <w:rPr>
          <w:b/>
          <w:bCs/>
          <w:color w:val="auto"/>
        </w:rPr>
        <w:t xml:space="preserve"> Other requirements for valid restraint clauses</w:t>
      </w:r>
    </w:p>
    <w:p w14:paraId="50396866" w14:textId="77777777" w:rsidR="00D70FE2" w:rsidRPr="003B34A7" w:rsidRDefault="00D70FE2" w:rsidP="00D70FE2">
      <w:pPr>
        <w:pStyle w:val="OutlineNumbered1"/>
        <w:rPr>
          <w:rFonts w:asciiTheme="minorHAnsi" w:hAnsiTheme="minorHAnsi" w:cstheme="minorHAnsi"/>
          <w:szCs w:val="22"/>
        </w:rPr>
      </w:pPr>
      <w:r w:rsidRPr="003B34A7">
        <w:rPr>
          <w:rFonts w:asciiTheme="minorHAnsi" w:hAnsiTheme="minorHAnsi" w:cstheme="minorHAnsi"/>
          <w:szCs w:val="22"/>
        </w:rPr>
        <w:t>Should restraints with cascading duration periods and geographic extents be allowed?</w:t>
      </w:r>
    </w:p>
    <w:p w14:paraId="4567015F" w14:textId="4F599AEB" w:rsidR="00D70FE2" w:rsidRPr="003B34A7" w:rsidRDefault="00D70FE2" w:rsidP="00D70FE2">
      <w:pPr>
        <w:pStyle w:val="OutlineNumbered1"/>
        <w:rPr>
          <w:rFonts w:asciiTheme="minorHAnsi" w:hAnsiTheme="minorHAnsi" w:cstheme="minorHAnsi"/>
          <w:szCs w:val="22"/>
        </w:rPr>
      </w:pPr>
      <w:r w:rsidRPr="003B34A7">
        <w:rPr>
          <w:rFonts w:asciiTheme="minorHAnsi" w:hAnsiTheme="minorHAnsi" w:cstheme="minorHAnsi"/>
          <w:szCs w:val="22"/>
        </w:rPr>
        <w:t>Should severability of other parts of restraint clauses be limited in other ways?</w:t>
      </w:r>
    </w:p>
    <w:p w14:paraId="1BAC7E11" w14:textId="77777777" w:rsidR="00D70FE2" w:rsidRPr="003B34A7" w:rsidRDefault="00D70FE2" w:rsidP="00F004BB">
      <w:pPr>
        <w:pStyle w:val="SingleParagraph"/>
        <w:numPr>
          <w:ilvl w:val="0"/>
          <w:numId w:val="11"/>
        </w:numPr>
        <w:spacing w:after="120"/>
        <w:rPr>
          <w:rFonts w:asciiTheme="minorHAnsi" w:hAnsiTheme="minorHAnsi" w:cstheme="minorHAnsi"/>
          <w:szCs w:val="22"/>
        </w:rPr>
      </w:pPr>
      <w:r w:rsidRPr="003B34A7">
        <w:rPr>
          <w:rFonts w:asciiTheme="minorHAnsi" w:hAnsiTheme="minorHAnsi" w:cstheme="minorHAnsi"/>
          <w:szCs w:val="22"/>
        </w:rPr>
        <w:t>Should businesses be required to specify the legitimate interests to be protected by a restraint clause?</w:t>
      </w:r>
    </w:p>
    <w:p w14:paraId="436D22E0" w14:textId="77777777" w:rsidR="00D70FE2" w:rsidRPr="003B34A7" w:rsidRDefault="00D70FE2" w:rsidP="00D70FE2">
      <w:pPr>
        <w:pStyle w:val="OutlineNumbered1"/>
        <w:rPr>
          <w:rFonts w:asciiTheme="minorHAnsi" w:hAnsiTheme="minorHAnsi" w:cstheme="minorHAnsi"/>
          <w:szCs w:val="22"/>
        </w:rPr>
      </w:pPr>
      <w:r w:rsidRPr="003B34A7">
        <w:rPr>
          <w:rFonts w:asciiTheme="minorHAnsi" w:hAnsiTheme="minorHAnsi" w:cstheme="minorHAnsi"/>
          <w:szCs w:val="22"/>
        </w:rPr>
        <w:t>Should client relationships or workforce stability ever be justified for a non-compete clause of the same duration when a more targeted non-solicitation clause could apply?</w:t>
      </w:r>
    </w:p>
    <w:p w14:paraId="4BC6BEEF" w14:textId="1A7C5646" w:rsidR="00D70FE2" w:rsidRPr="002B4E28" w:rsidRDefault="00D70FE2" w:rsidP="009D436B">
      <w:pPr>
        <w:pStyle w:val="OutlineNumbered1"/>
        <w:rPr>
          <w:rFonts w:asciiTheme="minorHAnsi" w:hAnsiTheme="minorHAnsi" w:cstheme="minorHAnsi"/>
          <w:szCs w:val="22"/>
        </w:rPr>
      </w:pPr>
      <w:r w:rsidRPr="003B34A7">
        <w:rPr>
          <w:rFonts w:asciiTheme="minorHAnsi" w:hAnsiTheme="minorHAnsi" w:cstheme="minorHAnsi"/>
          <w:szCs w:val="22"/>
        </w:rPr>
        <w:t>Should other aspects of the existing common law doctrine be clarified or amended?</w:t>
      </w:r>
    </w:p>
    <w:p w14:paraId="05342A1E" w14:textId="53EBA580" w:rsidR="009D436B" w:rsidRDefault="0047146F" w:rsidP="00C31BD7">
      <w:pPr>
        <w:pStyle w:val="Heading3"/>
      </w:pPr>
      <w:r>
        <w:lastRenderedPageBreak/>
        <w:t xml:space="preserve">5. </w:t>
      </w:r>
      <w:r w:rsidR="009D436B">
        <w:t>Restraints on concurrent employment</w:t>
      </w:r>
    </w:p>
    <w:p w14:paraId="6ED0B3D5" w14:textId="77777777" w:rsidR="004F75C1" w:rsidRPr="00791259" w:rsidRDefault="004F75C1" w:rsidP="00791259">
      <w:pPr>
        <w:pStyle w:val="OutlineNumbered1"/>
        <w:numPr>
          <w:ilvl w:val="0"/>
          <w:numId w:val="26"/>
        </w:numPr>
        <w:rPr>
          <w:rFonts w:asciiTheme="minorHAnsi" w:hAnsiTheme="minorHAnsi" w:cstheme="minorHAnsi"/>
          <w:szCs w:val="22"/>
        </w:rPr>
      </w:pPr>
      <w:r w:rsidRPr="00791259">
        <w:rPr>
          <w:rFonts w:asciiTheme="minorHAnsi" w:hAnsiTheme="minorHAnsi" w:cstheme="minorHAnsi"/>
          <w:szCs w:val="22"/>
        </w:rPr>
        <w:t>Are there any other considerations or potential unintended consequences if restraints on concurrent employment were to be regulated beyond the common law?</w:t>
      </w:r>
    </w:p>
    <w:p w14:paraId="74E44C44" w14:textId="4167E8CC" w:rsidR="004F75C1" w:rsidRPr="003B34A7" w:rsidRDefault="004F75C1" w:rsidP="0030260C">
      <w:pPr>
        <w:pStyle w:val="OutlineNumbered1"/>
        <w:numPr>
          <w:ilvl w:val="0"/>
          <w:numId w:val="26"/>
        </w:numPr>
        <w:rPr>
          <w:rFonts w:asciiTheme="minorHAnsi" w:hAnsiTheme="minorHAnsi" w:cstheme="minorHAnsi"/>
          <w:szCs w:val="22"/>
        </w:rPr>
      </w:pPr>
      <w:r w:rsidRPr="003B34A7">
        <w:rPr>
          <w:rFonts w:asciiTheme="minorHAnsi" w:hAnsiTheme="minorHAnsi" w:cstheme="minorHAnsi"/>
          <w:szCs w:val="22"/>
        </w:rPr>
        <w:t>If there were to be restrictions on these restraints, how should they be implemented?</w:t>
      </w:r>
    </w:p>
    <w:p w14:paraId="3FB1955D" w14:textId="75B4D90D" w:rsidR="009D436B" w:rsidRDefault="0047146F" w:rsidP="00C31BD7">
      <w:pPr>
        <w:pStyle w:val="Heading3"/>
      </w:pPr>
      <w:r>
        <w:t xml:space="preserve">6. </w:t>
      </w:r>
      <w:r w:rsidR="009D436B">
        <w:t>No-poach and wage-fixing agreements</w:t>
      </w:r>
    </w:p>
    <w:p w14:paraId="189DE397" w14:textId="77777777" w:rsidR="00C826E9" w:rsidRPr="00791259" w:rsidRDefault="00C826E9" w:rsidP="007D49E7">
      <w:pPr>
        <w:pStyle w:val="OutlineNumbered1"/>
        <w:numPr>
          <w:ilvl w:val="0"/>
          <w:numId w:val="33"/>
        </w:numPr>
        <w:rPr>
          <w:rFonts w:asciiTheme="minorHAnsi" w:hAnsiTheme="minorHAnsi" w:cstheme="minorHAnsi"/>
          <w:szCs w:val="22"/>
        </w:rPr>
      </w:pPr>
      <w:r w:rsidRPr="00791259">
        <w:rPr>
          <w:rFonts w:asciiTheme="minorHAnsi" w:hAnsiTheme="minorHAnsi" w:cstheme="minorHAnsi"/>
          <w:szCs w:val="22"/>
        </w:rPr>
        <w:t>What civil penalty should apply to businesses that have no-poach and wage-fixing agreements in breach of the ban? Should criminal penalties also apply, in line with the cartel provisions in Part IV of the Competition and Consumer Act?</w:t>
      </w:r>
    </w:p>
    <w:p w14:paraId="7C30E69A" w14:textId="77777777" w:rsidR="00C826E9" w:rsidRPr="003B34A7" w:rsidRDefault="00C826E9" w:rsidP="00C826E9">
      <w:pPr>
        <w:pStyle w:val="OutlineNumbered1"/>
        <w:rPr>
          <w:rFonts w:asciiTheme="minorHAnsi" w:hAnsiTheme="minorHAnsi" w:cstheme="minorHAnsi"/>
          <w:szCs w:val="22"/>
        </w:rPr>
      </w:pPr>
      <w:r w:rsidRPr="003B34A7">
        <w:rPr>
          <w:rFonts w:asciiTheme="minorHAnsi" w:hAnsiTheme="minorHAnsi" w:cstheme="minorHAnsi"/>
          <w:szCs w:val="22"/>
        </w:rPr>
        <w:t>Should there be exemptions to the proposed ban on no-poach agreements? If yes, on what grounds? What restrictions should apply to their use?</w:t>
      </w:r>
    </w:p>
    <w:p w14:paraId="6ABDBA73" w14:textId="5B3884ED" w:rsidR="00C826E9" w:rsidRPr="003B34A7" w:rsidRDefault="00C826E9" w:rsidP="00C826E9">
      <w:pPr>
        <w:pStyle w:val="OutlineNumbered1"/>
        <w:rPr>
          <w:rFonts w:asciiTheme="minorHAnsi" w:hAnsiTheme="minorHAnsi" w:cstheme="minorHAnsi"/>
          <w:szCs w:val="22"/>
        </w:rPr>
      </w:pPr>
      <w:r w:rsidRPr="003B34A7">
        <w:rPr>
          <w:rFonts w:asciiTheme="minorHAnsi" w:hAnsiTheme="minorHAnsi" w:cstheme="minorHAnsi"/>
          <w:szCs w:val="22"/>
        </w:rPr>
        <w:t>Should there be exemptions to the proposed ban on wage-fixing agreements? If yes, on what grounds? What restrictions should apply to their use?</w:t>
      </w:r>
    </w:p>
    <w:sectPr w:rsidR="00C826E9" w:rsidRPr="003B34A7" w:rsidSect="00300C95">
      <w:headerReference w:type="default" r:id="rId8"/>
      <w:footerReference w:type="default" r:id="rId9"/>
      <w:headerReference w:type="first" r:id="rId10"/>
      <w:footerReference w:type="first" r:id="rId11"/>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601A9" w14:textId="77777777" w:rsidR="0042424E" w:rsidRDefault="0042424E" w:rsidP="00886BC4">
      <w:r>
        <w:separator/>
      </w:r>
    </w:p>
    <w:p w14:paraId="711AB264" w14:textId="77777777" w:rsidR="0042424E" w:rsidRDefault="0042424E"/>
  </w:endnote>
  <w:endnote w:type="continuationSeparator" w:id="0">
    <w:p w14:paraId="6DEDF752" w14:textId="77777777" w:rsidR="0042424E" w:rsidRDefault="0042424E" w:rsidP="00886BC4">
      <w:r>
        <w:continuationSeparator/>
      </w:r>
    </w:p>
    <w:p w14:paraId="5D360537" w14:textId="77777777" w:rsidR="0042424E" w:rsidRDefault="0042424E"/>
  </w:endnote>
  <w:endnote w:type="continuationNotice" w:id="1">
    <w:p w14:paraId="6148FBB7" w14:textId="77777777" w:rsidR="0042424E" w:rsidRDefault="004242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23462" w14:textId="34E5BD22" w:rsidR="00A15DB7" w:rsidRPr="00E81A92" w:rsidRDefault="00E81A92" w:rsidP="00A94EC4">
    <w:pPr>
      <w:pStyle w:val="Footer"/>
      <w:tabs>
        <w:tab w:val="clear" w:pos="4320"/>
        <w:tab w:val="clear" w:pos="8640"/>
        <w:tab w:val="center" w:pos="7938"/>
      </w:tabs>
      <w:jc w:val="right"/>
    </w:pPr>
    <w:r w:rsidRPr="00AC3B66">
      <w:rPr>
        <w:noProof/>
        <w:position w:val="-10"/>
      </w:rPr>
      <w:drawing>
        <wp:inline distT="0" distB="0" distL="0" distR="0" wp14:anchorId="79BD21F4" wp14:editId="76E58C51">
          <wp:extent cx="13248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 xml:space="preserve">|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6713E" w14:textId="2205FB7A" w:rsidR="00300C95" w:rsidRPr="00E81A92" w:rsidRDefault="00E81A92" w:rsidP="00BA123B">
    <w:pPr>
      <w:pStyle w:val="Footer"/>
      <w:tabs>
        <w:tab w:val="clear" w:pos="4320"/>
        <w:tab w:val="clear" w:pos="8640"/>
        <w:tab w:val="center" w:pos="7938"/>
      </w:tabs>
      <w:jc w:val="right"/>
    </w:pPr>
    <w:r w:rsidRPr="00AC3B66">
      <w:rPr>
        <w:noProof/>
        <w:position w:val="-10"/>
      </w:rPr>
      <w:drawing>
        <wp:inline distT="0" distB="0" distL="0" distR="0" wp14:anchorId="5423A5D8" wp14:editId="074E427B">
          <wp:extent cx="13248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 xml:space="preserve">|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0AF85" w14:textId="77777777" w:rsidR="0042424E" w:rsidRDefault="0042424E" w:rsidP="00886BC4">
      <w:r>
        <w:separator/>
      </w:r>
    </w:p>
    <w:p w14:paraId="023A643A" w14:textId="77777777" w:rsidR="0042424E" w:rsidRDefault="0042424E"/>
  </w:footnote>
  <w:footnote w:type="continuationSeparator" w:id="0">
    <w:p w14:paraId="1512B40E" w14:textId="77777777" w:rsidR="0042424E" w:rsidRDefault="0042424E" w:rsidP="00886BC4">
      <w:r>
        <w:continuationSeparator/>
      </w:r>
    </w:p>
    <w:p w14:paraId="099242EC" w14:textId="77777777" w:rsidR="0042424E" w:rsidRDefault="0042424E"/>
  </w:footnote>
  <w:footnote w:type="continuationNotice" w:id="1">
    <w:p w14:paraId="5C4A5526" w14:textId="77777777" w:rsidR="0042424E" w:rsidRDefault="004242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F7A20" w14:textId="6901CF17" w:rsidR="006D3EE7" w:rsidRPr="007F53C0" w:rsidRDefault="00FC2E34" w:rsidP="007F53C0">
    <w:pPr>
      <w:pStyle w:val="Header"/>
    </w:pPr>
    <w:r>
      <w:rPr>
        <w:noProof/>
      </w:rPr>
      <w:drawing>
        <wp:anchor distT="0" distB="0" distL="114300" distR="114300" simplePos="0" relativeHeight="251664385" behindDoc="1" locked="0" layoutInCell="1" allowOverlap="1" wp14:anchorId="75B9C719" wp14:editId="7317F91F">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dec="http://schemas.microsoft.com/office/drawing/2017/decorative"/>
                    </a:ext>
                  </a:extLst>
                </pic:spPr>
              </pic:pic>
            </a:graphicData>
          </a:graphic>
          <wp14:sizeRelH relativeFrom="page">
            <wp14:pctWidth>0</wp14:pctWidth>
          </wp14:sizeRelH>
          <wp14:sizeRelV relativeFrom="page">
            <wp14:pctHeight>0</wp14:pctHeight>
          </wp14:sizeRelV>
        </wp:anchor>
      </w:drawing>
    </w:r>
    <w:fldSimple w:instr=" STYLEREF  &quot;Fact sheet title&quot;  \* MERGEFORMAT ">
      <w:r w:rsidR="00364275">
        <w:rPr>
          <w:noProof/>
        </w:rPr>
        <w:t>List of consultation questions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6504D" w14:textId="77777777" w:rsidR="00300C95" w:rsidRDefault="00300C95">
    <w:pPr>
      <w:pStyle w:val="Header"/>
    </w:pPr>
    <w:r>
      <w:rPr>
        <w:noProof/>
      </w:rPr>
      <w:drawing>
        <wp:anchor distT="0" distB="0" distL="114300" distR="114300" simplePos="0" relativeHeight="251658240" behindDoc="1" locked="0" layoutInCell="1" allowOverlap="0" wp14:anchorId="2D256C52" wp14:editId="0FB955F7">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7" w15:restartNumberingAfterBreak="0">
    <w:nsid w:val="38572524"/>
    <w:multiLevelType w:val="multilevel"/>
    <w:tmpl w:val="A37691B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10D2021"/>
    <w:multiLevelType w:val="multilevel"/>
    <w:tmpl w:val="72F8140E"/>
    <w:numStyleLink w:val="OutlineList"/>
  </w:abstractNum>
  <w:abstractNum w:abstractNumId="9"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62938207">
    <w:abstractNumId w:val="2"/>
  </w:num>
  <w:num w:numId="2" w16cid:durableId="96337980">
    <w:abstractNumId w:val="11"/>
  </w:num>
  <w:num w:numId="3" w16cid:durableId="1889341095">
    <w:abstractNumId w:val="9"/>
  </w:num>
  <w:num w:numId="4" w16cid:durableId="216212289">
    <w:abstractNumId w:val="10"/>
  </w:num>
  <w:num w:numId="5" w16cid:durableId="2008171716">
    <w:abstractNumId w:val="5"/>
  </w:num>
  <w:num w:numId="6" w16cid:durableId="1880582053">
    <w:abstractNumId w:val="0"/>
  </w:num>
  <w:num w:numId="7" w16cid:durableId="1278635914">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610306">
    <w:abstractNumId w:val="1"/>
  </w:num>
  <w:num w:numId="9" w16cid:durableId="690108307">
    <w:abstractNumId w:val="6"/>
  </w:num>
  <w:num w:numId="10" w16cid:durableId="797724066">
    <w:abstractNumId w:val="3"/>
  </w:num>
  <w:num w:numId="11" w16cid:durableId="306596971">
    <w:abstractNumId w:val="8"/>
    <w:lvlOverride w:ilvl="0">
      <w:lvl w:ilvl="0">
        <w:start w:val="1"/>
        <w:numFmt w:val="decimal"/>
        <w:pStyle w:val="OutlineNumbered1"/>
        <w:lvlText w:val="%1."/>
        <w:lvlJc w:val="left"/>
        <w:pPr>
          <w:tabs>
            <w:tab w:val="num" w:pos="851"/>
          </w:tabs>
          <w:ind w:left="851" w:hanging="851"/>
        </w:pPr>
        <w:rPr>
          <w:rFonts w:hint="default"/>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968126041">
    <w:abstractNumId w:val="8"/>
  </w:num>
  <w:num w:numId="13" w16cid:durableId="1612470064">
    <w:abstractNumId w:val="8"/>
    <w:lvlOverride w:ilvl="0">
      <w:lvl w:ilvl="0">
        <w:start w:val="1"/>
        <w:numFmt w:val="decimal"/>
        <w:pStyle w:val="OutlineNumbered1"/>
        <w:lvlText w:val="%1."/>
        <w:lvlJc w:val="left"/>
        <w:pPr>
          <w:tabs>
            <w:tab w:val="num" w:pos="851"/>
          </w:tabs>
          <w:ind w:left="851" w:hanging="851"/>
        </w:pPr>
        <w:rPr>
          <w:rFonts w:hint="default"/>
          <w:color w:val="auto"/>
        </w:rPr>
      </w:lvl>
    </w:lvlOverride>
  </w:num>
  <w:num w:numId="14" w16cid:durableId="634066362">
    <w:abstractNumId w:val="8"/>
    <w:lvlOverride w:ilvl="0">
      <w:lvl w:ilvl="0">
        <w:start w:val="1"/>
        <w:numFmt w:val="decimal"/>
        <w:pStyle w:val="OutlineNumbered1"/>
        <w:lvlText w:val="%1."/>
        <w:lvlJc w:val="left"/>
        <w:pPr>
          <w:tabs>
            <w:tab w:val="num" w:pos="851"/>
          </w:tabs>
          <w:ind w:left="851" w:hanging="851"/>
        </w:pPr>
        <w:rPr>
          <w:rFonts w:hint="default"/>
          <w:color w:val="auto"/>
        </w:rPr>
      </w:lvl>
    </w:lvlOverride>
  </w:num>
  <w:num w:numId="15" w16cid:durableId="413165678">
    <w:abstractNumId w:val="8"/>
    <w:lvlOverride w:ilvl="0">
      <w:lvl w:ilvl="0">
        <w:start w:val="1"/>
        <w:numFmt w:val="decimal"/>
        <w:pStyle w:val="OutlineNumbered1"/>
        <w:lvlText w:val="%1."/>
        <w:lvlJc w:val="left"/>
        <w:pPr>
          <w:tabs>
            <w:tab w:val="num" w:pos="851"/>
          </w:tabs>
          <w:ind w:left="851" w:hanging="851"/>
        </w:pPr>
        <w:rPr>
          <w:rFonts w:hint="default"/>
          <w:color w:val="auto"/>
        </w:rPr>
      </w:lvl>
    </w:lvlOverride>
  </w:num>
  <w:num w:numId="16" w16cid:durableId="26150780">
    <w:abstractNumId w:val="8"/>
    <w:lvlOverride w:ilvl="0">
      <w:lvl w:ilvl="0">
        <w:start w:val="1"/>
        <w:numFmt w:val="decimal"/>
        <w:pStyle w:val="OutlineNumbered1"/>
        <w:lvlText w:val="%1."/>
        <w:lvlJc w:val="left"/>
        <w:pPr>
          <w:tabs>
            <w:tab w:val="num" w:pos="851"/>
          </w:tabs>
          <w:ind w:left="851" w:hanging="851"/>
        </w:pPr>
        <w:rPr>
          <w:rFonts w:hint="default"/>
          <w:color w:val="auto"/>
        </w:rPr>
      </w:lvl>
    </w:lvlOverride>
  </w:num>
  <w:num w:numId="17" w16cid:durableId="566963026">
    <w:abstractNumId w:val="8"/>
    <w:lvlOverride w:ilvl="0">
      <w:lvl w:ilvl="0">
        <w:start w:val="1"/>
        <w:numFmt w:val="decimal"/>
        <w:pStyle w:val="OutlineNumbered1"/>
        <w:lvlText w:val="%1."/>
        <w:lvlJc w:val="left"/>
        <w:pPr>
          <w:tabs>
            <w:tab w:val="num" w:pos="851"/>
          </w:tabs>
          <w:ind w:left="851" w:hanging="851"/>
        </w:pPr>
        <w:rPr>
          <w:rFonts w:hint="default"/>
          <w:color w:val="auto"/>
        </w:rPr>
      </w:lvl>
    </w:lvlOverride>
  </w:num>
  <w:num w:numId="18" w16cid:durableId="732969151">
    <w:abstractNumId w:val="8"/>
    <w:lvlOverride w:ilvl="0">
      <w:lvl w:ilvl="0">
        <w:start w:val="1"/>
        <w:numFmt w:val="decimal"/>
        <w:pStyle w:val="OutlineNumbered1"/>
        <w:lvlText w:val="%1."/>
        <w:lvlJc w:val="left"/>
        <w:pPr>
          <w:tabs>
            <w:tab w:val="num" w:pos="851"/>
          </w:tabs>
          <w:ind w:left="851" w:hanging="851"/>
        </w:pPr>
        <w:rPr>
          <w:rFonts w:hint="default"/>
          <w:color w:val="auto"/>
        </w:rPr>
      </w:lvl>
    </w:lvlOverride>
  </w:num>
  <w:num w:numId="19" w16cid:durableId="171992047">
    <w:abstractNumId w:val="8"/>
    <w:lvlOverride w:ilvl="0">
      <w:lvl w:ilvl="0">
        <w:start w:val="1"/>
        <w:numFmt w:val="decimal"/>
        <w:pStyle w:val="OutlineNumbered1"/>
        <w:lvlText w:val="%1."/>
        <w:lvlJc w:val="left"/>
        <w:pPr>
          <w:tabs>
            <w:tab w:val="num" w:pos="851"/>
          </w:tabs>
          <w:ind w:left="851" w:hanging="851"/>
        </w:pPr>
        <w:rPr>
          <w:rFonts w:hint="default"/>
          <w:color w:val="auto"/>
        </w:rPr>
      </w:lvl>
    </w:lvlOverride>
  </w:num>
  <w:num w:numId="20" w16cid:durableId="546990121">
    <w:abstractNumId w:val="8"/>
    <w:lvlOverride w:ilvl="0">
      <w:lvl w:ilvl="0">
        <w:start w:val="1"/>
        <w:numFmt w:val="decimal"/>
        <w:pStyle w:val="OutlineNumbered1"/>
        <w:lvlText w:val="%1."/>
        <w:lvlJc w:val="left"/>
        <w:pPr>
          <w:tabs>
            <w:tab w:val="num" w:pos="851"/>
          </w:tabs>
          <w:ind w:left="851" w:hanging="851"/>
        </w:pPr>
        <w:rPr>
          <w:rFonts w:hint="default"/>
          <w:color w:val="auto"/>
        </w:rPr>
      </w:lvl>
    </w:lvlOverride>
  </w:num>
  <w:num w:numId="21" w16cid:durableId="1372069856">
    <w:abstractNumId w:val="8"/>
    <w:lvlOverride w:ilvl="0">
      <w:lvl w:ilvl="0">
        <w:start w:val="1"/>
        <w:numFmt w:val="decimal"/>
        <w:pStyle w:val="OutlineNumbered1"/>
        <w:lvlText w:val="%1."/>
        <w:lvlJc w:val="left"/>
        <w:pPr>
          <w:tabs>
            <w:tab w:val="num" w:pos="851"/>
          </w:tabs>
          <w:ind w:left="851" w:hanging="851"/>
        </w:pPr>
        <w:rPr>
          <w:rFonts w:hint="default"/>
          <w:color w:val="auto"/>
        </w:rPr>
      </w:lvl>
    </w:lvlOverride>
  </w:num>
  <w:num w:numId="22" w16cid:durableId="190345873">
    <w:abstractNumId w:val="8"/>
    <w:lvlOverride w:ilvl="0">
      <w:lvl w:ilvl="0">
        <w:start w:val="1"/>
        <w:numFmt w:val="decimal"/>
        <w:pStyle w:val="OutlineNumbered1"/>
        <w:lvlText w:val="%1."/>
        <w:lvlJc w:val="left"/>
        <w:pPr>
          <w:tabs>
            <w:tab w:val="num" w:pos="851"/>
          </w:tabs>
          <w:ind w:left="851" w:hanging="851"/>
        </w:pPr>
        <w:rPr>
          <w:rFonts w:hint="default"/>
          <w:color w:val="auto"/>
        </w:rPr>
      </w:lvl>
    </w:lvlOverride>
  </w:num>
  <w:num w:numId="23" w16cid:durableId="82535992">
    <w:abstractNumId w:val="8"/>
    <w:lvlOverride w:ilvl="0">
      <w:lvl w:ilvl="0">
        <w:start w:val="1"/>
        <w:numFmt w:val="decimal"/>
        <w:pStyle w:val="OutlineNumbered1"/>
        <w:lvlText w:val="%1."/>
        <w:lvlJc w:val="left"/>
        <w:pPr>
          <w:tabs>
            <w:tab w:val="num" w:pos="851"/>
          </w:tabs>
          <w:ind w:left="851" w:hanging="851"/>
        </w:pPr>
        <w:rPr>
          <w:rFonts w:hint="default"/>
          <w:color w:val="auto"/>
        </w:rPr>
      </w:lvl>
    </w:lvlOverride>
  </w:num>
  <w:num w:numId="24" w16cid:durableId="867834017">
    <w:abstractNumId w:val="8"/>
    <w:lvlOverride w:ilvl="0">
      <w:lvl w:ilvl="0">
        <w:start w:val="1"/>
        <w:numFmt w:val="decimal"/>
        <w:pStyle w:val="OutlineNumbered1"/>
        <w:lvlText w:val="%1."/>
        <w:lvlJc w:val="left"/>
        <w:pPr>
          <w:tabs>
            <w:tab w:val="num" w:pos="851"/>
          </w:tabs>
          <w:ind w:left="851" w:hanging="851"/>
        </w:pPr>
        <w:rPr>
          <w:rFonts w:hint="default"/>
          <w:color w:val="auto"/>
        </w:rPr>
      </w:lvl>
    </w:lvlOverride>
  </w:num>
  <w:num w:numId="25" w16cid:durableId="1701081334">
    <w:abstractNumId w:val="8"/>
    <w:lvlOverride w:ilvl="0">
      <w:startOverride w:val="1"/>
      <w:lvl w:ilvl="0">
        <w:start w:val="1"/>
        <w:numFmt w:val="decimal"/>
        <w:pStyle w:val="OutlineNumbered1"/>
        <w:lvlText w:val="%1."/>
        <w:lvlJc w:val="left"/>
        <w:pPr>
          <w:tabs>
            <w:tab w:val="num" w:pos="851"/>
          </w:tabs>
          <w:ind w:left="851" w:hanging="851"/>
        </w:pPr>
        <w:rPr>
          <w:rFonts w:hint="default"/>
          <w:color w:val="auto"/>
        </w:rPr>
      </w:lvl>
    </w:lvlOverride>
    <w:lvlOverride w:ilvl="1">
      <w:startOverride w:val="1"/>
      <w:lvl w:ilvl="1">
        <w:start w:val="1"/>
        <w:numFmt w:val="decimal"/>
        <w:pStyle w:val="OutlineNumbered2"/>
        <w:lvlText w:val="%1.%2"/>
        <w:lvlJc w:val="left"/>
        <w:pPr>
          <w:tabs>
            <w:tab w:val="num" w:pos="1134"/>
          </w:tabs>
          <w:ind w:left="1134" w:hanging="1134"/>
        </w:pPr>
        <w:rPr>
          <w:rFonts w:hint="default"/>
        </w:rPr>
      </w:lvl>
    </w:lvlOverride>
    <w:lvlOverride w:ilvl="2">
      <w:startOverride w:val="1"/>
      <w:lvl w:ilvl="2">
        <w:start w:val="1"/>
        <w:numFmt w:val="decimal"/>
        <w:pStyle w:val="OutlineNumbered3"/>
        <w:lvlText w:val="%1.%2.%3"/>
        <w:lvlJc w:val="left"/>
        <w:pPr>
          <w:tabs>
            <w:tab w:val="num" w:pos="1418"/>
          </w:tabs>
          <w:ind w:left="1418" w:hanging="1418"/>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6" w16cid:durableId="1240016403">
    <w:abstractNumId w:val="8"/>
    <w:lvlOverride w:ilvl="0">
      <w:startOverride w:val="1"/>
      <w:lvl w:ilvl="0">
        <w:start w:val="1"/>
        <w:numFmt w:val="decimal"/>
        <w:pStyle w:val="OutlineNumbered1"/>
        <w:lvlText w:val="%1."/>
        <w:lvlJc w:val="left"/>
        <w:pPr>
          <w:tabs>
            <w:tab w:val="num" w:pos="851"/>
          </w:tabs>
          <w:ind w:left="851" w:hanging="851"/>
        </w:pPr>
        <w:rPr>
          <w:rFonts w:hint="default"/>
        </w:rPr>
      </w:lvl>
    </w:lvlOverride>
    <w:lvlOverride w:ilvl="1">
      <w:startOverride w:val="1"/>
      <w:lvl w:ilvl="1">
        <w:start w:val="1"/>
        <w:numFmt w:val="decimal"/>
        <w:pStyle w:val="OutlineNumbered2"/>
        <w:lvlText w:val="%1.%2"/>
        <w:lvlJc w:val="left"/>
        <w:pPr>
          <w:tabs>
            <w:tab w:val="num" w:pos="1134"/>
          </w:tabs>
          <w:ind w:left="1134" w:hanging="1134"/>
        </w:pPr>
        <w:rPr>
          <w:rFonts w:hint="default"/>
        </w:rPr>
      </w:lvl>
    </w:lvlOverride>
    <w:lvlOverride w:ilvl="2">
      <w:startOverride w:val="1"/>
      <w:lvl w:ilvl="2">
        <w:start w:val="1"/>
        <w:numFmt w:val="decimal"/>
        <w:pStyle w:val="OutlineNumbered3"/>
        <w:lvlText w:val="%1.%2.%3"/>
        <w:lvlJc w:val="left"/>
        <w:pPr>
          <w:tabs>
            <w:tab w:val="num" w:pos="1418"/>
          </w:tabs>
          <w:ind w:left="1418" w:hanging="1418"/>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7" w16cid:durableId="684477502">
    <w:abstractNumId w:val="8"/>
    <w:lvlOverride w:ilvl="0">
      <w:startOverride w:val="1"/>
      <w:lvl w:ilvl="0">
        <w:start w:val="1"/>
        <w:numFmt w:val="decimal"/>
        <w:pStyle w:val="OutlineNumbered1"/>
        <w:lvlText w:val="%1."/>
        <w:lvlJc w:val="left"/>
        <w:pPr>
          <w:tabs>
            <w:tab w:val="num" w:pos="851"/>
          </w:tabs>
          <w:ind w:left="851" w:hanging="851"/>
        </w:pPr>
        <w:rPr>
          <w:rFonts w:hint="default"/>
        </w:rPr>
      </w:lvl>
    </w:lvlOverride>
    <w:lvlOverride w:ilvl="1">
      <w:startOverride w:val="1"/>
      <w:lvl w:ilvl="1">
        <w:start w:val="1"/>
        <w:numFmt w:val="decimal"/>
        <w:pStyle w:val="OutlineNumbered2"/>
        <w:lvlText w:val="%1.%2"/>
        <w:lvlJc w:val="left"/>
        <w:pPr>
          <w:tabs>
            <w:tab w:val="num" w:pos="1134"/>
          </w:tabs>
          <w:ind w:left="1134" w:hanging="1134"/>
        </w:pPr>
        <w:rPr>
          <w:rFonts w:hint="default"/>
        </w:rPr>
      </w:lvl>
    </w:lvlOverride>
    <w:lvlOverride w:ilvl="2">
      <w:startOverride w:val="1"/>
      <w:lvl w:ilvl="2">
        <w:start w:val="1"/>
        <w:numFmt w:val="decimal"/>
        <w:pStyle w:val="OutlineNumbered3"/>
        <w:lvlText w:val="%1.%2.%3"/>
        <w:lvlJc w:val="left"/>
        <w:pPr>
          <w:tabs>
            <w:tab w:val="num" w:pos="1418"/>
          </w:tabs>
          <w:ind w:left="1418" w:hanging="1418"/>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8" w16cid:durableId="1043020558">
    <w:abstractNumId w:val="4"/>
  </w:num>
  <w:num w:numId="29" w16cid:durableId="2128229111">
    <w:abstractNumId w:val="8"/>
    <w:lvlOverride w:ilvl="0">
      <w:lvl w:ilvl="0">
        <w:start w:val="1"/>
        <w:numFmt w:val="decimal"/>
        <w:pStyle w:val="OutlineNumbered1"/>
        <w:lvlText w:val="%1."/>
        <w:lvlJc w:val="left"/>
        <w:pPr>
          <w:tabs>
            <w:tab w:val="num" w:pos="851"/>
          </w:tabs>
          <w:ind w:left="851" w:hanging="851"/>
        </w:pPr>
        <w:rPr>
          <w:rFonts w:hint="default"/>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16cid:durableId="781804933">
    <w:abstractNumId w:val="8"/>
    <w:lvlOverride w:ilvl="0">
      <w:startOverride w:val="1"/>
      <w:lvl w:ilvl="0">
        <w:start w:val="1"/>
        <w:numFmt w:val="decimal"/>
        <w:pStyle w:val="OutlineNumbered1"/>
        <w:lvlText w:val="%1."/>
        <w:lvlJc w:val="left"/>
        <w:pPr>
          <w:tabs>
            <w:tab w:val="num" w:pos="851"/>
          </w:tabs>
          <w:ind w:left="851" w:hanging="851"/>
        </w:pPr>
        <w:rPr>
          <w:rFonts w:hint="default"/>
        </w:rPr>
      </w:lvl>
    </w:lvlOverride>
    <w:lvlOverride w:ilvl="1">
      <w:startOverride w:val="1"/>
      <w:lvl w:ilvl="1">
        <w:start w:val="1"/>
        <w:numFmt w:val="decimal"/>
        <w:pStyle w:val="OutlineNumbered2"/>
        <w:lvlText w:val="%1.%2"/>
        <w:lvlJc w:val="left"/>
        <w:pPr>
          <w:tabs>
            <w:tab w:val="num" w:pos="1134"/>
          </w:tabs>
          <w:ind w:left="1134" w:hanging="1134"/>
        </w:pPr>
        <w:rPr>
          <w:rFonts w:hint="default"/>
        </w:rPr>
      </w:lvl>
    </w:lvlOverride>
    <w:lvlOverride w:ilvl="2">
      <w:startOverride w:val="1"/>
      <w:lvl w:ilvl="2">
        <w:start w:val="1"/>
        <w:numFmt w:val="decimal"/>
        <w:pStyle w:val="OutlineNumbered3"/>
        <w:lvlText w:val="%1.%2.%3"/>
        <w:lvlJc w:val="left"/>
        <w:pPr>
          <w:tabs>
            <w:tab w:val="num" w:pos="1418"/>
          </w:tabs>
          <w:ind w:left="1418" w:hanging="1418"/>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1" w16cid:durableId="7768000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78908729">
    <w:abstractNumId w:val="7"/>
  </w:num>
  <w:num w:numId="33" w16cid:durableId="1505320986">
    <w:abstractNumId w:val="8"/>
    <w:lvlOverride w:ilvl="0">
      <w:startOverride w:val="1"/>
      <w:lvl w:ilvl="0">
        <w:start w:val="1"/>
        <w:numFmt w:val="decimal"/>
        <w:pStyle w:val="OutlineNumbered1"/>
        <w:lvlText w:val="%1."/>
        <w:lvlJc w:val="left"/>
        <w:pPr>
          <w:tabs>
            <w:tab w:val="num" w:pos="851"/>
          </w:tabs>
          <w:ind w:left="851" w:hanging="851"/>
        </w:pPr>
        <w:rPr>
          <w:rFonts w:hint="default"/>
        </w:rPr>
      </w:lvl>
    </w:lvlOverride>
    <w:lvlOverride w:ilvl="1">
      <w:startOverride w:val="1"/>
      <w:lvl w:ilvl="1">
        <w:start w:val="1"/>
        <w:numFmt w:val="decimal"/>
        <w:pStyle w:val="OutlineNumbered2"/>
        <w:lvlText w:val="%1.%2"/>
        <w:lvlJc w:val="left"/>
        <w:pPr>
          <w:tabs>
            <w:tab w:val="num" w:pos="1134"/>
          </w:tabs>
          <w:ind w:left="1134" w:hanging="1134"/>
        </w:pPr>
        <w:rPr>
          <w:rFonts w:hint="default"/>
        </w:rPr>
      </w:lvl>
    </w:lvlOverride>
    <w:lvlOverride w:ilvl="2">
      <w:startOverride w:val="1"/>
      <w:lvl w:ilvl="2">
        <w:start w:val="1"/>
        <w:numFmt w:val="decimal"/>
        <w:pStyle w:val="OutlineNumbered3"/>
        <w:lvlText w:val="%1.%2.%3"/>
        <w:lvlJc w:val="left"/>
        <w:pPr>
          <w:tabs>
            <w:tab w:val="num" w:pos="1418"/>
          </w:tabs>
          <w:ind w:left="1418" w:hanging="1418"/>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4" w16cid:durableId="226377528">
    <w:abstractNumId w:val="8"/>
    <w:lvlOverride w:ilvl="0">
      <w:lvl w:ilvl="0">
        <w:start w:val="1"/>
        <w:numFmt w:val="decimal"/>
        <w:pStyle w:val="OutlineNumbered1"/>
        <w:lvlText w:val="%1."/>
        <w:lvlJc w:val="left"/>
        <w:pPr>
          <w:tabs>
            <w:tab w:val="num" w:pos="851"/>
          </w:tabs>
          <w:ind w:left="851" w:hanging="851"/>
        </w:pPr>
        <w:rPr>
          <w:rFonts w:hint="default"/>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6A070D"/>
    <w:rsid w:val="00000BE5"/>
    <w:rsid w:val="00011435"/>
    <w:rsid w:val="00016670"/>
    <w:rsid w:val="00016B6C"/>
    <w:rsid w:val="0002151A"/>
    <w:rsid w:val="00032532"/>
    <w:rsid w:val="00032C53"/>
    <w:rsid w:val="0003383F"/>
    <w:rsid w:val="00033942"/>
    <w:rsid w:val="00033986"/>
    <w:rsid w:val="00034D43"/>
    <w:rsid w:val="000421F9"/>
    <w:rsid w:val="00044046"/>
    <w:rsid w:val="00045C24"/>
    <w:rsid w:val="0005609D"/>
    <w:rsid w:val="00060C76"/>
    <w:rsid w:val="00064E59"/>
    <w:rsid w:val="00066907"/>
    <w:rsid w:val="000675D2"/>
    <w:rsid w:val="00067E65"/>
    <w:rsid w:val="000753CE"/>
    <w:rsid w:val="00080822"/>
    <w:rsid w:val="000833C4"/>
    <w:rsid w:val="00096866"/>
    <w:rsid w:val="000A4D2D"/>
    <w:rsid w:val="000B1EC3"/>
    <w:rsid w:val="000B3C90"/>
    <w:rsid w:val="000C02C9"/>
    <w:rsid w:val="000C178E"/>
    <w:rsid w:val="000C6482"/>
    <w:rsid w:val="000C7D54"/>
    <w:rsid w:val="000D1F44"/>
    <w:rsid w:val="000D33F2"/>
    <w:rsid w:val="000D3CF1"/>
    <w:rsid w:val="000D7D2F"/>
    <w:rsid w:val="000E324C"/>
    <w:rsid w:val="000E625F"/>
    <w:rsid w:val="000F2493"/>
    <w:rsid w:val="000F2562"/>
    <w:rsid w:val="000F33C9"/>
    <w:rsid w:val="000F3C25"/>
    <w:rsid w:val="000F4D81"/>
    <w:rsid w:val="000F55D5"/>
    <w:rsid w:val="000F794E"/>
    <w:rsid w:val="00102238"/>
    <w:rsid w:val="001042DA"/>
    <w:rsid w:val="00105EBE"/>
    <w:rsid w:val="00113DA3"/>
    <w:rsid w:val="00113EE2"/>
    <w:rsid w:val="001145FD"/>
    <w:rsid w:val="00115B2E"/>
    <w:rsid w:val="0011628E"/>
    <w:rsid w:val="00123790"/>
    <w:rsid w:val="00134007"/>
    <w:rsid w:val="00134698"/>
    <w:rsid w:val="001363E7"/>
    <w:rsid w:val="001376CC"/>
    <w:rsid w:val="00140697"/>
    <w:rsid w:val="0014178A"/>
    <w:rsid w:val="00144B84"/>
    <w:rsid w:val="001461EF"/>
    <w:rsid w:val="0014751E"/>
    <w:rsid w:val="001619D3"/>
    <w:rsid w:val="00163509"/>
    <w:rsid w:val="00166A45"/>
    <w:rsid w:val="00174954"/>
    <w:rsid w:val="00182E9E"/>
    <w:rsid w:val="00183F40"/>
    <w:rsid w:val="00186830"/>
    <w:rsid w:val="00190D7B"/>
    <w:rsid w:val="00192367"/>
    <w:rsid w:val="001929D8"/>
    <w:rsid w:val="00194649"/>
    <w:rsid w:val="00197414"/>
    <w:rsid w:val="001A5155"/>
    <w:rsid w:val="001A5C82"/>
    <w:rsid w:val="001A5DCC"/>
    <w:rsid w:val="001B3A29"/>
    <w:rsid w:val="001B540E"/>
    <w:rsid w:val="001B6B29"/>
    <w:rsid w:val="001C5117"/>
    <w:rsid w:val="001C78AE"/>
    <w:rsid w:val="001D45A4"/>
    <w:rsid w:val="001E2D0C"/>
    <w:rsid w:val="001E5623"/>
    <w:rsid w:val="001E6DC2"/>
    <w:rsid w:val="001E7840"/>
    <w:rsid w:val="001E7CF5"/>
    <w:rsid w:val="001F17DE"/>
    <w:rsid w:val="001F50DA"/>
    <w:rsid w:val="00200F5C"/>
    <w:rsid w:val="0020105F"/>
    <w:rsid w:val="00203245"/>
    <w:rsid w:val="00205F44"/>
    <w:rsid w:val="002105F8"/>
    <w:rsid w:val="00215EE7"/>
    <w:rsid w:val="00223D87"/>
    <w:rsid w:val="00224F89"/>
    <w:rsid w:val="002268AB"/>
    <w:rsid w:val="00226F00"/>
    <w:rsid w:val="0022749C"/>
    <w:rsid w:val="00227C77"/>
    <w:rsid w:val="00233887"/>
    <w:rsid w:val="00233A88"/>
    <w:rsid w:val="002356BF"/>
    <w:rsid w:val="00241B9A"/>
    <w:rsid w:val="0024226F"/>
    <w:rsid w:val="00245342"/>
    <w:rsid w:val="002462BD"/>
    <w:rsid w:val="00260712"/>
    <w:rsid w:val="002615E2"/>
    <w:rsid w:val="00261A2B"/>
    <w:rsid w:val="00263339"/>
    <w:rsid w:val="00264A4A"/>
    <w:rsid w:val="00270D7A"/>
    <w:rsid w:val="0027375D"/>
    <w:rsid w:val="002809F6"/>
    <w:rsid w:val="00283303"/>
    <w:rsid w:val="00287184"/>
    <w:rsid w:val="00287F32"/>
    <w:rsid w:val="0029134D"/>
    <w:rsid w:val="002978C8"/>
    <w:rsid w:val="002A0B32"/>
    <w:rsid w:val="002A3237"/>
    <w:rsid w:val="002A389E"/>
    <w:rsid w:val="002A4B83"/>
    <w:rsid w:val="002A5DF5"/>
    <w:rsid w:val="002A6430"/>
    <w:rsid w:val="002A6FB1"/>
    <w:rsid w:val="002A79C5"/>
    <w:rsid w:val="002A7CF6"/>
    <w:rsid w:val="002B4E28"/>
    <w:rsid w:val="002B54A0"/>
    <w:rsid w:val="002B5E03"/>
    <w:rsid w:val="002C26D9"/>
    <w:rsid w:val="002D079C"/>
    <w:rsid w:val="002D49D1"/>
    <w:rsid w:val="002E2EC1"/>
    <w:rsid w:val="002E551F"/>
    <w:rsid w:val="002E7F6B"/>
    <w:rsid w:val="002F417B"/>
    <w:rsid w:val="002F6ADC"/>
    <w:rsid w:val="002F70CE"/>
    <w:rsid w:val="00300C95"/>
    <w:rsid w:val="0030260C"/>
    <w:rsid w:val="003054A8"/>
    <w:rsid w:val="003063EC"/>
    <w:rsid w:val="00306770"/>
    <w:rsid w:val="00307DA3"/>
    <w:rsid w:val="00327D31"/>
    <w:rsid w:val="003305CA"/>
    <w:rsid w:val="0034064A"/>
    <w:rsid w:val="0034092A"/>
    <w:rsid w:val="003447AD"/>
    <w:rsid w:val="0034564D"/>
    <w:rsid w:val="003458E4"/>
    <w:rsid w:val="00353390"/>
    <w:rsid w:val="003564E3"/>
    <w:rsid w:val="00357842"/>
    <w:rsid w:val="00364275"/>
    <w:rsid w:val="0036429D"/>
    <w:rsid w:val="00367728"/>
    <w:rsid w:val="00372AC1"/>
    <w:rsid w:val="003802F4"/>
    <w:rsid w:val="00380416"/>
    <w:rsid w:val="00381247"/>
    <w:rsid w:val="003831AB"/>
    <w:rsid w:val="00390C06"/>
    <w:rsid w:val="00392241"/>
    <w:rsid w:val="003A21D5"/>
    <w:rsid w:val="003A63D1"/>
    <w:rsid w:val="003B1315"/>
    <w:rsid w:val="003B34A7"/>
    <w:rsid w:val="003C047D"/>
    <w:rsid w:val="003C4F86"/>
    <w:rsid w:val="003C75DD"/>
    <w:rsid w:val="003C789B"/>
    <w:rsid w:val="003D1513"/>
    <w:rsid w:val="003D3E84"/>
    <w:rsid w:val="003E26C5"/>
    <w:rsid w:val="003F2E2F"/>
    <w:rsid w:val="003F3921"/>
    <w:rsid w:val="003F424B"/>
    <w:rsid w:val="0040203B"/>
    <w:rsid w:val="00413860"/>
    <w:rsid w:val="00415F86"/>
    <w:rsid w:val="00416794"/>
    <w:rsid w:val="0042424E"/>
    <w:rsid w:val="00425E05"/>
    <w:rsid w:val="00430DAF"/>
    <w:rsid w:val="004367AE"/>
    <w:rsid w:val="00442C7E"/>
    <w:rsid w:val="00450CCE"/>
    <w:rsid w:val="004542B7"/>
    <w:rsid w:val="004546DC"/>
    <w:rsid w:val="004612CE"/>
    <w:rsid w:val="00463D4E"/>
    <w:rsid w:val="00470BA0"/>
    <w:rsid w:val="0047146F"/>
    <w:rsid w:val="0047507F"/>
    <w:rsid w:val="00477439"/>
    <w:rsid w:val="00485A3D"/>
    <w:rsid w:val="00486AB2"/>
    <w:rsid w:val="00486B7C"/>
    <w:rsid w:val="00487D80"/>
    <w:rsid w:val="00490C62"/>
    <w:rsid w:val="00496135"/>
    <w:rsid w:val="0049673E"/>
    <w:rsid w:val="00496C34"/>
    <w:rsid w:val="004A2AFD"/>
    <w:rsid w:val="004A358B"/>
    <w:rsid w:val="004A37EA"/>
    <w:rsid w:val="004A4424"/>
    <w:rsid w:val="004A79B3"/>
    <w:rsid w:val="004B08DC"/>
    <w:rsid w:val="004B1F82"/>
    <w:rsid w:val="004B2D9E"/>
    <w:rsid w:val="004B56B0"/>
    <w:rsid w:val="004C0F80"/>
    <w:rsid w:val="004C4E62"/>
    <w:rsid w:val="004C5917"/>
    <w:rsid w:val="004C5E48"/>
    <w:rsid w:val="004C700B"/>
    <w:rsid w:val="004D0778"/>
    <w:rsid w:val="004D3231"/>
    <w:rsid w:val="004D75F6"/>
    <w:rsid w:val="004E2EF9"/>
    <w:rsid w:val="004E424B"/>
    <w:rsid w:val="004E5EB3"/>
    <w:rsid w:val="004E71FE"/>
    <w:rsid w:val="004F24D0"/>
    <w:rsid w:val="004F75C1"/>
    <w:rsid w:val="00501516"/>
    <w:rsid w:val="005017BB"/>
    <w:rsid w:val="00502E10"/>
    <w:rsid w:val="00505009"/>
    <w:rsid w:val="005059A2"/>
    <w:rsid w:val="00506BF4"/>
    <w:rsid w:val="00507097"/>
    <w:rsid w:val="00507716"/>
    <w:rsid w:val="0051228F"/>
    <w:rsid w:val="0051600D"/>
    <w:rsid w:val="00516FB2"/>
    <w:rsid w:val="00521465"/>
    <w:rsid w:val="00524540"/>
    <w:rsid w:val="00524DCE"/>
    <w:rsid w:val="00525050"/>
    <w:rsid w:val="0053110F"/>
    <w:rsid w:val="00533FEF"/>
    <w:rsid w:val="00535C81"/>
    <w:rsid w:val="00537171"/>
    <w:rsid w:val="0054564E"/>
    <w:rsid w:val="00546D8E"/>
    <w:rsid w:val="00546FDD"/>
    <w:rsid w:val="0054784B"/>
    <w:rsid w:val="00550571"/>
    <w:rsid w:val="00551340"/>
    <w:rsid w:val="005606FD"/>
    <w:rsid w:val="005608B5"/>
    <w:rsid w:val="00560A58"/>
    <w:rsid w:val="00561AA1"/>
    <w:rsid w:val="00565A52"/>
    <w:rsid w:val="00566AD8"/>
    <w:rsid w:val="00567AC3"/>
    <w:rsid w:val="00570B86"/>
    <w:rsid w:val="005732EB"/>
    <w:rsid w:val="00575305"/>
    <w:rsid w:val="00576636"/>
    <w:rsid w:val="005803BF"/>
    <w:rsid w:val="00580588"/>
    <w:rsid w:val="00582FAD"/>
    <w:rsid w:val="00585ADD"/>
    <w:rsid w:val="00585F7E"/>
    <w:rsid w:val="0058651B"/>
    <w:rsid w:val="00591BB9"/>
    <w:rsid w:val="00594ABF"/>
    <w:rsid w:val="005A11E6"/>
    <w:rsid w:val="005A1E60"/>
    <w:rsid w:val="005A2484"/>
    <w:rsid w:val="005A6A61"/>
    <w:rsid w:val="005B0968"/>
    <w:rsid w:val="005B207E"/>
    <w:rsid w:val="005B2484"/>
    <w:rsid w:val="005B3871"/>
    <w:rsid w:val="005B3D4E"/>
    <w:rsid w:val="005B659D"/>
    <w:rsid w:val="005B6B98"/>
    <w:rsid w:val="005C1326"/>
    <w:rsid w:val="005C3527"/>
    <w:rsid w:val="005C4B02"/>
    <w:rsid w:val="005C564C"/>
    <w:rsid w:val="005E3281"/>
    <w:rsid w:val="005E62D6"/>
    <w:rsid w:val="005F0FBF"/>
    <w:rsid w:val="005F62AF"/>
    <w:rsid w:val="005F75CC"/>
    <w:rsid w:val="006014A0"/>
    <w:rsid w:val="006127A9"/>
    <w:rsid w:val="00614971"/>
    <w:rsid w:val="00625F6D"/>
    <w:rsid w:val="00627218"/>
    <w:rsid w:val="006355D1"/>
    <w:rsid w:val="00635DD4"/>
    <w:rsid w:val="00637692"/>
    <w:rsid w:val="006377AE"/>
    <w:rsid w:val="00637C94"/>
    <w:rsid w:val="00640F72"/>
    <w:rsid w:val="0064704A"/>
    <w:rsid w:val="006577F5"/>
    <w:rsid w:val="00662740"/>
    <w:rsid w:val="00662C76"/>
    <w:rsid w:val="006730E5"/>
    <w:rsid w:val="0068038A"/>
    <w:rsid w:val="0068643A"/>
    <w:rsid w:val="006916AD"/>
    <w:rsid w:val="00694B4F"/>
    <w:rsid w:val="00695AC2"/>
    <w:rsid w:val="006A070D"/>
    <w:rsid w:val="006A118D"/>
    <w:rsid w:val="006A2EF8"/>
    <w:rsid w:val="006A3972"/>
    <w:rsid w:val="006A712D"/>
    <w:rsid w:val="006B0B68"/>
    <w:rsid w:val="006B3CDF"/>
    <w:rsid w:val="006B652D"/>
    <w:rsid w:val="006D27A6"/>
    <w:rsid w:val="006D3EE7"/>
    <w:rsid w:val="006D6960"/>
    <w:rsid w:val="006D7793"/>
    <w:rsid w:val="006E101D"/>
    <w:rsid w:val="006E6F8C"/>
    <w:rsid w:val="006E76BE"/>
    <w:rsid w:val="006F0918"/>
    <w:rsid w:val="006F56A2"/>
    <w:rsid w:val="006F6301"/>
    <w:rsid w:val="006F6E04"/>
    <w:rsid w:val="007016CB"/>
    <w:rsid w:val="00705AD6"/>
    <w:rsid w:val="00712458"/>
    <w:rsid w:val="0071410F"/>
    <w:rsid w:val="00717216"/>
    <w:rsid w:val="00722F56"/>
    <w:rsid w:val="00726D7B"/>
    <w:rsid w:val="007343B8"/>
    <w:rsid w:val="0073475E"/>
    <w:rsid w:val="00734914"/>
    <w:rsid w:val="00736715"/>
    <w:rsid w:val="007462BB"/>
    <w:rsid w:val="00756653"/>
    <w:rsid w:val="00756D0D"/>
    <w:rsid w:val="007600FA"/>
    <w:rsid w:val="0076093D"/>
    <w:rsid w:val="00761DA0"/>
    <w:rsid w:val="007622D7"/>
    <w:rsid w:val="007632BA"/>
    <w:rsid w:val="00764056"/>
    <w:rsid w:val="00771AFB"/>
    <w:rsid w:val="007825F2"/>
    <w:rsid w:val="00784A3C"/>
    <w:rsid w:val="00787DEE"/>
    <w:rsid w:val="00791259"/>
    <w:rsid w:val="00793BD7"/>
    <w:rsid w:val="0079466D"/>
    <w:rsid w:val="007A3910"/>
    <w:rsid w:val="007A4195"/>
    <w:rsid w:val="007A6E4D"/>
    <w:rsid w:val="007B0C58"/>
    <w:rsid w:val="007B6953"/>
    <w:rsid w:val="007B7784"/>
    <w:rsid w:val="007C1094"/>
    <w:rsid w:val="007C3CD0"/>
    <w:rsid w:val="007C5E44"/>
    <w:rsid w:val="007C61A1"/>
    <w:rsid w:val="007D2E98"/>
    <w:rsid w:val="007D49E7"/>
    <w:rsid w:val="007D4EB7"/>
    <w:rsid w:val="007D6F47"/>
    <w:rsid w:val="007E013D"/>
    <w:rsid w:val="007E0975"/>
    <w:rsid w:val="007E36E4"/>
    <w:rsid w:val="007E5E07"/>
    <w:rsid w:val="007E7046"/>
    <w:rsid w:val="007F53C0"/>
    <w:rsid w:val="007F61E3"/>
    <w:rsid w:val="00804DE9"/>
    <w:rsid w:val="008103A1"/>
    <w:rsid w:val="008139FB"/>
    <w:rsid w:val="00824EDC"/>
    <w:rsid w:val="00831D8A"/>
    <w:rsid w:val="008350D1"/>
    <w:rsid w:val="00840BB4"/>
    <w:rsid w:val="00841300"/>
    <w:rsid w:val="0084212B"/>
    <w:rsid w:val="00846A75"/>
    <w:rsid w:val="00847719"/>
    <w:rsid w:val="0086025F"/>
    <w:rsid w:val="008616B9"/>
    <w:rsid w:val="00862023"/>
    <w:rsid w:val="00863644"/>
    <w:rsid w:val="00866DA3"/>
    <w:rsid w:val="008670F2"/>
    <w:rsid w:val="008746BF"/>
    <w:rsid w:val="008756A0"/>
    <w:rsid w:val="0088159C"/>
    <w:rsid w:val="0088211A"/>
    <w:rsid w:val="00884F56"/>
    <w:rsid w:val="008854F6"/>
    <w:rsid w:val="00886667"/>
    <w:rsid w:val="00886BC4"/>
    <w:rsid w:val="00886BEF"/>
    <w:rsid w:val="008972E4"/>
    <w:rsid w:val="008973E3"/>
    <w:rsid w:val="008A02F3"/>
    <w:rsid w:val="008A1C1D"/>
    <w:rsid w:val="008A48CA"/>
    <w:rsid w:val="008A542D"/>
    <w:rsid w:val="008B1B1C"/>
    <w:rsid w:val="008B2938"/>
    <w:rsid w:val="008B395C"/>
    <w:rsid w:val="008B4E90"/>
    <w:rsid w:val="008C36AA"/>
    <w:rsid w:val="008C5773"/>
    <w:rsid w:val="008D0CA6"/>
    <w:rsid w:val="008D1909"/>
    <w:rsid w:val="008D1B8D"/>
    <w:rsid w:val="008D4CD0"/>
    <w:rsid w:val="008D5358"/>
    <w:rsid w:val="008E0180"/>
    <w:rsid w:val="008E0194"/>
    <w:rsid w:val="008E04BD"/>
    <w:rsid w:val="008E35A5"/>
    <w:rsid w:val="008F0B15"/>
    <w:rsid w:val="008F1AA6"/>
    <w:rsid w:val="008F2212"/>
    <w:rsid w:val="008F73C8"/>
    <w:rsid w:val="008F7E69"/>
    <w:rsid w:val="00903786"/>
    <w:rsid w:val="00903AB2"/>
    <w:rsid w:val="0090469D"/>
    <w:rsid w:val="00905E22"/>
    <w:rsid w:val="00905F29"/>
    <w:rsid w:val="0090719E"/>
    <w:rsid w:val="009109AA"/>
    <w:rsid w:val="00914174"/>
    <w:rsid w:val="00917BE4"/>
    <w:rsid w:val="0092386D"/>
    <w:rsid w:val="00926879"/>
    <w:rsid w:val="00933C8C"/>
    <w:rsid w:val="009367F6"/>
    <w:rsid w:val="00936EE4"/>
    <w:rsid w:val="0093741D"/>
    <w:rsid w:val="00942CB3"/>
    <w:rsid w:val="00944174"/>
    <w:rsid w:val="009454CB"/>
    <w:rsid w:val="009466A6"/>
    <w:rsid w:val="00947904"/>
    <w:rsid w:val="00951652"/>
    <w:rsid w:val="00952F2F"/>
    <w:rsid w:val="00965C4B"/>
    <w:rsid w:val="009757BB"/>
    <w:rsid w:val="0098151F"/>
    <w:rsid w:val="00986A46"/>
    <w:rsid w:val="009875EC"/>
    <w:rsid w:val="009906A6"/>
    <w:rsid w:val="00991C01"/>
    <w:rsid w:val="00992ADC"/>
    <w:rsid w:val="00993AC9"/>
    <w:rsid w:val="009A0962"/>
    <w:rsid w:val="009A6D32"/>
    <w:rsid w:val="009A71C4"/>
    <w:rsid w:val="009A777D"/>
    <w:rsid w:val="009B15EC"/>
    <w:rsid w:val="009B1781"/>
    <w:rsid w:val="009B2546"/>
    <w:rsid w:val="009B4261"/>
    <w:rsid w:val="009B464D"/>
    <w:rsid w:val="009C1F90"/>
    <w:rsid w:val="009C61DC"/>
    <w:rsid w:val="009C66A3"/>
    <w:rsid w:val="009D436B"/>
    <w:rsid w:val="009D5A9C"/>
    <w:rsid w:val="009D616A"/>
    <w:rsid w:val="009E6061"/>
    <w:rsid w:val="009E76D5"/>
    <w:rsid w:val="009F2AFF"/>
    <w:rsid w:val="009F5D40"/>
    <w:rsid w:val="00A01086"/>
    <w:rsid w:val="00A05E57"/>
    <w:rsid w:val="00A078AD"/>
    <w:rsid w:val="00A1120D"/>
    <w:rsid w:val="00A13CB3"/>
    <w:rsid w:val="00A13F0D"/>
    <w:rsid w:val="00A15DB7"/>
    <w:rsid w:val="00A17503"/>
    <w:rsid w:val="00A215B3"/>
    <w:rsid w:val="00A24D20"/>
    <w:rsid w:val="00A24ED6"/>
    <w:rsid w:val="00A32C4E"/>
    <w:rsid w:val="00A3452B"/>
    <w:rsid w:val="00A4534B"/>
    <w:rsid w:val="00A46A9A"/>
    <w:rsid w:val="00A50111"/>
    <w:rsid w:val="00A52C22"/>
    <w:rsid w:val="00A60022"/>
    <w:rsid w:val="00A6514E"/>
    <w:rsid w:val="00A66777"/>
    <w:rsid w:val="00A73847"/>
    <w:rsid w:val="00A73D00"/>
    <w:rsid w:val="00A7799E"/>
    <w:rsid w:val="00A82FAF"/>
    <w:rsid w:val="00A8325A"/>
    <w:rsid w:val="00A8449C"/>
    <w:rsid w:val="00A84C3C"/>
    <w:rsid w:val="00A87F4B"/>
    <w:rsid w:val="00A909A3"/>
    <w:rsid w:val="00A91BD2"/>
    <w:rsid w:val="00A928E7"/>
    <w:rsid w:val="00A940BE"/>
    <w:rsid w:val="00A94118"/>
    <w:rsid w:val="00A94EC4"/>
    <w:rsid w:val="00A96316"/>
    <w:rsid w:val="00A9658A"/>
    <w:rsid w:val="00A970ED"/>
    <w:rsid w:val="00AA553F"/>
    <w:rsid w:val="00AA6A65"/>
    <w:rsid w:val="00AA6E1D"/>
    <w:rsid w:val="00AB3D33"/>
    <w:rsid w:val="00AB571D"/>
    <w:rsid w:val="00AC1B27"/>
    <w:rsid w:val="00AC4C62"/>
    <w:rsid w:val="00AC60D4"/>
    <w:rsid w:val="00AD63E7"/>
    <w:rsid w:val="00AE39EE"/>
    <w:rsid w:val="00AE53E5"/>
    <w:rsid w:val="00B11687"/>
    <w:rsid w:val="00B129C3"/>
    <w:rsid w:val="00B1322C"/>
    <w:rsid w:val="00B15B56"/>
    <w:rsid w:val="00B2464C"/>
    <w:rsid w:val="00B24C1C"/>
    <w:rsid w:val="00B2668C"/>
    <w:rsid w:val="00B26B2B"/>
    <w:rsid w:val="00B32830"/>
    <w:rsid w:val="00B42FAF"/>
    <w:rsid w:val="00B477B1"/>
    <w:rsid w:val="00B50FEA"/>
    <w:rsid w:val="00B51175"/>
    <w:rsid w:val="00B5397C"/>
    <w:rsid w:val="00B54FA9"/>
    <w:rsid w:val="00B551AE"/>
    <w:rsid w:val="00B5653E"/>
    <w:rsid w:val="00B57B0B"/>
    <w:rsid w:val="00B64308"/>
    <w:rsid w:val="00B71F74"/>
    <w:rsid w:val="00B73C23"/>
    <w:rsid w:val="00B771FF"/>
    <w:rsid w:val="00B82C45"/>
    <w:rsid w:val="00B9162B"/>
    <w:rsid w:val="00BA054F"/>
    <w:rsid w:val="00BA123B"/>
    <w:rsid w:val="00BA156F"/>
    <w:rsid w:val="00BA3721"/>
    <w:rsid w:val="00BA3966"/>
    <w:rsid w:val="00BA7802"/>
    <w:rsid w:val="00BB059B"/>
    <w:rsid w:val="00BB4B21"/>
    <w:rsid w:val="00BC2F1C"/>
    <w:rsid w:val="00BC463F"/>
    <w:rsid w:val="00BD3C26"/>
    <w:rsid w:val="00BD7EA0"/>
    <w:rsid w:val="00BE0FB1"/>
    <w:rsid w:val="00BE2210"/>
    <w:rsid w:val="00BE2E06"/>
    <w:rsid w:val="00BE5AC7"/>
    <w:rsid w:val="00BF3E58"/>
    <w:rsid w:val="00BF4A8E"/>
    <w:rsid w:val="00BF73E4"/>
    <w:rsid w:val="00BF75D8"/>
    <w:rsid w:val="00C0628D"/>
    <w:rsid w:val="00C0797F"/>
    <w:rsid w:val="00C12797"/>
    <w:rsid w:val="00C167C2"/>
    <w:rsid w:val="00C23C8C"/>
    <w:rsid w:val="00C3042D"/>
    <w:rsid w:val="00C31BD7"/>
    <w:rsid w:val="00C362B7"/>
    <w:rsid w:val="00C3693F"/>
    <w:rsid w:val="00C37A6A"/>
    <w:rsid w:val="00C436B8"/>
    <w:rsid w:val="00C443D7"/>
    <w:rsid w:val="00C56E00"/>
    <w:rsid w:val="00C61AE9"/>
    <w:rsid w:val="00C620FD"/>
    <w:rsid w:val="00C639E4"/>
    <w:rsid w:val="00C642E6"/>
    <w:rsid w:val="00C65908"/>
    <w:rsid w:val="00C71CED"/>
    <w:rsid w:val="00C778C6"/>
    <w:rsid w:val="00C80C62"/>
    <w:rsid w:val="00C826E9"/>
    <w:rsid w:val="00C82A8A"/>
    <w:rsid w:val="00C8634C"/>
    <w:rsid w:val="00C87E5F"/>
    <w:rsid w:val="00CA168B"/>
    <w:rsid w:val="00CA4694"/>
    <w:rsid w:val="00CB032B"/>
    <w:rsid w:val="00CB0554"/>
    <w:rsid w:val="00CB0F27"/>
    <w:rsid w:val="00CC1136"/>
    <w:rsid w:val="00CC311B"/>
    <w:rsid w:val="00CC5606"/>
    <w:rsid w:val="00CD02A5"/>
    <w:rsid w:val="00CD0686"/>
    <w:rsid w:val="00CD07BF"/>
    <w:rsid w:val="00CD7127"/>
    <w:rsid w:val="00CD7F0B"/>
    <w:rsid w:val="00CE54C4"/>
    <w:rsid w:val="00CF1EA3"/>
    <w:rsid w:val="00CF5A2D"/>
    <w:rsid w:val="00D01337"/>
    <w:rsid w:val="00D026E1"/>
    <w:rsid w:val="00D044DC"/>
    <w:rsid w:val="00D05A02"/>
    <w:rsid w:val="00D0725D"/>
    <w:rsid w:val="00D11F38"/>
    <w:rsid w:val="00D11F49"/>
    <w:rsid w:val="00D16B73"/>
    <w:rsid w:val="00D17467"/>
    <w:rsid w:val="00D20AA3"/>
    <w:rsid w:val="00D2150F"/>
    <w:rsid w:val="00D215DF"/>
    <w:rsid w:val="00D33E3B"/>
    <w:rsid w:val="00D40B85"/>
    <w:rsid w:val="00D4769E"/>
    <w:rsid w:val="00D47F02"/>
    <w:rsid w:val="00D50574"/>
    <w:rsid w:val="00D51889"/>
    <w:rsid w:val="00D535AC"/>
    <w:rsid w:val="00D555C7"/>
    <w:rsid w:val="00D566F4"/>
    <w:rsid w:val="00D60855"/>
    <w:rsid w:val="00D621F5"/>
    <w:rsid w:val="00D70FE2"/>
    <w:rsid w:val="00D72A22"/>
    <w:rsid w:val="00D818A4"/>
    <w:rsid w:val="00D81F86"/>
    <w:rsid w:val="00D835CF"/>
    <w:rsid w:val="00D90A23"/>
    <w:rsid w:val="00D934BF"/>
    <w:rsid w:val="00D9431C"/>
    <w:rsid w:val="00D958AB"/>
    <w:rsid w:val="00D977E0"/>
    <w:rsid w:val="00DA15A6"/>
    <w:rsid w:val="00DA2AED"/>
    <w:rsid w:val="00DC075C"/>
    <w:rsid w:val="00DC1A1D"/>
    <w:rsid w:val="00DC6FBB"/>
    <w:rsid w:val="00DD5D38"/>
    <w:rsid w:val="00DD605A"/>
    <w:rsid w:val="00DE05FE"/>
    <w:rsid w:val="00DE191E"/>
    <w:rsid w:val="00DE4B23"/>
    <w:rsid w:val="00DE5EE8"/>
    <w:rsid w:val="00DE74EC"/>
    <w:rsid w:val="00DF0B01"/>
    <w:rsid w:val="00DF3B3B"/>
    <w:rsid w:val="00DF4C6F"/>
    <w:rsid w:val="00DF56B6"/>
    <w:rsid w:val="00DF5A46"/>
    <w:rsid w:val="00E0529E"/>
    <w:rsid w:val="00E07A78"/>
    <w:rsid w:val="00E10B5B"/>
    <w:rsid w:val="00E11105"/>
    <w:rsid w:val="00E16939"/>
    <w:rsid w:val="00E1766A"/>
    <w:rsid w:val="00E267E6"/>
    <w:rsid w:val="00E32CD6"/>
    <w:rsid w:val="00E34501"/>
    <w:rsid w:val="00E35B8F"/>
    <w:rsid w:val="00E40078"/>
    <w:rsid w:val="00E4461B"/>
    <w:rsid w:val="00E4520C"/>
    <w:rsid w:val="00E45843"/>
    <w:rsid w:val="00E62B01"/>
    <w:rsid w:val="00E64A09"/>
    <w:rsid w:val="00E64B67"/>
    <w:rsid w:val="00E669CD"/>
    <w:rsid w:val="00E700CA"/>
    <w:rsid w:val="00E70A2C"/>
    <w:rsid w:val="00E70AD6"/>
    <w:rsid w:val="00E74124"/>
    <w:rsid w:val="00E75FE5"/>
    <w:rsid w:val="00E813BB"/>
    <w:rsid w:val="00E81A92"/>
    <w:rsid w:val="00E82007"/>
    <w:rsid w:val="00E83A1D"/>
    <w:rsid w:val="00E847A7"/>
    <w:rsid w:val="00E85FF2"/>
    <w:rsid w:val="00E86CBA"/>
    <w:rsid w:val="00E86FD3"/>
    <w:rsid w:val="00E87294"/>
    <w:rsid w:val="00E90E39"/>
    <w:rsid w:val="00E92FAB"/>
    <w:rsid w:val="00E93C25"/>
    <w:rsid w:val="00E966CF"/>
    <w:rsid w:val="00EA36D2"/>
    <w:rsid w:val="00EA5D8D"/>
    <w:rsid w:val="00EB1557"/>
    <w:rsid w:val="00EB73FA"/>
    <w:rsid w:val="00EC2A56"/>
    <w:rsid w:val="00ED3522"/>
    <w:rsid w:val="00ED4DE3"/>
    <w:rsid w:val="00ED6631"/>
    <w:rsid w:val="00EE570F"/>
    <w:rsid w:val="00EE5F89"/>
    <w:rsid w:val="00EF1B2D"/>
    <w:rsid w:val="00F0001D"/>
    <w:rsid w:val="00F004BB"/>
    <w:rsid w:val="00F0196A"/>
    <w:rsid w:val="00F05078"/>
    <w:rsid w:val="00F05743"/>
    <w:rsid w:val="00F07B2D"/>
    <w:rsid w:val="00F16CD4"/>
    <w:rsid w:val="00F172EE"/>
    <w:rsid w:val="00F22FC2"/>
    <w:rsid w:val="00F2302B"/>
    <w:rsid w:val="00F23617"/>
    <w:rsid w:val="00F248B6"/>
    <w:rsid w:val="00F31637"/>
    <w:rsid w:val="00F33B9F"/>
    <w:rsid w:val="00F41932"/>
    <w:rsid w:val="00F44C22"/>
    <w:rsid w:val="00F4789A"/>
    <w:rsid w:val="00F51C00"/>
    <w:rsid w:val="00F51FDE"/>
    <w:rsid w:val="00F57590"/>
    <w:rsid w:val="00F61364"/>
    <w:rsid w:val="00F614C4"/>
    <w:rsid w:val="00F61E2F"/>
    <w:rsid w:val="00F655B4"/>
    <w:rsid w:val="00F70509"/>
    <w:rsid w:val="00F7256C"/>
    <w:rsid w:val="00F72B3E"/>
    <w:rsid w:val="00F75A59"/>
    <w:rsid w:val="00F7650A"/>
    <w:rsid w:val="00F8536B"/>
    <w:rsid w:val="00F90901"/>
    <w:rsid w:val="00F94348"/>
    <w:rsid w:val="00F95DDF"/>
    <w:rsid w:val="00F96108"/>
    <w:rsid w:val="00FA70A7"/>
    <w:rsid w:val="00FA714F"/>
    <w:rsid w:val="00FB5337"/>
    <w:rsid w:val="00FB5D1B"/>
    <w:rsid w:val="00FB61B4"/>
    <w:rsid w:val="00FB6D6E"/>
    <w:rsid w:val="00FB7AEB"/>
    <w:rsid w:val="00FC2874"/>
    <w:rsid w:val="00FC2E34"/>
    <w:rsid w:val="00FC43EE"/>
    <w:rsid w:val="00FD06DF"/>
    <w:rsid w:val="00FD0B4D"/>
    <w:rsid w:val="00FE316C"/>
    <w:rsid w:val="00FF42D5"/>
    <w:rsid w:val="00FF4459"/>
    <w:rsid w:val="6C2718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C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1315"/>
    <w:pPr>
      <w:jc w:val="right"/>
    </w:pPr>
  </w:style>
  <w:style w:type="character" w:customStyle="1" w:styleId="HeaderChar">
    <w:name w:val="Header Char"/>
    <w:basedOn w:val="DefaultParagraphFont"/>
    <w:link w:val="Header"/>
    <w:rsid w:val="003B1315"/>
    <w:rPr>
      <w:rFonts w:ascii="Calibri Light" w:eastAsia="Times New Roman" w:hAnsi="Calibri Light"/>
      <w:sz w:val="22"/>
      <w:lang w:eastAsia="en-AU"/>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3B1315"/>
    <w:pPr>
      <w:spacing w:after="600"/>
      <w:outlineLvl w:val="0"/>
    </w:pPr>
    <w:rPr>
      <w:rFonts w:ascii="Calibri" w:hAnsi="Calibri"/>
      <w:color w:val="2C384A" w:themeColor="accent1"/>
      <w:spacing w:val="-14"/>
      <w:sz w:val="68"/>
      <w:szCs w:val="68"/>
    </w:rPr>
  </w:style>
  <w:style w:type="character" w:customStyle="1" w:styleId="Heading1Char">
    <w:name w:val="Heading 1 Char"/>
    <w:basedOn w:val="DefaultParagraphFont"/>
    <w:link w:val="Heading1"/>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9"/>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aliases w:val="Body,b,b + line,b1,level 1,Bullet + line,BodyNum,Bullet Char1,Bullet Char1 Char Char Char,Bullet Char1 Char Char Char Char,Bullet Char1 Char Char Char Char Char,b1 Char Char Char,bulleted"/>
    <w:basedOn w:val="Normal"/>
    <w:link w:val="BulletChar"/>
    <w:qFormat/>
    <w:rsid w:val="00BA123B"/>
    <w:pPr>
      <w:numPr>
        <w:numId w:val="7"/>
      </w:numPr>
      <w:tabs>
        <w:tab w:val="clear" w:pos="520"/>
      </w:tabs>
      <w:spacing w:before="0" w:line="276" w:lineRule="auto"/>
      <w:ind w:left="170" w:hanging="170"/>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8F0B15"/>
    <w:rPr>
      <w:vertAlign w:val="superscript"/>
    </w:rPr>
  </w:style>
  <w:style w:type="paragraph" w:styleId="FootnoteText">
    <w:name w:val="footnote text"/>
    <w:basedOn w:val="Normal"/>
    <w:link w:val="FootnoteTextChar"/>
    <w:rsid w:val="008F0B15"/>
    <w:pPr>
      <w:spacing w:after="0"/>
    </w:pPr>
    <w:rPr>
      <w:sz w:val="20"/>
    </w:rPr>
  </w:style>
  <w:style w:type="character" w:customStyle="1" w:styleId="FootnoteTextChar">
    <w:name w:val="Footnote Text Char"/>
    <w:basedOn w:val="DefaultParagraphFont"/>
    <w:link w:val="FootnoteText"/>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table" w:customStyle="1" w:styleId="BlueBox">
    <w:name w:val="Blue Box"/>
    <w:basedOn w:val="TableNormal"/>
    <w:uiPriority w:val="99"/>
    <w:rsid w:val="00E813BB"/>
    <w:tblPr>
      <w:tblCellMar>
        <w:top w:w="227" w:type="dxa"/>
        <w:left w:w="227" w:type="dxa"/>
        <w:bottom w:w="227" w:type="dxa"/>
        <w:right w:w="227" w:type="dxa"/>
      </w:tblCellMar>
    </w:tblPr>
    <w:tcPr>
      <w:shd w:val="clear" w:color="auto" w:fill="F2F9FC"/>
    </w:tcPr>
  </w:style>
  <w:style w:type="paragraph" w:customStyle="1" w:styleId="SingleParagraph">
    <w:name w:val="Single Paragraph"/>
    <w:basedOn w:val="Normal"/>
    <w:next w:val="Normal"/>
    <w:link w:val="SingleParagraphChar"/>
    <w:rsid w:val="003458E4"/>
    <w:pPr>
      <w:spacing w:before="0" w:after="0"/>
    </w:pPr>
  </w:style>
  <w:style w:type="table" w:customStyle="1" w:styleId="TableGrid2">
    <w:name w:val="Table Grid2"/>
    <w:basedOn w:val="TableNormal"/>
    <w:next w:val="TableGrid"/>
    <w:rsid w:val="003458E4"/>
    <w:pPr>
      <w:spacing w:before="40" w:after="40"/>
    </w:pPr>
    <w:rPr>
      <w:rFonts w:ascii="Calibri Light" w:eastAsia="Times New Roman" w:hAnsi="Calibri Light"/>
      <w:sz w:val="18"/>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character" w:customStyle="1" w:styleId="SingleParagraphChar">
    <w:name w:val="Single Paragraph Char"/>
    <w:basedOn w:val="DefaultParagraphFont"/>
    <w:link w:val="SingleParagraph"/>
    <w:rsid w:val="003458E4"/>
    <w:rPr>
      <w:rFonts w:ascii="Calibri Light" w:eastAsia="Times New Roman" w:hAnsi="Calibri Light"/>
      <w:sz w:val="22"/>
      <w:lang w:eastAsia="en-AU"/>
    </w:rPr>
  </w:style>
  <w:style w:type="paragraph" w:customStyle="1" w:styleId="OutlineNumbered1">
    <w:name w:val="Outline Numbered 1"/>
    <w:basedOn w:val="Normal"/>
    <w:rsid w:val="00113DA3"/>
    <w:pPr>
      <w:numPr>
        <w:numId w:val="11"/>
      </w:numPr>
      <w:spacing w:before="0"/>
    </w:pPr>
  </w:style>
  <w:style w:type="paragraph" w:customStyle="1" w:styleId="OutlineNumbered2">
    <w:name w:val="Outline Numbered 2"/>
    <w:basedOn w:val="Normal"/>
    <w:rsid w:val="00113DA3"/>
    <w:pPr>
      <w:numPr>
        <w:ilvl w:val="1"/>
        <w:numId w:val="11"/>
      </w:numPr>
      <w:spacing w:before="0"/>
    </w:pPr>
  </w:style>
  <w:style w:type="paragraph" w:customStyle="1" w:styleId="OutlineNumbered3">
    <w:name w:val="Outline Numbered 3"/>
    <w:basedOn w:val="Normal"/>
    <w:rsid w:val="00113DA3"/>
    <w:pPr>
      <w:numPr>
        <w:ilvl w:val="2"/>
        <w:numId w:val="11"/>
      </w:numPr>
      <w:spacing w:before="0"/>
    </w:pPr>
  </w:style>
  <w:style w:type="numbering" w:customStyle="1" w:styleId="OutlineList">
    <w:name w:val="OutlineList"/>
    <w:uiPriority w:val="99"/>
    <w:rsid w:val="00113DA3"/>
    <w:pPr>
      <w:numPr>
        <w:numId w:val="10"/>
      </w:numPr>
    </w:pPr>
  </w:style>
  <w:style w:type="character" w:styleId="UnresolvedMention">
    <w:name w:val="Unresolved Mention"/>
    <w:basedOn w:val="DefaultParagraphFont"/>
    <w:uiPriority w:val="99"/>
    <w:semiHidden/>
    <w:unhideWhenUsed/>
    <w:rsid w:val="00E0529E"/>
    <w:rPr>
      <w:color w:val="605E5C"/>
      <w:shd w:val="clear" w:color="auto" w:fill="E1DFDD"/>
    </w:rPr>
  </w:style>
  <w:style w:type="paragraph" w:customStyle="1" w:styleId="Heading1Numbered">
    <w:name w:val="Heading 1 Numbered"/>
    <w:basedOn w:val="Heading1"/>
    <w:next w:val="Normal"/>
    <w:rsid w:val="00712458"/>
    <w:pPr>
      <w:numPr>
        <w:numId w:val="28"/>
      </w:numPr>
    </w:pPr>
  </w:style>
  <w:style w:type="paragraph" w:customStyle="1" w:styleId="Heading2Numbered">
    <w:name w:val="Heading 2 Numbered"/>
    <w:basedOn w:val="Heading2"/>
    <w:next w:val="Normal"/>
    <w:rsid w:val="00712458"/>
    <w:pPr>
      <w:numPr>
        <w:ilvl w:val="1"/>
        <w:numId w:val="28"/>
      </w:numPr>
    </w:pPr>
    <w:rPr>
      <w:color w:val="2C384A" w:themeColor="accent1"/>
    </w:rPr>
  </w:style>
  <w:style w:type="paragraph" w:customStyle="1" w:styleId="Heading3Numbered">
    <w:name w:val="Heading 3 Numbered"/>
    <w:basedOn w:val="Heading3"/>
    <w:rsid w:val="00712458"/>
    <w:pPr>
      <w:numPr>
        <w:ilvl w:val="2"/>
        <w:numId w:val="28"/>
      </w:numPr>
    </w:pPr>
  </w:style>
  <w:style w:type="paragraph" w:customStyle="1" w:styleId="AppendixHeading">
    <w:name w:val="Appendix Heading"/>
    <w:basedOn w:val="Heading1"/>
    <w:next w:val="Normal"/>
    <w:rsid w:val="00712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sult.treasury.gov.au/c2025-681950/consult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List of consultation questions</vt:lpstr>
    </vt:vector>
  </TitlesOfParts>
  <Company/>
  <LinksUpToDate>false</LinksUpToDate>
  <CharactersWithSpaces>6723</CharactersWithSpaces>
  <SharedDoc>false</SharedDoc>
  <HLinks>
    <vt:vector size="6" baseType="variant">
      <vt:variant>
        <vt:i4>262213</vt:i4>
      </vt:variant>
      <vt:variant>
        <vt:i4>0</vt:i4>
      </vt:variant>
      <vt:variant>
        <vt:i4>0</vt:i4>
      </vt:variant>
      <vt:variant>
        <vt:i4>5</vt:i4>
      </vt:variant>
      <vt:variant>
        <vt:lpwstr>https://consult.treasury.gov.au/c2025-681950/consultation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consultation questions: Reform to non-compete clauses and other restraints on workers</dc:title>
  <dc:subject/>
  <dc:creator>Treasury</dc:creator>
  <cp:keywords/>
  <dc:description/>
  <cp:lastModifiedBy/>
  <cp:revision>1</cp:revision>
  <dcterms:created xsi:type="dcterms:W3CDTF">2025-07-24T04:59:00Z</dcterms:created>
  <dcterms:modified xsi:type="dcterms:W3CDTF">2025-07-24T04:59:00Z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2025-07-24T05:00:03Z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5716b56c-1b0f-4eee-8cfe-1f31a650c569</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