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6E809" w14:textId="77777777" w:rsidR="00394664" w:rsidRDefault="00BF004D" w:rsidP="00C279C1">
      <w:pPr>
        <w:ind w:left="-851"/>
        <w:sectPr w:rsidR="00394664" w:rsidSect="00C279C1">
          <w:footerReference w:type="default" r:id="rId7"/>
          <w:pgSz w:w="12240" w:h="15840"/>
          <w:pgMar w:top="142" w:right="964" w:bottom="964" w:left="964" w:header="142" w:footer="311" w:gutter="0"/>
          <w:cols w:space="708"/>
          <w:docGrid w:linePitch="360"/>
        </w:sectPr>
      </w:pPr>
      <w:r>
        <w:rPr>
          <w:noProof/>
          <w:lang w:eastAsia="en-AU"/>
        </w:rPr>
        <w:drawing>
          <wp:inline distT="0" distB="0" distL="0" distR="0" wp14:anchorId="7226E813" wp14:editId="7226E814">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14:paraId="7226E80A" w14:textId="0EEA9F9A" w:rsidR="00151A0A" w:rsidRPr="00852B60" w:rsidRDefault="00D118EE" w:rsidP="00151A0A">
      <w:pPr>
        <w:spacing w:before="240"/>
        <w:jc w:val="right"/>
      </w:pPr>
      <w:r>
        <w:t>January 2022</w:t>
      </w:r>
    </w:p>
    <w:p w14:paraId="7AFF503F" w14:textId="3288C7D1" w:rsidR="00870C1C" w:rsidRPr="00870C1C" w:rsidRDefault="00F03CCF" w:rsidP="00870C1C">
      <w:pPr>
        <w:pStyle w:val="Heading2"/>
        <w:rPr>
          <w:color w:val="404040"/>
          <w:kern w:val="32"/>
          <w:sz w:val="52"/>
          <w:szCs w:val="52"/>
        </w:rPr>
      </w:pPr>
      <w:r>
        <w:rPr>
          <w:color w:val="404040"/>
          <w:kern w:val="32"/>
          <w:sz w:val="52"/>
          <w:szCs w:val="52"/>
        </w:rPr>
        <w:t>Bankruptcy system - o</w:t>
      </w:r>
      <w:r w:rsidR="00870C1C" w:rsidRPr="00870C1C">
        <w:rPr>
          <w:color w:val="404040"/>
          <w:kern w:val="32"/>
          <w:sz w:val="52"/>
          <w:szCs w:val="52"/>
        </w:rPr>
        <w:t>ptions paper</w:t>
      </w:r>
    </w:p>
    <w:p w14:paraId="7226E80C" w14:textId="6130D9E3" w:rsidR="00151A0A" w:rsidRDefault="00870C1C" w:rsidP="008A0657">
      <w:pPr>
        <w:pStyle w:val="Heading3"/>
        <w:spacing w:beforeLines="100" w:before="240"/>
      </w:pPr>
      <w:r>
        <w:t>Background</w:t>
      </w:r>
    </w:p>
    <w:p w14:paraId="51B5324E" w14:textId="78BFB7D2" w:rsidR="00870C1C" w:rsidRDefault="00870C1C" w:rsidP="00870C1C">
      <w:r>
        <w:t xml:space="preserve">In January 2021, the </w:t>
      </w:r>
      <w:r w:rsidR="00857C5F">
        <w:t>Australian Government</w:t>
      </w:r>
      <w:r>
        <w:t xml:space="preserve"> undertook public consultation</w:t>
      </w:r>
      <w:r w:rsidRPr="006B74BA">
        <w:t xml:space="preserve"> on possible changes to the bankruptcy system to inform </w:t>
      </w:r>
      <w:r>
        <w:t>its</w:t>
      </w:r>
      <w:r w:rsidRPr="006B74BA">
        <w:t xml:space="preserve"> ongoin</w:t>
      </w:r>
      <w:bookmarkStart w:id="0" w:name="_GoBack"/>
      <w:bookmarkEnd w:id="0"/>
      <w:r w:rsidRPr="006B74BA">
        <w:t>g response to addr</w:t>
      </w:r>
      <w:r>
        <w:t>ess the impacts of the COVID-19 pandemic.</w:t>
      </w:r>
    </w:p>
    <w:p w14:paraId="3DB38C88" w14:textId="22AF8B4A" w:rsidR="00870C1C" w:rsidRPr="00870C1C" w:rsidRDefault="00870C1C" w:rsidP="00870C1C">
      <w:pPr>
        <w:spacing w:after="160" w:line="259" w:lineRule="auto"/>
        <w:rPr>
          <w:rFonts w:cs="Times New Roman"/>
          <w:w w:val="100"/>
          <w:kern w:val="0"/>
        </w:rPr>
      </w:pPr>
      <w:r w:rsidRPr="00870C1C">
        <w:rPr>
          <w:rFonts w:cs="Times New Roman"/>
          <w:w w:val="100"/>
          <w:kern w:val="0"/>
        </w:rPr>
        <w:t xml:space="preserve">As part of this consultation, the </w:t>
      </w:r>
      <w:r w:rsidR="00857C5F">
        <w:rPr>
          <w:rFonts w:cs="Times New Roman"/>
          <w:w w:val="100"/>
          <w:kern w:val="0"/>
        </w:rPr>
        <w:t>government</w:t>
      </w:r>
      <w:r w:rsidRPr="00870C1C">
        <w:rPr>
          <w:rFonts w:cs="Times New Roman"/>
          <w:w w:val="100"/>
          <w:kern w:val="0"/>
        </w:rPr>
        <w:t xml:space="preserve"> met with key stakeholders and sought public submissions on topics raised in a discussion paper. The discussion paper provided an overview of </w:t>
      </w:r>
      <w:r w:rsidR="008F5FFA">
        <w:rPr>
          <w:rFonts w:cs="Times New Roman"/>
          <w:w w:val="100"/>
          <w:kern w:val="0"/>
        </w:rPr>
        <w:t>4</w:t>
      </w:r>
      <w:r w:rsidRPr="00870C1C">
        <w:rPr>
          <w:rFonts w:cs="Times New Roman"/>
          <w:w w:val="100"/>
          <w:kern w:val="0"/>
        </w:rPr>
        <w:t xml:space="preserve"> elements of the </w:t>
      </w:r>
      <w:r w:rsidRPr="00870C1C">
        <w:rPr>
          <w:rFonts w:cs="Times New Roman"/>
          <w:i/>
          <w:w w:val="100"/>
          <w:kern w:val="0"/>
        </w:rPr>
        <w:t xml:space="preserve">Bankruptcy Act </w:t>
      </w:r>
      <w:r w:rsidR="0079421E" w:rsidRPr="0079421E">
        <w:rPr>
          <w:rFonts w:cs="Times New Roman"/>
          <w:i/>
          <w:w w:val="100"/>
          <w:kern w:val="0"/>
        </w:rPr>
        <w:t xml:space="preserve">1966 </w:t>
      </w:r>
      <w:r w:rsidRPr="00870C1C">
        <w:rPr>
          <w:rFonts w:cs="Times New Roman"/>
          <w:w w:val="100"/>
          <w:kern w:val="0"/>
        </w:rPr>
        <w:t>to guide stakeholder consideration:</w:t>
      </w:r>
    </w:p>
    <w:p w14:paraId="4BFE3D3C" w14:textId="77777777" w:rsidR="00870C1C" w:rsidRPr="00870C1C" w:rsidRDefault="00870C1C" w:rsidP="0015529E">
      <w:pPr>
        <w:pStyle w:val="ListParagraph"/>
        <w:numPr>
          <w:ilvl w:val="0"/>
          <w:numId w:val="7"/>
        </w:numPr>
      </w:pPr>
      <w:r w:rsidRPr="00870C1C">
        <w:t>the default period of bankruptcy</w:t>
      </w:r>
    </w:p>
    <w:p w14:paraId="738006C7" w14:textId="77777777" w:rsidR="00870C1C" w:rsidRPr="00870C1C" w:rsidRDefault="00870C1C" w:rsidP="0015529E">
      <w:pPr>
        <w:pStyle w:val="ListParagraph"/>
        <w:numPr>
          <w:ilvl w:val="0"/>
          <w:numId w:val="7"/>
        </w:numPr>
      </w:pPr>
      <w:r w:rsidRPr="00870C1C">
        <w:t>debt agreements</w:t>
      </w:r>
    </w:p>
    <w:p w14:paraId="1190F449" w14:textId="77777777" w:rsidR="00870C1C" w:rsidRPr="00870C1C" w:rsidRDefault="00870C1C" w:rsidP="0015529E">
      <w:pPr>
        <w:pStyle w:val="ListParagraph"/>
        <w:numPr>
          <w:ilvl w:val="0"/>
          <w:numId w:val="7"/>
        </w:numPr>
      </w:pPr>
      <w:r w:rsidRPr="00870C1C">
        <w:t>personal insolvency agreements, and</w:t>
      </w:r>
    </w:p>
    <w:p w14:paraId="00F84EE5" w14:textId="77777777" w:rsidR="00870C1C" w:rsidRPr="00870C1C" w:rsidRDefault="00870C1C" w:rsidP="0015529E">
      <w:pPr>
        <w:pStyle w:val="ListParagraph"/>
        <w:numPr>
          <w:ilvl w:val="0"/>
          <w:numId w:val="7"/>
        </w:numPr>
      </w:pPr>
      <w:r w:rsidRPr="00870C1C">
        <w:t>offence provisions.</w:t>
      </w:r>
    </w:p>
    <w:p w14:paraId="2AA3269D" w14:textId="239C7C81" w:rsidR="00870C1C" w:rsidRDefault="00870C1C" w:rsidP="00870C1C">
      <w:r>
        <w:t xml:space="preserve">The </w:t>
      </w:r>
      <w:r w:rsidR="00857C5F">
        <w:t>government</w:t>
      </w:r>
      <w:r>
        <w:t xml:space="preserve"> received written submissions from a diverse range of stakeholders including members of the public, insolvency practitioners, consumer advocates and peak bodies.</w:t>
      </w:r>
    </w:p>
    <w:p w14:paraId="500D183F" w14:textId="31723CBB" w:rsidR="00870C1C" w:rsidRPr="004B2C97" w:rsidRDefault="00870C1C" w:rsidP="00870C1C">
      <w:r w:rsidRPr="004B2C97">
        <w:t xml:space="preserve">The majority of stakeholders submitted that COVID-19 should not be </w:t>
      </w:r>
      <w:r>
        <w:t>a</w:t>
      </w:r>
      <w:r w:rsidRPr="004B2C97">
        <w:t xml:space="preserve"> driving impetus for reforms to the </w:t>
      </w:r>
      <w:r>
        <w:t>bankruptcy</w:t>
      </w:r>
      <w:r w:rsidRPr="004B2C97">
        <w:t xml:space="preserve"> system, citing the need for a longer</w:t>
      </w:r>
      <w:r w:rsidR="001A29E2">
        <w:t>-</w:t>
      </w:r>
      <w:r w:rsidRPr="004B2C97">
        <w:t>term approach to reform. Notwithstanding this, stakeholders identified a number of reform opportunities of merit.</w:t>
      </w:r>
    </w:p>
    <w:p w14:paraId="1147D0E3" w14:textId="2B15A00C" w:rsidR="00870C1C" w:rsidRDefault="00870C1C" w:rsidP="00870C1C">
      <w:r>
        <w:t xml:space="preserve">This options paper outlines the reform opportunities the </w:t>
      </w:r>
      <w:r w:rsidR="00112C29">
        <w:t>g</w:t>
      </w:r>
      <w:r w:rsidR="00857C5F">
        <w:t>overnment</w:t>
      </w:r>
      <w:r>
        <w:t xml:space="preserve"> is considering to:</w:t>
      </w:r>
    </w:p>
    <w:p w14:paraId="198DD040" w14:textId="77777777" w:rsidR="00870C1C" w:rsidRDefault="00870C1C" w:rsidP="00870C1C">
      <w:pPr>
        <w:pStyle w:val="ListParagraph"/>
        <w:numPr>
          <w:ilvl w:val="0"/>
          <w:numId w:val="7"/>
        </w:numPr>
      </w:pPr>
      <w:r>
        <w:t>reduce bankruptcy to one year</w:t>
      </w:r>
    </w:p>
    <w:p w14:paraId="707AEB22" w14:textId="6A157440" w:rsidR="00870C1C" w:rsidRPr="00E846AA" w:rsidRDefault="004F43C4" w:rsidP="00870C1C">
      <w:pPr>
        <w:pStyle w:val="ListParagraph"/>
        <w:numPr>
          <w:ilvl w:val="0"/>
          <w:numId w:val="7"/>
        </w:numPr>
      </w:pPr>
      <w:r w:rsidRPr="00C07EC5">
        <w:t xml:space="preserve">promote </w:t>
      </w:r>
      <w:r w:rsidR="00870C1C" w:rsidRPr="00C07EC5">
        <w:t>debt agreement</w:t>
      </w:r>
      <w:r w:rsidRPr="00C07EC5">
        <w:t>s</w:t>
      </w:r>
      <w:r w:rsidR="00870C1C" w:rsidRPr="00E846AA">
        <w:t>, and</w:t>
      </w:r>
    </w:p>
    <w:p w14:paraId="369B66EC" w14:textId="1DBAEA85" w:rsidR="00870C1C" w:rsidRDefault="00870C1C" w:rsidP="00870C1C">
      <w:pPr>
        <w:pStyle w:val="ListParagraph"/>
        <w:numPr>
          <w:ilvl w:val="0"/>
          <w:numId w:val="7"/>
        </w:numPr>
      </w:pPr>
      <w:r>
        <w:t>target untrus</w:t>
      </w:r>
      <w:r w:rsidR="009D119E">
        <w:t>two</w:t>
      </w:r>
      <w:r>
        <w:t>rthy advisors.</w:t>
      </w:r>
    </w:p>
    <w:p w14:paraId="600EACCC" w14:textId="072DF4F6" w:rsidR="0015529E" w:rsidRPr="005968E1" w:rsidRDefault="0015529E">
      <w:pPr>
        <w:spacing w:after="0" w:line="240" w:lineRule="auto"/>
        <w:rPr>
          <w:rFonts w:eastAsia="SimSun" w:cs="Angsana New"/>
          <w:b/>
          <w:bCs/>
          <w:iCs/>
          <w:color w:val="4D738A"/>
          <w:sz w:val="40"/>
          <w:szCs w:val="48"/>
        </w:rPr>
      </w:pPr>
      <w:r>
        <w:br w:type="page"/>
      </w:r>
    </w:p>
    <w:p w14:paraId="4687243F" w14:textId="444B8777" w:rsidR="0015529E" w:rsidRDefault="0015529E" w:rsidP="0015529E">
      <w:pPr>
        <w:pStyle w:val="Heading2"/>
      </w:pPr>
      <w:r>
        <w:lastRenderedPageBreak/>
        <w:t>Reduce bankruptcy to one year</w:t>
      </w:r>
    </w:p>
    <w:p w14:paraId="2502D264" w14:textId="1FA4E6E9" w:rsidR="0015529E" w:rsidRDefault="0015529E" w:rsidP="0015529E">
      <w:r>
        <w:t xml:space="preserve">On 19 October 2017, the </w:t>
      </w:r>
      <w:r w:rsidRPr="00992840">
        <w:rPr>
          <w:i/>
        </w:rPr>
        <w:t>Bankruptcy Amendment (Enterprise Incentives) Bill 2017</w:t>
      </w:r>
      <w:r w:rsidRPr="00992840">
        <w:t xml:space="preserve"> </w:t>
      </w:r>
      <w:r>
        <w:t xml:space="preserve">was </w:t>
      </w:r>
      <w:r w:rsidRPr="00992840">
        <w:t xml:space="preserve">introduced to Parliament. The Enterprise Incentives Bill proposed to amend the </w:t>
      </w:r>
      <w:r w:rsidRPr="0079421E">
        <w:t>Bankruptcy Act</w:t>
      </w:r>
      <w:r w:rsidRPr="00992840">
        <w:rPr>
          <w:i/>
        </w:rPr>
        <w:t xml:space="preserve"> </w:t>
      </w:r>
      <w:r>
        <w:t>to:</w:t>
      </w:r>
    </w:p>
    <w:p w14:paraId="784E032B" w14:textId="778DE6B8" w:rsidR="0015529E" w:rsidRDefault="0015529E" w:rsidP="0015529E">
      <w:pPr>
        <w:pStyle w:val="ListParagraph"/>
        <w:numPr>
          <w:ilvl w:val="0"/>
          <w:numId w:val="9"/>
        </w:numPr>
      </w:pPr>
      <w:r w:rsidRPr="00992840">
        <w:t>reduce the default period of bankruptcy</w:t>
      </w:r>
      <w:r>
        <w:t xml:space="preserve"> from </w:t>
      </w:r>
      <w:r w:rsidR="00E30C1E">
        <w:t>3</w:t>
      </w:r>
      <w:r>
        <w:t xml:space="preserve"> years to one year</w:t>
      </w:r>
    </w:p>
    <w:p w14:paraId="63DC7557" w14:textId="77777777" w:rsidR="0015529E" w:rsidRDefault="0015529E" w:rsidP="0015529E">
      <w:pPr>
        <w:pStyle w:val="ListParagraph"/>
        <w:numPr>
          <w:ilvl w:val="0"/>
          <w:numId w:val="9"/>
        </w:numPr>
      </w:pPr>
      <w:r w:rsidRPr="00992840">
        <w:t>reduce other time periods associated with bankru</w:t>
      </w:r>
      <w:r>
        <w:t>ptcy to one year including for:</w:t>
      </w:r>
    </w:p>
    <w:p w14:paraId="1B8E7A07" w14:textId="77777777" w:rsidR="0015529E" w:rsidRDefault="0015529E" w:rsidP="0015529E">
      <w:pPr>
        <w:pStyle w:val="ListParagraph"/>
        <w:numPr>
          <w:ilvl w:val="0"/>
          <w:numId w:val="10"/>
        </w:numPr>
      </w:pPr>
      <w:r w:rsidRPr="00992840">
        <w:t xml:space="preserve">disclosing bankrupt </w:t>
      </w:r>
      <w:r>
        <w:t>status when applying for credit</w:t>
      </w:r>
    </w:p>
    <w:p w14:paraId="43EC15D7" w14:textId="77777777" w:rsidR="0015529E" w:rsidRDefault="0015529E" w:rsidP="0015529E">
      <w:pPr>
        <w:pStyle w:val="ListParagraph"/>
        <w:numPr>
          <w:ilvl w:val="0"/>
          <w:numId w:val="10"/>
        </w:numPr>
      </w:pPr>
      <w:r w:rsidRPr="00992840">
        <w:t>seeking perm</w:t>
      </w:r>
      <w:r>
        <w:t>ission for overseas travel, and</w:t>
      </w:r>
    </w:p>
    <w:p w14:paraId="530EB4E4" w14:textId="77777777" w:rsidR="0015529E" w:rsidRDefault="0015529E" w:rsidP="0015529E">
      <w:pPr>
        <w:pStyle w:val="ListParagraph"/>
        <w:numPr>
          <w:ilvl w:val="0"/>
          <w:numId w:val="10"/>
        </w:numPr>
      </w:pPr>
      <w:r w:rsidRPr="00992840">
        <w:t>the attainment of certain licences and enter</w:t>
      </w:r>
      <w:r>
        <w:t>ing into certain professions</w:t>
      </w:r>
    </w:p>
    <w:p w14:paraId="763E7C38" w14:textId="073654D4" w:rsidR="0015529E" w:rsidRDefault="0015529E" w:rsidP="0015529E">
      <w:pPr>
        <w:pStyle w:val="ListParagraph"/>
        <w:numPr>
          <w:ilvl w:val="0"/>
          <w:numId w:val="9"/>
        </w:numPr>
      </w:pPr>
      <w:r w:rsidRPr="00992840">
        <w:t xml:space="preserve">extend income contribution obligations for discharged bankrupts for a minimum period of </w:t>
      </w:r>
      <w:r w:rsidR="00E30C1E">
        <w:t>2</w:t>
      </w:r>
      <w:r w:rsidRPr="00992840">
        <w:t xml:space="preserve"> years following discharge or, in the event that a bankruptcy is extended due to non-compli</w:t>
      </w:r>
      <w:r>
        <w:t xml:space="preserve">ance, to </w:t>
      </w:r>
      <w:r w:rsidR="008817FC">
        <w:t>5</w:t>
      </w:r>
      <w:r>
        <w:t xml:space="preserve"> to </w:t>
      </w:r>
      <w:r w:rsidR="008817FC">
        <w:t>8</w:t>
      </w:r>
      <w:r>
        <w:t xml:space="preserve"> years.</w:t>
      </w:r>
    </w:p>
    <w:p w14:paraId="5630780A" w14:textId="11F805D8" w:rsidR="0015529E" w:rsidRDefault="0015529E" w:rsidP="0015529E">
      <w:r w:rsidRPr="00992840">
        <w:t>The Enterprise Incentives Bill lapsed when the 45th</w:t>
      </w:r>
      <w:r w:rsidR="0079421E">
        <w:t xml:space="preserve"> Parliament was prorogued on 11 April </w:t>
      </w:r>
      <w:r w:rsidRPr="00992840">
        <w:t>2019.</w:t>
      </w:r>
    </w:p>
    <w:p w14:paraId="0CEC83BC" w14:textId="1FB53930" w:rsidR="0015529E" w:rsidRDefault="008C0888" w:rsidP="0015529E">
      <w:pPr>
        <w:pStyle w:val="Heading3"/>
        <w:spacing w:beforeLines="100" w:before="240"/>
      </w:pPr>
      <w:r>
        <w:t>Enhance</w:t>
      </w:r>
      <w:r w:rsidR="0015529E">
        <w:t xml:space="preserve"> the Enterprise Incentives Bill</w:t>
      </w:r>
    </w:p>
    <w:p w14:paraId="724B8539" w14:textId="77777777" w:rsidR="0015529E" w:rsidRDefault="0015529E" w:rsidP="0015529E">
      <w:r>
        <w:t>Stakeholder views on the merits of the Enterprise Incentives Bill remain largely unchanged notwithstanding the economic impacts of the COVID</w:t>
      </w:r>
      <w:r>
        <w:noBreakHyphen/>
        <w:t>19 pandemic. While many stakeholders support the Enterprise Incentives Bill, some are concerned that a</w:t>
      </w:r>
      <w:r w:rsidRPr="007046AE">
        <w:t xml:space="preserve"> default period of one year </w:t>
      </w:r>
      <w:r>
        <w:t>will</w:t>
      </w:r>
      <w:r w:rsidRPr="007046AE">
        <w:t xml:space="preserve"> be abused by rogue, reckless and </w:t>
      </w:r>
      <w:r>
        <w:t>repeat bankrupts.</w:t>
      </w:r>
    </w:p>
    <w:p w14:paraId="5642C7D4" w14:textId="446803C1" w:rsidR="0015529E" w:rsidRDefault="0015529E" w:rsidP="0015529E">
      <w:r w:rsidRPr="00CD3D41">
        <w:t xml:space="preserve">It is the </w:t>
      </w:r>
      <w:r w:rsidR="00857C5F">
        <w:t>government</w:t>
      </w:r>
      <w:r w:rsidRPr="00CD3D41">
        <w:t>’s view</w:t>
      </w:r>
      <w:r>
        <w:t xml:space="preserve"> that the Enterprise Incentives Bill remains fit for purpose subject to modifications to resolve these stakeholder concerns. Accordingly, the </w:t>
      </w:r>
      <w:r w:rsidR="00112C29">
        <w:t>g</w:t>
      </w:r>
      <w:r w:rsidR="00857C5F">
        <w:t>overnment</w:t>
      </w:r>
      <w:r>
        <w:t xml:space="preserve"> is considering amending the Enterprise Incentives Bill to:</w:t>
      </w:r>
    </w:p>
    <w:p w14:paraId="5AF8EE0D" w14:textId="5FFD681C" w:rsidR="0015529E" w:rsidRDefault="0015529E" w:rsidP="0015529E">
      <w:pPr>
        <w:pStyle w:val="ListParagraph"/>
        <w:numPr>
          <w:ilvl w:val="0"/>
          <w:numId w:val="7"/>
        </w:numPr>
      </w:pPr>
      <w:r>
        <w:t xml:space="preserve">exclude eligibility for </w:t>
      </w:r>
      <w:r w:rsidR="00634DF9">
        <w:t>one-year</w:t>
      </w:r>
      <w:r>
        <w:t xml:space="preserve"> bankruptcy in certain circumstances</w:t>
      </w:r>
    </w:p>
    <w:p w14:paraId="1AD140FE" w14:textId="77777777" w:rsidR="0015529E" w:rsidRPr="007046AE" w:rsidRDefault="0015529E" w:rsidP="0015529E">
      <w:pPr>
        <w:pStyle w:val="ListParagraph"/>
        <w:numPr>
          <w:ilvl w:val="0"/>
          <w:numId w:val="7"/>
        </w:numPr>
      </w:pPr>
      <w:r>
        <w:t>strengthen objections to discharge provisions, and</w:t>
      </w:r>
    </w:p>
    <w:p w14:paraId="68B702B3" w14:textId="77777777" w:rsidR="0015529E" w:rsidRDefault="0015529E" w:rsidP="0015529E">
      <w:pPr>
        <w:pStyle w:val="ListParagraph"/>
        <w:numPr>
          <w:ilvl w:val="0"/>
          <w:numId w:val="7"/>
        </w:numPr>
      </w:pPr>
      <w:r>
        <w:t>strengthen offence provisions.</w:t>
      </w:r>
    </w:p>
    <w:p w14:paraId="040B1D92" w14:textId="043283DA" w:rsidR="0015529E" w:rsidRDefault="008C0888" w:rsidP="008A0657">
      <w:pPr>
        <w:pStyle w:val="Heading3"/>
        <w:spacing w:beforeLines="100" w:before="240"/>
      </w:pPr>
      <w:r>
        <w:t>Exclude</w:t>
      </w:r>
      <w:r w:rsidR="0015529E" w:rsidRPr="0015529E">
        <w:t xml:space="preserve"> eligibility for </w:t>
      </w:r>
      <w:r w:rsidR="00634DF9">
        <w:t>one-year</w:t>
      </w:r>
      <w:r w:rsidR="0015529E" w:rsidRPr="0015529E">
        <w:t xml:space="preserve"> bankruptcy in certain circumstances</w:t>
      </w:r>
    </w:p>
    <w:p w14:paraId="6640EFA2" w14:textId="096B9F5E" w:rsidR="008A0657" w:rsidRDefault="008A0657" w:rsidP="008A0657">
      <w:r>
        <w:t xml:space="preserve">The </w:t>
      </w:r>
      <w:r w:rsidR="00857C5F">
        <w:t>government</w:t>
      </w:r>
      <w:r>
        <w:t xml:space="preserve"> is considering excluding bankrupts from </w:t>
      </w:r>
      <w:r w:rsidR="00634DF9">
        <w:t>one-year</w:t>
      </w:r>
      <w:r>
        <w:t xml:space="preserve"> bankruptcy who, in the previous</w:t>
      </w:r>
      <w:r w:rsidR="007C3195">
        <w:t xml:space="preserve"> 10 </w:t>
      </w:r>
      <w:r>
        <w:t>years, have:</w:t>
      </w:r>
    </w:p>
    <w:p w14:paraId="6435F82F" w14:textId="77777777" w:rsidR="008A0657" w:rsidRDefault="008A0657" w:rsidP="008A0657">
      <w:pPr>
        <w:pStyle w:val="ListParagraph"/>
        <w:numPr>
          <w:ilvl w:val="0"/>
          <w:numId w:val="7"/>
        </w:numPr>
      </w:pPr>
      <w:r>
        <w:t>been bankrupt</w:t>
      </w:r>
    </w:p>
    <w:p w14:paraId="057F1738" w14:textId="77777777" w:rsidR="008A0657" w:rsidRDefault="008A0657" w:rsidP="008A0657">
      <w:pPr>
        <w:pStyle w:val="ListParagraph"/>
        <w:numPr>
          <w:ilvl w:val="0"/>
          <w:numId w:val="7"/>
        </w:numPr>
      </w:pPr>
      <w:r>
        <w:t>been banned as a director</w:t>
      </w:r>
    </w:p>
    <w:p w14:paraId="77AA6148" w14:textId="77777777" w:rsidR="008A0657" w:rsidRDefault="008A0657" w:rsidP="008A0657">
      <w:pPr>
        <w:pStyle w:val="ListParagraph"/>
        <w:numPr>
          <w:ilvl w:val="0"/>
          <w:numId w:val="7"/>
        </w:numPr>
      </w:pPr>
      <w:r>
        <w:t>had a bankruptcy extended through an objection to discharge, or</w:t>
      </w:r>
    </w:p>
    <w:p w14:paraId="5E631239" w14:textId="77777777" w:rsidR="008A0657" w:rsidRPr="00331F93" w:rsidRDefault="008A0657" w:rsidP="008A0657">
      <w:pPr>
        <w:pStyle w:val="ListParagraph"/>
        <w:numPr>
          <w:ilvl w:val="0"/>
          <w:numId w:val="7"/>
        </w:numPr>
      </w:pPr>
      <w:r>
        <w:t>have been convicted of certain offences.</w:t>
      </w:r>
    </w:p>
    <w:p w14:paraId="19BEF358" w14:textId="30883121" w:rsidR="008A0657" w:rsidRDefault="008A0657" w:rsidP="008A0657">
      <w:pPr>
        <w:pStyle w:val="Heading4"/>
        <w:spacing w:beforeLines="100" w:before="240"/>
      </w:pPr>
      <w:r>
        <w:t>Bankruptcy in the preceding</w:t>
      </w:r>
      <w:r w:rsidR="007C3195">
        <w:t xml:space="preserve"> 10</w:t>
      </w:r>
      <w:r>
        <w:t xml:space="preserve"> years</w:t>
      </w:r>
    </w:p>
    <w:p w14:paraId="4D8A3A41" w14:textId="72BBFA8F" w:rsidR="008A0657" w:rsidRDefault="008A0657" w:rsidP="008A0657">
      <w:pPr>
        <w:rPr>
          <w:lang w:val="en-GB"/>
        </w:rPr>
      </w:pPr>
      <w:r>
        <w:rPr>
          <w:lang w:val="en-GB"/>
        </w:rPr>
        <w:t xml:space="preserve">This exclusion will increase the length of bankruptcy from one year to </w:t>
      </w:r>
      <w:r w:rsidR="00E30C1E">
        <w:rPr>
          <w:lang w:val="en-GB"/>
        </w:rPr>
        <w:t>2</w:t>
      </w:r>
      <w:r>
        <w:rPr>
          <w:lang w:val="en-GB"/>
        </w:rPr>
        <w:t xml:space="preserve"> or </w:t>
      </w:r>
      <w:r w:rsidR="00E30C1E">
        <w:rPr>
          <w:lang w:val="en-GB"/>
        </w:rPr>
        <w:t>3</w:t>
      </w:r>
      <w:r>
        <w:rPr>
          <w:lang w:val="en-GB"/>
        </w:rPr>
        <w:t xml:space="preserve"> years depending on whether a bankrupt person has been </w:t>
      </w:r>
      <w:proofErr w:type="gramStart"/>
      <w:r>
        <w:rPr>
          <w:lang w:val="en-GB"/>
        </w:rPr>
        <w:t>bankrupt</w:t>
      </w:r>
      <w:proofErr w:type="gramEnd"/>
      <w:r>
        <w:rPr>
          <w:lang w:val="en-GB"/>
        </w:rPr>
        <w:t xml:space="preserve"> in the previous</w:t>
      </w:r>
      <w:r w:rsidR="007C3195">
        <w:rPr>
          <w:lang w:val="en-GB"/>
        </w:rPr>
        <w:t xml:space="preserve"> 10</w:t>
      </w:r>
      <w:r>
        <w:rPr>
          <w:lang w:val="en-GB"/>
        </w:rPr>
        <w:t xml:space="preserve"> years.</w:t>
      </w:r>
    </w:p>
    <w:p w14:paraId="10A22330" w14:textId="77777777" w:rsidR="000629ED" w:rsidRDefault="008A0657" w:rsidP="008A0657">
      <w:pPr>
        <w:rPr>
          <w:lang w:val="en-GB"/>
        </w:rPr>
      </w:pPr>
      <w:r w:rsidRPr="009A5BFB">
        <w:rPr>
          <w:lang w:val="en-GB"/>
        </w:rPr>
        <w:t xml:space="preserve">The </w:t>
      </w:r>
      <w:r>
        <w:rPr>
          <w:lang w:val="en-GB"/>
        </w:rPr>
        <w:t>exclusion</w:t>
      </w:r>
      <w:r w:rsidRPr="009A5BFB">
        <w:rPr>
          <w:lang w:val="en-GB"/>
        </w:rPr>
        <w:t xml:space="preserve"> will mean that if a person has been </w:t>
      </w:r>
      <w:r>
        <w:rPr>
          <w:lang w:val="en-GB"/>
        </w:rPr>
        <w:t xml:space="preserve">discharged from a </w:t>
      </w:r>
      <w:r w:rsidR="00634DF9">
        <w:rPr>
          <w:lang w:val="en-GB"/>
        </w:rPr>
        <w:t>one-year</w:t>
      </w:r>
      <w:r>
        <w:rPr>
          <w:lang w:val="en-GB"/>
        </w:rPr>
        <w:t xml:space="preserve"> bankruptcy</w:t>
      </w:r>
      <w:r w:rsidRPr="009A5BFB">
        <w:rPr>
          <w:lang w:val="en-GB"/>
        </w:rPr>
        <w:t xml:space="preserve"> and subsequently becomes bankrupt within</w:t>
      </w:r>
      <w:r w:rsidR="007C3195">
        <w:rPr>
          <w:lang w:val="en-GB"/>
        </w:rPr>
        <w:t xml:space="preserve"> 10 </w:t>
      </w:r>
      <w:r w:rsidRPr="009A5BFB">
        <w:rPr>
          <w:lang w:val="en-GB"/>
        </w:rPr>
        <w:t xml:space="preserve">years, the length of </w:t>
      </w:r>
      <w:r>
        <w:rPr>
          <w:lang w:val="en-GB"/>
        </w:rPr>
        <w:t xml:space="preserve">the second </w:t>
      </w:r>
      <w:r w:rsidRPr="009A5BFB">
        <w:rPr>
          <w:lang w:val="en-GB"/>
        </w:rPr>
        <w:t xml:space="preserve">bankruptcy will be </w:t>
      </w:r>
      <w:r w:rsidR="00E30C1E">
        <w:rPr>
          <w:lang w:val="en-GB"/>
        </w:rPr>
        <w:t>2</w:t>
      </w:r>
      <w:r w:rsidRPr="009A5BFB">
        <w:rPr>
          <w:lang w:val="en-GB"/>
        </w:rPr>
        <w:t xml:space="preserve"> years. If this </w:t>
      </w:r>
      <w:r>
        <w:rPr>
          <w:lang w:val="en-GB"/>
        </w:rPr>
        <w:t xml:space="preserve">person </w:t>
      </w:r>
      <w:r w:rsidRPr="009A5BFB">
        <w:rPr>
          <w:lang w:val="en-GB"/>
        </w:rPr>
        <w:t>becomes bankrupt</w:t>
      </w:r>
      <w:r>
        <w:rPr>
          <w:lang w:val="en-GB"/>
        </w:rPr>
        <w:t xml:space="preserve"> again</w:t>
      </w:r>
      <w:r w:rsidRPr="009A5BFB">
        <w:rPr>
          <w:lang w:val="en-GB"/>
        </w:rPr>
        <w:t xml:space="preserve"> within</w:t>
      </w:r>
      <w:r w:rsidR="007C3195">
        <w:rPr>
          <w:lang w:val="en-GB"/>
        </w:rPr>
        <w:t xml:space="preserve"> 10 </w:t>
      </w:r>
      <w:r w:rsidRPr="009A5BFB">
        <w:rPr>
          <w:lang w:val="en-GB"/>
        </w:rPr>
        <w:t>years of the seco</w:t>
      </w:r>
      <w:r>
        <w:rPr>
          <w:lang w:val="en-GB"/>
        </w:rPr>
        <w:t>nd bankruptcy, the</w:t>
      </w:r>
      <w:r w:rsidRPr="009A5BFB">
        <w:rPr>
          <w:lang w:val="en-GB"/>
        </w:rPr>
        <w:t xml:space="preserve"> length of bankruptcy </w:t>
      </w:r>
      <w:r>
        <w:rPr>
          <w:lang w:val="en-GB"/>
        </w:rPr>
        <w:t>will be</w:t>
      </w:r>
      <w:r w:rsidRPr="009A5BFB">
        <w:rPr>
          <w:lang w:val="en-GB"/>
        </w:rPr>
        <w:t xml:space="preserve"> </w:t>
      </w:r>
      <w:r w:rsidR="00E30C1E">
        <w:rPr>
          <w:lang w:val="en-GB"/>
        </w:rPr>
        <w:t>3</w:t>
      </w:r>
      <w:r w:rsidRPr="009A5BFB">
        <w:rPr>
          <w:lang w:val="en-GB"/>
        </w:rPr>
        <w:t xml:space="preserve"> years.</w:t>
      </w:r>
      <w:r>
        <w:rPr>
          <w:lang w:val="en-GB"/>
        </w:rPr>
        <w:t xml:space="preserve"> </w:t>
      </w:r>
    </w:p>
    <w:p w14:paraId="4AE9ADCC" w14:textId="704B37A2" w:rsidR="008A0657" w:rsidRDefault="008A0657" w:rsidP="008A0657">
      <w:pPr>
        <w:rPr>
          <w:lang w:val="en-GB"/>
        </w:rPr>
      </w:pPr>
      <w:r>
        <w:rPr>
          <w:lang w:val="en-GB"/>
        </w:rPr>
        <w:lastRenderedPageBreak/>
        <w:t xml:space="preserve">The length of bankruptcy will not increase beyond </w:t>
      </w:r>
      <w:r w:rsidR="00E30C1E">
        <w:rPr>
          <w:lang w:val="en-GB"/>
        </w:rPr>
        <w:t>3</w:t>
      </w:r>
      <w:r>
        <w:rPr>
          <w:lang w:val="en-GB"/>
        </w:rPr>
        <w:t xml:space="preserve"> years (the current default length) and will ‘reset’ to a length of one year if a person has not been </w:t>
      </w:r>
      <w:proofErr w:type="gramStart"/>
      <w:r>
        <w:rPr>
          <w:lang w:val="en-GB"/>
        </w:rPr>
        <w:t>bankrupt</w:t>
      </w:r>
      <w:proofErr w:type="gramEnd"/>
      <w:r>
        <w:rPr>
          <w:lang w:val="en-GB"/>
        </w:rPr>
        <w:t xml:space="preserve"> for</w:t>
      </w:r>
      <w:r w:rsidR="007C3195">
        <w:rPr>
          <w:lang w:val="en-GB"/>
        </w:rPr>
        <w:t xml:space="preserve"> 10 </w:t>
      </w:r>
      <w:r>
        <w:rPr>
          <w:lang w:val="en-GB"/>
        </w:rPr>
        <w:t>years.</w:t>
      </w:r>
    </w:p>
    <w:p w14:paraId="3DBD0562" w14:textId="77777777" w:rsidR="00F37CE5" w:rsidRDefault="008A0657" w:rsidP="008A0657">
      <w:pPr>
        <w:rPr>
          <w:lang w:val="en-GB"/>
        </w:rPr>
      </w:pPr>
      <w:r>
        <w:rPr>
          <w:lang w:val="en-GB"/>
        </w:rPr>
        <w:t>This exclusion aims to address the impact bankruptcy has on creditors while decreasing the stigma associated with bankruptcy and recognising that multiple bankruptcies can occur due to circumstances beyond the control of the bankrupt.</w:t>
      </w:r>
      <w:r w:rsidR="00DA5634">
        <w:rPr>
          <w:lang w:val="en-GB"/>
        </w:rPr>
        <w:t xml:space="preserve"> </w:t>
      </w:r>
    </w:p>
    <w:p w14:paraId="01BD5151" w14:textId="1951457B" w:rsidR="008A0657" w:rsidRPr="00AE3881" w:rsidRDefault="00F37CE5" w:rsidP="008A0657">
      <w:pPr>
        <w:rPr>
          <w:lang w:val="en-GB"/>
        </w:rPr>
      </w:pPr>
      <w:bookmarkStart w:id="1" w:name="_Hlk94012015"/>
      <w:r w:rsidRPr="00AE3881">
        <w:rPr>
          <w:lang w:val="en-GB"/>
        </w:rPr>
        <w:t xml:space="preserve">A person discharged from a bankruptcy before </w:t>
      </w:r>
      <w:r w:rsidRPr="00AE3881">
        <w:t xml:space="preserve">the Enterprise Incentives Bill </w:t>
      </w:r>
      <w:r w:rsidRPr="00AE3881">
        <w:rPr>
          <w:lang w:val="en-GB"/>
        </w:rPr>
        <w:t xml:space="preserve">commenced would be eligible for </w:t>
      </w:r>
      <w:r w:rsidR="00634DF9">
        <w:rPr>
          <w:lang w:val="en-GB"/>
        </w:rPr>
        <w:t>one-year</w:t>
      </w:r>
      <w:r w:rsidRPr="00AE3881">
        <w:rPr>
          <w:lang w:val="en-GB"/>
        </w:rPr>
        <w:t xml:space="preserve"> bankruptcy if they become bankrupt after the Bill commences</w:t>
      </w:r>
      <w:r w:rsidR="00AE3881" w:rsidRPr="00AE3881">
        <w:rPr>
          <w:lang w:val="en-GB"/>
        </w:rPr>
        <w:t>,</w:t>
      </w:r>
      <w:r w:rsidRPr="00AE3881">
        <w:rPr>
          <w:lang w:val="en-GB"/>
        </w:rPr>
        <w:t xml:space="preserve"> even if this occurs within</w:t>
      </w:r>
      <w:r w:rsidR="007C3195">
        <w:rPr>
          <w:lang w:val="en-GB"/>
        </w:rPr>
        <w:t xml:space="preserve"> 10 </w:t>
      </w:r>
      <w:r w:rsidRPr="00AE3881">
        <w:rPr>
          <w:lang w:val="en-GB"/>
        </w:rPr>
        <w:t xml:space="preserve">years of that preceding bankruptcy. The intent of this transitional provision would be to provide a ‘fresh start’ on commencement so that individuals are eligible for </w:t>
      </w:r>
      <w:r w:rsidR="00634DF9">
        <w:rPr>
          <w:lang w:val="en-GB"/>
        </w:rPr>
        <w:t>one-year</w:t>
      </w:r>
      <w:r w:rsidRPr="00AE3881">
        <w:rPr>
          <w:lang w:val="en-GB"/>
        </w:rPr>
        <w:t xml:space="preserve"> bankruptcy even if they have been</w:t>
      </w:r>
      <w:r w:rsidR="004A1A0A" w:rsidRPr="00AE3881">
        <w:rPr>
          <w:lang w:val="en-GB"/>
        </w:rPr>
        <w:t xml:space="preserve"> previously</w:t>
      </w:r>
      <w:r w:rsidRPr="00AE3881">
        <w:rPr>
          <w:lang w:val="en-GB"/>
        </w:rPr>
        <w:t xml:space="preserve"> bankrupt before commencement.</w:t>
      </w:r>
    </w:p>
    <w:bookmarkEnd w:id="1"/>
    <w:p w14:paraId="7C2FC2DF" w14:textId="14F2E43A" w:rsidR="006811A0" w:rsidRPr="00944528" w:rsidRDefault="006811A0" w:rsidP="00974BAA">
      <w:pPr>
        <w:keepLines/>
        <w:rPr>
          <w:b/>
          <w:lang w:val="en-GB"/>
        </w:rPr>
      </w:pPr>
      <w:r w:rsidRPr="00AE3881">
        <w:rPr>
          <w:b/>
          <w:lang w:val="en-GB"/>
        </w:rPr>
        <w:t xml:space="preserve">Question – if the default period for bankruptcy is reduced to one year and this proposed exclusion applies, the government seeks stakeholder views on whether a repeat bankrupt that meets certain eligibility criteria </w:t>
      </w:r>
      <w:r w:rsidR="00900E79" w:rsidRPr="00AE3881">
        <w:rPr>
          <w:b/>
          <w:lang w:val="en-GB"/>
        </w:rPr>
        <w:t>(e.g. has satisfied all their tax obligations, has not engaged in voidable transactions, has been cooperative through</w:t>
      </w:r>
      <w:r w:rsidR="00952AB9" w:rsidRPr="00AE3881">
        <w:rPr>
          <w:b/>
          <w:lang w:val="en-GB"/>
        </w:rPr>
        <w:t>out</w:t>
      </w:r>
      <w:r w:rsidR="00900E79" w:rsidRPr="00AE3881">
        <w:rPr>
          <w:b/>
          <w:lang w:val="en-GB"/>
        </w:rPr>
        <w:t xml:space="preserve"> the bankruptcy process etc</w:t>
      </w:r>
      <w:r w:rsidR="008825C8">
        <w:rPr>
          <w:b/>
          <w:lang w:val="en-GB"/>
        </w:rPr>
        <w:t>.</w:t>
      </w:r>
      <w:r w:rsidR="00900E79" w:rsidRPr="00AE3881">
        <w:rPr>
          <w:b/>
          <w:lang w:val="en-GB"/>
        </w:rPr>
        <w:t xml:space="preserve">) </w:t>
      </w:r>
      <w:r w:rsidR="00DA5634" w:rsidRPr="00AE3881">
        <w:rPr>
          <w:b/>
          <w:lang w:val="en-GB"/>
        </w:rPr>
        <w:t>should be able to</w:t>
      </w:r>
      <w:r w:rsidRPr="00AE3881">
        <w:rPr>
          <w:b/>
          <w:lang w:val="en-GB"/>
        </w:rPr>
        <w:t xml:space="preserve"> apply for early discharge from a </w:t>
      </w:r>
      <w:r w:rsidR="00E30C1E">
        <w:rPr>
          <w:b/>
          <w:lang w:val="en-GB"/>
        </w:rPr>
        <w:t>2</w:t>
      </w:r>
      <w:r w:rsidR="00974BAA">
        <w:rPr>
          <w:b/>
          <w:lang w:val="en-GB"/>
        </w:rPr>
        <w:noBreakHyphen/>
      </w:r>
      <w:r w:rsidR="00C13DC8">
        <w:rPr>
          <w:b/>
          <w:lang w:val="en-GB"/>
        </w:rPr>
        <w:t>year</w:t>
      </w:r>
      <w:r w:rsidRPr="00AE3881">
        <w:rPr>
          <w:b/>
          <w:lang w:val="en-GB"/>
        </w:rPr>
        <w:t xml:space="preserve"> or </w:t>
      </w:r>
      <w:r w:rsidR="00E30C1E">
        <w:rPr>
          <w:b/>
          <w:lang w:val="en-GB"/>
        </w:rPr>
        <w:t>3</w:t>
      </w:r>
      <w:r w:rsidR="006B46B4">
        <w:rPr>
          <w:b/>
          <w:lang w:val="en-GB"/>
        </w:rPr>
        <w:t>-</w:t>
      </w:r>
      <w:r w:rsidRPr="00AE3881">
        <w:rPr>
          <w:b/>
          <w:lang w:val="en-GB"/>
        </w:rPr>
        <w:t>year bankruptcy</w:t>
      </w:r>
      <w:r w:rsidR="00900E79" w:rsidRPr="00AE3881">
        <w:rPr>
          <w:b/>
          <w:lang w:val="en-GB"/>
        </w:rPr>
        <w:t xml:space="preserve"> after the first year</w:t>
      </w:r>
      <w:r w:rsidRPr="00AE3881">
        <w:rPr>
          <w:b/>
          <w:lang w:val="en-GB"/>
        </w:rPr>
        <w:t>.</w:t>
      </w:r>
    </w:p>
    <w:p w14:paraId="4A9B722A" w14:textId="77777777" w:rsidR="008A0657" w:rsidRPr="00331F93" w:rsidRDefault="008A0657" w:rsidP="008A0657">
      <w:pPr>
        <w:pStyle w:val="Heading4"/>
        <w:spacing w:beforeLines="100" w:before="240"/>
      </w:pPr>
      <w:r>
        <w:t>Banned as a director</w:t>
      </w:r>
    </w:p>
    <w:p w14:paraId="4AFA32C4" w14:textId="0C408DE0" w:rsidR="008A0657" w:rsidRDefault="008A0657" w:rsidP="008A0657">
      <w:pPr>
        <w:rPr>
          <w:lang w:val="en-GB"/>
        </w:rPr>
      </w:pPr>
      <w:r>
        <w:rPr>
          <w:lang w:val="en-GB"/>
        </w:rPr>
        <w:t>This exclusion will ensure</w:t>
      </w:r>
      <w:r w:rsidRPr="001954E5">
        <w:rPr>
          <w:lang w:val="en-GB"/>
        </w:rPr>
        <w:t xml:space="preserve"> that a bankrupt who has been banned as a Director of a company under the </w:t>
      </w:r>
      <w:r w:rsidRPr="009B2707">
        <w:rPr>
          <w:i/>
          <w:lang w:val="en-GB"/>
        </w:rPr>
        <w:t>Corporation Act 2001</w:t>
      </w:r>
      <w:r w:rsidRPr="001954E5">
        <w:rPr>
          <w:lang w:val="en-GB"/>
        </w:rPr>
        <w:t xml:space="preserve"> </w:t>
      </w:r>
      <w:r>
        <w:rPr>
          <w:lang w:val="en-GB"/>
        </w:rPr>
        <w:t>in the preceding</w:t>
      </w:r>
      <w:r w:rsidR="007C3195">
        <w:rPr>
          <w:lang w:val="en-GB"/>
        </w:rPr>
        <w:t xml:space="preserve"> 10 </w:t>
      </w:r>
      <w:r w:rsidRPr="001954E5">
        <w:rPr>
          <w:lang w:val="en-GB"/>
        </w:rPr>
        <w:t xml:space="preserve">years will have a bankruptcy length of </w:t>
      </w:r>
      <w:r w:rsidR="00E30C1E">
        <w:rPr>
          <w:lang w:val="en-GB"/>
        </w:rPr>
        <w:t>3</w:t>
      </w:r>
      <w:r w:rsidRPr="001954E5">
        <w:rPr>
          <w:lang w:val="en-GB"/>
        </w:rPr>
        <w:t xml:space="preserve"> years.</w:t>
      </w:r>
    </w:p>
    <w:p w14:paraId="7B7A66C9" w14:textId="0CD0266B" w:rsidR="008A0657" w:rsidRDefault="008A0657" w:rsidP="008A0657">
      <w:pPr>
        <w:rPr>
          <w:lang w:val="en-GB"/>
        </w:rPr>
      </w:pPr>
      <w:r w:rsidRPr="00162A85">
        <w:rPr>
          <w:lang w:val="en-GB"/>
        </w:rPr>
        <w:t xml:space="preserve">This will respond to concerns about the abuse of a </w:t>
      </w:r>
      <w:r w:rsidR="00634DF9">
        <w:rPr>
          <w:lang w:val="en-GB"/>
        </w:rPr>
        <w:t>one-year</w:t>
      </w:r>
      <w:r w:rsidRPr="00162A85">
        <w:rPr>
          <w:lang w:val="en-GB"/>
        </w:rPr>
        <w:t xml:space="preserve"> bankruptcy by rogue and reckless bankrupts</w:t>
      </w:r>
      <w:r>
        <w:rPr>
          <w:lang w:val="en-GB"/>
        </w:rPr>
        <w:t xml:space="preserve">, as being banned as a director is an indicator of </w:t>
      </w:r>
      <w:r w:rsidRPr="00162A85">
        <w:rPr>
          <w:lang w:val="en-GB"/>
        </w:rPr>
        <w:t xml:space="preserve">this type of </w:t>
      </w:r>
      <w:r>
        <w:rPr>
          <w:lang w:val="en-GB"/>
        </w:rPr>
        <w:t>conduct</w:t>
      </w:r>
      <w:r w:rsidRPr="00162A85">
        <w:rPr>
          <w:lang w:val="en-GB"/>
        </w:rPr>
        <w:t>.</w:t>
      </w:r>
    </w:p>
    <w:p w14:paraId="21C62834" w14:textId="53A51CD0" w:rsidR="008A0657" w:rsidRDefault="008A0657" w:rsidP="008A0657">
      <w:pPr>
        <w:rPr>
          <w:lang w:val="en-GB"/>
        </w:rPr>
      </w:pPr>
      <w:r>
        <w:rPr>
          <w:lang w:val="en-GB"/>
        </w:rPr>
        <w:t>The exclusion won’t</w:t>
      </w:r>
      <w:r w:rsidRPr="00EF0722">
        <w:rPr>
          <w:lang w:val="en-GB"/>
        </w:rPr>
        <w:t xml:space="preserve"> </w:t>
      </w:r>
      <w:r>
        <w:rPr>
          <w:lang w:val="en-GB"/>
        </w:rPr>
        <w:t>apply to</w:t>
      </w:r>
      <w:r w:rsidRPr="00EF0722">
        <w:rPr>
          <w:lang w:val="en-GB"/>
        </w:rPr>
        <w:t xml:space="preserve"> directors</w:t>
      </w:r>
      <w:r>
        <w:rPr>
          <w:lang w:val="en-GB"/>
        </w:rPr>
        <w:t xml:space="preserve"> who are banned as a director because they become</w:t>
      </w:r>
      <w:r w:rsidRPr="00EF0722">
        <w:rPr>
          <w:lang w:val="en-GB"/>
        </w:rPr>
        <w:t xml:space="preserve"> </w:t>
      </w:r>
      <w:r>
        <w:rPr>
          <w:lang w:val="en-GB"/>
        </w:rPr>
        <w:t xml:space="preserve">bankrupt. This means they can have a bankruptcy of one, </w:t>
      </w:r>
      <w:r w:rsidR="00E30C1E">
        <w:rPr>
          <w:lang w:val="en-GB"/>
        </w:rPr>
        <w:t>2</w:t>
      </w:r>
      <w:r>
        <w:rPr>
          <w:lang w:val="en-GB"/>
        </w:rPr>
        <w:t xml:space="preserve"> or </w:t>
      </w:r>
      <w:r w:rsidR="00E30C1E">
        <w:rPr>
          <w:lang w:val="en-GB"/>
        </w:rPr>
        <w:t>3</w:t>
      </w:r>
      <w:r>
        <w:rPr>
          <w:lang w:val="en-GB"/>
        </w:rPr>
        <w:t xml:space="preserve"> years depending on whether they have been </w:t>
      </w:r>
      <w:proofErr w:type="gramStart"/>
      <w:r>
        <w:rPr>
          <w:lang w:val="en-GB"/>
        </w:rPr>
        <w:t>bankrupt</w:t>
      </w:r>
      <w:proofErr w:type="gramEnd"/>
      <w:r>
        <w:rPr>
          <w:lang w:val="en-GB"/>
        </w:rPr>
        <w:t xml:space="preserve"> in the previous</w:t>
      </w:r>
      <w:r w:rsidR="007C3195">
        <w:rPr>
          <w:lang w:val="en-GB"/>
        </w:rPr>
        <w:t xml:space="preserve"> 10 </w:t>
      </w:r>
      <w:r>
        <w:rPr>
          <w:lang w:val="en-GB"/>
        </w:rPr>
        <w:t>years (see above).</w:t>
      </w:r>
    </w:p>
    <w:p w14:paraId="5B0C3EF8" w14:textId="5EDD99C8" w:rsidR="00F37CE5" w:rsidRDefault="00F37CE5" w:rsidP="008A0657">
      <w:pPr>
        <w:rPr>
          <w:lang w:val="en-GB"/>
        </w:rPr>
      </w:pPr>
      <w:bookmarkStart w:id="2" w:name="_Hlk94012049"/>
      <w:r w:rsidRPr="00AE3881">
        <w:rPr>
          <w:lang w:val="en-GB"/>
        </w:rPr>
        <w:t xml:space="preserve">This exclusion from a shorter period of bankruptcy would apply regardless of whether the director ban occurred before the commencement of the Bill. The intention is that the seriousness of </w:t>
      </w:r>
      <w:r w:rsidR="004A1A0A" w:rsidRPr="00AE3881">
        <w:rPr>
          <w:lang w:val="en-GB"/>
        </w:rPr>
        <w:t xml:space="preserve">a </w:t>
      </w:r>
      <w:r w:rsidRPr="00AE3881">
        <w:rPr>
          <w:lang w:val="en-GB"/>
        </w:rPr>
        <w:t>director ban warrants that individuals subject to</w:t>
      </w:r>
      <w:r w:rsidR="00F20E9F" w:rsidRPr="00AE3881">
        <w:rPr>
          <w:lang w:val="en-GB"/>
        </w:rPr>
        <w:t xml:space="preserve"> the director</w:t>
      </w:r>
      <w:r w:rsidRPr="00AE3881">
        <w:rPr>
          <w:lang w:val="en-GB"/>
        </w:rPr>
        <w:t xml:space="preserve"> ban should not be eligible for the ‘fresh start’ approach that the commencement of the Bill would otherwise provide</w:t>
      </w:r>
      <w:r w:rsidR="004A1A0A" w:rsidRPr="00AE3881">
        <w:rPr>
          <w:lang w:val="en-GB"/>
        </w:rPr>
        <w:t xml:space="preserve"> to</w:t>
      </w:r>
      <w:r w:rsidR="00602EDC" w:rsidRPr="00AE3881">
        <w:rPr>
          <w:lang w:val="en-GB"/>
        </w:rPr>
        <w:t xml:space="preserve"> </w:t>
      </w:r>
      <w:r w:rsidR="004A1A0A" w:rsidRPr="00AE3881">
        <w:rPr>
          <w:lang w:val="en-GB"/>
        </w:rPr>
        <w:t>bankrupts</w:t>
      </w:r>
      <w:r w:rsidRPr="00AE3881">
        <w:rPr>
          <w:lang w:val="en-GB"/>
        </w:rPr>
        <w:t>.</w:t>
      </w:r>
    </w:p>
    <w:bookmarkEnd w:id="2"/>
    <w:p w14:paraId="6E042C0A" w14:textId="77777777" w:rsidR="008A0657" w:rsidRPr="008A0657" w:rsidRDefault="008A0657" w:rsidP="008A0657">
      <w:pPr>
        <w:pStyle w:val="Heading4"/>
        <w:spacing w:beforeLines="100" w:before="240"/>
        <w:rPr>
          <w:lang w:val="en-GB"/>
        </w:rPr>
      </w:pPr>
      <w:r w:rsidRPr="008A0657">
        <w:rPr>
          <w:lang w:val="en-GB"/>
        </w:rPr>
        <w:t xml:space="preserve">Objection </w:t>
      </w:r>
      <w:r w:rsidRPr="008A0657">
        <w:t>to</w:t>
      </w:r>
      <w:r w:rsidRPr="008A0657">
        <w:rPr>
          <w:lang w:val="en-GB"/>
        </w:rPr>
        <w:t xml:space="preserve"> discharge</w:t>
      </w:r>
    </w:p>
    <w:p w14:paraId="5908BCCE" w14:textId="7BD8EF0C" w:rsidR="008A0657" w:rsidRPr="00CC7C97" w:rsidRDefault="008A0657" w:rsidP="008A0657">
      <w:pPr>
        <w:rPr>
          <w:lang w:val="en-GB"/>
        </w:rPr>
      </w:pPr>
      <w:r>
        <w:rPr>
          <w:lang w:val="en-GB"/>
        </w:rPr>
        <w:t xml:space="preserve">This exception will provide that </w:t>
      </w:r>
      <w:r w:rsidRPr="00CC7C97">
        <w:rPr>
          <w:lang w:val="en-GB"/>
        </w:rPr>
        <w:t xml:space="preserve">a bankrupt who has had a bankruptcy in the </w:t>
      </w:r>
      <w:r>
        <w:rPr>
          <w:lang w:val="en-GB"/>
        </w:rPr>
        <w:t>previous</w:t>
      </w:r>
      <w:r w:rsidR="007C3195">
        <w:rPr>
          <w:lang w:val="en-GB"/>
        </w:rPr>
        <w:t xml:space="preserve"> 10 </w:t>
      </w:r>
      <w:r w:rsidRPr="00CC7C97">
        <w:rPr>
          <w:lang w:val="en-GB"/>
        </w:rPr>
        <w:t xml:space="preserve">years extended due to an objection to discharge will have a bankruptcy length of </w:t>
      </w:r>
      <w:r w:rsidR="00E30C1E">
        <w:rPr>
          <w:lang w:val="en-GB"/>
        </w:rPr>
        <w:t>3</w:t>
      </w:r>
      <w:r w:rsidRPr="00CC7C97">
        <w:rPr>
          <w:lang w:val="en-GB"/>
        </w:rPr>
        <w:t xml:space="preserve"> years.</w:t>
      </w:r>
    </w:p>
    <w:p w14:paraId="3F4020EC" w14:textId="77777777" w:rsidR="008A0657" w:rsidRDefault="008A0657" w:rsidP="008A0657">
      <w:pPr>
        <w:rPr>
          <w:lang w:val="en-GB"/>
        </w:rPr>
      </w:pPr>
      <w:r>
        <w:rPr>
          <w:lang w:val="en-GB"/>
        </w:rPr>
        <w:t>A bankruptcy trustee can object to the discharge of a bankruptcy on grounds such as the bankrupt failing to provide their bankruptcy trustee with information about property and income.</w:t>
      </w:r>
    </w:p>
    <w:p w14:paraId="23C33614" w14:textId="4E50059B" w:rsidR="00F37CE5" w:rsidRDefault="008A0657" w:rsidP="008A0657">
      <w:r>
        <w:rPr>
          <w:lang w:val="en-GB"/>
        </w:rPr>
        <w:t>This exclusion will</w:t>
      </w:r>
      <w:r w:rsidRPr="00543393">
        <w:rPr>
          <w:lang w:val="en-GB"/>
        </w:rPr>
        <w:t xml:space="preserve"> respond to concerns about the abuse</w:t>
      </w:r>
      <w:r w:rsidR="005A7799">
        <w:rPr>
          <w:lang w:val="en-GB"/>
        </w:rPr>
        <w:t xml:space="preserve"> of</w:t>
      </w:r>
      <w:r w:rsidRPr="00543393">
        <w:rPr>
          <w:lang w:val="en-GB"/>
        </w:rPr>
        <w:t xml:space="preserve"> </w:t>
      </w:r>
      <w:r w:rsidR="00634DF9">
        <w:rPr>
          <w:lang w:val="en-GB"/>
        </w:rPr>
        <w:t>one-year</w:t>
      </w:r>
      <w:r w:rsidRPr="00543393">
        <w:rPr>
          <w:lang w:val="en-GB"/>
        </w:rPr>
        <w:t xml:space="preserve"> bankruptcy by rogue and reckless bankrupts as having a bankruptcy extended due to an objection to discharge is an </w:t>
      </w:r>
      <w:r>
        <w:rPr>
          <w:lang w:val="en-GB"/>
        </w:rPr>
        <w:t>indicator</w:t>
      </w:r>
      <w:r w:rsidRPr="00543393">
        <w:rPr>
          <w:lang w:val="en-GB"/>
        </w:rPr>
        <w:t xml:space="preserve"> of this type of </w:t>
      </w:r>
      <w:r>
        <w:rPr>
          <w:lang w:val="en-GB"/>
        </w:rPr>
        <w:t>conduct.</w:t>
      </w:r>
      <w:r w:rsidR="00F37CE5" w:rsidRPr="00F37CE5">
        <w:t xml:space="preserve"> </w:t>
      </w:r>
    </w:p>
    <w:p w14:paraId="5B1CAC73" w14:textId="057A2789" w:rsidR="00F37CE5" w:rsidRDefault="00F37CE5" w:rsidP="00026D64">
      <w:pPr>
        <w:rPr>
          <w:lang w:val="en-GB"/>
        </w:rPr>
      </w:pPr>
      <w:bookmarkStart w:id="3" w:name="_Hlk94012089"/>
      <w:r w:rsidRPr="006514D1">
        <w:rPr>
          <w:lang w:val="en-GB"/>
        </w:rPr>
        <w:t xml:space="preserve">This exclusion from a shorter period of bankruptcy would apply regardless of whether the objection to discharge occurred before the commencement of the Bill. The intention is that the seriousness of </w:t>
      </w:r>
      <w:r w:rsidRPr="006514D1">
        <w:rPr>
          <w:lang w:val="en-GB"/>
        </w:rPr>
        <w:lastRenderedPageBreak/>
        <w:t>bankruptcies being extended by an objection to discharge warrants that individuals subject to such extensions should not be eligible for the ‘fresh start’ approach that the commencement of the Bill would otherwise provide</w:t>
      </w:r>
      <w:r w:rsidR="004A1A0A" w:rsidRPr="006514D1">
        <w:rPr>
          <w:lang w:val="en-GB"/>
        </w:rPr>
        <w:t xml:space="preserve"> to bankrupts</w:t>
      </w:r>
      <w:r w:rsidRPr="006514D1">
        <w:rPr>
          <w:lang w:val="en-GB"/>
        </w:rPr>
        <w:t>.</w:t>
      </w:r>
    </w:p>
    <w:bookmarkEnd w:id="3"/>
    <w:p w14:paraId="283DDCE5" w14:textId="77777777" w:rsidR="008A0657" w:rsidRDefault="008A0657" w:rsidP="008A0657">
      <w:pPr>
        <w:pStyle w:val="Heading4"/>
        <w:spacing w:beforeLines="100" w:before="240"/>
        <w:rPr>
          <w:lang w:val="en-GB"/>
        </w:rPr>
      </w:pPr>
      <w:r>
        <w:rPr>
          <w:lang w:val="en-GB"/>
        </w:rPr>
        <w:t>Previous offences</w:t>
      </w:r>
    </w:p>
    <w:p w14:paraId="1CC4CAE0" w14:textId="59C1E9BC" w:rsidR="008A0657" w:rsidRDefault="008A0657" w:rsidP="008A0657">
      <w:pPr>
        <w:rPr>
          <w:lang w:val="en-GB"/>
        </w:rPr>
      </w:pPr>
      <w:r>
        <w:rPr>
          <w:lang w:val="en-GB"/>
        </w:rPr>
        <w:t>This exclusion will mean</w:t>
      </w:r>
      <w:r w:rsidRPr="009263E0">
        <w:rPr>
          <w:lang w:val="en-GB"/>
        </w:rPr>
        <w:t xml:space="preserve"> that a bankrupt who</w:t>
      </w:r>
      <w:r>
        <w:rPr>
          <w:lang w:val="en-GB"/>
        </w:rPr>
        <w:t>,</w:t>
      </w:r>
      <w:r w:rsidRPr="009263E0">
        <w:rPr>
          <w:lang w:val="en-GB"/>
        </w:rPr>
        <w:t xml:space="preserve"> </w:t>
      </w:r>
      <w:r>
        <w:rPr>
          <w:lang w:val="en-GB"/>
        </w:rPr>
        <w:t>in the previous</w:t>
      </w:r>
      <w:r w:rsidR="007C3195">
        <w:rPr>
          <w:lang w:val="en-GB"/>
        </w:rPr>
        <w:t xml:space="preserve"> 10 </w:t>
      </w:r>
      <w:r>
        <w:rPr>
          <w:lang w:val="en-GB"/>
        </w:rPr>
        <w:t>years,</w:t>
      </w:r>
      <w:r w:rsidRPr="009263E0">
        <w:rPr>
          <w:lang w:val="en-GB"/>
        </w:rPr>
        <w:t xml:space="preserve"> has </w:t>
      </w:r>
      <w:r>
        <w:rPr>
          <w:lang w:val="en-GB"/>
        </w:rPr>
        <w:t>been convicted of a Bankruptcy</w:t>
      </w:r>
      <w:r w:rsidRPr="009263E0">
        <w:rPr>
          <w:lang w:val="en-GB"/>
        </w:rPr>
        <w:t xml:space="preserve"> Act</w:t>
      </w:r>
      <w:r>
        <w:rPr>
          <w:lang w:val="en-GB"/>
        </w:rPr>
        <w:t xml:space="preserve"> offence or other offences relating to fraud </w:t>
      </w:r>
      <w:r w:rsidRPr="009263E0">
        <w:rPr>
          <w:lang w:val="en-GB"/>
        </w:rPr>
        <w:t xml:space="preserve">will have a </w:t>
      </w:r>
      <w:r>
        <w:rPr>
          <w:lang w:val="en-GB"/>
        </w:rPr>
        <w:t xml:space="preserve">default </w:t>
      </w:r>
      <w:r w:rsidRPr="009263E0">
        <w:rPr>
          <w:lang w:val="en-GB"/>
        </w:rPr>
        <w:t xml:space="preserve">bankruptcy length of </w:t>
      </w:r>
      <w:r w:rsidR="00E30C1E">
        <w:rPr>
          <w:lang w:val="en-GB"/>
        </w:rPr>
        <w:t>3</w:t>
      </w:r>
      <w:r w:rsidRPr="009263E0">
        <w:rPr>
          <w:lang w:val="en-GB"/>
        </w:rPr>
        <w:t xml:space="preserve"> years.</w:t>
      </w:r>
    </w:p>
    <w:p w14:paraId="128D6BC2" w14:textId="1447883B" w:rsidR="00F37CE5" w:rsidRDefault="00F37CE5" w:rsidP="008A0657">
      <w:pPr>
        <w:rPr>
          <w:b/>
          <w:lang w:val="en-GB"/>
        </w:rPr>
      </w:pPr>
      <w:bookmarkStart w:id="4" w:name="_Hlk94012107"/>
      <w:r w:rsidRPr="006514D1">
        <w:rPr>
          <w:lang w:val="en-GB"/>
        </w:rPr>
        <w:t>This exclusion from a shorter period of bankruptcy would apply regardless of whether the bankrupt was found guilty of the offences before the commencement of the Bill. The intention is that the seriousness</w:t>
      </w:r>
      <w:r w:rsidR="00637ABB" w:rsidRPr="006514D1">
        <w:rPr>
          <w:lang w:val="en-GB"/>
        </w:rPr>
        <w:t xml:space="preserve"> of</w:t>
      </w:r>
      <w:r w:rsidRPr="006514D1">
        <w:rPr>
          <w:lang w:val="en-GB"/>
        </w:rPr>
        <w:t xml:space="preserve"> </w:t>
      </w:r>
      <w:r w:rsidR="00637ABB" w:rsidRPr="006514D1">
        <w:rPr>
          <w:lang w:val="en-GB"/>
        </w:rPr>
        <w:t xml:space="preserve">the </w:t>
      </w:r>
      <w:r w:rsidR="004A1A0A" w:rsidRPr="006514D1">
        <w:rPr>
          <w:lang w:val="en-GB"/>
        </w:rPr>
        <w:t>offences</w:t>
      </w:r>
      <w:r w:rsidRPr="006514D1">
        <w:rPr>
          <w:lang w:val="en-GB"/>
        </w:rPr>
        <w:t xml:space="preserve"> warrants</w:t>
      </w:r>
      <w:r w:rsidR="004A1A0A" w:rsidRPr="006514D1">
        <w:rPr>
          <w:lang w:val="en-GB"/>
        </w:rPr>
        <w:t xml:space="preserve"> this exception</w:t>
      </w:r>
      <w:r w:rsidRPr="006514D1">
        <w:rPr>
          <w:lang w:val="en-GB"/>
        </w:rPr>
        <w:t xml:space="preserve"> that the offending</w:t>
      </w:r>
      <w:r w:rsidR="00637ABB" w:rsidRPr="006514D1">
        <w:rPr>
          <w:lang w:val="en-GB"/>
        </w:rPr>
        <w:t xml:space="preserve"> </w:t>
      </w:r>
      <w:r w:rsidRPr="006514D1">
        <w:rPr>
          <w:lang w:val="en-GB"/>
        </w:rPr>
        <w:t>individuals should not be eligible for the ‘fresh start’ approach that the commencement of the Bill would otherwise provide.</w:t>
      </w:r>
    </w:p>
    <w:bookmarkEnd w:id="4"/>
    <w:p w14:paraId="13A830C6" w14:textId="1F991E3C" w:rsidR="008A0657" w:rsidRDefault="008A0657" w:rsidP="008A0657">
      <w:pPr>
        <w:rPr>
          <w:b/>
          <w:lang w:val="en-GB"/>
        </w:rPr>
      </w:pPr>
      <w:r w:rsidRPr="00077581">
        <w:rPr>
          <w:b/>
          <w:lang w:val="en-GB"/>
        </w:rPr>
        <w:t xml:space="preserve">Question – the </w:t>
      </w:r>
      <w:r w:rsidR="00857C5F">
        <w:rPr>
          <w:b/>
          <w:lang w:val="en-GB"/>
        </w:rPr>
        <w:t>government</w:t>
      </w:r>
      <w:r w:rsidRPr="00077581">
        <w:rPr>
          <w:b/>
          <w:lang w:val="en-GB"/>
        </w:rPr>
        <w:t xml:space="preserve"> seeks stakeholder views on </w:t>
      </w:r>
      <w:r>
        <w:rPr>
          <w:b/>
          <w:lang w:val="en-GB"/>
        </w:rPr>
        <w:t xml:space="preserve">what </w:t>
      </w:r>
      <w:r w:rsidRPr="00077581">
        <w:rPr>
          <w:b/>
          <w:lang w:val="en-GB"/>
        </w:rPr>
        <w:t xml:space="preserve">offence provisions </w:t>
      </w:r>
      <w:r>
        <w:rPr>
          <w:b/>
          <w:lang w:val="en-GB"/>
        </w:rPr>
        <w:t xml:space="preserve">should exclude a bankrupt from </w:t>
      </w:r>
      <w:r w:rsidR="00634DF9">
        <w:rPr>
          <w:b/>
          <w:lang w:val="en-GB"/>
        </w:rPr>
        <w:t>one-year</w:t>
      </w:r>
      <w:r>
        <w:rPr>
          <w:b/>
          <w:lang w:val="en-GB"/>
        </w:rPr>
        <w:t xml:space="preserve"> bankruptcy.</w:t>
      </w:r>
    </w:p>
    <w:p w14:paraId="7AEF3493" w14:textId="5BB4ED44" w:rsidR="00CA1150" w:rsidRDefault="008C0888" w:rsidP="00CA1150">
      <w:pPr>
        <w:pStyle w:val="Heading3"/>
        <w:spacing w:beforeLines="100" w:before="240"/>
        <w:rPr>
          <w:lang w:val="en-GB"/>
        </w:rPr>
      </w:pPr>
      <w:r>
        <w:rPr>
          <w:lang w:val="en-GB"/>
        </w:rPr>
        <w:t>Strengthen</w:t>
      </w:r>
      <w:r w:rsidR="00CA1150" w:rsidRPr="00594E5C">
        <w:rPr>
          <w:lang w:val="en-GB"/>
        </w:rPr>
        <w:t xml:space="preserve"> objection to discharge provisions</w:t>
      </w:r>
    </w:p>
    <w:p w14:paraId="22A63EF2" w14:textId="4B4E340C" w:rsidR="00CA1150" w:rsidRDefault="00CA1150" w:rsidP="00CA1150">
      <w:pPr>
        <w:rPr>
          <w:lang w:val="en-GB"/>
        </w:rPr>
      </w:pPr>
      <w:r>
        <w:rPr>
          <w:lang w:val="en-GB"/>
        </w:rPr>
        <w:t xml:space="preserve">The </w:t>
      </w:r>
      <w:r w:rsidR="00857C5F">
        <w:rPr>
          <w:lang w:val="en-GB"/>
        </w:rPr>
        <w:t>government</w:t>
      </w:r>
      <w:r>
        <w:rPr>
          <w:lang w:val="en-GB"/>
        </w:rPr>
        <w:t xml:space="preserve"> is considering amending the Bankruptcy Act to include </w:t>
      </w:r>
      <w:r w:rsidRPr="00354757">
        <w:rPr>
          <w:lang w:val="en-GB"/>
        </w:rPr>
        <w:t xml:space="preserve">new objection to discharge grounds </w:t>
      </w:r>
      <w:r>
        <w:rPr>
          <w:lang w:val="en-GB"/>
        </w:rPr>
        <w:t xml:space="preserve">to </w:t>
      </w:r>
      <w:r w:rsidR="001B0526">
        <w:rPr>
          <w:lang w:val="en-GB"/>
        </w:rPr>
        <w:t>help ensure</w:t>
      </w:r>
      <w:r>
        <w:rPr>
          <w:lang w:val="en-GB"/>
        </w:rPr>
        <w:t xml:space="preserve"> bankrupts provide </w:t>
      </w:r>
      <w:r w:rsidR="001B0526">
        <w:rPr>
          <w:lang w:val="en-GB"/>
        </w:rPr>
        <w:t xml:space="preserve">necessary </w:t>
      </w:r>
      <w:r>
        <w:rPr>
          <w:lang w:val="en-GB"/>
        </w:rPr>
        <w:t xml:space="preserve">information to their bankruptcy trustee. These </w:t>
      </w:r>
      <w:r w:rsidR="001B0526">
        <w:rPr>
          <w:lang w:val="en-GB"/>
        </w:rPr>
        <w:t>new grounds</w:t>
      </w:r>
      <w:r w:rsidRPr="00354757">
        <w:rPr>
          <w:lang w:val="en-GB"/>
        </w:rPr>
        <w:t xml:space="preserve"> </w:t>
      </w:r>
      <w:r>
        <w:rPr>
          <w:lang w:val="en-GB"/>
        </w:rPr>
        <w:t xml:space="preserve">would extend bankruptcy by one year, </w:t>
      </w:r>
      <w:r w:rsidRPr="00354757">
        <w:rPr>
          <w:lang w:val="en-GB"/>
        </w:rPr>
        <w:t>respond</w:t>
      </w:r>
      <w:r>
        <w:rPr>
          <w:lang w:val="en-GB"/>
        </w:rPr>
        <w:t>ing</w:t>
      </w:r>
      <w:r w:rsidRPr="00354757">
        <w:rPr>
          <w:lang w:val="en-GB"/>
        </w:rPr>
        <w:t xml:space="preserve"> to concerns about bankrupts delaying the provision of information</w:t>
      </w:r>
      <w:r>
        <w:rPr>
          <w:lang w:val="en-GB"/>
        </w:rPr>
        <w:t>.</w:t>
      </w:r>
    </w:p>
    <w:p w14:paraId="5EC9972A" w14:textId="43BEC4BE" w:rsidR="00CA1150" w:rsidRDefault="00CA1150" w:rsidP="00CA1150">
      <w:pPr>
        <w:rPr>
          <w:lang w:val="en-GB"/>
        </w:rPr>
      </w:pPr>
      <w:r>
        <w:rPr>
          <w:lang w:val="en-GB"/>
        </w:rPr>
        <w:t xml:space="preserve">The </w:t>
      </w:r>
      <w:r w:rsidR="00857C5F">
        <w:rPr>
          <w:lang w:val="en-GB"/>
        </w:rPr>
        <w:t>government</w:t>
      </w:r>
      <w:r>
        <w:rPr>
          <w:lang w:val="en-GB"/>
        </w:rPr>
        <w:t xml:space="preserve"> is considering making a bankrupt’s failure to satisfy the following Bankruptcy Act requirements grounds for objection to discharge:</w:t>
      </w:r>
    </w:p>
    <w:p w14:paraId="76B90A82" w14:textId="77777777" w:rsidR="00CA1150" w:rsidRPr="00EF4F50" w:rsidRDefault="00CA1150" w:rsidP="00CA1150">
      <w:pPr>
        <w:pStyle w:val="ListParagraph"/>
        <w:numPr>
          <w:ilvl w:val="0"/>
          <w:numId w:val="7"/>
        </w:numPr>
      </w:pPr>
      <w:r w:rsidRPr="00EF4F50">
        <w:t>section 80 - notifying of change in name, address or day time telephone number</w:t>
      </w:r>
    </w:p>
    <w:p w14:paraId="33D51EC7" w14:textId="154C12FF" w:rsidR="00CA1150" w:rsidRPr="003112D6" w:rsidRDefault="00CA1150" w:rsidP="00CA1150">
      <w:pPr>
        <w:pStyle w:val="ListParagraph"/>
        <w:numPr>
          <w:ilvl w:val="0"/>
          <w:numId w:val="7"/>
        </w:numPr>
      </w:pPr>
      <w:r w:rsidRPr="003112D6">
        <w:t>paragraph 77(1)(a)(</w:t>
      </w:r>
      <w:proofErr w:type="spellStart"/>
      <w:r w:rsidRPr="003112D6">
        <w:t>i</w:t>
      </w:r>
      <w:proofErr w:type="spellEnd"/>
      <w:r w:rsidRPr="003112D6">
        <w:t xml:space="preserve">) </w:t>
      </w:r>
      <w:r w:rsidR="005A7799">
        <w:t>-</w:t>
      </w:r>
      <w:r w:rsidRPr="003112D6">
        <w:t xml:space="preserve"> give the trustee all books (including books of an associated entity of the bankrupt) that are in the possession of the bankrupt and relate to any of his or her examinable affairs</w:t>
      </w:r>
    </w:p>
    <w:p w14:paraId="120A9462" w14:textId="22816C2C" w:rsidR="00CA1150" w:rsidRPr="003112D6" w:rsidRDefault="00CA1150" w:rsidP="00CA1150">
      <w:pPr>
        <w:pStyle w:val="ListParagraph"/>
        <w:numPr>
          <w:ilvl w:val="0"/>
          <w:numId w:val="7"/>
        </w:numPr>
      </w:pPr>
      <w:r w:rsidRPr="003112D6">
        <w:t>paragraph 77(</w:t>
      </w:r>
      <w:proofErr w:type="gramStart"/>
      <w:r w:rsidRPr="003112D6">
        <w:t>1)(</w:t>
      </w:r>
      <w:proofErr w:type="spellStart"/>
      <w:proofErr w:type="gramEnd"/>
      <w:r w:rsidRPr="003112D6">
        <w:t>ba</w:t>
      </w:r>
      <w:proofErr w:type="spellEnd"/>
      <w:r w:rsidRPr="003112D6">
        <w:t>)</w:t>
      </w:r>
      <w:r w:rsidRPr="00EF4F50">
        <w:t xml:space="preserve"> </w:t>
      </w:r>
      <w:r w:rsidR="005A7799">
        <w:t>-</w:t>
      </w:r>
      <w:r w:rsidRPr="00EF4F50">
        <w:t xml:space="preserve"> give </w:t>
      </w:r>
      <w:r w:rsidRPr="003112D6">
        <w:t>such information about any of the bankrupt’s conduct and examinable affairs as the trustee requires</w:t>
      </w:r>
    </w:p>
    <w:p w14:paraId="3AEB3025" w14:textId="77777777" w:rsidR="00CA1150" w:rsidRPr="003112D6" w:rsidRDefault="00CA1150" w:rsidP="00CA1150">
      <w:pPr>
        <w:pStyle w:val="ListParagraph"/>
        <w:numPr>
          <w:ilvl w:val="0"/>
          <w:numId w:val="7"/>
        </w:numPr>
      </w:pPr>
      <w:r w:rsidRPr="003112D6">
        <w:t>paragraph 77(1)(d) - at each meeting of creditors at which the bankrupt is present, such information about any of the bankrupt’s conduct and examinable affairs as the meeting requires</w:t>
      </w:r>
    </w:p>
    <w:p w14:paraId="6BA2CC49" w14:textId="77777777" w:rsidR="00CA1150" w:rsidRDefault="00CA1150" w:rsidP="00CA1150">
      <w:pPr>
        <w:pStyle w:val="ListParagraph"/>
        <w:numPr>
          <w:ilvl w:val="0"/>
          <w:numId w:val="7"/>
        </w:numPr>
      </w:pPr>
      <w:r w:rsidRPr="003112D6">
        <w:t>paragraph 77(1)(e) - execute such instruments and generally do all such acts and things in relation to his or her property and its realization as are required by this Act or by the trustee or as are ordered by the Court upon the application of the trustee</w:t>
      </w:r>
    </w:p>
    <w:p w14:paraId="5F840C58" w14:textId="77777777" w:rsidR="00CA1150" w:rsidRPr="003112D6" w:rsidRDefault="00CA1150" w:rsidP="00CA1150">
      <w:pPr>
        <w:pStyle w:val="ListParagraph"/>
        <w:numPr>
          <w:ilvl w:val="0"/>
          <w:numId w:val="7"/>
        </w:numPr>
      </w:pPr>
      <w:r w:rsidRPr="003112D6">
        <w:t xml:space="preserve">paragraph 77(1)(f) - </w:t>
      </w:r>
      <w:r w:rsidRPr="00EF4F50">
        <w:t>disclose to the trustee, as soon as practicable, property that is acquired by him or her, or devolves on him or her, before his or her discharge, being property divisible amongst his or her creditors</w:t>
      </w:r>
    </w:p>
    <w:p w14:paraId="6D558C4B" w14:textId="40748D1E" w:rsidR="00CA1150" w:rsidRDefault="008C0888" w:rsidP="00CA1150">
      <w:pPr>
        <w:pStyle w:val="Heading3"/>
        <w:spacing w:beforeLines="100" w:before="240"/>
        <w:rPr>
          <w:lang w:val="en-GB"/>
        </w:rPr>
      </w:pPr>
      <w:r>
        <w:rPr>
          <w:lang w:val="en-GB"/>
        </w:rPr>
        <w:t>Strengthen</w:t>
      </w:r>
      <w:r w:rsidR="00CA1150">
        <w:rPr>
          <w:lang w:val="en-GB"/>
        </w:rPr>
        <w:t xml:space="preserve"> offence provisions</w:t>
      </w:r>
    </w:p>
    <w:p w14:paraId="23B0FDB9" w14:textId="699407F5" w:rsidR="00CA1150" w:rsidRDefault="00CA1150" w:rsidP="00CA1150">
      <w:pPr>
        <w:rPr>
          <w:lang w:val="en-GB"/>
        </w:rPr>
      </w:pPr>
      <w:r>
        <w:rPr>
          <w:lang w:val="en-GB"/>
        </w:rPr>
        <w:t xml:space="preserve">The </w:t>
      </w:r>
      <w:r w:rsidR="00857C5F">
        <w:rPr>
          <w:lang w:val="en-GB"/>
        </w:rPr>
        <w:t>government</w:t>
      </w:r>
      <w:r>
        <w:rPr>
          <w:lang w:val="en-GB"/>
        </w:rPr>
        <w:t xml:space="preserve"> is considering increasing</w:t>
      </w:r>
      <w:r w:rsidRPr="0008277F">
        <w:rPr>
          <w:lang w:val="en-GB"/>
        </w:rPr>
        <w:t xml:space="preserve"> penalties for certain offences</w:t>
      </w:r>
      <w:r>
        <w:rPr>
          <w:lang w:val="en-GB"/>
        </w:rPr>
        <w:t xml:space="preserve"> under the Bankruptcy Act to target abuse of a shorter period of bankruptcy. For example, </w:t>
      </w:r>
      <w:r w:rsidRPr="00A13561">
        <w:rPr>
          <w:lang w:val="en-GB"/>
        </w:rPr>
        <w:t>s</w:t>
      </w:r>
      <w:r>
        <w:rPr>
          <w:lang w:val="en-GB"/>
        </w:rPr>
        <w:t xml:space="preserve">ubsection 265(8) of the Bankruptcy Act, </w:t>
      </w:r>
      <w:r w:rsidRPr="00A13561">
        <w:rPr>
          <w:lang w:val="en-GB"/>
        </w:rPr>
        <w:t>contracting a debt with n</w:t>
      </w:r>
      <w:r>
        <w:rPr>
          <w:lang w:val="en-GB"/>
        </w:rPr>
        <w:t>o expectation to pay,</w:t>
      </w:r>
      <w:r w:rsidRPr="00A13561">
        <w:rPr>
          <w:lang w:val="en-GB"/>
        </w:rPr>
        <w:t xml:space="preserve"> has a </w:t>
      </w:r>
      <w:r>
        <w:rPr>
          <w:lang w:val="en-GB"/>
        </w:rPr>
        <w:t xml:space="preserve">current </w:t>
      </w:r>
      <w:r w:rsidRPr="00A13561">
        <w:rPr>
          <w:lang w:val="en-GB"/>
        </w:rPr>
        <w:t xml:space="preserve">maximum </w:t>
      </w:r>
      <w:r>
        <w:rPr>
          <w:lang w:val="en-GB"/>
        </w:rPr>
        <w:t xml:space="preserve">penalty of </w:t>
      </w:r>
      <w:r w:rsidR="00634DF9">
        <w:rPr>
          <w:lang w:val="en-GB"/>
        </w:rPr>
        <w:t>one-year</w:t>
      </w:r>
      <w:r w:rsidRPr="00A13561">
        <w:rPr>
          <w:lang w:val="en-GB"/>
        </w:rPr>
        <w:t xml:space="preserve"> imprisonment.</w:t>
      </w:r>
    </w:p>
    <w:p w14:paraId="58025545" w14:textId="4290957F" w:rsidR="00CA1150" w:rsidRDefault="00CA1150" w:rsidP="00CA1150">
      <w:pPr>
        <w:rPr>
          <w:b/>
          <w:lang w:val="en-GB"/>
        </w:rPr>
      </w:pPr>
      <w:r w:rsidRPr="00A13561">
        <w:rPr>
          <w:b/>
          <w:lang w:val="en-GB"/>
        </w:rPr>
        <w:t xml:space="preserve">Question – the </w:t>
      </w:r>
      <w:r w:rsidR="00857C5F">
        <w:rPr>
          <w:b/>
          <w:lang w:val="en-GB"/>
        </w:rPr>
        <w:t>government</w:t>
      </w:r>
      <w:r w:rsidRPr="00A13561">
        <w:rPr>
          <w:b/>
          <w:lang w:val="en-GB"/>
        </w:rPr>
        <w:t xml:space="preserve"> seeks stakeholder views on what current Bankruptcy Act offences could have penalties strengthened to target abuse of </w:t>
      </w:r>
      <w:r w:rsidR="00634DF9">
        <w:rPr>
          <w:b/>
          <w:lang w:val="en-GB"/>
        </w:rPr>
        <w:t>one-year</w:t>
      </w:r>
      <w:r w:rsidRPr="00A13561">
        <w:rPr>
          <w:b/>
          <w:lang w:val="en-GB"/>
        </w:rPr>
        <w:t xml:space="preserve"> bankruptcy.</w:t>
      </w:r>
    </w:p>
    <w:p w14:paraId="7E292CA1" w14:textId="6C8E1CF4" w:rsidR="00CA1150" w:rsidRDefault="00CA1150">
      <w:pPr>
        <w:spacing w:after="0" w:line="240" w:lineRule="auto"/>
      </w:pPr>
      <w:r>
        <w:br w:type="page"/>
      </w:r>
    </w:p>
    <w:p w14:paraId="0B5F5757" w14:textId="1E668A01" w:rsidR="008D2354" w:rsidRDefault="004F43C4" w:rsidP="00B0371F">
      <w:pPr>
        <w:pStyle w:val="Heading2"/>
      </w:pPr>
      <w:r w:rsidRPr="00C07EC5">
        <w:lastRenderedPageBreak/>
        <w:t>Promote</w:t>
      </w:r>
      <w:r w:rsidR="00DF034C" w:rsidRPr="00C07EC5">
        <w:t xml:space="preserve"> </w:t>
      </w:r>
      <w:r w:rsidR="00B862F0" w:rsidRPr="00C07EC5">
        <w:t>debt agreement</w:t>
      </w:r>
      <w:r w:rsidRPr="00C07EC5">
        <w:t>s</w:t>
      </w:r>
      <w:r w:rsidR="003C5E94" w:rsidRPr="00C07EC5">
        <w:t xml:space="preserve"> </w:t>
      </w:r>
    </w:p>
    <w:p w14:paraId="606BDA20" w14:textId="5790C95E" w:rsidR="008D2354" w:rsidRDefault="00D53AC7" w:rsidP="008D2354">
      <w:r>
        <w:t>The debt agreement system has been a</w:t>
      </w:r>
      <w:r w:rsidR="006A79F3">
        <w:t xml:space="preserve"> vital </w:t>
      </w:r>
      <w:r w:rsidR="008D2354">
        <w:t>part of Australia’s consumer finance framework</w:t>
      </w:r>
      <w:r>
        <w:t xml:space="preserve"> since its introduction in 1996</w:t>
      </w:r>
      <w:r w:rsidR="008D2354">
        <w:t xml:space="preserve">. </w:t>
      </w:r>
      <w:r>
        <w:t>A debt agreement</w:t>
      </w:r>
      <w:r w:rsidR="0022691E">
        <w:t xml:space="preserve"> offers a statutory alternative </w:t>
      </w:r>
      <w:r w:rsidR="005A7799">
        <w:t xml:space="preserve">to </w:t>
      </w:r>
      <w:r w:rsidR="0022691E">
        <w:t xml:space="preserve">bankruptcy and a </w:t>
      </w:r>
      <w:r w:rsidR="008D2354">
        <w:t xml:space="preserve">solution for managing personal debt. </w:t>
      </w:r>
    </w:p>
    <w:p w14:paraId="306D52C5" w14:textId="5F38BB5D" w:rsidR="00784830" w:rsidRDefault="008D2354">
      <w:r>
        <w:t xml:space="preserve">The debt agreement system was the subject of significant reforms introduced by the </w:t>
      </w:r>
      <w:r>
        <w:rPr>
          <w:i/>
        </w:rPr>
        <w:t>Bankruptcy Amendment (Debt Agreement Reform) Act 2018</w:t>
      </w:r>
      <w:r w:rsidRPr="00C07EC5">
        <w:rPr>
          <w:i/>
        </w:rPr>
        <w:t>,</w:t>
      </w:r>
      <w:r>
        <w:t xml:space="preserve"> which commenced in June 2019. </w:t>
      </w:r>
      <w:r w:rsidR="007969D1">
        <w:t>The intent of the</w:t>
      </w:r>
      <w:r w:rsidR="00784830">
        <w:t>se</w:t>
      </w:r>
      <w:r w:rsidR="00D3204B">
        <w:t xml:space="preserve"> reform</w:t>
      </w:r>
      <w:r w:rsidR="00784830">
        <w:t>s</w:t>
      </w:r>
      <w:r w:rsidR="00694873">
        <w:t xml:space="preserve"> </w:t>
      </w:r>
      <w:r w:rsidR="007969D1">
        <w:t xml:space="preserve">was to boost confidence in the professionalism of administrators, deter unscrupulous practices, enhance transparency between the administrator and stakeholders, and to </w:t>
      </w:r>
      <w:r w:rsidR="00CD6646">
        <w:t xml:space="preserve">expand </w:t>
      </w:r>
      <w:r w:rsidR="007969D1">
        <w:t xml:space="preserve">the accessibility of the debt agreement system. </w:t>
      </w:r>
    </w:p>
    <w:p w14:paraId="33E7CD12" w14:textId="30D49CA8" w:rsidR="00060197" w:rsidRDefault="00634BA4">
      <w:bookmarkStart w:id="5" w:name="_Hlk93573492"/>
      <w:r>
        <w:t>Since the introduction of these reforms</w:t>
      </w:r>
      <w:r w:rsidR="00DF034C">
        <w:t>,</w:t>
      </w:r>
      <w:r>
        <w:t xml:space="preserve"> t</w:t>
      </w:r>
      <w:r w:rsidR="009874D8" w:rsidRPr="004B6660">
        <w:t xml:space="preserve">here has been a </w:t>
      </w:r>
      <w:r w:rsidR="009874D8" w:rsidRPr="009C57F7">
        <w:t xml:space="preserve">decline in the average volume of </w:t>
      </w:r>
      <w:r w:rsidR="009874D8" w:rsidRPr="004E288B">
        <w:t>new debt agreements</w:t>
      </w:r>
      <w:r w:rsidR="009176C5">
        <w:t xml:space="preserve"> which could raise question about </w:t>
      </w:r>
      <w:r w:rsidR="002D5BAF">
        <w:t xml:space="preserve">whether </w:t>
      </w:r>
      <w:r w:rsidR="009176C5">
        <w:t xml:space="preserve">the </w:t>
      </w:r>
      <w:r w:rsidR="002D5BAF">
        <w:t xml:space="preserve">current </w:t>
      </w:r>
      <w:r w:rsidR="009176C5">
        <w:t xml:space="preserve">accessibility of </w:t>
      </w:r>
      <w:r w:rsidR="002D5BAF">
        <w:t xml:space="preserve">the </w:t>
      </w:r>
      <w:r w:rsidR="009176C5">
        <w:t>debt agreement</w:t>
      </w:r>
      <w:r w:rsidR="002D5BAF">
        <w:t xml:space="preserve"> system remains appropriate.</w:t>
      </w:r>
      <w:r w:rsidR="00C41CA7">
        <w:t xml:space="preserve"> </w:t>
      </w:r>
      <w:r w:rsidR="00285481">
        <w:t>I</w:t>
      </w:r>
      <w:r w:rsidR="00285481" w:rsidRPr="00DB659C">
        <w:t xml:space="preserve">n </w:t>
      </w:r>
      <w:r w:rsidR="00285481">
        <w:t xml:space="preserve">the </w:t>
      </w:r>
      <w:r w:rsidR="00285481" w:rsidRPr="00DB659C">
        <w:t>2018–19</w:t>
      </w:r>
      <w:r w:rsidR="00285481">
        <w:t xml:space="preserve"> period, t</w:t>
      </w:r>
      <w:r w:rsidR="009176C5" w:rsidRPr="00DB659C">
        <w:t>here were 11,549 debt agreements, a fall of 22.1% compared to 2017–18</w:t>
      </w:r>
      <w:r w:rsidR="009176C5">
        <w:t>.</w:t>
      </w:r>
      <w:r w:rsidR="009A07A1">
        <w:t xml:space="preserve"> I</w:t>
      </w:r>
      <w:r w:rsidR="00EF2FB6" w:rsidRPr="004B6660">
        <w:t>n the 2019-20 period</w:t>
      </w:r>
      <w:r w:rsidR="003C7658">
        <w:t>,</w:t>
      </w:r>
      <w:r w:rsidR="007476C0">
        <w:t xml:space="preserve"> </w:t>
      </w:r>
      <w:r w:rsidR="007476C0" w:rsidRPr="004B6660">
        <w:t>there were 8,147 debt agreements</w:t>
      </w:r>
      <w:r w:rsidR="007476C0">
        <w:t xml:space="preserve"> </w:t>
      </w:r>
      <w:r w:rsidR="00973CFC">
        <w:t xml:space="preserve">which was </w:t>
      </w:r>
      <w:r w:rsidR="00B47318" w:rsidRPr="009C57F7">
        <w:t>the lowest annual level</w:t>
      </w:r>
      <w:r w:rsidR="0028670F">
        <w:t xml:space="preserve"> for the formation of new debt agreements</w:t>
      </w:r>
      <w:r w:rsidR="00B47318" w:rsidRPr="004B6660">
        <w:t xml:space="preserve"> since 2010–11. There has been a further decline since then</w:t>
      </w:r>
      <w:r w:rsidR="007F67E9">
        <w:t xml:space="preserve">, with </w:t>
      </w:r>
      <w:r w:rsidR="007F67E9" w:rsidRPr="004B6660">
        <w:t>only 3</w:t>
      </w:r>
      <w:r w:rsidR="00951A50">
        <w:t>,</w:t>
      </w:r>
      <w:r w:rsidR="007F67E9" w:rsidRPr="004B6660">
        <w:t>731 new debt agreements made</w:t>
      </w:r>
      <w:r w:rsidR="007F67E9">
        <w:t xml:space="preserve"> i</w:t>
      </w:r>
      <w:r w:rsidR="00B47318" w:rsidRPr="004B6660">
        <w:t>n the 2020-21 period</w:t>
      </w:r>
      <w:r w:rsidR="007F67E9">
        <w:t>.</w:t>
      </w:r>
      <w:r w:rsidR="00B47318" w:rsidRPr="009C57F7">
        <w:t xml:space="preserve"> </w:t>
      </w:r>
      <w:r w:rsidR="009176C5">
        <w:t>It is important to acknowledge that t</w:t>
      </w:r>
      <w:r w:rsidR="009176C5" w:rsidRPr="00F733FD">
        <w:t xml:space="preserve">he personal insolvency </w:t>
      </w:r>
      <w:r w:rsidR="009176C5" w:rsidRPr="003B73D7">
        <w:t xml:space="preserve">landscape </w:t>
      </w:r>
      <w:r w:rsidR="00661186">
        <w:t>(and the reduction of debt agreement volumes) is likely to have been impacted by t</w:t>
      </w:r>
      <w:r w:rsidR="009176C5">
        <w:t>emporary government measures</w:t>
      </w:r>
      <w:r w:rsidR="00661186">
        <w:t>,</w:t>
      </w:r>
      <w:r w:rsidR="009176C5">
        <w:t xml:space="preserve"> </w:t>
      </w:r>
      <w:r w:rsidR="00661186">
        <w:t xml:space="preserve">such as </w:t>
      </w:r>
      <w:proofErr w:type="spellStart"/>
      <w:r w:rsidR="00661186">
        <w:t>JobKeeper</w:t>
      </w:r>
      <w:proofErr w:type="spellEnd"/>
      <w:r w:rsidR="00661186">
        <w:t xml:space="preserve">, </w:t>
      </w:r>
      <w:r w:rsidR="009176C5">
        <w:t xml:space="preserve">to respond to the financial impacts of COVID-19, </w:t>
      </w:r>
      <w:r w:rsidR="009176C5" w:rsidRPr="000F4029">
        <w:t>and the policies of major lenders (such as the six-month deferrals on debt repayments)</w:t>
      </w:r>
      <w:r w:rsidR="00661186">
        <w:t>.</w:t>
      </w:r>
    </w:p>
    <w:bookmarkEnd w:id="5"/>
    <w:p w14:paraId="2D013159" w14:textId="1119FB27" w:rsidR="00060197" w:rsidRPr="00B400F1" w:rsidRDefault="008D61A8">
      <w:r w:rsidRPr="00C07EC5">
        <w:t>Noting this</w:t>
      </w:r>
      <w:r w:rsidR="00BC07A6" w:rsidRPr="00C07EC5">
        <w:t xml:space="preserve"> context</w:t>
      </w:r>
      <w:r w:rsidRPr="00C07EC5">
        <w:t xml:space="preserve">, </w:t>
      </w:r>
      <w:r w:rsidR="00BE0C11" w:rsidRPr="00C07EC5">
        <w:t xml:space="preserve">the </w:t>
      </w:r>
      <w:r w:rsidR="00857C5F" w:rsidRPr="00C07EC5">
        <w:t>government</w:t>
      </w:r>
      <w:r w:rsidR="00BE0C11" w:rsidRPr="00C07EC5">
        <w:t xml:space="preserve"> </w:t>
      </w:r>
      <w:r w:rsidR="000722D2" w:rsidRPr="00C07EC5">
        <w:rPr>
          <w:lang w:val="en-GB"/>
        </w:rPr>
        <w:t>considers</w:t>
      </w:r>
      <w:r w:rsidR="00002C89" w:rsidRPr="00C07EC5">
        <w:rPr>
          <w:lang w:val="en-GB"/>
        </w:rPr>
        <w:t xml:space="preserve"> </w:t>
      </w:r>
      <w:r w:rsidR="000722D2" w:rsidRPr="00C07EC5">
        <w:rPr>
          <w:lang w:val="en-GB"/>
        </w:rPr>
        <w:t xml:space="preserve">there is scope to </w:t>
      </w:r>
      <w:r w:rsidR="009A07A1" w:rsidRPr="00C07EC5">
        <w:rPr>
          <w:lang w:val="en-GB"/>
        </w:rPr>
        <w:t>promote debt agreements</w:t>
      </w:r>
      <w:r w:rsidR="0051776D" w:rsidRPr="00C07EC5">
        <w:rPr>
          <w:lang w:val="en-GB"/>
        </w:rPr>
        <w:t xml:space="preserve"> </w:t>
      </w:r>
      <w:r w:rsidR="000722D2" w:rsidRPr="00B0371F">
        <w:rPr>
          <w:lang w:val="en-GB"/>
        </w:rPr>
        <w:t>by</w:t>
      </w:r>
      <w:r w:rsidR="00060197" w:rsidRPr="00F733FD">
        <w:t>:</w:t>
      </w:r>
    </w:p>
    <w:p w14:paraId="2ADEE204" w14:textId="2F5DE177" w:rsidR="00060197" w:rsidRPr="00B0371F" w:rsidRDefault="00973CFC" w:rsidP="00B0371F">
      <w:pPr>
        <w:pStyle w:val="ListParagraph"/>
        <w:numPr>
          <w:ilvl w:val="0"/>
          <w:numId w:val="7"/>
        </w:numPr>
      </w:pPr>
      <w:r w:rsidRPr="00B0371F">
        <w:t>i</w:t>
      </w:r>
      <w:r w:rsidR="001A4B11" w:rsidRPr="00B0371F">
        <w:t>mprov</w:t>
      </w:r>
      <w:r w:rsidR="000722D2" w:rsidRPr="00B0371F">
        <w:t>ing access to</w:t>
      </w:r>
      <w:r w:rsidR="00761212" w:rsidRPr="00B0371F">
        <w:t xml:space="preserve"> </w:t>
      </w:r>
      <w:r w:rsidR="004B1515" w:rsidRPr="00F733FD">
        <w:t xml:space="preserve">the </w:t>
      </w:r>
      <w:r w:rsidR="001A4B11" w:rsidRPr="00B0371F">
        <w:t>debt agreement</w:t>
      </w:r>
      <w:r w:rsidR="00F341A0" w:rsidRPr="00B0371F">
        <w:t xml:space="preserve"> system</w:t>
      </w:r>
      <w:r w:rsidR="00BF3E03">
        <w:t>, and</w:t>
      </w:r>
    </w:p>
    <w:p w14:paraId="65775810" w14:textId="6889EF4A" w:rsidR="001A4B11" w:rsidRPr="00B0371F" w:rsidRDefault="00060197" w:rsidP="00B0371F">
      <w:pPr>
        <w:pStyle w:val="ListParagraph"/>
        <w:numPr>
          <w:ilvl w:val="0"/>
          <w:numId w:val="7"/>
        </w:numPr>
      </w:pPr>
      <w:r w:rsidRPr="00B0371F">
        <w:t>minim</w:t>
      </w:r>
      <w:r w:rsidR="00761212" w:rsidRPr="00B0371F">
        <w:t>is</w:t>
      </w:r>
      <w:r w:rsidR="000722D2" w:rsidRPr="00B0371F">
        <w:t>ing</w:t>
      </w:r>
      <w:r w:rsidRPr="00F733FD">
        <w:t xml:space="preserve"> the consequences of debt agreement</w:t>
      </w:r>
      <w:r w:rsidR="000722D2" w:rsidRPr="00B0371F">
        <w:t xml:space="preserve"> system</w:t>
      </w:r>
      <w:r w:rsidR="005A7799">
        <w:t>.</w:t>
      </w:r>
    </w:p>
    <w:p w14:paraId="5CB1C1C2" w14:textId="79536B66" w:rsidR="001A4B11" w:rsidRPr="00B0371F" w:rsidRDefault="001A4B11" w:rsidP="00B0371F">
      <w:pPr>
        <w:pStyle w:val="Heading3"/>
        <w:spacing w:beforeLines="100" w:before="240"/>
        <w:rPr>
          <w:b w:val="0"/>
          <w:bCs w:val="0"/>
          <w:lang w:val="en-GB"/>
        </w:rPr>
      </w:pPr>
      <w:r>
        <w:rPr>
          <w:lang w:val="en-GB"/>
        </w:rPr>
        <w:t>Improving access to</w:t>
      </w:r>
      <w:r w:rsidR="000C7206">
        <w:rPr>
          <w:lang w:val="en-GB"/>
        </w:rPr>
        <w:t xml:space="preserve"> the</w:t>
      </w:r>
      <w:r>
        <w:rPr>
          <w:lang w:val="en-GB"/>
        </w:rPr>
        <w:t xml:space="preserve"> debt agreement</w:t>
      </w:r>
      <w:r w:rsidR="000C7206">
        <w:rPr>
          <w:lang w:val="en-GB"/>
        </w:rPr>
        <w:t xml:space="preserve"> system</w:t>
      </w:r>
    </w:p>
    <w:p w14:paraId="1C2871FC" w14:textId="586B7FC2" w:rsidR="000C7206" w:rsidRDefault="000C7206" w:rsidP="000C7206">
      <w:r>
        <w:t xml:space="preserve">The </w:t>
      </w:r>
      <w:r w:rsidR="00857C5F">
        <w:t>government</w:t>
      </w:r>
      <w:r>
        <w:t xml:space="preserve"> is considering improving access to the debt agreement system by</w:t>
      </w:r>
      <w:r w:rsidR="00285481">
        <w:t>:</w:t>
      </w:r>
    </w:p>
    <w:p w14:paraId="551ED0C5" w14:textId="2E3C5EEB" w:rsidR="00060197" w:rsidRDefault="000C7206" w:rsidP="000C7206">
      <w:pPr>
        <w:pStyle w:val="ListParagraph"/>
        <w:numPr>
          <w:ilvl w:val="0"/>
          <w:numId w:val="7"/>
        </w:numPr>
      </w:pPr>
      <w:r>
        <w:t>extending the default term limit for debt agreements</w:t>
      </w:r>
      <w:r w:rsidR="00415C4C">
        <w:t xml:space="preserve"> to </w:t>
      </w:r>
      <w:r w:rsidR="008817FC">
        <w:t>5</w:t>
      </w:r>
      <w:r w:rsidR="00415C4C">
        <w:t xml:space="preserve"> years</w:t>
      </w:r>
      <w:r w:rsidR="00285481">
        <w:t>, and</w:t>
      </w:r>
    </w:p>
    <w:p w14:paraId="4238E7FB" w14:textId="0EADE96A" w:rsidR="000C7206" w:rsidRPr="00B0371F" w:rsidRDefault="0028670F" w:rsidP="00B0371F">
      <w:pPr>
        <w:pStyle w:val="ListParagraph"/>
        <w:numPr>
          <w:ilvl w:val="0"/>
          <w:numId w:val="7"/>
        </w:numPr>
      </w:pPr>
      <w:r>
        <w:t>increasing the eligibility thresholds for debt agreements</w:t>
      </w:r>
      <w:r w:rsidR="005A7799">
        <w:t>.</w:t>
      </w:r>
    </w:p>
    <w:p w14:paraId="6A6F4504" w14:textId="3AF43E2D" w:rsidR="009874D8" w:rsidRDefault="00A52CB2" w:rsidP="009874D8">
      <w:pPr>
        <w:rPr>
          <w:lang w:val="en-GB"/>
        </w:rPr>
      </w:pPr>
      <w:r w:rsidRPr="00B0371F">
        <w:rPr>
          <w:rFonts w:eastAsia="SimSun" w:cs="Angsana New"/>
          <w:b/>
          <w:bCs/>
          <w:color w:val="595959" w:themeColor="text1" w:themeTint="A6"/>
          <w:sz w:val="26"/>
          <w:szCs w:val="26"/>
          <w:lang w:val="en-GB"/>
        </w:rPr>
        <w:t>Extend the default term limit for debt agreements</w:t>
      </w:r>
      <w:r w:rsidR="007F048F" w:rsidRPr="00B0371F">
        <w:rPr>
          <w:rFonts w:eastAsia="SimSun" w:cs="Angsana New"/>
          <w:b/>
          <w:bCs/>
          <w:color w:val="595959" w:themeColor="text1" w:themeTint="A6"/>
          <w:sz w:val="26"/>
          <w:szCs w:val="26"/>
          <w:lang w:val="en-GB"/>
        </w:rPr>
        <w:t xml:space="preserve"> </w:t>
      </w:r>
      <w:r w:rsidR="000C3F42" w:rsidRPr="00B0371F">
        <w:rPr>
          <w:rFonts w:eastAsia="SimSun" w:cs="Angsana New"/>
          <w:b/>
          <w:bCs/>
          <w:color w:val="595959" w:themeColor="text1" w:themeTint="A6"/>
          <w:sz w:val="26"/>
          <w:szCs w:val="26"/>
          <w:lang w:val="en-GB"/>
        </w:rPr>
        <w:t>to 5 years</w:t>
      </w:r>
    </w:p>
    <w:p w14:paraId="4CF40290" w14:textId="6839CE75" w:rsidR="009E4C7B" w:rsidRPr="00B0371F" w:rsidRDefault="00CC2512" w:rsidP="005968E1">
      <w:r>
        <w:t>S</w:t>
      </w:r>
      <w:r w:rsidR="00CD7B54" w:rsidRPr="00F733FD">
        <w:t>takeholders</w:t>
      </w:r>
      <w:r w:rsidR="00CD7B54" w:rsidRPr="00EC381E">
        <w:t xml:space="preserve"> </w:t>
      </w:r>
      <w:r>
        <w:t>have</w:t>
      </w:r>
      <w:r w:rsidR="00BF3E03" w:rsidRPr="00B0371F">
        <w:t xml:space="preserve"> </w:t>
      </w:r>
      <w:r w:rsidR="00CD7B54" w:rsidRPr="00F733FD">
        <w:t xml:space="preserve">raised concerns </w:t>
      </w:r>
      <w:r w:rsidR="002D755F" w:rsidRPr="00F733FD">
        <w:t xml:space="preserve">that the </w:t>
      </w:r>
      <w:r w:rsidR="00E30C1E">
        <w:t>3</w:t>
      </w:r>
      <w:r w:rsidR="001A29E2">
        <w:t>-</w:t>
      </w:r>
      <w:r w:rsidR="00857C5F" w:rsidRPr="00F733FD">
        <w:t>year</w:t>
      </w:r>
      <w:r w:rsidR="003F6C1B" w:rsidRPr="00B0371F">
        <w:t xml:space="preserve"> default term limit </w:t>
      </w:r>
      <w:r w:rsidR="00BF3E03" w:rsidRPr="00B0371F">
        <w:t xml:space="preserve">has significantly </w:t>
      </w:r>
      <w:r w:rsidR="003F6C1B" w:rsidRPr="00B0371F">
        <w:t>restricted the formation of new debt agreements.</w:t>
      </w:r>
      <w:r w:rsidR="00374048" w:rsidRPr="00B0371F">
        <w:t xml:space="preserve"> </w:t>
      </w:r>
      <w:r w:rsidR="005A5E63">
        <w:rPr>
          <w:lang w:val="en-GB"/>
        </w:rPr>
        <w:t>To address these concerns, t</w:t>
      </w:r>
      <w:r w:rsidR="00A52CB2">
        <w:rPr>
          <w:lang w:val="en-GB"/>
        </w:rPr>
        <w:t xml:space="preserve">he </w:t>
      </w:r>
      <w:r w:rsidR="00112C29">
        <w:rPr>
          <w:lang w:val="en-GB"/>
        </w:rPr>
        <w:t>g</w:t>
      </w:r>
      <w:r w:rsidR="00857C5F">
        <w:rPr>
          <w:lang w:val="en-GB"/>
        </w:rPr>
        <w:t>overnment</w:t>
      </w:r>
      <w:r w:rsidR="00A52CB2">
        <w:rPr>
          <w:lang w:val="en-GB"/>
        </w:rPr>
        <w:t xml:space="preserve"> is considering extending the</w:t>
      </w:r>
      <w:r w:rsidR="00EB2124">
        <w:rPr>
          <w:lang w:val="en-GB"/>
        </w:rPr>
        <w:t xml:space="preserve"> default</w:t>
      </w:r>
      <w:r w:rsidR="00A52CB2">
        <w:rPr>
          <w:lang w:val="en-GB"/>
        </w:rPr>
        <w:t xml:space="preserve"> term limit for debt agreements to </w:t>
      </w:r>
      <w:r w:rsidR="008817FC">
        <w:rPr>
          <w:lang w:val="en-GB"/>
        </w:rPr>
        <w:t>5</w:t>
      </w:r>
      <w:r w:rsidR="00A52CB2">
        <w:rPr>
          <w:lang w:val="en-GB"/>
        </w:rPr>
        <w:t xml:space="preserve"> years</w:t>
      </w:r>
      <w:r w:rsidR="005A5E63">
        <w:t>.</w:t>
      </w:r>
      <w:r w:rsidR="00694873">
        <w:t xml:space="preserve"> </w:t>
      </w:r>
      <w:r w:rsidR="00F733FD">
        <w:t xml:space="preserve">The </w:t>
      </w:r>
      <w:r w:rsidR="00F2302B">
        <w:t>effect of extending the default term</w:t>
      </w:r>
      <w:r w:rsidR="00694873">
        <w:t xml:space="preserve"> </w:t>
      </w:r>
      <w:r w:rsidR="005A5E63">
        <w:t xml:space="preserve">is that the home ownership </w:t>
      </w:r>
      <w:r w:rsidR="005A5E63" w:rsidRPr="00F733FD">
        <w:t>exception</w:t>
      </w:r>
      <w:r w:rsidR="0004799B" w:rsidRPr="00F733FD">
        <w:t xml:space="preserve"> provided under section 185C</w:t>
      </w:r>
      <w:r w:rsidR="00EC381E" w:rsidRPr="00B0371F">
        <w:t>(2</w:t>
      </w:r>
      <w:proofErr w:type="gramStart"/>
      <w:r w:rsidR="00EC381E" w:rsidRPr="00B0371F">
        <w:t>AA)(</w:t>
      </w:r>
      <w:proofErr w:type="gramEnd"/>
      <w:r w:rsidR="00EC381E" w:rsidRPr="00B0371F">
        <w:t>b)</w:t>
      </w:r>
      <w:r w:rsidR="00DC330A">
        <w:t xml:space="preserve"> of the Bankruptcy Act</w:t>
      </w:r>
      <w:r w:rsidR="005A5E63" w:rsidRPr="00F733FD">
        <w:t xml:space="preserve"> would no longer apply</w:t>
      </w:r>
      <w:r w:rsidR="00EC381E">
        <w:t>;</w:t>
      </w:r>
      <w:r w:rsidR="005968E1">
        <w:t xml:space="preserve"> and</w:t>
      </w:r>
      <w:r w:rsidR="005A5E63" w:rsidRPr="00F733FD">
        <w:t xml:space="preserve"> the option of a 5 year debt agreement </w:t>
      </w:r>
      <w:r w:rsidR="00FB1165" w:rsidRPr="00F733FD">
        <w:t>will be available to</w:t>
      </w:r>
      <w:r w:rsidR="00FF513D" w:rsidRPr="00EC381E">
        <w:t xml:space="preserve"> all debtors</w:t>
      </w:r>
      <w:r w:rsidR="00EC381E" w:rsidRPr="00B0371F">
        <w:rPr>
          <w:lang w:val="en-GB"/>
        </w:rPr>
        <w:t>.</w:t>
      </w:r>
      <w:r w:rsidR="00AF0A8D">
        <w:rPr>
          <w:lang w:val="en-GB"/>
        </w:rPr>
        <w:t xml:space="preserve"> </w:t>
      </w:r>
    </w:p>
    <w:p w14:paraId="1644EE04" w14:textId="77777777" w:rsidR="00EB4427" w:rsidRDefault="00175F44">
      <w:pPr>
        <w:rPr>
          <w:lang w:val="en-GB"/>
        </w:rPr>
      </w:pPr>
      <w:r w:rsidRPr="00B0371F">
        <w:rPr>
          <w:lang w:val="en-GB"/>
        </w:rPr>
        <w:t>The</w:t>
      </w:r>
      <w:r w:rsidR="00EC381E" w:rsidRPr="00B0371F">
        <w:rPr>
          <w:lang w:val="en-GB"/>
        </w:rPr>
        <w:t xml:space="preserve"> aim of </w:t>
      </w:r>
      <w:r w:rsidR="002514C9">
        <w:rPr>
          <w:lang w:val="en-GB"/>
        </w:rPr>
        <w:t>extending the default term</w:t>
      </w:r>
      <w:r w:rsidR="00D27963">
        <w:rPr>
          <w:lang w:val="en-GB"/>
        </w:rPr>
        <w:t xml:space="preserve"> </w:t>
      </w:r>
      <w:r w:rsidR="00EC381E" w:rsidRPr="00B0371F">
        <w:rPr>
          <w:lang w:val="en-GB"/>
        </w:rPr>
        <w:t>is</w:t>
      </w:r>
      <w:r w:rsidRPr="00B0371F">
        <w:rPr>
          <w:lang w:val="en-GB"/>
        </w:rPr>
        <w:t xml:space="preserve"> that </w:t>
      </w:r>
      <w:r w:rsidR="00EC381E" w:rsidRPr="00B0371F">
        <w:rPr>
          <w:lang w:val="en-GB"/>
        </w:rPr>
        <w:t>debtors</w:t>
      </w:r>
      <w:r w:rsidRPr="00B0371F">
        <w:rPr>
          <w:lang w:val="en-GB"/>
        </w:rPr>
        <w:t xml:space="preserve"> </w:t>
      </w:r>
      <w:r w:rsidR="00EC381E" w:rsidRPr="00B0371F">
        <w:rPr>
          <w:lang w:val="en-GB"/>
        </w:rPr>
        <w:t xml:space="preserve">will </w:t>
      </w:r>
      <w:r w:rsidRPr="00B0371F">
        <w:rPr>
          <w:lang w:val="en-GB"/>
        </w:rPr>
        <w:t>have access to a sustainable</w:t>
      </w:r>
      <w:r w:rsidR="002725E6" w:rsidRPr="00B0371F">
        <w:rPr>
          <w:lang w:val="en-GB"/>
        </w:rPr>
        <w:t xml:space="preserve"> debt agreement</w:t>
      </w:r>
      <w:r w:rsidRPr="00B0371F">
        <w:rPr>
          <w:lang w:val="en-GB"/>
        </w:rPr>
        <w:t xml:space="preserve"> with a defined term limit</w:t>
      </w:r>
      <w:r w:rsidR="002725E6" w:rsidRPr="00B0371F">
        <w:rPr>
          <w:lang w:val="en-GB"/>
        </w:rPr>
        <w:t>,</w:t>
      </w:r>
      <w:r w:rsidR="00B96EE0" w:rsidRPr="00B0371F">
        <w:rPr>
          <w:lang w:val="en-GB"/>
        </w:rPr>
        <w:t xml:space="preserve"> while </w:t>
      </w:r>
      <w:r w:rsidR="000701A1">
        <w:rPr>
          <w:lang w:val="en-GB"/>
        </w:rPr>
        <w:t xml:space="preserve">providing </w:t>
      </w:r>
      <w:r w:rsidR="00B96EE0" w:rsidRPr="00B0371F">
        <w:rPr>
          <w:lang w:val="en-GB"/>
        </w:rPr>
        <w:t>creditors</w:t>
      </w:r>
      <w:r w:rsidR="00F51E45" w:rsidRPr="00B0371F">
        <w:rPr>
          <w:lang w:val="en-GB"/>
        </w:rPr>
        <w:t xml:space="preserve"> </w:t>
      </w:r>
      <w:r w:rsidR="000701A1">
        <w:rPr>
          <w:lang w:val="en-GB"/>
        </w:rPr>
        <w:t xml:space="preserve">with </w:t>
      </w:r>
      <w:r w:rsidR="00F51E45" w:rsidRPr="00B0371F">
        <w:rPr>
          <w:lang w:val="en-GB"/>
        </w:rPr>
        <w:t>reasonable prospects</w:t>
      </w:r>
      <w:r w:rsidR="00B96EE0" w:rsidRPr="00B0371F">
        <w:rPr>
          <w:lang w:val="en-GB"/>
        </w:rPr>
        <w:t xml:space="preserve"> </w:t>
      </w:r>
      <w:r w:rsidR="00F51E45" w:rsidRPr="00B0371F">
        <w:rPr>
          <w:lang w:val="en-GB"/>
        </w:rPr>
        <w:t xml:space="preserve">to </w:t>
      </w:r>
      <w:r w:rsidR="00B96EE0" w:rsidRPr="00B0371F">
        <w:rPr>
          <w:lang w:val="en-GB"/>
        </w:rPr>
        <w:t xml:space="preserve">receive a </w:t>
      </w:r>
      <w:r w:rsidR="0028670F" w:rsidRPr="00F733FD">
        <w:rPr>
          <w:lang w:val="en-GB"/>
        </w:rPr>
        <w:t xml:space="preserve">commercially </w:t>
      </w:r>
      <w:r w:rsidR="0028670F" w:rsidRPr="00EC381E">
        <w:rPr>
          <w:lang w:val="en-GB"/>
        </w:rPr>
        <w:t>acceptable</w:t>
      </w:r>
      <w:r w:rsidR="00120771" w:rsidRPr="00EC381E">
        <w:rPr>
          <w:lang w:val="en-GB"/>
        </w:rPr>
        <w:t xml:space="preserve"> return</w:t>
      </w:r>
      <w:r w:rsidR="00CA3772" w:rsidRPr="00EC381E">
        <w:rPr>
          <w:lang w:val="en-GB"/>
        </w:rPr>
        <w:t>.</w:t>
      </w:r>
    </w:p>
    <w:p w14:paraId="1F17161C" w14:textId="6D982822" w:rsidR="00D27963" w:rsidRDefault="00D27963">
      <w:pPr>
        <w:rPr>
          <w:b/>
          <w:lang w:val="en-GB"/>
        </w:rPr>
      </w:pPr>
      <w:r w:rsidRPr="00A13561">
        <w:rPr>
          <w:b/>
          <w:lang w:val="en-GB"/>
        </w:rPr>
        <w:t xml:space="preserve">Question – the </w:t>
      </w:r>
      <w:r w:rsidR="00FF79D6">
        <w:rPr>
          <w:b/>
          <w:lang w:val="en-GB"/>
        </w:rPr>
        <w:t>g</w:t>
      </w:r>
      <w:r w:rsidR="00857C5F">
        <w:rPr>
          <w:b/>
          <w:lang w:val="en-GB"/>
        </w:rPr>
        <w:t>overnment</w:t>
      </w:r>
      <w:r w:rsidRPr="00A13561">
        <w:rPr>
          <w:b/>
          <w:lang w:val="en-GB"/>
        </w:rPr>
        <w:t xml:space="preserve"> seeks stakeholder views </w:t>
      </w:r>
      <w:r w:rsidRPr="00BE5BA1">
        <w:rPr>
          <w:b/>
          <w:lang w:val="en-GB"/>
        </w:rPr>
        <w:t>on</w:t>
      </w:r>
      <w:r>
        <w:rPr>
          <w:b/>
          <w:lang w:val="en-GB"/>
        </w:rPr>
        <w:t xml:space="preserve"> whether </w:t>
      </w:r>
      <w:r w:rsidR="00BB3345">
        <w:rPr>
          <w:b/>
          <w:lang w:val="en-GB"/>
        </w:rPr>
        <w:t xml:space="preserve">the default term limit for debt agreements should be extended to </w:t>
      </w:r>
      <w:r w:rsidR="008817FC">
        <w:rPr>
          <w:b/>
          <w:lang w:val="en-GB"/>
        </w:rPr>
        <w:t>5</w:t>
      </w:r>
      <w:r w:rsidR="00BB3345">
        <w:rPr>
          <w:b/>
          <w:lang w:val="en-GB"/>
        </w:rPr>
        <w:t xml:space="preserve"> years</w:t>
      </w:r>
      <w:r w:rsidRPr="00B0371F">
        <w:rPr>
          <w:b/>
          <w:lang w:val="en-GB"/>
        </w:rPr>
        <w:t>.</w:t>
      </w:r>
    </w:p>
    <w:p w14:paraId="4FA75BD4" w14:textId="3E4473D7" w:rsidR="00466486" w:rsidRPr="00B0371F" w:rsidRDefault="00466486" w:rsidP="00466486">
      <w:pPr>
        <w:rPr>
          <w:b/>
          <w:lang w:val="en-GB"/>
        </w:rPr>
      </w:pPr>
      <w:r w:rsidRPr="00A13561">
        <w:rPr>
          <w:b/>
          <w:lang w:val="en-GB"/>
        </w:rPr>
        <w:lastRenderedPageBreak/>
        <w:t xml:space="preserve">Question – the </w:t>
      </w:r>
      <w:r>
        <w:rPr>
          <w:b/>
          <w:lang w:val="en-GB"/>
        </w:rPr>
        <w:t>g</w:t>
      </w:r>
      <w:r w:rsidRPr="00A13561">
        <w:rPr>
          <w:b/>
          <w:lang w:val="en-GB"/>
        </w:rPr>
        <w:t xml:space="preserve">overnment </w:t>
      </w:r>
      <w:r>
        <w:rPr>
          <w:b/>
          <w:lang w:val="en-GB"/>
        </w:rPr>
        <w:t xml:space="preserve">also </w:t>
      </w:r>
      <w:r w:rsidRPr="00A13561">
        <w:rPr>
          <w:b/>
          <w:lang w:val="en-GB"/>
        </w:rPr>
        <w:t xml:space="preserve">seeks stakeholder views </w:t>
      </w:r>
      <w:r w:rsidRPr="00BE5BA1">
        <w:rPr>
          <w:b/>
          <w:lang w:val="en-GB"/>
        </w:rPr>
        <w:t>on</w:t>
      </w:r>
      <w:r>
        <w:rPr>
          <w:b/>
          <w:lang w:val="en-GB"/>
        </w:rPr>
        <w:t xml:space="preserve"> whether </w:t>
      </w:r>
      <w:r w:rsidRPr="00E05205">
        <w:rPr>
          <w:b/>
          <w:lang w:val="en-GB"/>
        </w:rPr>
        <w:t xml:space="preserve">the home ownership exception </w:t>
      </w:r>
      <w:r>
        <w:rPr>
          <w:b/>
          <w:lang w:val="en-GB"/>
        </w:rPr>
        <w:t xml:space="preserve">should </w:t>
      </w:r>
      <w:r w:rsidRPr="00E05205">
        <w:rPr>
          <w:b/>
          <w:lang w:val="en-GB"/>
        </w:rPr>
        <w:t>remain</w:t>
      </w:r>
      <w:r>
        <w:rPr>
          <w:b/>
          <w:lang w:val="en-GB"/>
        </w:rPr>
        <w:t xml:space="preserve"> to allow a debtor with a real interest in property to propose a longer debt agreement beyond a 5</w:t>
      </w:r>
      <w:r w:rsidR="00991449">
        <w:rPr>
          <w:b/>
          <w:lang w:val="en-GB"/>
        </w:rPr>
        <w:t>-</w:t>
      </w:r>
      <w:r>
        <w:rPr>
          <w:b/>
          <w:lang w:val="en-GB"/>
        </w:rPr>
        <w:t>year default term.</w:t>
      </w:r>
    </w:p>
    <w:p w14:paraId="7A8C4E9C" w14:textId="47A4791C" w:rsidR="009A07A1" w:rsidRPr="00B0371F" w:rsidRDefault="009A07A1" w:rsidP="009A07A1">
      <w:pPr>
        <w:rPr>
          <w:b/>
          <w:lang w:val="en-GB"/>
        </w:rPr>
      </w:pPr>
      <w:r w:rsidRPr="00A13561">
        <w:rPr>
          <w:b/>
          <w:lang w:val="en-GB"/>
        </w:rPr>
        <w:t>Question –</w:t>
      </w:r>
      <w:r w:rsidRPr="00AF0A8D">
        <w:rPr>
          <w:lang w:val="en-GB"/>
        </w:rPr>
        <w:t xml:space="preserve"> </w:t>
      </w:r>
      <w:r w:rsidRPr="00AF0A8D">
        <w:rPr>
          <w:b/>
          <w:lang w:val="en-GB"/>
        </w:rPr>
        <w:t>Section 185M</w:t>
      </w:r>
      <w:r>
        <w:rPr>
          <w:b/>
          <w:lang w:val="en-GB"/>
        </w:rPr>
        <w:t xml:space="preserve"> of the Bankruptcy Act</w:t>
      </w:r>
      <w:r w:rsidRPr="00AF0A8D">
        <w:rPr>
          <w:b/>
          <w:lang w:val="en-GB"/>
        </w:rPr>
        <w:t xml:space="preserve"> gives </w:t>
      </w:r>
      <w:r w:rsidRPr="00AF0A8D">
        <w:rPr>
          <w:b/>
        </w:rPr>
        <w:t xml:space="preserve">debtors the flexibility to vary their debt agreement to up to </w:t>
      </w:r>
      <w:r w:rsidR="008817FC">
        <w:rPr>
          <w:b/>
        </w:rPr>
        <w:t>5</w:t>
      </w:r>
      <w:r w:rsidRPr="00AF0A8D">
        <w:rPr>
          <w:b/>
        </w:rPr>
        <w:t xml:space="preserve"> years if they suffer a substantial and unforeseen change in circumstances. </w:t>
      </w:r>
      <w:r w:rsidRPr="00AF0A8D">
        <w:rPr>
          <w:b/>
          <w:lang w:val="en-GB"/>
        </w:rPr>
        <w:t xml:space="preserve">The </w:t>
      </w:r>
      <w:r w:rsidR="00DF034C">
        <w:rPr>
          <w:b/>
          <w:lang w:val="en-GB"/>
        </w:rPr>
        <w:t>g</w:t>
      </w:r>
      <w:r w:rsidRPr="00AF0A8D">
        <w:rPr>
          <w:b/>
          <w:lang w:val="en-GB"/>
        </w:rPr>
        <w:t xml:space="preserve">overnment </w:t>
      </w:r>
      <w:r w:rsidR="00DF034C">
        <w:rPr>
          <w:b/>
          <w:lang w:val="en-GB"/>
        </w:rPr>
        <w:t xml:space="preserve">seeks </w:t>
      </w:r>
      <w:r w:rsidRPr="00AF0A8D">
        <w:rPr>
          <w:b/>
          <w:lang w:val="en-GB"/>
        </w:rPr>
        <w:t>stakeholder views on what form this variation exception should take if the default term</w:t>
      </w:r>
      <w:r>
        <w:rPr>
          <w:b/>
          <w:lang w:val="en-GB"/>
        </w:rPr>
        <w:t xml:space="preserve"> for debt agreements</w:t>
      </w:r>
      <w:r w:rsidRPr="00AF0A8D">
        <w:rPr>
          <w:b/>
          <w:lang w:val="en-GB"/>
        </w:rPr>
        <w:t xml:space="preserve"> is extended to </w:t>
      </w:r>
      <w:r w:rsidR="008817FC">
        <w:rPr>
          <w:b/>
          <w:lang w:val="en-GB"/>
        </w:rPr>
        <w:t>5</w:t>
      </w:r>
      <w:r w:rsidRPr="00AF0A8D">
        <w:rPr>
          <w:b/>
          <w:lang w:val="en-GB"/>
        </w:rPr>
        <w:t xml:space="preserve"> years.</w:t>
      </w:r>
    </w:p>
    <w:p w14:paraId="519BE40D" w14:textId="1C8BB9DD" w:rsidR="00EC1B2B" w:rsidRPr="00B0371F" w:rsidRDefault="008C0888" w:rsidP="00745F09">
      <w:pPr>
        <w:keepNext/>
        <w:rPr>
          <w:color w:val="595959" w:themeColor="text1" w:themeTint="A6"/>
          <w:sz w:val="26"/>
          <w:szCs w:val="26"/>
          <w:lang w:val="en-GB"/>
        </w:rPr>
      </w:pPr>
      <w:r w:rsidRPr="00B0371F">
        <w:rPr>
          <w:rFonts w:eastAsia="SimSun" w:cs="Angsana New"/>
          <w:b/>
          <w:bCs/>
          <w:color w:val="595959" w:themeColor="text1" w:themeTint="A6"/>
          <w:sz w:val="26"/>
          <w:szCs w:val="26"/>
          <w:lang w:val="en-GB"/>
        </w:rPr>
        <w:t>Increase</w:t>
      </w:r>
      <w:r w:rsidR="003C5E94">
        <w:rPr>
          <w:rFonts w:eastAsia="SimSun" w:cs="Angsana New"/>
          <w:b/>
          <w:bCs/>
          <w:color w:val="595959" w:themeColor="text1" w:themeTint="A6"/>
          <w:sz w:val="26"/>
          <w:szCs w:val="26"/>
          <w:lang w:val="en-GB"/>
        </w:rPr>
        <w:t xml:space="preserve"> the</w:t>
      </w:r>
      <w:r w:rsidR="00EC1B2B" w:rsidRPr="00B0371F">
        <w:rPr>
          <w:rFonts w:eastAsia="SimSun" w:cs="Angsana New"/>
          <w:b/>
          <w:bCs/>
          <w:color w:val="595959" w:themeColor="text1" w:themeTint="A6"/>
          <w:sz w:val="26"/>
          <w:szCs w:val="26"/>
          <w:lang w:val="en-GB"/>
        </w:rPr>
        <w:t xml:space="preserve"> eligibility thresholds for debt agreements</w:t>
      </w:r>
    </w:p>
    <w:p w14:paraId="62745C50" w14:textId="0F82DBCF" w:rsidR="001E348D" w:rsidRDefault="00EC1B2B" w:rsidP="00745F09">
      <w:pPr>
        <w:keepNext/>
        <w:spacing w:after="120"/>
        <w:rPr>
          <w:lang w:val="en-GB"/>
        </w:rPr>
      </w:pPr>
      <w:r>
        <w:rPr>
          <w:lang w:val="en-GB"/>
        </w:rPr>
        <w:t xml:space="preserve">The </w:t>
      </w:r>
      <w:r w:rsidR="00857C5F">
        <w:rPr>
          <w:lang w:val="en-GB"/>
        </w:rPr>
        <w:t>government</w:t>
      </w:r>
      <w:r>
        <w:rPr>
          <w:lang w:val="en-GB"/>
        </w:rPr>
        <w:t xml:space="preserve"> is considering increasing the debt and income</w:t>
      </w:r>
      <w:r w:rsidRPr="00CE7161">
        <w:rPr>
          <w:lang w:val="en-GB"/>
        </w:rPr>
        <w:t xml:space="preserve"> thresholds to </w:t>
      </w:r>
      <w:r>
        <w:rPr>
          <w:lang w:val="en-GB"/>
        </w:rPr>
        <w:t>match the asset threshold</w:t>
      </w:r>
      <w:r w:rsidRPr="00CE7161">
        <w:rPr>
          <w:lang w:val="en-GB"/>
        </w:rPr>
        <w:t>.</w:t>
      </w:r>
      <w:r>
        <w:rPr>
          <w:lang w:val="en-GB"/>
        </w:rPr>
        <w:t xml:space="preserve"> </w:t>
      </w:r>
      <w:r w:rsidR="001E348D">
        <w:rPr>
          <w:lang w:val="en-GB"/>
        </w:rPr>
        <w:t>At the time of publication, t</w:t>
      </w:r>
      <w:r>
        <w:rPr>
          <w:lang w:val="en-GB"/>
        </w:rPr>
        <w:t>he debt</w:t>
      </w:r>
      <w:r w:rsidR="001E348D">
        <w:rPr>
          <w:lang w:val="en-GB"/>
        </w:rPr>
        <w:t>,</w:t>
      </w:r>
      <w:r w:rsidRPr="00D14FFF">
        <w:rPr>
          <w:lang w:val="en-GB"/>
        </w:rPr>
        <w:t xml:space="preserve"> income</w:t>
      </w:r>
      <w:r w:rsidR="001E348D">
        <w:rPr>
          <w:lang w:val="en-GB"/>
        </w:rPr>
        <w:t xml:space="preserve"> and asset</w:t>
      </w:r>
      <w:r w:rsidRPr="00D14FFF">
        <w:rPr>
          <w:lang w:val="en-GB"/>
        </w:rPr>
        <w:t xml:space="preserve"> thresholds </w:t>
      </w:r>
      <w:r w:rsidR="001E348D">
        <w:rPr>
          <w:lang w:val="en-GB"/>
        </w:rPr>
        <w:t xml:space="preserve">are </w:t>
      </w:r>
      <w:r w:rsidR="004A165B" w:rsidRPr="00D14FFF">
        <w:rPr>
          <w:lang w:val="en-GB"/>
        </w:rPr>
        <w:t>$1</w:t>
      </w:r>
      <w:r w:rsidR="004A165B">
        <w:rPr>
          <w:lang w:val="en-GB"/>
        </w:rPr>
        <w:t>21</w:t>
      </w:r>
      <w:r w:rsidR="004A165B" w:rsidRPr="00D14FFF">
        <w:rPr>
          <w:lang w:val="en-GB"/>
        </w:rPr>
        <w:t>,</w:t>
      </w:r>
      <w:r w:rsidR="004A165B">
        <w:rPr>
          <w:lang w:val="en-GB"/>
        </w:rPr>
        <w:t>030</w:t>
      </w:r>
      <w:r w:rsidR="004A165B" w:rsidRPr="00D14FFF">
        <w:rPr>
          <w:lang w:val="en-GB"/>
        </w:rPr>
        <w:t>.00</w:t>
      </w:r>
      <w:r w:rsidRPr="00D14FFF">
        <w:rPr>
          <w:lang w:val="en-GB"/>
        </w:rPr>
        <w:t xml:space="preserve">, </w:t>
      </w:r>
      <w:r w:rsidR="004A165B" w:rsidRPr="00D14FFF">
        <w:rPr>
          <w:lang w:val="en-GB"/>
        </w:rPr>
        <w:t>$</w:t>
      </w:r>
      <w:r w:rsidR="004A165B">
        <w:rPr>
          <w:lang w:val="en-GB"/>
        </w:rPr>
        <w:t>90</w:t>
      </w:r>
      <w:r w:rsidR="004A165B" w:rsidRPr="00D14FFF">
        <w:rPr>
          <w:lang w:val="en-GB"/>
        </w:rPr>
        <w:t>,</w:t>
      </w:r>
      <w:r w:rsidR="004A165B">
        <w:rPr>
          <w:lang w:val="en-GB"/>
        </w:rPr>
        <w:t>772</w:t>
      </w:r>
      <w:r w:rsidR="004A165B" w:rsidRPr="00D14FFF">
        <w:rPr>
          <w:lang w:val="en-GB"/>
        </w:rPr>
        <w:t>.</w:t>
      </w:r>
      <w:r w:rsidR="004A165B">
        <w:rPr>
          <w:lang w:val="en-GB"/>
        </w:rPr>
        <w:t>50</w:t>
      </w:r>
      <w:r w:rsidR="001E348D">
        <w:rPr>
          <w:lang w:val="en-GB"/>
        </w:rPr>
        <w:t xml:space="preserve">, and </w:t>
      </w:r>
      <w:r w:rsidR="001E348D" w:rsidRPr="00D14FFF">
        <w:rPr>
          <w:lang w:val="en-GB"/>
        </w:rPr>
        <w:t>$2</w:t>
      </w:r>
      <w:r w:rsidR="001E348D">
        <w:rPr>
          <w:lang w:val="en-GB"/>
        </w:rPr>
        <w:t>42</w:t>
      </w:r>
      <w:r w:rsidR="001E348D" w:rsidRPr="00D14FFF">
        <w:rPr>
          <w:lang w:val="en-GB"/>
        </w:rPr>
        <w:t>,</w:t>
      </w:r>
      <w:r w:rsidR="001E348D">
        <w:rPr>
          <w:lang w:val="en-GB"/>
        </w:rPr>
        <w:t>060</w:t>
      </w:r>
      <w:r w:rsidR="001E348D" w:rsidRPr="00D14FFF">
        <w:rPr>
          <w:lang w:val="en-GB"/>
        </w:rPr>
        <w:t>.00</w:t>
      </w:r>
      <w:r w:rsidR="001E348D">
        <w:rPr>
          <w:lang w:val="en-GB"/>
        </w:rPr>
        <w:t xml:space="preserve">, </w:t>
      </w:r>
      <w:r w:rsidRPr="00D14FFF">
        <w:rPr>
          <w:lang w:val="en-GB"/>
        </w:rPr>
        <w:t>respectively.</w:t>
      </w:r>
      <w:r w:rsidR="008964B1">
        <w:rPr>
          <w:lang w:val="en-GB"/>
        </w:rPr>
        <w:t xml:space="preserve"> </w:t>
      </w:r>
      <w:r>
        <w:rPr>
          <w:lang w:val="en-GB"/>
        </w:rPr>
        <w:t>T</w:t>
      </w:r>
      <w:r w:rsidRPr="00541540">
        <w:rPr>
          <w:lang w:val="en-GB"/>
        </w:rPr>
        <w:t xml:space="preserve">he dollar amounts </w:t>
      </w:r>
      <w:r>
        <w:rPr>
          <w:lang w:val="en-GB"/>
        </w:rPr>
        <w:t xml:space="preserve">for the debt, income </w:t>
      </w:r>
      <w:r w:rsidR="005B0106">
        <w:rPr>
          <w:lang w:val="en-GB"/>
        </w:rPr>
        <w:t xml:space="preserve">and asset </w:t>
      </w:r>
      <w:r>
        <w:rPr>
          <w:lang w:val="en-GB"/>
        </w:rPr>
        <w:t xml:space="preserve">thresholds </w:t>
      </w:r>
      <w:r w:rsidRPr="00541540">
        <w:rPr>
          <w:lang w:val="en-GB"/>
        </w:rPr>
        <w:t>are indexed</w:t>
      </w:r>
      <w:r>
        <w:rPr>
          <w:lang w:val="en-GB"/>
        </w:rPr>
        <w:t>.</w:t>
      </w:r>
      <w:r w:rsidR="003F1B18">
        <w:rPr>
          <w:lang w:val="en-GB"/>
        </w:rPr>
        <w:t xml:space="preserve"> </w:t>
      </w:r>
    </w:p>
    <w:p w14:paraId="6C5C9002" w14:textId="03D006D4" w:rsidR="001E348D" w:rsidRPr="00B0371F" w:rsidRDefault="002F78E8" w:rsidP="00745F09">
      <w:pPr>
        <w:keepNext/>
        <w:spacing w:after="120"/>
      </w:pPr>
      <w:r>
        <w:rPr>
          <w:lang w:val="en-GB"/>
        </w:rPr>
        <w:t>I</w:t>
      </w:r>
      <w:r w:rsidR="00EC1B2B">
        <w:rPr>
          <w:lang w:val="en-GB"/>
        </w:rPr>
        <w:t xml:space="preserve">ncreasing the debt and income thresholds </w:t>
      </w:r>
      <w:r>
        <w:rPr>
          <w:lang w:val="en-GB"/>
        </w:rPr>
        <w:t xml:space="preserve">will mean </w:t>
      </w:r>
      <w:r w:rsidR="00EC1B2B">
        <w:rPr>
          <w:lang w:val="en-GB"/>
        </w:rPr>
        <w:t xml:space="preserve">the </w:t>
      </w:r>
      <w:r w:rsidR="00EC1B2B" w:rsidRPr="00D14FFF">
        <w:rPr>
          <w:lang w:val="en-GB"/>
        </w:rPr>
        <w:t>debt agreement</w:t>
      </w:r>
      <w:r w:rsidR="00EC1B2B">
        <w:rPr>
          <w:lang w:val="en-GB"/>
        </w:rPr>
        <w:t xml:space="preserve"> system</w:t>
      </w:r>
      <w:r>
        <w:rPr>
          <w:lang w:val="en-GB"/>
        </w:rPr>
        <w:t xml:space="preserve"> is</w:t>
      </w:r>
      <w:r w:rsidR="00EC1B2B">
        <w:rPr>
          <w:lang w:val="en-GB"/>
        </w:rPr>
        <w:t xml:space="preserve"> </w:t>
      </w:r>
      <w:r>
        <w:rPr>
          <w:lang w:val="en-GB"/>
        </w:rPr>
        <w:t>more accessible to</w:t>
      </w:r>
      <w:r w:rsidR="001D3BD9">
        <w:rPr>
          <w:lang w:val="en-GB"/>
        </w:rPr>
        <w:t xml:space="preserve"> a wider range of</w:t>
      </w:r>
      <w:r>
        <w:rPr>
          <w:lang w:val="en-GB"/>
        </w:rPr>
        <w:t xml:space="preserve"> debtors </w:t>
      </w:r>
      <w:r w:rsidR="00EC1B2B">
        <w:rPr>
          <w:lang w:val="en-GB"/>
        </w:rPr>
        <w:t>with higher incomes and levels of debt</w:t>
      </w:r>
      <w:r w:rsidR="001D3BD9">
        <w:rPr>
          <w:lang w:val="en-GB"/>
        </w:rPr>
        <w:t>, giving them</w:t>
      </w:r>
      <w:r w:rsidR="001D3BD9" w:rsidRPr="001D3BD9">
        <w:rPr>
          <w:rFonts w:asciiTheme="minorHAnsi" w:hAnsiTheme="minorHAnsi" w:cstheme="minorHAnsi"/>
        </w:rPr>
        <w:t xml:space="preserve"> </w:t>
      </w:r>
      <w:r w:rsidR="001D3BD9" w:rsidRPr="00DF37B2">
        <w:rPr>
          <w:rFonts w:asciiTheme="minorHAnsi" w:hAnsiTheme="minorHAnsi" w:cstheme="minorHAnsi"/>
        </w:rPr>
        <w:t>an</w:t>
      </w:r>
      <w:r w:rsidR="005577C6">
        <w:rPr>
          <w:rFonts w:asciiTheme="minorHAnsi" w:hAnsiTheme="minorHAnsi" w:cstheme="minorHAnsi"/>
        </w:rPr>
        <w:t>other formal insolvency option</w:t>
      </w:r>
      <w:r w:rsidR="009874D8">
        <w:rPr>
          <w:rFonts w:asciiTheme="minorHAnsi" w:hAnsiTheme="minorHAnsi" w:cstheme="minorHAnsi"/>
        </w:rPr>
        <w:t xml:space="preserve"> (including a PIA)</w:t>
      </w:r>
      <w:r w:rsidR="001D3BD9" w:rsidRPr="00DF37B2">
        <w:rPr>
          <w:rFonts w:asciiTheme="minorHAnsi" w:hAnsiTheme="minorHAnsi" w:cstheme="minorHAnsi"/>
        </w:rPr>
        <w:t xml:space="preserve"> to avoid the</w:t>
      </w:r>
      <w:r w:rsidR="0003541B">
        <w:rPr>
          <w:rFonts w:asciiTheme="minorHAnsi" w:hAnsiTheme="minorHAnsi" w:cstheme="minorHAnsi"/>
        </w:rPr>
        <w:t xml:space="preserve"> restrictions and</w:t>
      </w:r>
      <w:r w:rsidR="001D3BD9" w:rsidRPr="00DF37B2">
        <w:rPr>
          <w:rFonts w:asciiTheme="minorHAnsi" w:hAnsiTheme="minorHAnsi" w:cstheme="minorHAnsi"/>
        </w:rPr>
        <w:t xml:space="preserve"> consequences </w:t>
      </w:r>
      <w:r w:rsidR="0003541B">
        <w:rPr>
          <w:rFonts w:asciiTheme="minorHAnsi" w:hAnsiTheme="minorHAnsi" w:cstheme="minorHAnsi"/>
        </w:rPr>
        <w:t xml:space="preserve">of </w:t>
      </w:r>
      <w:r w:rsidR="001D3BD9" w:rsidRPr="00DF37B2">
        <w:rPr>
          <w:rFonts w:asciiTheme="minorHAnsi" w:hAnsiTheme="minorHAnsi" w:cstheme="minorHAnsi"/>
        </w:rPr>
        <w:t>bankruptcy</w:t>
      </w:r>
      <w:r w:rsidR="001D3BD9">
        <w:rPr>
          <w:lang w:val="en-GB"/>
        </w:rPr>
        <w:t>.</w:t>
      </w:r>
      <w:r w:rsidR="001E348D" w:rsidRPr="001E348D">
        <w:t xml:space="preserve"> </w:t>
      </w:r>
    </w:p>
    <w:p w14:paraId="4BBC9422" w14:textId="58C310BD" w:rsidR="003C5E94" w:rsidRDefault="003C5E94" w:rsidP="004B6660">
      <w:pPr>
        <w:pStyle w:val="Heading3"/>
        <w:spacing w:beforeLines="100" w:before="240"/>
        <w:rPr>
          <w:lang w:val="en-GB"/>
        </w:rPr>
      </w:pPr>
      <w:r>
        <w:rPr>
          <w:lang w:val="en-GB"/>
        </w:rPr>
        <w:t>Minimising the consequences of the debt agreement system</w:t>
      </w:r>
    </w:p>
    <w:p w14:paraId="409987E5" w14:textId="0CD66CFB" w:rsidR="00EC1B2B" w:rsidRDefault="008C0888" w:rsidP="00B0371F">
      <w:pPr>
        <w:pStyle w:val="Heading4"/>
        <w:spacing w:beforeLines="100" w:before="240"/>
      </w:pPr>
      <w:r w:rsidRPr="00B0371F">
        <w:rPr>
          <w:lang w:val="en-GB"/>
        </w:rPr>
        <w:t>Reduce</w:t>
      </w:r>
      <w:r w:rsidR="00EC1B2B" w:rsidRPr="00B0371F">
        <w:rPr>
          <w:lang w:val="en-GB"/>
        </w:rPr>
        <w:t xml:space="preserve"> exclusion period for proposing debt agreement</w:t>
      </w:r>
      <w:r w:rsidR="00FC724E" w:rsidRPr="00B0371F">
        <w:rPr>
          <w:lang w:val="en-GB"/>
        </w:rPr>
        <w:t>s</w:t>
      </w:r>
      <w:r w:rsidR="00EC1B2B" w:rsidRPr="00B0371F">
        <w:rPr>
          <w:lang w:val="en-GB"/>
        </w:rPr>
        <w:t xml:space="preserve"> </w:t>
      </w:r>
    </w:p>
    <w:p w14:paraId="3BED6A9A" w14:textId="0CEAE3CF" w:rsidR="003C5E94" w:rsidRDefault="00EC1B2B" w:rsidP="00EC1B2B">
      <w:pPr>
        <w:spacing w:after="120"/>
        <w:rPr>
          <w:lang w:val="en-GB"/>
        </w:rPr>
      </w:pPr>
      <w:r>
        <w:rPr>
          <w:lang w:val="en-GB"/>
        </w:rPr>
        <w:t xml:space="preserve">A person </w:t>
      </w:r>
      <w:r w:rsidRPr="005C4F48">
        <w:rPr>
          <w:lang w:val="en-GB"/>
        </w:rPr>
        <w:t>cannot lodge a debt agreement proposal if they have been bankrupt, in a debt agreement or a</w:t>
      </w:r>
      <w:r w:rsidR="001B0526">
        <w:rPr>
          <w:lang w:val="en-GB"/>
        </w:rPr>
        <w:t xml:space="preserve"> PIA</w:t>
      </w:r>
      <w:r w:rsidRPr="005C4F48">
        <w:rPr>
          <w:lang w:val="en-GB"/>
        </w:rPr>
        <w:t xml:space="preserve"> in the previous</w:t>
      </w:r>
      <w:r w:rsidR="007C3195">
        <w:rPr>
          <w:lang w:val="en-GB"/>
        </w:rPr>
        <w:t xml:space="preserve"> 10 </w:t>
      </w:r>
      <w:r w:rsidRPr="005C4F48">
        <w:rPr>
          <w:lang w:val="en-GB"/>
        </w:rPr>
        <w:t>years.</w:t>
      </w:r>
      <w:r>
        <w:rPr>
          <w:lang w:val="en-GB"/>
        </w:rPr>
        <w:t xml:space="preserve"> </w:t>
      </w:r>
    </w:p>
    <w:p w14:paraId="65479564" w14:textId="0869FADA" w:rsidR="00EC1B2B" w:rsidRDefault="00EC1B2B" w:rsidP="00EC1B2B">
      <w:pPr>
        <w:spacing w:after="120"/>
        <w:rPr>
          <w:lang w:val="en-GB"/>
        </w:rPr>
      </w:pPr>
      <w:r>
        <w:rPr>
          <w:lang w:val="en-GB"/>
        </w:rPr>
        <w:t xml:space="preserve">The </w:t>
      </w:r>
      <w:r w:rsidR="00857C5F">
        <w:rPr>
          <w:lang w:val="en-GB"/>
        </w:rPr>
        <w:t>government</w:t>
      </w:r>
      <w:r>
        <w:rPr>
          <w:lang w:val="en-GB"/>
        </w:rPr>
        <w:t xml:space="preserve"> is considering reducing this</w:t>
      </w:r>
      <w:r w:rsidR="007F4156">
        <w:rPr>
          <w:lang w:val="en-GB"/>
        </w:rPr>
        <w:t xml:space="preserve"> exclusion</w:t>
      </w:r>
      <w:r>
        <w:rPr>
          <w:lang w:val="en-GB"/>
        </w:rPr>
        <w:t xml:space="preserve"> period from</w:t>
      </w:r>
      <w:r w:rsidR="007C3195">
        <w:rPr>
          <w:lang w:val="en-GB"/>
        </w:rPr>
        <w:t xml:space="preserve"> 10 </w:t>
      </w:r>
      <w:r>
        <w:rPr>
          <w:lang w:val="en-GB"/>
        </w:rPr>
        <w:t xml:space="preserve">years to </w:t>
      </w:r>
      <w:r w:rsidR="008F5FFA">
        <w:rPr>
          <w:lang w:val="en-GB"/>
        </w:rPr>
        <w:t>7</w:t>
      </w:r>
      <w:r>
        <w:rPr>
          <w:lang w:val="en-GB"/>
        </w:rPr>
        <w:t xml:space="preserve"> years. T</w:t>
      </w:r>
      <w:r w:rsidRPr="00AF3ED4">
        <w:rPr>
          <w:lang w:val="en-GB"/>
        </w:rPr>
        <w:t>h</w:t>
      </w:r>
      <w:r w:rsidR="003F1B18">
        <w:rPr>
          <w:lang w:val="en-GB"/>
        </w:rPr>
        <w:t xml:space="preserve">is reduction would </w:t>
      </w:r>
      <w:r>
        <w:rPr>
          <w:lang w:val="en-GB"/>
        </w:rPr>
        <w:t>allow a cohort of debtors who have been subject to one of the formal insolvency options under the Bankruptcy Act</w:t>
      </w:r>
      <w:r w:rsidR="009A07A1">
        <w:rPr>
          <w:lang w:val="en-GB"/>
        </w:rPr>
        <w:t xml:space="preserve"> (</w:t>
      </w:r>
      <w:proofErr w:type="spellStart"/>
      <w:r w:rsidR="009A07A1">
        <w:rPr>
          <w:lang w:val="en-GB"/>
        </w:rPr>
        <w:t>i</w:t>
      </w:r>
      <w:r w:rsidR="00C07EC5">
        <w:rPr>
          <w:lang w:val="en-GB"/>
        </w:rPr>
        <w:t>.</w:t>
      </w:r>
      <w:r w:rsidR="009A07A1">
        <w:rPr>
          <w:lang w:val="en-GB"/>
        </w:rPr>
        <w:t>e</w:t>
      </w:r>
      <w:proofErr w:type="spellEnd"/>
      <w:r w:rsidR="009A07A1">
        <w:rPr>
          <w:lang w:val="en-GB"/>
        </w:rPr>
        <w:t xml:space="preserve"> bankruptcy, debt agreements or PIA)</w:t>
      </w:r>
      <w:r>
        <w:rPr>
          <w:lang w:val="en-GB"/>
        </w:rPr>
        <w:t>, the ability</w:t>
      </w:r>
      <w:r w:rsidRPr="005C4F48">
        <w:rPr>
          <w:lang w:val="en-GB"/>
        </w:rPr>
        <w:t xml:space="preserve"> to </w:t>
      </w:r>
      <w:r w:rsidR="00745F09">
        <w:rPr>
          <w:lang w:val="en-GB"/>
        </w:rPr>
        <w:t xml:space="preserve">access the </w:t>
      </w:r>
      <w:r w:rsidRPr="005C4F48">
        <w:rPr>
          <w:lang w:val="en-GB"/>
        </w:rPr>
        <w:t>debt agreement</w:t>
      </w:r>
      <w:r w:rsidR="00745F09">
        <w:rPr>
          <w:lang w:val="en-GB"/>
        </w:rPr>
        <w:t xml:space="preserve"> system</w:t>
      </w:r>
      <w:r>
        <w:rPr>
          <w:lang w:val="en-GB"/>
        </w:rPr>
        <w:t>,</w:t>
      </w:r>
      <w:r w:rsidRPr="005C4F48">
        <w:rPr>
          <w:lang w:val="en-GB"/>
        </w:rPr>
        <w:t xml:space="preserve"> rather than</w:t>
      </w:r>
      <w:r>
        <w:rPr>
          <w:lang w:val="en-GB"/>
        </w:rPr>
        <w:t xml:space="preserve"> being channelled</w:t>
      </w:r>
      <w:r w:rsidRPr="005C4F48">
        <w:rPr>
          <w:lang w:val="en-GB"/>
        </w:rPr>
        <w:t xml:space="preserve"> </w:t>
      </w:r>
      <w:r>
        <w:rPr>
          <w:lang w:val="en-GB"/>
        </w:rPr>
        <w:t>towards bankruptcy or a PIA as the only formal insolvency options available to discharge their debts.</w:t>
      </w:r>
    </w:p>
    <w:p w14:paraId="19DCA7CB" w14:textId="15A7C4CC" w:rsidR="00B97F67" w:rsidRDefault="00EC1B2B" w:rsidP="00EC1B2B">
      <w:pPr>
        <w:rPr>
          <w:b/>
          <w:lang w:val="en-GB"/>
        </w:rPr>
      </w:pPr>
      <w:r w:rsidRPr="00A13561">
        <w:rPr>
          <w:b/>
          <w:lang w:val="en-GB"/>
        </w:rPr>
        <w:t xml:space="preserve">Question – the </w:t>
      </w:r>
      <w:r w:rsidR="00857C5F">
        <w:rPr>
          <w:b/>
          <w:lang w:val="en-GB"/>
        </w:rPr>
        <w:t>government</w:t>
      </w:r>
      <w:r w:rsidRPr="00A13561">
        <w:rPr>
          <w:b/>
          <w:lang w:val="en-GB"/>
        </w:rPr>
        <w:t xml:space="preserve"> seeks stakeholder views </w:t>
      </w:r>
      <w:r w:rsidRPr="00BE5BA1">
        <w:rPr>
          <w:b/>
          <w:lang w:val="en-GB"/>
        </w:rPr>
        <w:t xml:space="preserve">on </w:t>
      </w:r>
      <w:r w:rsidR="00B97F67">
        <w:rPr>
          <w:b/>
          <w:lang w:val="en-GB"/>
        </w:rPr>
        <w:t>reducing the exclusion period</w:t>
      </w:r>
      <w:r w:rsidR="00594C8F">
        <w:rPr>
          <w:b/>
          <w:lang w:val="en-GB"/>
        </w:rPr>
        <w:t xml:space="preserve"> for lodging a debt agreement proposal</w:t>
      </w:r>
      <w:r w:rsidR="00B97F67">
        <w:rPr>
          <w:b/>
          <w:lang w:val="en-GB"/>
        </w:rPr>
        <w:t xml:space="preserve"> from</w:t>
      </w:r>
      <w:r w:rsidR="007C3195">
        <w:rPr>
          <w:b/>
          <w:lang w:val="en-GB"/>
        </w:rPr>
        <w:t xml:space="preserve"> 10 </w:t>
      </w:r>
      <w:r w:rsidR="00B97F67">
        <w:rPr>
          <w:b/>
          <w:lang w:val="en-GB"/>
        </w:rPr>
        <w:t xml:space="preserve">years to </w:t>
      </w:r>
      <w:r w:rsidR="008F5FFA">
        <w:rPr>
          <w:b/>
          <w:lang w:val="en-GB"/>
        </w:rPr>
        <w:t>7</w:t>
      </w:r>
      <w:r w:rsidR="00B97F67">
        <w:rPr>
          <w:b/>
          <w:lang w:val="en-GB"/>
        </w:rPr>
        <w:t xml:space="preserve"> years.</w:t>
      </w:r>
    </w:p>
    <w:p w14:paraId="1BDAB0DB" w14:textId="7FA5B43A" w:rsidR="00EB4427" w:rsidRDefault="00B97F67" w:rsidP="00EC1B2B">
      <w:pPr>
        <w:rPr>
          <w:b/>
          <w:lang w:val="en-GB"/>
        </w:rPr>
      </w:pPr>
      <w:r>
        <w:rPr>
          <w:b/>
          <w:lang w:val="en-GB"/>
        </w:rPr>
        <w:t xml:space="preserve">Question – for </w:t>
      </w:r>
      <w:r w:rsidRPr="00BE5BA1">
        <w:rPr>
          <w:b/>
          <w:lang w:val="en-GB"/>
        </w:rPr>
        <w:t>debtors who have previously</w:t>
      </w:r>
      <w:r w:rsidR="00123449">
        <w:rPr>
          <w:b/>
          <w:lang w:val="en-GB"/>
        </w:rPr>
        <w:t xml:space="preserve"> been</w:t>
      </w:r>
      <w:r w:rsidRPr="00BE5BA1">
        <w:rPr>
          <w:b/>
          <w:lang w:val="en-GB"/>
        </w:rPr>
        <w:t xml:space="preserve"> party to a debt agreement</w:t>
      </w:r>
      <w:r w:rsidR="00594C8F">
        <w:rPr>
          <w:b/>
          <w:lang w:val="en-GB"/>
        </w:rPr>
        <w:t xml:space="preserve"> only</w:t>
      </w:r>
      <w:r>
        <w:rPr>
          <w:b/>
          <w:lang w:val="en-GB"/>
        </w:rPr>
        <w:t>,</w:t>
      </w:r>
      <w:r w:rsidRPr="00BE5BA1">
        <w:rPr>
          <w:b/>
          <w:lang w:val="en-GB"/>
        </w:rPr>
        <w:t xml:space="preserve"> </w:t>
      </w:r>
      <w:r>
        <w:rPr>
          <w:b/>
          <w:lang w:val="en-GB"/>
        </w:rPr>
        <w:t xml:space="preserve">the government also seeks views on </w:t>
      </w:r>
      <w:r w:rsidR="006B3641">
        <w:rPr>
          <w:b/>
          <w:lang w:val="en-GB"/>
        </w:rPr>
        <w:t>providing a specific</w:t>
      </w:r>
      <w:r w:rsidR="00DF034C">
        <w:rPr>
          <w:b/>
          <w:lang w:val="en-GB"/>
        </w:rPr>
        <w:t xml:space="preserve"> </w:t>
      </w:r>
      <w:r w:rsidR="00EC1B2B" w:rsidRPr="00BE5BA1">
        <w:rPr>
          <w:b/>
          <w:lang w:val="en-GB"/>
        </w:rPr>
        <w:t>exclusion</w:t>
      </w:r>
      <w:r w:rsidR="00282BFF">
        <w:rPr>
          <w:b/>
          <w:lang w:val="en-GB"/>
        </w:rPr>
        <w:t xml:space="preserve"> </w:t>
      </w:r>
      <w:r w:rsidR="003A60AF">
        <w:rPr>
          <w:b/>
          <w:lang w:val="en-GB"/>
        </w:rPr>
        <w:t>period</w:t>
      </w:r>
      <w:r w:rsidR="003A60AF" w:rsidRPr="00BE5BA1">
        <w:rPr>
          <w:b/>
          <w:lang w:val="en-GB"/>
        </w:rPr>
        <w:t xml:space="preserve"> </w:t>
      </w:r>
      <w:r w:rsidR="003A60AF">
        <w:rPr>
          <w:b/>
          <w:lang w:val="en-GB"/>
        </w:rPr>
        <w:t>of</w:t>
      </w:r>
      <w:r w:rsidR="00EC1B2B" w:rsidRPr="00BE5BA1">
        <w:rPr>
          <w:b/>
          <w:lang w:val="en-GB"/>
        </w:rPr>
        <w:t xml:space="preserve"> </w:t>
      </w:r>
      <w:r w:rsidR="008817FC">
        <w:rPr>
          <w:b/>
          <w:lang w:val="en-GB"/>
        </w:rPr>
        <w:t>5</w:t>
      </w:r>
      <w:r w:rsidR="00EC1B2B" w:rsidRPr="00BE5BA1">
        <w:rPr>
          <w:b/>
          <w:lang w:val="en-GB"/>
        </w:rPr>
        <w:t xml:space="preserve"> years</w:t>
      </w:r>
      <w:r w:rsidR="00CD3D41">
        <w:rPr>
          <w:b/>
          <w:lang w:val="en-GB"/>
        </w:rPr>
        <w:t xml:space="preserve"> (rather than </w:t>
      </w:r>
      <w:r>
        <w:rPr>
          <w:b/>
          <w:lang w:val="en-GB"/>
        </w:rPr>
        <w:t xml:space="preserve">the proposed </w:t>
      </w:r>
      <w:r w:rsidR="008F5FFA">
        <w:rPr>
          <w:b/>
          <w:lang w:val="en-GB"/>
        </w:rPr>
        <w:t>7</w:t>
      </w:r>
      <w:r w:rsidR="00DF034C">
        <w:rPr>
          <w:b/>
          <w:lang w:val="en-GB"/>
        </w:rPr>
        <w:t xml:space="preserve"> years</w:t>
      </w:r>
      <w:r w:rsidR="006B3641">
        <w:rPr>
          <w:b/>
          <w:lang w:val="en-GB"/>
        </w:rPr>
        <w:t xml:space="preserve"> </w:t>
      </w:r>
      <w:r>
        <w:rPr>
          <w:b/>
          <w:lang w:val="en-GB"/>
        </w:rPr>
        <w:t xml:space="preserve">which would still apply to </w:t>
      </w:r>
      <w:r w:rsidR="006B3641">
        <w:rPr>
          <w:b/>
          <w:lang w:val="en-GB"/>
        </w:rPr>
        <w:t>the other insolvency options</w:t>
      </w:r>
      <w:r w:rsidR="00DF034C">
        <w:rPr>
          <w:b/>
          <w:lang w:val="en-GB"/>
        </w:rPr>
        <w:t xml:space="preserve"> </w:t>
      </w:r>
      <w:r w:rsidR="00951A50">
        <w:rPr>
          <w:b/>
          <w:lang w:val="en-GB"/>
        </w:rPr>
        <w:t>(bankruptcy and PIA)</w:t>
      </w:r>
      <w:r w:rsidR="00CD3D41">
        <w:rPr>
          <w:b/>
          <w:lang w:val="en-GB"/>
        </w:rPr>
        <w:t>)</w:t>
      </w:r>
      <w:r w:rsidR="00EC1B2B" w:rsidRPr="00BE5BA1">
        <w:rPr>
          <w:b/>
          <w:lang w:val="en-GB"/>
        </w:rPr>
        <w:t>.</w:t>
      </w:r>
    </w:p>
    <w:p w14:paraId="5C566318" w14:textId="28E1ABB3" w:rsidR="00EC1B2B" w:rsidRPr="00B0371F" w:rsidRDefault="00F90C3F" w:rsidP="00B0371F">
      <w:pPr>
        <w:pStyle w:val="Heading4"/>
        <w:spacing w:beforeLines="100" w:before="240"/>
        <w:rPr>
          <w:lang w:val="en-GB"/>
        </w:rPr>
      </w:pPr>
      <w:r>
        <w:rPr>
          <w:lang w:val="en-GB"/>
        </w:rPr>
        <w:t xml:space="preserve">Proposing a </w:t>
      </w:r>
      <w:r w:rsidR="00EC1B2B" w:rsidRPr="00B0371F">
        <w:rPr>
          <w:lang w:val="en-GB"/>
        </w:rPr>
        <w:t xml:space="preserve">debt agreement </w:t>
      </w:r>
      <w:r>
        <w:rPr>
          <w:lang w:val="en-GB"/>
        </w:rPr>
        <w:t>will not be an ‘act of bankruptcy’</w:t>
      </w:r>
    </w:p>
    <w:p w14:paraId="56AC9741" w14:textId="77777777" w:rsidR="00AD5794" w:rsidRDefault="00CC2512" w:rsidP="00B0371F">
      <w:pPr>
        <w:keepNext/>
        <w:spacing w:after="160" w:line="259" w:lineRule="auto"/>
        <w:contextualSpacing/>
      </w:pPr>
      <w:r>
        <w:rPr>
          <w:lang w:val="en-GB"/>
        </w:rPr>
        <w:t xml:space="preserve">Stakeholders have raised concerns that it is not appropriate that the mere act of </w:t>
      </w:r>
      <w:r>
        <w:t xml:space="preserve">proposing a debt agreement should be a potential legal trigger for bankruptcy, particularly since a debt agreement proposal may not be accepted by creditors. </w:t>
      </w:r>
    </w:p>
    <w:p w14:paraId="7263B3A6" w14:textId="77777777" w:rsidR="00AD5794" w:rsidRDefault="00AD5794" w:rsidP="00B0371F">
      <w:pPr>
        <w:keepNext/>
        <w:spacing w:after="160" w:line="259" w:lineRule="auto"/>
        <w:contextualSpacing/>
      </w:pPr>
    </w:p>
    <w:p w14:paraId="1DA04362" w14:textId="78A27F12" w:rsidR="003F1B18" w:rsidRPr="003F1B18" w:rsidRDefault="003F1B18" w:rsidP="00B0371F">
      <w:pPr>
        <w:keepNext/>
        <w:spacing w:after="160" w:line="259" w:lineRule="auto"/>
        <w:contextualSpacing/>
      </w:pPr>
      <w:r w:rsidRPr="003F1B18">
        <w:t>The</w:t>
      </w:r>
      <w:r w:rsidRPr="003F1B18">
        <w:rPr>
          <w:lang w:val="en-GB"/>
        </w:rPr>
        <w:t xml:space="preserve"> </w:t>
      </w:r>
      <w:r w:rsidR="00857C5F">
        <w:rPr>
          <w:lang w:val="en-GB"/>
        </w:rPr>
        <w:t>government</w:t>
      </w:r>
      <w:r w:rsidRPr="003F1B18">
        <w:rPr>
          <w:lang w:val="en-GB"/>
        </w:rPr>
        <w:t xml:space="preserve"> is considering amending subsection 40(1) of the </w:t>
      </w:r>
      <w:r w:rsidR="00CA754D">
        <w:rPr>
          <w:lang w:val="en-GB"/>
        </w:rPr>
        <w:t xml:space="preserve">Bankruptcy </w:t>
      </w:r>
      <w:r w:rsidRPr="003F1B18">
        <w:rPr>
          <w:lang w:val="en-GB"/>
        </w:rPr>
        <w:t>Act so that the lodgement of a debt agreement with the Official Receiver cannot be relied upon as precondition for a creditor to commence involuntary bankruptcy proceedings as an ‘act of bankruptcy’</w:t>
      </w:r>
      <w:r w:rsidR="00CC2512">
        <w:rPr>
          <w:lang w:val="en-GB"/>
        </w:rPr>
        <w:t>.</w:t>
      </w:r>
      <w:r w:rsidR="00444092">
        <w:rPr>
          <w:lang w:val="en-GB"/>
        </w:rPr>
        <w:t xml:space="preserve"> </w:t>
      </w:r>
    </w:p>
    <w:p w14:paraId="225B652B" w14:textId="77777777" w:rsidR="00CC2512" w:rsidRDefault="00CC2512">
      <w:pPr>
        <w:spacing w:after="0" w:line="240" w:lineRule="auto"/>
        <w:rPr>
          <w:rFonts w:eastAsia="SimSun" w:cs="Angsana New"/>
          <w:b/>
          <w:bCs/>
          <w:iCs/>
          <w:color w:val="4D738A"/>
          <w:sz w:val="40"/>
          <w:szCs w:val="48"/>
          <w:lang w:val="en-GB"/>
        </w:rPr>
      </w:pPr>
      <w:r>
        <w:rPr>
          <w:lang w:val="en-GB"/>
        </w:rPr>
        <w:br w:type="page"/>
      </w:r>
    </w:p>
    <w:p w14:paraId="5E0488CB" w14:textId="2CB29955" w:rsidR="00C24CC1" w:rsidRDefault="00C24CC1" w:rsidP="00C24CC1">
      <w:pPr>
        <w:pStyle w:val="Heading2"/>
        <w:rPr>
          <w:lang w:val="en-GB"/>
        </w:rPr>
      </w:pPr>
      <w:r>
        <w:rPr>
          <w:lang w:val="en-GB"/>
        </w:rPr>
        <w:lastRenderedPageBreak/>
        <w:t>Target</w:t>
      </w:r>
      <w:r w:rsidRPr="00244686">
        <w:rPr>
          <w:lang w:val="en-GB"/>
        </w:rPr>
        <w:t xml:space="preserve"> untrus</w:t>
      </w:r>
      <w:r w:rsidR="00E30C1E">
        <w:rPr>
          <w:lang w:val="en-GB"/>
        </w:rPr>
        <w:t>two</w:t>
      </w:r>
      <w:r w:rsidRPr="00244686">
        <w:rPr>
          <w:lang w:val="en-GB"/>
        </w:rPr>
        <w:t>rthy advisors</w:t>
      </w:r>
    </w:p>
    <w:p w14:paraId="4C6AC446" w14:textId="5D95E244" w:rsidR="00483210" w:rsidRPr="00483210" w:rsidRDefault="00483210" w:rsidP="00483210">
      <w:r w:rsidRPr="00483210">
        <w:rPr>
          <w:lang w:val="en-GB"/>
        </w:rPr>
        <w:t>Stakeholders have expressed concerns about the provision of pre-insolvency advice by untrus</w:t>
      </w:r>
      <w:r w:rsidR="00E30C1E">
        <w:rPr>
          <w:lang w:val="en-GB"/>
        </w:rPr>
        <w:t>two</w:t>
      </w:r>
      <w:r w:rsidRPr="00483210">
        <w:rPr>
          <w:lang w:val="en-GB"/>
        </w:rPr>
        <w:t xml:space="preserve">rthy advisors (UAs), particularly those that are unregulated. In response, the </w:t>
      </w:r>
      <w:r w:rsidR="00112C29">
        <w:rPr>
          <w:lang w:val="en-GB"/>
        </w:rPr>
        <w:t>g</w:t>
      </w:r>
      <w:r w:rsidR="00857C5F">
        <w:rPr>
          <w:lang w:val="en-GB"/>
        </w:rPr>
        <w:t>overnment</w:t>
      </w:r>
      <w:r w:rsidRPr="00483210">
        <w:rPr>
          <w:lang w:val="en-GB"/>
        </w:rPr>
        <w:t xml:space="preserve"> is considering </w:t>
      </w:r>
      <w:r w:rsidRPr="00483210">
        <w:t>strengthening detection of UA activity, and introducing new offences targeting UA activity.</w:t>
      </w:r>
    </w:p>
    <w:p w14:paraId="59D6F2FD" w14:textId="4E6C9021" w:rsidR="00483210" w:rsidRDefault="008C0888" w:rsidP="00483210">
      <w:pPr>
        <w:pStyle w:val="Heading3"/>
        <w:spacing w:beforeLines="100" w:before="240"/>
        <w:rPr>
          <w:lang w:val="en-GB"/>
        </w:rPr>
      </w:pPr>
      <w:r>
        <w:t>Strengthen</w:t>
      </w:r>
      <w:r w:rsidR="00483210" w:rsidRPr="00B52DC5">
        <w:rPr>
          <w:lang w:val="en-GB"/>
        </w:rPr>
        <w:t xml:space="preserve"> detection and referral of UA activity</w:t>
      </w:r>
    </w:p>
    <w:p w14:paraId="43B5280D" w14:textId="01E0C175" w:rsidR="00483210" w:rsidRDefault="00483210" w:rsidP="00483210">
      <w:pPr>
        <w:rPr>
          <w:lang w:val="en-GB"/>
        </w:rPr>
      </w:pPr>
      <w:r>
        <w:rPr>
          <w:lang w:val="en-GB"/>
        </w:rPr>
        <w:t xml:space="preserve">To improve the detection of UA activity, the </w:t>
      </w:r>
      <w:r w:rsidR="00112C29">
        <w:rPr>
          <w:lang w:val="en-GB"/>
        </w:rPr>
        <w:t>g</w:t>
      </w:r>
      <w:r w:rsidR="00857C5F">
        <w:rPr>
          <w:lang w:val="en-GB"/>
        </w:rPr>
        <w:t>overnment</w:t>
      </w:r>
      <w:r>
        <w:rPr>
          <w:lang w:val="en-GB"/>
        </w:rPr>
        <w:t xml:space="preserve"> is considering requirements for the collection of information about pre</w:t>
      </w:r>
      <w:r>
        <w:rPr>
          <w:lang w:val="en-GB"/>
        </w:rPr>
        <w:noBreakHyphen/>
        <w:t>insolvency advisors and advice by requiring that:</w:t>
      </w:r>
    </w:p>
    <w:p w14:paraId="17CE547D" w14:textId="77777777" w:rsidR="00483210" w:rsidRPr="00EF4F50" w:rsidRDefault="00483210" w:rsidP="00483210">
      <w:pPr>
        <w:pStyle w:val="ListParagraph"/>
        <w:numPr>
          <w:ilvl w:val="0"/>
          <w:numId w:val="7"/>
        </w:numPr>
      </w:pPr>
      <w:r w:rsidRPr="00EF4F50">
        <w:t>bankrupts disclose details of advisors who have provided pre-insolvency advice to them</w:t>
      </w:r>
    </w:p>
    <w:p w14:paraId="618C0A1D" w14:textId="77777777" w:rsidR="00483210" w:rsidRPr="00EF4F50" w:rsidRDefault="00483210" w:rsidP="00483210">
      <w:pPr>
        <w:pStyle w:val="ListParagraph"/>
        <w:numPr>
          <w:ilvl w:val="0"/>
          <w:numId w:val="7"/>
        </w:numPr>
      </w:pPr>
      <w:r w:rsidRPr="00EF4F50">
        <w:t>registered trustees make preliminary enquiries about pre</w:t>
      </w:r>
      <w:r w:rsidRPr="00EF4F50">
        <w:noBreakHyphen/>
        <w:t xml:space="preserve">insolvency advice a bankrupt has received, and </w:t>
      </w:r>
    </w:p>
    <w:p w14:paraId="546CD80B" w14:textId="77777777" w:rsidR="00483210" w:rsidRPr="00EF4F50" w:rsidRDefault="00483210" w:rsidP="00483210">
      <w:pPr>
        <w:pStyle w:val="ListParagraph"/>
        <w:numPr>
          <w:ilvl w:val="0"/>
          <w:numId w:val="7"/>
        </w:numPr>
      </w:pPr>
      <w:r w:rsidRPr="00EF4F50">
        <w:t>registered trustees provide information about these enquiries to the Inspect</w:t>
      </w:r>
      <w:r>
        <w:t>or</w:t>
      </w:r>
      <w:r w:rsidRPr="00EF4F50">
        <w:noBreakHyphen/>
        <w:t>General in certain circumstances.</w:t>
      </w:r>
    </w:p>
    <w:p w14:paraId="6EA91235" w14:textId="77777777" w:rsidR="00483210" w:rsidRDefault="00483210" w:rsidP="00483210">
      <w:pPr>
        <w:rPr>
          <w:lang w:val="en-GB"/>
        </w:rPr>
      </w:pPr>
      <w:r>
        <w:rPr>
          <w:lang w:val="en-GB"/>
        </w:rPr>
        <w:t xml:space="preserve">These requirements </w:t>
      </w:r>
      <w:r w:rsidRPr="00AA6840">
        <w:rPr>
          <w:lang w:val="en-GB"/>
        </w:rPr>
        <w:t>will as</w:t>
      </w:r>
      <w:r>
        <w:rPr>
          <w:lang w:val="en-GB"/>
        </w:rPr>
        <w:t xml:space="preserve">sist to detect whether the bankrupt </w:t>
      </w:r>
      <w:r w:rsidRPr="00AA6840">
        <w:rPr>
          <w:lang w:val="en-GB"/>
        </w:rPr>
        <w:t>has received pre-insolvency advice aimed at defeating the legitimate interests of creditors.</w:t>
      </w:r>
    </w:p>
    <w:p w14:paraId="672C70E4" w14:textId="25E083FC" w:rsidR="00483210" w:rsidRDefault="00483210" w:rsidP="00483210">
      <w:pPr>
        <w:spacing w:before="240"/>
        <w:rPr>
          <w:lang w:val="en-GB"/>
        </w:rPr>
      </w:pPr>
      <w:r>
        <w:rPr>
          <w:lang w:val="en-GB"/>
        </w:rPr>
        <w:t xml:space="preserve">It is </w:t>
      </w:r>
      <w:r w:rsidR="00060E0E">
        <w:rPr>
          <w:lang w:val="en-GB"/>
        </w:rPr>
        <w:t>expected</w:t>
      </w:r>
      <w:r>
        <w:rPr>
          <w:lang w:val="en-GB"/>
        </w:rPr>
        <w:t xml:space="preserve"> that the requirement for the bankrupt to provide information about pre</w:t>
      </w:r>
      <w:r>
        <w:rPr>
          <w:lang w:val="en-GB"/>
        </w:rPr>
        <w:noBreakHyphen/>
        <w:t>insolvency advisors will be prescribed in section 77 of the Act and that the requirement that registered trustees make preliminary enquiries about pre-insolvency advice will be prescribed in section 42</w:t>
      </w:r>
      <w:r>
        <w:rPr>
          <w:lang w:val="en-GB"/>
        </w:rPr>
        <w:noBreakHyphen/>
        <w:t xml:space="preserve">30 of the </w:t>
      </w:r>
      <w:r>
        <w:rPr>
          <w:i/>
          <w:lang w:val="en-GB"/>
        </w:rPr>
        <w:t xml:space="preserve">Insolvency Practice Rules (Bankruptcy) 2016 </w:t>
      </w:r>
      <w:r w:rsidRPr="003D21E0">
        <w:rPr>
          <w:lang w:val="en-GB"/>
        </w:rPr>
        <w:t>(Insolvency Practice Rules).</w:t>
      </w:r>
    </w:p>
    <w:p w14:paraId="09A1D6B6" w14:textId="353A10C4" w:rsidR="00483210" w:rsidRDefault="00483210" w:rsidP="00483210">
      <w:pPr>
        <w:spacing w:before="240"/>
        <w:rPr>
          <w:lang w:val="en-GB"/>
        </w:rPr>
      </w:pPr>
      <w:r>
        <w:rPr>
          <w:lang w:val="en-GB"/>
        </w:rPr>
        <w:t xml:space="preserve">It is </w:t>
      </w:r>
      <w:r w:rsidR="00060E0E">
        <w:rPr>
          <w:lang w:val="en-GB"/>
        </w:rPr>
        <w:t>expected</w:t>
      </w:r>
      <w:r>
        <w:rPr>
          <w:lang w:val="en-GB"/>
        </w:rPr>
        <w:t xml:space="preserve"> the requirement that </w:t>
      </w:r>
      <w:r w:rsidRPr="005B4503">
        <w:rPr>
          <w:lang w:val="en-GB"/>
        </w:rPr>
        <w:t xml:space="preserve">registered trustees provide information about </w:t>
      </w:r>
      <w:r>
        <w:rPr>
          <w:lang w:val="en-GB"/>
        </w:rPr>
        <w:t>their</w:t>
      </w:r>
      <w:r w:rsidRPr="005B4503">
        <w:rPr>
          <w:lang w:val="en-GB"/>
        </w:rPr>
        <w:t xml:space="preserve"> enquiries </w:t>
      </w:r>
      <w:r>
        <w:rPr>
          <w:lang w:val="en-GB"/>
        </w:rPr>
        <w:t>about pre</w:t>
      </w:r>
      <w:r>
        <w:rPr>
          <w:lang w:val="en-GB"/>
        </w:rPr>
        <w:noBreakHyphen/>
        <w:t xml:space="preserve">insolvency advice </w:t>
      </w:r>
      <w:r w:rsidRPr="005B4503">
        <w:rPr>
          <w:lang w:val="en-GB"/>
        </w:rPr>
        <w:t>to the Inspect</w:t>
      </w:r>
      <w:r w:rsidR="00CA754D">
        <w:rPr>
          <w:lang w:val="en-GB"/>
        </w:rPr>
        <w:t>or</w:t>
      </w:r>
      <w:r w:rsidRPr="005B4503">
        <w:rPr>
          <w:lang w:val="en-GB"/>
        </w:rPr>
        <w:noBreakHyphen/>
        <w:t>General in certain circumstances</w:t>
      </w:r>
      <w:r>
        <w:rPr>
          <w:lang w:val="en-GB"/>
        </w:rPr>
        <w:t xml:space="preserve"> will be prescribed in Division 70 of the Insolvency Practice Rules</w:t>
      </w:r>
      <w:r w:rsidRPr="005B4503">
        <w:rPr>
          <w:lang w:val="en-GB"/>
        </w:rPr>
        <w:t>.</w:t>
      </w:r>
    </w:p>
    <w:p w14:paraId="20B6AB28" w14:textId="5962E12B" w:rsidR="00483210" w:rsidRDefault="00483210" w:rsidP="00483210">
      <w:pPr>
        <w:spacing w:before="240"/>
        <w:rPr>
          <w:lang w:val="en-GB"/>
        </w:rPr>
      </w:pPr>
      <w:r w:rsidRPr="002E498B">
        <w:rPr>
          <w:lang w:val="en-GB"/>
        </w:rPr>
        <w:t>Due to the wide</w:t>
      </w:r>
      <w:r>
        <w:rPr>
          <w:lang w:val="en-GB"/>
        </w:rPr>
        <w:t xml:space="preserve"> ambit of pre-insolvency advice, the </w:t>
      </w:r>
      <w:r w:rsidR="00112C29">
        <w:rPr>
          <w:lang w:val="en-GB"/>
        </w:rPr>
        <w:t>g</w:t>
      </w:r>
      <w:r w:rsidR="00857C5F">
        <w:rPr>
          <w:lang w:val="en-GB"/>
        </w:rPr>
        <w:t>overnment</w:t>
      </w:r>
      <w:r>
        <w:rPr>
          <w:lang w:val="en-GB"/>
        </w:rPr>
        <w:t xml:space="preserve"> considers that </w:t>
      </w:r>
      <w:r w:rsidRPr="002E498B">
        <w:rPr>
          <w:lang w:val="en-GB"/>
        </w:rPr>
        <w:t xml:space="preserve">requiring </w:t>
      </w:r>
      <w:r>
        <w:rPr>
          <w:lang w:val="en-GB"/>
        </w:rPr>
        <w:t xml:space="preserve">registered </w:t>
      </w:r>
      <w:r w:rsidRPr="002E498B">
        <w:rPr>
          <w:lang w:val="en-GB"/>
        </w:rPr>
        <w:t xml:space="preserve">trustees to provide the </w:t>
      </w:r>
      <w:r w:rsidRPr="00467C44">
        <w:rPr>
          <w:lang w:val="en-GB"/>
        </w:rPr>
        <w:t>Inspect</w:t>
      </w:r>
      <w:r>
        <w:rPr>
          <w:lang w:val="en-GB"/>
        </w:rPr>
        <w:t>or</w:t>
      </w:r>
      <w:r w:rsidRPr="00467C44">
        <w:rPr>
          <w:lang w:val="en-GB"/>
        </w:rPr>
        <w:noBreakHyphen/>
        <w:t xml:space="preserve">General </w:t>
      </w:r>
      <w:r w:rsidRPr="002E498B">
        <w:rPr>
          <w:lang w:val="en-GB"/>
        </w:rPr>
        <w:t xml:space="preserve">with all information about enquiries they have made would </w:t>
      </w:r>
      <w:r>
        <w:rPr>
          <w:lang w:val="en-GB"/>
        </w:rPr>
        <w:t xml:space="preserve">be </w:t>
      </w:r>
      <w:r w:rsidRPr="002E498B">
        <w:rPr>
          <w:lang w:val="en-GB"/>
        </w:rPr>
        <w:t>burden</w:t>
      </w:r>
      <w:r>
        <w:rPr>
          <w:lang w:val="en-GB"/>
        </w:rPr>
        <w:t>some</w:t>
      </w:r>
      <w:r w:rsidRPr="002E498B">
        <w:rPr>
          <w:lang w:val="en-GB"/>
        </w:rPr>
        <w:t xml:space="preserve">. Accordingly, the </w:t>
      </w:r>
      <w:r>
        <w:rPr>
          <w:lang w:val="en-GB"/>
        </w:rPr>
        <w:t>requirement will be limited. For example, registered trustees will be required to</w:t>
      </w:r>
      <w:r w:rsidRPr="00467C44">
        <w:t xml:space="preserve"> </w:t>
      </w:r>
      <w:r>
        <w:rPr>
          <w:lang w:val="en-GB"/>
        </w:rPr>
        <w:t>provide</w:t>
      </w:r>
      <w:r w:rsidRPr="00467C44">
        <w:rPr>
          <w:lang w:val="en-GB"/>
        </w:rPr>
        <w:t xml:space="preserve"> </w:t>
      </w:r>
      <w:r>
        <w:rPr>
          <w:lang w:val="en-GB"/>
        </w:rPr>
        <w:t xml:space="preserve">certain </w:t>
      </w:r>
      <w:r w:rsidRPr="00467C44">
        <w:rPr>
          <w:lang w:val="en-GB"/>
        </w:rPr>
        <w:t xml:space="preserve">information </w:t>
      </w:r>
      <w:r>
        <w:rPr>
          <w:lang w:val="en-GB"/>
        </w:rPr>
        <w:t>to the Inspector</w:t>
      </w:r>
      <w:r>
        <w:rPr>
          <w:lang w:val="en-GB"/>
        </w:rPr>
        <w:noBreakHyphen/>
        <w:t xml:space="preserve">General when the bankrupt has </w:t>
      </w:r>
      <w:r w:rsidRPr="00467C44">
        <w:rPr>
          <w:lang w:val="en-GB"/>
        </w:rPr>
        <w:t xml:space="preserve">engaged in </w:t>
      </w:r>
      <w:r>
        <w:rPr>
          <w:lang w:val="en-GB"/>
        </w:rPr>
        <w:t>certain</w:t>
      </w:r>
      <w:r w:rsidRPr="00467C44">
        <w:rPr>
          <w:lang w:val="en-GB"/>
        </w:rPr>
        <w:t xml:space="preserve"> conduct such as acting with an intent to defraud or making a false claim or declaration.</w:t>
      </w:r>
    </w:p>
    <w:p w14:paraId="1AD0E95C" w14:textId="5B3651B8" w:rsidR="00483210" w:rsidRDefault="00483210" w:rsidP="00483210">
      <w:pPr>
        <w:tabs>
          <w:tab w:val="left" w:pos="2370"/>
        </w:tabs>
        <w:rPr>
          <w:lang w:val="en-GB"/>
        </w:rPr>
      </w:pPr>
      <w:r>
        <w:rPr>
          <w:lang w:val="en-GB"/>
        </w:rPr>
        <w:t xml:space="preserve">In addition, the </w:t>
      </w:r>
      <w:r w:rsidR="00112C29">
        <w:rPr>
          <w:lang w:val="en-GB"/>
        </w:rPr>
        <w:t>g</w:t>
      </w:r>
      <w:r w:rsidR="00857C5F">
        <w:rPr>
          <w:lang w:val="en-GB"/>
        </w:rPr>
        <w:t>overnment</w:t>
      </w:r>
      <w:r>
        <w:rPr>
          <w:lang w:val="en-GB"/>
        </w:rPr>
        <w:t xml:space="preserve"> is considering expanding insolvency practitioner duties to include consideration of</w:t>
      </w:r>
      <w:r w:rsidRPr="002C39F6">
        <w:rPr>
          <w:lang w:val="en-GB"/>
        </w:rPr>
        <w:t xml:space="preserve"> whether any party connected to </w:t>
      </w:r>
      <w:r>
        <w:rPr>
          <w:lang w:val="en-GB"/>
        </w:rPr>
        <w:t>a</w:t>
      </w:r>
      <w:r w:rsidRPr="002C39F6">
        <w:rPr>
          <w:lang w:val="en-GB"/>
        </w:rPr>
        <w:t xml:space="preserve"> bankruptcy or debt agreement has committed an offence </w:t>
      </w:r>
      <w:r>
        <w:rPr>
          <w:lang w:val="en-GB"/>
        </w:rPr>
        <w:t xml:space="preserve">against the Bankruptcy Act </w:t>
      </w:r>
      <w:r w:rsidRPr="002C39F6">
        <w:rPr>
          <w:lang w:val="en-GB"/>
        </w:rPr>
        <w:t>and refer</w:t>
      </w:r>
      <w:r>
        <w:rPr>
          <w:lang w:val="en-GB"/>
        </w:rPr>
        <w:t>ral</w:t>
      </w:r>
      <w:r w:rsidRPr="002C39F6">
        <w:rPr>
          <w:lang w:val="en-GB"/>
        </w:rPr>
        <w:t xml:space="preserve"> the </w:t>
      </w:r>
      <w:r>
        <w:rPr>
          <w:lang w:val="en-GB"/>
        </w:rPr>
        <w:t xml:space="preserve">possible </w:t>
      </w:r>
      <w:r w:rsidRPr="002C39F6">
        <w:rPr>
          <w:lang w:val="en-GB"/>
        </w:rPr>
        <w:t>offence to the I</w:t>
      </w:r>
      <w:r>
        <w:rPr>
          <w:lang w:val="en-GB"/>
        </w:rPr>
        <w:t>nspector</w:t>
      </w:r>
      <w:r>
        <w:rPr>
          <w:lang w:val="en-GB"/>
        </w:rPr>
        <w:noBreakHyphen/>
        <w:t>General</w:t>
      </w:r>
      <w:r w:rsidRPr="00B4335F">
        <w:rPr>
          <w:rFonts w:ascii="Times New Roman" w:hAnsi="Times New Roman"/>
          <w:szCs w:val="20"/>
        </w:rPr>
        <w:t xml:space="preserve"> </w:t>
      </w:r>
      <w:r w:rsidRPr="00B4335F">
        <w:t>or relevant law enforcement authorities</w:t>
      </w:r>
      <w:r>
        <w:rPr>
          <w:lang w:val="en-GB"/>
        </w:rPr>
        <w:t>. These duties are currently limited to considering the actions of bankrupts and debtors.</w:t>
      </w:r>
    </w:p>
    <w:p w14:paraId="2F72B6A9" w14:textId="77777777" w:rsidR="00060E0E" w:rsidRDefault="00060E0E" w:rsidP="00060E0E">
      <w:pPr>
        <w:pStyle w:val="Heading3"/>
        <w:spacing w:beforeLines="100" w:before="240"/>
      </w:pPr>
      <w:r w:rsidRPr="000162C1">
        <w:t>New offences targeting UA activity</w:t>
      </w:r>
    </w:p>
    <w:p w14:paraId="7EC8C156" w14:textId="22DA5783" w:rsidR="00060E0E" w:rsidRDefault="00060E0E" w:rsidP="00060E0E">
      <w:pPr>
        <w:tabs>
          <w:tab w:val="left" w:pos="2370"/>
        </w:tabs>
        <w:rPr>
          <w:lang w:val="en-GB"/>
        </w:rPr>
      </w:pPr>
      <w:r w:rsidRPr="00A65172">
        <w:rPr>
          <w:lang w:val="en-GB"/>
        </w:rPr>
        <w:t xml:space="preserve">The </w:t>
      </w:r>
      <w:r w:rsidR="00112C29">
        <w:rPr>
          <w:lang w:val="en-GB"/>
        </w:rPr>
        <w:t>g</w:t>
      </w:r>
      <w:r w:rsidR="00857C5F">
        <w:rPr>
          <w:lang w:val="en-GB"/>
        </w:rPr>
        <w:t>overnment</w:t>
      </w:r>
      <w:r w:rsidRPr="00A65172">
        <w:rPr>
          <w:lang w:val="en-GB"/>
        </w:rPr>
        <w:t xml:space="preserve"> is considering </w:t>
      </w:r>
      <w:r>
        <w:rPr>
          <w:lang w:val="en-GB"/>
        </w:rPr>
        <w:t xml:space="preserve">adding to existing Bankruptcy Act offences and </w:t>
      </w:r>
      <w:r w:rsidRPr="00A65172">
        <w:rPr>
          <w:lang w:val="en-GB"/>
        </w:rPr>
        <w:t>including new offences to target UA activity.</w:t>
      </w:r>
    </w:p>
    <w:p w14:paraId="76AE0CF4" w14:textId="001C9BD6" w:rsidR="00060E0E" w:rsidRPr="00C25F2E" w:rsidRDefault="00060E0E" w:rsidP="008542B6">
      <w:pPr>
        <w:keepLines/>
        <w:tabs>
          <w:tab w:val="left" w:pos="2370"/>
        </w:tabs>
        <w:rPr>
          <w:lang w:val="en-GB"/>
        </w:rPr>
      </w:pPr>
      <w:r w:rsidRPr="00C25F2E">
        <w:rPr>
          <w:rFonts w:cstheme="minorHAnsi"/>
          <w:lang w:val="en-GB"/>
        </w:rPr>
        <w:t xml:space="preserve">The </w:t>
      </w:r>
      <w:r w:rsidR="00112C29">
        <w:rPr>
          <w:rFonts w:cstheme="minorHAnsi"/>
          <w:lang w:val="en-GB"/>
        </w:rPr>
        <w:t>g</w:t>
      </w:r>
      <w:r w:rsidR="00857C5F">
        <w:rPr>
          <w:rFonts w:cstheme="minorHAnsi"/>
          <w:lang w:val="en-GB"/>
        </w:rPr>
        <w:t>overnment</w:t>
      </w:r>
      <w:r w:rsidRPr="00C25F2E">
        <w:rPr>
          <w:rFonts w:cstheme="minorHAnsi"/>
          <w:lang w:val="en-GB"/>
        </w:rPr>
        <w:t xml:space="preserve"> is considering adding to existing Bankruptcy Act offences to make it an offence to</w:t>
      </w:r>
      <w:r w:rsidRPr="00C25F2E">
        <w:rPr>
          <w:rFonts w:cstheme="minorHAnsi"/>
        </w:rPr>
        <w:t xml:space="preserve"> advise, instruct, assist or counsel any person to commit or attempt to </w:t>
      </w:r>
      <w:r>
        <w:rPr>
          <w:rFonts w:cstheme="minorHAnsi"/>
        </w:rPr>
        <w:t>commit the existing</w:t>
      </w:r>
      <w:r w:rsidRPr="00C25F2E">
        <w:rPr>
          <w:rFonts w:cstheme="minorHAnsi"/>
        </w:rPr>
        <w:t xml:space="preserve"> offences. It is expected that the</w:t>
      </w:r>
      <w:r w:rsidR="00066189">
        <w:rPr>
          <w:rFonts w:cstheme="minorHAnsi"/>
        </w:rPr>
        <w:t>se</w:t>
      </w:r>
      <w:r w:rsidRPr="00C25F2E">
        <w:rPr>
          <w:rFonts w:cstheme="minorHAnsi"/>
        </w:rPr>
        <w:t xml:space="preserve"> offences will </w:t>
      </w:r>
      <w:r>
        <w:rPr>
          <w:rFonts w:cstheme="minorHAnsi"/>
        </w:rPr>
        <w:t xml:space="preserve">generally </w:t>
      </w:r>
      <w:r w:rsidRPr="00C25F2E">
        <w:rPr>
          <w:rFonts w:cstheme="minorHAnsi"/>
        </w:rPr>
        <w:t>contain fault elements of intention or knowledge such as:</w:t>
      </w:r>
    </w:p>
    <w:p w14:paraId="0E33F1A4" w14:textId="77777777" w:rsidR="00060E0E" w:rsidRPr="00FD24B7" w:rsidRDefault="00060E0E" w:rsidP="008542B6">
      <w:pPr>
        <w:pStyle w:val="ListParagraph"/>
        <w:keepLines/>
        <w:numPr>
          <w:ilvl w:val="0"/>
          <w:numId w:val="7"/>
        </w:numPr>
      </w:pPr>
      <w:r w:rsidRPr="00FD24B7">
        <w:lastRenderedPageBreak/>
        <w:t xml:space="preserve">subsection 263(1) of the </w:t>
      </w:r>
      <w:r>
        <w:t xml:space="preserve">Bankruptcy </w:t>
      </w:r>
      <w:r w:rsidRPr="00FD24B7">
        <w:t>Act</w:t>
      </w:r>
      <w:r>
        <w:t xml:space="preserve"> – concealing </w:t>
      </w:r>
      <w:r w:rsidRPr="00FD24B7">
        <w:t>a bankrupt</w:t>
      </w:r>
      <w:r>
        <w:t>’</w:t>
      </w:r>
      <w:r w:rsidRPr="00FD24B7">
        <w:t>s property with the intent to defraud creditors</w:t>
      </w:r>
    </w:p>
    <w:p w14:paraId="79C9E3EF" w14:textId="77777777" w:rsidR="00060E0E" w:rsidRDefault="00060E0E" w:rsidP="008542B6">
      <w:pPr>
        <w:pStyle w:val="ListParagraph"/>
        <w:keepLines/>
        <w:numPr>
          <w:ilvl w:val="0"/>
          <w:numId w:val="7"/>
        </w:numPr>
      </w:pPr>
      <w:r w:rsidRPr="00FD24B7">
        <w:t xml:space="preserve">subsection 267(2) of the </w:t>
      </w:r>
      <w:r>
        <w:t xml:space="preserve">Bankruptcy </w:t>
      </w:r>
      <w:r w:rsidRPr="00FD24B7">
        <w:t>Act</w:t>
      </w:r>
      <w:r>
        <w:t xml:space="preserve"> – making </w:t>
      </w:r>
      <w:r w:rsidRPr="00FD24B7">
        <w:t>a false declaration or statement which the person knows to be false, and</w:t>
      </w:r>
    </w:p>
    <w:p w14:paraId="513A5357" w14:textId="77777777" w:rsidR="00060E0E" w:rsidRPr="00FD24B7" w:rsidRDefault="00060E0E" w:rsidP="008542B6">
      <w:pPr>
        <w:pStyle w:val="ListParagraph"/>
        <w:keepLines/>
        <w:numPr>
          <w:ilvl w:val="0"/>
          <w:numId w:val="7"/>
        </w:numPr>
      </w:pPr>
      <w:r w:rsidRPr="00FD24B7">
        <w:t>subsection 268(3) of the</w:t>
      </w:r>
      <w:r>
        <w:t xml:space="preserve"> Bankruptcy</w:t>
      </w:r>
      <w:r w:rsidRPr="00FD24B7">
        <w:t xml:space="preserve"> Act</w:t>
      </w:r>
      <w:r>
        <w:t xml:space="preserve"> – making </w:t>
      </w:r>
      <w:r w:rsidRPr="00FD24B7">
        <w:t>a false representation or commit</w:t>
      </w:r>
      <w:r>
        <w:t>ting</w:t>
      </w:r>
      <w:r w:rsidRPr="00FD24B7">
        <w:t xml:space="preserve"> any fraud </w:t>
      </w:r>
      <w:r>
        <w:t xml:space="preserve">when executing a personal insolvency agreement </w:t>
      </w:r>
      <w:r w:rsidRPr="00FD24B7">
        <w:t>with the intention of obtaining the consent of creditor</w:t>
      </w:r>
      <w:r>
        <w:t>s.</w:t>
      </w:r>
    </w:p>
    <w:p w14:paraId="459C12D6" w14:textId="64931C75" w:rsidR="00060E0E" w:rsidRPr="005933A1" w:rsidRDefault="00060E0E" w:rsidP="00060E0E">
      <w:pPr>
        <w:spacing w:after="120"/>
        <w:rPr>
          <w:rFonts w:cstheme="minorHAnsi"/>
          <w:lang w:val="en-GB"/>
        </w:rPr>
      </w:pPr>
      <w:r>
        <w:rPr>
          <w:rFonts w:cstheme="minorHAnsi"/>
          <w:lang w:val="en-GB"/>
        </w:rPr>
        <w:t>The addition of these new offences will</w:t>
      </w:r>
      <w:r w:rsidRPr="005933A1">
        <w:rPr>
          <w:rFonts w:cstheme="minorHAnsi"/>
          <w:lang w:val="en-GB"/>
        </w:rPr>
        <w:t xml:space="preserve"> accurately reflect the serious risk and impact of such conduct on the </w:t>
      </w:r>
      <w:r>
        <w:rPr>
          <w:rFonts w:cstheme="minorHAnsi"/>
          <w:lang w:val="en-GB"/>
        </w:rPr>
        <w:t>personal insolvency system</w:t>
      </w:r>
      <w:r w:rsidR="00066189">
        <w:rPr>
          <w:rFonts w:cstheme="minorHAnsi"/>
          <w:lang w:val="en-GB"/>
        </w:rPr>
        <w:t>. They will</w:t>
      </w:r>
      <w:r>
        <w:rPr>
          <w:rFonts w:cstheme="minorHAnsi"/>
          <w:lang w:val="en-GB"/>
        </w:rPr>
        <w:t xml:space="preserve"> facilitate the Australian Financial Security Authority</w:t>
      </w:r>
      <w:r w:rsidRPr="005933A1">
        <w:rPr>
          <w:rFonts w:cstheme="minorHAnsi"/>
          <w:lang w:val="en-GB"/>
        </w:rPr>
        <w:t xml:space="preserve"> </w:t>
      </w:r>
      <w:r>
        <w:rPr>
          <w:rFonts w:cstheme="minorHAnsi"/>
          <w:lang w:val="en-GB"/>
        </w:rPr>
        <w:t>(</w:t>
      </w:r>
      <w:r w:rsidRPr="005933A1">
        <w:rPr>
          <w:rFonts w:cstheme="minorHAnsi"/>
          <w:lang w:val="en-GB"/>
        </w:rPr>
        <w:t>AFSA</w:t>
      </w:r>
      <w:r>
        <w:rPr>
          <w:rFonts w:cstheme="minorHAnsi"/>
          <w:lang w:val="en-GB"/>
        </w:rPr>
        <w:t>)’s investigation and prosecution of UA behaviour.</w:t>
      </w:r>
    </w:p>
    <w:p w14:paraId="0F8B7A9B" w14:textId="347D538C" w:rsidR="00060E0E" w:rsidRDefault="00060E0E" w:rsidP="00060E0E">
      <w:pPr>
        <w:tabs>
          <w:tab w:val="left" w:pos="2370"/>
        </w:tabs>
        <w:rPr>
          <w:b/>
        </w:rPr>
      </w:pPr>
      <w:r w:rsidRPr="00614B59">
        <w:rPr>
          <w:b/>
          <w:lang w:val="en-GB"/>
        </w:rPr>
        <w:t xml:space="preserve">Question – the </w:t>
      </w:r>
      <w:r w:rsidR="00112C29">
        <w:rPr>
          <w:b/>
          <w:lang w:val="en-GB"/>
        </w:rPr>
        <w:t>g</w:t>
      </w:r>
      <w:r w:rsidR="00857C5F">
        <w:rPr>
          <w:b/>
          <w:lang w:val="en-GB"/>
        </w:rPr>
        <w:t>overnment</w:t>
      </w:r>
      <w:r w:rsidRPr="00614B59">
        <w:rPr>
          <w:b/>
          <w:lang w:val="en-GB"/>
        </w:rPr>
        <w:t xml:space="preserve"> seeks stakeholder views on what</w:t>
      </w:r>
      <w:r>
        <w:rPr>
          <w:b/>
          <w:lang w:val="en-GB"/>
        </w:rPr>
        <w:t xml:space="preserve"> other existing Bankruptcy Act offences should include</w:t>
      </w:r>
      <w:r w:rsidRPr="00614B59">
        <w:rPr>
          <w:b/>
          <w:lang w:val="en-GB"/>
        </w:rPr>
        <w:t xml:space="preserve"> an offence to</w:t>
      </w:r>
      <w:r w:rsidRPr="00614B59">
        <w:rPr>
          <w:b/>
        </w:rPr>
        <w:t xml:space="preserve"> advise, instruct, assist or counsel any person to commit or attempt to </w:t>
      </w:r>
      <w:r>
        <w:rPr>
          <w:b/>
        </w:rPr>
        <w:t>commit tho</w:t>
      </w:r>
      <w:r w:rsidRPr="00614B59">
        <w:rPr>
          <w:b/>
        </w:rPr>
        <w:t>se offences</w:t>
      </w:r>
      <w:r>
        <w:rPr>
          <w:b/>
        </w:rPr>
        <w:t>.</w:t>
      </w:r>
    </w:p>
    <w:p w14:paraId="74EB3E22" w14:textId="2318B069" w:rsidR="00060E0E" w:rsidRPr="00030717" w:rsidRDefault="00060E0E" w:rsidP="00060E0E">
      <w:pPr>
        <w:tabs>
          <w:tab w:val="left" w:pos="2370"/>
        </w:tabs>
      </w:pPr>
      <w:r>
        <w:rPr>
          <w:lang w:val="en-GB"/>
        </w:rPr>
        <w:t xml:space="preserve">The </w:t>
      </w:r>
      <w:r w:rsidR="00112C29">
        <w:rPr>
          <w:lang w:val="en-GB"/>
        </w:rPr>
        <w:t>g</w:t>
      </w:r>
      <w:r w:rsidR="00857C5F">
        <w:rPr>
          <w:lang w:val="en-GB"/>
        </w:rPr>
        <w:t>overnment</w:t>
      </w:r>
      <w:r>
        <w:rPr>
          <w:lang w:val="en-GB"/>
        </w:rPr>
        <w:t xml:space="preserve"> is also considering </w:t>
      </w:r>
      <w:r>
        <w:t>creating</w:t>
      </w:r>
      <w:r w:rsidRPr="00030717">
        <w:t xml:space="preserve"> provisions </w:t>
      </w:r>
      <w:r>
        <w:t xml:space="preserve">in the Bankruptcy Act </w:t>
      </w:r>
      <w:r w:rsidRPr="00030717">
        <w:t xml:space="preserve">analogous to those contained in the </w:t>
      </w:r>
      <w:r w:rsidRPr="00030717">
        <w:rPr>
          <w:i/>
        </w:rPr>
        <w:t>Corporations Act 2001</w:t>
      </w:r>
      <w:r w:rsidRPr="00030717">
        <w:t xml:space="preserve"> targeting creditor defeating behaviour. </w:t>
      </w:r>
      <w:r>
        <w:t>These new provisions</w:t>
      </w:r>
      <w:r w:rsidRPr="00030717">
        <w:t xml:space="preserve"> will define the concept of </w:t>
      </w:r>
      <w:r>
        <w:t xml:space="preserve">a </w:t>
      </w:r>
      <w:r w:rsidRPr="00030717">
        <w:t xml:space="preserve">creditor-defeating disposition for the purposes of the </w:t>
      </w:r>
      <w:r>
        <w:t xml:space="preserve">Bankruptcy </w:t>
      </w:r>
      <w:r w:rsidRPr="00030717">
        <w:t>Act and create offences for a bankrupt engaging in a creditor defeating disposition as well as an offence to advise, instruct, assist or counsel any person to commit or attempt to commit the conduct.</w:t>
      </w:r>
    </w:p>
    <w:p w14:paraId="7226E812" w14:textId="72B9843E" w:rsidR="00BF004D" w:rsidRPr="00060E0E" w:rsidRDefault="00060E0E" w:rsidP="00060E0E">
      <w:pPr>
        <w:tabs>
          <w:tab w:val="left" w:pos="2370"/>
        </w:tabs>
      </w:pPr>
      <w:r>
        <w:t>The</w:t>
      </w:r>
      <w:r w:rsidRPr="00030717">
        <w:t xml:space="preserve"> </w:t>
      </w:r>
      <w:r>
        <w:t>new provisions target</w:t>
      </w:r>
      <w:r w:rsidRPr="00030717">
        <w:t xml:space="preserve"> UA </w:t>
      </w:r>
      <w:r>
        <w:t xml:space="preserve">activity by </w:t>
      </w:r>
      <w:r w:rsidRPr="00030717">
        <w:t>ensuring that both the bankrupt/</w:t>
      </w:r>
      <w:r w:rsidRPr="00030717">
        <w:rPr>
          <w:lang w:val="en-GB"/>
        </w:rPr>
        <w:t>debtor</w:t>
      </w:r>
      <w:r w:rsidRPr="00030717">
        <w:t xml:space="preserve"> and any third</w:t>
      </w:r>
      <w:r w:rsidR="00446431">
        <w:t>-</w:t>
      </w:r>
      <w:r w:rsidRPr="00030717">
        <w:t>party advisor is adequately penalised for any creditor</w:t>
      </w:r>
      <w:r w:rsidRPr="00030717">
        <w:noBreakHyphen/>
        <w:t>defeating disposition.</w:t>
      </w:r>
    </w:p>
    <w:sectPr w:rsidR="00BF004D" w:rsidRPr="00060E0E" w:rsidSect="000629ED">
      <w:footerReference w:type="default" r:id="rId9"/>
      <w:type w:val="continuous"/>
      <w:pgSz w:w="12240" w:h="15840"/>
      <w:pgMar w:top="851" w:right="964" w:bottom="1134" w:left="964"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9A372" w14:textId="77777777" w:rsidR="005470F9" w:rsidRDefault="005470F9" w:rsidP="006150CB">
      <w:r>
        <w:separator/>
      </w:r>
    </w:p>
  </w:endnote>
  <w:endnote w:type="continuationSeparator" w:id="0">
    <w:p w14:paraId="75A03A0D" w14:textId="77777777" w:rsidR="005470F9" w:rsidRDefault="005470F9" w:rsidP="0061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E819" w14:textId="77777777" w:rsidR="006150CB" w:rsidRPr="00453257" w:rsidRDefault="00394664" w:rsidP="00394664">
    <w:pPr>
      <w:pStyle w:val="Footer"/>
      <w:ind w:left="-284"/>
    </w:pPr>
    <w:r>
      <w:rPr>
        <w:noProof/>
        <w:lang w:eastAsia="en-AU"/>
      </w:rPr>
      <w:drawing>
        <wp:inline distT="0" distB="0" distL="0" distR="0" wp14:anchorId="7226E81B" wp14:editId="7226E81C">
          <wp:extent cx="7086534" cy="75485"/>
          <wp:effectExtent l="0" t="0" r="0" b="1270"/>
          <wp:docPr id="1" name="Picture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981973"/>
      <w:docPartObj>
        <w:docPartGallery w:val="Page Numbers (Bottom of Page)"/>
        <w:docPartUnique/>
      </w:docPartObj>
    </w:sdtPr>
    <w:sdtEndPr>
      <w:rPr>
        <w:noProof/>
      </w:rPr>
    </w:sdtEndPr>
    <w:sdtContent>
      <w:p w14:paraId="7883F2EB" w14:textId="3B645287" w:rsidR="00F34C12" w:rsidRDefault="00F34C12">
        <w:pPr>
          <w:pStyle w:val="Footer"/>
          <w:jc w:val="right"/>
        </w:pPr>
        <w:r>
          <w:fldChar w:fldCharType="begin"/>
        </w:r>
        <w:r>
          <w:instrText xml:space="preserve"> PAGE   \* MERGEFORMAT </w:instrText>
        </w:r>
        <w:r>
          <w:fldChar w:fldCharType="separate"/>
        </w:r>
        <w:r w:rsidR="00AF6FA9">
          <w:rPr>
            <w:noProof/>
          </w:rPr>
          <w:t>9</w:t>
        </w:r>
        <w:r>
          <w:rPr>
            <w:noProof/>
          </w:rPr>
          <w:fldChar w:fldCharType="end"/>
        </w:r>
      </w:p>
    </w:sdtContent>
  </w:sdt>
  <w:p w14:paraId="7226E81A" w14:textId="77777777" w:rsidR="006150CB" w:rsidRDefault="006150CB" w:rsidP="0061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EE2F9" w14:textId="77777777" w:rsidR="005470F9" w:rsidRDefault="005470F9" w:rsidP="006150CB">
      <w:r>
        <w:separator/>
      </w:r>
    </w:p>
  </w:footnote>
  <w:footnote w:type="continuationSeparator" w:id="0">
    <w:p w14:paraId="6C8FC935" w14:textId="77777777" w:rsidR="005470F9" w:rsidRDefault="005470F9" w:rsidP="00615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55E6B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18EAD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21148"/>
    <w:multiLevelType w:val="hybridMultilevel"/>
    <w:tmpl w:val="7324946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2721E"/>
    <w:multiLevelType w:val="multilevel"/>
    <w:tmpl w:val="EFDC8A06"/>
    <w:numStyleLink w:val="Bullet2"/>
  </w:abstractNum>
  <w:abstractNum w:abstractNumId="4" w15:restartNumberingAfterBreak="0">
    <w:nsid w:val="0BCC4055"/>
    <w:multiLevelType w:val="hybridMultilevel"/>
    <w:tmpl w:val="6624F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517E2C"/>
    <w:multiLevelType w:val="hybridMultilevel"/>
    <w:tmpl w:val="4E5A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5448EF"/>
    <w:multiLevelType w:val="hybridMultilevel"/>
    <w:tmpl w:val="BB96E0A0"/>
    <w:lvl w:ilvl="0" w:tplc="DD466B5A">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63021B58"/>
    <w:multiLevelType w:val="hybridMultilevel"/>
    <w:tmpl w:val="6194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DB7493"/>
    <w:multiLevelType w:val="hybridMultilevel"/>
    <w:tmpl w:val="F7344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1"/>
  </w:num>
  <w:num w:numId="6">
    <w:abstractNumId w:val="10"/>
  </w:num>
  <w:num w:numId="7">
    <w:abstractNumId w:val="7"/>
  </w:num>
  <w:num w:numId="8">
    <w:abstractNumId w:val="8"/>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8"/>
    <w:rsid w:val="00002C89"/>
    <w:rsid w:val="00013D50"/>
    <w:rsid w:val="00016417"/>
    <w:rsid w:val="00024627"/>
    <w:rsid w:val="000250DD"/>
    <w:rsid w:val="00026D64"/>
    <w:rsid w:val="00031035"/>
    <w:rsid w:val="00033AC2"/>
    <w:rsid w:val="0003541B"/>
    <w:rsid w:val="000432A2"/>
    <w:rsid w:val="0004799B"/>
    <w:rsid w:val="00052F22"/>
    <w:rsid w:val="000536A5"/>
    <w:rsid w:val="00060197"/>
    <w:rsid w:val="00060E0E"/>
    <w:rsid w:val="00061375"/>
    <w:rsid w:val="000629ED"/>
    <w:rsid w:val="00066189"/>
    <w:rsid w:val="00067ACB"/>
    <w:rsid w:val="000701A1"/>
    <w:rsid w:val="000722D2"/>
    <w:rsid w:val="000738F1"/>
    <w:rsid w:val="000779BE"/>
    <w:rsid w:val="00096B7A"/>
    <w:rsid w:val="000C3F42"/>
    <w:rsid w:val="000C687A"/>
    <w:rsid w:val="000C7206"/>
    <w:rsid w:val="000D172E"/>
    <w:rsid w:val="000D4688"/>
    <w:rsid w:val="000E2FC3"/>
    <w:rsid w:val="000F3D72"/>
    <w:rsid w:val="00102E88"/>
    <w:rsid w:val="00110CC1"/>
    <w:rsid w:val="00112C29"/>
    <w:rsid w:val="0011430B"/>
    <w:rsid w:val="001151AF"/>
    <w:rsid w:val="00120771"/>
    <w:rsid w:val="00121156"/>
    <w:rsid w:val="00122257"/>
    <w:rsid w:val="00123449"/>
    <w:rsid w:val="00132B02"/>
    <w:rsid w:val="00133546"/>
    <w:rsid w:val="00133E49"/>
    <w:rsid w:val="0015042B"/>
    <w:rsid w:val="00151A0A"/>
    <w:rsid w:val="0015529E"/>
    <w:rsid w:val="00175F44"/>
    <w:rsid w:val="001810DE"/>
    <w:rsid w:val="00192F33"/>
    <w:rsid w:val="001A29E2"/>
    <w:rsid w:val="001A2B98"/>
    <w:rsid w:val="001A4B11"/>
    <w:rsid w:val="001B0526"/>
    <w:rsid w:val="001B0CBE"/>
    <w:rsid w:val="001B23F6"/>
    <w:rsid w:val="001D081E"/>
    <w:rsid w:val="001D3BD9"/>
    <w:rsid w:val="001D60AA"/>
    <w:rsid w:val="001E348D"/>
    <w:rsid w:val="001E4B31"/>
    <w:rsid w:val="0022691E"/>
    <w:rsid w:val="00227E8B"/>
    <w:rsid w:val="00230B26"/>
    <w:rsid w:val="0024044E"/>
    <w:rsid w:val="00241834"/>
    <w:rsid w:val="00245CE2"/>
    <w:rsid w:val="002514C9"/>
    <w:rsid w:val="00251E38"/>
    <w:rsid w:val="00253442"/>
    <w:rsid w:val="0026168A"/>
    <w:rsid w:val="00266CDD"/>
    <w:rsid w:val="00271B2B"/>
    <w:rsid w:val="002725E6"/>
    <w:rsid w:val="00282BFF"/>
    <w:rsid w:val="00283B2D"/>
    <w:rsid w:val="00285481"/>
    <w:rsid w:val="0028670F"/>
    <w:rsid w:val="002A0994"/>
    <w:rsid w:val="002B14B6"/>
    <w:rsid w:val="002C10F3"/>
    <w:rsid w:val="002C36CE"/>
    <w:rsid w:val="002C36D2"/>
    <w:rsid w:val="002C640A"/>
    <w:rsid w:val="002D048A"/>
    <w:rsid w:val="002D2001"/>
    <w:rsid w:val="002D4EB6"/>
    <w:rsid w:val="002D5BAF"/>
    <w:rsid w:val="002D755F"/>
    <w:rsid w:val="002E0F84"/>
    <w:rsid w:val="002E2D34"/>
    <w:rsid w:val="002F1D83"/>
    <w:rsid w:val="002F78E8"/>
    <w:rsid w:val="00340142"/>
    <w:rsid w:val="00342CCD"/>
    <w:rsid w:val="0035072B"/>
    <w:rsid w:val="00357CDC"/>
    <w:rsid w:val="0037098A"/>
    <w:rsid w:val="00372C25"/>
    <w:rsid w:val="003736B3"/>
    <w:rsid w:val="00374048"/>
    <w:rsid w:val="00377DD8"/>
    <w:rsid w:val="003823C3"/>
    <w:rsid w:val="00386696"/>
    <w:rsid w:val="003917D3"/>
    <w:rsid w:val="00391974"/>
    <w:rsid w:val="00392604"/>
    <w:rsid w:val="00394664"/>
    <w:rsid w:val="00394B17"/>
    <w:rsid w:val="00395615"/>
    <w:rsid w:val="003A33BC"/>
    <w:rsid w:val="003A3AC7"/>
    <w:rsid w:val="003A60AF"/>
    <w:rsid w:val="003A70A4"/>
    <w:rsid w:val="003B28B8"/>
    <w:rsid w:val="003B634E"/>
    <w:rsid w:val="003B73D7"/>
    <w:rsid w:val="003C3C01"/>
    <w:rsid w:val="003C5E94"/>
    <w:rsid w:val="003C7658"/>
    <w:rsid w:val="003E611C"/>
    <w:rsid w:val="003F1B18"/>
    <w:rsid w:val="003F6C1B"/>
    <w:rsid w:val="003F6F74"/>
    <w:rsid w:val="003F755F"/>
    <w:rsid w:val="00403AFA"/>
    <w:rsid w:val="00415C4C"/>
    <w:rsid w:val="004236A3"/>
    <w:rsid w:val="004247B3"/>
    <w:rsid w:val="00426CB5"/>
    <w:rsid w:val="00443456"/>
    <w:rsid w:val="00444092"/>
    <w:rsid w:val="004450A3"/>
    <w:rsid w:val="00446431"/>
    <w:rsid w:val="00453257"/>
    <w:rsid w:val="00456EE2"/>
    <w:rsid w:val="0046353D"/>
    <w:rsid w:val="00466486"/>
    <w:rsid w:val="00483210"/>
    <w:rsid w:val="004A0DD5"/>
    <w:rsid w:val="004A165B"/>
    <w:rsid w:val="004A1A0A"/>
    <w:rsid w:val="004B1515"/>
    <w:rsid w:val="004B6660"/>
    <w:rsid w:val="004C3AB7"/>
    <w:rsid w:val="004D7580"/>
    <w:rsid w:val="004E288B"/>
    <w:rsid w:val="004E351B"/>
    <w:rsid w:val="004F43C4"/>
    <w:rsid w:val="004F52EE"/>
    <w:rsid w:val="004F726B"/>
    <w:rsid w:val="00506F7A"/>
    <w:rsid w:val="0051776D"/>
    <w:rsid w:val="00517B87"/>
    <w:rsid w:val="005470F9"/>
    <w:rsid w:val="005577C6"/>
    <w:rsid w:val="005601DD"/>
    <w:rsid w:val="005703BA"/>
    <w:rsid w:val="005859B2"/>
    <w:rsid w:val="00594C8F"/>
    <w:rsid w:val="00596479"/>
    <w:rsid w:val="005968E1"/>
    <w:rsid w:val="005A0767"/>
    <w:rsid w:val="005A5E63"/>
    <w:rsid w:val="005A7799"/>
    <w:rsid w:val="005B0106"/>
    <w:rsid w:val="005C1BB3"/>
    <w:rsid w:val="005C2EE6"/>
    <w:rsid w:val="005C34F7"/>
    <w:rsid w:val="005C35A6"/>
    <w:rsid w:val="005D3FEF"/>
    <w:rsid w:val="005F2F85"/>
    <w:rsid w:val="00602EDC"/>
    <w:rsid w:val="006150CB"/>
    <w:rsid w:val="00624EDF"/>
    <w:rsid w:val="00634BA4"/>
    <w:rsid w:val="00634DF9"/>
    <w:rsid w:val="00637ABB"/>
    <w:rsid w:val="006514D1"/>
    <w:rsid w:val="00653FB7"/>
    <w:rsid w:val="006571C2"/>
    <w:rsid w:val="00661186"/>
    <w:rsid w:val="00665EE2"/>
    <w:rsid w:val="006811A0"/>
    <w:rsid w:val="00694873"/>
    <w:rsid w:val="00696DDC"/>
    <w:rsid w:val="006A0EF5"/>
    <w:rsid w:val="006A79F3"/>
    <w:rsid w:val="006B3641"/>
    <w:rsid w:val="006B46B4"/>
    <w:rsid w:val="006B5FDD"/>
    <w:rsid w:val="006D05E2"/>
    <w:rsid w:val="006D50E7"/>
    <w:rsid w:val="006E3A76"/>
    <w:rsid w:val="006E3E4D"/>
    <w:rsid w:val="006F55DE"/>
    <w:rsid w:val="00711BD7"/>
    <w:rsid w:val="00721E2D"/>
    <w:rsid w:val="00723945"/>
    <w:rsid w:val="00732EEC"/>
    <w:rsid w:val="007347FE"/>
    <w:rsid w:val="007353ED"/>
    <w:rsid w:val="00741CE7"/>
    <w:rsid w:val="00745F09"/>
    <w:rsid w:val="007476C0"/>
    <w:rsid w:val="00752DE7"/>
    <w:rsid w:val="00761212"/>
    <w:rsid w:val="00761EAC"/>
    <w:rsid w:val="00774455"/>
    <w:rsid w:val="00784830"/>
    <w:rsid w:val="00790A38"/>
    <w:rsid w:val="0079421E"/>
    <w:rsid w:val="007969D1"/>
    <w:rsid w:val="007A032B"/>
    <w:rsid w:val="007B0031"/>
    <w:rsid w:val="007B2275"/>
    <w:rsid w:val="007C3195"/>
    <w:rsid w:val="007C56A1"/>
    <w:rsid w:val="007E20EB"/>
    <w:rsid w:val="007E4052"/>
    <w:rsid w:val="007F048F"/>
    <w:rsid w:val="007F4156"/>
    <w:rsid w:val="007F67E9"/>
    <w:rsid w:val="008035C2"/>
    <w:rsid w:val="00810E8C"/>
    <w:rsid w:val="00834C46"/>
    <w:rsid w:val="00836A47"/>
    <w:rsid w:val="008531E0"/>
    <w:rsid w:val="008542B6"/>
    <w:rsid w:val="00855978"/>
    <w:rsid w:val="00857C5F"/>
    <w:rsid w:val="00870821"/>
    <w:rsid w:val="00870C1C"/>
    <w:rsid w:val="00872B52"/>
    <w:rsid w:val="008767C0"/>
    <w:rsid w:val="008817FC"/>
    <w:rsid w:val="008825C8"/>
    <w:rsid w:val="00882E23"/>
    <w:rsid w:val="008934DA"/>
    <w:rsid w:val="00894D41"/>
    <w:rsid w:val="008964B1"/>
    <w:rsid w:val="008A0657"/>
    <w:rsid w:val="008A4D58"/>
    <w:rsid w:val="008B099D"/>
    <w:rsid w:val="008C0888"/>
    <w:rsid w:val="008C7AFE"/>
    <w:rsid w:val="008D2354"/>
    <w:rsid w:val="008D2EF7"/>
    <w:rsid w:val="008D61A8"/>
    <w:rsid w:val="008E1459"/>
    <w:rsid w:val="008F3978"/>
    <w:rsid w:val="008F5FFA"/>
    <w:rsid w:val="00900E79"/>
    <w:rsid w:val="00904CC4"/>
    <w:rsid w:val="009176C5"/>
    <w:rsid w:val="00944528"/>
    <w:rsid w:val="00950CCD"/>
    <w:rsid w:val="00951A50"/>
    <w:rsid w:val="00952AB9"/>
    <w:rsid w:val="00956301"/>
    <w:rsid w:val="00967A95"/>
    <w:rsid w:val="009727E7"/>
    <w:rsid w:val="00973CFC"/>
    <w:rsid w:val="00974BAA"/>
    <w:rsid w:val="009840F9"/>
    <w:rsid w:val="0098671E"/>
    <w:rsid w:val="009874D8"/>
    <w:rsid w:val="00991449"/>
    <w:rsid w:val="00992EF6"/>
    <w:rsid w:val="009A07A1"/>
    <w:rsid w:val="009A15CE"/>
    <w:rsid w:val="009B610C"/>
    <w:rsid w:val="009B66F1"/>
    <w:rsid w:val="009C4A80"/>
    <w:rsid w:val="009C57F7"/>
    <w:rsid w:val="009D119E"/>
    <w:rsid w:val="009E1AE2"/>
    <w:rsid w:val="009E2594"/>
    <w:rsid w:val="009E2C48"/>
    <w:rsid w:val="009E4C7B"/>
    <w:rsid w:val="009E6081"/>
    <w:rsid w:val="009F0C8C"/>
    <w:rsid w:val="00A00705"/>
    <w:rsid w:val="00A23443"/>
    <w:rsid w:val="00A52CB2"/>
    <w:rsid w:val="00A54519"/>
    <w:rsid w:val="00A769FE"/>
    <w:rsid w:val="00A92922"/>
    <w:rsid w:val="00AA2B5F"/>
    <w:rsid w:val="00AA46AA"/>
    <w:rsid w:val="00AB41D5"/>
    <w:rsid w:val="00AB4F3B"/>
    <w:rsid w:val="00AC6436"/>
    <w:rsid w:val="00AD5794"/>
    <w:rsid w:val="00AE313A"/>
    <w:rsid w:val="00AE3881"/>
    <w:rsid w:val="00AE73D4"/>
    <w:rsid w:val="00AF0A8D"/>
    <w:rsid w:val="00AF6FA9"/>
    <w:rsid w:val="00AF7FCE"/>
    <w:rsid w:val="00B0371F"/>
    <w:rsid w:val="00B1778D"/>
    <w:rsid w:val="00B3345B"/>
    <w:rsid w:val="00B400F1"/>
    <w:rsid w:val="00B427C6"/>
    <w:rsid w:val="00B47318"/>
    <w:rsid w:val="00B61CD7"/>
    <w:rsid w:val="00B6457C"/>
    <w:rsid w:val="00B71FE3"/>
    <w:rsid w:val="00B72CBF"/>
    <w:rsid w:val="00B74535"/>
    <w:rsid w:val="00B81EEB"/>
    <w:rsid w:val="00B862F0"/>
    <w:rsid w:val="00B96EE0"/>
    <w:rsid w:val="00B97BAE"/>
    <w:rsid w:val="00B97F67"/>
    <w:rsid w:val="00BA03A8"/>
    <w:rsid w:val="00BB3345"/>
    <w:rsid w:val="00BB3AB4"/>
    <w:rsid w:val="00BB4C9B"/>
    <w:rsid w:val="00BC07A6"/>
    <w:rsid w:val="00BC6D17"/>
    <w:rsid w:val="00BE0C11"/>
    <w:rsid w:val="00BE5B46"/>
    <w:rsid w:val="00BE6C44"/>
    <w:rsid w:val="00BF004D"/>
    <w:rsid w:val="00BF3E03"/>
    <w:rsid w:val="00BF5C80"/>
    <w:rsid w:val="00BF6495"/>
    <w:rsid w:val="00BF74B2"/>
    <w:rsid w:val="00C0144F"/>
    <w:rsid w:val="00C05024"/>
    <w:rsid w:val="00C07EC5"/>
    <w:rsid w:val="00C13DC8"/>
    <w:rsid w:val="00C17C55"/>
    <w:rsid w:val="00C24CC1"/>
    <w:rsid w:val="00C279C1"/>
    <w:rsid w:val="00C41CA7"/>
    <w:rsid w:val="00C5615B"/>
    <w:rsid w:val="00CA089F"/>
    <w:rsid w:val="00CA1150"/>
    <w:rsid w:val="00CA3772"/>
    <w:rsid w:val="00CA754D"/>
    <w:rsid w:val="00CC2512"/>
    <w:rsid w:val="00CC577D"/>
    <w:rsid w:val="00CD3D41"/>
    <w:rsid w:val="00CD6646"/>
    <w:rsid w:val="00CD7B54"/>
    <w:rsid w:val="00D118EE"/>
    <w:rsid w:val="00D22BD6"/>
    <w:rsid w:val="00D263B6"/>
    <w:rsid w:val="00D27963"/>
    <w:rsid w:val="00D27B55"/>
    <w:rsid w:val="00D3204B"/>
    <w:rsid w:val="00D373F7"/>
    <w:rsid w:val="00D417F7"/>
    <w:rsid w:val="00D50310"/>
    <w:rsid w:val="00D53AC7"/>
    <w:rsid w:val="00D922BD"/>
    <w:rsid w:val="00DA2F62"/>
    <w:rsid w:val="00DA5634"/>
    <w:rsid w:val="00DB659C"/>
    <w:rsid w:val="00DC330A"/>
    <w:rsid w:val="00DC64AA"/>
    <w:rsid w:val="00DD26BA"/>
    <w:rsid w:val="00DD5974"/>
    <w:rsid w:val="00DF034C"/>
    <w:rsid w:val="00E042A3"/>
    <w:rsid w:val="00E05205"/>
    <w:rsid w:val="00E10930"/>
    <w:rsid w:val="00E21576"/>
    <w:rsid w:val="00E22CC0"/>
    <w:rsid w:val="00E274C4"/>
    <w:rsid w:val="00E30C1E"/>
    <w:rsid w:val="00E31F79"/>
    <w:rsid w:val="00E34811"/>
    <w:rsid w:val="00E414E0"/>
    <w:rsid w:val="00E43FF7"/>
    <w:rsid w:val="00E5150D"/>
    <w:rsid w:val="00E650F2"/>
    <w:rsid w:val="00E701B5"/>
    <w:rsid w:val="00E77D3C"/>
    <w:rsid w:val="00E82032"/>
    <w:rsid w:val="00E846AA"/>
    <w:rsid w:val="00E87F58"/>
    <w:rsid w:val="00E96AA4"/>
    <w:rsid w:val="00EA676E"/>
    <w:rsid w:val="00EB1361"/>
    <w:rsid w:val="00EB2124"/>
    <w:rsid w:val="00EB4427"/>
    <w:rsid w:val="00EC1B2B"/>
    <w:rsid w:val="00EC20FB"/>
    <w:rsid w:val="00EC381E"/>
    <w:rsid w:val="00EC5A43"/>
    <w:rsid w:val="00ED1F0E"/>
    <w:rsid w:val="00ED57DA"/>
    <w:rsid w:val="00EE4116"/>
    <w:rsid w:val="00EE7763"/>
    <w:rsid w:val="00EF17A5"/>
    <w:rsid w:val="00EF2A04"/>
    <w:rsid w:val="00EF2FB6"/>
    <w:rsid w:val="00EF3CEB"/>
    <w:rsid w:val="00F03CCF"/>
    <w:rsid w:val="00F053FD"/>
    <w:rsid w:val="00F14D5F"/>
    <w:rsid w:val="00F20E9F"/>
    <w:rsid w:val="00F2302B"/>
    <w:rsid w:val="00F243A1"/>
    <w:rsid w:val="00F246F8"/>
    <w:rsid w:val="00F341A0"/>
    <w:rsid w:val="00F34C12"/>
    <w:rsid w:val="00F37CE5"/>
    <w:rsid w:val="00F51E45"/>
    <w:rsid w:val="00F575C6"/>
    <w:rsid w:val="00F733FD"/>
    <w:rsid w:val="00F81AA9"/>
    <w:rsid w:val="00F8522F"/>
    <w:rsid w:val="00F874A2"/>
    <w:rsid w:val="00F90C3F"/>
    <w:rsid w:val="00F94743"/>
    <w:rsid w:val="00FA2866"/>
    <w:rsid w:val="00FB1165"/>
    <w:rsid w:val="00FB2F8E"/>
    <w:rsid w:val="00FC06B7"/>
    <w:rsid w:val="00FC724E"/>
    <w:rsid w:val="00FD121A"/>
    <w:rsid w:val="00FD4CEB"/>
    <w:rsid w:val="00FF472C"/>
    <w:rsid w:val="00FF513D"/>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0CB"/>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6150CB"/>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394664"/>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0CB"/>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394664"/>
    <w:rPr>
      <w:rFonts w:eastAsia="SimSun" w:cs="Angsana New"/>
      <w:b/>
      <w:bCs/>
      <w:iCs/>
      <w:color w:val="4D738A"/>
      <w:w w:val="105"/>
      <w:kern w:val="40"/>
      <w:sz w:val="40"/>
      <w:szCs w:val="48"/>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qFormat/>
    <w:rsid w:val="0011430B"/>
    <w:rPr>
      <w:b/>
      <w:bCs/>
    </w:rPr>
  </w:style>
  <w:style w:type="character" w:styleId="SubtleEmphasis">
    <w:name w:val="Subtle Emphasis"/>
    <w:basedOn w:val="DefaultParagraphFont"/>
    <w:uiPriority w:val="19"/>
    <w:rsid w:val="0011430B"/>
    <w:rPr>
      <w:i/>
      <w:iCs/>
      <w:color w:val="808080" w:themeColor="text1" w:themeTint="7F"/>
    </w:rPr>
  </w:style>
  <w:style w:type="paragraph" w:styleId="ListParagraph">
    <w:name w:val="List Paragraph"/>
    <w:basedOn w:val="Normal"/>
    <w:uiPriority w:val="34"/>
    <w:qFormat/>
    <w:rsid w:val="00870C1C"/>
    <w:pPr>
      <w:spacing w:after="160" w:line="259" w:lineRule="auto"/>
      <w:ind w:left="720"/>
      <w:contextualSpacing/>
    </w:pPr>
    <w:rPr>
      <w:rFonts w:asciiTheme="minorHAnsi" w:eastAsiaTheme="minorHAnsi" w:hAnsiTheme="minorHAnsi" w:cstheme="minorBidi"/>
      <w:w w:val="100"/>
      <w:kern w:val="0"/>
    </w:rPr>
  </w:style>
  <w:style w:type="character" w:styleId="Hyperlink">
    <w:name w:val="Hyperlink"/>
    <w:basedOn w:val="DefaultParagraphFont"/>
    <w:uiPriority w:val="99"/>
    <w:unhideWhenUsed/>
    <w:rsid w:val="0015529E"/>
    <w:rPr>
      <w:color w:val="0000FF" w:themeColor="hyperlink"/>
      <w:u w:val="single"/>
    </w:rPr>
  </w:style>
  <w:style w:type="character" w:styleId="CommentReference">
    <w:name w:val="annotation reference"/>
    <w:basedOn w:val="DefaultParagraphFont"/>
    <w:uiPriority w:val="99"/>
    <w:semiHidden/>
    <w:unhideWhenUsed/>
    <w:rsid w:val="000250DD"/>
    <w:rPr>
      <w:sz w:val="16"/>
      <w:szCs w:val="16"/>
    </w:rPr>
  </w:style>
  <w:style w:type="paragraph" w:styleId="CommentText">
    <w:name w:val="annotation text"/>
    <w:basedOn w:val="Normal"/>
    <w:link w:val="CommentTextChar"/>
    <w:uiPriority w:val="99"/>
    <w:semiHidden/>
    <w:unhideWhenUsed/>
    <w:rsid w:val="000250DD"/>
    <w:pPr>
      <w:spacing w:line="240" w:lineRule="auto"/>
    </w:pPr>
    <w:rPr>
      <w:sz w:val="20"/>
      <w:szCs w:val="20"/>
    </w:rPr>
  </w:style>
  <w:style w:type="character" w:customStyle="1" w:styleId="CommentTextChar">
    <w:name w:val="Comment Text Char"/>
    <w:basedOn w:val="DefaultParagraphFont"/>
    <w:link w:val="CommentText"/>
    <w:uiPriority w:val="99"/>
    <w:semiHidden/>
    <w:rsid w:val="000250DD"/>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0250DD"/>
    <w:rPr>
      <w:b/>
      <w:bCs/>
    </w:rPr>
  </w:style>
  <w:style w:type="character" w:customStyle="1" w:styleId="CommentSubjectChar">
    <w:name w:val="Comment Subject Char"/>
    <w:basedOn w:val="CommentTextChar"/>
    <w:link w:val="CommentSubject"/>
    <w:uiPriority w:val="99"/>
    <w:semiHidden/>
    <w:rsid w:val="000250DD"/>
    <w:rPr>
      <w:rFonts w:cs="Calibri"/>
      <w:b/>
      <w:bCs/>
      <w:w w:val="105"/>
      <w:kern w:val="40"/>
      <w:lang w:eastAsia="en-US"/>
    </w:rPr>
  </w:style>
  <w:style w:type="character" w:customStyle="1" w:styleId="normaltextrun">
    <w:name w:val="normaltextrun"/>
    <w:basedOn w:val="DefaultParagraphFont"/>
    <w:rsid w:val="00EC20FB"/>
  </w:style>
  <w:style w:type="paragraph" w:styleId="NormalWeb">
    <w:name w:val="Normal (Web)"/>
    <w:basedOn w:val="Normal"/>
    <w:uiPriority w:val="99"/>
    <w:semiHidden/>
    <w:unhideWhenUsed/>
    <w:rsid w:val="006811A0"/>
    <w:pPr>
      <w:spacing w:before="100" w:beforeAutospacing="1" w:after="100" w:afterAutospacing="1" w:line="240" w:lineRule="auto"/>
    </w:pPr>
    <w:rPr>
      <w:rFonts w:ascii="Times New Roman" w:eastAsiaTheme="minorHAnsi" w:hAnsi="Times New Roman" w:cs="Times New Roman"/>
      <w:w w:val="100"/>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2022-01-27T02:35:00Z</dcterms:created>
  <dcterms:modified xsi:type="dcterms:W3CDTF">2022-01-27T02:36:00Z</dcterms:modified>
</cp:coreProperties>
</file>