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F7C2" w14:textId="3627D626" w:rsidR="00245B6C" w:rsidRDefault="00922F36" w:rsidP="00245B6C">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2025</w:t>
      </w:r>
    </w:p>
    <w:p w14:paraId="034DB1E2" w14:textId="77777777" w:rsidR="00245B6C" w:rsidRDefault="00245B6C" w:rsidP="00245B6C">
      <w:pPr>
        <w:pStyle w:val="Baseparagraphcentred"/>
      </w:pPr>
    </w:p>
    <w:p w14:paraId="56ADEDDD" w14:textId="77777777" w:rsidR="00245B6C" w:rsidRDefault="00245B6C" w:rsidP="00245B6C">
      <w:pPr>
        <w:pStyle w:val="Baseparagraphcentred"/>
      </w:pPr>
      <w:r>
        <w:t>THE PARLIAMENT OF THE COMMONWEALTH OF AUSTRALIA</w:t>
      </w:r>
    </w:p>
    <w:p w14:paraId="698B0B0E" w14:textId="77777777" w:rsidR="00245B6C" w:rsidRDefault="00245B6C" w:rsidP="00245B6C">
      <w:pPr>
        <w:pStyle w:val="Baseparagraphcentred"/>
      </w:pPr>
    </w:p>
    <w:p w14:paraId="16340BC7" w14:textId="77777777" w:rsidR="00245B6C" w:rsidRDefault="00245B6C" w:rsidP="00245B6C">
      <w:pPr>
        <w:pStyle w:val="Baseparagraphcentred"/>
      </w:pPr>
    </w:p>
    <w:p w14:paraId="65B49626" w14:textId="71FBF7F9" w:rsidR="00245B6C" w:rsidRDefault="00C70EBF" w:rsidP="00C70EBF">
      <w:pPr>
        <w:pStyle w:val="Baseparagraphcentred"/>
        <w:tabs>
          <w:tab w:val="left" w:pos="6360"/>
        </w:tabs>
        <w:jc w:val="left"/>
      </w:pPr>
      <w:r>
        <w:tab/>
      </w:r>
    </w:p>
    <w:p w14:paraId="5BF12D3C" w14:textId="77777777" w:rsidR="00245B6C" w:rsidRDefault="00245B6C" w:rsidP="00245B6C">
      <w:pPr>
        <w:pStyle w:val="Baseparagraphcentred"/>
      </w:pPr>
      <w:r>
        <w:t>EXPOSURE DRAFT EXPLANATORY MATERIALS</w:t>
      </w:r>
    </w:p>
    <w:p w14:paraId="4E61332F" w14:textId="77777777" w:rsidR="00245B6C" w:rsidRDefault="00245B6C" w:rsidP="00245B6C">
      <w:pPr>
        <w:pStyle w:val="Baseparagraphcentred"/>
      </w:pPr>
    </w:p>
    <w:p w14:paraId="01F56A7E" w14:textId="77777777" w:rsidR="00245B6C" w:rsidRDefault="00245B6C" w:rsidP="00245B6C">
      <w:pPr>
        <w:pStyle w:val="Baseparagraphcentred"/>
      </w:pPr>
    </w:p>
    <w:p w14:paraId="3F032423" w14:textId="77777777" w:rsidR="00245B6C" w:rsidRDefault="00245B6C" w:rsidP="00245B6C">
      <w:pPr>
        <w:pStyle w:val="Baseparagraphcentred"/>
        <w:pBdr>
          <w:bottom w:val="single" w:sz="4" w:space="1" w:color="auto"/>
        </w:pBdr>
      </w:pPr>
    </w:p>
    <w:p w14:paraId="768E2DAD" w14:textId="7D58AA5B" w:rsidR="00245B6C" w:rsidRPr="00E24AA1" w:rsidRDefault="00245B6C" w:rsidP="00245B6C">
      <w:pPr>
        <w:pStyle w:val="BillName"/>
      </w:pPr>
      <w:bookmarkStart w:id="6" w:name="BillName"/>
      <w:bookmarkEnd w:id="6"/>
      <w:r>
        <w:t>Treasury Law</w:t>
      </w:r>
      <w:r w:rsidR="004F4DFC">
        <w:t>S</w:t>
      </w:r>
      <w:r>
        <w:t xml:space="preserve"> Amendment Bill 2025: PRRT Callaghan Review Recommendation 6</w:t>
      </w:r>
    </w:p>
    <w:p w14:paraId="477B4A52" w14:textId="77777777" w:rsidR="00245B6C" w:rsidRDefault="00245B6C" w:rsidP="00245B6C">
      <w:pPr>
        <w:pStyle w:val="Baseparagraphcentred"/>
        <w:pBdr>
          <w:top w:val="single" w:sz="4" w:space="1" w:color="auto"/>
        </w:pBdr>
      </w:pPr>
    </w:p>
    <w:p w14:paraId="5FDF0B05" w14:textId="77777777" w:rsidR="00245B6C" w:rsidRDefault="00245B6C" w:rsidP="00245B6C">
      <w:pPr>
        <w:pStyle w:val="Baseparagraphcentred"/>
      </w:pPr>
    </w:p>
    <w:p w14:paraId="0AB6B9DA" w14:textId="77777777" w:rsidR="00245B6C" w:rsidRDefault="00245B6C" w:rsidP="00245B6C">
      <w:pPr>
        <w:pStyle w:val="Baseparagraphcentred"/>
      </w:pPr>
    </w:p>
    <w:p w14:paraId="1F049D6A" w14:textId="77777777" w:rsidR="00245B6C" w:rsidRDefault="00245B6C" w:rsidP="00245B6C">
      <w:pPr>
        <w:pStyle w:val="Baseparagraphcentred"/>
      </w:pPr>
    </w:p>
    <w:p w14:paraId="0F17AE59" w14:textId="77777777" w:rsidR="00245B6C" w:rsidRDefault="00245B6C" w:rsidP="00245B6C">
      <w:pPr>
        <w:pStyle w:val="Baseparagraphcentred"/>
      </w:pPr>
      <w:r>
        <w:t>EXPLANATORY MEMORANDUM</w:t>
      </w:r>
    </w:p>
    <w:p w14:paraId="1A8840B6" w14:textId="77777777" w:rsidR="00245B6C" w:rsidRDefault="00245B6C" w:rsidP="00245B6C">
      <w:pPr>
        <w:pStyle w:val="Baseparagraphcentred"/>
      </w:pPr>
    </w:p>
    <w:p w14:paraId="78273851" w14:textId="77777777" w:rsidR="00245B6C" w:rsidRDefault="00245B6C" w:rsidP="00245B6C">
      <w:pPr>
        <w:pStyle w:val="Baseparagraphcentred"/>
      </w:pPr>
    </w:p>
    <w:p w14:paraId="13A87018" w14:textId="77777777" w:rsidR="00245B6C" w:rsidRDefault="00245B6C" w:rsidP="00245B6C">
      <w:pPr>
        <w:pStyle w:val="ParaCentredNoSpacing"/>
      </w:pPr>
    </w:p>
    <w:p w14:paraId="3FE0F527" w14:textId="77777777" w:rsidR="00245B6C" w:rsidRPr="00967273" w:rsidRDefault="00245B6C" w:rsidP="00245B6C">
      <w:pPr>
        <w:pStyle w:val="Normalparatextnonumbers"/>
        <w:jc w:val="center"/>
        <w:rPr>
          <w:rFonts w:cs="Calibri"/>
          <w:color w:val="000000" w:themeColor="text1"/>
        </w:rPr>
      </w:pPr>
    </w:p>
    <w:p w14:paraId="3429A7FE" w14:textId="77777777" w:rsidR="00245B6C" w:rsidRDefault="00245B6C" w:rsidP="00245B6C">
      <w:pPr>
        <w:pStyle w:val="Normalparatextnonumbers"/>
        <w:jc w:val="center"/>
      </w:pPr>
      <w:bookmarkStart w:id="7" w:name="CirculatedByCoverPageText"/>
      <w:r w:rsidRPr="00020288">
        <w:t xml:space="preserve">(Circulated by authority of </w:t>
      </w:r>
      <w:r>
        <w:t>the Treasurer, the Hon Jim Chalmers MP)</w:t>
      </w:r>
      <w:bookmarkEnd w:id="7"/>
    </w:p>
    <w:p w14:paraId="3D1E9869" w14:textId="77777777" w:rsidR="00245B6C" w:rsidRPr="00020288" w:rsidRDefault="00245B6C" w:rsidP="00245B6C">
      <w:pPr>
        <w:pStyle w:val="Normalparatextnonumbers"/>
      </w:pPr>
    </w:p>
    <w:p w14:paraId="59C9C584" w14:textId="77777777" w:rsidR="00245B6C" w:rsidRDefault="00245B6C" w:rsidP="00245B6C">
      <w:pPr>
        <w:pStyle w:val="Normalparatextnonumbers"/>
      </w:pPr>
      <w:bookmarkStart w:id="8" w:name="ConsultPreamble"/>
      <w:bookmarkEnd w:id="8"/>
    </w:p>
    <w:p w14:paraId="2CAB3CD6" w14:textId="77777777" w:rsidR="00245B6C" w:rsidRPr="00020288" w:rsidRDefault="00245B6C" w:rsidP="00245B6C">
      <w:pPr>
        <w:pStyle w:val="Normalparatextnonumbers"/>
      </w:pPr>
    </w:p>
    <w:p w14:paraId="620FBA9C" w14:textId="77777777" w:rsidR="00245B6C" w:rsidRPr="00020288" w:rsidRDefault="00245B6C" w:rsidP="00245B6C">
      <w:pPr>
        <w:pStyle w:val="TOCHeading"/>
      </w:pPr>
      <w:bookmarkStart w:id="9" w:name="_Toc80172450"/>
      <w:bookmarkStart w:id="10" w:name="_Toc80197114"/>
      <w:bookmarkStart w:id="11" w:name="_Toc81852681"/>
      <w:bookmarkEnd w:id="0"/>
      <w:bookmarkEnd w:id="1"/>
      <w:bookmarkEnd w:id="2"/>
      <w:bookmarkEnd w:id="3"/>
      <w:bookmarkEnd w:id="4"/>
      <w:r w:rsidRPr="00020288">
        <w:lastRenderedPageBreak/>
        <w:t>Table of Contents</w:t>
      </w:r>
      <w:bookmarkStart w:id="12" w:name="_Toc78549733"/>
      <w:bookmarkStart w:id="13" w:name="_Toc78549778"/>
      <w:bookmarkStart w:id="14" w:name="_Toc80097483"/>
      <w:bookmarkStart w:id="15" w:name="_Toc80097777"/>
      <w:bookmarkStart w:id="16" w:name="_Toc80115276"/>
      <w:bookmarkStart w:id="17" w:name="_Toc80172451"/>
      <w:bookmarkStart w:id="18" w:name="_Toc80197115"/>
      <w:bookmarkStart w:id="19" w:name="_Toc81852682"/>
      <w:bookmarkStart w:id="20" w:name="_Toc81852727"/>
      <w:bookmarkEnd w:id="9"/>
      <w:bookmarkEnd w:id="10"/>
      <w:bookmarkEnd w:id="11"/>
    </w:p>
    <w:p w14:paraId="09DF9FA4" w14:textId="1B0F6B53" w:rsidR="0055309C" w:rsidRDefault="00922F36">
      <w:pPr>
        <w:pStyle w:val="TOC1"/>
        <w:rPr>
          <w:rFonts w:asciiTheme="minorHAnsi" w:eastAsiaTheme="minorEastAsia" w:hAnsiTheme="minorHAnsi" w:cstheme="minorBidi"/>
          <w:bCs w:val="0"/>
          <w:noProof/>
          <w:kern w:val="2"/>
          <w:szCs w:val="24"/>
          <w:lang w:eastAsia="en-AU"/>
          <w14:ligatures w14:val="standardContextual"/>
        </w:rPr>
      </w:pPr>
      <w:r>
        <w:fldChar w:fldCharType="begin"/>
      </w:r>
      <w:r>
        <w:instrText>TOC \o "1-1" \z \u</w:instrText>
      </w:r>
      <w:r>
        <w:fldChar w:fldCharType="separate"/>
      </w:r>
      <w:r w:rsidR="0055309C">
        <w:rPr>
          <w:noProof/>
        </w:rPr>
        <w:t>Glossary</w:t>
      </w:r>
      <w:r w:rsidR="0055309C">
        <w:rPr>
          <w:noProof/>
          <w:webHidden/>
        </w:rPr>
        <w:tab/>
      </w:r>
      <w:r w:rsidR="001921A0">
        <w:rPr>
          <w:noProof/>
          <w:webHidden/>
        </w:rPr>
        <w:tab/>
      </w:r>
      <w:r w:rsidR="0055309C">
        <w:rPr>
          <w:noProof/>
          <w:webHidden/>
        </w:rPr>
        <w:fldChar w:fldCharType="begin"/>
      </w:r>
      <w:r w:rsidR="0055309C">
        <w:rPr>
          <w:noProof/>
          <w:webHidden/>
        </w:rPr>
        <w:instrText xml:space="preserve"> PAGEREF _Toc203127418 \h </w:instrText>
      </w:r>
      <w:r w:rsidR="0055309C">
        <w:rPr>
          <w:noProof/>
          <w:webHidden/>
        </w:rPr>
      </w:r>
      <w:r w:rsidR="0055309C">
        <w:rPr>
          <w:noProof/>
          <w:webHidden/>
        </w:rPr>
        <w:fldChar w:fldCharType="separate"/>
      </w:r>
      <w:r w:rsidR="00E05D3B">
        <w:rPr>
          <w:noProof/>
          <w:webHidden/>
        </w:rPr>
        <w:t>iii</w:t>
      </w:r>
      <w:r w:rsidR="0055309C">
        <w:rPr>
          <w:noProof/>
          <w:webHidden/>
        </w:rPr>
        <w:fldChar w:fldCharType="end"/>
      </w:r>
    </w:p>
    <w:p w14:paraId="62FC125E" w14:textId="2713AF53" w:rsidR="0055309C" w:rsidRDefault="0055309C">
      <w:pPr>
        <w:pStyle w:val="TOC1"/>
        <w:rPr>
          <w:rFonts w:asciiTheme="minorHAnsi" w:eastAsiaTheme="minorEastAsia" w:hAnsiTheme="minorHAnsi" w:cstheme="minorBidi"/>
          <w:bCs w:val="0"/>
          <w:noProof/>
          <w:kern w:val="2"/>
          <w:szCs w:val="24"/>
          <w:lang w:eastAsia="en-AU"/>
          <w14:ligatures w14:val="standardContextual"/>
        </w:rPr>
      </w:pPr>
      <w:r w:rsidRPr="006F48BF">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Recommendation 6</w:t>
      </w:r>
      <w:r>
        <w:rPr>
          <w:noProof/>
          <w:webHidden/>
        </w:rPr>
        <w:tab/>
      </w:r>
      <w:r>
        <w:rPr>
          <w:noProof/>
          <w:webHidden/>
        </w:rPr>
        <w:fldChar w:fldCharType="begin"/>
      </w:r>
      <w:r>
        <w:rPr>
          <w:noProof/>
          <w:webHidden/>
        </w:rPr>
        <w:instrText xml:space="preserve"> PAGEREF _Toc203127419 \h </w:instrText>
      </w:r>
      <w:r>
        <w:rPr>
          <w:noProof/>
          <w:webHidden/>
        </w:rPr>
      </w:r>
      <w:r>
        <w:rPr>
          <w:noProof/>
          <w:webHidden/>
        </w:rPr>
        <w:fldChar w:fldCharType="separate"/>
      </w:r>
      <w:r w:rsidR="00E05D3B">
        <w:rPr>
          <w:noProof/>
          <w:webHidden/>
        </w:rPr>
        <w:t>7</w:t>
      </w:r>
      <w:r>
        <w:rPr>
          <w:noProof/>
          <w:webHidden/>
        </w:rPr>
        <w:fldChar w:fldCharType="end"/>
      </w:r>
    </w:p>
    <w:p w14:paraId="67A81466" w14:textId="15EDB852" w:rsidR="00245B6C" w:rsidRDefault="00922F36" w:rsidP="00245B6C">
      <w:pPr>
        <w:pStyle w:val="TOC1"/>
        <w:tabs>
          <w:tab w:val="clear" w:pos="7655"/>
          <w:tab w:val="left" w:pos="1440"/>
          <w:tab w:val="right" w:leader="dot" w:pos="7650"/>
        </w:tabs>
        <w:rPr>
          <w:rFonts w:asciiTheme="minorHAnsi" w:eastAsiaTheme="minorEastAsia" w:hAnsiTheme="minorHAnsi" w:cstheme="minorBidi"/>
          <w:noProof/>
          <w:sz w:val="22"/>
          <w:szCs w:val="22"/>
          <w:lang w:eastAsia="en-AU"/>
        </w:rPr>
      </w:pPr>
      <w:r>
        <w:fldChar w:fldCharType="end"/>
      </w:r>
    </w:p>
    <w:p w14:paraId="362382C5" w14:textId="77777777" w:rsidR="00245B6C" w:rsidRPr="00020288" w:rsidRDefault="00245B6C" w:rsidP="00245B6C">
      <w:pPr>
        <w:pStyle w:val="TOC1"/>
      </w:pPr>
    </w:p>
    <w:p w14:paraId="0B5C80C2" w14:textId="77777777" w:rsidR="00245B6C" w:rsidRPr="00020288" w:rsidRDefault="00245B6C" w:rsidP="00245B6C"/>
    <w:p w14:paraId="76C44700" w14:textId="77777777" w:rsidR="00245B6C" w:rsidRPr="00020288" w:rsidRDefault="00245B6C" w:rsidP="00245B6C">
      <w:pPr>
        <w:sectPr w:rsidR="00245B6C" w:rsidRPr="00020288" w:rsidSect="006C409C">
          <w:headerReference w:type="even" r:id="rId7"/>
          <w:headerReference w:type="default" r:id="rId8"/>
          <w:footerReference w:type="even" r:id="rId9"/>
          <w:footerReference w:type="default" r:id="rId10"/>
          <w:headerReference w:type="first" r:id="rId11"/>
          <w:footerReference w:type="first" r:id="rId12"/>
          <w:type w:val="oddPage"/>
          <w:pgSz w:w="9978" w:h="14173" w:code="34"/>
          <w:pgMar w:top="567" w:right="1134" w:bottom="567" w:left="1134" w:header="709" w:footer="709" w:gutter="0"/>
          <w:pgNumType w:start="1"/>
          <w:cols w:space="708"/>
          <w:titlePg/>
          <w:docGrid w:linePitch="360"/>
        </w:sectPr>
      </w:pPr>
    </w:p>
    <w:p w14:paraId="62E4B180" w14:textId="77777777" w:rsidR="00245B6C" w:rsidRPr="00A330A7" w:rsidRDefault="00245B6C" w:rsidP="00A330A7">
      <w:pPr>
        <w:keepNext/>
        <w:keepLines/>
        <w:pBdr>
          <w:bottom w:val="single" w:sz="4" w:space="1" w:color="auto"/>
        </w:pBdr>
        <w:spacing w:after="480"/>
        <w:outlineLvl w:val="0"/>
        <w:rPr>
          <w:rFonts w:ascii="Helvitica" w:eastAsia="Times New Roman" w:hAnsi="Helvitica" w:cs="Times New Roman"/>
          <w:b/>
          <w:i/>
          <w:sz w:val="40"/>
          <w:szCs w:val="32"/>
        </w:rPr>
      </w:pPr>
      <w:bookmarkStart w:id="21" w:name="_Toc82021619"/>
      <w:bookmarkStart w:id="22" w:name="_Toc82067318"/>
      <w:bookmarkStart w:id="23" w:name="_Toc82072959"/>
      <w:bookmarkStart w:id="24" w:name="_Toc82073275"/>
      <w:bookmarkStart w:id="25" w:name="_Toc82073912"/>
      <w:bookmarkStart w:id="26" w:name="_Toc82074016"/>
      <w:bookmarkStart w:id="27" w:name="_Toc143679544"/>
      <w:bookmarkStart w:id="28" w:name="_Toc203127418"/>
      <w:r w:rsidRPr="00A330A7">
        <w:rPr>
          <w:rFonts w:ascii="Helvitica" w:eastAsia="Times New Roman" w:hAnsi="Helvitica" w:cs="Times New Roman"/>
          <w:b/>
          <w:i/>
          <w:sz w:val="40"/>
          <w:szCs w:val="32"/>
        </w:rPr>
        <w:lastRenderedPageBreak/>
        <w:t>Glossary</w:t>
      </w:r>
      <w:bookmarkStart w:id="29" w:name="_Toc485286223"/>
      <w:bookmarkStart w:id="30" w:name="_Toc78193244"/>
      <w:bookmarkStart w:id="31" w:name="_Toc7819340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330A7">
        <w:rPr>
          <w:rFonts w:ascii="Helvitica" w:eastAsia="Times New Roman" w:hAnsi="Helvitica" w:cs="Times New Roman"/>
          <w:b/>
          <w:i/>
          <w:sz w:val="40"/>
          <w:szCs w:val="32"/>
        </w:rPr>
        <w:tab/>
        <w:t xml:space="preserve"> </w:t>
      </w:r>
    </w:p>
    <w:bookmarkEnd w:id="28"/>
    <w:p w14:paraId="7A7A67EB" w14:textId="77777777" w:rsidR="00245B6C" w:rsidRPr="00020288" w:rsidRDefault="00245B6C" w:rsidP="00245B6C">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245B6C" w:rsidRPr="002E7A73" w14:paraId="69E55053" w14:textId="77777777" w:rsidTr="00523EC3">
        <w:tc>
          <w:tcPr>
            <w:tcW w:w="3776" w:type="dxa"/>
          </w:tcPr>
          <w:p w14:paraId="44F19C34" w14:textId="77777777" w:rsidR="00245B6C" w:rsidRPr="002E7A73" w:rsidRDefault="00245B6C">
            <w:pPr>
              <w:pStyle w:val="Tableheaderrowtext"/>
            </w:pPr>
            <w:bookmarkStart w:id="32" w:name="GlossaryTableStart"/>
            <w:bookmarkEnd w:id="32"/>
            <w:r w:rsidRPr="002E7A73">
              <w:t>Abbreviation</w:t>
            </w:r>
          </w:p>
        </w:tc>
        <w:tc>
          <w:tcPr>
            <w:tcW w:w="3874" w:type="dxa"/>
          </w:tcPr>
          <w:p w14:paraId="04025E39" w14:textId="77777777" w:rsidR="00245B6C" w:rsidRPr="002E7A73" w:rsidRDefault="00245B6C">
            <w:pPr>
              <w:pStyle w:val="Tableheaderrowtext"/>
            </w:pPr>
            <w:r w:rsidRPr="002E7A73">
              <w:t>Definition</w:t>
            </w:r>
          </w:p>
        </w:tc>
      </w:tr>
      <w:tr w:rsidR="00245B6C" w:rsidRPr="00020288" w14:paraId="7C95D7A4" w14:textId="77777777" w:rsidTr="00523EC3">
        <w:tc>
          <w:tcPr>
            <w:tcW w:w="3776" w:type="dxa"/>
          </w:tcPr>
          <w:p w14:paraId="08CB114A" w14:textId="77777777" w:rsidR="00245B6C" w:rsidRPr="00020288" w:rsidRDefault="00245B6C">
            <w:pPr>
              <w:pStyle w:val="Normalparatextnonumbers"/>
            </w:pPr>
            <w:r>
              <w:t>Bill</w:t>
            </w:r>
          </w:p>
        </w:tc>
        <w:tc>
          <w:tcPr>
            <w:tcW w:w="3874" w:type="dxa"/>
          </w:tcPr>
          <w:p w14:paraId="7162F675" w14:textId="6214602C" w:rsidR="00245B6C" w:rsidRPr="00020288" w:rsidRDefault="00245B6C">
            <w:pPr>
              <w:pStyle w:val="Normalparatextnonumbers"/>
            </w:pPr>
            <w:r>
              <w:rPr>
                <w:i/>
                <w:iCs/>
              </w:rPr>
              <w:t>Treasury Laws Amendment Bill 202</w:t>
            </w:r>
            <w:r w:rsidR="00342C07">
              <w:rPr>
                <w:i/>
                <w:iCs/>
              </w:rPr>
              <w:t>5</w:t>
            </w:r>
            <w:r>
              <w:rPr>
                <w:i/>
                <w:iCs/>
              </w:rPr>
              <w:t xml:space="preserve">: PRRT Callaghan </w:t>
            </w:r>
            <w:r w:rsidR="00560AB2">
              <w:rPr>
                <w:i/>
                <w:iCs/>
              </w:rPr>
              <w:t>R</w:t>
            </w:r>
            <w:r>
              <w:rPr>
                <w:i/>
                <w:iCs/>
              </w:rPr>
              <w:t>e</w:t>
            </w:r>
            <w:r w:rsidR="00224675">
              <w:rPr>
                <w:i/>
                <w:iCs/>
              </w:rPr>
              <w:t>c</w:t>
            </w:r>
            <w:r w:rsidR="00560AB2">
              <w:rPr>
                <w:i/>
                <w:iCs/>
              </w:rPr>
              <w:t>ommendation</w:t>
            </w:r>
            <w:r w:rsidR="00224675">
              <w:rPr>
                <w:i/>
                <w:iCs/>
              </w:rPr>
              <w:t xml:space="preserve"> 6</w:t>
            </w:r>
          </w:p>
        </w:tc>
      </w:tr>
      <w:tr w:rsidR="00245B6C" w:rsidRPr="00020288" w14:paraId="4A2BE008" w14:textId="77777777" w:rsidTr="00523EC3">
        <w:tc>
          <w:tcPr>
            <w:tcW w:w="3776" w:type="dxa"/>
          </w:tcPr>
          <w:p w14:paraId="1B7EB993" w14:textId="77777777" w:rsidR="00245B6C" w:rsidRDefault="00245B6C">
            <w:pPr>
              <w:pStyle w:val="Normalparatextnonumbers"/>
            </w:pPr>
            <w:r>
              <w:t xml:space="preserve">Callaghan Review </w:t>
            </w:r>
          </w:p>
        </w:tc>
        <w:tc>
          <w:tcPr>
            <w:tcW w:w="3874" w:type="dxa"/>
          </w:tcPr>
          <w:p w14:paraId="67A1EDC7" w14:textId="77777777" w:rsidR="00245B6C" w:rsidRDefault="00245B6C">
            <w:pPr>
              <w:pStyle w:val="Normalparatextnonumbers"/>
            </w:pPr>
            <w:r w:rsidRPr="00CC6F16">
              <w:t>The Petroleum Resource Rent Tax Review</w:t>
            </w:r>
            <w:r>
              <w:t xml:space="preserve"> 2017</w:t>
            </w:r>
            <w:r w:rsidRPr="00CC6F16">
              <w:t>, led by Michael Callaghan AM PSM</w:t>
            </w:r>
            <w:r>
              <w:t xml:space="preserve"> </w:t>
            </w:r>
          </w:p>
        </w:tc>
      </w:tr>
      <w:tr w:rsidR="00245B6C" w:rsidRPr="00020288" w14:paraId="2E151E0F" w14:textId="77777777" w:rsidTr="00523EC3">
        <w:tc>
          <w:tcPr>
            <w:tcW w:w="3776" w:type="dxa"/>
          </w:tcPr>
          <w:p w14:paraId="103E6C99" w14:textId="77777777" w:rsidR="00245B6C" w:rsidRPr="00020288" w:rsidRDefault="00245B6C">
            <w:pPr>
              <w:pStyle w:val="Normalparatextnonumbers"/>
            </w:pPr>
            <w:r>
              <w:t>Commissioner</w:t>
            </w:r>
          </w:p>
        </w:tc>
        <w:tc>
          <w:tcPr>
            <w:tcW w:w="3874" w:type="dxa"/>
          </w:tcPr>
          <w:p w14:paraId="45D8ED51" w14:textId="77777777" w:rsidR="00245B6C" w:rsidRPr="00020288" w:rsidRDefault="00245B6C">
            <w:pPr>
              <w:pStyle w:val="Normalparatextnonumbers"/>
            </w:pPr>
            <w:r>
              <w:t>Commissioner of Taxation</w:t>
            </w:r>
          </w:p>
        </w:tc>
      </w:tr>
      <w:tr w:rsidR="00245B6C" w:rsidRPr="00020288" w14:paraId="17086018" w14:textId="77777777" w:rsidTr="00523EC3">
        <w:tc>
          <w:tcPr>
            <w:tcW w:w="3776" w:type="dxa"/>
          </w:tcPr>
          <w:p w14:paraId="7B2EF2EC" w14:textId="77777777" w:rsidR="00245B6C" w:rsidRPr="00020288" w:rsidRDefault="00245B6C">
            <w:pPr>
              <w:pStyle w:val="Normalparatextnonumbers"/>
            </w:pPr>
            <w:r>
              <w:t>PRRT</w:t>
            </w:r>
          </w:p>
        </w:tc>
        <w:tc>
          <w:tcPr>
            <w:tcW w:w="3874" w:type="dxa"/>
          </w:tcPr>
          <w:p w14:paraId="532A40E5" w14:textId="77777777" w:rsidR="00245B6C" w:rsidRPr="00020288" w:rsidRDefault="00245B6C">
            <w:pPr>
              <w:pStyle w:val="Normalparatextnonumbers"/>
            </w:pPr>
            <w:r>
              <w:t>Petroleum Resource Rent Tax</w:t>
            </w:r>
          </w:p>
        </w:tc>
      </w:tr>
      <w:tr w:rsidR="00245B6C" w:rsidRPr="00020288" w14:paraId="1307D528" w14:textId="77777777" w:rsidTr="00523EC3">
        <w:tc>
          <w:tcPr>
            <w:tcW w:w="3776" w:type="dxa"/>
          </w:tcPr>
          <w:p w14:paraId="375B3676" w14:textId="5DC61A32" w:rsidR="00245B6C" w:rsidRDefault="00245B6C">
            <w:pPr>
              <w:pStyle w:val="Normalparatextnonumbers"/>
            </w:pPr>
            <w:r>
              <w:t>PRRTA</w:t>
            </w:r>
            <w:r w:rsidR="00C746E8">
              <w:t xml:space="preserve"> </w:t>
            </w:r>
            <w:r>
              <w:t>A</w:t>
            </w:r>
            <w:r w:rsidR="00C746E8">
              <w:t>ct</w:t>
            </w:r>
          </w:p>
        </w:tc>
        <w:tc>
          <w:tcPr>
            <w:tcW w:w="3874" w:type="dxa"/>
          </w:tcPr>
          <w:p w14:paraId="41451A1E" w14:textId="77777777" w:rsidR="00245B6C" w:rsidRDefault="00245B6C">
            <w:pPr>
              <w:pStyle w:val="Normalparatextnonumbers"/>
            </w:pPr>
            <w:r w:rsidRPr="00FE76F5">
              <w:rPr>
                <w:i/>
                <w:iCs/>
              </w:rPr>
              <w:t>Petroleum Resource Rent Tax Assessment Act 1987</w:t>
            </w:r>
          </w:p>
        </w:tc>
      </w:tr>
      <w:tr w:rsidR="00245B6C" w:rsidRPr="00020288" w14:paraId="0BEE657B" w14:textId="77777777" w:rsidTr="00523EC3">
        <w:tc>
          <w:tcPr>
            <w:tcW w:w="3776" w:type="dxa"/>
          </w:tcPr>
          <w:p w14:paraId="2E89145B" w14:textId="77777777" w:rsidR="00245B6C" w:rsidRDefault="00245B6C">
            <w:pPr>
              <w:pStyle w:val="Normalparatextnonumbers"/>
            </w:pPr>
            <w:r>
              <w:t>TAA 1953</w:t>
            </w:r>
          </w:p>
        </w:tc>
        <w:tc>
          <w:tcPr>
            <w:tcW w:w="3874" w:type="dxa"/>
          </w:tcPr>
          <w:p w14:paraId="5BDEC312" w14:textId="77777777" w:rsidR="00245B6C" w:rsidRPr="00FE76F5" w:rsidRDefault="00245B6C">
            <w:pPr>
              <w:pStyle w:val="Normalparatextnonumbers"/>
              <w:rPr>
                <w:i/>
                <w:iCs/>
              </w:rPr>
            </w:pPr>
            <w:r>
              <w:rPr>
                <w:i/>
                <w:iCs/>
              </w:rPr>
              <w:t>Taxation Administration Act 1953</w:t>
            </w:r>
          </w:p>
        </w:tc>
      </w:tr>
    </w:tbl>
    <w:p w14:paraId="53B7CE4A" w14:textId="77777777" w:rsidR="00245B6C" w:rsidRPr="00020288" w:rsidRDefault="00245B6C" w:rsidP="00245B6C"/>
    <w:p w14:paraId="4D71C5F9" w14:textId="77777777" w:rsidR="00245B6C" w:rsidRPr="00020288" w:rsidRDefault="00245B6C" w:rsidP="00245B6C"/>
    <w:p w14:paraId="61A3CE99" w14:textId="77777777" w:rsidR="000E6447" w:rsidRPr="000E6447" w:rsidRDefault="000E6447" w:rsidP="000E6447">
      <w:pPr>
        <w:rPr>
          <w:rFonts w:eastAsia="Calibri" w:cs="Times New Roman"/>
        </w:rPr>
      </w:pPr>
      <w:bookmarkStart w:id="33" w:name="_Toc78548464"/>
      <w:bookmarkStart w:id="34" w:name="_Toc78549735"/>
      <w:bookmarkStart w:id="35" w:name="_Toc78549780"/>
      <w:bookmarkStart w:id="36" w:name="_Toc80097484"/>
      <w:bookmarkStart w:id="37" w:name="_Toc80097778"/>
      <w:bookmarkStart w:id="38" w:name="_Toc80115277"/>
      <w:bookmarkStart w:id="39" w:name="_Toc80172452"/>
      <w:bookmarkStart w:id="40" w:name="_Toc80197116"/>
      <w:bookmarkStart w:id="41" w:name="_Toc81852683"/>
      <w:bookmarkStart w:id="42" w:name="_Toc81852728"/>
    </w:p>
    <w:p w14:paraId="6439A9DB" w14:textId="77777777" w:rsidR="000E6447" w:rsidRPr="000E6447" w:rsidRDefault="000E6447" w:rsidP="000E6447">
      <w:pPr>
        <w:keepNext/>
        <w:keepLines/>
        <w:pBdr>
          <w:bottom w:val="single" w:sz="4" w:space="1" w:color="auto"/>
        </w:pBdr>
        <w:spacing w:after="480"/>
        <w:outlineLvl w:val="0"/>
        <w:rPr>
          <w:rFonts w:ascii="Helvitica" w:eastAsia="Times New Roman" w:hAnsi="Helvitica" w:cs="Times New Roman"/>
          <w:b/>
          <w:i/>
          <w:sz w:val="40"/>
          <w:szCs w:val="32"/>
        </w:rPr>
        <w:sectPr w:rsidR="000E6447" w:rsidRPr="000E6447" w:rsidSect="000E6447">
          <w:headerReference w:type="even" r:id="rId13"/>
          <w:headerReference w:type="default" r:id="rId14"/>
          <w:headerReference w:type="first" r:id="rId15"/>
          <w:footerReference w:type="first" r:id="rId16"/>
          <w:type w:val="oddPage"/>
          <w:pgSz w:w="9979" w:h="14175" w:code="9"/>
          <w:pgMar w:top="567" w:right="1134" w:bottom="567" w:left="1134" w:header="709" w:footer="709" w:gutter="0"/>
          <w:pgNumType w:fmt="lowerRoman"/>
          <w:cols w:space="708"/>
          <w:docGrid w:linePitch="360"/>
        </w:sectPr>
      </w:pPr>
    </w:p>
    <w:p w14:paraId="13363471" w14:textId="77777777" w:rsidR="000E6447" w:rsidRPr="000E6447" w:rsidRDefault="000E6447" w:rsidP="000E6447">
      <w:pPr>
        <w:keepNext/>
        <w:keepLines/>
        <w:pBdr>
          <w:bottom w:val="single" w:sz="4" w:space="1" w:color="auto"/>
        </w:pBdr>
        <w:spacing w:after="480"/>
        <w:outlineLvl w:val="0"/>
        <w:rPr>
          <w:rFonts w:ascii="Helvitica" w:eastAsia="Times New Roman" w:hAnsi="Helvitica" w:cs="Times New Roman"/>
          <w:b/>
          <w:i/>
          <w:sz w:val="40"/>
          <w:szCs w:val="32"/>
        </w:rPr>
      </w:pPr>
      <w:bookmarkStart w:id="43" w:name="_Toc82021620"/>
      <w:bookmarkStart w:id="44" w:name="_Toc82067319"/>
      <w:bookmarkStart w:id="45" w:name="_Toc82072960"/>
      <w:bookmarkStart w:id="46" w:name="_Toc82073276"/>
      <w:bookmarkStart w:id="47" w:name="_Toc82073913"/>
      <w:bookmarkStart w:id="48" w:name="_Toc82074017"/>
      <w:bookmarkStart w:id="49" w:name="_Toc143679545"/>
      <w:r w:rsidRPr="000E6447">
        <w:rPr>
          <w:rFonts w:ascii="Helvitica" w:eastAsia="Times New Roman" w:hAnsi="Helvitica" w:cs="Times New Roman"/>
          <w:b/>
          <w:i/>
          <w:sz w:val="40"/>
          <w:szCs w:val="32"/>
        </w:rPr>
        <w:lastRenderedPageBreak/>
        <w:t>General outline and financial impact</w:t>
      </w:r>
      <w:bookmarkEnd w:id="43"/>
      <w:bookmarkEnd w:id="44"/>
      <w:bookmarkEnd w:id="45"/>
      <w:bookmarkEnd w:id="46"/>
      <w:bookmarkEnd w:id="47"/>
      <w:bookmarkEnd w:id="48"/>
      <w:bookmarkEnd w:id="49"/>
    </w:p>
    <w:p w14:paraId="21868C86" w14:textId="77777777" w:rsidR="000E6447" w:rsidRPr="000E6447" w:rsidRDefault="000E6447" w:rsidP="000E6447">
      <w:pPr>
        <w:keepNext/>
        <w:keepLines/>
        <w:spacing w:before="360" w:after="360"/>
        <w:outlineLvl w:val="1"/>
        <w:rPr>
          <w:rFonts w:ascii="Helvitica" w:eastAsia="Times New Roman" w:hAnsi="Helvitica" w:cs="Times New Roman"/>
          <w:sz w:val="36"/>
          <w:szCs w:val="26"/>
        </w:rPr>
      </w:pPr>
      <w:r w:rsidRPr="000E6447">
        <w:rPr>
          <w:rFonts w:ascii="Helvitica" w:eastAsia="Times New Roman" w:hAnsi="Helvitica" w:cs="Times New Roman"/>
          <w:sz w:val="36"/>
          <w:szCs w:val="26"/>
        </w:rPr>
        <w:t>Recommendation 6 of the Callaghan Review</w:t>
      </w:r>
    </w:p>
    <w:p w14:paraId="41C9B05E" w14:textId="77777777" w:rsidR="000E6447" w:rsidRPr="000E6447" w:rsidRDefault="000E6447" w:rsidP="000E6447">
      <w:pPr>
        <w:keepNext/>
        <w:keepLines/>
        <w:numPr>
          <w:ilvl w:val="2"/>
          <w:numId w:val="0"/>
        </w:numPr>
        <w:spacing w:before="240" w:after="360"/>
        <w:outlineLvl w:val="2"/>
        <w:rPr>
          <w:rFonts w:ascii="Helvitica" w:eastAsia="Times New Roman" w:hAnsi="Helvitica" w:cs="Times New Roman"/>
          <w:sz w:val="32"/>
          <w:szCs w:val="24"/>
        </w:rPr>
      </w:pPr>
      <w:bookmarkStart w:id="50" w:name="_Toc78548465"/>
      <w:bookmarkStart w:id="51" w:name="_Toc78549736"/>
      <w:bookmarkStart w:id="52" w:name="_Toc78549781"/>
      <w:bookmarkStart w:id="53" w:name="_Toc81852729"/>
      <w:r w:rsidRPr="000E6447">
        <w:rPr>
          <w:rFonts w:ascii="Helvitica" w:eastAsia="Times New Roman" w:hAnsi="Helvitica" w:cs="Times New Roman"/>
          <w:sz w:val="32"/>
          <w:szCs w:val="24"/>
        </w:rPr>
        <w:t>Outline</w:t>
      </w:r>
      <w:bookmarkEnd w:id="50"/>
      <w:bookmarkEnd w:id="51"/>
      <w:bookmarkEnd w:id="52"/>
      <w:bookmarkEnd w:id="53"/>
    </w:p>
    <w:p w14:paraId="717FEF1F" w14:textId="68BE312D" w:rsidR="000E6447" w:rsidRPr="000E6447" w:rsidRDefault="000E6447" w:rsidP="000E6447">
      <w:pPr>
        <w:rPr>
          <w:rFonts w:eastAsia="Calibri" w:cs="Times New Roman"/>
        </w:rPr>
      </w:pPr>
      <w:r w:rsidRPr="000E6447">
        <w:rPr>
          <w:rFonts w:eastAsia="Calibri" w:cs="Times New Roman"/>
        </w:rPr>
        <w:t xml:space="preserve">The amendments implement recommendation 6 of the Callaghan </w:t>
      </w:r>
      <w:r w:rsidR="00602D88">
        <w:rPr>
          <w:rFonts w:eastAsia="Calibri" w:cs="Times New Roman"/>
        </w:rPr>
        <w:t>R</w:t>
      </w:r>
      <w:r w:rsidRPr="000E6447">
        <w:rPr>
          <w:rFonts w:eastAsia="Calibri" w:cs="Times New Roman"/>
        </w:rPr>
        <w:t xml:space="preserve">eview to empower the Commissioner to make a continuation determination in respect of a project, where appropriate. </w:t>
      </w:r>
    </w:p>
    <w:p w14:paraId="54056475" w14:textId="77777777" w:rsidR="000E6447" w:rsidRPr="000E6447" w:rsidRDefault="000E6447" w:rsidP="000E6447">
      <w:pPr>
        <w:pStyle w:val="Heading5"/>
        <w:numPr>
          <w:ilvl w:val="4"/>
          <w:numId w:val="0"/>
        </w:numPr>
        <w:spacing w:before="240" w:after="240"/>
        <w:ind w:left="1701" w:hanging="1701"/>
        <w:contextualSpacing/>
        <w:rPr>
          <w:rFonts w:ascii="Helvetica" w:hAnsi="Helvetica"/>
          <w:b/>
          <w:color w:val="auto"/>
          <w:spacing w:val="-10"/>
          <w:kern w:val="28"/>
          <w:sz w:val="24"/>
          <w:szCs w:val="56"/>
        </w:rPr>
      </w:pPr>
      <w:r w:rsidRPr="000E6447">
        <w:rPr>
          <w:rFonts w:ascii="Helvetica" w:hAnsi="Helvetica"/>
          <w:b/>
          <w:color w:val="auto"/>
          <w:spacing w:val="-10"/>
          <w:kern w:val="28"/>
          <w:sz w:val="24"/>
          <w:szCs w:val="56"/>
        </w:rPr>
        <w:t>Date of effect</w:t>
      </w:r>
    </w:p>
    <w:p w14:paraId="6DEBC16E" w14:textId="42BF3E29" w:rsidR="000E6447" w:rsidRPr="000E6447" w:rsidRDefault="000E6447" w:rsidP="000E6447">
      <w:pPr>
        <w:rPr>
          <w:rFonts w:eastAsia="Calibri" w:cs="Times New Roman"/>
        </w:rPr>
      </w:pPr>
      <w:bookmarkStart w:id="54" w:name="_Hlk139638002"/>
      <w:r w:rsidRPr="000E6447">
        <w:rPr>
          <w:rFonts w:eastAsia="Calibri" w:cs="Times New Roman"/>
        </w:rPr>
        <w:t xml:space="preserve">Schedule # to the Bill commences </w:t>
      </w:r>
      <w:bookmarkEnd w:id="54"/>
      <w:r w:rsidRPr="000E6447">
        <w:rPr>
          <w:rFonts w:eastAsia="Calibri" w:cs="Times New Roman"/>
        </w:rPr>
        <w:t xml:space="preserve">on the first 1 January, 1 April, 1 July or 1 </w:t>
      </w:r>
      <w:r w:rsidR="00D461DD">
        <w:rPr>
          <w:rFonts w:eastAsia="Calibri" w:cs="Times New Roman"/>
        </w:rPr>
        <w:t>October</w:t>
      </w:r>
      <w:r w:rsidR="00D461DD" w:rsidRPr="000E6447">
        <w:rPr>
          <w:rFonts w:eastAsia="Calibri" w:cs="Times New Roman"/>
        </w:rPr>
        <w:t xml:space="preserve"> </w:t>
      </w:r>
      <w:r w:rsidRPr="000E6447">
        <w:rPr>
          <w:rFonts w:eastAsia="Calibri" w:cs="Times New Roman"/>
        </w:rPr>
        <w:t>to occur after the day the Bill receives Royal Assent</w:t>
      </w:r>
      <w:r>
        <w:rPr>
          <w:rFonts w:eastAsia="Calibri" w:cs="Times New Roman"/>
        </w:rPr>
        <w:t>.</w:t>
      </w:r>
    </w:p>
    <w:p w14:paraId="2DE2E7F0" w14:textId="77777777" w:rsidR="000E6447" w:rsidRPr="000E6447" w:rsidRDefault="000E6447" w:rsidP="000E6447">
      <w:pPr>
        <w:pStyle w:val="Heading5"/>
        <w:numPr>
          <w:ilvl w:val="4"/>
          <w:numId w:val="0"/>
        </w:numPr>
        <w:spacing w:before="240" w:after="240"/>
        <w:ind w:left="1701" w:hanging="1701"/>
        <w:contextualSpacing/>
        <w:rPr>
          <w:rFonts w:ascii="Helvetica" w:hAnsi="Helvetica"/>
          <w:b/>
          <w:color w:val="auto"/>
          <w:spacing w:val="-10"/>
          <w:kern w:val="28"/>
          <w:sz w:val="24"/>
          <w:szCs w:val="56"/>
        </w:rPr>
      </w:pPr>
      <w:r w:rsidRPr="000E6447">
        <w:rPr>
          <w:rFonts w:ascii="Helvetica" w:hAnsi="Helvetica"/>
          <w:b/>
          <w:color w:val="auto"/>
          <w:spacing w:val="-10"/>
          <w:kern w:val="28"/>
          <w:sz w:val="24"/>
          <w:szCs w:val="56"/>
        </w:rPr>
        <w:t>Proposal announced</w:t>
      </w:r>
    </w:p>
    <w:p w14:paraId="20C4BA2D" w14:textId="32FBE856" w:rsidR="00245B6C" w:rsidRPr="00020288" w:rsidRDefault="000E6447" w:rsidP="000E6447">
      <w:pPr>
        <w:sectPr w:rsidR="00245B6C" w:rsidRPr="00020288" w:rsidSect="00245B6C">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r w:rsidRPr="000E6447">
        <w:rPr>
          <w:rFonts w:eastAsia="Calibri" w:cs="Times New Roman"/>
        </w:rPr>
        <w:t>Schedule [#] to the Bill implements</w:t>
      </w:r>
      <w:r w:rsidR="000C7DE7">
        <w:rPr>
          <w:rFonts w:eastAsia="Calibri" w:cs="Times New Roman"/>
        </w:rPr>
        <w:t xml:space="preserve"> Recommendatio</w:t>
      </w:r>
      <w:r w:rsidR="00224B56">
        <w:rPr>
          <w:rFonts w:eastAsia="Calibri" w:cs="Times New Roman"/>
        </w:rPr>
        <w:t>n</w:t>
      </w:r>
      <w:r w:rsidR="000C7DE7">
        <w:rPr>
          <w:rFonts w:eastAsia="Calibri" w:cs="Times New Roman"/>
        </w:rPr>
        <w:t xml:space="preserve"> 6 of</w:t>
      </w:r>
      <w:r w:rsidRPr="000E6447">
        <w:rPr>
          <w:rFonts w:eastAsia="Calibri" w:cs="Times New Roman"/>
        </w:rPr>
        <w:t xml:space="preserve"> the Government</w:t>
      </w:r>
      <w:r w:rsidR="000C7DE7">
        <w:rPr>
          <w:rFonts w:eastAsia="Calibri" w:cs="Times New Roman"/>
        </w:rPr>
        <w:t>’s</w:t>
      </w:r>
      <w:r w:rsidRPr="000E6447">
        <w:rPr>
          <w:rFonts w:eastAsia="Calibri" w:cs="Times New Roman"/>
        </w:rPr>
        <w:t xml:space="preserve"> response to the Callaghan </w:t>
      </w:r>
      <w:r w:rsidR="00602D88">
        <w:rPr>
          <w:rFonts w:eastAsia="Calibri" w:cs="Times New Roman"/>
        </w:rPr>
        <w:t>R</w:t>
      </w:r>
      <w:r w:rsidRPr="000E6447">
        <w:rPr>
          <w:rFonts w:eastAsia="Calibri" w:cs="Times New Roman"/>
        </w:rPr>
        <w:t>eview announced on 7 May 2023</w:t>
      </w:r>
      <w:bookmarkStart w:id="55" w:name="_Toc78548467"/>
      <w:bookmarkStart w:id="56" w:name="_Toc78549738"/>
      <w:bookmarkStart w:id="57" w:name="_Toc78549783"/>
      <w:r w:rsidRPr="000E6447">
        <w:rPr>
          <w:rFonts w:eastAsia="Calibri" w:cs="Times New Roman"/>
        </w:rPr>
        <w:t xml:space="preserve">. </w:t>
      </w:r>
      <w:bookmarkEnd w:id="55"/>
      <w:bookmarkEnd w:id="56"/>
      <w:bookmarkEnd w:id="57"/>
    </w:p>
    <w:p w14:paraId="36270639" w14:textId="7DAF9C6C" w:rsidR="00245B6C" w:rsidRPr="0073326A" w:rsidRDefault="00245B6C" w:rsidP="00245B6C">
      <w:pPr>
        <w:pStyle w:val="Chapterheading"/>
        <w:numPr>
          <w:ilvl w:val="0"/>
          <w:numId w:val="2"/>
        </w:numPr>
        <w:rPr>
          <w:rFonts w:hint="eastAsia"/>
        </w:rPr>
      </w:pPr>
      <w:bookmarkStart w:id="58" w:name="GeneralOutline"/>
      <w:bookmarkStart w:id="59" w:name="_Toc203127419"/>
      <w:bookmarkEnd w:id="29"/>
      <w:bookmarkEnd w:id="30"/>
      <w:bookmarkEnd w:id="31"/>
      <w:bookmarkEnd w:id="33"/>
      <w:bookmarkEnd w:id="34"/>
      <w:bookmarkEnd w:id="35"/>
      <w:bookmarkEnd w:id="36"/>
      <w:bookmarkEnd w:id="37"/>
      <w:bookmarkEnd w:id="38"/>
      <w:bookmarkEnd w:id="39"/>
      <w:bookmarkEnd w:id="40"/>
      <w:bookmarkEnd w:id="41"/>
      <w:bookmarkEnd w:id="42"/>
      <w:bookmarkEnd w:id="58"/>
      <w:r>
        <w:lastRenderedPageBreak/>
        <w:t>Recommendation 6</w:t>
      </w:r>
      <w:bookmarkEnd w:id="59"/>
      <w:r w:rsidR="000E6447">
        <w:t xml:space="preserve"> of the Callaghan Review</w:t>
      </w:r>
    </w:p>
    <w:p w14:paraId="54602D35" w14:textId="77777777" w:rsidR="00245B6C" w:rsidRPr="007607B5" w:rsidRDefault="00245B6C" w:rsidP="000E6447">
      <w:pPr>
        <w:pStyle w:val="Heading2"/>
        <w:spacing w:before="360" w:after="360"/>
        <w:rPr>
          <w:rFonts w:ascii="Helvitica" w:hAnsi="Helvitica" w:hint="eastAsia"/>
          <w:color w:val="auto"/>
          <w:sz w:val="36"/>
          <w:szCs w:val="26"/>
        </w:rPr>
      </w:pPr>
      <w:r w:rsidRPr="007607B5">
        <w:rPr>
          <w:rFonts w:ascii="Helvitica" w:hAnsi="Helvitica"/>
          <w:color w:val="auto"/>
          <w:sz w:val="36"/>
          <w:szCs w:val="26"/>
        </w:rPr>
        <w:t>Outline of chapter</w:t>
      </w:r>
    </w:p>
    <w:p w14:paraId="08B33EC5" w14:textId="39E6415D" w:rsidR="00245B6C" w:rsidRDefault="00245B6C" w:rsidP="00245B6C">
      <w:pPr>
        <w:pStyle w:val="Normalparatextwithnumbers"/>
        <w:numPr>
          <w:ilvl w:val="1"/>
          <w:numId w:val="2"/>
        </w:numPr>
      </w:pPr>
      <w:r>
        <w:t xml:space="preserve">Schedule </w:t>
      </w:r>
      <w:r w:rsidR="00C746E8">
        <w:t>#</w:t>
      </w:r>
      <w:r>
        <w:t xml:space="preserve"> to the Bill amends the </w:t>
      </w:r>
      <w:r w:rsidRPr="00C746E8">
        <w:t>PRRTA</w:t>
      </w:r>
      <w:r>
        <w:t xml:space="preserve"> Act in response to Recommendation</w:t>
      </w:r>
      <w:r w:rsidR="001921A0">
        <w:t> </w:t>
      </w:r>
      <w:r>
        <w:t xml:space="preserve">6 of the Callaghan Review. These amendments give the Commissioner the power to treat a </w:t>
      </w:r>
      <w:r w:rsidR="00CC610E">
        <w:t>later</w:t>
      </w:r>
      <w:r>
        <w:t xml:space="preserve"> project as a continuation of an earlier project. This will allow, for example, certain expenditure from the earlier project to be applied to certain receipts of the </w:t>
      </w:r>
      <w:r w:rsidR="00CC610E">
        <w:t>later</w:t>
      </w:r>
      <w:r>
        <w:t xml:space="preserve"> project.</w:t>
      </w:r>
    </w:p>
    <w:p w14:paraId="5F7BD059" w14:textId="485614F8" w:rsidR="00245B6C" w:rsidRPr="000E521B" w:rsidRDefault="00245B6C" w:rsidP="00245B6C">
      <w:pPr>
        <w:pStyle w:val="Normalparatextwithnumbers"/>
        <w:numPr>
          <w:ilvl w:val="1"/>
          <w:numId w:val="2"/>
        </w:numPr>
      </w:pPr>
      <w:r>
        <w:t xml:space="preserve">Unless otherwise stated, all legislative references in </w:t>
      </w:r>
      <w:r w:rsidR="0073105F">
        <w:t>this Chapter</w:t>
      </w:r>
      <w:r>
        <w:t xml:space="preserve"> are references to the </w:t>
      </w:r>
      <w:r w:rsidR="00922F36" w:rsidRPr="00C746E8">
        <w:t>PRRTA</w:t>
      </w:r>
      <w:r w:rsidR="00C746E8">
        <w:t xml:space="preserve"> </w:t>
      </w:r>
      <w:r w:rsidR="009A6E73" w:rsidRPr="00C746E8">
        <w:t>A</w:t>
      </w:r>
      <w:r w:rsidR="00C746E8">
        <w:t>ct</w:t>
      </w:r>
      <w:r>
        <w:t>.</w:t>
      </w:r>
    </w:p>
    <w:p w14:paraId="2BF4DCCC" w14:textId="77777777" w:rsidR="00245B6C" w:rsidRPr="000E6447" w:rsidRDefault="00245B6C" w:rsidP="000E6447">
      <w:pPr>
        <w:pStyle w:val="Heading2"/>
        <w:spacing w:before="360" w:after="360"/>
        <w:rPr>
          <w:rFonts w:ascii="Helvitica" w:hAnsi="Helvitica" w:hint="eastAsia"/>
          <w:color w:val="auto"/>
          <w:sz w:val="36"/>
          <w:szCs w:val="26"/>
        </w:rPr>
      </w:pPr>
      <w:r w:rsidRPr="000E6447">
        <w:rPr>
          <w:rFonts w:ascii="Helvitica" w:hAnsi="Helvitica"/>
          <w:color w:val="auto"/>
          <w:sz w:val="36"/>
          <w:szCs w:val="26"/>
        </w:rPr>
        <w:t>Context of amendments</w:t>
      </w:r>
    </w:p>
    <w:p w14:paraId="6BC73840" w14:textId="77777777" w:rsidR="00245B6C" w:rsidRDefault="00245B6C" w:rsidP="00245B6C">
      <w:pPr>
        <w:pStyle w:val="Normalparatextwithnumbers"/>
        <w:numPr>
          <w:ilvl w:val="1"/>
          <w:numId w:val="2"/>
        </w:numPr>
      </w:pPr>
      <w:r>
        <w:t>The Callaghan Review was an extensive evaluation of Australia's PRRT. It was initiated to assess the effectiveness of the PRRT in ensuring that Australians receive a fair return from the exploitation of the nation's petroleum resources and examined various aspects of the tax's design and operation. The final report was submitted to the Government on 13 April 2017.</w:t>
      </w:r>
    </w:p>
    <w:p w14:paraId="2A8D22CE" w14:textId="15FE0549" w:rsidR="00C746E8" w:rsidRDefault="00922F36" w:rsidP="00C77572">
      <w:pPr>
        <w:pStyle w:val="Normalparatextwithnumbers"/>
      </w:pPr>
      <w:r>
        <w:t>The Australian Government released its Final Response to the Callaghan Review on 2 November 2018</w:t>
      </w:r>
      <w:r w:rsidR="003C49F2">
        <w:t>, where it supported proceeding with 8 of the 12 Recommendations</w:t>
      </w:r>
      <w:r>
        <w:t xml:space="preserve">. The Government acknowledged the need for reforms to the PRRT to provide certainty to the industry and to ensure that Australians receive a fair return for the exploitation of their resources. </w:t>
      </w:r>
    </w:p>
    <w:p w14:paraId="483B09FE" w14:textId="5591506A" w:rsidR="00245B6C" w:rsidRDefault="00245B6C" w:rsidP="00245B6C">
      <w:pPr>
        <w:pStyle w:val="Normalparatextwithnumbers"/>
        <w:numPr>
          <w:ilvl w:val="1"/>
          <w:numId w:val="2"/>
        </w:numPr>
      </w:pPr>
      <w:r>
        <w:t xml:space="preserve">As part of its response, the Government tasked the Treasury with leading a review of the gas transfer pricing arrangements, addressing concerns about </w:t>
      </w:r>
      <w:proofErr w:type="gramStart"/>
      <w:r>
        <w:t>whether or not</w:t>
      </w:r>
      <w:proofErr w:type="gramEnd"/>
      <w:r>
        <w:t xml:space="preserve"> the outcomes of the </w:t>
      </w:r>
      <w:r w:rsidR="00E2540B">
        <w:t xml:space="preserve">gas transfer pricing </w:t>
      </w:r>
      <w:r>
        <w:t xml:space="preserve">arrangements were equitable for the Australian community, in terms of tax receipts from offshore liquefied natural gas projects. </w:t>
      </w:r>
    </w:p>
    <w:p w14:paraId="1BFB2573" w14:textId="5AAFE767" w:rsidR="00245B6C" w:rsidRDefault="00245B6C" w:rsidP="00245B6C">
      <w:pPr>
        <w:pStyle w:val="Normalparatextwithnumbers"/>
        <w:numPr>
          <w:ilvl w:val="1"/>
          <w:numId w:val="2"/>
        </w:numPr>
      </w:pPr>
      <w:r>
        <w:t xml:space="preserve">The </w:t>
      </w:r>
      <w:r w:rsidR="008A7CBF">
        <w:t>gas transfer pricing</w:t>
      </w:r>
      <w:r>
        <w:t xml:space="preserve"> review, which commenced in 2019, was finalized and delivered to the Government in December 2022. The Treasurer released the "Petroleum Resource Rent Tax: Review of Gas Transfer Pricing Arrangements" final report and the Government's response on 7 May 2023. These steps aimed to ensure that the PRRT system remains effective, and that the Australian community receives a fair return from the nation's petroleum resources.</w:t>
      </w:r>
    </w:p>
    <w:p w14:paraId="65FC97BF" w14:textId="77777777" w:rsidR="00245B6C" w:rsidRPr="007607B5" w:rsidRDefault="00245B6C" w:rsidP="00245B6C">
      <w:pPr>
        <w:pStyle w:val="Heading6"/>
        <w:rPr>
          <w:rFonts w:ascii="Helvitica" w:hAnsi="Helvitica" w:hint="eastAsia"/>
          <w:color w:val="auto"/>
        </w:rPr>
      </w:pPr>
      <w:r w:rsidRPr="007607B5">
        <w:rPr>
          <w:rFonts w:ascii="Helvitica" w:hAnsi="Helvitica"/>
          <w:color w:val="auto"/>
        </w:rPr>
        <w:lastRenderedPageBreak/>
        <w:t>Recommendation 6</w:t>
      </w:r>
    </w:p>
    <w:p w14:paraId="26566503" w14:textId="2B3142A6" w:rsidR="00245B6C" w:rsidRDefault="007607B5" w:rsidP="00245B6C">
      <w:pPr>
        <w:pStyle w:val="Normalparatextwithnumbers"/>
        <w:numPr>
          <w:ilvl w:val="1"/>
          <w:numId w:val="2"/>
        </w:numPr>
      </w:pPr>
      <w:r>
        <w:t xml:space="preserve">Schedule # </w:t>
      </w:r>
      <w:r w:rsidR="008A7CBF">
        <w:t>to the Bill</w:t>
      </w:r>
      <w:r>
        <w:t xml:space="preserve"> implements </w:t>
      </w:r>
      <w:r w:rsidR="008A7CBF">
        <w:t>R</w:t>
      </w:r>
      <w:r w:rsidR="00922F36">
        <w:t>ecommendation 6 of the Callaghan Review</w:t>
      </w:r>
      <w:r>
        <w:t>, which</w:t>
      </w:r>
      <w:r w:rsidR="00922F36">
        <w:t xml:space="preserve"> states th</w:t>
      </w:r>
      <w:r w:rsidR="00C746E8">
        <w:t>e following</w:t>
      </w:r>
      <w:r w:rsidR="001C4566">
        <w:t>:</w:t>
      </w:r>
    </w:p>
    <w:p w14:paraId="5B6DE9C6" w14:textId="51665D08" w:rsidR="00245B6C" w:rsidRDefault="00245B6C" w:rsidP="00245B6C">
      <w:pPr>
        <w:pStyle w:val="Dotpoint1"/>
      </w:pPr>
      <w:r w:rsidRPr="00D56A38">
        <w:t xml:space="preserve">The PRRT design feature which links a project to a production licence does not align with current commercial practice whereby a production licence may revert to a retention lease. The Commissioner should be given the power to treat a </w:t>
      </w:r>
      <w:r w:rsidR="00AB7D4A">
        <w:t>later</w:t>
      </w:r>
      <w:r w:rsidRPr="00D56A38">
        <w:t xml:space="preserve"> project as a continuation of an earlier project, where it would be reasonable to do so.</w:t>
      </w:r>
    </w:p>
    <w:p w14:paraId="0E3E5E28" w14:textId="77777777" w:rsidR="00245B6C" w:rsidRPr="000E6447" w:rsidRDefault="00245B6C" w:rsidP="000E6447">
      <w:pPr>
        <w:pStyle w:val="Heading2"/>
        <w:spacing w:before="360" w:after="360"/>
        <w:rPr>
          <w:rFonts w:ascii="Helvitica" w:hAnsi="Helvitica" w:hint="eastAsia"/>
          <w:color w:val="auto"/>
          <w:sz w:val="36"/>
          <w:szCs w:val="26"/>
        </w:rPr>
      </w:pPr>
      <w:r w:rsidRPr="000E6447">
        <w:rPr>
          <w:rFonts w:ascii="Helvitica" w:hAnsi="Helvitica"/>
          <w:color w:val="auto"/>
          <w:sz w:val="36"/>
          <w:szCs w:val="26"/>
        </w:rPr>
        <w:t>Summary of new law</w:t>
      </w:r>
    </w:p>
    <w:p w14:paraId="09AEDAB5" w14:textId="1AEA7E8F" w:rsidR="00245B6C" w:rsidRDefault="00245B6C" w:rsidP="00245B6C">
      <w:pPr>
        <w:pStyle w:val="Normalparatextwithnumbers"/>
        <w:numPr>
          <w:ilvl w:val="1"/>
          <w:numId w:val="2"/>
        </w:numPr>
      </w:pPr>
      <w:r>
        <w:t>The Recommendation 6 amendments give the Commissioner the power to make</w:t>
      </w:r>
      <w:r w:rsidR="00F37A43">
        <w:t xml:space="preserve"> a</w:t>
      </w:r>
      <w:r>
        <w:t xml:space="preserve"> continuation determination in relation to a petroleum project and another petroleum project that has ceased.</w:t>
      </w:r>
    </w:p>
    <w:p w14:paraId="140911BF" w14:textId="32294155" w:rsidR="00245B6C" w:rsidRDefault="00245B6C" w:rsidP="00245B6C">
      <w:pPr>
        <w:pStyle w:val="Normalparatextwithnumbers"/>
        <w:numPr>
          <w:ilvl w:val="1"/>
          <w:numId w:val="2"/>
        </w:numPr>
      </w:pPr>
      <w:r>
        <w:t xml:space="preserve">The Commissioner </w:t>
      </w:r>
      <w:r w:rsidR="008A7CBF">
        <w:t xml:space="preserve">may </w:t>
      </w:r>
      <w:r>
        <w:t xml:space="preserve">only make this determination if a qualifying application is made, and the Commissioner is satisfied that the later project is a continuation of the earlier project. </w:t>
      </w:r>
    </w:p>
    <w:p w14:paraId="58DBC24E" w14:textId="6DF007E4" w:rsidR="0009548A" w:rsidRDefault="00245B6C" w:rsidP="00245B6C">
      <w:pPr>
        <w:pStyle w:val="Normalparatextwithnumbers"/>
        <w:numPr>
          <w:ilvl w:val="1"/>
          <w:numId w:val="2"/>
        </w:numPr>
      </w:pPr>
      <w:r>
        <w:t>In considering whether the later project is a continuation of an earlier project, the Commissioner must have regard to several criteria</w:t>
      </w:r>
      <w:r w:rsidR="00111F1A">
        <w:t xml:space="preserve">, </w:t>
      </w:r>
      <w:r w:rsidR="00922F36">
        <w:t>includ</w:t>
      </w:r>
      <w:r w:rsidR="00111F1A">
        <w:t>ing:</w:t>
      </w:r>
      <w:r>
        <w:t xml:space="preserve"> </w:t>
      </w:r>
    </w:p>
    <w:p w14:paraId="2F972FED" w14:textId="7AFFE202" w:rsidR="0009548A" w:rsidRDefault="00245B6C" w:rsidP="0009548A">
      <w:pPr>
        <w:pStyle w:val="Dotpoint1"/>
      </w:pPr>
      <w:r>
        <w:t>differences in each project’s production licence area</w:t>
      </w:r>
      <w:r w:rsidR="001D5500">
        <w:t xml:space="preserve"> and</w:t>
      </w:r>
      <w:r>
        <w:t xml:space="preserve"> marketable petroleum </w:t>
      </w:r>
      <w:proofErr w:type="gramStart"/>
      <w:r>
        <w:t>commodities</w:t>
      </w:r>
      <w:r w:rsidR="003771DB">
        <w:t>;</w:t>
      </w:r>
      <w:proofErr w:type="gramEnd"/>
      <w:r w:rsidR="00A03615">
        <w:t xml:space="preserve"> </w:t>
      </w:r>
    </w:p>
    <w:p w14:paraId="3601F38A" w14:textId="4BD9D936" w:rsidR="0009548A" w:rsidRDefault="00A03615" w:rsidP="0009548A">
      <w:pPr>
        <w:pStyle w:val="Dotpoint1"/>
      </w:pPr>
      <w:r>
        <w:t>similarities in each project’s</w:t>
      </w:r>
      <w:r w:rsidR="00245B6C">
        <w:t xml:space="preserve"> operations</w:t>
      </w:r>
      <w:r>
        <w:t xml:space="preserve"> and</w:t>
      </w:r>
      <w:r w:rsidR="00245B6C">
        <w:t xml:space="preserve"> </w:t>
      </w:r>
      <w:proofErr w:type="gramStart"/>
      <w:r w:rsidR="00245B6C">
        <w:t>facilities</w:t>
      </w:r>
      <w:r w:rsidR="003771DB">
        <w:t>;</w:t>
      </w:r>
      <w:proofErr w:type="gramEnd"/>
    </w:p>
    <w:p w14:paraId="7D4F3BB3" w14:textId="784A8DCC" w:rsidR="0009548A" w:rsidRDefault="00245B6C" w:rsidP="0009548A">
      <w:pPr>
        <w:pStyle w:val="Dotpoint1"/>
      </w:pPr>
      <w:r>
        <w:t>progression from production licence to retention lease and back to production licence</w:t>
      </w:r>
      <w:r w:rsidR="003771DB">
        <w:t>;</w:t>
      </w:r>
      <w:r>
        <w:t xml:space="preserve"> and </w:t>
      </w:r>
    </w:p>
    <w:p w14:paraId="3AFA8482" w14:textId="052526D4" w:rsidR="00245B6C" w:rsidRDefault="00245B6C" w:rsidP="0009548A">
      <w:pPr>
        <w:pStyle w:val="Dotpoint1"/>
      </w:pPr>
      <w:r>
        <w:t>any other matters the Commissioner considers relevant.</w:t>
      </w:r>
    </w:p>
    <w:p w14:paraId="37BA4AF1" w14:textId="5F0BEA59" w:rsidR="00245B6C" w:rsidRDefault="00245B6C" w:rsidP="00245B6C">
      <w:pPr>
        <w:pStyle w:val="Normalparatextwithnumbers"/>
        <w:numPr>
          <w:ilvl w:val="1"/>
          <w:numId w:val="2"/>
        </w:numPr>
      </w:pPr>
      <w:r>
        <w:t>The effect of the continuation determination is that the later project will</w:t>
      </w:r>
      <w:r w:rsidR="00744231">
        <w:t xml:space="preserve">, in relation to the financial year </w:t>
      </w:r>
      <w:r w:rsidR="000A3E99">
        <w:t>when the continuation determination is made,</w:t>
      </w:r>
      <w:r>
        <w:t xml:space="preserve"> have access to</w:t>
      </w:r>
      <w:r w:rsidR="000A3E99">
        <w:t xml:space="preserve"> assessable receipts derived, deductible</w:t>
      </w:r>
      <w:r>
        <w:t xml:space="preserve"> expenditure incurred</w:t>
      </w:r>
      <w:r w:rsidR="000A3E99">
        <w:t xml:space="preserve"> and, in limited circumstances</w:t>
      </w:r>
      <w:r w:rsidR="00531A57">
        <w:t>, tax paid in relation to</w:t>
      </w:r>
      <w:r>
        <w:t xml:space="preserve"> the earlier project</w:t>
      </w:r>
      <w:r w:rsidR="00531A57">
        <w:t xml:space="preserve"> for that financial year</w:t>
      </w:r>
      <w:r>
        <w:t>.</w:t>
      </w:r>
    </w:p>
    <w:p w14:paraId="4D5CC601" w14:textId="77777777" w:rsidR="00245B6C" w:rsidRPr="000E6447" w:rsidRDefault="00245B6C" w:rsidP="000E6447">
      <w:pPr>
        <w:pStyle w:val="Heading2"/>
        <w:numPr>
          <w:ilvl w:val="1"/>
          <w:numId w:val="0"/>
        </w:numPr>
        <w:tabs>
          <w:tab w:val="num" w:pos="567"/>
        </w:tabs>
        <w:spacing w:before="360" w:after="360"/>
        <w:ind w:left="567" w:hanging="567"/>
        <w:rPr>
          <w:rFonts w:ascii="Helvitica" w:hAnsi="Helvitica" w:hint="eastAsia"/>
          <w:color w:val="auto"/>
          <w:sz w:val="36"/>
          <w:szCs w:val="26"/>
        </w:rPr>
      </w:pPr>
      <w:r w:rsidRPr="000E6447">
        <w:rPr>
          <w:rFonts w:ascii="Helvitica" w:hAnsi="Helvitica"/>
          <w:color w:val="auto"/>
          <w:sz w:val="36"/>
          <w:szCs w:val="26"/>
        </w:rPr>
        <w:t>Detailed explanation of new law</w:t>
      </w:r>
    </w:p>
    <w:p w14:paraId="7B24E043" w14:textId="3DA4ECA0" w:rsidR="00245B6C" w:rsidRDefault="00245B6C" w:rsidP="00245B6C">
      <w:pPr>
        <w:pStyle w:val="Normalparatextwithnumbers"/>
        <w:numPr>
          <w:ilvl w:val="1"/>
          <w:numId w:val="2"/>
        </w:numPr>
      </w:pPr>
      <w:r>
        <w:t xml:space="preserve">Schedule </w:t>
      </w:r>
      <w:r w:rsidR="007607B5">
        <w:t>#</w:t>
      </w:r>
      <w:r w:rsidR="007C1BE3">
        <w:t xml:space="preserve"> to the Bill</w:t>
      </w:r>
      <w:r>
        <w:t xml:space="preserve"> implements Recommendation 6 of the Callaghan Review, amending the </w:t>
      </w:r>
      <w:r w:rsidR="00922F36">
        <w:t>PRRTA</w:t>
      </w:r>
      <w:r w:rsidR="000E6447">
        <w:t xml:space="preserve"> </w:t>
      </w:r>
      <w:r w:rsidR="00922F36">
        <w:t>A</w:t>
      </w:r>
      <w:r w:rsidR="000E6447">
        <w:t>ct</w:t>
      </w:r>
      <w:r>
        <w:t xml:space="preserve"> to allow the Commissioner to treat a new petroleum project, which meets certain criteria, as a continuation of an earlier project.</w:t>
      </w:r>
    </w:p>
    <w:p w14:paraId="50BC6A9E" w14:textId="672A4E7E" w:rsidR="00245B6C" w:rsidRDefault="00245B6C" w:rsidP="00245B6C">
      <w:pPr>
        <w:pStyle w:val="Normalparatextwithnumbers"/>
        <w:numPr>
          <w:ilvl w:val="1"/>
          <w:numId w:val="2"/>
        </w:numPr>
      </w:pPr>
      <w:r>
        <w:lastRenderedPageBreak/>
        <w:t>The substantive recommendations are primarily contained in new sections 49A</w:t>
      </w:r>
      <w:r w:rsidR="000E6447">
        <w:t xml:space="preserve"> to 49</w:t>
      </w:r>
      <w:r w:rsidR="006C6387">
        <w:t>M</w:t>
      </w:r>
      <w:r>
        <w:t>, within Division 5</w:t>
      </w:r>
      <w:r w:rsidR="00AB0D0A">
        <w:t>A</w:t>
      </w:r>
      <w:r>
        <w:t xml:space="preserve"> of Part V of the </w:t>
      </w:r>
      <w:r w:rsidR="00922F36">
        <w:t>PRRTA</w:t>
      </w:r>
      <w:r w:rsidR="000E6447">
        <w:t xml:space="preserve"> </w:t>
      </w:r>
      <w:r w:rsidR="00922F36">
        <w:t>A</w:t>
      </w:r>
      <w:r w:rsidR="000E6447">
        <w:t>ct</w:t>
      </w:r>
      <w:r>
        <w:t xml:space="preserve">. Division </w:t>
      </w:r>
      <w:r w:rsidR="00C9160C">
        <w:t>5</w:t>
      </w:r>
      <w:r w:rsidR="007B3A02">
        <w:t>A</w:t>
      </w:r>
      <w:r>
        <w:t xml:space="preserve"> outlines the effect of</w:t>
      </w:r>
      <w:r w:rsidR="007B3A02">
        <w:t xml:space="preserve"> the continuation determination </w:t>
      </w:r>
      <w:r w:rsidR="007F0DC7">
        <w:t>in relation to the financial year</w:t>
      </w:r>
      <w:r w:rsidR="00813F79">
        <w:t xml:space="preserve"> when the continuation determination is made, including the transfer of assessable receipts, deductible expenditure and tax paid in respect of the earlier project in relation to that financial year.</w:t>
      </w:r>
    </w:p>
    <w:p w14:paraId="77683CE6" w14:textId="2860C1AD" w:rsidR="00245B6C" w:rsidRDefault="00245B6C" w:rsidP="00245B6C">
      <w:pPr>
        <w:pStyle w:val="Normalparatextwithnumbers"/>
        <w:numPr>
          <w:ilvl w:val="1"/>
          <w:numId w:val="2"/>
        </w:numPr>
      </w:pPr>
      <w:r>
        <w:t xml:space="preserve">The amendment in Schedule </w:t>
      </w:r>
      <w:r w:rsidR="000E6447">
        <w:t xml:space="preserve"># </w:t>
      </w:r>
      <w:r w:rsidR="007C1BE3">
        <w:t xml:space="preserve">to the Bill </w:t>
      </w:r>
      <w:r>
        <w:t>allow</w:t>
      </w:r>
      <w:r w:rsidR="000E6447">
        <w:t>s</w:t>
      </w:r>
      <w:r w:rsidR="00DD4497">
        <w:t xml:space="preserve"> assessable receipts derived,</w:t>
      </w:r>
      <w:r>
        <w:t xml:space="preserve"> </w:t>
      </w:r>
      <w:r w:rsidR="00DD4497">
        <w:t xml:space="preserve">deductible </w:t>
      </w:r>
      <w:r>
        <w:t>expenditure incurred</w:t>
      </w:r>
      <w:r w:rsidR="00EE3755">
        <w:t xml:space="preserve"> and </w:t>
      </w:r>
      <w:r w:rsidR="00CA62DC">
        <w:t xml:space="preserve">in limited circumstances, </w:t>
      </w:r>
      <w:r w:rsidR="00EE3755">
        <w:t>tax paid in relation to the</w:t>
      </w:r>
      <w:r>
        <w:t xml:space="preserve"> earlier project to be utilised in the later project, if the Commissioner is satisfied that the later project is a continuation of the earlier project.</w:t>
      </w:r>
    </w:p>
    <w:p w14:paraId="0CF3B147" w14:textId="615D3EDC" w:rsidR="0040443F" w:rsidRPr="005739E0" w:rsidRDefault="0040443F" w:rsidP="00EB3A55">
      <w:pPr>
        <w:pStyle w:val="Heading2"/>
        <w:rPr>
          <w:rFonts w:ascii="Helvetica" w:hAnsi="Helvetica" w:cs="Helvetica"/>
          <w:color w:val="auto"/>
        </w:rPr>
      </w:pPr>
      <w:r w:rsidRPr="005739E0">
        <w:rPr>
          <w:rFonts w:ascii="Helvetica" w:hAnsi="Helvetica" w:cs="Helvetica"/>
          <w:color w:val="auto"/>
        </w:rPr>
        <w:t>Continuation Determ</w:t>
      </w:r>
      <w:r w:rsidR="00C011B6" w:rsidRPr="005739E0">
        <w:rPr>
          <w:rFonts w:ascii="Helvetica" w:hAnsi="Helvetica" w:cs="Helvetica"/>
          <w:color w:val="auto"/>
        </w:rPr>
        <w:t>i</w:t>
      </w:r>
      <w:r w:rsidRPr="005739E0">
        <w:rPr>
          <w:rFonts w:ascii="Helvetica" w:hAnsi="Helvetica" w:cs="Helvetica"/>
          <w:color w:val="auto"/>
        </w:rPr>
        <w:t>nations</w:t>
      </w:r>
    </w:p>
    <w:p w14:paraId="74F53884" w14:textId="1DF994EA" w:rsidR="00245B6C" w:rsidRPr="000F6335" w:rsidRDefault="00CD2646" w:rsidP="00C011B6">
      <w:pPr>
        <w:pStyle w:val="Heading1"/>
        <w:rPr>
          <w:rFonts w:ascii="Helvetica" w:hAnsi="Helvetica" w:cs="Helvetica"/>
          <w:color w:val="auto"/>
          <w:sz w:val="22"/>
          <w:szCs w:val="22"/>
        </w:rPr>
      </w:pPr>
      <w:r w:rsidRPr="000F6335">
        <w:rPr>
          <w:rFonts w:ascii="Helvetica" w:hAnsi="Helvetica" w:cs="Helvetica"/>
          <w:color w:val="auto"/>
          <w:sz w:val="22"/>
          <w:szCs w:val="22"/>
        </w:rPr>
        <w:t>Making</w:t>
      </w:r>
      <w:r w:rsidR="00245B6C" w:rsidRPr="000F6335">
        <w:rPr>
          <w:rFonts w:ascii="Helvetica" w:hAnsi="Helvetica" w:cs="Helvetica"/>
          <w:color w:val="auto"/>
          <w:sz w:val="22"/>
          <w:szCs w:val="22"/>
        </w:rPr>
        <w:t xml:space="preserve"> Continuation Determination</w:t>
      </w:r>
      <w:r w:rsidRPr="000F6335">
        <w:rPr>
          <w:rFonts w:ascii="Helvetica" w:hAnsi="Helvetica" w:cs="Helvetica"/>
          <w:color w:val="auto"/>
          <w:sz w:val="22"/>
          <w:szCs w:val="22"/>
        </w:rPr>
        <w:t>s</w:t>
      </w:r>
    </w:p>
    <w:p w14:paraId="77EBCE8A" w14:textId="2206B1C0" w:rsidR="00245B6C" w:rsidRPr="00AC35DC" w:rsidRDefault="00245B6C" w:rsidP="000E6447">
      <w:pPr>
        <w:pStyle w:val="Normalparatextwithnumbers"/>
        <w:numPr>
          <w:ilvl w:val="1"/>
          <w:numId w:val="2"/>
        </w:numPr>
      </w:pPr>
      <w:r>
        <w:t xml:space="preserve">These amendments give the Commissioner the power to </w:t>
      </w:r>
      <w:bookmarkStart w:id="60" w:name="_Int_LpAlnJ6D"/>
      <w:r>
        <w:t>make a continuation determination</w:t>
      </w:r>
      <w:bookmarkEnd w:id="60"/>
      <w:r>
        <w:t xml:space="preserve"> in relation to a later project and an earlier project that has ceased</w:t>
      </w:r>
      <w:bookmarkStart w:id="61" w:name="_Hlk189565190"/>
      <w:r>
        <w:t>.</w:t>
      </w:r>
      <w:r w:rsidR="000E6447">
        <w:br/>
      </w:r>
      <w:r w:rsidRPr="77C75011">
        <w:rPr>
          <w:rStyle w:val="References"/>
        </w:rPr>
        <w:t xml:space="preserve">[Schedule </w:t>
      </w:r>
      <w:r w:rsidR="000E6447">
        <w:rPr>
          <w:rStyle w:val="References"/>
        </w:rPr>
        <w:t>#</w:t>
      </w:r>
      <w:r w:rsidR="00922F36" w:rsidRPr="77C75011">
        <w:rPr>
          <w:rStyle w:val="References"/>
        </w:rPr>
        <w:t>,</w:t>
      </w:r>
      <w:r w:rsidRPr="77C75011">
        <w:rPr>
          <w:rStyle w:val="References"/>
        </w:rPr>
        <w:t xml:space="preserve"> item </w:t>
      </w:r>
      <w:r w:rsidR="003122C7">
        <w:rPr>
          <w:rStyle w:val="References"/>
        </w:rPr>
        <w:t>3</w:t>
      </w:r>
      <w:r w:rsidRPr="77C75011">
        <w:rPr>
          <w:rStyle w:val="References"/>
        </w:rPr>
        <w:t xml:space="preserve">, subsection </w:t>
      </w:r>
      <w:bookmarkStart w:id="62" w:name="_Int_ThM314Ib"/>
      <w:r>
        <w:rPr>
          <w:rStyle w:val="References"/>
        </w:rPr>
        <w:t>49</w:t>
      </w:r>
      <w:proofErr w:type="gramStart"/>
      <w:r w:rsidRPr="77C75011">
        <w:rPr>
          <w:rStyle w:val="References"/>
        </w:rPr>
        <w:t>A(</w:t>
      </w:r>
      <w:bookmarkEnd w:id="62"/>
      <w:proofErr w:type="gramEnd"/>
      <w:r w:rsidRPr="77C75011">
        <w:rPr>
          <w:rStyle w:val="References"/>
        </w:rPr>
        <w:t>1)]</w:t>
      </w:r>
      <w:r>
        <w:t xml:space="preserve"> </w:t>
      </w:r>
    </w:p>
    <w:p w14:paraId="636B16C5" w14:textId="70EB29A3" w:rsidR="00245B6C" w:rsidRDefault="00245B6C" w:rsidP="00245B6C">
      <w:pPr>
        <w:pStyle w:val="Normalparatextwithnumbers"/>
        <w:numPr>
          <w:ilvl w:val="1"/>
          <w:numId w:val="2"/>
        </w:numPr>
      </w:pPr>
      <w:r>
        <w:t xml:space="preserve">Later and earlier projects are defined in temporal relation to each other. A later project is </w:t>
      </w:r>
      <w:r w:rsidR="00710567">
        <w:t xml:space="preserve">a </w:t>
      </w:r>
      <w:r>
        <w:t>petroleum project that commences</w:t>
      </w:r>
      <w:r w:rsidR="00764831">
        <w:t xml:space="preserve"> when a new product</w:t>
      </w:r>
      <w:r w:rsidR="00F62A6D">
        <w:t xml:space="preserve">ion licence is derived from a retention lease that, when the retention lease </w:t>
      </w:r>
      <w:r w:rsidR="00765413">
        <w:t>was</w:t>
      </w:r>
      <w:r w:rsidR="00F62A6D">
        <w:t xml:space="preserve"> issued</w:t>
      </w:r>
      <w:r w:rsidR="00765413">
        <w:t>, had caused the</w:t>
      </w:r>
      <w:r>
        <w:t xml:space="preserve"> earlier project</w:t>
      </w:r>
      <w:r w:rsidR="00765413">
        <w:t xml:space="preserve"> to</w:t>
      </w:r>
      <w:r>
        <w:t xml:space="preserve"> ha</w:t>
      </w:r>
      <w:r w:rsidR="00765413">
        <w:t>ve</w:t>
      </w:r>
      <w:r>
        <w:t xml:space="preserve"> ceased. An earlier project is a petroleum project that has ceased</w:t>
      </w:r>
      <w:r w:rsidR="00AF2825">
        <w:t xml:space="preserve"> because a retention lease was issued in relation </w:t>
      </w:r>
      <w:r w:rsidR="00E42D08">
        <w:t>to the entire production licence area.</w:t>
      </w:r>
      <w:r w:rsidR="00E42D08" w:rsidDel="00E42D08">
        <w:t xml:space="preserve"> </w:t>
      </w:r>
      <w:r w:rsidR="000E6447">
        <w:br/>
      </w:r>
      <w:r>
        <w:rPr>
          <w:rStyle w:val="References"/>
        </w:rPr>
        <w:t xml:space="preserve">[Schedule </w:t>
      </w:r>
      <w:r w:rsidR="000E6447">
        <w:rPr>
          <w:rStyle w:val="References"/>
        </w:rPr>
        <w:t>#</w:t>
      </w:r>
      <w:r w:rsidR="00000A98">
        <w:rPr>
          <w:rStyle w:val="References"/>
        </w:rPr>
        <w:t>,</w:t>
      </w:r>
      <w:r>
        <w:rPr>
          <w:rStyle w:val="References"/>
        </w:rPr>
        <w:t xml:space="preserve"> item 1, section 2 and item </w:t>
      </w:r>
      <w:r w:rsidR="009E4246">
        <w:rPr>
          <w:rStyle w:val="References"/>
        </w:rPr>
        <w:t>3</w:t>
      </w:r>
      <w:r>
        <w:rPr>
          <w:rStyle w:val="References"/>
        </w:rPr>
        <w:t>, section 49A]</w:t>
      </w:r>
    </w:p>
    <w:p w14:paraId="4D0F8364" w14:textId="08A933B3" w:rsidR="00245B6C" w:rsidRPr="000E6447" w:rsidRDefault="00245B6C" w:rsidP="000E6447">
      <w:pPr>
        <w:pStyle w:val="Normalparatextwithnumbers"/>
        <w:numPr>
          <w:ilvl w:val="1"/>
          <w:numId w:val="2"/>
        </w:numPr>
        <w:rPr>
          <w:rStyle w:val="References"/>
          <w:b w:val="0"/>
          <w:i w:val="0"/>
        </w:rPr>
      </w:pPr>
      <w:r>
        <w:t>The Commissioner may</w:t>
      </w:r>
      <w:r w:rsidR="00AE5A77">
        <w:t xml:space="preserve"> only</w:t>
      </w:r>
      <w:r>
        <w:t xml:space="preserve"> make a continuation determination in relation to a later project and an earlier project if a qualifying application is made</w:t>
      </w:r>
      <w:r w:rsidR="007C1BE3">
        <w:t>,</w:t>
      </w:r>
      <w:r>
        <w:t xml:space="preserve"> and the Commissioner is satisfied that the later project is a continuation of the earlier project.</w:t>
      </w:r>
      <w:r w:rsidR="000E6447">
        <w:br/>
      </w:r>
      <w:r>
        <w:rPr>
          <w:rStyle w:val="References"/>
        </w:rPr>
        <w:t xml:space="preserve">[Schedule </w:t>
      </w:r>
      <w:r w:rsidR="000E6447">
        <w:rPr>
          <w:rStyle w:val="References"/>
        </w:rPr>
        <w:t>#</w:t>
      </w:r>
      <w:r w:rsidR="000043BB">
        <w:rPr>
          <w:rStyle w:val="References"/>
        </w:rPr>
        <w:t>,</w:t>
      </w:r>
      <w:r>
        <w:rPr>
          <w:rStyle w:val="References"/>
        </w:rPr>
        <w:t xml:space="preserve"> item 1, section 2 and item </w:t>
      </w:r>
      <w:r w:rsidR="009E4246">
        <w:rPr>
          <w:rStyle w:val="References"/>
        </w:rPr>
        <w:t>3</w:t>
      </w:r>
      <w:r w:rsidR="003250A6">
        <w:rPr>
          <w:rStyle w:val="References"/>
        </w:rPr>
        <w:t xml:space="preserve">, </w:t>
      </w:r>
      <w:r w:rsidR="00055157">
        <w:rPr>
          <w:rStyle w:val="References"/>
        </w:rPr>
        <w:t>sub</w:t>
      </w:r>
      <w:r w:rsidR="003250A6">
        <w:rPr>
          <w:rStyle w:val="References"/>
        </w:rPr>
        <w:t>section</w:t>
      </w:r>
      <w:r>
        <w:rPr>
          <w:rStyle w:val="References"/>
        </w:rPr>
        <w:t xml:space="preserve"> 49</w:t>
      </w:r>
      <w:proofErr w:type="gramStart"/>
      <w:r>
        <w:rPr>
          <w:rStyle w:val="References"/>
        </w:rPr>
        <w:t>A(</w:t>
      </w:r>
      <w:proofErr w:type="gramEnd"/>
      <w:r>
        <w:rPr>
          <w:rStyle w:val="References"/>
        </w:rPr>
        <w:t>2</w:t>
      </w:r>
      <w:r w:rsidR="003250A6">
        <w:rPr>
          <w:rStyle w:val="References"/>
        </w:rPr>
        <w:t>)</w:t>
      </w:r>
      <w:r w:rsidR="009B6899">
        <w:rPr>
          <w:rStyle w:val="References"/>
        </w:rPr>
        <w:t>]</w:t>
      </w:r>
    </w:p>
    <w:p w14:paraId="48A4F31C" w14:textId="5E3119A4" w:rsidR="00245B6C" w:rsidRDefault="00245B6C" w:rsidP="000E6447">
      <w:pPr>
        <w:pStyle w:val="Normalparatextwithnumbers"/>
        <w:numPr>
          <w:ilvl w:val="1"/>
          <w:numId w:val="2"/>
        </w:numPr>
      </w:pPr>
      <w:r>
        <w:t xml:space="preserve">A qualifying application </w:t>
      </w:r>
      <w:r w:rsidR="007C1BE3">
        <w:t xml:space="preserve">may </w:t>
      </w:r>
      <w:r>
        <w:t>be made by one person or jointly by multiple persons</w:t>
      </w:r>
      <w:r w:rsidR="009A524A">
        <w:t>. The application must be made</w:t>
      </w:r>
      <w:r w:rsidR="00291DCA">
        <w:t xml:space="preserve"> </w:t>
      </w:r>
      <w:r w:rsidR="008937B3">
        <w:t>within</w:t>
      </w:r>
      <w:r w:rsidR="00291DCA">
        <w:t xml:space="preserve"> 90 days </w:t>
      </w:r>
      <w:r w:rsidR="0041410E">
        <w:t>from when</w:t>
      </w:r>
      <w:r w:rsidR="00291DCA">
        <w:t xml:space="preserve"> </w:t>
      </w:r>
      <w:r w:rsidR="005B6D54">
        <w:t>the most recent production licence</w:t>
      </w:r>
      <w:r w:rsidR="00DF69D5">
        <w:t xml:space="preserve"> in relation to </w:t>
      </w:r>
      <w:r w:rsidR="00BB3D5D">
        <w:t>the later project</w:t>
      </w:r>
      <w:r w:rsidR="005B6D54">
        <w:t xml:space="preserve"> c</w:t>
      </w:r>
      <w:r w:rsidR="009B3C73">
        <w:t>a</w:t>
      </w:r>
      <w:r w:rsidR="005B6D54">
        <w:t>me into force, or a</w:t>
      </w:r>
      <w:r w:rsidR="00DF69D5">
        <w:t xml:space="preserve"> longer</w:t>
      </w:r>
      <w:r w:rsidR="005B6D54">
        <w:t xml:space="preserve"> period </w:t>
      </w:r>
      <w:r w:rsidR="00DF69D5">
        <w:t>allowed</w:t>
      </w:r>
      <w:r w:rsidR="005B6D54">
        <w:t xml:space="preserve"> by the Commissioner</w:t>
      </w:r>
      <w:r>
        <w:t>. The applicant or applicants jointly must have been entitled to receive at least half of the receipts from the sale of petroleum or petroleum commodities recovered from the production licence area in relation to the later project. The applicant or applicants jointly must meet this entitlement threshold immediately before the application was made.</w:t>
      </w:r>
      <w:r w:rsidR="000E6447">
        <w:br/>
      </w:r>
      <w:r>
        <w:rPr>
          <w:rStyle w:val="References"/>
        </w:rPr>
        <w:t xml:space="preserve">[Schedule </w:t>
      </w:r>
      <w:r w:rsidR="000E6447">
        <w:rPr>
          <w:rStyle w:val="References"/>
        </w:rPr>
        <w:t>#</w:t>
      </w:r>
      <w:r w:rsidR="003F2344">
        <w:rPr>
          <w:rStyle w:val="References"/>
        </w:rPr>
        <w:t>,</w:t>
      </w:r>
      <w:r>
        <w:rPr>
          <w:rStyle w:val="References"/>
        </w:rPr>
        <w:t xml:space="preserve"> item </w:t>
      </w:r>
      <w:r w:rsidR="00982B82">
        <w:rPr>
          <w:rStyle w:val="References"/>
        </w:rPr>
        <w:t>3</w:t>
      </w:r>
      <w:r>
        <w:rPr>
          <w:rStyle w:val="References"/>
        </w:rPr>
        <w:t xml:space="preserve">, section </w:t>
      </w:r>
      <w:r w:rsidR="003F2344">
        <w:rPr>
          <w:rStyle w:val="References"/>
        </w:rPr>
        <w:t>49</w:t>
      </w:r>
      <w:r w:rsidR="00591DB5">
        <w:rPr>
          <w:rStyle w:val="References"/>
        </w:rPr>
        <w:t>B</w:t>
      </w:r>
      <w:r w:rsidR="003F2344">
        <w:rPr>
          <w:rStyle w:val="References"/>
        </w:rPr>
        <w:t>]</w:t>
      </w:r>
    </w:p>
    <w:p w14:paraId="180433D7" w14:textId="16D9A9B6" w:rsidR="00245B6C" w:rsidRDefault="00245B6C" w:rsidP="000E6447">
      <w:pPr>
        <w:pStyle w:val="Normalparatextwithnumbers"/>
        <w:numPr>
          <w:ilvl w:val="1"/>
          <w:numId w:val="2"/>
        </w:numPr>
      </w:pPr>
      <w:r>
        <w:t xml:space="preserve">There are </w:t>
      </w:r>
      <w:proofErr w:type="gramStart"/>
      <w:r>
        <w:t>a number of</w:t>
      </w:r>
      <w:proofErr w:type="gramEnd"/>
      <w:r>
        <w:t xml:space="preserve"> factors </w:t>
      </w:r>
      <w:r w:rsidR="00B92245">
        <w:t>that the</w:t>
      </w:r>
      <w:r>
        <w:t xml:space="preserve"> Commissioner must </w:t>
      </w:r>
      <w:r w:rsidR="00AB2AD9">
        <w:t>consider</w:t>
      </w:r>
      <w:r>
        <w:t xml:space="preserve"> when determining whether or not a later project is a continuation of an earlier project. </w:t>
      </w:r>
      <w:r w:rsidR="00E16281">
        <w:t>T</w:t>
      </w:r>
      <w:r>
        <w:t xml:space="preserve">hese </w:t>
      </w:r>
      <w:r w:rsidR="00E16281">
        <w:t xml:space="preserve">include </w:t>
      </w:r>
      <w:r>
        <w:t xml:space="preserve">the differences between the two projects in terms of the </w:t>
      </w:r>
      <w:r>
        <w:lastRenderedPageBreak/>
        <w:t>production licence areas</w:t>
      </w:r>
      <w:r w:rsidR="003F637A">
        <w:t xml:space="preserve"> and</w:t>
      </w:r>
      <w:r>
        <w:t xml:space="preserve"> commodities produced,</w:t>
      </w:r>
      <w:r w:rsidR="003F637A">
        <w:t xml:space="preserve"> and similarities between the two projects in terms of the</w:t>
      </w:r>
      <w:r>
        <w:t xml:space="preserve"> operations and facilities. The Commissioner must also </w:t>
      </w:r>
      <w:r w:rsidR="00AB2AD9">
        <w:t>consider</w:t>
      </w:r>
      <w:r>
        <w:t xml:space="preserve"> the progression of the projects from production licence to retention lease and then back to production licence.</w:t>
      </w:r>
      <w:r w:rsidR="000E6447">
        <w:br/>
      </w:r>
      <w:r>
        <w:rPr>
          <w:rStyle w:val="References"/>
        </w:rPr>
        <w:t xml:space="preserve">[Schedule </w:t>
      </w:r>
      <w:r w:rsidR="000E6447">
        <w:rPr>
          <w:rStyle w:val="References"/>
        </w:rPr>
        <w:t>#</w:t>
      </w:r>
      <w:r w:rsidR="008C21D0">
        <w:rPr>
          <w:rStyle w:val="References"/>
        </w:rPr>
        <w:t>,</w:t>
      </w:r>
      <w:r>
        <w:rPr>
          <w:rStyle w:val="References"/>
        </w:rPr>
        <w:t xml:space="preserve"> item </w:t>
      </w:r>
      <w:r w:rsidR="00591DB5">
        <w:rPr>
          <w:rStyle w:val="References"/>
        </w:rPr>
        <w:t>3</w:t>
      </w:r>
      <w:r>
        <w:rPr>
          <w:rStyle w:val="References"/>
        </w:rPr>
        <w:t>, section 49</w:t>
      </w:r>
      <w:r w:rsidR="00591DB5">
        <w:rPr>
          <w:rStyle w:val="References"/>
        </w:rPr>
        <w:t>C</w:t>
      </w:r>
      <w:r w:rsidR="008C21D0">
        <w:rPr>
          <w:rStyle w:val="References"/>
        </w:rPr>
        <w:t>]</w:t>
      </w:r>
    </w:p>
    <w:p w14:paraId="27F6080B" w14:textId="1CB18A96" w:rsidR="00245B6C" w:rsidRDefault="00245B6C" w:rsidP="000E6447">
      <w:pPr>
        <w:pStyle w:val="Normalparatextwithnumbers"/>
        <w:numPr>
          <w:ilvl w:val="1"/>
          <w:numId w:val="2"/>
        </w:numPr>
      </w:pPr>
      <w:r>
        <w:t xml:space="preserve">The amendments limit the Commissioner to making only one continuation determination per earlier project. If a continuation determination is in force in relation to an earlier project, then the Commissioner cannot make another. </w:t>
      </w:r>
      <w:r w:rsidR="00661BD2">
        <w:t>However,</w:t>
      </w:r>
      <w:r w:rsidR="00386CE6">
        <w:t xml:space="preserve"> this does not pre</w:t>
      </w:r>
      <w:r w:rsidR="0044345C">
        <w:t xml:space="preserve">vent a continuation determination from being </w:t>
      </w:r>
      <w:r w:rsidR="00176B40">
        <w:t>revoked</w:t>
      </w:r>
      <w:r w:rsidR="008E4B1E">
        <w:t xml:space="preserve"> altogether or varied to c</w:t>
      </w:r>
      <w:r w:rsidR="005742E1">
        <w:t>orrect an er</w:t>
      </w:r>
      <w:r w:rsidR="00994F0A">
        <w:t>r</w:t>
      </w:r>
      <w:r w:rsidR="005742E1">
        <w:t>or in the determination</w:t>
      </w:r>
      <w:r w:rsidR="00924AF5">
        <w:t xml:space="preserve"> under section 49</w:t>
      </w:r>
      <w:r w:rsidR="00647BC7">
        <w:t>L</w:t>
      </w:r>
      <w:r w:rsidR="00E15C73">
        <w:t xml:space="preserve"> of the PRRTA Act</w:t>
      </w:r>
      <w:r w:rsidR="000E6447">
        <w:t>.</w:t>
      </w:r>
      <w:r w:rsidR="000E6447">
        <w:br/>
      </w:r>
      <w:r w:rsidR="00A040D2">
        <w:rPr>
          <w:rStyle w:val="References"/>
        </w:rPr>
        <w:t xml:space="preserve">[Schedule </w:t>
      </w:r>
      <w:r w:rsidR="000E6447">
        <w:rPr>
          <w:rStyle w:val="References"/>
        </w:rPr>
        <w:t>#</w:t>
      </w:r>
      <w:r w:rsidR="00A040D2">
        <w:rPr>
          <w:rStyle w:val="References"/>
        </w:rPr>
        <w:t xml:space="preserve">, item </w:t>
      </w:r>
      <w:r w:rsidR="001F7E89">
        <w:rPr>
          <w:rStyle w:val="References"/>
        </w:rPr>
        <w:t>3</w:t>
      </w:r>
      <w:r w:rsidR="00A040D2">
        <w:rPr>
          <w:rStyle w:val="References"/>
        </w:rPr>
        <w:t>, section 49</w:t>
      </w:r>
      <w:r w:rsidR="007607B5">
        <w:rPr>
          <w:rStyle w:val="References"/>
        </w:rPr>
        <w:t>D</w:t>
      </w:r>
      <w:r w:rsidR="00A040D2">
        <w:rPr>
          <w:rStyle w:val="References"/>
        </w:rPr>
        <w:t>]</w:t>
      </w:r>
    </w:p>
    <w:bookmarkEnd w:id="61"/>
    <w:p w14:paraId="71CD5D16" w14:textId="65459784" w:rsidR="001225DB" w:rsidRDefault="00245B6C" w:rsidP="008061F4">
      <w:pPr>
        <w:pStyle w:val="Normalparatextwithnumbers"/>
        <w:numPr>
          <w:ilvl w:val="0"/>
          <w:numId w:val="0"/>
        </w:numPr>
      </w:pPr>
      <w:r>
        <w:rPr>
          <w:rFonts w:ascii="Helvitica" w:hAnsi="Helvitica"/>
        </w:rPr>
        <w:t>Co</w:t>
      </w:r>
      <w:r w:rsidRPr="000E6447">
        <w:rPr>
          <w:rFonts w:ascii="Helvitica" w:hAnsi="Helvitica"/>
        </w:rPr>
        <w:t>nsequences of Determination</w:t>
      </w:r>
      <w:bookmarkStart w:id="63" w:name="_Hlk188344151"/>
    </w:p>
    <w:p w14:paraId="77878603" w14:textId="586A23F2" w:rsidR="00F824AE" w:rsidRDefault="001225DB" w:rsidP="000B1045">
      <w:pPr>
        <w:pStyle w:val="Normalparatextwithnumbers"/>
        <w:numPr>
          <w:ilvl w:val="1"/>
          <w:numId w:val="2"/>
        </w:numPr>
        <w:spacing w:after="0"/>
      </w:pPr>
      <w:r>
        <w:t>I</w:t>
      </w:r>
      <w:r w:rsidR="00245B6C">
        <w:t>f a continuation determination</w:t>
      </w:r>
      <w:r w:rsidR="00AD1643">
        <w:t xml:space="preserve"> is made</w:t>
      </w:r>
      <w:r w:rsidR="005A4956">
        <w:t xml:space="preserve"> in a financial year</w:t>
      </w:r>
      <w:r w:rsidR="00245B6C">
        <w:t xml:space="preserve"> </w:t>
      </w:r>
      <w:r w:rsidR="00E30887">
        <w:t>for</w:t>
      </w:r>
      <w:r w:rsidR="00245B6C">
        <w:t xml:space="preserve"> a</w:t>
      </w:r>
      <w:r w:rsidR="008F49F1">
        <w:t>n earlier</w:t>
      </w:r>
      <w:r w:rsidR="000A3FB9">
        <w:t xml:space="preserve"> project</w:t>
      </w:r>
      <w:r w:rsidR="008F49F1">
        <w:t xml:space="preserve"> and a </w:t>
      </w:r>
      <w:r w:rsidR="00245B6C">
        <w:t>later project,</w:t>
      </w:r>
      <w:r w:rsidR="00452F68">
        <w:t xml:space="preserve"> and a person ha</w:t>
      </w:r>
      <w:r w:rsidR="008F6535">
        <w:t xml:space="preserve">s an interest in the </w:t>
      </w:r>
      <w:r w:rsidR="003B0211">
        <w:t>earlier</w:t>
      </w:r>
      <w:r w:rsidR="000A3FB9">
        <w:t xml:space="preserve"> project</w:t>
      </w:r>
      <w:r w:rsidR="003B0211">
        <w:t xml:space="preserve"> and later</w:t>
      </w:r>
      <w:r w:rsidR="0057076C">
        <w:t xml:space="preserve"> project</w:t>
      </w:r>
      <w:r w:rsidR="008F6535">
        <w:t>,</w:t>
      </w:r>
      <w:r w:rsidR="00245B6C">
        <w:t xml:space="preserve"> then the</w:t>
      </w:r>
      <w:r w:rsidR="00B6083F">
        <w:t xml:space="preserve"> </w:t>
      </w:r>
      <w:r w:rsidR="00D854A5">
        <w:t>assessable receipts</w:t>
      </w:r>
      <w:r w:rsidR="00385861">
        <w:t xml:space="preserve"> that would have been</w:t>
      </w:r>
      <w:r w:rsidR="00B74FF5">
        <w:t xml:space="preserve"> </w:t>
      </w:r>
      <w:r w:rsidR="00D854A5">
        <w:t>der</w:t>
      </w:r>
      <w:r w:rsidR="00C85CB3">
        <w:t>i</w:t>
      </w:r>
      <w:r w:rsidR="00D854A5">
        <w:t>ved</w:t>
      </w:r>
      <w:r w:rsidR="00455265">
        <w:t xml:space="preserve"> in that financial year</w:t>
      </w:r>
      <w:r w:rsidR="00B74FF5">
        <w:t xml:space="preserve"> by the person in relation</w:t>
      </w:r>
      <w:r w:rsidR="007F6BED">
        <w:t xml:space="preserve"> to </w:t>
      </w:r>
      <w:r w:rsidR="00B74FF5">
        <w:t xml:space="preserve">the earlier project </w:t>
      </w:r>
      <w:r w:rsidR="00F04845">
        <w:t>are</w:t>
      </w:r>
      <w:r w:rsidR="00B74FF5">
        <w:t xml:space="preserve"> taken to be </w:t>
      </w:r>
      <w:r w:rsidR="00EA59AF">
        <w:t>derived</w:t>
      </w:r>
      <w:r w:rsidR="00B74FF5">
        <w:t xml:space="preserve"> by the person in relation</w:t>
      </w:r>
      <w:r w:rsidR="0057076C">
        <w:t xml:space="preserve"> to </w:t>
      </w:r>
      <w:r w:rsidR="00B74FF5">
        <w:t>the later project</w:t>
      </w:r>
      <w:r w:rsidR="000B1045">
        <w:t>.</w:t>
      </w:r>
    </w:p>
    <w:p w14:paraId="01F4F423" w14:textId="7AF1EFE0" w:rsidR="000B1045" w:rsidRDefault="000B1045" w:rsidP="000B1045">
      <w:pPr>
        <w:pStyle w:val="Normalparatextwithnumbers"/>
        <w:numPr>
          <w:ilvl w:val="0"/>
          <w:numId w:val="0"/>
        </w:numPr>
        <w:spacing w:before="0"/>
        <w:ind w:left="709"/>
      </w:pPr>
      <w:r w:rsidRPr="000E6447">
        <w:rPr>
          <w:b/>
          <w:bCs/>
          <w:i/>
          <w:iCs/>
        </w:rPr>
        <w:t xml:space="preserve">[Schedule </w:t>
      </w:r>
      <w:r>
        <w:rPr>
          <w:b/>
          <w:bCs/>
          <w:i/>
          <w:iCs/>
        </w:rPr>
        <w:t>#,</w:t>
      </w:r>
      <w:r w:rsidRPr="000E6447">
        <w:rPr>
          <w:b/>
          <w:bCs/>
          <w:i/>
          <w:iCs/>
        </w:rPr>
        <w:t xml:space="preserve"> item </w:t>
      </w:r>
      <w:r>
        <w:rPr>
          <w:b/>
          <w:bCs/>
          <w:i/>
          <w:iCs/>
        </w:rPr>
        <w:t>3</w:t>
      </w:r>
      <w:r w:rsidRPr="000E6447">
        <w:rPr>
          <w:b/>
          <w:bCs/>
          <w:i/>
          <w:iCs/>
        </w:rPr>
        <w:t xml:space="preserve">, </w:t>
      </w:r>
      <w:r w:rsidR="00F7447D">
        <w:rPr>
          <w:b/>
          <w:bCs/>
          <w:i/>
          <w:iCs/>
        </w:rPr>
        <w:t>sub</w:t>
      </w:r>
      <w:r w:rsidRPr="000E6447">
        <w:rPr>
          <w:b/>
          <w:bCs/>
          <w:i/>
          <w:iCs/>
        </w:rPr>
        <w:t>section</w:t>
      </w:r>
      <w:r w:rsidR="00A02E34">
        <w:rPr>
          <w:b/>
          <w:bCs/>
          <w:i/>
          <w:iCs/>
        </w:rPr>
        <w:t>s</w:t>
      </w:r>
      <w:r w:rsidRPr="000E6447">
        <w:rPr>
          <w:b/>
          <w:bCs/>
          <w:i/>
          <w:iCs/>
        </w:rPr>
        <w:t xml:space="preserve"> </w:t>
      </w:r>
      <w:r w:rsidRPr="00E5630B">
        <w:rPr>
          <w:b/>
          <w:bCs/>
          <w:i/>
          <w:iCs/>
        </w:rPr>
        <w:t>49</w:t>
      </w:r>
      <w:proofErr w:type="gramStart"/>
      <w:r>
        <w:rPr>
          <w:b/>
          <w:bCs/>
          <w:i/>
          <w:iCs/>
        </w:rPr>
        <w:t>E</w:t>
      </w:r>
      <w:r w:rsidR="00F7447D">
        <w:rPr>
          <w:b/>
          <w:bCs/>
          <w:i/>
          <w:iCs/>
        </w:rPr>
        <w:t>(</w:t>
      </w:r>
      <w:proofErr w:type="gramEnd"/>
      <w:r w:rsidR="00F7447D">
        <w:rPr>
          <w:b/>
          <w:bCs/>
          <w:i/>
          <w:iCs/>
        </w:rPr>
        <w:t>1)</w:t>
      </w:r>
      <w:r w:rsidRPr="000E6447">
        <w:rPr>
          <w:b/>
          <w:bCs/>
          <w:i/>
          <w:iCs/>
        </w:rPr>
        <w:t>]</w:t>
      </w:r>
    </w:p>
    <w:p w14:paraId="1C52FA7B" w14:textId="3C1994C6" w:rsidR="009068C2" w:rsidRDefault="00F04845" w:rsidP="008061F4">
      <w:pPr>
        <w:pStyle w:val="Normalparatextwithnumbers"/>
        <w:numPr>
          <w:ilvl w:val="1"/>
          <w:numId w:val="2"/>
        </w:numPr>
        <w:spacing w:after="0"/>
      </w:pPr>
      <w:r>
        <w:t xml:space="preserve">However, if </w:t>
      </w:r>
      <w:r w:rsidR="00B47A99">
        <w:t>a</w:t>
      </w:r>
      <w:r w:rsidR="00652680">
        <w:t xml:space="preserve"> continuation determination is made </w:t>
      </w:r>
      <w:r w:rsidR="008F49F1">
        <w:t>in a financial year for a</w:t>
      </w:r>
      <w:r w:rsidR="001C33E0">
        <w:t>n earlier and later project, and</w:t>
      </w:r>
      <w:r w:rsidR="00F2419A">
        <w:t xml:space="preserve"> </w:t>
      </w:r>
      <w:r w:rsidR="001C33E0">
        <w:t>a</w:t>
      </w:r>
      <w:r w:rsidR="0015100D">
        <w:t xml:space="preserve"> person</w:t>
      </w:r>
      <w:r w:rsidR="001C33E0">
        <w:t xml:space="preserve"> </w:t>
      </w:r>
      <w:r w:rsidR="00F2419A">
        <w:t>has an interest in the earlier project but not the later project</w:t>
      </w:r>
      <w:r w:rsidR="00C8320B">
        <w:t xml:space="preserve"> when the continuation determination is made</w:t>
      </w:r>
      <w:r w:rsidR="00F2419A">
        <w:t>,</w:t>
      </w:r>
      <w:r w:rsidR="000B1045">
        <w:t xml:space="preserve"> </w:t>
      </w:r>
      <w:r w:rsidR="005843D5">
        <w:t>then</w:t>
      </w:r>
      <w:r w:rsidR="007B771D">
        <w:t xml:space="preserve"> t</w:t>
      </w:r>
      <w:r w:rsidR="007521CA">
        <w:t xml:space="preserve">he amount of assessable receipts that would have been derived in </w:t>
      </w:r>
      <w:r w:rsidR="0015100D">
        <w:t>that</w:t>
      </w:r>
      <w:r w:rsidR="007521CA">
        <w:t xml:space="preserve"> financial year</w:t>
      </w:r>
      <w:r w:rsidR="00DD5A25">
        <w:t xml:space="preserve"> in relation to the earlier project</w:t>
      </w:r>
      <w:r w:rsidR="007521CA">
        <w:t xml:space="preserve"> by t</w:t>
      </w:r>
      <w:r w:rsidR="0015100D">
        <w:t xml:space="preserve">hat person is </w:t>
      </w:r>
      <w:r w:rsidR="00DD5A25">
        <w:t>deemed</w:t>
      </w:r>
      <w:r w:rsidR="0015100D">
        <w:t xml:space="preserve"> not to be derived by </w:t>
      </w:r>
      <w:r w:rsidR="00DD5A25">
        <w:t xml:space="preserve">that person. </w:t>
      </w:r>
    </w:p>
    <w:p w14:paraId="037F56B9" w14:textId="2D3BFBF7" w:rsidR="009068C2" w:rsidRPr="008061F4" w:rsidRDefault="009068C2" w:rsidP="008061F4">
      <w:pPr>
        <w:pStyle w:val="Normalparatextwithnumbers"/>
        <w:numPr>
          <w:ilvl w:val="0"/>
          <w:numId w:val="0"/>
        </w:numPr>
        <w:spacing w:before="0"/>
        <w:ind w:left="709"/>
        <w:rPr>
          <w:rStyle w:val="References"/>
        </w:rPr>
      </w:pPr>
      <w:r>
        <w:rPr>
          <w:rStyle w:val="References"/>
        </w:rPr>
        <w:t>[Schedule #, item 3</w:t>
      </w:r>
      <w:r w:rsidR="005E1B28">
        <w:rPr>
          <w:rStyle w:val="References"/>
        </w:rPr>
        <w:t>, paragraphs 49E(2)(a)</w:t>
      </w:r>
      <w:r w:rsidR="00DA2E54">
        <w:rPr>
          <w:rStyle w:val="References"/>
        </w:rPr>
        <w:t xml:space="preserve"> to (d)</w:t>
      </w:r>
      <w:r>
        <w:rPr>
          <w:rStyle w:val="References"/>
        </w:rPr>
        <w:t>]</w:t>
      </w:r>
    </w:p>
    <w:p w14:paraId="24146ABF" w14:textId="73F05844" w:rsidR="00C96D01" w:rsidRPr="008061F4" w:rsidRDefault="00800B85" w:rsidP="000E6447">
      <w:pPr>
        <w:pStyle w:val="Normalparatextwithnumbers"/>
        <w:numPr>
          <w:ilvl w:val="1"/>
          <w:numId w:val="2"/>
        </w:numPr>
      </w:pPr>
      <w:r>
        <w:t>E</w:t>
      </w:r>
      <w:r w:rsidR="00060800">
        <w:t>ach person that has an interest in the later project</w:t>
      </w:r>
      <w:r w:rsidR="00E27E71">
        <w:t xml:space="preserve"> when the continuation determination is made</w:t>
      </w:r>
      <w:r w:rsidR="00060800">
        <w:t xml:space="preserve"> is taken to derive</w:t>
      </w:r>
      <w:r w:rsidR="007513D8">
        <w:t>, in rela</w:t>
      </w:r>
      <w:r w:rsidR="00B47A99">
        <w:t>tion to the later project,</w:t>
      </w:r>
      <w:r w:rsidR="00060800">
        <w:t xml:space="preserve"> a share </w:t>
      </w:r>
      <w:r w:rsidR="00471C6B">
        <w:t xml:space="preserve">of </w:t>
      </w:r>
      <w:r w:rsidR="00797374">
        <w:t>that</w:t>
      </w:r>
      <w:r w:rsidR="00471C6B">
        <w:t xml:space="preserve"> amount of assessable receipts</w:t>
      </w:r>
      <w:r w:rsidR="006B2A7D">
        <w:t>, which is</w:t>
      </w:r>
      <w:r w:rsidR="006E14DE">
        <w:t xml:space="preserve"> equal to </w:t>
      </w:r>
      <w:r w:rsidR="0082385A">
        <w:t>t</w:t>
      </w:r>
      <w:r w:rsidR="004C58FE">
        <w:t>hat amount multiplied by the person</w:t>
      </w:r>
      <w:r w:rsidR="0082385A">
        <w:t>’s</w:t>
      </w:r>
      <w:r w:rsidR="004A2B67">
        <w:t xml:space="preserve"> entitlement percentage for the later project</w:t>
      </w:r>
      <w:r w:rsidR="003542FB">
        <w:t xml:space="preserve">. </w:t>
      </w:r>
      <w:r w:rsidR="000E6447">
        <w:br/>
      </w:r>
      <w:r w:rsidR="00FF2008" w:rsidRPr="000E6447">
        <w:rPr>
          <w:b/>
          <w:bCs/>
          <w:i/>
          <w:iCs/>
        </w:rPr>
        <w:t xml:space="preserve">[Schedule </w:t>
      </w:r>
      <w:r w:rsidR="007607B5">
        <w:rPr>
          <w:b/>
          <w:bCs/>
          <w:i/>
          <w:iCs/>
        </w:rPr>
        <w:t>#,</w:t>
      </w:r>
      <w:r w:rsidR="00FF2008" w:rsidRPr="000E6447">
        <w:rPr>
          <w:b/>
          <w:bCs/>
          <w:i/>
          <w:iCs/>
        </w:rPr>
        <w:t xml:space="preserve"> item </w:t>
      </w:r>
      <w:r w:rsidR="001F7E89">
        <w:rPr>
          <w:b/>
          <w:bCs/>
          <w:i/>
          <w:iCs/>
        </w:rPr>
        <w:t>3</w:t>
      </w:r>
      <w:r w:rsidR="00FF2008" w:rsidRPr="000E6447">
        <w:rPr>
          <w:b/>
          <w:bCs/>
          <w:i/>
          <w:iCs/>
        </w:rPr>
        <w:t xml:space="preserve">, </w:t>
      </w:r>
      <w:r w:rsidR="004A2B67">
        <w:rPr>
          <w:b/>
          <w:bCs/>
          <w:i/>
          <w:iCs/>
        </w:rPr>
        <w:t>paragraph</w:t>
      </w:r>
      <w:r w:rsidR="004A2B67" w:rsidRPr="000E6447">
        <w:rPr>
          <w:b/>
          <w:bCs/>
          <w:i/>
          <w:iCs/>
        </w:rPr>
        <w:t xml:space="preserve"> </w:t>
      </w:r>
      <w:r w:rsidR="00FF2008" w:rsidRPr="00E5630B">
        <w:rPr>
          <w:b/>
          <w:bCs/>
          <w:i/>
          <w:iCs/>
        </w:rPr>
        <w:t>49</w:t>
      </w:r>
      <w:r w:rsidR="00CE3D58">
        <w:rPr>
          <w:b/>
          <w:bCs/>
          <w:i/>
          <w:iCs/>
        </w:rPr>
        <w:t>E</w:t>
      </w:r>
      <w:r w:rsidR="009F4EA6">
        <w:rPr>
          <w:b/>
          <w:bCs/>
          <w:i/>
          <w:iCs/>
        </w:rPr>
        <w:t>(2)</w:t>
      </w:r>
      <w:r w:rsidR="004A2B67">
        <w:rPr>
          <w:b/>
          <w:bCs/>
          <w:i/>
          <w:iCs/>
        </w:rPr>
        <w:t>(e)</w:t>
      </w:r>
      <w:r w:rsidR="00437ACD">
        <w:rPr>
          <w:b/>
          <w:bCs/>
          <w:i/>
          <w:iCs/>
        </w:rPr>
        <w:t>]</w:t>
      </w:r>
    </w:p>
    <w:p w14:paraId="1DF84931" w14:textId="4B50F168" w:rsidR="00C96D01" w:rsidRPr="004C7687" w:rsidRDefault="00C96D01" w:rsidP="00C96D01">
      <w:pPr>
        <w:pStyle w:val="Normalparatextwithnumbers"/>
        <w:numPr>
          <w:ilvl w:val="1"/>
          <w:numId w:val="2"/>
        </w:numPr>
        <w:spacing w:after="0"/>
      </w:pPr>
      <w:r w:rsidRPr="004C7687">
        <w:t>If a continuation determination is made in a financial year for an earlier</w:t>
      </w:r>
      <w:r w:rsidR="0008633B">
        <w:t xml:space="preserve"> project</w:t>
      </w:r>
      <w:r w:rsidRPr="004C7687">
        <w:t xml:space="preserve"> and a later project, and a person has an interest in the earlier</w:t>
      </w:r>
      <w:r w:rsidR="0008633B">
        <w:t xml:space="preserve"> project</w:t>
      </w:r>
      <w:r w:rsidRPr="004C7687">
        <w:t xml:space="preserve"> and later project, then the </w:t>
      </w:r>
      <w:r w:rsidR="00F11E67" w:rsidRPr="004C7687">
        <w:t>deductible expenditure</w:t>
      </w:r>
      <w:r w:rsidRPr="004C7687">
        <w:t xml:space="preserve"> that would have been </w:t>
      </w:r>
      <w:r w:rsidR="00F11E67" w:rsidRPr="004C7687">
        <w:t>incurred</w:t>
      </w:r>
      <w:r w:rsidRPr="004C7687">
        <w:t xml:space="preserve"> in that financial year by the person in relation to the earlier project </w:t>
      </w:r>
      <w:r w:rsidR="001A5EA8">
        <w:t>is</w:t>
      </w:r>
      <w:r w:rsidRPr="004C7687">
        <w:t xml:space="preserve"> taken to be </w:t>
      </w:r>
      <w:r w:rsidR="00E93AF9" w:rsidRPr="004C7687">
        <w:t>incurred</w:t>
      </w:r>
      <w:r w:rsidRPr="004C7687">
        <w:t xml:space="preserve"> by the person in relation to the later project.</w:t>
      </w:r>
    </w:p>
    <w:p w14:paraId="591C9E83" w14:textId="43EE09E4" w:rsidR="00C96D01" w:rsidRPr="004C7687" w:rsidRDefault="00C96D01" w:rsidP="00C96D01">
      <w:pPr>
        <w:pStyle w:val="Normalparatextwithnumbers"/>
        <w:numPr>
          <w:ilvl w:val="0"/>
          <w:numId w:val="0"/>
        </w:numPr>
        <w:spacing w:before="0"/>
        <w:ind w:left="709"/>
      </w:pPr>
      <w:r w:rsidRPr="004C7687">
        <w:rPr>
          <w:b/>
          <w:bCs/>
          <w:i/>
          <w:iCs/>
        </w:rPr>
        <w:t>[Schedule #, item 3, subsections 49</w:t>
      </w:r>
      <w:proofErr w:type="gramStart"/>
      <w:r w:rsidR="004C7687" w:rsidRPr="004C7687">
        <w:rPr>
          <w:b/>
          <w:bCs/>
          <w:i/>
          <w:iCs/>
        </w:rPr>
        <w:t>F</w:t>
      </w:r>
      <w:r w:rsidRPr="004C7687">
        <w:rPr>
          <w:b/>
          <w:bCs/>
          <w:i/>
          <w:iCs/>
        </w:rPr>
        <w:t>(</w:t>
      </w:r>
      <w:proofErr w:type="gramEnd"/>
      <w:r w:rsidRPr="004C7687">
        <w:rPr>
          <w:b/>
          <w:bCs/>
          <w:i/>
          <w:iCs/>
        </w:rPr>
        <w:t>1)]</w:t>
      </w:r>
    </w:p>
    <w:p w14:paraId="39F9ECE5" w14:textId="3E436C6A" w:rsidR="00C96D01" w:rsidRPr="004C7687" w:rsidRDefault="00C96D01" w:rsidP="00C96D01">
      <w:pPr>
        <w:pStyle w:val="Normalparatextwithnumbers"/>
        <w:numPr>
          <w:ilvl w:val="1"/>
          <w:numId w:val="2"/>
        </w:numPr>
        <w:spacing w:after="0"/>
      </w:pPr>
      <w:r w:rsidRPr="004C7687">
        <w:t>However, if a continuation determination is made in a financial year for an earlier</w:t>
      </w:r>
      <w:r w:rsidR="001A5EA8">
        <w:t xml:space="preserve"> project</w:t>
      </w:r>
      <w:r w:rsidRPr="004C7687">
        <w:t xml:space="preserve"> and later project, and a person has an interest in the earlier project but not the later project when the continuation determination is made, then the amount of </w:t>
      </w:r>
      <w:r w:rsidR="004B56C8" w:rsidRPr="004C7687">
        <w:t>deductible expenditure</w:t>
      </w:r>
      <w:r w:rsidRPr="004C7687">
        <w:t xml:space="preserve"> that would have been </w:t>
      </w:r>
      <w:r w:rsidR="004B56C8" w:rsidRPr="004C7687">
        <w:t>incurred</w:t>
      </w:r>
      <w:r w:rsidRPr="004C7687">
        <w:t xml:space="preserve"> in that financial year in relation to the earlier project by that person is deemed not to be </w:t>
      </w:r>
      <w:r w:rsidR="004B56C8" w:rsidRPr="004C7687">
        <w:t>incurred</w:t>
      </w:r>
      <w:r w:rsidRPr="004C7687">
        <w:t xml:space="preserve"> by that person. </w:t>
      </w:r>
    </w:p>
    <w:p w14:paraId="4401D6D9" w14:textId="175C6DF6" w:rsidR="00C96D01" w:rsidRPr="004C7687" w:rsidRDefault="00C96D01" w:rsidP="00C96D01">
      <w:pPr>
        <w:pStyle w:val="Normalparatextwithnumbers"/>
        <w:numPr>
          <w:ilvl w:val="0"/>
          <w:numId w:val="0"/>
        </w:numPr>
        <w:spacing w:before="0"/>
        <w:ind w:left="709"/>
        <w:rPr>
          <w:rStyle w:val="References"/>
        </w:rPr>
      </w:pPr>
      <w:r w:rsidRPr="004C7687">
        <w:rPr>
          <w:rStyle w:val="References"/>
        </w:rPr>
        <w:lastRenderedPageBreak/>
        <w:t>[Schedule #, item 3, paragraphs 49</w:t>
      </w:r>
      <w:r w:rsidR="004C7687" w:rsidRPr="004C7687">
        <w:rPr>
          <w:rStyle w:val="References"/>
        </w:rPr>
        <w:t>F</w:t>
      </w:r>
      <w:r w:rsidRPr="004C7687">
        <w:rPr>
          <w:rStyle w:val="References"/>
        </w:rPr>
        <w:t>(2)(a) to (d)]</w:t>
      </w:r>
    </w:p>
    <w:p w14:paraId="159C0B84" w14:textId="5DACE262" w:rsidR="00C96D01" w:rsidRPr="00860E07" w:rsidRDefault="00C96D01" w:rsidP="00C96D01">
      <w:pPr>
        <w:pStyle w:val="Normalparatextwithnumbers"/>
        <w:numPr>
          <w:ilvl w:val="1"/>
          <w:numId w:val="2"/>
        </w:numPr>
      </w:pPr>
      <w:r w:rsidRPr="004C7687">
        <w:t xml:space="preserve">Each person that has an interest in the later project when the continuation determination is made is taken to </w:t>
      </w:r>
      <w:r w:rsidR="0023759B" w:rsidRPr="004C7687">
        <w:t>incur</w:t>
      </w:r>
      <w:r w:rsidRPr="004C7687">
        <w:t xml:space="preserve">, in relation to the later project, a share of that amount of </w:t>
      </w:r>
      <w:r w:rsidR="00261891" w:rsidRPr="004C7687">
        <w:t>deductible expenditure</w:t>
      </w:r>
      <w:r w:rsidRPr="004C7687">
        <w:t xml:space="preserve">, which is equal to that amount multiplied by the person’s entitlement percentage for the later project. </w:t>
      </w:r>
      <w:r w:rsidRPr="004C7687">
        <w:br/>
      </w:r>
      <w:r w:rsidRPr="004C7687">
        <w:rPr>
          <w:b/>
          <w:bCs/>
          <w:i/>
          <w:iCs/>
        </w:rPr>
        <w:t>[Schedule #, item 3, paragraph 49</w:t>
      </w:r>
      <w:r w:rsidR="004C7687" w:rsidRPr="004C7687">
        <w:rPr>
          <w:b/>
          <w:bCs/>
          <w:i/>
          <w:iCs/>
        </w:rPr>
        <w:t>F</w:t>
      </w:r>
      <w:r w:rsidRPr="004C7687">
        <w:rPr>
          <w:b/>
          <w:bCs/>
          <w:i/>
          <w:iCs/>
        </w:rPr>
        <w:t>(2)(e)]</w:t>
      </w:r>
    </w:p>
    <w:p w14:paraId="6AA259B9" w14:textId="10B3FDB1" w:rsidR="00860E07" w:rsidRPr="00D2169D" w:rsidRDefault="00860E07" w:rsidP="00860E07">
      <w:pPr>
        <w:pStyle w:val="Normalparatextwithnumbers"/>
        <w:numPr>
          <w:ilvl w:val="1"/>
          <w:numId w:val="2"/>
        </w:numPr>
      </w:pPr>
      <w:r>
        <w:t>The amount of deductible expenditure includes</w:t>
      </w:r>
      <w:r w:rsidR="003D4630">
        <w:t xml:space="preserve"> unused</w:t>
      </w:r>
      <w:r>
        <w:t xml:space="preserve"> exploration expenditure. </w:t>
      </w:r>
      <w:r>
        <w:br/>
      </w:r>
      <w:r w:rsidRPr="000E6447">
        <w:rPr>
          <w:b/>
          <w:bCs/>
          <w:i/>
          <w:iCs/>
        </w:rPr>
        <w:t xml:space="preserve">[Schedule </w:t>
      </w:r>
      <w:r>
        <w:rPr>
          <w:b/>
          <w:bCs/>
          <w:i/>
          <w:iCs/>
        </w:rPr>
        <w:t>#</w:t>
      </w:r>
      <w:r w:rsidRPr="000E6447">
        <w:rPr>
          <w:b/>
          <w:bCs/>
          <w:i/>
          <w:iCs/>
        </w:rPr>
        <w:t xml:space="preserve">, item </w:t>
      </w:r>
      <w:r>
        <w:rPr>
          <w:b/>
          <w:bCs/>
          <w:i/>
          <w:iCs/>
        </w:rPr>
        <w:t>3</w:t>
      </w:r>
      <w:r w:rsidRPr="000E6447">
        <w:rPr>
          <w:b/>
          <w:bCs/>
          <w:i/>
          <w:iCs/>
        </w:rPr>
        <w:t>, section 49</w:t>
      </w:r>
      <w:r>
        <w:rPr>
          <w:b/>
          <w:bCs/>
          <w:i/>
          <w:iCs/>
        </w:rPr>
        <w:t>G</w:t>
      </w:r>
      <w:r w:rsidRPr="000E6447">
        <w:rPr>
          <w:b/>
          <w:bCs/>
          <w:i/>
          <w:iCs/>
        </w:rPr>
        <w:t>]</w:t>
      </w:r>
    </w:p>
    <w:p w14:paraId="401EB9ED" w14:textId="7565C715" w:rsidR="00591C00" w:rsidRDefault="00792E27" w:rsidP="008B1C1B">
      <w:pPr>
        <w:pStyle w:val="Normalparatextwithnumbers"/>
        <w:rPr>
          <w:rStyle w:val="References"/>
          <w:b w:val="0"/>
          <w:bCs w:val="0"/>
          <w:i w:val="0"/>
          <w:iCs w:val="0"/>
        </w:rPr>
      </w:pPr>
      <w:r w:rsidRPr="00C96D01" w:rsidDel="00CF4631">
        <w:t>A</w:t>
      </w:r>
      <w:r w:rsidRPr="00C96D01">
        <w:t xml:space="preserve"> </w:t>
      </w:r>
      <w:r>
        <w:t>person’s</w:t>
      </w:r>
      <w:r w:rsidR="00146BF5">
        <w:t xml:space="preserve"> entitlement percentage </w:t>
      </w:r>
      <w:r w:rsidR="006B2A7D">
        <w:t>for a later project</w:t>
      </w:r>
      <w:r>
        <w:t xml:space="preserve"> is</w:t>
      </w:r>
      <w:r w:rsidR="00AB278C">
        <w:t xml:space="preserve"> the</w:t>
      </w:r>
      <w:r w:rsidR="00274D9B">
        <w:t xml:space="preserve"> </w:t>
      </w:r>
      <w:r w:rsidR="000538F5">
        <w:t xml:space="preserve">proportion </w:t>
      </w:r>
      <w:r w:rsidR="00274D9B">
        <w:t xml:space="preserve">of </w:t>
      </w:r>
      <w:r w:rsidR="00B304AA">
        <w:t xml:space="preserve">the </w:t>
      </w:r>
      <w:r w:rsidR="00836D68">
        <w:t>petroleum</w:t>
      </w:r>
      <w:r w:rsidR="000538F5">
        <w:t xml:space="preserve"> or marketable petroleum commodities</w:t>
      </w:r>
      <w:r w:rsidR="00BB7C9F">
        <w:t xml:space="preserve"> produced from petroleum</w:t>
      </w:r>
      <w:r w:rsidR="00AB278C">
        <w:t xml:space="preserve"> </w:t>
      </w:r>
      <w:r w:rsidR="00CF4631">
        <w:t>recovered from the production licence area</w:t>
      </w:r>
      <w:r w:rsidR="002839F5">
        <w:t xml:space="preserve"> in relation to the later project</w:t>
      </w:r>
      <w:r w:rsidR="00CF4631">
        <w:t xml:space="preserve"> </w:t>
      </w:r>
      <w:r w:rsidR="00591C00">
        <w:t xml:space="preserve">that the person is entitled to </w:t>
      </w:r>
      <w:r w:rsidR="002839F5">
        <w:t>when</w:t>
      </w:r>
      <w:r w:rsidR="00597EF2">
        <w:t xml:space="preserve"> the continuation </w:t>
      </w:r>
      <w:r w:rsidR="00735DDD">
        <w:t xml:space="preserve">determination is made. </w:t>
      </w:r>
      <w:r w:rsidR="00A875AF">
        <w:t xml:space="preserve">The reference to </w:t>
      </w:r>
      <w:r w:rsidR="006862CE" w:rsidRPr="006862CE">
        <w:t>“production licence area or areas” ensure</w:t>
      </w:r>
      <w:r w:rsidR="003E0FB7">
        <w:t>s</w:t>
      </w:r>
      <w:r w:rsidR="006862CE" w:rsidRPr="006862CE">
        <w:t xml:space="preserve"> combined projects </w:t>
      </w:r>
      <w:r w:rsidR="002C2BF2">
        <w:t xml:space="preserve">are also captured, given that </w:t>
      </w:r>
      <w:r w:rsidR="006862CE" w:rsidRPr="006862CE">
        <w:t xml:space="preserve">combined projects may </w:t>
      </w:r>
      <w:r w:rsidR="002C2BF2">
        <w:t xml:space="preserve">have more than </w:t>
      </w:r>
      <w:r w:rsidR="006862CE" w:rsidRPr="006862CE">
        <w:t>one production licence area.</w:t>
      </w:r>
      <w:r w:rsidR="00591C00">
        <w:br/>
      </w:r>
      <w:r w:rsidR="00591C00" w:rsidRPr="00591C00">
        <w:rPr>
          <w:rStyle w:val="References"/>
        </w:rPr>
        <w:t>[Schedule #, item 3, section 49J]</w:t>
      </w:r>
    </w:p>
    <w:p w14:paraId="2A1175CF" w14:textId="528C21C0" w:rsidR="00B6054F" w:rsidRDefault="002423CC" w:rsidP="00B6054F">
      <w:pPr>
        <w:pStyle w:val="Normalparatextwithnumbers"/>
        <w:numPr>
          <w:ilvl w:val="1"/>
          <w:numId w:val="2"/>
        </w:numPr>
      </w:pPr>
      <w:r>
        <w:t xml:space="preserve">To ensure that the sum </w:t>
      </w:r>
      <w:r w:rsidR="001D5B96">
        <w:t>of the shares</w:t>
      </w:r>
      <w:r w:rsidR="00363CD5">
        <w:t xml:space="preserve"> of amounts</w:t>
      </w:r>
      <w:r w:rsidR="0002567A">
        <w:t xml:space="preserve"> of assessable receipts and deductible expenditure</w:t>
      </w:r>
      <w:r w:rsidR="00BF26C8">
        <w:t xml:space="preserve"> in relation to the later project</w:t>
      </w:r>
      <w:r w:rsidR="0002567A">
        <w:t xml:space="preserve"> equal those amounts</w:t>
      </w:r>
      <w:r w:rsidR="00BF26C8">
        <w:t xml:space="preserve">, the Commissioner may </w:t>
      </w:r>
      <w:proofErr w:type="gramStart"/>
      <w:r w:rsidR="00BF26C8">
        <w:t>make adjust</w:t>
      </w:r>
      <w:r w:rsidR="00D215A3">
        <w:t>ments to</w:t>
      </w:r>
      <w:proofErr w:type="gramEnd"/>
      <w:r w:rsidR="00D215A3">
        <w:t xml:space="preserve"> a person’s share.</w:t>
      </w:r>
      <w:r w:rsidR="00B6054F">
        <w:br/>
      </w:r>
      <w:r w:rsidR="00B6054F" w:rsidRPr="00E5630B">
        <w:rPr>
          <w:b/>
          <w:bCs/>
          <w:i/>
          <w:iCs/>
        </w:rPr>
        <w:t xml:space="preserve">[Schedule </w:t>
      </w:r>
      <w:r w:rsidR="00B6054F">
        <w:rPr>
          <w:b/>
          <w:bCs/>
          <w:i/>
          <w:iCs/>
        </w:rPr>
        <w:t>#</w:t>
      </w:r>
      <w:r w:rsidR="00B6054F" w:rsidRPr="000E6447">
        <w:rPr>
          <w:b/>
          <w:bCs/>
          <w:i/>
          <w:iCs/>
        </w:rPr>
        <w:t>,</w:t>
      </w:r>
      <w:r w:rsidR="00B6054F" w:rsidRPr="00E5630B">
        <w:rPr>
          <w:b/>
          <w:bCs/>
          <w:i/>
          <w:iCs/>
        </w:rPr>
        <w:t xml:space="preserve"> item </w:t>
      </w:r>
      <w:r w:rsidR="00B6054F">
        <w:rPr>
          <w:b/>
          <w:bCs/>
          <w:i/>
          <w:iCs/>
        </w:rPr>
        <w:t>3</w:t>
      </w:r>
      <w:r w:rsidR="00B6054F" w:rsidRPr="00E5630B">
        <w:rPr>
          <w:b/>
          <w:bCs/>
          <w:i/>
          <w:iCs/>
        </w:rPr>
        <w:t xml:space="preserve">, </w:t>
      </w:r>
      <w:r w:rsidR="00B6054F" w:rsidRPr="000E6447">
        <w:rPr>
          <w:b/>
          <w:bCs/>
          <w:i/>
          <w:iCs/>
        </w:rPr>
        <w:t>section</w:t>
      </w:r>
      <w:r w:rsidR="00B6054F">
        <w:rPr>
          <w:b/>
          <w:bCs/>
          <w:i/>
          <w:iCs/>
        </w:rPr>
        <w:t>s</w:t>
      </w:r>
      <w:r w:rsidR="00B6054F" w:rsidRPr="000E6447">
        <w:rPr>
          <w:b/>
          <w:bCs/>
          <w:i/>
          <w:iCs/>
        </w:rPr>
        <w:t xml:space="preserve"> 49</w:t>
      </w:r>
      <w:r w:rsidR="00B6054F">
        <w:rPr>
          <w:b/>
          <w:bCs/>
          <w:i/>
          <w:iCs/>
        </w:rPr>
        <w:t>E,</w:t>
      </w:r>
      <w:r w:rsidR="00CB5DE2">
        <w:rPr>
          <w:b/>
          <w:bCs/>
          <w:i/>
          <w:iCs/>
        </w:rPr>
        <w:t xml:space="preserve"> 49F,</w:t>
      </w:r>
      <w:r w:rsidR="00B6054F">
        <w:rPr>
          <w:b/>
          <w:bCs/>
          <w:i/>
          <w:iCs/>
        </w:rPr>
        <w:t xml:space="preserve"> 49G and 49K</w:t>
      </w:r>
      <w:r w:rsidR="00B6054F" w:rsidRPr="00E5630B">
        <w:rPr>
          <w:b/>
          <w:bCs/>
          <w:i/>
          <w:iCs/>
        </w:rPr>
        <w:t>]</w:t>
      </w:r>
    </w:p>
    <w:p w14:paraId="528E9980" w14:textId="2EBCDABD" w:rsidR="006D6B10" w:rsidRDefault="00415C17" w:rsidP="00415C17">
      <w:pPr>
        <w:pStyle w:val="Normalparatextwithnumbers"/>
      </w:pPr>
      <w:r w:rsidRPr="006A0095">
        <w:t xml:space="preserve">The </w:t>
      </w:r>
      <w:r>
        <w:t>deeming of assessable receipts derived and deductible expenditure incurred by the person in relation to the later project and the financial year when the continuation determination is made is intended to allow assessable receipts derived and deductible expenditure incurred in</w:t>
      </w:r>
      <w:r w:rsidR="00965747">
        <w:t xml:space="preserve"> relation to</w:t>
      </w:r>
      <w:r>
        <w:t xml:space="preserve"> the earlier project in that financial year to be accounted for in the later project for that particular financial</w:t>
      </w:r>
      <w:r w:rsidR="00F912F1">
        <w:t xml:space="preserve"> year</w:t>
      </w:r>
      <w:r>
        <w:t xml:space="preserve"> for the purposes of determining any taxable profit in relation to the </w:t>
      </w:r>
      <w:r w:rsidR="00FB057E">
        <w:t>later</w:t>
      </w:r>
      <w:r>
        <w:t xml:space="preserve"> project for that financial year.</w:t>
      </w:r>
    </w:p>
    <w:p w14:paraId="784F402C" w14:textId="609F884E" w:rsidR="00081A18" w:rsidRPr="00081A18" w:rsidRDefault="00081A18" w:rsidP="00081A18">
      <w:pPr>
        <w:pStyle w:val="Heading6"/>
        <w:spacing w:after="240"/>
        <w:rPr>
          <w:rFonts w:ascii="Helvitica" w:hAnsi="Helvitica" w:hint="eastAsia"/>
          <w:iCs w:val="0"/>
          <w:color w:val="auto"/>
        </w:rPr>
      </w:pPr>
      <w:r w:rsidRPr="00081A18">
        <w:rPr>
          <w:rFonts w:ascii="Helvitica" w:hAnsi="Helvitica"/>
          <w:iCs w:val="0"/>
          <w:color w:val="auto"/>
        </w:rPr>
        <w:t xml:space="preserve">Effect of </w:t>
      </w:r>
      <w:r w:rsidR="00AD3201">
        <w:rPr>
          <w:rFonts w:ascii="Helvitica" w:hAnsi="Helvitica"/>
          <w:iCs w:val="0"/>
          <w:color w:val="auto"/>
        </w:rPr>
        <w:t>Continuation Determination</w:t>
      </w:r>
      <w:r w:rsidRPr="00081A18">
        <w:rPr>
          <w:rFonts w:ascii="Helvitica" w:hAnsi="Helvitica"/>
          <w:iCs w:val="0"/>
          <w:color w:val="auto"/>
        </w:rPr>
        <w:t xml:space="preserve"> on</w:t>
      </w:r>
      <w:r w:rsidR="00EC795B">
        <w:rPr>
          <w:rFonts w:ascii="Helvitica" w:hAnsi="Helvitica"/>
          <w:iCs w:val="0"/>
          <w:color w:val="auto"/>
        </w:rPr>
        <w:t xml:space="preserve"> Deductions Cap</w:t>
      </w:r>
      <w:r w:rsidR="008C2967">
        <w:rPr>
          <w:rFonts w:ascii="Helvitica" w:hAnsi="Helvitica"/>
          <w:iCs w:val="0"/>
          <w:color w:val="auto"/>
        </w:rPr>
        <w:t xml:space="preserve"> Exemption and</w:t>
      </w:r>
      <w:r w:rsidR="00D414A5">
        <w:rPr>
          <w:rFonts w:ascii="Helvitica" w:hAnsi="Helvitica"/>
          <w:iCs w:val="0"/>
          <w:color w:val="auto"/>
        </w:rPr>
        <w:t xml:space="preserve"> </w:t>
      </w:r>
      <w:r w:rsidRPr="00081A18">
        <w:rPr>
          <w:rFonts w:ascii="Helvitica" w:hAnsi="Helvitica"/>
          <w:iCs w:val="0"/>
          <w:color w:val="auto"/>
        </w:rPr>
        <w:t xml:space="preserve">PRRT </w:t>
      </w:r>
      <w:r w:rsidR="00AD3201">
        <w:rPr>
          <w:rFonts w:ascii="Helvitica" w:hAnsi="Helvitica"/>
          <w:iCs w:val="0"/>
          <w:color w:val="auto"/>
        </w:rPr>
        <w:t>P</w:t>
      </w:r>
      <w:r w:rsidRPr="00081A18">
        <w:rPr>
          <w:rFonts w:ascii="Helvitica" w:hAnsi="Helvitica"/>
          <w:iCs w:val="0"/>
          <w:color w:val="auto"/>
        </w:rPr>
        <w:t xml:space="preserve">aid </w:t>
      </w:r>
    </w:p>
    <w:p w14:paraId="135DE228" w14:textId="68A716AB" w:rsidR="00081A18" w:rsidRPr="00C1658C" w:rsidRDefault="00081A18" w:rsidP="00081A18">
      <w:pPr>
        <w:pStyle w:val="Normalparatextwithnumbers"/>
        <w:rPr>
          <w:rStyle w:val="References"/>
          <w:b w:val="0"/>
          <w:bCs w:val="0"/>
          <w:i w:val="0"/>
          <w:iCs w:val="0"/>
        </w:rPr>
      </w:pPr>
      <w:r>
        <w:t>T</w:t>
      </w:r>
      <w:r w:rsidRPr="009519F8">
        <w:t>he deductions cap exemption</w:t>
      </w:r>
      <w:r w:rsidR="00240948">
        <w:t xml:space="preserve"> under paragraph </w:t>
      </w:r>
      <w:r w:rsidR="00006291">
        <w:t>22(5)(a)</w:t>
      </w:r>
      <w:r w:rsidRPr="009519F8">
        <w:t xml:space="preserve"> appl</w:t>
      </w:r>
      <w:r>
        <w:t xml:space="preserve">ies </w:t>
      </w:r>
      <w:r w:rsidRPr="009519F8">
        <w:t xml:space="preserve">from the </w:t>
      </w:r>
      <w:r>
        <w:t>first</w:t>
      </w:r>
      <w:r w:rsidR="002A64F9">
        <w:t xml:space="preserve"> financial</w:t>
      </w:r>
      <w:r>
        <w:t xml:space="preserve"> year</w:t>
      </w:r>
      <w:r w:rsidR="002A64F9">
        <w:t xml:space="preserve"> when assessable petroleum receipts were derived</w:t>
      </w:r>
      <w:r w:rsidR="00EF1CF2">
        <w:t xml:space="preserve"> by any person in relation to</w:t>
      </w:r>
      <w:r>
        <w:t xml:space="preserve"> the </w:t>
      </w:r>
      <w:r w:rsidRPr="009519F8">
        <w:t>earlier</w:t>
      </w:r>
      <w:r>
        <w:t xml:space="preserve"> project. </w:t>
      </w:r>
      <w:r>
        <w:br/>
      </w:r>
      <w:r w:rsidRPr="009519F8">
        <w:rPr>
          <w:rStyle w:val="References"/>
        </w:rPr>
        <w:t>[Schedule #, item 2, subsection 22(6)]</w:t>
      </w:r>
    </w:p>
    <w:p w14:paraId="6E72917A" w14:textId="3A04DA1D" w:rsidR="00C1658C" w:rsidRPr="009559A6" w:rsidRDefault="009B51A8" w:rsidP="00C1658C">
      <w:pPr>
        <w:pStyle w:val="Normalparatextwithnumbers"/>
        <w:rPr>
          <w:rStyle w:val="References"/>
          <w:b w:val="0"/>
          <w:bCs w:val="0"/>
          <w:i w:val="0"/>
          <w:iCs w:val="0"/>
        </w:rPr>
      </w:pPr>
      <w:r>
        <w:t>Consistent with allowing</w:t>
      </w:r>
      <w:r w:rsidR="00DD221F">
        <w:t xml:space="preserve"> the</w:t>
      </w:r>
      <w:r>
        <w:t xml:space="preserve"> </w:t>
      </w:r>
      <w:r w:rsidR="00DD7F00">
        <w:t xml:space="preserve">deductible </w:t>
      </w:r>
      <w:r>
        <w:t>expen</w:t>
      </w:r>
      <w:r w:rsidR="00DD7F00">
        <w:t>ditur</w:t>
      </w:r>
      <w:r>
        <w:t xml:space="preserve">e of an earlier project to be used by a later project, </w:t>
      </w:r>
      <w:r w:rsidR="008D3EF0">
        <w:t>in limited circumstances</w:t>
      </w:r>
      <w:r w:rsidR="006102FB">
        <w:t>,</w:t>
      </w:r>
      <w:r w:rsidR="00243A84">
        <w:t xml:space="preserve"> </w:t>
      </w:r>
      <w:r w:rsidR="00BD2113">
        <w:t>an excess tax amount</w:t>
      </w:r>
      <w:r w:rsidR="00877316">
        <w:t xml:space="preserve"> for a person</w:t>
      </w:r>
      <w:r>
        <w:t xml:space="preserve"> in relation to </w:t>
      </w:r>
      <w:r w:rsidRPr="00115DFF">
        <w:t xml:space="preserve">the earlier project </w:t>
      </w:r>
      <w:r w:rsidR="00DD7F00">
        <w:t>may</w:t>
      </w:r>
      <w:r w:rsidRPr="00115DFF">
        <w:t xml:space="preserve"> </w:t>
      </w:r>
      <w:r w:rsidR="008D3EF0">
        <w:t>be used in determining</w:t>
      </w:r>
      <w:r w:rsidR="00F34B58">
        <w:t xml:space="preserve"> the</w:t>
      </w:r>
      <w:r w:rsidR="008D3EF0">
        <w:t xml:space="preserve"> entitlement of a credit in respect of </w:t>
      </w:r>
      <w:proofErr w:type="gramStart"/>
      <w:r w:rsidR="008D3EF0">
        <w:t>closing down</w:t>
      </w:r>
      <w:proofErr w:type="gramEnd"/>
      <w:r w:rsidR="008D3EF0">
        <w:t xml:space="preserve"> expenditures in relation to the later project</w:t>
      </w:r>
      <w:r w:rsidRPr="009519F8">
        <w:t>.</w:t>
      </w:r>
      <w:r>
        <w:t xml:space="preserve"> This amount is only </w:t>
      </w:r>
      <w:proofErr w:type="gramStart"/>
      <w:r>
        <w:t>taken into account</w:t>
      </w:r>
      <w:proofErr w:type="gramEnd"/>
      <w:r>
        <w:t xml:space="preserve"> in a later project if a person has an interest in both the earlier project and later project. </w:t>
      </w:r>
      <w:r>
        <w:br/>
      </w:r>
      <w:r w:rsidRPr="00115DFF">
        <w:rPr>
          <w:rStyle w:val="References"/>
        </w:rPr>
        <w:t>[Schedule #, item 3, section 49</w:t>
      </w:r>
      <w:proofErr w:type="gramStart"/>
      <w:r w:rsidRPr="00115DFF">
        <w:rPr>
          <w:rStyle w:val="References"/>
        </w:rPr>
        <w:t>H</w:t>
      </w:r>
      <w:r>
        <w:rPr>
          <w:rStyle w:val="References"/>
        </w:rPr>
        <w:t>(</w:t>
      </w:r>
      <w:proofErr w:type="gramEnd"/>
      <w:r>
        <w:rPr>
          <w:rStyle w:val="References"/>
        </w:rPr>
        <w:t>1)</w:t>
      </w:r>
      <w:r w:rsidRPr="00115DFF">
        <w:rPr>
          <w:rStyle w:val="References"/>
        </w:rPr>
        <w:t>]</w:t>
      </w:r>
    </w:p>
    <w:p w14:paraId="5BD42653" w14:textId="02F1B438" w:rsidR="009559A6" w:rsidRPr="000C7D07" w:rsidRDefault="00CC2C08" w:rsidP="00C1658C">
      <w:pPr>
        <w:pStyle w:val="Normalparatextwithnumbers"/>
        <w:rPr>
          <w:rStyle w:val="References"/>
          <w:b w:val="0"/>
          <w:bCs w:val="0"/>
          <w:i w:val="0"/>
          <w:iCs w:val="0"/>
        </w:rPr>
      </w:pPr>
      <w:r>
        <w:lastRenderedPageBreak/>
        <w:t>An e</w:t>
      </w:r>
      <w:r w:rsidR="009559A6">
        <w:t>xcess tax</w:t>
      </w:r>
      <w:r>
        <w:t xml:space="preserve"> amount</w:t>
      </w:r>
      <w:r w:rsidR="009559A6">
        <w:t xml:space="preserve"> for a person in relation to a financial year and the earlier project is the difference between the total amount of tax paid or payable and the total amount of any credits allowed or allowable to the person</w:t>
      </w:r>
      <w:r w:rsidR="0067375C">
        <w:t xml:space="preserve"> under section 46</w:t>
      </w:r>
      <w:r w:rsidR="009559A6">
        <w:t>. If the difference is negative, then the amount is nil.</w:t>
      </w:r>
      <w:r w:rsidR="009559A6">
        <w:br/>
      </w:r>
      <w:r w:rsidR="009559A6">
        <w:rPr>
          <w:rStyle w:val="References"/>
        </w:rPr>
        <w:t>[Schedule #, item 3, subsection 48</w:t>
      </w:r>
      <w:proofErr w:type="gramStart"/>
      <w:r w:rsidR="009559A6">
        <w:rPr>
          <w:rStyle w:val="References"/>
        </w:rPr>
        <w:t>H(</w:t>
      </w:r>
      <w:proofErr w:type="gramEnd"/>
      <w:r w:rsidR="009559A6">
        <w:rPr>
          <w:rStyle w:val="References"/>
        </w:rPr>
        <w:t>2)]</w:t>
      </w:r>
    </w:p>
    <w:p w14:paraId="1D3C00CE" w14:textId="77777777" w:rsidR="00245B6C" w:rsidRPr="000E6447" w:rsidRDefault="00245B6C" w:rsidP="00081A18">
      <w:pPr>
        <w:pStyle w:val="Heading6"/>
        <w:spacing w:after="240"/>
        <w:rPr>
          <w:color w:val="auto"/>
        </w:rPr>
      </w:pPr>
      <w:r w:rsidRPr="000E6447">
        <w:rPr>
          <w:rFonts w:ascii="Helvitica" w:hAnsi="Helvitica"/>
          <w:color w:val="auto"/>
        </w:rPr>
        <w:t>Amendment or Revocation etc of Determination</w:t>
      </w:r>
    </w:p>
    <w:p w14:paraId="6F205355" w14:textId="77777777" w:rsidR="004A3B22" w:rsidRDefault="00245B6C" w:rsidP="004A3B22">
      <w:pPr>
        <w:pStyle w:val="Normalparatextwithnumbers"/>
        <w:spacing w:after="0"/>
        <w:rPr>
          <w:rStyle w:val="References"/>
          <w:b w:val="0"/>
          <w:bCs w:val="0"/>
          <w:i w:val="0"/>
          <w:iCs w:val="0"/>
        </w:rPr>
      </w:pPr>
      <w:r w:rsidRPr="00C66ED0">
        <w:rPr>
          <w:rStyle w:val="References"/>
          <w:b w:val="0"/>
          <w:bCs w:val="0"/>
          <w:i w:val="0"/>
          <w:iCs w:val="0"/>
        </w:rPr>
        <w:t>The</w:t>
      </w:r>
      <w:r>
        <w:rPr>
          <w:rStyle w:val="References"/>
          <w:b w:val="0"/>
          <w:bCs w:val="0"/>
          <w:i w:val="0"/>
          <w:iCs w:val="0"/>
        </w:rPr>
        <w:t xml:space="preserve"> continuation </w:t>
      </w:r>
      <w:r w:rsidRPr="00C66ED0">
        <w:rPr>
          <w:rStyle w:val="References"/>
          <w:b w:val="0"/>
          <w:bCs w:val="0"/>
          <w:i w:val="0"/>
          <w:iCs w:val="0"/>
        </w:rPr>
        <w:t xml:space="preserve">determination, once made, </w:t>
      </w:r>
      <w:r w:rsidR="009A4D20">
        <w:rPr>
          <w:rStyle w:val="References"/>
          <w:b w:val="0"/>
          <w:bCs w:val="0"/>
          <w:i w:val="0"/>
          <w:iCs w:val="0"/>
        </w:rPr>
        <w:t>may</w:t>
      </w:r>
      <w:r w:rsidR="009A4D20" w:rsidRPr="00C66ED0">
        <w:rPr>
          <w:rStyle w:val="References"/>
          <w:b w:val="0"/>
          <w:bCs w:val="0"/>
          <w:i w:val="0"/>
          <w:iCs w:val="0"/>
        </w:rPr>
        <w:t xml:space="preserve"> </w:t>
      </w:r>
      <w:r w:rsidRPr="00C66ED0">
        <w:rPr>
          <w:rStyle w:val="References"/>
          <w:b w:val="0"/>
          <w:bCs w:val="0"/>
          <w:i w:val="0"/>
          <w:iCs w:val="0"/>
        </w:rPr>
        <w:t>only be amended, varied, revoked, repealed or rescinded in limited circumstances.</w:t>
      </w:r>
    </w:p>
    <w:p w14:paraId="6BF9E316" w14:textId="47B7BED2" w:rsidR="008716D6" w:rsidRPr="004A3B22" w:rsidRDefault="008716D6" w:rsidP="004A3B22">
      <w:pPr>
        <w:pStyle w:val="Normalparatextwithnumbers"/>
        <w:numPr>
          <w:ilvl w:val="0"/>
          <w:numId w:val="0"/>
        </w:numPr>
        <w:spacing w:before="0"/>
        <w:ind w:left="709"/>
        <w:rPr>
          <w:rStyle w:val="References"/>
          <w:b w:val="0"/>
          <w:bCs w:val="0"/>
          <w:i w:val="0"/>
          <w:iCs w:val="0"/>
        </w:rPr>
      </w:pPr>
      <w:r w:rsidRPr="004A3B22">
        <w:rPr>
          <w:b/>
          <w:bCs/>
          <w:i/>
          <w:iCs/>
        </w:rPr>
        <w:t>[Schedule #, item 3, subsection 49</w:t>
      </w:r>
      <w:proofErr w:type="gramStart"/>
      <w:r w:rsidRPr="004A3B22">
        <w:rPr>
          <w:b/>
          <w:bCs/>
          <w:i/>
          <w:iCs/>
        </w:rPr>
        <w:t>L(</w:t>
      </w:r>
      <w:proofErr w:type="gramEnd"/>
      <w:r w:rsidRPr="004A3B22">
        <w:rPr>
          <w:b/>
          <w:bCs/>
          <w:i/>
          <w:iCs/>
        </w:rPr>
        <w:t>1)]</w:t>
      </w:r>
    </w:p>
    <w:p w14:paraId="36DA05CD" w14:textId="6476026C" w:rsidR="00245B6C" w:rsidRPr="000E6447" w:rsidRDefault="007606BB" w:rsidP="000E6447">
      <w:pPr>
        <w:pStyle w:val="Normalparatextwithnumbers"/>
        <w:rPr>
          <w:rStyle w:val="References"/>
          <w:b w:val="0"/>
          <w:i w:val="0"/>
        </w:rPr>
      </w:pPr>
      <w:r>
        <w:rPr>
          <w:rStyle w:val="References"/>
          <w:b w:val="0"/>
          <w:bCs w:val="0"/>
          <w:i w:val="0"/>
          <w:iCs w:val="0"/>
        </w:rPr>
        <w:t xml:space="preserve">A </w:t>
      </w:r>
      <w:r w:rsidR="00D1505D">
        <w:rPr>
          <w:rStyle w:val="References"/>
          <w:b w:val="0"/>
          <w:bCs w:val="0"/>
          <w:i w:val="0"/>
          <w:iCs w:val="0"/>
        </w:rPr>
        <w:t>continuation</w:t>
      </w:r>
      <w:r w:rsidR="00245B6C">
        <w:rPr>
          <w:rStyle w:val="References"/>
          <w:b w:val="0"/>
          <w:bCs w:val="0"/>
          <w:i w:val="0"/>
          <w:iCs w:val="0"/>
        </w:rPr>
        <w:t xml:space="preserve"> determination must be revoked if</w:t>
      </w:r>
      <w:r w:rsidR="00245B6C" w:rsidRPr="00C66ED0">
        <w:rPr>
          <w:rStyle w:val="References"/>
          <w:b w:val="0"/>
          <w:bCs w:val="0"/>
          <w:i w:val="0"/>
          <w:iCs w:val="0"/>
        </w:rPr>
        <w:t xml:space="preserve"> information</w:t>
      </w:r>
      <w:r w:rsidR="00245B6C">
        <w:rPr>
          <w:rStyle w:val="References"/>
          <w:b w:val="0"/>
          <w:bCs w:val="0"/>
          <w:i w:val="0"/>
          <w:iCs w:val="0"/>
        </w:rPr>
        <w:t xml:space="preserve"> which was not available to the Commissioner at the time of making the determination later becomes available and, if the Commissioner had been aware of this information at the time of making the determination, the Commissioner would not have made the determination. In such cases, t</w:t>
      </w:r>
      <w:r w:rsidR="00245B6C" w:rsidRPr="00C66ED0">
        <w:rPr>
          <w:rStyle w:val="References"/>
          <w:b w:val="0"/>
          <w:bCs w:val="0"/>
          <w:i w:val="0"/>
          <w:iCs w:val="0"/>
        </w:rPr>
        <w:t>he determination is taken never to have been made.</w:t>
      </w:r>
      <w:r w:rsidR="000E6447">
        <w:rPr>
          <w:rStyle w:val="References"/>
          <w:b w:val="0"/>
          <w:bCs w:val="0"/>
          <w:i w:val="0"/>
          <w:iCs w:val="0"/>
        </w:rPr>
        <w:br/>
      </w:r>
      <w:r w:rsidR="00245B6C" w:rsidRPr="00E5630B">
        <w:rPr>
          <w:b/>
          <w:bCs/>
          <w:i/>
          <w:iCs/>
        </w:rPr>
        <w:t xml:space="preserve">[Schedule </w:t>
      </w:r>
      <w:r w:rsidR="000E6447">
        <w:rPr>
          <w:b/>
          <w:bCs/>
          <w:i/>
          <w:iCs/>
        </w:rPr>
        <w:t>#</w:t>
      </w:r>
      <w:r w:rsidR="00B13CA3" w:rsidRPr="000E6447">
        <w:rPr>
          <w:b/>
          <w:bCs/>
          <w:i/>
          <w:iCs/>
        </w:rPr>
        <w:t>,</w:t>
      </w:r>
      <w:r w:rsidR="00245B6C" w:rsidRPr="00E5630B">
        <w:rPr>
          <w:b/>
          <w:bCs/>
          <w:i/>
          <w:iCs/>
        </w:rPr>
        <w:t xml:space="preserve"> item </w:t>
      </w:r>
      <w:r w:rsidR="00C82C23">
        <w:rPr>
          <w:b/>
          <w:bCs/>
          <w:i/>
          <w:iCs/>
        </w:rPr>
        <w:t>3</w:t>
      </w:r>
      <w:r w:rsidR="00245B6C" w:rsidRPr="00E5630B">
        <w:rPr>
          <w:b/>
          <w:bCs/>
          <w:i/>
          <w:iCs/>
        </w:rPr>
        <w:t xml:space="preserve">, </w:t>
      </w:r>
      <w:r w:rsidR="00245B6C">
        <w:rPr>
          <w:b/>
          <w:bCs/>
          <w:i/>
          <w:iCs/>
        </w:rPr>
        <w:t>sub</w:t>
      </w:r>
      <w:r w:rsidR="00245B6C" w:rsidRPr="00E5630B">
        <w:rPr>
          <w:b/>
          <w:bCs/>
          <w:i/>
          <w:iCs/>
        </w:rPr>
        <w:t xml:space="preserve">section </w:t>
      </w:r>
      <w:r w:rsidR="00245B6C" w:rsidRPr="000E6447">
        <w:rPr>
          <w:b/>
          <w:bCs/>
          <w:i/>
          <w:iCs/>
        </w:rPr>
        <w:t>49</w:t>
      </w:r>
      <w:proofErr w:type="gramStart"/>
      <w:r w:rsidR="00BA0222">
        <w:rPr>
          <w:b/>
          <w:bCs/>
          <w:i/>
          <w:iCs/>
        </w:rPr>
        <w:t>L</w:t>
      </w:r>
      <w:r w:rsidR="00245B6C">
        <w:rPr>
          <w:b/>
          <w:bCs/>
          <w:i/>
          <w:iCs/>
        </w:rPr>
        <w:t>(</w:t>
      </w:r>
      <w:proofErr w:type="gramEnd"/>
      <w:r w:rsidR="00245B6C">
        <w:rPr>
          <w:b/>
          <w:bCs/>
          <w:i/>
          <w:iCs/>
        </w:rPr>
        <w:t>2</w:t>
      </w:r>
      <w:r w:rsidR="00190F55" w:rsidRPr="000E6447">
        <w:rPr>
          <w:b/>
          <w:bCs/>
          <w:i/>
          <w:iCs/>
        </w:rPr>
        <w:t>)</w:t>
      </w:r>
      <w:r w:rsidR="00B13CA3" w:rsidRPr="000E6447">
        <w:rPr>
          <w:b/>
          <w:bCs/>
          <w:i/>
          <w:iCs/>
        </w:rPr>
        <w:t>]</w:t>
      </w:r>
    </w:p>
    <w:p w14:paraId="331BC9E0" w14:textId="3C6FEF9A" w:rsidR="00245B6C" w:rsidRDefault="00245B6C" w:rsidP="000E6447">
      <w:pPr>
        <w:pStyle w:val="Normalparatextwithnumbers"/>
        <w:rPr>
          <w:rStyle w:val="References"/>
          <w:b w:val="0"/>
          <w:bCs w:val="0"/>
          <w:i w:val="0"/>
          <w:iCs w:val="0"/>
        </w:rPr>
      </w:pPr>
      <w:r>
        <w:rPr>
          <w:rStyle w:val="References"/>
          <w:b w:val="0"/>
          <w:bCs w:val="0"/>
          <w:i w:val="0"/>
          <w:iCs w:val="0"/>
        </w:rPr>
        <w:t>If a determination is repealed, rescinded or revoked by a Court or Tribunal, then that determination is taken never to have been made.</w:t>
      </w:r>
      <w:r w:rsidR="004B13C7">
        <w:rPr>
          <w:rStyle w:val="References"/>
          <w:b w:val="0"/>
          <w:bCs w:val="0"/>
          <w:i w:val="0"/>
          <w:iCs w:val="0"/>
        </w:rPr>
        <w:t xml:space="preserve"> </w:t>
      </w:r>
      <w:r w:rsidR="000E6447">
        <w:rPr>
          <w:rStyle w:val="References"/>
          <w:b w:val="0"/>
          <w:bCs w:val="0"/>
          <w:i w:val="0"/>
          <w:iCs w:val="0"/>
        </w:rPr>
        <w:br/>
      </w:r>
      <w:r w:rsidRPr="00E5630B">
        <w:rPr>
          <w:b/>
          <w:bCs/>
          <w:i/>
          <w:iCs/>
        </w:rPr>
        <w:t xml:space="preserve">[Schedule </w:t>
      </w:r>
      <w:r w:rsidR="000E6447">
        <w:rPr>
          <w:b/>
          <w:bCs/>
          <w:i/>
          <w:iCs/>
        </w:rPr>
        <w:t>#</w:t>
      </w:r>
      <w:r w:rsidR="00190F55" w:rsidRPr="000E6447">
        <w:rPr>
          <w:b/>
          <w:bCs/>
          <w:i/>
          <w:iCs/>
        </w:rPr>
        <w:t>,</w:t>
      </w:r>
      <w:r w:rsidRPr="00E5630B">
        <w:rPr>
          <w:b/>
          <w:bCs/>
          <w:i/>
          <w:iCs/>
        </w:rPr>
        <w:t xml:space="preserve"> item </w:t>
      </w:r>
      <w:r w:rsidR="00C82C23">
        <w:rPr>
          <w:b/>
          <w:bCs/>
          <w:i/>
          <w:iCs/>
        </w:rPr>
        <w:t>3</w:t>
      </w:r>
      <w:r w:rsidRPr="00E5630B">
        <w:rPr>
          <w:b/>
          <w:bCs/>
          <w:i/>
          <w:iCs/>
        </w:rPr>
        <w:t xml:space="preserve">, </w:t>
      </w:r>
      <w:r>
        <w:rPr>
          <w:b/>
          <w:bCs/>
          <w:i/>
          <w:iCs/>
        </w:rPr>
        <w:t>sub</w:t>
      </w:r>
      <w:r w:rsidRPr="00E5630B">
        <w:rPr>
          <w:b/>
          <w:bCs/>
          <w:i/>
          <w:iCs/>
        </w:rPr>
        <w:t>section</w:t>
      </w:r>
      <w:r>
        <w:rPr>
          <w:b/>
          <w:bCs/>
          <w:i/>
          <w:iCs/>
        </w:rPr>
        <w:t>s</w:t>
      </w:r>
      <w:r w:rsidRPr="00E5630B">
        <w:rPr>
          <w:b/>
          <w:bCs/>
          <w:i/>
          <w:iCs/>
        </w:rPr>
        <w:t xml:space="preserve"> </w:t>
      </w:r>
      <w:r w:rsidRPr="000E6447">
        <w:rPr>
          <w:b/>
          <w:bCs/>
          <w:i/>
          <w:iCs/>
        </w:rPr>
        <w:t>49</w:t>
      </w:r>
      <w:proofErr w:type="gramStart"/>
      <w:r w:rsidR="00BA0222">
        <w:rPr>
          <w:b/>
          <w:bCs/>
          <w:i/>
          <w:iCs/>
        </w:rPr>
        <w:t>L</w:t>
      </w:r>
      <w:r>
        <w:rPr>
          <w:b/>
          <w:bCs/>
          <w:i/>
          <w:iCs/>
        </w:rPr>
        <w:t>(</w:t>
      </w:r>
      <w:proofErr w:type="gramEnd"/>
      <w:r>
        <w:rPr>
          <w:b/>
          <w:bCs/>
          <w:i/>
          <w:iCs/>
        </w:rPr>
        <w:t>1</w:t>
      </w:r>
      <w:r w:rsidR="00190F55" w:rsidRPr="000E6447">
        <w:rPr>
          <w:b/>
          <w:bCs/>
          <w:i/>
          <w:iCs/>
        </w:rPr>
        <w:t>)</w:t>
      </w:r>
      <w:r w:rsidR="007607B5">
        <w:rPr>
          <w:b/>
          <w:bCs/>
          <w:i/>
          <w:iCs/>
        </w:rPr>
        <w:t xml:space="preserve"> and</w:t>
      </w:r>
      <w:r>
        <w:rPr>
          <w:b/>
          <w:bCs/>
          <w:i/>
          <w:iCs/>
        </w:rPr>
        <w:t xml:space="preserve"> (3</w:t>
      </w:r>
      <w:r w:rsidR="00190F55" w:rsidRPr="000E6447">
        <w:rPr>
          <w:b/>
          <w:bCs/>
          <w:i/>
          <w:iCs/>
        </w:rPr>
        <w:t>)]</w:t>
      </w:r>
    </w:p>
    <w:p w14:paraId="76BCA5AC" w14:textId="7447FE95" w:rsidR="00245B6C" w:rsidRPr="000E6447" w:rsidRDefault="00245B6C" w:rsidP="000E6447">
      <w:pPr>
        <w:pStyle w:val="Normalparatextwithnumbers"/>
        <w:rPr>
          <w:rStyle w:val="References"/>
          <w:b w:val="0"/>
          <w:i w:val="0"/>
        </w:rPr>
      </w:pPr>
      <w:r>
        <w:rPr>
          <w:rStyle w:val="References"/>
          <w:b w:val="0"/>
          <w:bCs w:val="0"/>
          <w:i w:val="0"/>
          <w:iCs w:val="0"/>
        </w:rPr>
        <w:t>The Commissioner may repeal, rescind, revoke, amend or vary a continuation determination to correct an error in the determination.</w:t>
      </w:r>
      <w:r w:rsidR="000E6447">
        <w:rPr>
          <w:rStyle w:val="References"/>
          <w:b w:val="0"/>
          <w:bCs w:val="0"/>
          <w:i w:val="0"/>
          <w:iCs w:val="0"/>
        </w:rPr>
        <w:br/>
      </w:r>
      <w:r w:rsidRPr="75FBDA22">
        <w:rPr>
          <w:rStyle w:val="References"/>
        </w:rPr>
        <w:t xml:space="preserve">[Schedule </w:t>
      </w:r>
      <w:r w:rsidR="007607B5">
        <w:rPr>
          <w:rStyle w:val="References"/>
        </w:rPr>
        <w:t>#</w:t>
      </w:r>
      <w:r w:rsidR="00922F36" w:rsidRPr="75FBDA22">
        <w:rPr>
          <w:rStyle w:val="References"/>
        </w:rPr>
        <w:t>,</w:t>
      </w:r>
      <w:r w:rsidRPr="75FBDA22">
        <w:rPr>
          <w:rStyle w:val="References"/>
        </w:rPr>
        <w:t xml:space="preserve"> item </w:t>
      </w:r>
      <w:r w:rsidR="00C82C23">
        <w:rPr>
          <w:rStyle w:val="References"/>
        </w:rPr>
        <w:t>3</w:t>
      </w:r>
      <w:r w:rsidRPr="75FBDA22">
        <w:rPr>
          <w:rStyle w:val="References"/>
        </w:rPr>
        <w:t xml:space="preserve">, </w:t>
      </w:r>
      <w:r>
        <w:rPr>
          <w:rStyle w:val="References"/>
        </w:rPr>
        <w:t>paragraph 49</w:t>
      </w:r>
      <w:r w:rsidR="00BA0222">
        <w:rPr>
          <w:rStyle w:val="References"/>
        </w:rPr>
        <w:t>L</w:t>
      </w:r>
      <w:r>
        <w:rPr>
          <w:rStyle w:val="References"/>
        </w:rPr>
        <w:t>(1)</w:t>
      </w:r>
      <w:r w:rsidR="002C3625">
        <w:rPr>
          <w:rStyle w:val="References"/>
        </w:rPr>
        <w:t>(b)</w:t>
      </w:r>
      <w:r>
        <w:rPr>
          <w:rStyle w:val="References"/>
        </w:rPr>
        <w:t>(iii</w:t>
      </w:r>
      <w:r w:rsidR="0028246B">
        <w:rPr>
          <w:rStyle w:val="References"/>
        </w:rPr>
        <w:t>)</w:t>
      </w:r>
      <w:r w:rsidR="00922F36" w:rsidRPr="75FBDA22">
        <w:rPr>
          <w:rStyle w:val="References"/>
        </w:rPr>
        <w:t>]</w:t>
      </w:r>
    </w:p>
    <w:p w14:paraId="3E2CA734" w14:textId="39F86A6E" w:rsidR="00245B6C" w:rsidRPr="002C566F" w:rsidRDefault="00245B6C" w:rsidP="00245B6C">
      <w:pPr>
        <w:pStyle w:val="Normalparatextwithnumbers"/>
        <w:numPr>
          <w:ilvl w:val="1"/>
          <w:numId w:val="2"/>
        </w:numPr>
        <w:rPr>
          <w:rStyle w:val="References"/>
          <w:b w:val="0"/>
          <w:bCs w:val="0"/>
          <w:i w:val="0"/>
          <w:iCs w:val="0"/>
        </w:rPr>
      </w:pPr>
      <w:r w:rsidRPr="002C566F">
        <w:rPr>
          <w:rStyle w:val="References"/>
          <w:b w:val="0"/>
          <w:bCs w:val="0"/>
          <w:i w:val="0"/>
          <w:iCs w:val="0"/>
        </w:rPr>
        <w:t>These provisions displace the general rules provided by subsections 33(3) and</w:t>
      </w:r>
      <w:r w:rsidR="008E14EB">
        <w:rPr>
          <w:rStyle w:val="References"/>
          <w:b w:val="0"/>
          <w:bCs w:val="0"/>
          <w:i w:val="0"/>
          <w:iCs w:val="0"/>
        </w:rPr>
        <w:t> </w:t>
      </w:r>
      <w:r w:rsidRPr="002C566F">
        <w:rPr>
          <w:rStyle w:val="References"/>
          <w:b w:val="0"/>
          <w:bCs w:val="0"/>
          <w:i w:val="0"/>
          <w:iCs w:val="0"/>
        </w:rPr>
        <w:t xml:space="preserve">(3A) of the </w:t>
      </w:r>
      <w:r w:rsidRPr="000E6447">
        <w:rPr>
          <w:rStyle w:val="References"/>
          <w:b w:val="0"/>
        </w:rPr>
        <w:t>Acts Interpretation Act 1901</w:t>
      </w:r>
      <w:r w:rsidR="00D810AF">
        <w:rPr>
          <w:rStyle w:val="References"/>
          <w:b w:val="0"/>
        </w:rPr>
        <w:t>,</w:t>
      </w:r>
      <w:r w:rsidR="00562149">
        <w:rPr>
          <w:rStyle w:val="References"/>
          <w:b w:val="0"/>
          <w:bCs w:val="0"/>
        </w:rPr>
        <w:t xml:space="preserve"> </w:t>
      </w:r>
      <w:r w:rsidR="00562149">
        <w:rPr>
          <w:rStyle w:val="References"/>
          <w:b w:val="0"/>
          <w:bCs w:val="0"/>
          <w:i w:val="0"/>
          <w:iCs w:val="0"/>
        </w:rPr>
        <w:t>which provide th</w:t>
      </w:r>
      <w:r w:rsidR="007F338D">
        <w:rPr>
          <w:rStyle w:val="References"/>
          <w:b w:val="0"/>
          <w:bCs w:val="0"/>
          <w:i w:val="0"/>
          <w:iCs w:val="0"/>
        </w:rPr>
        <w:t xml:space="preserve">at </w:t>
      </w:r>
      <w:r w:rsidR="00562149">
        <w:rPr>
          <w:rStyle w:val="References"/>
          <w:b w:val="0"/>
          <w:bCs w:val="0"/>
          <w:i w:val="0"/>
          <w:iCs w:val="0"/>
        </w:rPr>
        <w:t xml:space="preserve">the amendment or revocation </w:t>
      </w:r>
      <w:r w:rsidR="007F338D">
        <w:rPr>
          <w:rStyle w:val="References"/>
          <w:b w:val="0"/>
          <w:bCs w:val="0"/>
          <w:i w:val="0"/>
          <w:iCs w:val="0"/>
        </w:rPr>
        <w:t xml:space="preserve">of an instrument </w:t>
      </w:r>
      <w:r w:rsidR="002E35DD">
        <w:rPr>
          <w:rStyle w:val="References"/>
          <w:b w:val="0"/>
          <w:bCs w:val="0"/>
          <w:i w:val="0"/>
          <w:iCs w:val="0"/>
        </w:rPr>
        <w:t>must satisfy the same conditions as making the instrument</w:t>
      </w:r>
      <w:r w:rsidR="00922F36" w:rsidRPr="002C566F">
        <w:rPr>
          <w:rStyle w:val="References"/>
          <w:b w:val="0"/>
          <w:bCs w:val="0"/>
          <w:i w:val="0"/>
          <w:iCs w:val="0"/>
        </w:rPr>
        <w:t>.</w:t>
      </w:r>
    </w:p>
    <w:p w14:paraId="52174923" w14:textId="77777777" w:rsidR="00245B6C" w:rsidRPr="00944A4A" w:rsidRDefault="00245B6C" w:rsidP="00081A18">
      <w:pPr>
        <w:pStyle w:val="Heading6"/>
        <w:spacing w:after="240"/>
        <w:rPr>
          <w:rStyle w:val="References"/>
          <w:rFonts w:ascii="Helvitica" w:hAnsi="Helvitica" w:hint="eastAsia"/>
          <w:b w:val="0"/>
          <w:bCs w:val="0"/>
          <w:i/>
          <w:iCs/>
        </w:rPr>
      </w:pPr>
      <w:r w:rsidRPr="000E6447">
        <w:rPr>
          <w:rFonts w:ascii="Helvitica" w:hAnsi="Helvitica"/>
          <w:color w:val="auto"/>
        </w:rPr>
        <w:t>Notification</w:t>
      </w:r>
      <w:r>
        <w:t xml:space="preserve"> </w:t>
      </w:r>
      <w:r w:rsidRPr="000E6447">
        <w:rPr>
          <w:rFonts w:ascii="Helvitica" w:hAnsi="Helvitica"/>
          <w:color w:val="auto"/>
        </w:rPr>
        <w:t>of Determination</w:t>
      </w:r>
    </w:p>
    <w:p w14:paraId="4AF2B228" w14:textId="586B98E5" w:rsidR="00D267CC" w:rsidRDefault="00972B32" w:rsidP="000E6447">
      <w:pPr>
        <w:pStyle w:val="Normalparatextwithnumbers"/>
        <w:numPr>
          <w:ilvl w:val="1"/>
          <w:numId w:val="2"/>
        </w:numPr>
        <w:rPr>
          <w:rStyle w:val="References"/>
          <w:b w:val="0"/>
          <w:bCs w:val="0"/>
          <w:i w:val="0"/>
          <w:iCs w:val="0"/>
        </w:rPr>
      </w:pPr>
      <w:r>
        <w:rPr>
          <w:rStyle w:val="References"/>
          <w:b w:val="0"/>
          <w:bCs w:val="0"/>
          <w:i w:val="0"/>
          <w:iCs w:val="0"/>
        </w:rPr>
        <w:t>T</w:t>
      </w:r>
      <w:r w:rsidR="00EC272B">
        <w:rPr>
          <w:rStyle w:val="References"/>
          <w:b w:val="0"/>
          <w:bCs w:val="0"/>
          <w:i w:val="0"/>
          <w:iCs w:val="0"/>
        </w:rPr>
        <w:t>he Commissioner must notify</w:t>
      </w:r>
      <w:r w:rsidR="00ED0839">
        <w:rPr>
          <w:rStyle w:val="References"/>
          <w:b w:val="0"/>
          <w:bCs w:val="0"/>
          <w:i w:val="0"/>
          <w:iCs w:val="0"/>
        </w:rPr>
        <w:t xml:space="preserve"> in writing</w:t>
      </w:r>
      <w:r w:rsidR="00EC272B">
        <w:rPr>
          <w:rStyle w:val="References"/>
          <w:b w:val="0"/>
          <w:bCs w:val="0"/>
          <w:i w:val="0"/>
          <w:iCs w:val="0"/>
        </w:rPr>
        <w:t xml:space="preserve"> </w:t>
      </w:r>
      <w:r w:rsidR="004177D0">
        <w:rPr>
          <w:rStyle w:val="References"/>
          <w:b w:val="0"/>
          <w:bCs w:val="0"/>
          <w:i w:val="0"/>
          <w:iCs w:val="0"/>
        </w:rPr>
        <w:t xml:space="preserve">the persons who applied for the </w:t>
      </w:r>
      <w:r w:rsidR="00F012DC">
        <w:rPr>
          <w:rStyle w:val="References"/>
          <w:b w:val="0"/>
          <w:bCs w:val="0"/>
          <w:i w:val="0"/>
          <w:iCs w:val="0"/>
        </w:rPr>
        <w:t>determination</w:t>
      </w:r>
      <w:r w:rsidR="00DF56D1">
        <w:rPr>
          <w:rStyle w:val="References"/>
          <w:b w:val="0"/>
          <w:bCs w:val="0"/>
          <w:i w:val="0"/>
          <w:iCs w:val="0"/>
        </w:rPr>
        <w:t xml:space="preserve"> of</w:t>
      </w:r>
      <w:r w:rsidR="00F012DC">
        <w:rPr>
          <w:rStyle w:val="References"/>
          <w:b w:val="0"/>
          <w:bCs w:val="0"/>
          <w:i w:val="0"/>
          <w:iCs w:val="0"/>
        </w:rPr>
        <w:t xml:space="preserve"> the outcome </w:t>
      </w:r>
      <w:r>
        <w:rPr>
          <w:rStyle w:val="References"/>
          <w:b w:val="0"/>
          <w:bCs w:val="0"/>
          <w:i w:val="0"/>
          <w:iCs w:val="0"/>
        </w:rPr>
        <w:t xml:space="preserve">of the </w:t>
      </w:r>
      <w:r w:rsidR="005509D7">
        <w:rPr>
          <w:rStyle w:val="References"/>
          <w:b w:val="0"/>
          <w:bCs w:val="0"/>
          <w:i w:val="0"/>
          <w:iCs w:val="0"/>
        </w:rPr>
        <w:t>determination</w:t>
      </w:r>
      <w:r w:rsidR="00D267CC">
        <w:rPr>
          <w:rStyle w:val="References"/>
          <w:b w:val="0"/>
          <w:bCs w:val="0"/>
          <w:i w:val="0"/>
          <w:iCs w:val="0"/>
        </w:rPr>
        <w:t xml:space="preserve"> within 30 days</w:t>
      </w:r>
      <w:r w:rsidR="002D534F">
        <w:rPr>
          <w:rStyle w:val="References"/>
          <w:b w:val="0"/>
          <w:bCs w:val="0"/>
          <w:i w:val="0"/>
          <w:iCs w:val="0"/>
        </w:rPr>
        <w:t xml:space="preserve">, </w:t>
      </w:r>
      <w:r w:rsidR="00D810AF">
        <w:rPr>
          <w:rStyle w:val="References"/>
          <w:b w:val="0"/>
          <w:bCs w:val="0"/>
          <w:i w:val="0"/>
          <w:iCs w:val="0"/>
        </w:rPr>
        <w:t>if</w:t>
      </w:r>
      <w:r w:rsidR="002D534F">
        <w:rPr>
          <w:rStyle w:val="References"/>
          <w:b w:val="0"/>
          <w:bCs w:val="0"/>
          <w:i w:val="0"/>
          <w:iCs w:val="0"/>
        </w:rPr>
        <w:t xml:space="preserve"> the Commissioner decides</w:t>
      </w:r>
      <w:r w:rsidR="00D267CC">
        <w:rPr>
          <w:rStyle w:val="References"/>
          <w:b w:val="0"/>
          <w:bCs w:val="0"/>
          <w:i w:val="0"/>
          <w:iCs w:val="0"/>
        </w:rPr>
        <w:t>:</w:t>
      </w:r>
    </w:p>
    <w:p w14:paraId="364599B5" w14:textId="3526659B" w:rsidR="00D267CC" w:rsidRDefault="002D534F" w:rsidP="00D267CC">
      <w:pPr>
        <w:pStyle w:val="Dotpoint1"/>
        <w:rPr>
          <w:rStyle w:val="References"/>
          <w:b w:val="0"/>
          <w:bCs w:val="0"/>
          <w:i w:val="0"/>
          <w:iCs w:val="0"/>
        </w:rPr>
      </w:pPr>
      <w:r>
        <w:rPr>
          <w:rStyle w:val="References"/>
          <w:b w:val="0"/>
          <w:bCs w:val="0"/>
          <w:i w:val="0"/>
          <w:iCs w:val="0"/>
        </w:rPr>
        <w:t>to m</w:t>
      </w:r>
      <w:r w:rsidR="00D267CC" w:rsidRPr="00D267CC">
        <w:rPr>
          <w:rStyle w:val="References"/>
          <w:b w:val="0"/>
          <w:bCs w:val="0"/>
          <w:i w:val="0"/>
          <w:iCs w:val="0"/>
        </w:rPr>
        <w:t xml:space="preserve">ake a continuation </w:t>
      </w:r>
      <w:proofErr w:type="gramStart"/>
      <w:r w:rsidR="00D267CC" w:rsidRPr="00D267CC">
        <w:rPr>
          <w:rStyle w:val="References"/>
          <w:b w:val="0"/>
          <w:bCs w:val="0"/>
          <w:i w:val="0"/>
          <w:iCs w:val="0"/>
        </w:rPr>
        <w:t>determination</w:t>
      </w:r>
      <w:r w:rsidR="00D267CC">
        <w:rPr>
          <w:rStyle w:val="References"/>
          <w:b w:val="0"/>
          <w:bCs w:val="0"/>
          <w:i w:val="0"/>
          <w:iCs w:val="0"/>
        </w:rPr>
        <w:t>;</w:t>
      </w:r>
      <w:proofErr w:type="gramEnd"/>
    </w:p>
    <w:p w14:paraId="4DD8078D" w14:textId="0034E05C" w:rsidR="00D267CC" w:rsidRDefault="00D267CC" w:rsidP="00D267CC">
      <w:pPr>
        <w:pStyle w:val="Dotpoint1"/>
        <w:rPr>
          <w:rStyle w:val="References"/>
          <w:b w:val="0"/>
          <w:bCs w:val="0"/>
          <w:i w:val="0"/>
          <w:iCs w:val="0"/>
        </w:rPr>
      </w:pPr>
      <w:r w:rsidRPr="00D267CC">
        <w:rPr>
          <w:rStyle w:val="References"/>
          <w:b w:val="0"/>
          <w:bCs w:val="0"/>
          <w:i w:val="0"/>
          <w:iCs w:val="0"/>
        </w:rPr>
        <w:t>not to make a continuation determination</w:t>
      </w:r>
      <w:r w:rsidR="00BE0183">
        <w:rPr>
          <w:rStyle w:val="References"/>
          <w:b w:val="0"/>
          <w:bCs w:val="0"/>
          <w:i w:val="0"/>
          <w:iCs w:val="0"/>
        </w:rPr>
        <w:t xml:space="preserve">; or </w:t>
      </w:r>
    </w:p>
    <w:p w14:paraId="61B509E0" w14:textId="4D8E130B" w:rsidR="00D12D42" w:rsidRPr="00D12D42" w:rsidRDefault="002D534F" w:rsidP="00D267CC">
      <w:pPr>
        <w:pStyle w:val="Dotpoint1"/>
        <w:rPr>
          <w:rStyle w:val="References"/>
          <w:b w:val="0"/>
          <w:bCs w:val="0"/>
          <w:i w:val="0"/>
          <w:iCs w:val="0"/>
        </w:rPr>
      </w:pPr>
      <w:r>
        <w:rPr>
          <w:rStyle w:val="References"/>
          <w:b w:val="0"/>
          <w:bCs w:val="0"/>
          <w:i w:val="0"/>
          <w:iCs w:val="0"/>
        </w:rPr>
        <w:t xml:space="preserve">to </w:t>
      </w:r>
      <w:r w:rsidR="00724922" w:rsidRPr="00724922">
        <w:rPr>
          <w:rStyle w:val="References"/>
          <w:b w:val="0"/>
          <w:bCs w:val="0"/>
          <w:i w:val="0"/>
          <w:iCs w:val="0"/>
        </w:rPr>
        <w:t xml:space="preserve">revoke a </w:t>
      </w:r>
      <w:r w:rsidR="00AD65B2">
        <w:rPr>
          <w:rStyle w:val="References"/>
          <w:b w:val="0"/>
          <w:bCs w:val="0"/>
          <w:i w:val="0"/>
          <w:iCs w:val="0"/>
        </w:rPr>
        <w:t>continuation</w:t>
      </w:r>
      <w:r w:rsidR="00724922" w:rsidRPr="00724922">
        <w:rPr>
          <w:rStyle w:val="References"/>
          <w:b w:val="0"/>
          <w:bCs w:val="0"/>
          <w:i w:val="0"/>
          <w:iCs w:val="0"/>
        </w:rPr>
        <w:t xml:space="preserve"> determination</w:t>
      </w:r>
      <w:r>
        <w:rPr>
          <w:rStyle w:val="References"/>
          <w:b w:val="0"/>
          <w:bCs w:val="0"/>
          <w:i w:val="0"/>
          <w:iCs w:val="0"/>
        </w:rPr>
        <w:t>.</w:t>
      </w:r>
    </w:p>
    <w:p w14:paraId="6980EC20" w14:textId="31CD0C40" w:rsidR="00BE0183" w:rsidRDefault="00724922" w:rsidP="00D12D42">
      <w:pPr>
        <w:pStyle w:val="Dotpoint1"/>
        <w:numPr>
          <w:ilvl w:val="0"/>
          <w:numId w:val="0"/>
        </w:numPr>
        <w:ind w:left="709"/>
        <w:rPr>
          <w:rStyle w:val="References"/>
          <w:b w:val="0"/>
          <w:bCs w:val="0"/>
          <w:i w:val="0"/>
          <w:iCs w:val="0"/>
        </w:rPr>
      </w:pPr>
      <w:r w:rsidRPr="75FBDA22">
        <w:rPr>
          <w:rStyle w:val="References"/>
        </w:rPr>
        <w:t xml:space="preserve">[Schedule </w:t>
      </w:r>
      <w:r>
        <w:rPr>
          <w:rStyle w:val="References"/>
        </w:rPr>
        <w:t>#</w:t>
      </w:r>
      <w:r w:rsidRPr="75FBDA22">
        <w:rPr>
          <w:rStyle w:val="References"/>
        </w:rPr>
        <w:t xml:space="preserve">, item </w:t>
      </w:r>
      <w:r w:rsidR="00C82C23">
        <w:rPr>
          <w:rStyle w:val="References"/>
        </w:rPr>
        <w:t>3</w:t>
      </w:r>
      <w:r w:rsidRPr="75FBDA22">
        <w:rPr>
          <w:rStyle w:val="References"/>
        </w:rPr>
        <w:t xml:space="preserve">, </w:t>
      </w:r>
      <w:r w:rsidR="00930340">
        <w:rPr>
          <w:rStyle w:val="References"/>
        </w:rPr>
        <w:t>sub</w:t>
      </w:r>
      <w:r w:rsidRPr="75FBDA22">
        <w:rPr>
          <w:rStyle w:val="References"/>
        </w:rPr>
        <w:t>section</w:t>
      </w:r>
      <w:r w:rsidR="00930340">
        <w:rPr>
          <w:rStyle w:val="References"/>
        </w:rPr>
        <w:t>s</w:t>
      </w:r>
      <w:r w:rsidRPr="75FBDA22">
        <w:rPr>
          <w:rStyle w:val="References"/>
        </w:rPr>
        <w:t xml:space="preserve"> </w:t>
      </w:r>
      <w:r>
        <w:rPr>
          <w:rStyle w:val="References"/>
        </w:rPr>
        <w:t>49</w:t>
      </w:r>
      <w:proofErr w:type="gramStart"/>
      <w:r>
        <w:rPr>
          <w:rStyle w:val="References"/>
        </w:rPr>
        <w:t>M</w:t>
      </w:r>
      <w:r w:rsidR="00930340">
        <w:rPr>
          <w:rStyle w:val="References"/>
        </w:rPr>
        <w:t>(</w:t>
      </w:r>
      <w:proofErr w:type="gramEnd"/>
      <w:r w:rsidR="00930340">
        <w:rPr>
          <w:rStyle w:val="References"/>
        </w:rPr>
        <w:t>1)</w:t>
      </w:r>
      <w:r w:rsidR="00D12D42">
        <w:rPr>
          <w:rStyle w:val="References"/>
        </w:rPr>
        <w:t xml:space="preserve">, (2) and </w:t>
      </w:r>
      <w:r w:rsidR="00930340">
        <w:rPr>
          <w:rStyle w:val="References"/>
        </w:rPr>
        <w:t>(3)</w:t>
      </w:r>
      <w:r w:rsidRPr="75FBDA22">
        <w:rPr>
          <w:rStyle w:val="References"/>
        </w:rPr>
        <w:t>]</w:t>
      </w:r>
    </w:p>
    <w:p w14:paraId="38D76567" w14:textId="1A9990CE" w:rsidR="00245B6C" w:rsidRPr="000E6447" w:rsidRDefault="00245B6C" w:rsidP="00B033FC">
      <w:pPr>
        <w:pStyle w:val="Normalparatextwithnumbers"/>
        <w:numPr>
          <w:ilvl w:val="0"/>
          <w:numId w:val="0"/>
        </w:numPr>
        <w:spacing w:after="240"/>
        <w:ind w:left="709" w:hanging="709"/>
      </w:pPr>
      <w:r w:rsidRPr="00B033FC">
        <w:rPr>
          <w:rFonts w:ascii="Helvitica" w:hAnsi="Helvitica"/>
          <w:i/>
          <w:iCs/>
        </w:rPr>
        <w:t>Review of Determination Decision</w:t>
      </w:r>
    </w:p>
    <w:p w14:paraId="2A32D885" w14:textId="331A8818" w:rsidR="00245B6C" w:rsidRDefault="00245B6C" w:rsidP="000E6447">
      <w:pPr>
        <w:pStyle w:val="Normalparatextwithnumbers"/>
        <w:numPr>
          <w:ilvl w:val="1"/>
          <w:numId w:val="2"/>
        </w:numPr>
        <w:rPr>
          <w:rStyle w:val="References"/>
          <w:b w:val="0"/>
          <w:bCs w:val="0"/>
          <w:i w:val="0"/>
          <w:iCs w:val="0"/>
        </w:rPr>
      </w:pPr>
      <w:r w:rsidRPr="00AE41DD">
        <w:rPr>
          <w:rStyle w:val="References"/>
          <w:b w:val="0"/>
          <w:bCs w:val="0"/>
          <w:i w:val="0"/>
          <w:iCs w:val="0"/>
        </w:rPr>
        <w:t xml:space="preserve">A person who receives a notice, as outlined immediately above, may object against the Commissioner’s decision to which the notice relates, as set out in Part IVC of the TAA 1953, which deals with the objection, review, and appeal </w:t>
      </w:r>
      <w:r w:rsidRPr="00AE41DD">
        <w:rPr>
          <w:rStyle w:val="References"/>
          <w:b w:val="0"/>
          <w:bCs w:val="0"/>
          <w:i w:val="0"/>
          <w:iCs w:val="0"/>
        </w:rPr>
        <w:lastRenderedPageBreak/>
        <w:t xml:space="preserve">processes for taxpayers disputing tax assessments and decisions made by the Commissioner. </w:t>
      </w:r>
      <w:r w:rsidR="000E6447">
        <w:rPr>
          <w:rStyle w:val="References"/>
          <w:b w:val="0"/>
          <w:bCs w:val="0"/>
          <w:i w:val="0"/>
          <w:iCs w:val="0"/>
        </w:rPr>
        <w:br/>
      </w:r>
      <w:r w:rsidRPr="75FBDA22">
        <w:rPr>
          <w:rStyle w:val="References"/>
        </w:rPr>
        <w:t xml:space="preserve">[Schedule </w:t>
      </w:r>
      <w:r w:rsidR="007607B5">
        <w:rPr>
          <w:rStyle w:val="References"/>
        </w:rPr>
        <w:t>#</w:t>
      </w:r>
      <w:r w:rsidR="00922F36" w:rsidRPr="75FBDA22">
        <w:rPr>
          <w:rStyle w:val="References"/>
        </w:rPr>
        <w:t>,</w:t>
      </w:r>
      <w:r w:rsidRPr="75FBDA22">
        <w:rPr>
          <w:rStyle w:val="References"/>
        </w:rPr>
        <w:t xml:space="preserve"> item </w:t>
      </w:r>
      <w:r w:rsidR="00C82C23">
        <w:rPr>
          <w:rStyle w:val="References"/>
        </w:rPr>
        <w:t>3</w:t>
      </w:r>
      <w:r w:rsidRPr="75FBDA22">
        <w:rPr>
          <w:rStyle w:val="References"/>
        </w:rPr>
        <w:t xml:space="preserve">, subsection </w:t>
      </w:r>
      <w:bookmarkStart w:id="64" w:name="_Int_Wc6QJltX"/>
      <w:r>
        <w:rPr>
          <w:rStyle w:val="References"/>
        </w:rPr>
        <w:t>49</w:t>
      </w:r>
      <w:proofErr w:type="gramStart"/>
      <w:r w:rsidR="00BA0222">
        <w:rPr>
          <w:rStyle w:val="References"/>
        </w:rPr>
        <w:t>M</w:t>
      </w:r>
      <w:r w:rsidRPr="75FBDA22">
        <w:rPr>
          <w:rStyle w:val="References"/>
        </w:rPr>
        <w:t>(</w:t>
      </w:r>
      <w:bookmarkEnd w:id="64"/>
      <w:proofErr w:type="gramEnd"/>
      <w:r>
        <w:rPr>
          <w:rStyle w:val="References"/>
        </w:rPr>
        <w:t>4</w:t>
      </w:r>
      <w:r w:rsidR="00922F36" w:rsidRPr="75FBDA22">
        <w:rPr>
          <w:rStyle w:val="References"/>
        </w:rPr>
        <w:t>)]</w:t>
      </w:r>
    </w:p>
    <w:bookmarkEnd w:id="63"/>
    <w:p w14:paraId="1559951C" w14:textId="77777777" w:rsidR="00245B6C" w:rsidRDefault="00245B6C" w:rsidP="00245B6C">
      <w:pPr>
        <w:pStyle w:val="ExampleHeading"/>
        <w:numPr>
          <w:ilvl w:val="3"/>
          <w:numId w:val="2"/>
        </w:numPr>
        <w:tabs>
          <w:tab w:val="num" w:pos="360"/>
        </w:tabs>
        <w:ind w:left="0" w:firstLine="0"/>
      </w:pPr>
      <w:r>
        <w:t>Earlier Project – Retention Lease – Later Project</w:t>
      </w:r>
    </w:p>
    <w:p w14:paraId="28BA0514" w14:textId="77777777" w:rsidR="00245B6C" w:rsidRDefault="00245B6C" w:rsidP="00245B6C">
      <w:pPr>
        <w:pStyle w:val="Exampletext"/>
      </w:pPr>
      <w:r>
        <w:t xml:space="preserve">Alpha Co has a majority interest in the Beta petroleum project, the earlier project, which produced LNG. The Beta petroleum project had a life-of-field production licence in force over a single block. </w:t>
      </w:r>
    </w:p>
    <w:p w14:paraId="036199B3" w14:textId="38B370DA" w:rsidR="00245B6C" w:rsidRDefault="00245B6C" w:rsidP="00245B6C">
      <w:pPr>
        <w:pStyle w:val="Exampletext"/>
      </w:pPr>
      <w:r>
        <w:t>Production ceased in the block</w:t>
      </w:r>
      <w:r w:rsidR="00FC5A50">
        <w:t xml:space="preserve"> and</w:t>
      </w:r>
      <w:r w:rsidR="001C4566">
        <w:t xml:space="preserve"> </w:t>
      </w:r>
      <w:r w:rsidR="00F53EE5">
        <w:t>Alpha</w:t>
      </w:r>
      <w:r>
        <w:t xml:space="preserve"> Co applied for and was granted a retention lease over the block.</w:t>
      </w:r>
      <w:r w:rsidR="00EA62C0">
        <w:t xml:space="preserve"> </w:t>
      </w:r>
      <w:r w:rsidR="00D632D4">
        <w:t>At this time, the Beta petroleum project ceased to exist.</w:t>
      </w:r>
    </w:p>
    <w:p w14:paraId="52521BCD" w14:textId="386F1F06" w:rsidR="00245B6C" w:rsidRDefault="00245B6C" w:rsidP="00245B6C">
      <w:pPr>
        <w:pStyle w:val="Exampletext"/>
      </w:pPr>
      <w:r>
        <w:t xml:space="preserve">Years later, Alpha Co assessed that production </w:t>
      </w:r>
      <w:r w:rsidR="001C4566">
        <w:t>had become</w:t>
      </w:r>
      <w:r>
        <w:t xml:space="preserve"> viable again. Alpha Co applied for and was granted a production licence over the block, which became the Gamma Project</w:t>
      </w:r>
      <w:r w:rsidR="00EA62C0">
        <w:t>, the later project</w:t>
      </w:r>
      <w:r>
        <w:t>.</w:t>
      </w:r>
    </w:p>
    <w:p w14:paraId="33017505" w14:textId="77777777" w:rsidR="00245B6C" w:rsidRDefault="00245B6C" w:rsidP="00245B6C">
      <w:pPr>
        <w:pStyle w:val="Exampletext"/>
      </w:pPr>
      <w:r>
        <w:t xml:space="preserve">Alpha Co applied for and was granted a continuation determination, such that the Gamma Project was a continuation of the Beta Project. </w:t>
      </w:r>
    </w:p>
    <w:p w14:paraId="7337B2CA" w14:textId="6F213AD3" w:rsidR="004E21E7" w:rsidRDefault="00024F95" w:rsidP="00BE2319">
      <w:pPr>
        <w:pStyle w:val="Exampletext"/>
      </w:pPr>
      <w:r>
        <w:t xml:space="preserve">The ownership interests in the Beta Project, </w:t>
      </w:r>
      <w:r w:rsidR="00305FC5">
        <w:t xml:space="preserve">the intervening retention lease and the Gamma project remained the same throughout. </w:t>
      </w:r>
    </w:p>
    <w:p w14:paraId="78EBDF30" w14:textId="0C97C3F8" w:rsidR="00305FC5" w:rsidRDefault="00305FC5" w:rsidP="00BE2319">
      <w:pPr>
        <w:pStyle w:val="Exampletext"/>
      </w:pPr>
      <w:r w:rsidRPr="00305FC5">
        <w:t>In</w:t>
      </w:r>
      <w:r w:rsidR="009A6686">
        <w:t xml:space="preserve"> relation to</w:t>
      </w:r>
      <w:r w:rsidRPr="00305FC5">
        <w:t xml:space="preserve"> the financial year </w:t>
      </w:r>
      <w:r w:rsidR="00E17217">
        <w:t>when</w:t>
      </w:r>
      <w:r w:rsidRPr="00305FC5">
        <w:t xml:space="preserve"> the continuation determination was made, any </w:t>
      </w:r>
      <w:proofErr w:type="gramStart"/>
      <w:r w:rsidRPr="00305FC5">
        <w:t>amount</w:t>
      </w:r>
      <w:proofErr w:type="gramEnd"/>
      <w:r w:rsidRPr="00305FC5">
        <w:t xml:space="preserve"> of assessable receipts</w:t>
      </w:r>
      <w:r w:rsidR="00973A6A">
        <w:t xml:space="preserve"> that would have been</w:t>
      </w:r>
      <w:r w:rsidRPr="00305FC5">
        <w:t xml:space="preserve"> derived in relation to the Beta Project in that financial year </w:t>
      </w:r>
      <w:r w:rsidR="006017F4">
        <w:t xml:space="preserve">is </w:t>
      </w:r>
      <w:r w:rsidR="001B5DE3">
        <w:t xml:space="preserve">instead </w:t>
      </w:r>
      <w:r w:rsidRPr="00305FC5">
        <w:t>deemed to be derived by Alpha Co</w:t>
      </w:r>
      <w:r w:rsidR="005616B9">
        <w:t xml:space="preserve"> in relation to that financial year and the Gamma project</w:t>
      </w:r>
      <w:r w:rsidRPr="00305FC5">
        <w:t>.</w:t>
      </w:r>
    </w:p>
    <w:p w14:paraId="59F309B8" w14:textId="4E2DE21C" w:rsidR="00245B6C" w:rsidRPr="00BE2319" w:rsidRDefault="00955298" w:rsidP="00245B6C">
      <w:pPr>
        <w:pStyle w:val="Exampletext"/>
      </w:pPr>
      <w:r>
        <w:t>Similarly, t</w:t>
      </w:r>
      <w:r w:rsidR="000A4D5E">
        <w:t xml:space="preserve">he </w:t>
      </w:r>
      <w:r>
        <w:t>augmented deductible</w:t>
      </w:r>
      <w:r w:rsidR="00245B6C">
        <w:t xml:space="preserve"> expenditure</w:t>
      </w:r>
      <w:r w:rsidR="00ED6F30">
        <w:t xml:space="preserve"> that would have been</w:t>
      </w:r>
      <w:r w:rsidR="00245B6C">
        <w:t xml:space="preserve"> incurred in </w:t>
      </w:r>
      <w:r w:rsidR="00B3663C">
        <w:t xml:space="preserve">relation </w:t>
      </w:r>
      <w:r w:rsidR="001D3DE6">
        <w:t>to</w:t>
      </w:r>
      <w:r w:rsidR="00245B6C">
        <w:t xml:space="preserve"> the Beta petroleum project </w:t>
      </w:r>
      <w:r w:rsidR="001E5B8F">
        <w:t>is</w:t>
      </w:r>
      <w:r w:rsidR="00CB6BF1">
        <w:t xml:space="preserve"> instead</w:t>
      </w:r>
      <w:r w:rsidR="001E5B8F">
        <w:t xml:space="preserve"> taken to be incurred in relation to the Gamma project.</w:t>
      </w:r>
      <w:r w:rsidR="00752609">
        <w:t xml:space="preserve"> The deductible expenditure</w:t>
      </w:r>
      <w:r w:rsidR="00245B6C">
        <w:t xml:space="preserve"> </w:t>
      </w:r>
      <w:r w:rsidR="00065C4E">
        <w:t>is</w:t>
      </w:r>
      <w:r w:rsidR="00A225DD">
        <w:t xml:space="preserve"> </w:t>
      </w:r>
      <w:r w:rsidR="00245B6C">
        <w:t xml:space="preserve">available for Alpha Co according to its ownership interest in the Gamma </w:t>
      </w:r>
      <w:r w:rsidR="00896A8D">
        <w:t>P</w:t>
      </w:r>
      <w:r w:rsidR="00A225DD">
        <w:t>roject</w:t>
      </w:r>
      <w:r w:rsidR="00245B6C">
        <w:t>.</w:t>
      </w:r>
    </w:p>
    <w:p w14:paraId="4A8ADBE4" w14:textId="77777777" w:rsidR="00245B6C" w:rsidRPr="007607B5" w:rsidRDefault="00245B6C" w:rsidP="007607B5">
      <w:pPr>
        <w:pStyle w:val="Heading2"/>
        <w:spacing w:before="360" w:after="360"/>
        <w:rPr>
          <w:rFonts w:ascii="Helvitica" w:hAnsi="Helvitica" w:hint="eastAsia"/>
          <w:color w:val="auto"/>
          <w:sz w:val="36"/>
          <w:szCs w:val="26"/>
        </w:rPr>
      </w:pPr>
      <w:bookmarkStart w:id="65" w:name="_Toc78193246"/>
      <w:bookmarkStart w:id="66" w:name="_Toc78193403"/>
      <w:bookmarkStart w:id="67" w:name="_Toc78548476"/>
      <w:bookmarkStart w:id="68" w:name="_Toc78549747"/>
      <w:bookmarkStart w:id="69" w:name="_Toc78549791"/>
      <w:r w:rsidRPr="007607B5">
        <w:rPr>
          <w:rFonts w:ascii="Helvitica" w:hAnsi="Helvitica"/>
          <w:color w:val="auto"/>
          <w:sz w:val="36"/>
          <w:szCs w:val="26"/>
        </w:rPr>
        <w:t>Commencement, application, and transitional provisions</w:t>
      </w:r>
    </w:p>
    <w:p w14:paraId="4C228CC6" w14:textId="6C0D4C7E" w:rsidR="00245B6C" w:rsidRDefault="000E6447" w:rsidP="00245B6C">
      <w:pPr>
        <w:pStyle w:val="Normalparatextwithnumbers"/>
        <w:numPr>
          <w:ilvl w:val="1"/>
          <w:numId w:val="2"/>
        </w:numPr>
      </w:pPr>
      <w:r>
        <w:t>Schedule # to t</w:t>
      </w:r>
      <w:r w:rsidR="00922F36">
        <w:t>he</w:t>
      </w:r>
      <w:r w:rsidR="00245B6C">
        <w:t xml:space="preserve"> Bill commences on the first 1 January, 1 April, 1 July or 1 </w:t>
      </w:r>
      <w:r w:rsidR="0087289C">
        <w:t xml:space="preserve">October </w:t>
      </w:r>
      <w:r w:rsidR="00245B6C">
        <w:t>to occur after the day the Bill receives Royal Assent</w:t>
      </w:r>
      <w:r>
        <w:t xml:space="preserve">. </w:t>
      </w:r>
    </w:p>
    <w:bookmarkEnd w:id="5"/>
    <w:bookmarkEnd w:id="65"/>
    <w:bookmarkEnd w:id="66"/>
    <w:bookmarkEnd w:id="67"/>
    <w:bookmarkEnd w:id="68"/>
    <w:bookmarkEnd w:id="69"/>
    <w:p w14:paraId="0699C048" w14:textId="77777777" w:rsidR="002E0B96" w:rsidRPr="00245B6C" w:rsidRDefault="002E0B96" w:rsidP="00245B6C"/>
    <w:sectPr w:rsidR="002E0B96" w:rsidRPr="00245B6C" w:rsidSect="00922F36">
      <w:headerReference w:type="even" r:id="rId23"/>
      <w:headerReference w:type="default" r:id="rId24"/>
      <w:footerReference w:type="even" r:id="rId25"/>
      <w:footerReference w:type="default" r:id="rId26"/>
      <w:headerReference w:type="first" r:id="rId27"/>
      <w:foot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CC1D" w14:textId="77777777" w:rsidR="004B331C" w:rsidRDefault="004B331C">
      <w:pPr>
        <w:spacing w:before="0" w:after="0"/>
      </w:pPr>
      <w:r>
        <w:separator/>
      </w:r>
    </w:p>
  </w:endnote>
  <w:endnote w:type="continuationSeparator" w:id="0">
    <w:p w14:paraId="691CF270" w14:textId="77777777" w:rsidR="004B331C" w:rsidRDefault="004B331C">
      <w:pPr>
        <w:spacing w:before="0" w:after="0"/>
      </w:pPr>
      <w:r>
        <w:continuationSeparator/>
      </w:r>
    </w:p>
  </w:endnote>
  <w:endnote w:type="continuationNotice" w:id="1">
    <w:p w14:paraId="52E9DF76" w14:textId="77777777" w:rsidR="004B331C" w:rsidRDefault="004B33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itica">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A3A8" w14:textId="77777777" w:rsidR="00245B6C" w:rsidRDefault="00245B6C">
    <w:pPr>
      <w:pStyle w:val="Footer"/>
    </w:pPr>
    <w:r>
      <w:rPr>
        <w:noProof/>
      </w:rPr>
      <mc:AlternateContent>
        <mc:Choice Requires="wps">
          <w:drawing>
            <wp:anchor distT="0" distB="0" distL="0" distR="0" simplePos="0" relativeHeight="251658253" behindDoc="0" locked="0" layoutInCell="1" allowOverlap="1" wp14:anchorId="46FA8766" wp14:editId="14293EAE">
              <wp:simplePos x="635" y="635"/>
              <wp:positionH relativeFrom="page">
                <wp:align>center</wp:align>
              </wp:positionH>
              <wp:positionV relativeFrom="page">
                <wp:align>bottom</wp:align>
              </wp:positionV>
              <wp:extent cx="443865" cy="443865"/>
              <wp:effectExtent l="0" t="0" r="0" b="0"/>
              <wp:wrapNone/>
              <wp:docPr id="1880996667" name="Text Box 32"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47F0B"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A8766" id="_x0000_t202" coordsize="21600,21600" o:spt="202" path="m,l,21600r21600,l21600,xe">
              <v:stroke joinstyle="miter"/>
              <v:path gradientshapeok="t" o:connecttype="rect"/>
            </v:shapetype>
            <v:shape id="Text Box 32" o:spid="_x0000_s1028" type="#_x0000_t202" alt="OFFICIAL: Sensitive Legal Privilege"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447F0B"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DA2D" w14:textId="77777777" w:rsidR="00C83570" w:rsidRDefault="00C83570">
    <w:pPr>
      <w:pStyle w:val="Footer"/>
    </w:pPr>
    <w:r>
      <w:rPr>
        <w:noProof/>
      </w:rPr>
      <mc:AlternateContent>
        <mc:Choice Requires="wps">
          <w:drawing>
            <wp:anchor distT="0" distB="0" distL="0" distR="0" simplePos="0" relativeHeight="251658243" behindDoc="0" locked="0" layoutInCell="1" allowOverlap="1" wp14:anchorId="63CE4E2F" wp14:editId="7C9A4BEB">
              <wp:simplePos x="635" y="635"/>
              <wp:positionH relativeFrom="page">
                <wp:align>center</wp:align>
              </wp:positionH>
              <wp:positionV relativeFrom="page">
                <wp:align>bottom</wp:align>
              </wp:positionV>
              <wp:extent cx="443865" cy="443865"/>
              <wp:effectExtent l="0" t="0" r="0" b="0"/>
              <wp:wrapNone/>
              <wp:docPr id="483661173" name="Text Box 46"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9A526" w14:textId="7F1E12F1" w:rsidR="00C83570" w:rsidRPr="00D973EC" w:rsidRDefault="00C8357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E4E2F" id="_x0000_t202" coordsize="21600,21600" o:spt="202" path="m,l,21600r21600,l21600,xe">
              <v:stroke joinstyle="miter"/>
              <v:path gradientshapeok="t" o:connecttype="rect"/>
            </v:shapetype>
            <v:shape id="Text Box 46" o:spid="_x0000_s1043" type="#_x0000_t202" alt="OFFICIAL: Sensitive Legal Privileg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1FF9A526" w14:textId="7F1E12F1" w:rsidR="00C83570" w:rsidRPr="00D973EC" w:rsidRDefault="00C83570">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436D" w14:textId="77777777" w:rsidR="00245B6C" w:rsidRDefault="00245B6C">
    <w:pPr>
      <w:pStyle w:val="Footer"/>
    </w:pPr>
    <w:r>
      <w:rPr>
        <w:noProof/>
      </w:rPr>
      <mc:AlternateContent>
        <mc:Choice Requires="wps">
          <w:drawing>
            <wp:anchor distT="0" distB="0" distL="0" distR="0" simplePos="0" relativeHeight="251658254" behindDoc="0" locked="0" layoutInCell="1" allowOverlap="1" wp14:anchorId="0D565EE6" wp14:editId="45834E2F">
              <wp:simplePos x="635" y="635"/>
              <wp:positionH relativeFrom="page">
                <wp:align>center</wp:align>
              </wp:positionH>
              <wp:positionV relativeFrom="page">
                <wp:align>bottom</wp:align>
              </wp:positionV>
              <wp:extent cx="443865" cy="443865"/>
              <wp:effectExtent l="0" t="0" r="0" b="0"/>
              <wp:wrapNone/>
              <wp:docPr id="1958521746" name="Text Box 33"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ACBAC" w14:textId="28B87CB2" w:rsidR="00245B6C" w:rsidRPr="00D973EC" w:rsidRDefault="00245B6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65EE6" id="_x0000_t202" coordsize="21600,21600" o:spt="202" path="m,l,21600r21600,l21600,xe">
              <v:stroke joinstyle="miter"/>
              <v:path gradientshapeok="t" o:connecttype="rect"/>
            </v:shapetype>
            <v:shape id="Text Box 33" o:spid="_x0000_s1029" type="#_x0000_t202" alt="OFFICIAL: Sensitive Legal Privilege"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5CACBAC" w14:textId="28B87CB2" w:rsidR="00245B6C" w:rsidRPr="00D973EC" w:rsidRDefault="00245B6C">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4E04" w14:textId="77777777" w:rsidR="00245B6C" w:rsidRPr="004D61CF" w:rsidRDefault="00245B6C">
    <w:pPr>
      <w:pStyle w:val="rightfooter"/>
    </w:pPr>
    <w:r>
      <w:rPr>
        <w:noProof/>
      </w:rPr>
      <mc:AlternateContent>
        <mc:Choice Requires="wps">
          <w:drawing>
            <wp:anchor distT="0" distB="0" distL="0" distR="0" simplePos="0" relativeHeight="251658252" behindDoc="0" locked="0" layoutInCell="1" allowOverlap="1" wp14:anchorId="7550290C" wp14:editId="1F43B636">
              <wp:simplePos x="720725" y="8310245"/>
              <wp:positionH relativeFrom="page">
                <wp:align>center</wp:align>
              </wp:positionH>
              <wp:positionV relativeFrom="page">
                <wp:align>bottom</wp:align>
              </wp:positionV>
              <wp:extent cx="443865" cy="443865"/>
              <wp:effectExtent l="0" t="0" r="0" b="0"/>
              <wp:wrapNone/>
              <wp:docPr id="140007545" name="Text Box 31"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7D350" w14:textId="7318C04D" w:rsidR="00245B6C" w:rsidRPr="00D973EC" w:rsidRDefault="00245B6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0290C" id="_x0000_t202" coordsize="21600,21600" o:spt="202" path="m,l,21600r21600,l21600,xe">
              <v:stroke joinstyle="miter"/>
              <v:path gradientshapeok="t" o:connecttype="rect"/>
            </v:shapetype>
            <v:shape id="Text Box 31" o:spid="_x0000_s1031" type="#_x0000_t202" alt="OFFICIAL: Sensitive Legal Privilege"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BB7D350" w14:textId="7318C04D" w:rsidR="00245B6C" w:rsidRPr="00D973EC" w:rsidRDefault="00245B6C">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8A3B" w14:textId="5E5FB25F" w:rsidR="000E6447" w:rsidRPr="00091474" w:rsidRDefault="000E6447">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7BA0" w14:textId="77777777" w:rsidR="00245B6C" w:rsidRDefault="00245B6C">
    <w:pPr>
      <w:pStyle w:val="Footer"/>
    </w:pPr>
    <w:r>
      <w:rPr>
        <w:noProof/>
      </w:rPr>
      <mc:AlternateContent>
        <mc:Choice Requires="wps">
          <w:drawing>
            <wp:anchor distT="0" distB="0" distL="0" distR="0" simplePos="0" relativeHeight="251658256" behindDoc="0" locked="0" layoutInCell="1" allowOverlap="1" wp14:anchorId="54B222E2" wp14:editId="50F12BDD">
              <wp:simplePos x="635" y="635"/>
              <wp:positionH relativeFrom="page">
                <wp:align>center</wp:align>
              </wp:positionH>
              <wp:positionV relativeFrom="page">
                <wp:align>bottom</wp:align>
              </wp:positionV>
              <wp:extent cx="443865" cy="443865"/>
              <wp:effectExtent l="0" t="0" r="0" b="0"/>
              <wp:wrapNone/>
              <wp:docPr id="127685168" name="Text Box 35"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F20EA"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222E2" id="_x0000_t202" coordsize="21600,21600" o:spt="202" path="m,l,21600r21600,l21600,xe">
              <v:stroke joinstyle="miter"/>
              <v:path gradientshapeok="t" o:connecttype="rect"/>
            </v:shapetype>
            <v:shape id="Text Box 35" o:spid="_x0000_s1034" type="#_x0000_t202" alt="OFFICIAL: Sensitive Legal Privilege"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B3F20EA"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7802" w14:textId="77777777" w:rsidR="00245B6C" w:rsidRDefault="00245B6C">
    <w:pPr>
      <w:pStyle w:val="Footer"/>
    </w:pPr>
    <w:r>
      <w:rPr>
        <w:noProof/>
      </w:rPr>
      <mc:AlternateContent>
        <mc:Choice Requires="wps">
          <w:drawing>
            <wp:anchor distT="0" distB="0" distL="0" distR="0" simplePos="0" relativeHeight="251658257" behindDoc="0" locked="0" layoutInCell="1" allowOverlap="1" wp14:anchorId="4F2CAF7A" wp14:editId="0054AE45">
              <wp:simplePos x="635" y="635"/>
              <wp:positionH relativeFrom="page">
                <wp:align>center</wp:align>
              </wp:positionH>
              <wp:positionV relativeFrom="page">
                <wp:align>bottom</wp:align>
              </wp:positionV>
              <wp:extent cx="443865" cy="443865"/>
              <wp:effectExtent l="0" t="0" r="0" b="0"/>
              <wp:wrapNone/>
              <wp:docPr id="5485859" name="Text Box 36"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E83CE" w14:textId="58A944DB" w:rsidR="00245B6C" w:rsidRPr="00D973EC" w:rsidRDefault="00245B6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CAF7A" id="_x0000_t202" coordsize="21600,21600" o:spt="202" path="m,l,21600r21600,l21600,xe">
              <v:stroke joinstyle="miter"/>
              <v:path gradientshapeok="t" o:connecttype="rect"/>
            </v:shapetype>
            <v:shape id="Text Box 36" o:spid="_x0000_s1035" type="#_x0000_t202" alt="OFFICIAL: Sensitive Legal Privilege"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FDE83CE" w14:textId="58A944DB" w:rsidR="00245B6C" w:rsidRPr="00D973EC" w:rsidRDefault="00245B6C">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870E" w14:textId="77777777" w:rsidR="00245B6C" w:rsidRPr="00091474" w:rsidRDefault="00245B6C">
    <w:pPr>
      <w:pStyle w:val="rightfooter"/>
    </w:pPr>
    <w:r>
      <w:rPr>
        <w:noProof/>
      </w:rPr>
      <mc:AlternateContent>
        <mc:Choice Requires="wps">
          <w:drawing>
            <wp:anchor distT="0" distB="0" distL="0" distR="0" simplePos="0" relativeHeight="251658255" behindDoc="0" locked="0" layoutInCell="1" allowOverlap="1" wp14:anchorId="12BB0923" wp14:editId="2C5A3565">
              <wp:simplePos x="635" y="635"/>
              <wp:positionH relativeFrom="page">
                <wp:align>center</wp:align>
              </wp:positionH>
              <wp:positionV relativeFrom="page">
                <wp:align>bottom</wp:align>
              </wp:positionV>
              <wp:extent cx="443865" cy="443865"/>
              <wp:effectExtent l="0" t="0" r="0" b="0"/>
              <wp:wrapNone/>
              <wp:docPr id="879539133" name="Text Box 34"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1DE489"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B0923" id="_x0000_t202" coordsize="21600,21600" o:spt="202" path="m,l,21600r21600,l21600,xe">
              <v:stroke joinstyle="miter"/>
              <v:path gradientshapeok="t" o:connecttype="rect"/>
            </v:shapetype>
            <v:shape id="Text Box 34" o:spid="_x0000_s1037" type="#_x0000_t202" alt="OFFICIAL: Sensitive Legal Privilege"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0F1DE489"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382A" w14:textId="77777777" w:rsidR="00C83570" w:rsidRDefault="00C83570">
    <w:pPr>
      <w:pStyle w:val="Footer"/>
    </w:pPr>
    <w:r>
      <w:rPr>
        <w:noProof/>
      </w:rPr>
      <mc:AlternateContent>
        <mc:Choice Requires="wps">
          <w:drawing>
            <wp:anchor distT="0" distB="0" distL="0" distR="0" simplePos="0" relativeHeight="251658244" behindDoc="0" locked="0" layoutInCell="1" allowOverlap="1" wp14:anchorId="2442F904" wp14:editId="3857DAE1">
              <wp:simplePos x="635" y="635"/>
              <wp:positionH relativeFrom="page">
                <wp:align>center</wp:align>
              </wp:positionH>
              <wp:positionV relativeFrom="page">
                <wp:align>bottom</wp:align>
              </wp:positionV>
              <wp:extent cx="443865" cy="443865"/>
              <wp:effectExtent l="0" t="0" r="0" b="0"/>
              <wp:wrapNone/>
              <wp:docPr id="1203927608" name="Text Box 47"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C68D5" w14:textId="77777777" w:rsidR="00C83570" w:rsidRPr="00D973EC" w:rsidRDefault="00C83570">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2F904" id="_x0000_t202" coordsize="21600,21600" o:spt="202" path="m,l,21600r21600,l21600,xe">
              <v:stroke joinstyle="miter"/>
              <v:path gradientshapeok="t" o:connecttype="rect"/>
            </v:shapetype>
            <v:shape id="Text Box 47" o:spid="_x0000_s1040" type="#_x0000_t202" alt="OFFICIAL: Sensitive Legal Privileg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6B1C68D5" w14:textId="77777777" w:rsidR="00C83570" w:rsidRPr="00D973EC" w:rsidRDefault="00C83570">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2C64" w14:textId="77777777" w:rsidR="00C83570" w:rsidRDefault="00C83570">
    <w:pPr>
      <w:pStyle w:val="Footer"/>
    </w:pPr>
    <w:r>
      <w:rPr>
        <w:noProof/>
      </w:rPr>
      <mc:AlternateContent>
        <mc:Choice Requires="wps">
          <w:drawing>
            <wp:anchor distT="0" distB="0" distL="0" distR="0" simplePos="0" relativeHeight="251658245" behindDoc="0" locked="0" layoutInCell="1" allowOverlap="1" wp14:anchorId="1D74CE12" wp14:editId="25124455">
              <wp:simplePos x="635" y="635"/>
              <wp:positionH relativeFrom="page">
                <wp:align>center</wp:align>
              </wp:positionH>
              <wp:positionV relativeFrom="page">
                <wp:align>bottom</wp:align>
              </wp:positionV>
              <wp:extent cx="443865" cy="443865"/>
              <wp:effectExtent l="0" t="0" r="0" b="0"/>
              <wp:wrapNone/>
              <wp:docPr id="105209375" name="Text Box 48"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1D1BC" w14:textId="3A8031F4" w:rsidR="00C83570" w:rsidRPr="00D973EC" w:rsidRDefault="00C8357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4CE12" id="_x0000_t202" coordsize="21600,21600" o:spt="202" path="m,l,21600r21600,l21600,xe">
              <v:stroke joinstyle="miter"/>
              <v:path gradientshapeok="t" o:connecttype="rect"/>
            </v:shapetype>
            <v:shape id="Text Box 48" o:spid="_x0000_s1041" type="#_x0000_t202" alt="OFFICIAL: Sensitive Legal Privileg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4F01D1BC" w14:textId="3A8031F4" w:rsidR="00C83570" w:rsidRPr="00D973EC" w:rsidRDefault="00C83570">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3423" w14:textId="77777777" w:rsidR="004B331C" w:rsidRDefault="004B331C">
      <w:pPr>
        <w:spacing w:before="0" w:after="0"/>
      </w:pPr>
      <w:r>
        <w:separator/>
      </w:r>
    </w:p>
  </w:footnote>
  <w:footnote w:type="continuationSeparator" w:id="0">
    <w:p w14:paraId="09228F9C" w14:textId="77777777" w:rsidR="004B331C" w:rsidRDefault="004B331C">
      <w:pPr>
        <w:spacing w:before="0" w:after="0"/>
      </w:pPr>
      <w:r>
        <w:continuationSeparator/>
      </w:r>
    </w:p>
  </w:footnote>
  <w:footnote w:type="continuationNotice" w:id="1">
    <w:p w14:paraId="33902655" w14:textId="77777777" w:rsidR="004B331C" w:rsidRDefault="004B33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FD42" w14:textId="77777777" w:rsidR="00245B6C" w:rsidRPr="009106AC" w:rsidRDefault="00245B6C">
    <w:pPr>
      <w:pStyle w:val="Header"/>
    </w:pPr>
    <w:r>
      <w:rPr>
        <w:noProof/>
      </w:rPr>
      <mc:AlternateContent>
        <mc:Choice Requires="wps">
          <w:drawing>
            <wp:anchor distT="0" distB="0" distL="0" distR="0" simplePos="0" relativeHeight="251658247" behindDoc="0" locked="0" layoutInCell="1" allowOverlap="1" wp14:anchorId="3429A39F" wp14:editId="3C76CEB9">
              <wp:simplePos x="635" y="635"/>
              <wp:positionH relativeFrom="page">
                <wp:align>center</wp:align>
              </wp:positionH>
              <wp:positionV relativeFrom="page">
                <wp:align>top</wp:align>
              </wp:positionV>
              <wp:extent cx="443865" cy="443865"/>
              <wp:effectExtent l="0" t="0" r="0" b="4445"/>
              <wp:wrapNone/>
              <wp:docPr id="1041886232" name="Text Box 8"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DE9A0"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9A39F" id="_x0000_t202" coordsize="21600,21600" o:spt="202" path="m,l,21600r21600,l21600,xe">
              <v:stroke joinstyle="miter"/>
              <v:path gradientshapeok="t" o:connecttype="rect"/>
            </v:shapetype>
            <v:shape id="Text Box 8" o:spid="_x0000_s1026" type="#_x0000_t202" alt="OFFICIAL: Sensitive Legal Privilege"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BDE9A0"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65C9" w14:textId="74843B6D" w:rsidR="00C83570" w:rsidRPr="00A74B1A" w:rsidRDefault="00C83570">
    <w:pPr>
      <w:pStyle w:val="leftheader"/>
    </w:pPr>
    <w:r>
      <w:rPr>
        <w:noProof/>
      </w:rPr>
      <mc:AlternateContent>
        <mc:Choice Requires="wps">
          <w:drawing>
            <wp:anchor distT="0" distB="0" distL="0" distR="0" simplePos="0" relativeHeight="251658241" behindDoc="0" locked="0" layoutInCell="1" allowOverlap="1" wp14:anchorId="7C5E5385" wp14:editId="49B6FDD7">
              <wp:simplePos x="635" y="635"/>
              <wp:positionH relativeFrom="page">
                <wp:align>center</wp:align>
              </wp:positionH>
              <wp:positionV relativeFrom="page">
                <wp:align>top</wp:align>
              </wp:positionV>
              <wp:extent cx="443865" cy="443865"/>
              <wp:effectExtent l="0" t="0" r="0" b="4445"/>
              <wp:wrapNone/>
              <wp:docPr id="816154188" name="Text Box 23"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6092B" w14:textId="77777777" w:rsidR="00C83570" w:rsidRPr="00D973EC" w:rsidRDefault="00C83570">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E5385" id="_x0000_t202" coordsize="21600,21600" o:spt="202" path="m,l,21600r21600,l21600,xe">
              <v:stroke joinstyle="miter"/>
              <v:path gradientshapeok="t" o:connecttype="rect"/>
            </v:shapetype>
            <v:shape id="Text Box 23" o:spid="_x0000_s1038" type="#_x0000_t202" alt="OFFICIAL: Sensitive Legal Privileg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4C46092B" w14:textId="77777777" w:rsidR="00C83570" w:rsidRPr="00D973EC" w:rsidRDefault="00C83570">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r>
      <w:fldChar w:fldCharType="begin"/>
    </w:r>
    <w:r>
      <w:instrText>STYLEREF "AttachmentHeading" \* MERGEFORMAT</w:instrText>
    </w:r>
    <w:r>
      <w:fldChar w:fldCharType="separate"/>
    </w:r>
    <w:r w:rsidR="00E05D3B">
      <w:rPr>
        <w:b/>
        <w:bCs/>
        <w:noProof/>
        <w:lang w:val="en-US"/>
      </w:rPr>
      <w:t>Error! Use the Home tab to apply AttachmentHeading to the text that you want to appear here.</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BA6F" w14:textId="682920B9" w:rsidR="00C83570" w:rsidRPr="00A74B1A" w:rsidRDefault="00C83570">
    <w:pPr>
      <w:pStyle w:val="rightheader"/>
    </w:pPr>
    <w:r>
      <w:rPr>
        <w:noProof/>
      </w:rPr>
      <mc:AlternateContent>
        <mc:Choice Requires="wps">
          <w:drawing>
            <wp:anchor distT="0" distB="0" distL="0" distR="0" simplePos="0" relativeHeight="251658242" behindDoc="0" locked="0" layoutInCell="1" allowOverlap="1" wp14:anchorId="0C3509EF" wp14:editId="69CACDB8">
              <wp:simplePos x="635" y="635"/>
              <wp:positionH relativeFrom="page">
                <wp:align>center</wp:align>
              </wp:positionH>
              <wp:positionV relativeFrom="page">
                <wp:align>top</wp:align>
              </wp:positionV>
              <wp:extent cx="443865" cy="443865"/>
              <wp:effectExtent l="0" t="0" r="0" b="4445"/>
              <wp:wrapNone/>
              <wp:docPr id="2086401007" name="Text Box 24"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CF3C6" w14:textId="1D7B5B06" w:rsidR="00C83570" w:rsidRPr="00D973EC" w:rsidRDefault="00C8357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509EF" id="_x0000_t202" coordsize="21600,21600" o:spt="202" path="m,l,21600r21600,l21600,xe">
              <v:stroke joinstyle="miter"/>
              <v:path gradientshapeok="t" o:connecttype="rect"/>
            </v:shapetype>
            <v:shape id="Text Box 24" o:spid="_x0000_s1039" type="#_x0000_t202" alt="OFFICIAL: Sensitive Legal Privileg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C9CF3C6" w14:textId="1D7B5B06" w:rsidR="00C83570" w:rsidRPr="00D973EC" w:rsidRDefault="00C83570">
                    <w:pPr>
                      <w:spacing w:after="0"/>
                      <w:rPr>
                        <w:rFonts w:ascii="Calibri" w:eastAsia="Calibri" w:hAnsi="Calibri" w:cs="Calibri"/>
                        <w:noProof/>
                        <w:color w:val="FF0000"/>
                        <w:sz w:val="24"/>
                        <w:szCs w:val="24"/>
                      </w:rPr>
                    </w:pPr>
                  </w:p>
                </w:txbxContent>
              </v:textbox>
              <w10:wrap anchorx="page" anchory="page"/>
            </v:shape>
          </w:pict>
        </mc:Fallback>
      </mc:AlternateContent>
    </w:r>
    <w:fldSimple w:instr="STYLEREF &quot;Bill Name&quot; \* MERGEFORMAT">
      <w:r w:rsidR="00377141">
        <w:rPr>
          <w:noProof/>
        </w:rPr>
        <w:t>Treasury LawS Amendment Bill 2025: PRRT Callaghan Review Recommendation 6</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E377" w14:textId="77777777" w:rsidR="00C83570" w:rsidRDefault="00C83570">
    <w:pPr>
      <w:pStyle w:val="rightheader"/>
    </w:pPr>
    <w:r>
      <w:rPr>
        <w:noProof/>
      </w:rPr>
      <mc:AlternateContent>
        <mc:Choice Requires="wps">
          <w:drawing>
            <wp:anchor distT="0" distB="0" distL="0" distR="0" simplePos="0" relativeHeight="251658240" behindDoc="0" locked="0" layoutInCell="1" allowOverlap="1" wp14:anchorId="48D448C5" wp14:editId="12F889E2">
              <wp:simplePos x="635" y="635"/>
              <wp:positionH relativeFrom="page">
                <wp:align>center</wp:align>
              </wp:positionH>
              <wp:positionV relativeFrom="page">
                <wp:align>top</wp:align>
              </wp:positionV>
              <wp:extent cx="443865" cy="443865"/>
              <wp:effectExtent l="0" t="0" r="0" b="4445"/>
              <wp:wrapNone/>
              <wp:docPr id="1691180377" name="Text Box 22"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761CA" w14:textId="79E829F6" w:rsidR="00C83570" w:rsidRPr="00D973EC" w:rsidRDefault="00C8357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448C5" id="_x0000_t202" coordsize="21600,21600" o:spt="202" path="m,l,21600r21600,l21600,xe">
              <v:stroke joinstyle="miter"/>
              <v:path gradientshapeok="t" o:connecttype="rect"/>
            </v:shapetype>
            <v:shape id="Text Box 22" o:spid="_x0000_s1042" type="#_x0000_t202" alt="OFFICIAL: Sensitive Legal Privileg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07761CA" w14:textId="79E829F6" w:rsidR="00C83570" w:rsidRPr="00D973EC" w:rsidRDefault="00C83570">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B2E5" w14:textId="100F2FEE" w:rsidR="00245B6C" w:rsidRPr="0070093E" w:rsidRDefault="00245B6C">
    <w:pPr>
      <w:pStyle w:val="rightheader"/>
      <w:ind w:firstLine="720"/>
      <w:rPr>
        <w:lang w:val="en-US"/>
      </w:rPr>
    </w:pPr>
    <w:r>
      <w:rPr>
        <w:noProof/>
        <w:lang w:val="en-US"/>
      </w:rPr>
      <mc:AlternateContent>
        <mc:Choice Requires="wps">
          <w:drawing>
            <wp:anchor distT="0" distB="0" distL="0" distR="0" simplePos="0" relativeHeight="251658248" behindDoc="0" locked="0" layoutInCell="1" allowOverlap="1" wp14:anchorId="34E55F62" wp14:editId="5E88F3B6">
              <wp:simplePos x="635" y="635"/>
              <wp:positionH relativeFrom="page">
                <wp:align>center</wp:align>
              </wp:positionH>
              <wp:positionV relativeFrom="page">
                <wp:align>top</wp:align>
              </wp:positionV>
              <wp:extent cx="443865" cy="443865"/>
              <wp:effectExtent l="0" t="0" r="0" b="4445"/>
              <wp:wrapNone/>
              <wp:docPr id="1010164821" name="Text Box 9"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88148" w14:textId="3815123E" w:rsidR="00245B6C" w:rsidRPr="00D973EC" w:rsidRDefault="00245B6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55F62" id="_x0000_t202" coordsize="21600,21600" o:spt="202" path="m,l,21600r21600,l21600,xe">
              <v:stroke joinstyle="miter"/>
              <v:path gradientshapeok="t" o:connecttype="rect"/>
            </v:shapetype>
            <v:shape id="Text Box 9" o:spid="_x0000_s1027" type="#_x0000_t202" alt="OFFICIAL: Sensitive Legal Privilege"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AB88148" w14:textId="3815123E" w:rsidR="00245B6C" w:rsidRPr="00D973EC" w:rsidRDefault="00245B6C">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9A64" w14:textId="77777777" w:rsidR="00245B6C" w:rsidRDefault="00245B6C">
    <w:pPr>
      <w:pStyle w:val="Header"/>
    </w:pPr>
    <w:r>
      <w:rPr>
        <w:noProof/>
      </w:rPr>
      <mc:AlternateContent>
        <mc:Choice Requires="wps">
          <w:drawing>
            <wp:anchor distT="0" distB="0" distL="0" distR="0" simplePos="0" relativeHeight="251658246" behindDoc="0" locked="0" layoutInCell="1" allowOverlap="1" wp14:anchorId="595B367E" wp14:editId="1B465C50">
              <wp:simplePos x="720725" y="450850"/>
              <wp:positionH relativeFrom="page">
                <wp:align>center</wp:align>
              </wp:positionH>
              <wp:positionV relativeFrom="page">
                <wp:align>top</wp:align>
              </wp:positionV>
              <wp:extent cx="443865" cy="443865"/>
              <wp:effectExtent l="0" t="0" r="0" b="4445"/>
              <wp:wrapNone/>
              <wp:docPr id="201534872" name="Text Box 7"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456EE" w14:textId="5BBE1A47" w:rsidR="00245B6C" w:rsidRPr="00D973EC" w:rsidRDefault="00245B6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B367E" id="_x0000_t202" coordsize="21600,21600" o:spt="202" path="m,l,21600r21600,l21600,xe">
              <v:stroke joinstyle="miter"/>
              <v:path gradientshapeok="t" o:connecttype="rect"/>
            </v:shapetype>
            <v:shape id="Text Box 7" o:spid="_x0000_s1030" type="#_x0000_t202" alt="OFFICIAL: Sensitive Legal Privilege"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FF456EE" w14:textId="5BBE1A47" w:rsidR="00245B6C" w:rsidRPr="00D973EC" w:rsidRDefault="00245B6C">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EAF0" w14:textId="1884B563" w:rsidR="000E6447" w:rsidRPr="00816825" w:rsidRDefault="00E05D3B">
    <w:pPr>
      <w:pStyle w:val="leftheader"/>
    </w:pPr>
    <w:fldSimple w:instr=" STYLEREF  &quot;Heading 1&quot;  \* MERGEFORMAT ">
      <w:r w:rsidRPr="00E05D3B">
        <w:rPr>
          <w:noProof/>
          <w:lang w:val="en-US"/>
        </w:rPr>
        <w:t>Making</w:t>
      </w:r>
      <w:r>
        <w:rPr>
          <w:noProof/>
        </w:rPr>
        <w:t xml:space="preserve"> Continuation Determinations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FC4E" w14:textId="414977BC" w:rsidR="000E6447" w:rsidRPr="00091474" w:rsidRDefault="000E6447">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5C70" w14:textId="1C9F072E" w:rsidR="000E6447" w:rsidRDefault="000E6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4068" w14:textId="516CAA05" w:rsidR="00245B6C" w:rsidRPr="00816825" w:rsidRDefault="00245B6C">
    <w:pPr>
      <w:pStyle w:val="leftheader"/>
    </w:pPr>
    <w:r>
      <w:rPr>
        <w:noProof/>
      </w:rPr>
      <mc:AlternateContent>
        <mc:Choice Requires="wps">
          <w:drawing>
            <wp:anchor distT="0" distB="0" distL="0" distR="0" simplePos="0" relativeHeight="251658250" behindDoc="0" locked="0" layoutInCell="1" allowOverlap="1" wp14:anchorId="03B1EB0C" wp14:editId="5B92CC07">
              <wp:simplePos x="635" y="635"/>
              <wp:positionH relativeFrom="page">
                <wp:align>center</wp:align>
              </wp:positionH>
              <wp:positionV relativeFrom="page">
                <wp:align>top</wp:align>
              </wp:positionV>
              <wp:extent cx="443865" cy="443865"/>
              <wp:effectExtent l="0" t="0" r="0" b="4445"/>
              <wp:wrapNone/>
              <wp:docPr id="1903352206" name="Text Box 11"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25870"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1EB0C" id="_x0000_t202" coordsize="21600,21600" o:spt="202" path="m,l,21600r21600,l21600,xe">
              <v:stroke joinstyle="miter"/>
              <v:path gradientshapeok="t" o:connecttype="rect"/>
            </v:shapetype>
            <v:shape id="Text Box 11" o:spid="_x0000_s1032" type="#_x0000_t202" alt="OFFICIAL: Sensitive Legal Privilege"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6325870"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fldSimple w:instr="STYLEREF  &quot;Heading 1&quot;  \* MERGEFORMAT">
      <w:r w:rsidR="00E05D3B" w:rsidRPr="00E05D3B">
        <w:rPr>
          <w:noProof/>
          <w:lang w:val="en-US"/>
        </w:rPr>
        <w:t>Making</w:t>
      </w:r>
      <w:r w:rsidR="00E05D3B">
        <w:rPr>
          <w:noProof/>
        </w:rPr>
        <w:t xml:space="preserve"> Continuation Determinations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FC50" w14:textId="77777777" w:rsidR="00245B6C" w:rsidRPr="00091474" w:rsidRDefault="00245B6C">
    <w:pPr>
      <w:pStyle w:val="rightheader"/>
    </w:pPr>
    <w:r>
      <w:rPr>
        <w:noProof/>
      </w:rPr>
      <mc:AlternateContent>
        <mc:Choice Requires="wps">
          <w:drawing>
            <wp:anchor distT="0" distB="0" distL="0" distR="0" simplePos="0" relativeHeight="251658251" behindDoc="0" locked="0" layoutInCell="1" allowOverlap="1" wp14:anchorId="29AA09E0" wp14:editId="7B49AE56">
              <wp:simplePos x="635" y="635"/>
              <wp:positionH relativeFrom="page">
                <wp:align>center</wp:align>
              </wp:positionH>
              <wp:positionV relativeFrom="page">
                <wp:align>top</wp:align>
              </wp:positionV>
              <wp:extent cx="443865" cy="443865"/>
              <wp:effectExtent l="0" t="0" r="0" b="4445"/>
              <wp:wrapNone/>
              <wp:docPr id="925317469" name="Text Box 12"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79940" w14:textId="45E79FB0" w:rsidR="00245B6C" w:rsidRPr="00D973EC" w:rsidRDefault="00245B6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A09E0" id="_x0000_t202" coordsize="21600,21600" o:spt="202" path="m,l,21600r21600,l21600,xe">
              <v:stroke joinstyle="miter"/>
              <v:path gradientshapeok="t" o:connecttype="rect"/>
            </v:shapetype>
            <v:shape id="Text Box 12" o:spid="_x0000_s1033" type="#_x0000_t202" alt="OFFICIAL: Sensitive Legal Privilege"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4779940" w14:textId="45E79FB0" w:rsidR="00245B6C" w:rsidRPr="00D973EC" w:rsidRDefault="00245B6C">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62C2" w14:textId="77777777" w:rsidR="00245B6C" w:rsidRDefault="00245B6C">
    <w:pPr>
      <w:pStyle w:val="Header"/>
    </w:pPr>
    <w:r>
      <w:rPr>
        <w:noProof/>
      </w:rPr>
      <mc:AlternateContent>
        <mc:Choice Requires="wps">
          <w:drawing>
            <wp:anchor distT="0" distB="0" distL="0" distR="0" simplePos="0" relativeHeight="251658249" behindDoc="0" locked="0" layoutInCell="1" allowOverlap="1" wp14:anchorId="4BAE4377" wp14:editId="775F011F">
              <wp:simplePos x="635" y="635"/>
              <wp:positionH relativeFrom="page">
                <wp:align>center</wp:align>
              </wp:positionH>
              <wp:positionV relativeFrom="page">
                <wp:align>top</wp:align>
              </wp:positionV>
              <wp:extent cx="443865" cy="443865"/>
              <wp:effectExtent l="0" t="0" r="0" b="4445"/>
              <wp:wrapNone/>
              <wp:docPr id="578351405" name="Text Box 10"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344AA"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E4377" id="_x0000_t202" coordsize="21600,21600" o:spt="202" path="m,l,21600r21600,l21600,xe">
              <v:stroke joinstyle="miter"/>
              <v:path gradientshapeok="t" o:connecttype="rect"/>
            </v:shapetype>
            <v:shape id="Text Box 10" o:spid="_x0000_s1036" type="#_x0000_t202" alt="OFFICIAL: Sensitive Legal Privilege"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67344AA" w14:textId="77777777" w:rsidR="00245B6C" w:rsidRPr="00D973EC" w:rsidRDefault="00245B6C">
                    <w:pPr>
                      <w:spacing w:after="0"/>
                      <w:rPr>
                        <w:rFonts w:ascii="Calibri" w:eastAsia="Calibri" w:hAnsi="Calibri" w:cs="Calibri"/>
                        <w:noProof/>
                        <w:color w:val="FF0000"/>
                        <w:sz w:val="24"/>
                        <w:szCs w:val="24"/>
                      </w:rPr>
                    </w:pPr>
                    <w:r w:rsidRPr="00D973EC">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9707682">
    <w:abstractNumId w:val="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834690233">
    <w:abstractNumId w:val="0"/>
  </w:num>
  <w:num w:numId="3" w16cid:durableId="1005204720">
    <w:abstractNumId w:val="1"/>
  </w:num>
  <w:num w:numId="4" w16cid:durableId="805703542">
    <w:abstractNumId w:val="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36"/>
    <w:rsid w:val="00000691"/>
    <w:rsid w:val="00000936"/>
    <w:rsid w:val="00000A98"/>
    <w:rsid w:val="00000C45"/>
    <w:rsid w:val="00002A93"/>
    <w:rsid w:val="00003176"/>
    <w:rsid w:val="00003CA2"/>
    <w:rsid w:val="000043BB"/>
    <w:rsid w:val="00004866"/>
    <w:rsid w:val="00006291"/>
    <w:rsid w:val="00006CF3"/>
    <w:rsid w:val="0000733B"/>
    <w:rsid w:val="00012879"/>
    <w:rsid w:val="0001337F"/>
    <w:rsid w:val="00020276"/>
    <w:rsid w:val="00020B7A"/>
    <w:rsid w:val="0002129A"/>
    <w:rsid w:val="000213A4"/>
    <w:rsid w:val="00024BFC"/>
    <w:rsid w:val="00024C3C"/>
    <w:rsid w:val="00024F95"/>
    <w:rsid w:val="0002567A"/>
    <w:rsid w:val="00025875"/>
    <w:rsid w:val="00027E00"/>
    <w:rsid w:val="0003259B"/>
    <w:rsid w:val="00033AE7"/>
    <w:rsid w:val="0003531E"/>
    <w:rsid w:val="0003631B"/>
    <w:rsid w:val="00037E05"/>
    <w:rsid w:val="00041176"/>
    <w:rsid w:val="00041DDC"/>
    <w:rsid w:val="00043172"/>
    <w:rsid w:val="00043A0B"/>
    <w:rsid w:val="000447DD"/>
    <w:rsid w:val="00044D70"/>
    <w:rsid w:val="000467D6"/>
    <w:rsid w:val="00046EC8"/>
    <w:rsid w:val="00047395"/>
    <w:rsid w:val="00047F14"/>
    <w:rsid w:val="00050F04"/>
    <w:rsid w:val="000538F5"/>
    <w:rsid w:val="00053F7F"/>
    <w:rsid w:val="000547B9"/>
    <w:rsid w:val="00054958"/>
    <w:rsid w:val="00055157"/>
    <w:rsid w:val="00056380"/>
    <w:rsid w:val="00057AD3"/>
    <w:rsid w:val="00057D78"/>
    <w:rsid w:val="00060800"/>
    <w:rsid w:val="00061543"/>
    <w:rsid w:val="00061585"/>
    <w:rsid w:val="0006181A"/>
    <w:rsid w:val="00063D10"/>
    <w:rsid w:val="0006507A"/>
    <w:rsid w:val="00065C4E"/>
    <w:rsid w:val="00065FF8"/>
    <w:rsid w:val="00066D48"/>
    <w:rsid w:val="0006756B"/>
    <w:rsid w:val="00070B07"/>
    <w:rsid w:val="00070DA8"/>
    <w:rsid w:val="00072CBF"/>
    <w:rsid w:val="00072DC1"/>
    <w:rsid w:val="00072F2A"/>
    <w:rsid w:val="00073672"/>
    <w:rsid w:val="00073F1C"/>
    <w:rsid w:val="00074E10"/>
    <w:rsid w:val="00081A18"/>
    <w:rsid w:val="00081C1F"/>
    <w:rsid w:val="00081C77"/>
    <w:rsid w:val="0008256D"/>
    <w:rsid w:val="0008486A"/>
    <w:rsid w:val="0008619E"/>
    <w:rsid w:val="0008633B"/>
    <w:rsid w:val="000874A8"/>
    <w:rsid w:val="00087998"/>
    <w:rsid w:val="00091B4D"/>
    <w:rsid w:val="00093032"/>
    <w:rsid w:val="000939B2"/>
    <w:rsid w:val="0009540F"/>
    <w:rsid w:val="0009548A"/>
    <w:rsid w:val="0009570D"/>
    <w:rsid w:val="00097767"/>
    <w:rsid w:val="000A1BDE"/>
    <w:rsid w:val="000A210A"/>
    <w:rsid w:val="000A3E99"/>
    <w:rsid w:val="000A3FB9"/>
    <w:rsid w:val="000A4D5E"/>
    <w:rsid w:val="000A693F"/>
    <w:rsid w:val="000A720E"/>
    <w:rsid w:val="000A7416"/>
    <w:rsid w:val="000B0861"/>
    <w:rsid w:val="000B1045"/>
    <w:rsid w:val="000B22EC"/>
    <w:rsid w:val="000B52C7"/>
    <w:rsid w:val="000B5EBD"/>
    <w:rsid w:val="000B6F7F"/>
    <w:rsid w:val="000B7C48"/>
    <w:rsid w:val="000B7D63"/>
    <w:rsid w:val="000B7DA1"/>
    <w:rsid w:val="000B7EC8"/>
    <w:rsid w:val="000C1A54"/>
    <w:rsid w:val="000C329C"/>
    <w:rsid w:val="000C33A2"/>
    <w:rsid w:val="000C50AC"/>
    <w:rsid w:val="000C598A"/>
    <w:rsid w:val="000C5990"/>
    <w:rsid w:val="000C6133"/>
    <w:rsid w:val="000C61A4"/>
    <w:rsid w:val="000C7D07"/>
    <w:rsid w:val="000C7DE7"/>
    <w:rsid w:val="000D064A"/>
    <w:rsid w:val="000D1931"/>
    <w:rsid w:val="000D1BDD"/>
    <w:rsid w:val="000D44CC"/>
    <w:rsid w:val="000D767C"/>
    <w:rsid w:val="000D7B53"/>
    <w:rsid w:val="000E01FB"/>
    <w:rsid w:val="000E04E8"/>
    <w:rsid w:val="000E2397"/>
    <w:rsid w:val="000E415D"/>
    <w:rsid w:val="000E46F0"/>
    <w:rsid w:val="000E6447"/>
    <w:rsid w:val="000E6E18"/>
    <w:rsid w:val="000E7FE9"/>
    <w:rsid w:val="000F167C"/>
    <w:rsid w:val="000F2A96"/>
    <w:rsid w:val="000F30CD"/>
    <w:rsid w:val="000F57D1"/>
    <w:rsid w:val="000F6335"/>
    <w:rsid w:val="000F6B80"/>
    <w:rsid w:val="000F7619"/>
    <w:rsid w:val="00103424"/>
    <w:rsid w:val="001038FB"/>
    <w:rsid w:val="00106E5E"/>
    <w:rsid w:val="00110547"/>
    <w:rsid w:val="00110BBA"/>
    <w:rsid w:val="00111F1A"/>
    <w:rsid w:val="00112443"/>
    <w:rsid w:val="0011245C"/>
    <w:rsid w:val="00112476"/>
    <w:rsid w:val="0011353C"/>
    <w:rsid w:val="001144A2"/>
    <w:rsid w:val="00115DFF"/>
    <w:rsid w:val="001171F0"/>
    <w:rsid w:val="001175F2"/>
    <w:rsid w:val="00117976"/>
    <w:rsid w:val="00120002"/>
    <w:rsid w:val="001202AC"/>
    <w:rsid w:val="001225DB"/>
    <w:rsid w:val="00123272"/>
    <w:rsid w:val="00124D1D"/>
    <w:rsid w:val="00125752"/>
    <w:rsid w:val="00125E51"/>
    <w:rsid w:val="00127BD6"/>
    <w:rsid w:val="00130088"/>
    <w:rsid w:val="001304BF"/>
    <w:rsid w:val="00132857"/>
    <w:rsid w:val="00133C0E"/>
    <w:rsid w:val="001343EB"/>
    <w:rsid w:val="00134594"/>
    <w:rsid w:val="00135389"/>
    <w:rsid w:val="00136E27"/>
    <w:rsid w:val="0014323B"/>
    <w:rsid w:val="00143F5A"/>
    <w:rsid w:val="00144685"/>
    <w:rsid w:val="001462EE"/>
    <w:rsid w:val="00146BF5"/>
    <w:rsid w:val="00150D71"/>
    <w:rsid w:val="00150DF3"/>
    <w:rsid w:val="0015100D"/>
    <w:rsid w:val="001512CF"/>
    <w:rsid w:val="00152046"/>
    <w:rsid w:val="00152462"/>
    <w:rsid w:val="001525AB"/>
    <w:rsid w:val="0015425C"/>
    <w:rsid w:val="0015460A"/>
    <w:rsid w:val="00157037"/>
    <w:rsid w:val="0016296F"/>
    <w:rsid w:val="00162C36"/>
    <w:rsid w:val="00163438"/>
    <w:rsid w:val="00163441"/>
    <w:rsid w:val="00163A44"/>
    <w:rsid w:val="001648B1"/>
    <w:rsid w:val="00166090"/>
    <w:rsid w:val="00166758"/>
    <w:rsid w:val="001711A6"/>
    <w:rsid w:val="0017329B"/>
    <w:rsid w:val="00173301"/>
    <w:rsid w:val="0017415E"/>
    <w:rsid w:val="001762AB"/>
    <w:rsid w:val="0017630D"/>
    <w:rsid w:val="00176B40"/>
    <w:rsid w:val="001776CD"/>
    <w:rsid w:val="001808E9"/>
    <w:rsid w:val="00181EE6"/>
    <w:rsid w:val="0018396E"/>
    <w:rsid w:val="00185CED"/>
    <w:rsid w:val="00186B64"/>
    <w:rsid w:val="00190189"/>
    <w:rsid w:val="00190F55"/>
    <w:rsid w:val="00191DB7"/>
    <w:rsid w:val="001921A0"/>
    <w:rsid w:val="0019437B"/>
    <w:rsid w:val="00194489"/>
    <w:rsid w:val="00194BE3"/>
    <w:rsid w:val="00195CFB"/>
    <w:rsid w:val="00197DBB"/>
    <w:rsid w:val="001A03F9"/>
    <w:rsid w:val="001A5B5D"/>
    <w:rsid w:val="001A5EA8"/>
    <w:rsid w:val="001A5F98"/>
    <w:rsid w:val="001A68AD"/>
    <w:rsid w:val="001A6FCE"/>
    <w:rsid w:val="001A7CE9"/>
    <w:rsid w:val="001B059A"/>
    <w:rsid w:val="001B25D8"/>
    <w:rsid w:val="001B5DE3"/>
    <w:rsid w:val="001C27AD"/>
    <w:rsid w:val="001C33E0"/>
    <w:rsid w:val="001C3A27"/>
    <w:rsid w:val="001C4566"/>
    <w:rsid w:val="001C597C"/>
    <w:rsid w:val="001C6AF4"/>
    <w:rsid w:val="001C7990"/>
    <w:rsid w:val="001D3DE6"/>
    <w:rsid w:val="001D5500"/>
    <w:rsid w:val="001D56DB"/>
    <w:rsid w:val="001D57E4"/>
    <w:rsid w:val="001D5B96"/>
    <w:rsid w:val="001E056F"/>
    <w:rsid w:val="001E137E"/>
    <w:rsid w:val="001E13E0"/>
    <w:rsid w:val="001E1C7C"/>
    <w:rsid w:val="001E1CC4"/>
    <w:rsid w:val="001E33D9"/>
    <w:rsid w:val="001E3908"/>
    <w:rsid w:val="001E5596"/>
    <w:rsid w:val="001E5B8F"/>
    <w:rsid w:val="001E64AE"/>
    <w:rsid w:val="001E777C"/>
    <w:rsid w:val="001F2744"/>
    <w:rsid w:val="001F3321"/>
    <w:rsid w:val="001F4D1A"/>
    <w:rsid w:val="001F50A0"/>
    <w:rsid w:val="001F68FD"/>
    <w:rsid w:val="001F69A0"/>
    <w:rsid w:val="001F6BF2"/>
    <w:rsid w:val="001F7E89"/>
    <w:rsid w:val="00200171"/>
    <w:rsid w:val="0020092F"/>
    <w:rsid w:val="00201352"/>
    <w:rsid w:val="002019B3"/>
    <w:rsid w:val="00201DE3"/>
    <w:rsid w:val="00201F86"/>
    <w:rsid w:val="00203E01"/>
    <w:rsid w:val="00206AC7"/>
    <w:rsid w:val="00206FFA"/>
    <w:rsid w:val="002075E7"/>
    <w:rsid w:val="00211966"/>
    <w:rsid w:val="002119A3"/>
    <w:rsid w:val="002128A2"/>
    <w:rsid w:val="00213A5F"/>
    <w:rsid w:val="002158E5"/>
    <w:rsid w:val="00216470"/>
    <w:rsid w:val="00220459"/>
    <w:rsid w:val="00220CCD"/>
    <w:rsid w:val="00220E66"/>
    <w:rsid w:val="002210E2"/>
    <w:rsid w:val="002216D3"/>
    <w:rsid w:val="002226A1"/>
    <w:rsid w:val="00222D88"/>
    <w:rsid w:val="00223941"/>
    <w:rsid w:val="00224675"/>
    <w:rsid w:val="00224B56"/>
    <w:rsid w:val="00225885"/>
    <w:rsid w:val="00226977"/>
    <w:rsid w:val="00227222"/>
    <w:rsid w:val="0023184B"/>
    <w:rsid w:val="00231C9D"/>
    <w:rsid w:val="002321CB"/>
    <w:rsid w:val="002331E9"/>
    <w:rsid w:val="00233375"/>
    <w:rsid w:val="00233A22"/>
    <w:rsid w:val="00233A65"/>
    <w:rsid w:val="00233B03"/>
    <w:rsid w:val="00235E4B"/>
    <w:rsid w:val="00235E85"/>
    <w:rsid w:val="00236B76"/>
    <w:rsid w:val="0023759B"/>
    <w:rsid w:val="00237D30"/>
    <w:rsid w:val="00240948"/>
    <w:rsid w:val="002423CC"/>
    <w:rsid w:val="00242CB2"/>
    <w:rsid w:val="0024337A"/>
    <w:rsid w:val="00243A84"/>
    <w:rsid w:val="00245B6C"/>
    <w:rsid w:val="00245BB8"/>
    <w:rsid w:val="00246F76"/>
    <w:rsid w:val="002478DE"/>
    <w:rsid w:val="00247B6F"/>
    <w:rsid w:val="00250D73"/>
    <w:rsid w:val="00251449"/>
    <w:rsid w:val="00251EA4"/>
    <w:rsid w:val="0025210F"/>
    <w:rsid w:val="002530C9"/>
    <w:rsid w:val="00256ED6"/>
    <w:rsid w:val="0025793E"/>
    <w:rsid w:val="00260358"/>
    <w:rsid w:val="00261891"/>
    <w:rsid w:val="0026199F"/>
    <w:rsid w:val="002619E5"/>
    <w:rsid w:val="00263786"/>
    <w:rsid w:val="002661C7"/>
    <w:rsid w:val="0026687A"/>
    <w:rsid w:val="002700D2"/>
    <w:rsid w:val="00271AB2"/>
    <w:rsid w:val="00274D9B"/>
    <w:rsid w:val="00277643"/>
    <w:rsid w:val="0028089C"/>
    <w:rsid w:val="0028246B"/>
    <w:rsid w:val="002839F5"/>
    <w:rsid w:val="00284BDA"/>
    <w:rsid w:val="002852A7"/>
    <w:rsid w:val="002853F6"/>
    <w:rsid w:val="00285C86"/>
    <w:rsid w:val="00285D6B"/>
    <w:rsid w:val="002870AD"/>
    <w:rsid w:val="00287716"/>
    <w:rsid w:val="002905B3"/>
    <w:rsid w:val="002915B2"/>
    <w:rsid w:val="00291DCA"/>
    <w:rsid w:val="00292C45"/>
    <w:rsid w:val="0029301A"/>
    <w:rsid w:val="00293CB3"/>
    <w:rsid w:val="00294A1F"/>
    <w:rsid w:val="00294B30"/>
    <w:rsid w:val="00294D1C"/>
    <w:rsid w:val="00295CF0"/>
    <w:rsid w:val="00296218"/>
    <w:rsid w:val="0029700A"/>
    <w:rsid w:val="002A314F"/>
    <w:rsid w:val="002A4A3C"/>
    <w:rsid w:val="002A587E"/>
    <w:rsid w:val="002A64F9"/>
    <w:rsid w:val="002A72ED"/>
    <w:rsid w:val="002B148D"/>
    <w:rsid w:val="002B17EB"/>
    <w:rsid w:val="002B25FE"/>
    <w:rsid w:val="002B30EA"/>
    <w:rsid w:val="002B3EF4"/>
    <w:rsid w:val="002B56FB"/>
    <w:rsid w:val="002C03C2"/>
    <w:rsid w:val="002C1BDA"/>
    <w:rsid w:val="002C1C9A"/>
    <w:rsid w:val="002C28A9"/>
    <w:rsid w:val="002C2973"/>
    <w:rsid w:val="002C2BF2"/>
    <w:rsid w:val="002C3625"/>
    <w:rsid w:val="002C45D5"/>
    <w:rsid w:val="002C566F"/>
    <w:rsid w:val="002D0C1C"/>
    <w:rsid w:val="002D3A82"/>
    <w:rsid w:val="002D534F"/>
    <w:rsid w:val="002D5DC1"/>
    <w:rsid w:val="002D63E4"/>
    <w:rsid w:val="002D69A1"/>
    <w:rsid w:val="002D6F53"/>
    <w:rsid w:val="002D7D99"/>
    <w:rsid w:val="002E045B"/>
    <w:rsid w:val="002E0B96"/>
    <w:rsid w:val="002E0BB5"/>
    <w:rsid w:val="002E24E3"/>
    <w:rsid w:val="002E35DD"/>
    <w:rsid w:val="002E4BAF"/>
    <w:rsid w:val="002E7AD0"/>
    <w:rsid w:val="002F04EB"/>
    <w:rsid w:val="002F0D29"/>
    <w:rsid w:val="002F23BD"/>
    <w:rsid w:val="002F44EA"/>
    <w:rsid w:val="002F5C06"/>
    <w:rsid w:val="00300D61"/>
    <w:rsid w:val="00300E13"/>
    <w:rsid w:val="0030318A"/>
    <w:rsid w:val="0030539B"/>
    <w:rsid w:val="00305FC5"/>
    <w:rsid w:val="00306182"/>
    <w:rsid w:val="00306DBC"/>
    <w:rsid w:val="00310141"/>
    <w:rsid w:val="0031223B"/>
    <w:rsid w:val="003122C7"/>
    <w:rsid w:val="00312F84"/>
    <w:rsid w:val="0031339A"/>
    <w:rsid w:val="0031455C"/>
    <w:rsid w:val="00314651"/>
    <w:rsid w:val="00315199"/>
    <w:rsid w:val="00321AD4"/>
    <w:rsid w:val="0032243F"/>
    <w:rsid w:val="0032338D"/>
    <w:rsid w:val="0032362E"/>
    <w:rsid w:val="00323D47"/>
    <w:rsid w:val="00324DE5"/>
    <w:rsid w:val="003250A6"/>
    <w:rsid w:val="00325F52"/>
    <w:rsid w:val="003274A0"/>
    <w:rsid w:val="00331868"/>
    <w:rsid w:val="003318D2"/>
    <w:rsid w:val="00332B6E"/>
    <w:rsid w:val="0033449C"/>
    <w:rsid w:val="003351B2"/>
    <w:rsid w:val="003373EF"/>
    <w:rsid w:val="0034011F"/>
    <w:rsid w:val="003410CC"/>
    <w:rsid w:val="003418A2"/>
    <w:rsid w:val="00342583"/>
    <w:rsid w:val="00342944"/>
    <w:rsid w:val="00342AAF"/>
    <w:rsid w:val="00342C07"/>
    <w:rsid w:val="00343A79"/>
    <w:rsid w:val="0034425D"/>
    <w:rsid w:val="0034576D"/>
    <w:rsid w:val="00346FA2"/>
    <w:rsid w:val="003542FB"/>
    <w:rsid w:val="003556E4"/>
    <w:rsid w:val="00356A8E"/>
    <w:rsid w:val="00356FDC"/>
    <w:rsid w:val="0035745E"/>
    <w:rsid w:val="003607D1"/>
    <w:rsid w:val="00361E58"/>
    <w:rsid w:val="003628BA"/>
    <w:rsid w:val="00362CCB"/>
    <w:rsid w:val="00363CD5"/>
    <w:rsid w:val="00363D72"/>
    <w:rsid w:val="0036445A"/>
    <w:rsid w:val="003646E5"/>
    <w:rsid w:val="00366A8D"/>
    <w:rsid w:val="00371F58"/>
    <w:rsid w:val="00374602"/>
    <w:rsid w:val="00374F50"/>
    <w:rsid w:val="00375069"/>
    <w:rsid w:val="0037568C"/>
    <w:rsid w:val="00376C57"/>
    <w:rsid w:val="00377141"/>
    <w:rsid w:val="003771DB"/>
    <w:rsid w:val="003833B6"/>
    <w:rsid w:val="00383EA4"/>
    <w:rsid w:val="00385861"/>
    <w:rsid w:val="003859EE"/>
    <w:rsid w:val="00386CE6"/>
    <w:rsid w:val="00390755"/>
    <w:rsid w:val="00390785"/>
    <w:rsid w:val="003941DE"/>
    <w:rsid w:val="003961EA"/>
    <w:rsid w:val="0039782B"/>
    <w:rsid w:val="003A1981"/>
    <w:rsid w:val="003A23D0"/>
    <w:rsid w:val="003A2E52"/>
    <w:rsid w:val="003A2E64"/>
    <w:rsid w:val="003A4837"/>
    <w:rsid w:val="003A5176"/>
    <w:rsid w:val="003A57A2"/>
    <w:rsid w:val="003A75B3"/>
    <w:rsid w:val="003A772C"/>
    <w:rsid w:val="003B0211"/>
    <w:rsid w:val="003B12CB"/>
    <w:rsid w:val="003B308C"/>
    <w:rsid w:val="003B5311"/>
    <w:rsid w:val="003B571C"/>
    <w:rsid w:val="003C24FC"/>
    <w:rsid w:val="003C49F2"/>
    <w:rsid w:val="003C771B"/>
    <w:rsid w:val="003C7D61"/>
    <w:rsid w:val="003C7F01"/>
    <w:rsid w:val="003D1DCE"/>
    <w:rsid w:val="003D3442"/>
    <w:rsid w:val="003D3445"/>
    <w:rsid w:val="003D40CA"/>
    <w:rsid w:val="003D4630"/>
    <w:rsid w:val="003D4EB8"/>
    <w:rsid w:val="003D75CE"/>
    <w:rsid w:val="003D76E2"/>
    <w:rsid w:val="003D7919"/>
    <w:rsid w:val="003E0FB7"/>
    <w:rsid w:val="003E4713"/>
    <w:rsid w:val="003F136F"/>
    <w:rsid w:val="003F1CA6"/>
    <w:rsid w:val="003F2344"/>
    <w:rsid w:val="003F4181"/>
    <w:rsid w:val="003F637A"/>
    <w:rsid w:val="003F75CA"/>
    <w:rsid w:val="003F7ECC"/>
    <w:rsid w:val="00401149"/>
    <w:rsid w:val="004026F2"/>
    <w:rsid w:val="0040443F"/>
    <w:rsid w:val="00404488"/>
    <w:rsid w:val="00406015"/>
    <w:rsid w:val="004065C4"/>
    <w:rsid w:val="0040690D"/>
    <w:rsid w:val="00406AE4"/>
    <w:rsid w:val="0041227A"/>
    <w:rsid w:val="00413602"/>
    <w:rsid w:val="0041410E"/>
    <w:rsid w:val="00415593"/>
    <w:rsid w:val="00415C17"/>
    <w:rsid w:val="00416AA7"/>
    <w:rsid w:val="004177D0"/>
    <w:rsid w:val="00420215"/>
    <w:rsid w:val="004228FC"/>
    <w:rsid w:val="00422F5E"/>
    <w:rsid w:val="004239C7"/>
    <w:rsid w:val="00423EB5"/>
    <w:rsid w:val="00425C8F"/>
    <w:rsid w:val="00425D5C"/>
    <w:rsid w:val="00426DC2"/>
    <w:rsid w:val="00430469"/>
    <w:rsid w:val="004309D8"/>
    <w:rsid w:val="00430FAA"/>
    <w:rsid w:val="004323B5"/>
    <w:rsid w:val="004336AC"/>
    <w:rsid w:val="00437ACD"/>
    <w:rsid w:val="00437E2F"/>
    <w:rsid w:val="00441353"/>
    <w:rsid w:val="004415E9"/>
    <w:rsid w:val="0044275B"/>
    <w:rsid w:val="00442979"/>
    <w:rsid w:val="0044345C"/>
    <w:rsid w:val="00444100"/>
    <w:rsid w:val="004448D7"/>
    <w:rsid w:val="00450D90"/>
    <w:rsid w:val="00452F68"/>
    <w:rsid w:val="00453B98"/>
    <w:rsid w:val="00453F1E"/>
    <w:rsid w:val="00454E67"/>
    <w:rsid w:val="00455265"/>
    <w:rsid w:val="00455616"/>
    <w:rsid w:val="00460D2A"/>
    <w:rsid w:val="004625A3"/>
    <w:rsid w:val="00462660"/>
    <w:rsid w:val="00462E5E"/>
    <w:rsid w:val="00464F2B"/>
    <w:rsid w:val="00466F70"/>
    <w:rsid w:val="00467A45"/>
    <w:rsid w:val="00467F35"/>
    <w:rsid w:val="00471BCA"/>
    <w:rsid w:val="00471C6B"/>
    <w:rsid w:val="00473CD3"/>
    <w:rsid w:val="004747E1"/>
    <w:rsid w:val="00475A84"/>
    <w:rsid w:val="00477C8D"/>
    <w:rsid w:val="00480321"/>
    <w:rsid w:val="00481D6C"/>
    <w:rsid w:val="00482B9C"/>
    <w:rsid w:val="004837C6"/>
    <w:rsid w:val="004838B4"/>
    <w:rsid w:val="0048494A"/>
    <w:rsid w:val="0048627F"/>
    <w:rsid w:val="00486AB8"/>
    <w:rsid w:val="0048769B"/>
    <w:rsid w:val="00491313"/>
    <w:rsid w:val="00491831"/>
    <w:rsid w:val="00497521"/>
    <w:rsid w:val="004A0022"/>
    <w:rsid w:val="004A2B67"/>
    <w:rsid w:val="004A3111"/>
    <w:rsid w:val="004A311B"/>
    <w:rsid w:val="004A3B22"/>
    <w:rsid w:val="004B0A59"/>
    <w:rsid w:val="004B13C7"/>
    <w:rsid w:val="004B2221"/>
    <w:rsid w:val="004B331C"/>
    <w:rsid w:val="004B56C8"/>
    <w:rsid w:val="004B76B6"/>
    <w:rsid w:val="004B7A21"/>
    <w:rsid w:val="004C0236"/>
    <w:rsid w:val="004C0AED"/>
    <w:rsid w:val="004C2477"/>
    <w:rsid w:val="004C5109"/>
    <w:rsid w:val="004C57E8"/>
    <w:rsid w:val="004C58FE"/>
    <w:rsid w:val="004C63C8"/>
    <w:rsid w:val="004C65C3"/>
    <w:rsid w:val="004C7687"/>
    <w:rsid w:val="004C7DF2"/>
    <w:rsid w:val="004D23D3"/>
    <w:rsid w:val="004D3BB9"/>
    <w:rsid w:val="004D49BC"/>
    <w:rsid w:val="004D5288"/>
    <w:rsid w:val="004E1F4B"/>
    <w:rsid w:val="004E21E7"/>
    <w:rsid w:val="004E37B6"/>
    <w:rsid w:val="004E39D2"/>
    <w:rsid w:val="004E6A6C"/>
    <w:rsid w:val="004E6EA1"/>
    <w:rsid w:val="004F03A8"/>
    <w:rsid w:val="004F05A3"/>
    <w:rsid w:val="004F062D"/>
    <w:rsid w:val="004F0CDC"/>
    <w:rsid w:val="004F1018"/>
    <w:rsid w:val="004F1364"/>
    <w:rsid w:val="004F158A"/>
    <w:rsid w:val="004F1638"/>
    <w:rsid w:val="004F2C95"/>
    <w:rsid w:val="004F3D26"/>
    <w:rsid w:val="004F4DFC"/>
    <w:rsid w:val="004F5213"/>
    <w:rsid w:val="004F5377"/>
    <w:rsid w:val="004F5C56"/>
    <w:rsid w:val="004F6D9C"/>
    <w:rsid w:val="004F70D0"/>
    <w:rsid w:val="0050048B"/>
    <w:rsid w:val="005021D9"/>
    <w:rsid w:val="00502BFD"/>
    <w:rsid w:val="005036DC"/>
    <w:rsid w:val="00503FBC"/>
    <w:rsid w:val="00504AF9"/>
    <w:rsid w:val="0050568D"/>
    <w:rsid w:val="00506B28"/>
    <w:rsid w:val="00507057"/>
    <w:rsid w:val="005079B7"/>
    <w:rsid w:val="00510CE2"/>
    <w:rsid w:val="00512BA9"/>
    <w:rsid w:val="005157C6"/>
    <w:rsid w:val="005225A9"/>
    <w:rsid w:val="00522643"/>
    <w:rsid w:val="00523EC3"/>
    <w:rsid w:val="00525D12"/>
    <w:rsid w:val="00525D52"/>
    <w:rsid w:val="00526878"/>
    <w:rsid w:val="00527E50"/>
    <w:rsid w:val="005313EB"/>
    <w:rsid w:val="00531931"/>
    <w:rsid w:val="00531A57"/>
    <w:rsid w:val="00533A42"/>
    <w:rsid w:val="00533C54"/>
    <w:rsid w:val="00535481"/>
    <w:rsid w:val="00535EBF"/>
    <w:rsid w:val="00537D41"/>
    <w:rsid w:val="00546609"/>
    <w:rsid w:val="00547581"/>
    <w:rsid w:val="005475DB"/>
    <w:rsid w:val="005479ED"/>
    <w:rsid w:val="005508CB"/>
    <w:rsid w:val="005509D7"/>
    <w:rsid w:val="00551AE8"/>
    <w:rsid w:val="0055223B"/>
    <w:rsid w:val="005522DD"/>
    <w:rsid w:val="0055309C"/>
    <w:rsid w:val="005547DE"/>
    <w:rsid w:val="00556917"/>
    <w:rsid w:val="005570E9"/>
    <w:rsid w:val="005572D6"/>
    <w:rsid w:val="00557E80"/>
    <w:rsid w:val="005603DF"/>
    <w:rsid w:val="00560AB2"/>
    <w:rsid w:val="00561265"/>
    <w:rsid w:val="005616B9"/>
    <w:rsid w:val="00561B93"/>
    <w:rsid w:val="00562149"/>
    <w:rsid w:val="00562DD4"/>
    <w:rsid w:val="00564206"/>
    <w:rsid w:val="00564AF6"/>
    <w:rsid w:val="00565BE1"/>
    <w:rsid w:val="0056716C"/>
    <w:rsid w:val="0056736A"/>
    <w:rsid w:val="0057008B"/>
    <w:rsid w:val="0057076C"/>
    <w:rsid w:val="00570B20"/>
    <w:rsid w:val="00571CBB"/>
    <w:rsid w:val="00572F9D"/>
    <w:rsid w:val="005739E0"/>
    <w:rsid w:val="005742E1"/>
    <w:rsid w:val="0057664F"/>
    <w:rsid w:val="00577FE7"/>
    <w:rsid w:val="005843D5"/>
    <w:rsid w:val="00584BA6"/>
    <w:rsid w:val="00584E54"/>
    <w:rsid w:val="00584F2F"/>
    <w:rsid w:val="005869C1"/>
    <w:rsid w:val="005911D6"/>
    <w:rsid w:val="00591C00"/>
    <w:rsid w:val="00591DB5"/>
    <w:rsid w:val="00593430"/>
    <w:rsid w:val="00594C8D"/>
    <w:rsid w:val="00595040"/>
    <w:rsid w:val="0059524B"/>
    <w:rsid w:val="00595CB4"/>
    <w:rsid w:val="0059613B"/>
    <w:rsid w:val="005976DA"/>
    <w:rsid w:val="00597EF2"/>
    <w:rsid w:val="005A1351"/>
    <w:rsid w:val="005A1F1C"/>
    <w:rsid w:val="005A4956"/>
    <w:rsid w:val="005A5D44"/>
    <w:rsid w:val="005A65DE"/>
    <w:rsid w:val="005A7DA5"/>
    <w:rsid w:val="005B04C9"/>
    <w:rsid w:val="005B05A0"/>
    <w:rsid w:val="005B6D54"/>
    <w:rsid w:val="005B7335"/>
    <w:rsid w:val="005B7FF4"/>
    <w:rsid w:val="005C01B4"/>
    <w:rsid w:val="005C0AB7"/>
    <w:rsid w:val="005C0FDD"/>
    <w:rsid w:val="005C1FEE"/>
    <w:rsid w:val="005C244E"/>
    <w:rsid w:val="005C2EE2"/>
    <w:rsid w:val="005C316C"/>
    <w:rsid w:val="005C38C1"/>
    <w:rsid w:val="005C6F90"/>
    <w:rsid w:val="005C7785"/>
    <w:rsid w:val="005C7833"/>
    <w:rsid w:val="005C7BDE"/>
    <w:rsid w:val="005D3E0D"/>
    <w:rsid w:val="005D5D39"/>
    <w:rsid w:val="005D624E"/>
    <w:rsid w:val="005D6B76"/>
    <w:rsid w:val="005E001C"/>
    <w:rsid w:val="005E1A3D"/>
    <w:rsid w:val="005E1B28"/>
    <w:rsid w:val="005E252E"/>
    <w:rsid w:val="005E28B0"/>
    <w:rsid w:val="005E328B"/>
    <w:rsid w:val="005E3FB3"/>
    <w:rsid w:val="005E4E3F"/>
    <w:rsid w:val="005E6EDC"/>
    <w:rsid w:val="005E7671"/>
    <w:rsid w:val="005F0A49"/>
    <w:rsid w:val="005F3490"/>
    <w:rsid w:val="005F3F92"/>
    <w:rsid w:val="005F41E4"/>
    <w:rsid w:val="005F42E0"/>
    <w:rsid w:val="005F4690"/>
    <w:rsid w:val="005F47AD"/>
    <w:rsid w:val="006017F4"/>
    <w:rsid w:val="00601834"/>
    <w:rsid w:val="00602A84"/>
    <w:rsid w:val="00602C8C"/>
    <w:rsid w:val="00602D88"/>
    <w:rsid w:val="00602E76"/>
    <w:rsid w:val="006036FE"/>
    <w:rsid w:val="00603946"/>
    <w:rsid w:val="0060395D"/>
    <w:rsid w:val="00603ED5"/>
    <w:rsid w:val="006041E5"/>
    <w:rsid w:val="00604410"/>
    <w:rsid w:val="00606477"/>
    <w:rsid w:val="00607016"/>
    <w:rsid w:val="006102FB"/>
    <w:rsid w:val="00610D69"/>
    <w:rsid w:val="006135E8"/>
    <w:rsid w:val="0061510B"/>
    <w:rsid w:val="006162B1"/>
    <w:rsid w:val="00617093"/>
    <w:rsid w:val="00617340"/>
    <w:rsid w:val="00617546"/>
    <w:rsid w:val="00617E02"/>
    <w:rsid w:val="006219ED"/>
    <w:rsid w:val="00624EB9"/>
    <w:rsid w:val="00625376"/>
    <w:rsid w:val="00625B67"/>
    <w:rsid w:val="006307E2"/>
    <w:rsid w:val="00631B83"/>
    <w:rsid w:val="00631EB0"/>
    <w:rsid w:val="00633509"/>
    <w:rsid w:val="006342EB"/>
    <w:rsid w:val="00634A54"/>
    <w:rsid w:val="00634B53"/>
    <w:rsid w:val="006352E6"/>
    <w:rsid w:val="006366CC"/>
    <w:rsid w:val="00637254"/>
    <w:rsid w:val="00640CA1"/>
    <w:rsid w:val="00643931"/>
    <w:rsid w:val="00646CDE"/>
    <w:rsid w:val="00647BC7"/>
    <w:rsid w:val="00650948"/>
    <w:rsid w:val="00651E43"/>
    <w:rsid w:val="0065213B"/>
    <w:rsid w:val="00652401"/>
    <w:rsid w:val="006525A5"/>
    <w:rsid w:val="00652680"/>
    <w:rsid w:val="00653251"/>
    <w:rsid w:val="00657B02"/>
    <w:rsid w:val="00657FD6"/>
    <w:rsid w:val="00660714"/>
    <w:rsid w:val="00661BD2"/>
    <w:rsid w:val="00663A0E"/>
    <w:rsid w:val="0066594E"/>
    <w:rsid w:val="00667456"/>
    <w:rsid w:val="006730A0"/>
    <w:rsid w:val="0067375C"/>
    <w:rsid w:val="00674C80"/>
    <w:rsid w:val="006764DF"/>
    <w:rsid w:val="00676B06"/>
    <w:rsid w:val="00677157"/>
    <w:rsid w:val="00681A82"/>
    <w:rsid w:val="006832D4"/>
    <w:rsid w:val="00683E7E"/>
    <w:rsid w:val="006861FE"/>
    <w:rsid w:val="006862CE"/>
    <w:rsid w:val="0068663D"/>
    <w:rsid w:val="0069053F"/>
    <w:rsid w:val="00690A3F"/>
    <w:rsid w:val="00690FBA"/>
    <w:rsid w:val="006912CC"/>
    <w:rsid w:val="006913AD"/>
    <w:rsid w:val="006917A7"/>
    <w:rsid w:val="00691FA5"/>
    <w:rsid w:val="00692BAC"/>
    <w:rsid w:val="006941F2"/>
    <w:rsid w:val="00694269"/>
    <w:rsid w:val="00694BBF"/>
    <w:rsid w:val="006964EA"/>
    <w:rsid w:val="00696B17"/>
    <w:rsid w:val="00697602"/>
    <w:rsid w:val="006A1DAC"/>
    <w:rsid w:val="006A2CF5"/>
    <w:rsid w:val="006A30F2"/>
    <w:rsid w:val="006A3A62"/>
    <w:rsid w:val="006A4AF9"/>
    <w:rsid w:val="006A4FEE"/>
    <w:rsid w:val="006A7DD6"/>
    <w:rsid w:val="006B021E"/>
    <w:rsid w:val="006B2845"/>
    <w:rsid w:val="006B2994"/>
    <w:rsid w:val="006B2A7D"/>
    <w:rsid w:val="006B5204"/>
    <w:rsid w:val="006B5489"/>
    <w:rsid w:val="006B59BC"/>
    <w:rsid w:val="006B69C0"/>
    <w:rsid w:val="006B6F04"/>
    <w:rsid w:val="006B76BA"/>
    <w:rsid w:val="006C0DFC"/>
    <w:rsid w:val="006C1FD7"/>
    <w:rsid w:val="006C2CBD"/>
    <w:rsid w:val="006C39BD"/>
    <w:rsid w:val="006C39E6"/>
    <w:rsid w:val="006C3FC2"/>
    <w:rsid w:val="006C409C"/>
    <w:rsid w:val="006C6387"/>
    <w:rsid w:val="006C7627"/>
    <w:rsid w:val="006D03DA"/>
    <w:rsid w:val="006D2997"/>
    <w:rsid w:val="006D3E80"/>
    <w:rsid w:val="006D413E"/>
    <w:rsid w:val="006D44C1"/>
    <w:rsid w:val="006D5804"/>
    <w:rsid w:val="006D6B10"/>
    <w:rsid w:val="006D7093"/>
    <w:rsid w:val="006D7456"/>
    <w:rsid w:val="006E0416"/>
    <w:rsid w:val="006E114B"/>
    <w:rsid w:val="006E14DE"/>
    <w:rsid w:val="006E1B9A"/>
    <w:rsid w:val="006E3670"/>
    <w:rsid w:val="006E38E3"/>
    <w:rsid w:val="006E41CC"/>
    <w:rsid w:val="006E45EE"/>
    <w:rsid w:val="006E5AFA"/>
    <w:rsid w:val="006E5DD3"/>
    <w:rsid w:val="006E7D49"/>
    <w:rsid w:val="006F0767"/>
    <w:rsid w:val="006F1B84"/>
    <w:rsid w:val="006F34A6"/>
    <w:rsid w:val="006F4618"/>
    <w:rsid w:val="006F57EC"/>
    <w:rsid w:val="006F5E22"/>
    <w:rsid w:val="006F6E37"/>
    <w:rsid w:val="00700D3A"/>
    <w:rsid w:val="00701F5D"/>
    <w:rsid w:val="00702400"/>
    <w:rsid w:val="00702DA9"/>
    <w:rsid w:val="00703BB7"/>
    <w:rsid w:val="00703C43"/>
    <w:rsid w:val="007051D2"/>
    <w:rsid w:val="007065FB"/>
    <w:rsid w:val="0070792E"/>
    <w:rsid w:val="00710446"/>
    <w:rsid w:val="00710567"/>
    <w:rsid w:val="00710E9D"/>
    <w:rsid w:val="0071213B"/>
    <w:rsid w:val="007140DA"/>
    <w:rsid w:val="00714FB2"/>
    <w:rsid w:val="007201DE"/>
    <w:rsid w:val="0072210E"/>
    <w:rsid w:val="00723D18"/>
    <w:rsid w:val="00724749"/>
    <w:rsid w:val="00724922"/>
    <w:rsid w:val="00725483"/>
    <w:rsid w:val="00725E8E"/>
    <w:rsid w:val="00726593"/>
    <w:rsid w:val="00726D4C"/>
    <w:rsid w:val="0073105F"/>
    <w:rsid w:val="007313B5"/>
    <w:rsid w:val="00732FC0"/>
    <w:rsid w:val="00733EC1"/>
    <w:rsid w:val="007345A4"/>
    <w:rsid w:val="00735DDD"/>
    <w:rsid w:val="007407BF"/>
    <w:rsid w:val="00743D1F"/>
    <w:rsid w:val="00744231"/>
    <w:rsid w:val="00744B46"/>
    <w:rsid w:val="007463AB"/>
    <w:rsid w:val="0074668F"/>
    <w:rsid w:val="00750922"/>
    <w:rsid w:val="007513D8"/>
    <w:rsid w:val="007521CA"/>
    <w:rsid w:val="00752609"/>
    <w:rsid w:val="00753E64"/>
    <w:rsid w:val="00755A92"/>
    <w:rsid w:val="007570B6"/>
    <w:rsid w:val="007606BB"/>
    <w:rsid w:val="007607B5"/>
    <w:rsid w:val="00760A8B"/>
    <w:rsid w:val="00761E57"/>
    <w:rsid w:val="007624FB"/>
    <w:rsid w:val="0076289C"/>
    <w:rsid w:val="00764831"/>
    <w:rsid w:val="00764862"/>
    <w:rsid w:val="00764CA8"/>
    <w:rsid w:val="00764F25"/>
    <w:rsid w:val="0076533C"/>
    <w:rsid w:val="00765413"/>
    <w:rsid w:val="00766768"/>
    <w:rsid w:val="00766B5D"/>
    <w:rsid w:val="0076769D"/>
    <w:rsid w:val="0077416D"/>
    <w:rsid w:val="0077465A"/>
    <w:rsid w:val="00774C1F"/>
    <w:rsid w:val="00775C62"/>
    <w:rsid w:val="00776669"/>
    <w:rsid w:val="00780429"/>
    <w:rsid w:val="0078160F"/>
    <w:rsid w:val="00782FF5"/>
    <w:rsid w:val="00783A2F"/>
    <w:rsid w:val="00783E89"/>
    <w:rsid w:val="00784FA7"/>
    <w:rsid w:val="00786202"/>
    <w:rsid w:val="00786EF7"/>
    <w:rsid w:val="00790A2C"/>
    <w:rsid w:val="00791129"/>
    <w:rsid w:val="00791492"/>
    <w:rsid w:val="00791DCE"/>
    <w:rsid w:val="007920BD"/>
    <w:rsid w:val="00792DB8"/>
    <w:rsid w:val="00792E27"/>
    <w:rsid w:val="0079340F"/>
    <w:rsid w:val="00794690"/>
    <w:rsid w:val="00796912"/>
    <w:rsid w:val="00797280"/>
    <w:rsid w:val="00797374"/>
    <w:rsid w:val="0079799D"/>
    <w:rsid w:val="00797E66"/>
    <w:rsid w:val="007A043D"/>
    <w:rsid w:val="007A4E72"/>
    <w:rsid w:val="007A4ED2"/>
    <w:rsid w:val="007A4EF5"/>
    <w:rsid w:val="007A6284"/>
    <w:rsid w:val="007A65FE"/>
    <w:rsid w:val="007A6F1C"/>
    <w:rsid w:val="007A746E"/>
    <w:rsid w:val="007A7FBE"/>
    <w:rsid w:val="007B3A02"/>
    <w:rsid w:val="007B3F80"/>
    <w:rsid w:val="007B4CF1"/>
    <w:rsid w:val="007B69C3"/>
    <w:rsid w:val="007B741B"/>
    <w:rsid w:val="007B771D"/>
    <w:rsid w:val="007C0C20"/>
    <w:rsid w:val="007C0CE0"/>
    <w:rsid w:val="007C1BE3"/>
    <w:rsid w:val="007C477D"/>
    <w:rsid w:val="007C4C4B"/>
    <w:rsid w:val="007C51D6"/>
    <w:rsid w:val="007C6B48"/>
    <w:rsid w:val="007C7177"/>
    <w:rsid w:val="007D1F43"/>
    <w:rsid w:val="007D249A"/>
    <w:rsid w:val="007D3F78"/>
    <w:rsid w:val="007D6683"/>
    <w:rsid w:val="007D767A"/>
    <w:rsid w:val="007D7802"/>
    <w:rsid w:val="007E118D"/>
    <w:rsid w:val="007E3641"/>
    <w:rsid w:val="007E37C6"/>
    <w:rsid w:val="007E62F5"/>
    <w:rsid w:val="007E6CA0"/>
    <w:rsid w:val="007F0DC7"/>
    <w:rsid w:val="007F224A"/>
    <w:rsid w:val="007F23F2"/>
    <w:rsid w:val="007F271D"/>
    <w:rsid w:val="007F285C"/>
    <w:rsid w:val="007F338D"/>
    <w:rsid w:val="007F4324"/>
    <w:rsid w:val="007F489A"/>
    <w:rsid w:val="007F4DC3"/>
    <w:rsid w:val="007F5D66"/>
    <w:rsid w:val="007F6BED"/>
    <w:rsid w:val="00800A4D"/>
    <w:rsid w:val="00800B85"/>
    <w:rsid w:val="00800C62"/>
    <w:rsid w:val="00801CDE"/>
    <w:rsid w:val="008024AF"/>
    <w:rsid w:val="0080445B"/>
    <w:rsid w:val="00804758"/>
    <w:rsid w:val="00804BC8"/>
    <w:rsid w:val="00805430"/>
    <w:rsid w:val="00805575"/>
    <w:rsid w:val="008061F4"/>
    <w:rsid w:val="00806281"/>
    <w:rsid w:val="00806668"/>
    <w:rsid w:val="008068AA"/>
    <w:rsid w:val="00806A91"/>
    <w:rsid w:val="00807D9C"/>
    <w:rsid w:val="00810991"/>
    <w:rsid w:val="00811239"/>
    <w:rsid w:val="0081221A"/>
    <w:rsid w:val="00813F79"/>
    <w:rsid w:val="00814BD0"/>
    <w:rsid w:val="00814F0E"/>
    <w:rsid w:val="00817BA6"/>
    <w:rsid w:val="008216E7"/>
    <w:rsid w:val="00822337"/>
    <w:rsid w:val="0082385A"/>
    <w:rsid w:val="008261EC"/>
    <w:rsid w:val="00826472"/>
    <w:rsid w:val="00831F31"/>
    <w:rsid w:val="008326F1"/>
    <w:rsid w:val="008348D9"/>
    <w:rsid w:val="00834E0B"/>
    <w:rsid w:val="008367DF"/>
    <w:rsid w:val="00836D68"/>
    <w:rsid w:val="00837926"/>
    <w:rsid w:val="0084105F"/>
    <w:rsid w:val="0084282E"/>
    <w:rsid w:val="00843058"/>
    <w:rsid w:val="008438F6"/>
    <w:rsid w:val="008443D2"/>
    <w:rsid w:val="00844DC3"/>
    <w:rsid w:val="008457D4"/>
    <w:rsid w:val="00846879"/>
    <w:rsid w:val="00846F7E"/>
    <w:rsid w:val="00850B93"/>
    <w:rsid w:val="00852793"/>
    <w:rsid w:val="00852DF7"/>
    <w:rsid w:val="00854737"/>
    <w:rsid w:val="00854F32"/>
    <w:rsid w:val="0085639C"/>
    <w:rsid w:val="0085712F"/>
    <w:rsid w:val="00857F11"/>
    <w:rsid w:val="00860E07"/>
    <w:rsid w:val="00862E9C"/>
    <w:rsid w:val="00863BAE"/>
    <w:rsid w:val="008640FD"/>
    <w:rsid w:val="008641EB"/>
    <w:rsid w:val="008646D1"/>
    <w:rsid w:val="008706EC"/>
    <w:rsid w:val="008716D6"/>
    <w:rsid w:val="00871995"/>
    <w:rsid w:val="00872033"/>
    <w:rsid w:val="00872116"/>
    <w:rsid w:val="00872318"/>
    <w:rsid w:val="0087289C"/>
    <w:rsid w:val="00873DBD"/>
    <w:rsid w:val="00873DD3"/>
    <w:rsid w:val="00873E26"/>
    <w:rsid w:val="00875E17"/>
    <w:rsid w:val="00877316"/>
    <w:rsid w:val="008776AB"/>
    <w:rsid w:val="0088096C"/>
    <w:rsid w:val="00880A57"/>
    <w:rsid w:val="008810FD"/>
    <w:rsid w:val="00882258"/>
    <w:rsid w:val="00883086"/>
    <w:rsid w:val="00883F0D"/>
    <w:rsid w:val="00886133"/>
    <w:rsid w:val="008905A7"/>
    <w:rsid w:val="008920F8"/>
    <w:rsid w:val="008932E2"/>
    <w:rsid w:val="008937B3"/>
    <w:rsid w:val="00893A2C"/>
    <w:rsid w:val="0089564A"/>
    <w:rsid w:val="00895AC6"/>
    <w:rsid w:val="00896A8D"/>
    <w:rsid w:val="008A07E6"/>
    <w:rsid w:val="008A209E"/>
    <w:rsid w:val="008A249C"/>
    <w:rsid w:val="008A4523"/>
    <w:rsid w:val="008A5488"/>
    <w:rsid w:val="008A5CD5"/>
    <w:rsid w:val="008A7CBF"/>
    <w:rsid w:val="008B0402"/>
    <w:rsid w:val="008B16E2"/>
    <w:rsid w:val="008B1C1B"/>
    <w:rsid w:val="008B2EFE"/>
    <w:rsid w:val="008B329E"/>
    <w:rsid w:val="008B3B4D"/>
    <w:rsid w:val="008B6462"/>
    <w:rsid w:val="008B7088"/>
    <w:rsid w:val="008B73D5"/>
    <w:rsid w:val="008B74B3"/>
    <w:rsid w:val="008B7BE2"/>
    <w:rsid w:val="008C21D0"/>
    <w:rsid w:val="008C2967"/>
    <w:rsid w:val="008C495D"/>
    <w:rsid w:val="008C5694"/>
    <w:rsid w:val="008C7D03"/>
    <w:rsid w:val="008D0BBC"/>
    <w:rsid w:val="008D15C2"/>
    <w:rsid w:val="008D1996"/>
    <w:rsid w:val="008D28E4"/>
    <w:rsid w:val="008D3EF0"/>
    <w:rsid w:val="008D7A7C"/>
    <w:rsid w:val="008D7F54"/>
    <w:rsid w:val="008E14EB"/>
    <w:rsid w:val="008E1C87"/>
    <w:rsid w:val="008E465D"/>
    <w:rsid w:val="008E4B1E"/>
    <w:rsid w:val="008E5384"/>
    <w:rsid w:val="008E54FA"/>
    <w:rsid w:val="008E5F37"/>
    <w:rsid w:val="008E6DE1"/>
    <w:rsid w:val="008F1385"/>
    <w:rsid w:val="008F1742"/>
    <w:rsid w:val="008F18BE"/>
    <w:rsid w:val="008F39E9"/>
    <w:rsid w:val="008F49F1"/>
    <w:rsid w:val="008F5ADF"/>
    <w:rsid w:val="008F6535"/>
    <w:rsid w:val="008F72EE"/>
    <w:rsid w:val="008F78C3"/>
    <w:rsid w:val="00900761"/>
    <w:rsid w:val="00901861"/>
    <w:rsid w:val="00902792"/>
    <w:rsid w:val="009027E8"/>
    <w:rsid w:val="0090373B"/>
    <w:rsid w:val="00903E4F"/>
    <w:rsid w:val="00905500"/>
    <w:rsid w:val="00906062"/>
    <w:rsid w:val="009068C2"/>
    <w:rsid w:val="00912A08"/>
    <w:rsid w:val="00913423"/>
    <w:rsid w:val="0091448C"/>
    <w:rsid w:val="009151B6"/>
    <w:rsid w:val="00920CBD"/>
    <w:rsid w:val="00922F36"/>
    <w:rsid w:val="00922FAD"/>
    <w:rsid w:val="009239BC"/>
    <w:rsid w:val="00924A4B"/>
    <w:rsid w:val="00924AF5"/>
    <w:rsid w:val="00924BC0"/>
    <w:rsid w:val="00924F33"/>
    <w:rsid w:val="009269DF"/>
    <w:rsid w:val="00927B5A"/>
    <w:rsid w:val="00930340"/>
    <w:rsid w:val="0093051F"/>
    <w:rsid w:val="0093100D"/>
    <w:rsid w:val="009319E1"/>
    <w:rsid w:val="00934C19"/>
    <w:rsid w:val="0093511F"/>
    <w:rsid w:val="0094076D"/>
    <w:rsid w:val="00941A9D"/>
    <w:rsid w:val="00942571"/>
    <w:rsid w:val="009427DE"/>
    <w:rsid w:val="00945B83"/>
    <w:rsid w:val="00946B38"/>
    <w:rsid w:val="00947BF0"/>
    <w:rsid w:val="009519AA"/>
    <w:rsid w:val="009519F8"/>
    <w:rsid w:val="00952DB5"/>
    <w:rsid w:val="00953A40"/>
    <w:rsid w:val="00954231"/>
    <w:rsid w:val="00955298"/>
    <w:rsid w:val="009559A6"/>
    <w:rsid w:val="00955A99"/>
    <w:rsid w:val="00956985"/>
    <w:rsid w:val="009603E7"/>
    <w:rsid w:val="00962792"/>
    <w:rsid w:val="00964892"/>
    <w:rsid w:val="00965747"/>
    <w:rsid w:val="00965D80"/>
    <w:rsid w:val="00966F8B"/>
    <w:rsid w:val="009675E3"/>
    <w:rsid w:val="0097050C"/>
    <w:rsid w:val="009716AA"/>
    <w:rsid w:val="00971EFB"/>
    <w:rsid w:val="00972B32"/>
    <w:rsid w:val="009734D8"/>
    <w:rsid w:val="00973A6A"/>
    <w:rsid w:val="00973D14"/>
    <w:rsid w:val="009744F8"/>
    <w:rsid w:val="00974C93"/>
    <w:rsid w:val="00974CB3"/>
    <w:rsid w:val="00974EB6"/>
    <w:rsid w:val="00976971"/>
    <w:rsid w:val="00980BA1"/>
    <w:rsid w:val="0098235E"/>
    <w:rsid w:val="00982AF0"/>
    <w:rsid w:val="00982B82"/>
    <w:rsid w:val="00984A92"/>
    <w:rsid w:val="0098681B"/>
    <w:rsid w:val="009871D2"/>
    <w:rsid w:val="00987C10"/>
    <w:rsid w:val="00993D79"/>
    <w:rsid w:val="00994F0A"/>
    <w:rsid w:val="00994F3C"/>
    <w:rsid w:val="0099609D"/>
    <w:rsid w:val="009A1617"/>
    <w:rsid w:val="009A357F"/>
    <w:rsid w:val="009A4480"/>
    <w:rsid w:val="009A4D20"/>
    <w:rsid w:val="009A4E85"/>
    <w:rsid w:val="009A524A"/>
    <w:rsid w:val="009A6686"/>
    <w:rsid w:val="009A69AB"/>
    <w:rsid w:val="009A6E73"/>
    <w:rsid w:val="009A7D9F"/>
    <w:rsid w:val="009B0007"/>
    <w:rsid w:val="009B03C7"/>
    <w:rsid w:val="009B0CF0"/>
    <w:rsid w:val="009B145D"/>
    <w:rsid w:val="009B1AF1"/>
    <w:rsid w:val="009B2A99"/>
    <w:rsid w:val="009B3C73"/>
    <w:rsid w:val="009B51A8"/>
    <w:rsid w:val="009B5E32"/>
    <w:rsid w:val="009B6899"/>
    <w:rsid w:val="009C0E85"/>
    <w:rsid w:val="009C164C"/>
    <w:rsid w:val="009C1F06"/>
    <w:rsid w:val="009C286C"/>
    <w:rsid w:val="009C3990"/>
    <w:rsid w:val="009C5237"/>
    <w:rsid w:val="009D101D"/>
    <w:rsid w:val="009D357C"/>
    <w:rsid w:val="009D4FE2"/>
    <w:rsid w:val="009D6688"/>
    <w:rsid w:val="009E1C73"/>
    <w:rsid w:val="009E1F01"/>
    <w:rsid w:val="009E2BA4"/>
    <w:rsid w:val="009E4246"/>
    <w:rsid w:val="009E507D"/>
    <w:rsid w:val="009E5646"/>
    <w:rsid w:val="009E63BB"/>
    <w:rsid w:val="009E73B2"/>
    <w:rsid w:val="009E7E32"/>
    <w:rsid w:val="009F16A6"/>
    <w:rsid w:val="009F1F7E"/>
    <w:rsid w:val="009F283E"/>
    <w:rsid w:val="009F2A2B"/>
    <w:rsid w:val="009F2EFE"/>
    <w:rsid w:val="009F4E80"/>
    <w:rsid w:val="009F4EA6"/>
    <w:rsid w:val="00A02D16"/>
    <w:rsid w:val="00A02E34"/>
    <w:rsid w:val="00A03615"/>
    <w:rsid w:val="00A03A9E"/>
    <w:rsid w:val="00A040D2"/>
    <w:rsid w:val="00A06C82"/>
    <w:rsid w:val="00A07269"/>
    <w:rsid w:val="00A07A6D"/>
    <w:rsid w:val="00A1030C"/>
    <w:rsid w:val="00A13495"/>
    <w:rsid w:val="00A1557D"/>
    <w:rsid w:val="00A1623A"/>
    <w:rsid w:val="00A16F23"/>
    <w:rsid w:val="00A17770"/>
    <w:rsid w:val="00A179F9"/>
    <w:rsid w:val="00A20240"/>
    <w:rsid w:val="00A22444"/>
    <w:rsid w:val="00A225DD"/>
    <w:rsid w:val="00A22651"/>
    <w:rsid w:val="00A251D7"/>
    <w:rsid w:val="00A26661"/>
    <w:rsid w:val="00A27049"/>
    <w:rsid w:val="00A27617"/>
    <w:rsid w:val="00A30659"/>
    <w:rsid w:val="00A30A5F"/>
    <w:rsid w:val="00A30F9B"/>
    <w:rsid w:val="00A317DB"/>
    <w:rsid w:val="00A31A6D"/>
    <w:rsid w:val="00A330A7"/>
    <w:rsid w:val="00A364AE"/>
    <w:rsid w:val="00A37516"/>
    <w:rsid w:val="00A41EAA"/>
    <w:rsid w:val="00A4231D"/>
    <w:rsid w:val="00A450BC"/>
    <w:rsid w:val="00A46279"/>
    <w:rsid w:val="00A4675C"/>
    <w:rsid w:val="00A46835"/>
    <w:rsid w:val="00A475D6"/>
    <w:rsid w:val="00A50D11"/>
    <w:rsid w:val="00A525BE"/>
    <w:rsid w:val="00A52DDA"/>
    <w:rsid w:val="00A53047"/>
    <w:rsid w:val="00A53711"/>
    <w:rsid w:val="00A54D75"/>
    <w:rsid w:val="00A56F79"/>
    <w:rsid w:val="00A57E51"/>
    <w:rsid w:val="00A60FC9"/>
    <w:rsid w:val="00A67766"/>
    <w:rsid w:val="00A67C4E"/>
    <w:rsid w:val="00A708F3"/>
    <w:rsid w:val="00A732CC"/>
    <w:rsid w:val="00A7333C"/>
    <w:rsid w:val="00A743E3"/>
    <w:rsid w:val="00A74ACB"/>
    <w:rsid w:val="00A75F92"/>
    <w:rsid w:val="00A81247"/>
    <w:rsid w:val="00A817F0"/>
    <w:rsid w:val="00A82240"/>
    <w:rsid w:val="00A82906"/>
    <w:rsid w:val="00A8431D"/>
    <w:rsid w:val="00A84AEF"/>
    <w:rsid w:val="00A87484"/>
    <w:rsid w:val="00A875AF"/>
    <w:rsid w:val="00A87B40"/>
    <w:rsid w:val="00A91936"/>
    <w:rsid w:val="00A93BE4"/>
    <w:rsid w:val="00A94134"/>
    <w:rsid w:val="00A975D4"/>
    <w:rsid w:val="00A9786A"/>
    <w:rsid w:val="00AA3C78"/>
    <w:rsid w:val="00AA4BB1"/>
    <w:rsid w:val="00AA5327"/>
    <w:rsid w:val="00AA53C5"/>
    <w:rsid w:val="00AA724F"/>
    <w:rsid w:val="00AA7C58"/>
    <w:rsid w:val="00AB0D0A"/>
    <w:rsid w:val="00AB1488"/>
    <w:rsid w:val="00AB2494"/>
    <w:rsid w:val="00AB278C"/>
    <w:rsid w:val="00AB2AD9"/>
    <w:rsid w:val="00AB31D8"/>
    <w:rsid w:val="00AB4A19"/>
    <w:rsid w:val="00AB5984"/>
    <w:rsid w:val="00AB5B65"/>
    <w:rsid w:val="00AB6A17"/>
    <w:rsid w:val="00AB7D4A"/>
    <w:rsid w:val="00AC1C1A"/>
    <w:rsid w:val="00AC349D"/>
    <w:rsid w:val="00AC39A4"/>
    <w:rsid w:val="00AC4D54"/>
    <w:rsid w:val="00AC4FA3"/>
    <w:rsid w:val="00AC5EF0"/>
    <w:rsid w:val="00AC73AF"/>
    <w:rsid w:val="00AC79E6"/>
    <w:rsid w:val="00AD0CAF"/>
    <w:rsid w:val="00AD1643"/>
    <w:rsid w:val="00AD1CD7"/>
    <w:rsid w:val="00AD1D7A"/>
    <w:rsid w:val="00AD3201"/>
    <w:rsid w:val="00AD4D96"/>
    <w:rsid w:val="00AD65B2"/>
    <w:rsid w:val="00AE21F6"/>
    <w:rsid w:val="00AE36DF"/>
    <w:rsid w:val="00AE41DD"/>
    <w:rsid w:val="00AE4672"/>
    <w:rsid w:val="00AE488B"/>
    <w:rsid w:val="00AE53F8"/>
    <w:rsid w:val="00AE5A77"/>
    <w:rsid w:val="00AE5D0D"/>
    <w:rsid w:val="00AE7C4E"/>
    <w:rsid w:val="00AE7ECD"/>
    <w:rsid w:val="00AF2510"/>
    <w:rsid w:val="00AF2825"/>
    <w:rsid w:val="00AF3A56"/>
    <w:rsid w:val="00AF4860"/>
    <w:rsid w:val="00B0053A"/>
    <w:rsid w:val="00B00C79"/>
    <w:rsid w:val="00B01CB8"/>
    <w:rsid w:val="00B0320C"/>
    <w:rsid w:val="00B033FC"/>
    <w:rsid w:val="00B03D66"/>
    <w:rsid w:val="00B0504D"/>
    <w:rsid w:val="00B06D51"/>
    <w:rsid w:val="00B07E93"/>
    <w:rsid w:val="00B101E8"/>
    <w:rsid w:val="00B109DB"/>
    <w:rsid w:val="00B13CA3"/>
    <w:rsid w:val="00B162B1"/>
    <w:rsid w:val="00B1650E"/>
    <w:rsid w:val="00B17B97"/>
    <w:rsid w:val="00B21AF1"/>
    <w:rsid w:val="00B222CA"/>
    <w:rsid w:val="00B23643"/>
    <w:rsid w:val="00B24084"/>
    <w:rsid w:val="00B2453C"/>
    <w:rsid w:val="00B25444"/>
    <w:rsid w:val="00B26553"/>
    <w:rsid w:val="00B26751"/>
    <w:rsid w:val="00B273DC"/>
    <w:rsid w:val="00B304AA"/>
    <w:rsid w:val="00B31661"/>
    <w:rsid w:val="00B32934"/>
    <w:rsid w:val="00B33DC7"/>
    <w:rsid w:val="00B35271"/>
    <w:rsid w:val="00B365EE"/>
    <w:rsid w:val="00B3663C"/>
    <w:rsid w:val="00B36644"/>
    <w:rsid w:val="00B36735"/>
    <w:rsid w:val="00B36E6F"/>
    <w:rsid w:val="00B37594"/>
    <w:rsid w:val="00B40676"/>
    <w:rsid w:val="00B40FDE"/>
    <w:rsid w:val="00B42D68"/>
    <w:rsid w:val="00B43E36"/>
    <w:rsid w:val="00B45412"/>
    <w:rsid w:val="00B46079"/>
    <w:rsid w:val="00B46B4D"/>
    <w:rsid w:val="00B4793B"/>
    <w:rsid w:val="00B47956"/>
    <w:rsid w:val="00B47A99"/>
    <w:rsid w:val="00B47F23"/>
    <w:rsid w:val="00B55D6F"/>
    <w:rsid w:val="00B56D6E"/>
    <w:rsid w:val="00B5773C"/>
    <w:rsid w:val="00B57A9D"/>
    <w:rsid w:val="00B57C1C"/>
    <w:rsid w:val="00B6054F"/>
    <w:rsid w:val="00B6083F"/>
    <w:rsid w:val="00B63FB0"/>
    <w:rsid w:val="00B64FC6"/>
    <w:rsid w:val="00B657FD"/>
    <w:rsid w:val="00B66F43"/>
    <w:rsid w:val="00B67C91"/>
    <w:rsid w:val="00B7048E"/>
    <w:rsid w:val="00B704AF"/>
    <w:rsid w:val="00B70794"/>
    <w:rsid w:val="00B70FC6"/>
    <w:rsid w:val="00B71B2E"/>
    <w:rsid w:val="00B71FDA"/>
    <w:rsid w:val="00B72A05"/>
    <w:rsid w:val="00B739A6"/>
    <w:rsid w:val="00B73A2E"/>
    <w:rsid w:val="00B74FF5"/>
    <w:rsid w:val="00B76BED"/>
    <w:rsid w:val="00B80361"/>
    <w:rsid w:val="00B81402"/>
    <w:rsid w:val="00B81825"/>
    <w:rsid w:val="00B81EBE"/>
    <w:rsid w:val="00B81F1D"/>
    <w:rsid w:val="00B82DA6"/>
    <w:rsid w:val="00B8377E"/>
    <w:rsid w:val="00B83856"/>
    <w:rsid w:val="00B84DA5"/>
    <w:rsid w:val="00B850AF"/>
    <w:rsid w:val="00B858D9"/>
    <w:rsid w:val="00B86DA6"/>
    <w:rsid w:val="00B92245"/>
    <w:rsid w:val="00B93096"/>
    <w:rsid w:val="00B934F2"/>
    <w:rsid w:val="00B93E7F"/>
    <w:rsid w:val="00B9463F"/>
    <w:rsid w:val="00B94A5E"/>
    <w:rsid w:val="00B95419"/>
    <w:rsid w:val="00B96549"/>
    <w:rsid w:val="00B97F26"/>
    <w:rsid w:val="00BA0066"/>
    <w:rsid w:val="00BA0159"/>
    <w:rsid w:val="00BA0222"/>
    <w:rsid w:val="00BA0DF3"/>
    <w:rsid w:val="00BA1077"/>
    <w:rsid w:val="00BA2382"/>
    <w:rsid w:val="00BA4455"/>
    <w:rsid w:val="00BA4BC5"/>
    <w:rsid w:val="00BA72C1"/>
    <w:rsid w:val="00BA7CDD"/>
    <w:rsid w:val="00BB078D"/>
    <w:rsid w:val="00BB2778"/>
    <w:rsid w:val="00BB2B7E"/>
    <w:rsid w:val="00BB3231"/>
    <w:rsid w:val="00BB3D5D"/>
    <w:rsid w:val="00BB40C7"/>
    <w:rsid w:val="00BB4958"/>
    <w:rsid w:val="00BB4DA8"/>
    <w:rsid w:val="00BB6A77"/>
    <w:rsid w:val="00BB7A3C"/>
    <w:rsid w:val="00BB7C9F"/>
    <w:rsid w:val="00BC3A67"/>
    <w:rsid w:val="00BD053D"/>
    <w:rsid w:val="00BD1605"/>
    <w:rsid w:val="00BD2113"/>
    <w:rsid w:val="00BD2F96"/>
    <w:rsid w:val="00BD3E28"/>
    <w:rsid w:val="00BD55ED"/>
    <w:rsid w:val="00BE0183"/>
    <w:rsid w:val="00BE0B38"/>
    <w:rsid w:val="00BE0DBA"/>
    <w:rsid w:val="00BE13CF"/>
    <w:rsid w:val="00BE2319"/>
    <w:rsid w:val="00BE2748"/>
    <w:rsid w:val="00BE36C2"/>
    <w:rsid w:val="00BE42B4"/>
    <w:rsid w:val="00BE4528"/>
    <w:rsid w:val="00BE471A"/>
    <w:rsid w:val="00BE50D5"/>
    <w:rsid w:val="00BE654D"/>
    <w:rsid w:val="00BE68F2"/>
    <w:rsid w:val="00BE6F2A"/>
    <w:rsid w:val="00BE7C9A"/>
    <w:rsid w:val="00BE7FC4"/>
    <w:rsid w:val="00BF03E5"/>
    <w:rsid w:val="00BF0466"/>
    <w:rsid w:val="00BF26C8"/>
    <w:rsid w:val="00BF3FCA"/>
    <w:rsid w:val="00BF5046"/>
    <w:rsid w:val="00BF6127"/>
    <w:rsid w:val="00BF682D"/>
    <w:rsid w:val="00BF728C"/>
    <w:rsid w:val="00BF7A89"/>
    <w:rsid w:val="00C011B6"/>
    <w:rsid w:val="00C019A5"/>
    <w:rsid w:val="00C03102"/>
    <w:rsid w:val="00C03848"/>
    <w:rsid w:val="00C04EA7"/>
    <w:rsid w:val="00C0641F"/>
    <w:rsid w:val="00C069EE"/>
    <w:rsid w:val="00C06E72"/>
    <w:rsid w:val="00C10E52"/>
    <w:rsid w:val="00C13104"/>
    <w:rsid w:val="00C138E7"/>
    <w:rsid w:val="00C14A88"/>
    <w:rsid w:val="00C1658C"/>
    <w:rsid w:val="00C16B84"/>
    <w:rsid w:val="00C20654"/>
    <w:rsid w:val="00C20F46"/>
    <w:rsid w:val="00C21059"/>
    <w:rsid w:val="00C243F9"/>
    <w:rsid w:val="00C25279"/>
    <w:rsid w:val="00C25C45"/>
    <w:rsid w:val="00C2685A"/>
    <w:rsid w:val="00C276C4"/>
    <w:rsid w:val="00C30B66"/>
    <w:rsid w:val="00C32CF9"/>
    <w:rsid w:val="00C331BB"/>
    <w:rsid w:val="00C3744F"/>
    <w:rsid w:val="00C3759F"/>
    <w:rsid w:val="00C403B7"/>
    <w:rsid w:val="00C41520"/>
    <w:rsid w:val="00C42E86"/>
    <w:rsid w:val="00C45699"/>
    <w:rsid w:val="00C4585E"/>
    <w:rsid w:val="00C45B4D"/>
    <w:rsid w:val="00C46E32"/>
    <w:rsid w:val="00C47498"/>
    <w:rsid w:val="00C50919"/>
    <w:rsid w:val="00C50A9F"/>
    <w:rsid w:val="00C51CC1"/>
    <w:rsid w:val="00C52447"/>
    <w:rsid w:val="00C52877"/>
    <w:rsid w:val="00C5434A"/>
    <w:rsid w:val="00C55B01"/>
    <w:rsid w:val="00C57AA8"/>
    <w:rsid w:val="00C60538"/>
    <w:rsid w:val="00C607B5"/>
    <w:rsid w:val="00C627C6"/>
    <w:rsid w:val="00C63727"/>
    <w:rsid w:val="00C65096"/>
    <w:rsid w:val="00C6693C"/>
    <w:rsid w:val="00C66ED0"/>
    <w:rsid w:val="00C70EBF"/>
    <w:rsid w:val="00C72610"/>
    <w:rsid w:val="00C744CA"/>
    <w:rsid w:val="00C746E8"/>
    <w:rsid w:val="00C759FB"/>
    <w:rsid w:val="00C77572"/>
    <w:rsid w:val="00C77D65"/>
    <w:rsid w:val="00C80331"/>
    <w:rsid w:val="00C81172"/>
    <w:rsid w:val="00C82C23"/>
    <w:rsid w:val="00C82F49"/>
    <w:rsid w:val="00C8320B"/>
    <w:rsid w:val="00C83570"/>
    <w:rsid w:val="00C84489"/>
    <w:rsid w:val="00C85613"/>
    <w:rsid w:val="00C85CB3"/>
    <w:rsid w:val="00C9116C"/>
    <w:rsid w:val="00C9160C"/>
    <w:rsid w:val="00C923E1"/>
    <w:rsid w:val="00C92F40"/>
    <w:rsid w:val="00C9589C"/>
    <w:rsid w:val="00C964F1"/>
    <w:rsid w:val="00C96D01"/>
    <w:rsid w:val="00CA26E8"/>
    <w:rsid w:val="00CA30FC"/>
    <w:rsid w:val="00CA35EC"/>
    <w:rsid w:val="00CA4EF9"/>
    <w:rsid w:val="00CA540F"/>
    <w:rsid w:val="00CA62DC"/>
    <w:rsid w:val="00CA65F6"/>
    <w:rsid w:val="00CB0963"/>
    <w:rsid w:val="00CB0AE5"/>
    <w:rsid w:val="00CB0FF3"/>
    <w:rsid w:val="00CB15C6"/>
    <w:rsid w:val="00CB3C74"/>
    <w:rsid w:val="00CB5179"/>
    <w:rsid w:val="00CB5C7B"/>
    <w:rsid w:val="00CB5DE2"/>
    <w:rsid w:val="00CB6BF1"/>
    <w:rsid w:val="00CB7B24"/>
    <w:rsid w:val="00CB7DDA"/>
    <w:rsid w:val="00CB7FA2"/>
    <w:rsid w:val="00CC0EF5"/>
    <w:rsid w:val="00CC2C08"/>
    <w:rsid w:val="00CC5160"/>
    <w:rsid w:val="00CC610E"/>
    <w:rsid w:val="00CC7B98"/>
    <w:rsid w:val="00CD1753"/>
    <w:rsid w:val="00CD2646"/>
    <w:rsid w:val="00CD6944"/>
    <w:rsid w:val="00CD7319"/>
    <w:rsid w:val="00CD7467"/>
    <w:rsid w:val="00CD7B5F"/>
    <w:rsid w:val="00CE0F61"/>
    <w:rsid w:val="00CE1956"/>
    <w:rsid w:val="00CE1CF8"/>
    <w:rsid w:val="00CE3D58"/>
    <w:rsid w:val="00CE41ED"/>
    <w:rsid w:val="00CE5C67"/>
    <w:rsid w:val="00CE6170"/>
    <w:rsid w:val="00CE6464"/>
    <w:rsid w:val="00CE6AE2"/>
    <w:rsid w:val="00CE710C"/>
    <w:rsid w:val="00CE78B0"/>
    <w:rsid w:val="00CF1C66"/>
    <w:rsid w:val="00CF2464"/>
    <w:rsid w:val="00CF3BF1"/>
    <w:rsid w:val="00CF3FE1"/>
    <w:rsid w:val="00CF43A7"/>
    <w:rsid w:val="00CF4564"/>
    <w:rsid w:val="00CF4631"/>
    <w:rsid w:val="00CF4796"/>
    <w:rsid w:val="00CF4E7F"/>
    <w:rsid w:val="00CF5A9A"/>
    <w:rsid w:val="00CF6F6A"/>
    <w:rsid w:val="00CF7B37"/>
    <w:rsid w:val="00D01A45"/>
    <w:rsid w:val="00D04009"/>
    <w:rsid w:val="00D04094"/>
    <w:rsid w:val="00D0484F"/>
    <w:rsid w:val="00D05259"/>
    <w:rsid w:val="00D056F6"/>
    <w:rsid w:val="00D05762"/>
    <w:rsid w:val="00D058BB"/>
    <w:rsid w:val="00D05BF5"/>
    <w:rsid w:val="00D06C73"/>
    <w:rsid w:val="00D07278"/>
    <w:rsid w:val="00D074EB"/>
    <w:rsid w:val="00D0786E"/>
    <w:rsid w:val="00D101EC"/>
    <w:rsid w:val="00D101F2"/>
    <w:rsid w:val="00D10856"/>
    <w:rsid w:val="00D109A5"/>
    <w:rsid w:val="00D10CB9"/>
    <w:rsid w:val="00D1157B"/>
    <w:rsid w:val="00D12D42"/>
    <w:rsid w:val="00D1413B"/>
    <w:rsid w:val="00D1505D"/>
    <w:rsid w:val="00D17E4A"/>
    <w:rsid w:val="00D215A3"/>
    <w:rsid w:val="00D2169D"/>
    <w:rsid w:val="00D217C1"/>
    <w:rsid w:val="00D23959"/>
    <w:rsid w:val="00D25425"/>
    <w:rsid w:val="00D2601C"/>
    <w:rsid w:val="00D267CC"/>
    <w:rsid w:val="00D26969"/>
    <w:rsid w:val="00D2699D"/>
    <w:rsid w:val="00D308CE"/>
    <w:rsid w:val="00D31BE5"/>
    <w:rsid w:val="00D35BA9"/>
    <w:rsid w:val="00D35DCC"/>
    <w:rsid w:val="00D35FB2"/>
    <w:rsid w:val="00D36FA8"/>
    <w:rsid w:val="00D414A5"/>
    <w:rsid w:val="00D418CB"/>
    <w:rsid w:val="00D461DD"/>
    <w:rsid w:val="00D51296"/>
    <w:rsid w:val="00D51A51"/>
    <w:rsid w:val="00D52372"/>
    <w:rsid w:val="00D542D4"/>
    <w:rsid w:val="00D563C5"/>
    <w:rsid w:val="00D60072"/>
    <w:rsid w:val="00D606DB"/>
    <w:rsid w:val="00D613F4"/>
    <w:rsid w:val="00D62C74"/>
    <w:rsid w:val="00D632D4"/>
    <w:rsid w:val="00D63541"/>
    <w:rsid w:val="00D63FCF"/>
    <w:rsid w:val="00D64A2D"/>
    <w:rsid w:val="00D64A79"/>
    <w:rsid w:val="00D65428"/>
    <w:rsid w:val="00D671F7"/>
    <w:rsid w:val="00D718CA"/>
    <w:rsid w:val="00D736D8"/>
    <w:rsid w:val="00D73FE0"/>
    <w:rsid w:val="00D756B7"/>
    <w:rsid w:val="00D770F2"/>
    <w:rsid w:val="00D80224"/>
    <w:rsid w:val="00D810AF"/>
    <w:rsid w:val="00D824FD"/>
    <w:rsid w:val="00D82BDD"/>
    <w:rsid w:val="00D83230"/>
    <w:rsid w:val="00D837C6"/>
    <w:rsid w:val="00D854A5"/>
    <w:rsid w:val="00D873AB"/>
    <w:rsid w:val="00D90639"/>
    <w:rsid w:val="00D94E0F"/>
    <w:rsid w:val="00D95C1F"/>
    <w:rsid w:val="00D967A9"/>
    <w:rsid w:val="00D970F3"/>
    <w:rsid w:val="00DA0612"/>
    <w:rsid w:val="00DA09EA"/>
    <w:rsid w:val="00DA149A"/>
    <w:rsid w:val="00DA2E54"/>
    <w:rsid w:val="00DA3B3F"/>
    <w:rsid w:val="00DA4F9B"/>
    <w:rsid w:val="00DA62C2"/>
    <w:rsid w:val="00DB08BC"/>
    <w:rsid w:val="00DB1326"/>
    <w:rsid w:val="00DB1AA4"/>
    <w:rsid w:val="00DB273A"/>
    <w:rsid w:val="00DB2FBA"/>
    <w:rsid w:val="00DB3D91"/>
    <w:rsid w:val="00DB6D39"/>
    <w:rsid w:val="00DC0A6D"/>
    <w:rsid w:val="00DC0E39"/>
    <w:rsid w:val="00DC16A6"/>
    <w:rsid w:val="00DC32A1"/>
    <w:rsid w:val="00DD221F"/>
    <w:rsid w:val="00DD2B28"/>
    <w:rsid w:val="00DD4497"/>
    <w:rsid w:val="00DD4979"/>
    <w:rsid w:val="00DD5A25"/>
    <w:rsid w:val="00DD6AE5"/>
    <w:rsid w:val="00DD74EF"/>
    <w:rsid w:val="00DD7F00"/>
    <w:rsid w:val="00DE0E27"/>
    <w:rsid w:val="00DE5229"/>
    <w:rsid w:val="00DE65A6"/>
    <w:rsid w:val="00DF0308"/>
    <w:rsid w:val="00DF0DBA"/>
    <w:rsid w:val="00DF3CE3"/>
    <w:rsid w:val="00DF436C"/>
    <w:rsid w:val="00DF4773"/>
    <w:rsid w:val="00DF56D1"/>
    <w:rsid w:val="00DF5B7C"/>
    <w:rsid w:val="00DF69D5"/>
    <w:rsid w:val="00DF6B5B"/>
    <w:rsid w:val="00DF7F84"/>
    <w:rsid w:val="00E02FC2"/>
    <w:rsid w:val="00E03F77"/>
    <w:rsid w:val="00E042C4"/>
    <w:rsid w:val="00E04C16"/>
    <w:rsid w:val="00E05D3B"/>
    <w:rsid w:val="00E06A03"/>
    <w:rsid w:val="00E101F7"/>
    <w:rsid w:val="00E10DF7"/>
    <w:rsid w:val="00E10E34"/>
    <w:rsid w:val="00E11207"/>
    <w:rsid w:val="00E115DC"/>
    <w:rsid w:val="00E1269B"/>
    <w:rsid w:val="00E13510"/>
    <w:rsid w:val="00E135EB"/>
    <w:rsid w:val="00E13882"/>
    <w:rsid w:val="00E13B3A"/>
    <w:rsid w:val="00E15C73"/>
    <w:rsid w:val="00E15D1F"/>
    <w:rsid w:val="00E16281"/>
    <w:rsid w:val="00E16AF2"/>
    <w:rsid w:val="00E17217"/>
    <w:rsid w:val="00E202FF"/>
    <w:rsid w:val="00E21B40"/>
    <w:rsid w:val="00E22D4B"/>
    <w:rsid w:val="00E234DA"/>
    <w:rsid w:val="00E239C5"/>
    <w:rsid w:val="00E2540B"/>
    <w:rsid w:val="00E26C30"/>
    <w:rsid w:val="00E2788E"/>
    <w:rsid w:val="00E27E71"/>
    <w:rsid w:val="00E30887"/>
    <w:rsid w:val="00E30E57"/>
    <w:rsid w:val="00E31CB2"/>
    <w:rsid w:val="00E35DA5"/>
    <w:rsid w:val="00E367EB"/>
    <w:rsid w:val="00E36B46"/>
    <w:rsid w:val="00E37020"/>
    <w:rsid w:val="00E42775"/>
    <w:rsid w:val="00E42D08"/>
    <w:rsid w:val="00E444F3"/>
    <w:rsid w:val="00E45F47"/>
    <w:rsid w:val="00E46266"/>
    <w:rsid w:val="00E4633F"/>
    <w:rsid w:val="00E468C8"/>
    <w:rsid w:val="00E500B0"/>
    <w:rsid w:val="00E52429"/>
    <w:rsid w:val="00E54296"/>
    <w:rsid w:val="00E5630B"/>
    <w:rsid w:val="00E61C10"/>
    <w:rsid w:val="00E61D71"/>
    <w:rsid w:val="00E64E45"/>
    <w:rsid w:val="00E65A2F"/>
    <w:rsid w:val="00E6653A"/>
    <w:rsid w:val="00E71989"/>
    <w:rsid w:val="00E723DD"/>
    <w:rsid w:val="00E725B9"/>
    <w:rsid w:val="00E72682"/>
    <w:rsid w:val="00E74406"/>
    <w:rsid w:val="00E75883"/>
    <w:rsid w:val="00E76808"/>
    <w:rsid w:val="00E825F9"/>
    <w:rsid w:val="00E83354"/>
    <w:rsid w:val="00E84D04"/>
    <w:rsid w:val="00E8502A"/>
    <w:rsid w:val="00E85229"/>
    <w:rsid w:val="00E8617C"/>
    <w:rsid w:val="00E91296"/>
    <w:rsid w:val="00E916A9"/>
    <w:rsid w:val="00E926AD"/>
    <w:rsid w:val="00E93071"/>
    <w:rsid w:val="00E93667"/>
    <w:rsid w:val="00E93AF9"/>
    <w:rsid w:val="00E941C1"/>
    <w:rsid w:val="00E95B06"/>
    <w:rsid w:val="00E96D55"/>
    <w:rsid w:val="00E97050"/>
    <w:rsid w:val="00EA0409"/>
    <w:rsid w:val="00EA1676"/>
    <w:rsid w:val="00EA1B55"/>
    <w:rsid w:val="00EA2A02"/>
    <w:rsid w:val="00EA5996"/>
    <w:rsid w:val="00EA59AF"/>
    <w:rsid w:val="00EA59C3"/>
    <w:rsid w:val="00EA62C0"/>
    <w:rsid w:val="00EA79F4"/>
    <w:rsid w:val="00EB0866"/>
    <w:rsid w:val="00EB0B5F"/>
    <w:rsid w:val="00EB22EB"/>
    <w:rsid w:val="00EB32CF"/>
    <w:rsid w:val="00EB3A55"/>
    <w:rsid w:val="00EB4CE4"/>
    <w:rsid w:val="00EB5E32"/>
    <w:rsid w:val="00EC1634"/>
    <w:rsid w:val="00EC269A"/>
    <w:rsid w:val="00EC272B"/>
    <w:rsid w:val="00EC3D27"/>
    <w:rsid w:val="00EC46B3"/>
    <w:rsid w:val="00EC5970"/>
    <w:rsid w:val="00EC663E"/>
    <w:rsid w:val="00EC776B"/>
    <w:rsid w:val="00EC795B"/>
    <w:rsid w:val="00EC7A79"/>
    <w:rsid w:val="00ED0839"/>
    <w:rsid w:val="00ED2061"/>
    <w:rsid w:val="00ED24EF"/>
    <w:rsid w:val="00ED29FC"/>
    <w:rsid w:val="00ED3001"/>
    <w:rsid w:val="00ED44D6"/>
    <w:rsid w:val="00ED45A5"/>
    <w:rsid w:val="00ED65D2"/>
    <w:rsid w:val="00ED6F30"/>
    <w:rsid w:val="00EE1075"/>
    <w:rsid w:val="00EE170C"/>
    <w:rsid w:val="00EE3755"/>
    <w:rsid w:val="00EE3786"/>
    <w:rsid w:val="00EE5EAC"/>
    <w:rsid w:val="00EF1CF2"/>
    <w:rsid w:val="00EF40BF"/>
    <w:rsid w:val="00EF44FB"/>
    <w:rsid w:val="00EF5664"/>
    <w:rsid w:val="00EF585B"/>
    <w:rsid w:val="00EF69E1"/>
    <w:rsid w:val="00EF7398"/>
    <w:rsid w:val="00F006D1"/>
    <w:rsid w:val="00F00932"/>
    <w:rsid w:val="00F010D1"/>
    <w:rsid w:val="00F012DC"/>
    <w:rsid w:val="00F013B7"/>
    <w:rsid w:val="00F01746"/>
    <w:rsid w:val="00F01984"/>
    <w:rsid w:val="00F01A22"/>
    <w:rsid w:val="00F0205B"/>
    <w:rsid w:val="00F032E6"/>
    <w:rsid w:val="00F04845"/>
    <w:rsid w:val="00F06430"/>
    <w:rsid w:val="00F06AA8"/>
    <w:rsid w:val="00F108A5"/>
    <w:rsid w:val="00F10CD4"/>
    <w:rsid w:val="00F10E26"/>
    <w:rsid w:val="00F119C9"/>
    <w:rsid w:val="00F11E67"/>
    <w:rsid w:val="00F122AB"/>
    <w:rsid w:val="00F1246D"/>
    <w:rsid w:val="00F12629"/>
    <w:rsid w:val="00F136E2"/>
    <w:rsid w:val="00F13880"/>
    <w:rsid w:val="00F13E41"/>
    <w:rsid w:val="00F14DE0"/>
    <w:rsid w:val="00F15281"/>
    <w:rsid w:val="00F16D28"/>
    <w:rsid w:val="00F20510"/>
    <w:rsid w:val="00F2152C"/>
    <w:rsid w:val="00F216B4"/>
    <w:rsid w:val="00F2253D"/>
    <w:rsid w:val="00F2419A"/>
    <w:rsid w:val="00F242FF"/>
    <w:rsid w:val="00F2445B"/>
    <w:rsid w:val="00F25E0C"/>
    <w:rsid w:val="00F26DB2"/>
    <w:rsid w:val="00F3482D"/>
    <w:rsid w:val="00F34B58"/>
    <w:rsid w:val="00F3776E"/>
    <w:rsid w:val="00F37A43"/>
    <w:rsid w:val="00F429C4"/>
    <w:rsid w:val="00F43995"/>
    <w:rsid w:val="00F4667D"/>
    <w:rsid w:val="00F47888"/>
    <w:rsid w:val="00F52010"/>
    <w:rsid w:val="00F53EE5"/>
    <w:rsid w:val="00F53F6C"/>
    <w:rsid w:val="00F55FAC"/>
    <w:rsid w:val="00F574E6"/>
    <w:rsid w:val="00F57F79"/>
    <w:rsid w:val="00F6038B"/>
    <w:rsid w:val="00F629DB"/>
    <w:rsid w:val="00F62A6D"/>
    <w:rsid w:val="00F64A11"/>
    <w:rsid w:val="00F70A4E"/>
    <w:rsid w:val="00F70BFC"/>
    <w:rsid w:val="00F715FF"/>
    <w:rsid w:val="00F720BB"/>
    <w:rsid w:val="00F729E2"/>
    <w:rsid w:val="00F72A9A"/>
    <w:rsid w:val="00F7447D"/>
    <w:rsid w:val="00F7515E"/>
    <w:rsid w:val="00F753C5"/>
    <w:rsid w:val="00F7681D"/>
    <w:rsid w:val="00F801E5"/>
    <w:rsid w:val="00F824AE"/>
    <w:rsid w:val="00F82561"/>
    <w:rsid w:val="00F857EC"/>
    <w:rsid w:val="00F90065"/>
    <w:rsid w:val="00F912F1"/>
    <w:rsid w:val="00F94BD5"/>
    <w:rsid w:val="00F953C4"/>
    <w:rsid w:val="00F9573A"/>
    <w:rsid w:val="00F97F58"/>
    <w:rsid w:val="00FA1F43"/>
    <w:rsid w:val="00FA41B1"/>
    <w:rsid w:val="00FA6CD6"/>
    <w:rsid w:val="00FB057E"/>
    <w:rsid w:val="00FB1741"/>
    <w:rsid w:val="00FB6536"/>
    <w:rsid w:val="00FB792B"/>
    <w:rsid w:val="00FC0EF3"/>
    <w:rsid w:val="00FC1C7C"/>
    <w:rsid w:val="00FC2F26"/>
    <w:rsid w:val="00FC3A34"/>
    <w:rsid w:val="00FC3E65"/>
    <w:rsid w:val="00FC5027"/>
    <w:rsid w:val="00FC50CA"/>
    <w:rsid w:val="00FC5293"/>
    <w:rsid w:val="00FC5760"/>
    <w:rsid w:val="00FC5A50"/>
    <w:rsid w:val="00FD0838"/>
    <w:rsid w:val="00FD29C1"/>
    <w:rsid w:val="00FD3AD3"/>
    <w:rsid w:val="00FD43AC"/>
    <w:rsid w:val="00FD4E73"/>
    <w:rsid w:val="00FD4FDC"/>
    <w:rsid w:val="00FD573C"/>
    <w:rsid w:val="00FD5A17"/>
    <w:rsid w:val="00FD7F2F"/>
    <w:rsid w:val="00FE1936"/>
    <w:rsid w:val="00FE2ACC"/>
    <w:rsid w:val="00FE2AF8"/>
    <w:rsid w:val="00FE6417"/>
    <w:rsid w:val="00FE6510"/>
    <w:rsid w:val="00FE7E33"/>
    <w:rsid w:val="00FF0F98"/>
    <w:rsid w:val="00FF2008"/>
    <w:rsid w:val="00FF24F9"/>
    <w:rsid w:val="00FF258E"/>
    <w:rsid w:val="00FF27A3"/>
    <w:rsid w:val="00FF318F"/>
    <w:rsid w:val="00FF443E"/>
    <w:rsid w:val="00FF5D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BC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2F36"/>
    <w:pPr>
      <w:spacing w:before="120" w:after="120" w:line="240" w:lineRule="auto"/>
    </w:pPr>
    <w:rPr>
      <w:rFonts w:ascii="Times New Roman" w:eastAsiaTheme="minorHAnsi" w:hAnsi="Times New Roman"/>
      <w:kern w:val="0"/>
      <w:sz w:val="22"/>
      <w:szCs w:val="22"/>
      <w:lang w:eastAsia="en-US"/>
      <w14:ligatures w14:val="none"/>
    </w:rPr>
  </w:style>
  <w:style w:type="paragraph" w:styleId="Heading1">
    <w:name w:val="heading 1"/>
    <w:basedOn w:val="Normal"/>
    <w:next w:val="Normal"/>
    <w:link w:val="Heading1Char"/>
    <w:qFormat/>
    <w:rsid w:val="0092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2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2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22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22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22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2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22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22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F36"/>
    <w:rPr>
      <w:rFonts w:eastAsiaTheme="majorEastAsia" w:cstheme="majorBidi"/>
      <w:color w:val="272727" w:themeColor="text1" w:themeTint="D8"/>
    </w:rPr>
  </w:style>
  <w:style w:type="paragraph" w:styleId="Title">
    <w:name w:val="Title"/>
    <w:basedOn w:val="Normal"/>
    <w:next w:val="Normal"/>
    <w:link w:val="TitleChar"/>
    <w:uiPriority w:val="10"/>
    <w:qFormat/>
    <w:rsid w:val="00922F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F36"/>
    <w:pPr>
      <w:spacing w:before="160"/>
      <w:jc w:val="center"/>
    </w:pPr>
    <w:rPr>
      <w:i/>
      <w:iCs/>
      <w:color w:val="404040" w:themeColor="text1" w:themeTint="BF"/>
    </w:rPr>
  </w:style>
  <w:style w:type="character" w:customStyle="1" w:styleId="QuoteChar">
    <w:name w:val="Quote Char"/>
    <w:basedOn w:val="DefaultParagraphFont"/>
    <w:link w:val="Quote"/>
    <w:uiPriority w:val="29"/>
    <w:rsid w:val="00922F36"/>
    <w:rPr>
      <w:i/>
      <w:iCs/>
      <w:color w:val="404040" w:themeColor="text1" w:themeTint="BF"/>
    </w:rPr>
  </w:style>
  <w:style w:type="paragraph" w:styleId="ListParagraph">
    <w:name w:val="List Paragraph"/>
    <w:basedOn w:val="Normal"/>
    <w:uiPriority w:val="34"/>
    <w:qFormat/>
    <w:rsid w:val="00922F36"/>
    <w:pPr>
      <w:ind w:left="720"/>
      <w:contextualSpacing/>
    </w:pPr>
  </w:style>
  <w:style w:type="character" w:styleId="IntenseEmphasis">
    <w:name w:val="Intense Emphasis"/>
    <w:basedOn w:val="DefaultParagraphFont"/>
    <w:uiPriority w:val="21"/>
    <w:qFormat/>
    <w:rsid w:val="00922F36"/>
    <w:rPr>
      <w:i/>
      <w:iCs/>
      <w:color w:val="0F4761" w:themeColor="accent1" w:themeShade="BF"/>
    </w:rPr>
  </w:style>
  <w:style w:type="paragraph" w:styleId="IntenseQuote">
    <w:name w:val="Intense Quote"/>
    <w:basedOn w:val="Normal"/>
    <w:next w:val="Normal"/>
    <w:link w:val="IntenseQuoteChar"/>
    <w:uiPriority w:val="30"/>
    <w:qFormat/>
    <w:rsid w:val="0092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F36"/>
    <w:rPr>
      <w:i/>
      <w:iCs/>
      <w:color w:val="0F4761" w:themeColor="accent1" w:themeShade="BF"/>
    </w:rPr>
  </w:style>
  <w:style w:type="character" w:styleId="IntenseReference">
    <w:name w:val="Intense Reference"/>
    <w:basedOn w:val="DefaultParagraphFont"/>
    <w:uiPriority w:val="32"/>
    <w:qFormat/>
    <w:rsid w:val="00922F36"/>
    <w:rPr>
      <w:b/>
      <w:bCs/>
      <w:smallCaps/>
      <w:color w:val="0F4761" w:themeColor="accent1" w:themeShade="BF"/>
      <w:spacing w:val="5"/>
    </w:rPr>
  </w:style>
  <w:style w:type="paragraph" w:customStyle="1" w:styleId="Normalparatextnonumbers">
    <w:name w:val="Normal para text (no numbers)"/>
    <w:basedOn w:val="Normal"/>
    <w:qFormat/>
    <w:rsid w:val="00922F36"/>
  </w:style>
  <w:style w:type="paragraph" w:customStyle="1" w:styleId="BillName">
    <w:name w:val="Bill Name"/>
    <w:basedOn w:val="Normalparatextnonumbers"/>
    <w:next w:val="Normalparatextnonumbers"/>
    <w:qFormat/>
    <w:rsid w:val="00922F36"/>
    <w:pPr>
      <w:spacing w:before="200" w:after="200"/>
      <w:jc w:val="center"/>
    </w:pPr>
    <w:rPr>
      <w:rFonts w:cs="Times New Roman"/>
      <w:caps/>
    </w:rPr>
  </w:style>
  <w:style w:type="paragraph" w:customStyle="1" w:styleId="TableHeading">
    <w:name w:val="Table Heading"/>
    <w:basedOn w:val="Heading4"/>
    <w:next w:val="Normalparatextnonumbers"/>
    <w:uiPriority w:val="1"/>
    <w:rsid w:val="00922F36"/>
    <w:pPr>
      <w:keepLines w:val="0"/>
      <w:numPr>
        <w:ilvl w:val="4"/>
        <w:numId w:val="1"/>
      </w:numPr>
      <w:spacing w:before="240" w:after="200"/>
      <w:ind w:left="0" w:firstLine="0"/>
    </w:pPr>
    <w:rPr>
      <w:rFonts w:ascii="Helvetica" w:eastAsia="Times New Roman" w:hAnsi="Helvetica" w:cs="Helvetica"/>
      <w:b/>
      <w:color w:val="auto"/>
    </w:rPr>
  </w:style>
  <w:style w:type="paragraph" w:customStyle="1" w:styleId="Chapterheading">
    <w:name w:val="Chapter heading"/>
    <w:basedOn w:val="Heading1"/>
    <w:next w:val="Normalparatextnonumbers"/>
    <w:rsid w:val="00922F36"/>
    <w:pPr>
      <w:numPr>
        <w:numId w:val="1"/>
      </w:numPr>
      <w:pBdr>
        <w:bottom w:val="single" w:sz="4" w:space="8" w:color="auto"/>
      </w:pBdr>
      <w:spacing w:before="0" w:after="480"/>
    </w:pPr>
    <w:rPr>
      <w:rFonts w:ascii="Helvitica" w:hAnsi="Helvitica"/>
      <w:b/>
      <w:i/>
      <w:color w:val="auto"/>
      <w:szCs w:val="32"/>
    </w:rPr>
  </w:style>
  <w:style w:type="numbering" w:customStyle="1" w:styleId="Chapternumbering">
    <w:name w:val="Chapter numbering"/>
    <w:uiPriority w:val="99"/>
    <w:rsid w:val="00922F36"/>
    <w:pPr>
      <w:numPr>
        <w:numId w:val="2"/>
      </w:numPr>
    </w:pPr>
  </w:style>
  <w:style w:type="paragraph" w:customStyle="1" w:styleId="DiagramHeading">
    <w:name w:val="Diagram Heading"/>
    <w:basedOn w:val="TableHeading"/>
    <w:next w:val="Normalparatextnonumbers"/>
    <w:uiPriority w:val="1"/>
    <w:rsid w:val="00922F36"/>
    <w:pPr>
      <w:numPr>
        <w:ilvl w:val="2"/>
      </w:numPr>
      <w:tabs>
        <w:tab w:val="num" w:pos="360"/>
      </w:tabs>
      <w:ind w:left="0" w:firstLine="0"/>
    </w:pPr>
  </w:style>
  <w:style w:type="paragraph" w:customStyle="1" w:styleId="Dotpoint1">
    <w:name w:val="Dot point 1"/>
    <w:basedOn w:val="Normal"/>
    <w:link w:val="Dotpoint1Char"/>
    <w:uiPriority w:val="1"/>
    <w:qFormat/>
    <w:rsid w:val="00922F36"/>
    <w:pPr>
      <w:numPr>
        <w:numId w:val="3"/>
      </w:numPr>
      <w:ind w:left="1418" w:hanging="709"/>
    </w:pPr>
  </w:style>
  <w:style w:type="character" w:customStyle="1" w:styleId="Dotpoint1Char">
    <w:name w:val="Dot point 1 Char"/>
    <w:basedOn w:val="DefaultParagraphFont"/>
    <w:link w:val="Dotpoint1"/>
    <w:uiPriority w:val="1"/>
    <w:rsid w:val="00922F36"/>
    <w:rPr>
      <w:rFonts w:ascii="Times New Roman" w:eastAsiaTheme="minorHAnsi" w:hAnsi="Times New Roman"/>
      <w:kern w:val="0"/>
      <w:sz w:val="22"/>
      <w:szCs w:val="22"/>
      <w:lang w:eastAsia="en-US"/>
      <w14:ligatures w14:val="none"/>
    </w:rPr>
  </w:style>
  <w:style w:type="paragraph" w:customStyle="1" w:styleId="Exampletext">
    <w:name w:val="Example text"/>
    <w:basedOn w:val="Normal"/>
    <w:uiPriority w:val="1"/>
    <w:qFormat/>
    <w:rsid w:val="00922F36"/>
    <w:pPr>
      <w:spacing w:before="200" w:after="160"/>
      <w:ind w:left="1134" w:right="864"/>
    </w:pPr>
    <w:rPr>
      <w:iCs/>
      <w:color w:val="000000" w:themeColor="text1"/>
      <w:sz w:val="21"/>
    </w:rPr>
  </w:style>
  <w:style w:type="paragraph" w:customStyle="1" w:styleId="ExampleHeading">
    <w:name w:val="Example Heading"/>
    <w:basedOn w:val="TableHeading"/>
    <w:next w:val="Exampletext"/>
    <w:uiPriority w:val="1"/>
    <w:rsid w:val="00922F36"/>
    <w:pPr>
      <w:numPr>
        <w:ilvl w:val="3"/>
      </w:numPr>
      <w:tabs>
        <w:tab w:val="num" w:pos="360"/>
      </w:tabs>
      <w:ind w:left="0" w:firstLine="0"/>
    </w:pPr>
  </w:style>
  <w:style w:type="paragraph" w:customStyle="1" w:styleId="Baseparagraphcentred">
    <w:name w:val="Base paragraph centred"/>
    <w:basedOn w:val="Normal"/>
    <w:rsid w:val="00922F36"/>
    <w:pPr>
      <w:spacing w:before="200" w:after="200"/>
      <w:jc w:val="center"/>
    </w:pPr>
    <w:rPr>
      <w:rFonts w:eastAsia="Times New Roman" w:cs="Times New Roman"/>
      <w:szCs w:val="20"/>
      <w:lang w:eastAsia="en-AU"/>
    </w:rPr>
  </w:style>
  <w:style w:type="paragraph" w:styleId="Footer">
    <w:name w:val="footer"/>
    <w:basedOn w:val="Normal"/>
    <w:link w:val="FooterChar"/>
    <w:semiHidden/>
    <w:rsid w:val="00922F36"/>
    <w:pPr>
      <w:tabs>
        <w:tab w:val="center" w:pos="4153"/>
        <w:tab w:val="right" w:pos="8306"/>
      </w:tabs>
    </w:pPr>
  </w:style>
  <w:style w:type="character" w:customStyle="1" w:styleId="FooterChar">
    <w:name w:val="Footer Char"/>
    <w:basedOn w:val="DefaultParagraphFont"/>
    <w:link w:val="Footer"/>
    <w:semiHidden/>
    <w:rsid w:val="00922F36"/>
    <w:rPr>
      <w:rFonts w:ascii="Times New Roman" w:eastAsiaTheme="minorHAnsi" w:hAnsi="Times New Roman"/>
      <w:kern w:val="0"/>
      <w:sz w:val="22"/>
      <w:szCs w:val="22"/>
      <w:lang w:eastAsia="en-US"/>
      <w14:ligatures w14:val="none"/>
    </w:rPr>
  </w:style>
  <w:style w:type="paragraph" w:styleId="Header">
    <w:name w:val="header"/>
    <w:basedOn w:val="Normal"/>
    <w:link w:val="HeaderChar"/>
    <w:semiHidden/>
    <w:rsid w:val="00922F36"/>
    <w:pPr>
      <w:tabs>
        <w:tab w:val="center" w:pos="4153"/>
        <w:tab w:val="right" w:pos="8306"/>
      </w:tabs>
    </w:pPr>
  </w:style>
  <w:style w:type="character" w:customStyle="1" w:styleId="HeaderChar">
    <w:name w:val="Header Char"/>
    <w:basedOn w:val="DefaultParagraphFont"/>
    <w:link w:val="Header"/>
    <w:semiHidden/>
    <w:rsid w:val="00922F36"/>
    <w:rPr>
      <w:rFonts w:ascii="Times New Roman" w:eastAsiaTheme="minorHAnsi" w:hAnsi="Times New Roman"/>
      <w:kern w:val="0"/>
      <w:sz w:val="22"/>
      <w:szCs w:val="22"/>
      <w:lang w:eastAsia="en-US"/>
      <w14:ligatures w14:val="none"/>
    </w:rPr>
  </w:style>
  <w:style w:type="paragraph" w:customStyle="1" w:styleId="leftheader">
    <w:name w:val="left header"/>
    <w:basedOn w:val="Normal"/>
    <w:uiPriority w:val="1"/>
    <w:rsid w:val="00922F36"/>
    <w:pPr>
      <w:pBdr>
        <w:bottom w:val="single" w:sz="4" w:space="1" w:color="auto"/>
      </w:pBdr>
    </w:pPr>
    <w:rPr>
      <w:i/>
      <w:sz w:val="20"/>
    </w:rPr>
  </w:style>
  <w:style w:type="paragraph" w:customStyle="1" w:styleId="Normalparatextwithnumbers">
    <w:name w:val="Normal para text (with numbers)"/>
    <w:basedOn w:val="Normalparatextnonumbers"/>
    <w:qFormat/>
    <w:rsid w:val="00922F36"/>
    <w:pPr>
      <w:numPr>
        <w:ilvl w:val="1"/>
        <w:numId w:val="1"/>
      </w:numPr>
    </w:pPr>
  </w:style>
  <w:style w:type="character" w:customStyle="1" w:styleId="References">
    <w:name w:val="References"/>
    <w:basedOn w:val="DefaultParagraphFont"/>
    <w:uiPriority w:val="1"/>
    <w:rsid w:val="00922F36"/>
    <w:rPr>
      <w:rFonts w:ascii="Times New Roman" w:hAnsi="Times New Roman"/>
      <w:b/>
      <w:bCs/>
      <w:i/>
      <w:iCs/>
      <w:sz w:val="22"/>
    </w:rPr>
  </w:style>
  <w:style w:type="paragraph" w:customStyle="1" w:styleId="rightfooter">
    <w:name w:val="right footer"/>
    <w:basedOn w:val="Normal"/>
    <w:uiPriority w:val="1"/>
    <w:rsid w:val="00922F36"/>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922F36"/>
    <w:pPr>
      <w:pBdr>
        <w:bottom w:val="single" w:sz="4" w:space="1" w:color="auto"/>
      </w:pBdr>
      <w:jc w:val="right"/>
    </w:pPr>
    <w:rPr>
      <w:i/>
      <w:sz w:val="20"/>
    </w:rPr>
  </w:style>
  <w:style w:type="paragraph" w:customStyle="1" w:styleId="Tableheaderrowtext">
    <w:name w:val="Table header row text"/>
    <w:basedOn w:val="Heading4"/>
    <w:uiPriority w:val="1"/>
    <w:rsid w:val="00922F36"/>
    <w:pPr>
      <w:keepLines w:val="0"/>
      <w:numPr>
        <w:ilvl w:val="3"/>
      </w:numPr>
      <w:spacing w:before="120" w:after="120"/>
    </w:pPr>
    <w:rPr>
      <w:rFonts w:ascii="Helvetica" w:eastAsia="Times New Roman" w:hAnsi="Helvetica" w:cs="Helvetica"/>
      <w:b/>
      <w:color w:val="auto"/>
    </w:rPr>
  </w:style>
  <w:style w:type="paragraph" w:styleId="TOC1">
    <w:name w:val="toc 1"/>
    <w:basedOn w:val="Normal"/>
    <w:next w:val="TOC2"/>
    <w:uiPriority w:val="39"/>
    <w:rsid w:val="00922F36"/>
    <w:pPr>
      <w:tabs>
        <w:tab w:val="right" w:leader="dot" w:pos="7655"/>
      </w:tabs>
      <w:ind w:left="1758" w:hanging="1758"/>
    </w:pPr>
    <w:rPr>
      <w:rFonts w:ascii="Helvitica" w:hAnsi="Helvitica" w:cstheme="minorHAnsi"/>
      <w:bCs/>
      <w:sz w:val="24"/>
      <w:szCs w:val="20"/>
    </w:rPr>
  </w:style>
  <w:style w:type="paragraph" w:customStyle="1" w:styleId="TOCHeading">
    <w:name w:val="TOCHeading"/>
    <w:basedOn w:val="Normal"/>
    <w:next w:val="Normalparatextnonumbers"/>
    <w:qFormat/>
    <w:rsid w:val="00922F36"/>
    <w:pPr>
      <w:spacing w:before="360" w:after="360"/>
    </w:pPr>
    <w:rPr>
      <w:rFonts w:ascii="Helvitica" w:hAnsi="Helvitica"/>
      <w:sz w:val="40"/>
    </w:rPr>
  </w:style>
  <w:style w:type="paragraph" w:customStyle="1" w:styleId="ParaCentredNoSpacing">
    <w:name w:val="ParaCentredNoSpacing"/>
    <w:basedOn w:val="Baseparagraphcentred"/>
    <w:qFormat/>
    <w:rsid w:val="00922F36"/>
    <w:pPr>
      <w:spacing w:before="0" w:after="0"/>
    </w:pPr>
  </w:style>
  <w:style w:type="paragraph" w:styleId="TOC2">
    <w:name w:val="toc 2"/>
    <w:basedOn w:val="Normal"/>
    <w:next w:val="Normal"/>
    <w:autoRedefine/>
    <w:uiPriority w:val="39"/>
    <w:semiHidden/>
    <w:unhideWhenUsed/>
    <w:rsid w:val="00922F36"/>
    <w:pPr>
      <w:spacing w:after="100"/>
      <w:ind w:left="220"/>
    </w:pPr>
  </w:style>
  <w:style w:type="paragraph" w:styleId="Revision">
    <w:name w:val="Revision"/>
    <w:hidden/>
    <w:uiPriority w:val="99"/>
    <w:semiHidden/>
    <w:rsid w:val="003D3442"/>
    <w:pPr>
      <w:spacing w:after="0" w:line="240" w:lineRule="auto"/>
    </w:pPr>
    <w:rPr>
      <w:rFonts w:ascii="Times New Roman" w:eastAsiaTheme="minorHAnsi" w:hAnsi="Times New Roman"/>
      <w:kern w:val="0"/>
      <w:sz w:val="22"/>
      <w:szCs w:val="22"/>
      <w:lang w:eastAsia="en-US"/>
      <w14:ligatures w14:val="none"/>
    </w:rPr>
  </w:style>
  <w:style w:type="paragraph" w:customStyle="1" w:styleId="leftfooter">
    <w:name w:val="left footer"/>
    <w:basedOn w:val="Normal"/>
    <w:uiPriority w:val="1"/>
    <w:rsid w:val="003D3442"/>
    <w:pPr>
      <w:pBdr>
        <w:top w:val="single" w:sz="4" w:space="1" w:color="auto"/>
      </w:pBdr>
      <w:spacing w:before="240" w:after="0"/>
    </w:pPr>
    <w:rPr>
      <w:i/>
      <w:sz w:val="20"/>
    </w:rPr>
  </w:style>
  <w:style w:type="character" w:styleId="CommentReference">
    <w:name w:val="annotation reference"/>
    <w:basedOn w:val="DefaultParagraphFont"/>
    <w:uiPriority w:val="99"/>
    <w:semiHidden/>
    <w:unhideWhenUsed/>
    <w:rsid w:val="00966F8B"/>
    <w:rPr>
      <w:sz w:val="16"/>
      <w:szCs w:val="16"/>
    </w:rPr>
  </w:style>
  <w:style w:type="paragraph" w:styleId="CommentText">
    <w:name w:val="annotation text"/>
    <w:basedOn w:val="Normal"/>
    <w:link w:val="CommentTextChar"/>
    <w:uiPriority w:val="99"/>
    <w:unhideWhenUsed/>
    <w:rsid w:val="00966F8B"/>
    <w:rPr>
      <w:sz w:val="20"/>
      <w:szCs w:val="20"/>
    </w:rPr>
  </w:style>
  <w:style w:type="character" w:customStyle="1" w:styleId="CommentTextChar">
    <w:name w:val="Comment Text Char"/>
    <w:basedOn w:val="DefaultParagraphFont"/>
    <w:link w:val="CommentText"/>
    <w:uiPriority w:val="99"/>
    <w:rsid w:val="00966F8B"/>
    <w:rPr>
      <w:rFonts w:ascii="Times New Roman" w:eastAsiaTheme="minorHAnsi" w:hAnsi="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966F8B"/>
    <w:rPr>
      <w:b/>
      <w:bCs/>
    </w:rPr>
  </w:style>
  <w:style w:type="character" w:customStyle="1" w:styleId="CommentSubjectChar">
    <w:name w:val="Comment Subject Char"/>
    <w:basedOn w:val="CommentTextChar"/>
    <w:link w:val="CommentSubject"/>
    <w:uiPriority w:val="99"/>
    <w:semiHidden/>
    <w:rsid w:val="00966F8B"/>
    <w:rPr>
      <w:rFonts w:ascii="Times New Roman" w:eastAsiaTheme="minorHAnsi" w:hAnsi="Times New Roman"/>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Explanatory materials: Treasury Laws Amendment Bill 2025: PRRT Callaghan review recommendation 6</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2025: PRRT Callaghan review recommendation 6</dc:title>
  <dc:subject/>
  <dc:creator>Treasury</dc:creator>
  <cp:keywords/>
  <dc:description/>
  <cp:lastModifiedBy/>
  <cp:revision>1</cp:revision>
  <dcterms:created xsi:type="dcterms:W3CDTF">2025-08-04T03:20:00Z</dcterms:created>
  <dcterms:modified xsi:type="dcterms:W3CDTF">2025-08-04T03:21:00Z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2025-08-04T03:21:24Z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23d370f5-69d7-40bd-b879-d52d6d501423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