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E07D9" w:rsidRDefault="003A5D9A" w:rsidP="00B9577B">
      <w:pPr>
        <w:tabs>
          <w:tab w:val="left" w:pos="567"/>
        </w:tabs>
        <w:spacing w:after="0" w:line="280" w:lineRule="exact"/>
        <w:ind w:left="567" w:hanging="567"/>
      </w:pPr>
      <w:r>
        <w:fldChar w:fldCharType="begin"/>
      </w:r>
      <w:r w:rsidR="00EA0DEC">
        <w:instrText xml:space="preserve"> DOCPROPERTY  xRecipient  \* MERGEFORMAT </w:instrText>
      </w:r>
      <w:r>
        <w:fldChar w:fldCharType="end"/>
      </w:r>
      <w:r w:rsidRPr="00335310">
        <w:fldChar w:fldCharType="begin"/>
      </w:r>
      <w:r w:rsidR="00F766A2" w:rsidRPr="00335310">
        <w:instrText xml:space="preserve"> DOCPROPERTY  xCompany  \* MERGEFORMAT </w:instrText>
      </w:r>
      <w:r w:rsidRPr="00335310">
        <w:fldChar w:fldCharType="end"/>
      </w:r>
      <w:r w:rsidR="002E1898">
        <w:t>27 January 2012</w:t>
      </w:r>
    </w:p>
    <w:p w:rsidR="002E1898" w:rsidRDefault="002E1898" w:rsidP="00B9577B">
      <w:pPr>
        <w:tabs>
          <w:tab w:val="left" w:pos="567"/>
        </w:tabs>
        <w:spacing w:after="0" w:line="280" w:lineRule="exact"/>
        <w:ind w:left="567" w:hanging="567"/>
      </w:pPr>
    </w:p>
    <w:p w:rsidR="002E1898" w:rsidRDefault="002E1898" w:rsidP="00B9577B">
      <w:pPr>
        <w:tabs>
          <w:tab w:val="left" w:pos="567"/>
        </w:tabs>
        <w:spacing w:after="0" w:line="280" w:lineRule="exact"/>
        <w:ind w:left="567" w:hanging="567"/>
      </w:pPr>
    </w:p>
    <w:sdt>
      <w:sdtPr>
        <w:alias w:val="RecipientAddress"/>
        <w:tag w:val="RecipientAddress"/>
        <w:id w:val="45633736"/>
        <w:lock w:val="contentLocked"/>
        <w:placeholder>
          <w:docPart w:val="05F9D8DFDB124E658985A990289827F7"/>
        </w:placeholder>
      </w:sdtPr>
      <w:sdtEndPr/>
      <w:sdtContent>
        <w:p w:rsidR="00AF4182" w:rsidRDefault="00AF4182" w:rsidP="00B9577B">
          <w:pPr>
            <w:tabs>
              <w:tab w:val="left" w:pos="567"/>
            </w:tabs>
            <w:spacing w:after="0" w:line="280" w:lineRule="exact"/>
            <w:ind w:left="567" w:hanging="567"/>
          </w:pPr>
          <w:r>
            <w:t>The Manager</w:t>
          </w:r>
        </w:p>
        <w:p w:rsidR="00AF4182" w:rsidRDefault="00AF4182" w:rsidP="00B9577B">
          <w:pPr>
            <w:tabs>
              <w:tab w:val="left" w:pos="567"/>
            </w:tabs>
            <w:spacing w:after="0" w:line="280" w:lineRule="exact"/>
            <w:ind w:left="567" w:hanging="567"/>
          </w:pPr>
          <w:r>
            <w:t>Corporate Reporting and Accountability Unit</w:t>
          </w:r>
        </w:p>
        <w:p w:rsidR="00AF4182" w:rsidRDefault="00AF4182" w:rsidP="00B9577B">
          <w:pPr>
            <w:tabs>
              <w:tab w:val="left" w:pos="567"/>
            </w:tabs>
            <w:spacing w:after="0" w:line="280" w:lineRule="exact"/>
            <w:ind w:left="567" w:hanging="567"/>
          </w:pPr>
          <w:r>
            <w:t>Corporations and Capital Markets Division</w:t>
          </w:r>
        </w:p>
        <w:p w:rsidR="00AF4182" w:rsidRDefault="00AF4182" w:rsidP="00B9577B">
          <w:pPr>
            <w:tabs>
              <w:tab w:val="left" w:pos="567"/>
            </w:tabs>
            <w:spacing w:after="0" w:line="280" w:lineRule="exact"/>
            <w:ind w:left="567" w:hanging="567"/>
          </w:pPr>
          <w:r>
            <w:t>Australian Treasury</w:t>
          </w:r>
        </w:p>
        <w:p w:rsidR="00AF4182" w:rsidRDefault="00AF4182" w:rsidP="00B9577B">
          <w:pPr>
            <w:tabs>
              <w:tab w:val="left" w:pos="567"/>
            </w:tabs>
            <w:spacing w:after="0" w:line="280" w:lineRule="exact"/>
            <w:ind w:left="567" w:hanging="567"/>
          </w:pPr>
          <w:r>
            <w:t>Langton Crescent</w:t>
          </w:r>
        </w:p>
        <w:p w:rsidR="002122CC" w:rsidRPr="00335310" w:rsidRDefault="00AF4182" w:rsidP="00B9577B">
          <w:pPr>
            <w:tabs>
              <w:tab w:val="left" w:pos="567"/>
            </w:tabs>
            <w:spacing w:after="0" w:line="280" w:lineRule="exact"/>
            <w:ind w:left="567" w:hanging="567"/>
          </w:pPr>
          <w:r>
            <w:t>PARKES ACT 2600</w:t>
          </w:r>
        </w:p>
      </w:sdtContent>
    </w:sdt>
    <w:p w:rsidR="002E1898" w:rsidRDefault="002E1898" w:rsidP="002E1898"/>
    <w:p w:rsidR="00130753" w:rsidRPr="00130753" w:rsidRDefault="002E1898" w:rsidP="00130753">
      <w:pPr>
        <w:spacing w:after="240" w:line="324" w:lineRule="atLeast"/>
        <w:rPr>
          <w:rFonts w:cs="Arial"/>
          <w:color w:val="615353"/>
          <w:szCs w:val="20"/>
          <w:lang w:eastAsia="en-AU"/>
        </w:rPr>
      </w:pPr>
      <w:r>
        <w:t>By email</w:t>
      </w:r>
      <w:r w:rsidR="00130753" w:rsidRPr="00130753">
        <w:rPr>
          <w:rFonts w:cs="Arial"/>
          <w:b/>
          <w:bCs/>
          <w:color w:val="615353"/>
          <w:szCs w:val="20"/>
          <w:lang w:eastAsia="en-AU"/>
        </w:rPr>
        <w:t>:</w:t>
      </w:r>
      <w:r w:rsidR="00130753" w:rsidRPr="00130753">
        <w:rPr>
          <w:rFonts w:cs="Arial"/>
          <w:color w:val="615353"/>
          <w:szCs w:val="20"/>
          <w:lang w:eastAsia="en-AU"/>
        </w:rPr>
        <w:t xml:space="preserve"> </w:t>
      </w:r>
      <w:hyperlink r:id="rId9" w:history="1">
        <w:r w:rsidR="00130753" w:rsidRPr="00130753">
          <w:rPr>
            <w:rFonts w:cs="Arial"/>
            <w:color w:val="002090"/>
            <w:szCs w:val="20"/>
            <w:lang w:eastAsia="en-AU"/>
          </w:rPr>
          <w:t>corporatereportingreforms@treasury.gov.au</w:t>
        </w:r>
      </w:hyperlink>
    </w:p>
    <w:p w:rsidR="002E1898" w:rsidRDefault="002E1898" w:rsidP="002E1898"/>
    <w:p w:rsidR="00AF4182" w:rsidRDefault="00CF79F8" w:rsidP="005E0047">
      <w:pPr>
        <w:pStyle w:val="BDOSalutation"/>
        <w:rPr>
          <w:b/>
          <w:caps/>
        </w:rPr>
      </w:pPr>
      <w:fldSimple w:instr=" DOCPROPERTY  xGreeting  \* MERGEFORMAT ">
        <w:r w:rsidR="00AF4182">
          <w:t>Dear Sir/Madam</w:t>
        </w:r>
      </w:fldSimple>
      <w:r w:rsidR="003A5D9A" w:rsidRPr="009D1D7F">
        <w:rPr>
          <w:b/>
          <w:caps/>
        </w:rPr>
        <w:fldChar w:fldCharType="begin"/>
      </w:r>
      <w:r w:rsidR="00EE76D2" w:rsidRPr="009D1D7F">
        <w:rPr>
          <w:b/>
          <w:caps/>
        </w:rPr>
        <w:instrText xml:space="preserve"> DOCPROPERTY  xSubject  \* MERGEFORMAT </w:instrText>
      </w:r>
      <w:r w:rsidR="003A5D9A" w:rsidRPr="009D1D7F">
        <w:rPr>
          <w:b/>
          <w:caps/>
        </w:rPr>
        <w:fldChar w:fldCharType="separate"/>
      </w:r>
    </w:p>
    <w:p w:rsidR="00AF4182" w:rsidRDefault="00AF4182" w:rsidP="005E0047">
      <w:pPr>
        <w:pStyle w:val="BDOSalutation"/>
        <w:rPr>
          <w:b/>
          <w:caps/>
        </w:rPr>
      </w:pPr>
    </w:p>
    <w:p w:rsidR="00360B6C" w:rsidRPr="009D1D7F" w:rsidRDefault="00AF4182" w:rsidP="005E0047">
      <w:pPr>
        <w:pStyle w:val="BDOSalutation"/>
        <w:rPr>
          <w:b/>
          <w:caps/>
        </w:rPr>
      </w:pPr>
      <w:r>
        <w:rPr>
          <w:b/>
          <w:caps/>
        </w:rPr>
        <w:t>DISCUSSION PAPER - PROPOSED AMENDMENTS TO THE CORPORATIONS ACT</w:t>
      </w:r>
      <w:r w:rsidR="003A5D9A" w:rsidRPr="009D1D7F">
        <w:rPr>
          <w:b/>
          <w:caps/>
        </w:rPr>
        <w:fldChar w:fldCharType="end"/>
      </w:r>
    </w:p>
    <w:p w:rsidR="00360B6C" w:rsidRPr="00360B6C" w:rsidRDefault="00360B6C" w:rsidP="00EE2475">
      <w:pPr>
        <w:pStyle w:val="BDONormal"/>
      </w:pPr>
    </w:p>
    <w:p w:rsidR="00790FC6" w:rsidRDefault="00A0532C" w:rsidP="00E01185">
      <w:pPr>
        <w:pStyle w:val="BDOBodyText"/>
      </w:pPr>
      <w:r>
        <w:t xml:space="preserve">BDO welcomes the opportunity to provide a submission on the </w:t>
      </w:r>
      <w:r w:rsidR="00AF4182">
        <w:rPr>
          <w:i/>
        </w:rPr>
        <w:t>Discussion Paper</w:t>
      </w:r>
      <w:r w:rsidRPr="009569FB">
        <w:rPr>
          <w:i/>
        </w:rPr>
        <w:t xml:space="preserve"> – </w:t>
      </w:r>
      <w:r w:rsidR="00AF4182">
        <w:rPr>
          <w:i/>
        </w:rPr>
        <w:t>Proposed Amendments to the Corporations Act</w:t>
      </w:r>
      <w:r w:rsidR="00075193">
        <w:rPr>
          <w:i/>
        </w:rPr>
        <w:t xml:space="preserve"> </w:t>
      </w:r>
      <w:r w:rsidR="00075193">
        <w:t>(the Discussion Paper)</w:t>
      </w:r>
      <w:r w:rsidRPr="00075193">
        <w:t>,</w:t>
      </w:r>
      <w:r>
        <w:t xml:space="preserve"> released for public consultation on 2</w:t>
      </w:r>
      <w:r w:rsidR="00AF4182">
        <w:t>8 November</w:t>
      </w:r>
      <w:r>
        <w:t xml:space="preserve"> 2011.</w:t>
      </w:r>
    </w:p>
    <w:p w:rsidR="00790FC6" w:rsidRDefault="009569FB" w:rsidP="00790FC6">
      <w:pPr>
        <w:pStyle w:val="BDOBodyText"/>
        <w:spacing w:before="240"/>
      </w:pPr>
      <w:r>
        <w:t xml:space="preserve">Our submission on </w:t>
      </w:r>
      <w:r w:rsidR="00075193">
        <w:t>the</w:t>
      </w:r>
      <w:r w:rsidR="00790FC6">
        <w:t xml:space="preserve"> issues raised in the </w:t>
      </w:r>
      <w:r w:rsidR="00075193">
        <w:t>Discussion</w:t>
      </w:r>
      <w:r w:rsidR="00AF4182">
        <w:t xml:space="preserve"> Paper</w:t>
      </w:r>
      <w:r w:rsidR="00790FC6">
        <w:t xml:space="preserve"> is attached as </w:t>
      </w:r>
      <w:r w:rsidR="00130753">
        <w:t xml:space="preserve">an </w:t>
      </w:r>
      <w:r w:rsidR="00790FC6">
        <w:t>Appendix.</w:t>
      </w:r>
      <w:r w:rsidR="00075193">
        <w:t xml:space="preserve">  </w:t>
      </w:r>
    </w:p>
    <w:p w:rsidR="00914FA9" w:rsidRDefault="00E01185" w:rsidP="00790FC6">
      <w:pPr>
        <w:pStyle w:val="BDOBodyText"/>
        <w:spacing w:before="240"/>
      </w:pPr>
      <w:r>
        <w:t xml:space="preserve">Should you have any </w:t>
      </w:r>
      <w:r w:rsidR="00447069">
        <w:t>questions, or wish to discuss any of the comments made in the attached submission, please do not hesitate to c</w:t>
      </w:r>
      <w:r>
        <w:t xml:space="preserve">ontact me on (02) 9286 </w:t>
      </w:r>
      <w:r w:rsidR="00A0532C">
        <w:t>5527</w:t>
      </w:r>
      <w:r>
        <w:t>.</w:t>
      </w:r>
    </w:p>
    <w:p w:rsidR="00360B6C" w:rsidRPr="00360B6C" w:rsidRDefault="00360B6C" w:rsidP="008B6541">
      <w:pPr>
        <w:pStyle w:val="BDOBodyText"/>
      </w:pPr>
    </w:p>
    <w:p w:rsidR="000823D1" w:rsidRDefault="00CF79F8" w:rsidP="006B20BF">
      <w:pPr>
        <w:spacing w:line="280" w:lineRule="exact"/>
        <w:rPr>
          <w:b/>
        </w:rPr>
      </w:pPr>
      <w:fldSimple w:instr=" DOCPROPERTY  xClosing  \* MERGEFORMAT ">
        <w:r w:rsidR="00AF4182">
          <w:t>Yours sincerely</w:t>
        </w:r>
      </w:fldSimple>
      <w:r w:rsidR="006B20BF">
        <w:rPr>
          <w:b/>
        </w:rPr>
        <w:t xml:space="preserve"> </w:t>
      </w:r>
    </w:p>
    <w:p w:rsidR="00A425F9" w:rsidRPr="00034010" w:rsidRDefault="00130753" w:rsidP="00130753">
      <w:pPr>
        <w:pStyle w:val="BDONormal"/>
        <w:spacing w:after="0"/>
        <w:ind w:left="-851"/>
      </w:pPr>
      <w:r w:rsidRPr="00130753">
        <w:rPr>
          <w:noProof/>
          <w:lang w:eastAsia="en-AU"/>
        </w:rPr>
        <w:drawing>
          <wp:inline distT="0" distB="0" distL="0" distR="0">
            <wp:extent cx="2071455" cy="940279"/>
            <wp:effectExtent l="19050" t="0" r="499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74536" cy="941677"/>
                    </a:xfrm>
                    <a:prstGeom prst="rect">
                      <a:avLst/>
                    </a:prstGeom>
                    <a:noFill/>
                    <a:ln w="9525">
                      <a:noFill/>
                      <a:miter lim="800000"/>
                      <a:headEnd/>
                      <a:tailEnd/>
                    </a:ln>
                  </pic:spPr>
                </pic:pic>
              </a:graphicData>
            </a:graphic>
          </wp:inline>
        </w:drawing>
      </w:r>
    </w:p>
    <w:p w:rsidR="00130753" w:rsidRDefault="00130753" w:rsidP="006B20BF">
      <w:pPr>
        <w:spacing w:after="0" w:line="280" w:lineRule="exact"/>
      </w:pPr>
      <w:r>
        <w:t>Matthew Wallace</w:t>
      </w:r>
    </w:p>
    <w:p w:rsidR="00932976" w:rsidRDefault="00CF79F8" w:rsidP="006B20BF">
      <w:pPr>
        <w:spacing w:after="0" w:line="280" w:lineRule="exact"/>
      </w:pPr>
      <w:fldSimple w:instr=" DOCPROPERTY  xSigningTitle  \* MERGEFORMAT ">
        <w:r w:rsidR="00AF4182">
          <w:t>National Tax Coun</w:t>
        </w:r>
        <w:r w:rsidR="00CD290D">
          <w:t>sel</w:t>
        </w:r>
      </w:fldSimple>
    </w:p>
    <w:p w:rsidR="006B20BF" w:rsidRDefault="006B20BF" w:rsidP="00C61599">
      <w:pPr>
        <w:spacing w:line="280" w:lineRule="exact"/>
      </w:pPr>
      <w:r>
        <w:t>Corporate and International</w:t>
      </w:r>
    </w:p>
    <w:sdt>
      <w:sdtPr>
        <w:alias w:val="CC"/>
        <w:tag w:val="CC"/>
        <w:id w:val="45254895"/>
        <w:lock w:val="contentLocked"/>
        <w:placeholder>
          <w:docPart w:val="4F7CBA5EBB5449BFBD2E530B32021AEF"/>
        </w:placeholder>
      </w:sdtPr>
      <w:sdtEndPr/>
      <w:sdtContent>
        <w:p w:rsidR="00932976" w:rsidRDefault="00AF4182" w:rsidP="00392D02">
          <w:pPr>
            <w:tabs>
              <w:tab w:val="left" w:pos="567"/>
            </w:tabs>
            <w:spacing w:after="0" w:line="280" w:lineRule="exact"/>
            <w:ind w:left="567" w:hanging="567"/>
          </w:pPr>
          <w:r>
            <w:t xml:space="preserve"> </w:t>
          </w:r>
        </w:p>
      </w:sdtContent>
    </w:sdt>
    <w:p w:rsidR="006B20BF" w:rsidRDefault="006B20BF">
      <w:pPr>
        <w:spacing w:line="280" w:lineRule="exact"/>
      </w:pPr>
      <w:r>
        <w:br w:type="page"/>
      </w:r>
    </w:p>
    <w:p w:rsidR="009569FB" w:rsidRPr="00C14CB3" w:rsidRDefault="009569FB" w:rsidP="00392D02">
      <w:pPr>
        <w:tabs>
          <w:tab w:val="left" w:pos="567"/>
        </w:tabs>
        <w:spacing w:after="0" w:line="280" w:lineRule="exact"/>
        <w:ind w:left="567" w:hanging="567"/>
        <w:rPr>
          <w:b/>
          <w:sz w:val="24"/>
        </w:rPr>
      </w:pPr>
      <w:r w:rsidRPr="00C14CB3">
        <w:rPr>
          <w:b/>
          <w:sz w:val="24"/>
        </w:rPr>
        <w:lastRenderedPageBreak/>
        <w:t>APPENDIX</w:t>
      </w:r>
    </w:p>
    <w:p w:rsidR="00AF4182" w:rsidRDefault="009569FB" w:rsidP="00AF4182">
      <w:pPr>
        <w:tabs>
          <w:tab w:val="left" w:pos="0"/>
        </w:tabs>
        <w:spacing w:before="240" w:after="0" w:line="280" w:lineRule="exact"/>
      </w:pPr>
      <w:r>
        <w:t>This document sets out the submi</w:t>
      </w:r>
      <w:r w:rsidR="00AF4182">
        <w:t xml:space="preserve">ssion of BDO in relation to the </w:t>
      </w:r>
      <w:r w:rsidR="00AF4182">
        <w:rPr>
          <w:i/>
        </w:rPr>
        <w:t>Discussion Paper</w:t>
      </w:r>
      <w:r w:rsidR="00AF4182" w:rsidRPr="009569FB">
        <w:rPr>
          <w:i/>
        </w:rPr>
        <w:t xml:space="preserve"> – </w:t>
      </w:r>
      <w:r w:rsidR="00AF4182">
        <w:rPr>
          <w:i/>
        </w:rPr>
        <w:t>Proposed Amendments to the Corporations Act</w:t>
      </w:r>
      <w:r w:rsidR="00075193">
        <w:t xml:space="preserve"> (the Discussion Paper)</w:t>
      </w:r>
      <w:r w:rsidR="00AF4182">
        <w:t>, released for public consultation on 28 November 2011.</w:t>
      </w:r>
    </w:p>
    <w:p w:rsidR="00C14CB3" w:rsidRDefault="00075193" w:rsidP="009569FB">
      <w:pPr>
        <w:tabs>
          <w:tab w:val="left" w:pos="0"/>
        </w:tabs>
        <w:spacing w:before="240" w:line="280" w:lineRule="exact"/>
      </w:pPr>
      <w:r>
        <w:t xml:space="preserve">Unless otherwise indicated, statutory references are to the </w:t>
      </w:r>
      <w:r>
        <w:rPr>
          <w:i/>
        </w:rPr>
        <w:t xml:space="preserve">Corporations Act 2001.  </w:t>
      </w:r>
    </w:p>
    <w:p w:rsidR="00C14CB3" w:rsidRPr="00C14CB3" w:rsidRDefault="00C14CB3" w:rsidP="009569FB">
      <w:pPr>
        <w:tabs>
          <w:tab w:val="left" w:pos="0"/>
        </w:tabs>
        <w:spacing w:before="240" w:after="0" w:line="280" w:lineRule="exact"/>
        <w:rPr>
          <w:b/>
        </w:rPr>
      </w:pPr>
      <w:r w:rsidRPr="00C14CB3">
        <w:rPr>
          <w:b/>
        </w:rPr>
        <w:t>Executive Summary</w:t>
      </w:r>
    </w:p>
    <w:p w:rsidR="009569FB" w:rsidRDefault="00C14CB3" w:rsidP="009569FB">
      <w:pPr>
        <w:tabs>
          <w:tab w:val="left" w:pos="0"/>
        </w:tabs>
        <w:spacing w:before="240" w:after="0" w:line="280" w:lineRule="exact"/>
      </w:pPr>
      <w:r>
        <w:t xml:space="preserve">As explained below, we make the following submissions in respect to the </w:t>
      </w:r>
      <w:r w:rsidR="00AF4182">
        <w:t>Consultation Paper</w:t>
      </w:r>
      <w:r>
        <w:t>:</w:t>
      </w:r>
    </w:p>
    <w:p w:rsidR="00923CF4" w:rsidRPr="00923CF4" w:rsidRDefault="00E77A08" w:rsidP="00CF4CF0">
      <w:pPr>
        <w:pStyle w:val="BDOBulletOne"/>
        <w:numPr>
          <w:ilvl w:val="0"/>
          <w:numId w:val="7"/>
        </w:numPr>
        <w:tabs>
          <w:tab w:val="left" w:pos="1134"/>
        </w:tabs>
        <w:spacing w:before="240" w:after="120"/>
        <w:ind w:left="284" w:hanging="284"/>
        <w:contextualSpacing w:val="0"/>
      </w:pPr>
      <w:r>
        <w:t>The current formulation of s254T fails to adequately identify the funds out of which a company is authorised to pay dividends</w:t>
      </w:r>
      <w:r w:rsidR="00AE3455">
        <w:t>.</w:t>
      </w:r>
      <w:r>
        <w:t xml:space="preserve">  A court</w:t>
      </w:r>
      <w:r w:rsidR="000F4BB4">
        <w:t>,</w:t>
      </w:r>
      <w:r>
        <w:t xml:space="preserve"> called upon to interpret s254T, might well conclude that companies remain constrained to pay dividends only out of profits.  If companies are authorised to pay dividends out of share capital, and in doing so, are not constrained by the provisions of Chapter 2J, this must be made explicit in the legislation.</w:t>
      </w:r>
    </w:p>
    <w:p w:rsidR="00F83EFC" w:rsidRPr="00F83EFC" w:rsidRDefault="00E77A08" w:rsidP="00CF4CF0">
      <w:pPr>
        <w:pStyle w:val="BDOBulletOne"/>
        <w:numPr>
          <w:ilvl w:val="0"/>
          <w:numId w:val="7"/>
        </w:numPr>
        <w:tabs>
          <w:tab w:val="left" w:pos="1134"/>
        </w:tabs>
        <w:spacing w:before="240" w:after="120"/>
        <w:ind w:left="284" w:hanging="284"/>
        <w:contextualSpacing w:val="0"/>
      </w:pPr>
      <w:r>
        <w:t xml:space="preserve">The current conditions imposed under s254T for payment of a dividend are </w:t>
      </w:r>
      <w:r w:rsidR="00FC5215">
        <w:t xml:space="preserve">inappropriate </w:t>
      </w:r>
      <w:r>
        <w:t>to the extent such dividend is funded out of the profits of the paying company</w:t>
      </w:r>
      <w:r w:rsidR="00F83EFC" w:rsidRPr="00F83EFC">
        <w:t>.</w:t>
      </w:r>
    </w:p>
    <w:p w:rsidR="00577479" w:rsidRPr="00577479" w:rsidRDefault="00E77A08" w:rsidP="00CF4CF0">
      <w:pPr>
        <w:pStyle w:val="BDOBulletOne"/>
        <w:numPr>
          <w:ilvl w:val="0"/>
          <w:numId w:val="7"/>
        </w:numPr>
        <w:tabs>
          <w:tab w:val="left" w:pos="1134"/>
        </w:tabs>
        <w:spacing w:before="240" w:after="120"/>
        <w:ind w:left="284" w:hanging="284"/>
        <w:contextualSpacing w:val="0"/>
      </w:pPr>
      <w:r>
        <w:t>The c</w:t>
      </w:r>
      <w:r w:rsidR="009032A9">
        <w:t>u</w:t>
      </w:r>
      <w:r>
        <w:t xml:space="preserve">rrent formulation of </w:t>
      </w:r>
      <w:r w:rsidR="009032A9">
        <w:t>s254T inappropriately and unnecessarily restricts the payment of dividends from current year profits</w:t>
      </w:r>
      <w:r w:rsidR="00577479" w:rsidRPr="00577479">
        <w:t>.</w:t>
      </w:r>
    </w:p>
    <w:p w:rsidR="009032A9" w:rsidRDefault="009032A9" w:rsidP="00CF4CF0">
      <w:pPr>
        <w:pStyle w:val="BDOBulletOne"/>
        <w:numPr>
          <w:ilvl w:val="0"/>
          <w:numId w:val="7"/>
        </w:numPr>
        <w:tabs>
          <w:tab w:val="left" w:pos="1134"/>
        </w:tabs>
        <w:spacing w:before="240" w:after="120"/>
        <w:ind w:left="284" w:hanging="284"/>
        <w:contextualSpacing w:val="0"/>
      </w:pPr>
      <w:r>
        <w:t>The current formulation of s254T imposes material compliance costs on companies not otherwise required to prepare accounts in accordance with accounting standards.</w:t>
      </w:r>
    </w:p>
    <w:p w:rsidR="009032A9" w:rsidRDefault="009032A9" w:rsidP="00CF4CF0">
      <w:pPr>
        <w:pStyle w:val="BDOBulletOne"/>
        <w:numPr>
          <w:ilvl w:val="0"/>
          <w:numId w:val="7"/>
        </w:numPr>
        <w:tabs>
          <w:tab w:val="left" w:pos="1134"/>
        </w:tabs>
        <w:spacing w:before="240" w:after="120"/>
        <w:ind w:left="284" w:hanging="284"/>
        <w:contextualSpacing w:val="0"/>
      </w:pPr>
      <w:r>
        <w:t>To the extent that dividends are paid out of share capital, the safeguards of the interests of creditors and other shareholders implicit in the current conditions imposed by s254T are appropriate.</w:t>
      </w:r>
    </w:p>
    <w:p w:rsidR="009032A9" w:rsidRDefault="009032A9" w:rsidP="00CF4CF0">
      <w:pPr>
        <w:pStyle w:val="BDOBulletOne"/>
        <w:numPr>
          <w:ilvl w:val="0"/>
          <w:numId w:val="7"/>
        </w:numPr>
        <w:tabs>
          <w:tab w:val="left" w:pos="1134"/>
        </w:tabs>
        <w:spacing w:before="240" w:after="120"/>
        <w:ind w:left="284" w:hanging="284"/>
        <w:contextualSpacing w:val="0"/>
      </w:pPr>
      <w:r>
        <w:t>A return to payment of dividends only out of profits is probably now impracticable.</w:t>
      </w:r>
    </w:p>
    <w:p w:rsidR="009032A9" w:rsidRDefault="009032A9" w:rsidP="00CF4CF0">
      <w:pPr>
        <w:pStyle w:val="BDOBulletOne"/>
        <w:numPr>
          <w:ilvl w:val="0"/>
          <w:numId w:val="7"/>
        </w:numPr>
        <w:tabs>
          <w:tab w:val="left" w:pos="1134"/>
        </w:tabs>
        <w:spacing w:before="240" w:after="120"/>
        <w:ind w:left="284" w:hanging="284"/>
        <w:contextualSpacing w:val="0"/>
      </w:pPr>
      <w:r>
        <w:t xml:space="preserve">The condition in current </w:t>
      </w:r>
      <w:proofErr w:type="gramStart"/>
      <w:r>
        <w:t>s254T(</w:t>
      </w:r>
      <w:proofErr w:type="gramEnd"/>
      <w:r>
        <w:t>1)(a) is inappropriately limited to “declaration” of dividends</w:t>
      </w:r>
      <w:r w:rsidR="000C3DC6">
        <w:t>.</w:t>
      </w:r>
    </w:p>
    <w:p w:rsidR="000C3DC6" w:rsidRDefault="009032A9" w:rsidP="00CF4CF0">
      <w:pPr>
        <w:pStyle w:val="BDOBulletOne"/>
        <w:numPr>
          <w:ilvl w:val="0"/>
          <w:numId w:val="7"/>
        </w:numPr>
        <w:tabs>
          <w:tab w:val="left" w:pos="1134"/>
        </w:tabs>
        <w:spacing w:before="240" w:after="120"/>
        <w:ind w:left="284" w:hanging="284"/>
        <w:contextualSpacing w:val="0"/>
      </w:pPr>
      <w:r>
        <w:t xml:space="preserve">Of the options for reform posited in the Discussion Paper, Option 4 best addresses our concerns.  </w:t>
      </w:r>
      <w:r w:rsidR="000C3DC6">
        <w:t>However, this option would require further reforms to address our concerns about:</w:t>
      </w:r>
    </w:p>
    <w:p w:rsidR="000C3DC6" w:rsidRDefault="000C3DC6" w:rsidP="000C3DC6">
      <w:pPr>
        <w:pStyle w:val="BDOBulletOne"/>
        <w:numPr>
          <w:ilvl w:val="1"/>
          <w:numId w:val="7"/>
        </w:numPr>
        <w:tabs>
          <w:tab w:val="left" w:pos="1134"/>
        </w:tabs>
        <w:spacing w:before="240" w:after="120"/>
        <w:contextualSpacing w:val="0"/>
      </w:pPr>
      <w:r>
        <w:t>Explicit identification of the funds out of which a company is authorised to pay a dividend; and</w:t>
      </w:r>
    </w:p>
    <w:p w:rsidR="00AD1F2D" w:rsidRPr="00FB283A" w:rsidRDefault="000C3DC6" w:rsidP="000C3DC6">
      <w:pPr>
        <w:pStyle w:val="BDOBulletOne"/>
        <w:numPr>
          <w:ilvl w:val="1"/>
          <w:numId w:val="7"/>
        </w:numPr>
        <w:tabs>
          <w:tab w:val="left" w:pos="1134"/>
        </w:tabs>
        <w:spacing w:before="240" w:after="120"/>
        <w:contextualSpacing w:val="0"/>
      </w:pPr>
      <w:r>
        <w:t xml:space="preserve">The condition in </w:t>
      </w:r>
      <w:proofErr w:type="gramStart"/>
      <w:r>
        <w:t>s254T(</w:t>
      </w:r>
      <w:proofErr w:type="gramEnd"/>
      <w:r>
        <w:t>1)(a) being limited in its application to “declaration of dividends”</w:t>
      </w:r>
      <w:r w:rsidR="00FB283A" w:rsidRPr="00FB283A">
        <w:t xml:space="preserve">. </w:t>
      </w:r>
    </w:p>
    <w:p w:rsidR="00C14CB3" w:rsidRDefault="00C14CB3" w:rsidP="009569FB">
      <w:pPr>
        <w:tabs>
          <w:tab w:val="left" w:pos="567"/>
        </w:tabs>
        <w:spacing w:before="240" w:after="0" w:line="280" w:lineRule="exact"/>
        <w:ind w:left="567" w:hanging="567"/>
      </w:pPr>
    </w:p>
    <w:p w:rsidR="00E223B0" w:rsidRDefault="00E223B0">
      <w:pPr>
        <w:spacing w:line="280" w:lineRule="exact"/>
        <w:rPr>
          <w:b/>
        </w:rPr>
      </w:pPr>
      <w:r>
        <w:rPr>
          <w:b/>
        </w:rPr>
        <w:br w:type="page"/>
      </w:r>
    </w:p>
    <w:p w:rsidR="00D96F8B" w:rsidRPr="00D96F8B" w:rsidRDefault="00E223B0" w:rsidP="00D96F8B">
      <w:pPr>
        <w:tabs>
          <w:tab w:val="left" w:pos="567"/>
        </w:tabs>
        <w:spacing w:before="240" w:line="280" w:lineRule="exact"/>
        <w:rPr>
          <w:b/>
        </w:rPr>
      </w:pPr>
      <w:r>
        <w:rPr>
          <w:b/>
        </w:rPr>
        <w:lastRenderedPageBreak/>
        <w:t>Detailed submissions</w:t>
      </w:r>
    </w:p>
    <w:p w:rsidR="00192446" w:rsidRDefault="00192446" w:rsidP="0059765D">
      <w:pPr>
        <w:pStyle w:val="ListParagraph"/>
        <w:numPr>
          <w:ilvl w:val="0"/>
          <w:numId w:val="6"/>
        </w:numPr>
        <w:tabs>
          <w:tab w:val="left" w:pos="567"/>
        </w:tabs>
        <w:spacing w:before="240" w:line="280" w:lineRule="exact"/>
        <w:ind w:left="567" w:hanging="567"/>
        <w:contextualSpacing w:val="0"/>
        <w:rPr>
          <w:b/>
        </w:rPr>
      </w:pPr>
      <w:bookmarkStart w:id="1" w:name="OLE_LINK1"/>
      <w:bookmarkStart w:id="2" w:name="OLE_LINK2"/>
      <w:r>
        <w:rPr>
          <w:b/>
        </w:rPr>
        <w:t>Deficiencies in existing s254T</w:t>
      </w:r>
      <w:r w:rsidR="00D04826">
        <w:rPr>
          <w:b/>
        </w:rPr>
        <w:t xml:space="preserve"> and other design factors</w:t>
      </w:r>
    </w:p>
    <w:p w:rsidR="00192446" w:rsidRDefault="00192446" w:rsidP="00192446">
      <w:pPr>
        <w:tabs>
          <w:tab w:val="left" w:pos="567"/>
        </w:tabs>
        <w:spacing w:before="240" w:line="280" w:lineRule="exact"/>
        <w:ind w:left="567"/>
      </w:pPr>
      <w:r w:rsidRPr="00192446">
        <w:t>In order to comment on the</w:t>
      </w:r>
      <w:r w:rsidRPr="00192446">
        <w:rPr>
          <w:b/>
        </w:rPr>
        <w:t xml:space="preserve"> </w:t>
      </w:r>
      <w:r w:rsidRPr="00192446">
        <w:t>manner in which s254</w:t>
      </w:r>
      <w:r>
        <w:t>T should be amended (or not), it seems prudent to first articulate the deficiencies, real or perceived, that are present in its current formulation</w:t>
      </w:r>
      <w:r w:rsidR="00075193">
        <w:t xml:space="preserve">.  The elements of each of Options 1 to 4, described in the </w:t>
      </w:r>
      <w:r w:rsidR="006D6914">
        <w:t>Discussion Paper, or other solutions that address those deficiencies</w:t>
      </w:r>
      <w:r w:rsidR="009D7525">
        <w:t>,</w:t>
      </w:r>
      <w:r w:rsidR="006D6914">
        <w:t xml:space="preserve"> can then be identified. </w:t>
      </w:r>
    </w:p>
    <w:p w:rsidR="00D04826" w:rsidRPr="00192446" w:rsidRDefault="00D04826" w:rsidP="00192446">
      <w:pPr>
        <w:tabs>
          <w:tab w:val="left" w:pos="567"/>
        </w:tabs>
        <w:spacing w:before="240" w:line="280" w:lineRule="exact"/>
        <w:ind w:left="567"/>
      </w:pPr>
      <w:r>
        <w:t xml:space="preserve">We have also sought to identify what have now become expected </w:t>
      </w:r>
      <w:r w:rsidR="00F528F6">
        <w:t>elements of the dividend provision, which could not be abandoned without considerable inconvenience and cost.</w:t>
      </w:r>
    </w:p>
    <w:p w:rsidR="006D6914" w:rsidRDefault="006D6914" w:rsidP="0059765D">
      <w:pPr>
        <w:pStyle w:val="ListParagraph"/>
        <w:numPr>
          <w:ilvl w:val="0"/>
          <w:numId w:val="6"/>
        </w:numPr>
        <w:tabs>
          <w:tab w:val="left" w:pos="567"/>
        </w:tabs>
        <w:spacing w:before="240" w:line="280" w:lineRule="exact"/>
        <w:ind w:left="567" w:hanging="567"/>
        <w:contextualSpacing w:val="0"/>
        <w:rPr>
          <w:b/>
        </w:rPr>
      </w:pPr>
      <w:r>
        <w:rPr>
          <w:b/>
        </w:rPr>
        <w:t>No explicit identification of funds from which a company is authorised to pay dividends</w:t>
      </w:r>
    </w:p>
    <w:p w:rsidR="00C03561" w:rsidRDefault="00C03561" w:rsidP="00C03561">
      <w:pPr>
        <w:tabs>
          <w:tab w:val="left" w:pos="567"/>
        </w:tabs>
        <w:spacing w:before="240" w:line="280" w:lineRule="exact"/>
        <w:ind w:left="567"/>
      </w:pPr>
      <w:r w:rsidRPr="00C03561">
        <w:t xml:space="preserve">The </w:t>
      </w:r>
      <w:r>
        <w:t xml:space="preserve">replacement of the then existing s254T by the </w:t>
      </w:r>
      <w:r>
        <w:rPr>
          <w:i/>
        </w:rPr>
        <w:t>Corporations Amendment (Corporate Reporting Reform)</w:t>
      </w:r>
      <w:r w:rsidR="00531B67">
        <w:rPr>
          <w:i/>
        </w:rPr>
        <w:t xml:space="preserve"> Act 2010</w:t>
      </w:r>
      <w:r w:rsidR="00531B67">
        <w:t xml:space="preserve"> was presented as a solution to problems arising in the application of the previous s254T, which </w:t>
      </w:r>
      <w:r w:rsidR="00A345CA">
        <w:t>provided:</w:t>
      </w:r>
    </w:p>
    <w:p w:rsidR="00A345CA" w:rsidRPr="00A345CA" w:rsidRDefault="00A345CA" w:rsidP="00A345CA">
      <w:pPr>
        <w:spacing w:before="100" w:beforeAutospacing="1" w:after="100" w:afterAutospacing="1" w:line="240" w:lineRule="auto"/>
        <w:ind w:firstLine="720"/>
      </w:pPr>
      <w:r>
        <w:rPr>
          <w:i/>
        </w:rPr>
        <w:t>“</w:t>
      </w:r>
      <w:r w:rsidRPr="00A345CA">
        <w:rPr>
          <w:i/>
        </w:rPr>
        <w:t xml:space="preserve">A dividend may only be paid out of profits of the </w:t>
      </w:r>
      <w:hyperlink r:id="rId11" w:anchor="company" w:history="1">
        <w:r w:rsidRPr="00A345CA">
          <w:rPr>
            <w:i/>
          </w:rPr>
          <w:t>company</w:t>
        </w:r>
      </w:hyperlink>
      <w:r w:rsidRPr="00A345CA">
        <w:t>.</w:t>
      </w:r>
      <w:r>
        <w:t>”</w:t>
      </w:r>
      <w:r w:rsidRPr="00A345CA">
        <w:t xml:space="preserve"> </w:t>
      </w:r>
    </w:p>
    <w:p w:rsidR="00D04826" w:rsidRDefault="00A345CA" w:rsidP="00C03561">
      <w:pPr>
        <w:tabs>
          <w:tab w:val="left" w:pos="567"/>
        </w:tabs>
        <w:spacing w:before="240" w:line="280" w:lineRule="exact"/>
        <w:ind w:left="567"/>
      </w:pPr>
      <w:r>
        <w:t xml:space="preserve">In particular, it was suggested that the new s254T overcame the problem of identifying what were profits of the company, for that purpose.  </w:t>
      </w:r>
      <w:r w:rsidR="00D04826">
        <w:t xml:space="preserve">It might be noted that the previous iteration of s245T both identified the authorised source of the funding of dividends (profits) and limited the source of dividends to that same source of funds. </w:t>
      </w:r>
      <w:r>
        <w:t xml:space="preserve">Arguably the </w:t>
      </w:r>
      <w:r w:rsidR="009002D7">
        <w:t>current</w:t>
      </w:r>
      <w:r>
        <w:t xml:space="preserve"> s254T introduced its own problems in respect of the identification of funds available for payment of a dividend.  </w:t>
      </w:r>
    </w:p>
    <w:p w:rsidR="00A345CA" w:rsidRDefault="004E442A" w:rsidP="00C03561">
      <w:pPr>
        <w:tabs>
          <w:tab w:val="left" w:pos="567"/>
        </w:tabs>
        <w:spacing w:before="240" w:line="280" w:lineRule="exact"/>
        <w:ind w:left="567"/>
      </w:pPr>
      <w:r>
        <w:t>C</w:t>
      </w:r>
      <w:r w:rsidR="00A345CA">
        <w:t xml:space="preserve">urrent s254T </w:t>
      </w:r>
      <w:r>
        <w:t xml:space="preserve">is formulated as a prohibition, rather than an authorisation. While it </w:t>
      </w:r>
      <w:r w:rsidR="00A345CA">
        <w:t xml:space="preserve">prescribes the conditions which must be present after the payment of a dividend, it is, in fact, silent on the question of the funds from which such dividend may be paid.  There is a real risk that a court called upon to interpret existing s254T, particularly in light of the </w:t>
      </w:r>
      <w:r w:rsidR="009002D7">
        <w:t xml:space="preserve">long history, under company law, of the differential treatment of dividends, paid out of profit, on the one hand, and return of capital to shareholders, on the other, would interpret s254T as still requiring that dividends be paid out of profit.  This risk is exacerbated by the separate and different requirements, under </w:t>
      </w:r>
      <w:r w:rsidR="007C05C2">
        <w:t>Chapter 2J</w:t>
      </w:r>
      <w:r w:rsidR="008517FD">
        <w:t>,</w:t>
      </w:r>
      <w:r w:rsidR="009002D7">
        <w:t xml:space="preserve"> for the return of capital by a company to its shareholders.</w:t>
      </w:r>
    </w:p>
    <w:p w:rsidR="00D04826" w:rsidRDefault="009002D7" w:rsidP="00C03561">
      <w:pPr>
        <w:tabs>
          <w:tab w:val="left" w:pos="567"/>
        </w:tabs>
        <w:spacing w:before="240" w:line="280" w:lineRule="exact"/>
        <w:ind w:left="567"/>
      </w:pPr>
      <w:r>
        <w:t xml:space="preserve">Regardless of the approach adopted otherwise, </w:t>
      </w:r>
      <w:r w:rsidR="004E442A">
        <w:t xml:space="preserve">if it was indeed intended that </w:t>
      </w:r>
      <w:r>
        <w:t xml:space="preserve">the section </w:t>
      </w:r>
      <w:r w:rsidR="004E442A">
        <w:t xml:space="preserve">authorise payment of dividends out of share capital this should be explicitly authorised in the provisions of the section.  This might be accomplished with a provision </w:t>
      </w:r>
      <w:r w:rsidR="00D04826">
        <w:t>such as</w:t>
      </w:r>
      <w:r w:rsidR="004E442A">
        <w:t xml:space="preserve"> the following</w:t>
      </w:r>
      <w:r w:rsidR="00D04826">
        <w:t>:</w:t>
      </w:r>
    </w:p>
    <w:p w:rsidR="00D04826" w:rsidRDefault="00D04826" w:rsidP="009D7525">
      <w:pPr>
        <w:tabs>
          <w:tab w:val="left" w:pos="851"/>
        </w:tabs>
        <w:spacing w:before="240" w:line="280" w:lineRule="exact"/>
        <w:ind w:left="851" w:hanging="284"/>
        <w:rPr>
          <w:i/>
        </w:rPr>
      </w:pPr>
      <w:r>
        <w:tab/>
      </w:r>
      <w:r w:rsidRPr="009D7525">
        <w:rPr>
          <w:i/>
        </w:rPr>
        <w:t>“</w:t>
      </w:r>
      <w:r w:rsidR="006A28D6" w:rsidRPr="009D7525">
        <w:rPr>
          <w:i/>
        </w:rPr>
        <w:t>Subject to the following subsections, a</w:t>
      </w:r>
      <w:r w:rsidRPr="009D7525">
        <w:rPr>
          <w:i/>
        </w:rPr>
        <w:t xml:space="preserve"> company may pay dividends from any funds available to it, including </w:t>
      </w:r>
      <w:r w:rsidR="007C05C2" w:rsidRPr="009D7525">
        <w:rPr>
          <w:i/>
        </w:rPr>
        <w:t>share capital</w:t>
      </w:r>
      <w:r w:rsidR="009002D7" w:rsidRPr="009D7525">
        <w:rPr>
          <w:i/>
        </w:rPr>
        <w:t>.</w:t>
      </w:r>
      <w:r w:rsidRPr="009D7525">
        <w:rPr>
          <w:i/>
        </w:rPr>
        <w:t>”</w:t>
      </w:r>
    </w:p>
    <w:p w:rsidR="00D657CF" w:rsidRDefault="00D657CF" w:rsidP="003A3076">
      <w:pPr>
        <w:tabs>
          <w:tab w:val="left" w:pos="567"/>
        </w:tabs>
        <w:spacing w:before="240" w:line="280" w:lineRule="exact"/>
        <w:ind w:left="567"/>
      </w:pPr>
      <w:r>
        <w:t>In addition, it might be prudent to provide statutory confirmation that the separate requirements for return of capital to shareholders, in Chapter 2J, need not be followed, in respect of a dividend, to the extent that it is paid out of share capital.</w:t>
      </w:r>
    </w:p>
    <w:p w:rsidR="003A3076" w:rsidRPr="003A3076" w:rsidRDefault="003A3076" w:rsidP="003A3076">
      <w:pPr>
        <w:tabs>
          <w:tab w:val="left" w:pos="567"/>
        </w:tabs>
        <w:spacing w:before="240" w:line="280" w:lineRule="exact"/>
        <w:ind w:left="567"/>
      </w:pPr>
      <w:r>
        <w:lastRenderedPageBreak/>
        <w:t>There would also be an argument that such amendment</w:t>
      </w:r>
      <w:r w:rsidR="00D657CF">
        <w:t>s</w:t>
      </w:r>
      <w:r>
        <w:t xml:space="preserve"> should be retrospective in application to the time of the 2010 amendments to s254T in order to address payments of “dividends” out of share capital that have been made as a consequence of such changes and the representations made in respect of such changes in the accompanying Explanatory Memorandum.</w:t>
      </w:r>
    </w:p>
    <w:p w:rsidR="004E442A" w:rsidRDefault="004E442A" w:rsidP="00C03561">
      <w:pPr>
        <w:tabs>
          <w:tab w:val="left" w:pos="567"/>
        </w:tabs>
        <w:spacing w:before="240" w:line="280" w:lineRule="exact"/>
        <w:ind w:left="567"/>
      </w:pPr>
      <w:r>
        <w:t xml:space="preserve">The concerns that we have voiced </w:t>
      </w:r>
      <w:r w:rsidR="00F2459F">
        <w:t xml:space="preserve">about the funds available for payment of a dividend </w:t>
      </w:r>
      <w:r>
        <w:t>are not unique.  In this regard we refer to draft Taxation Ruling</w:t>
      </w:r>
      <w:r w:rsidR="000568B1">
        <w:t xml:space="preserve"> TR 2011/D8 and the joint opinion of A H Slater and J O </w:t>
      </w:r>
      <w:proofErr w:type="spellStart"/>
      <w:r w:rsidR="000568B1">
        <w:t>Hmelnitsky</w:t>
      </w:r>
      <w:proofErr w:type="spellEnd"/>
      <w:r w:rsidR="000568B1">
        <w:t xml:space="preserve"> made public </w:t>
      </w:r>
      <w:r w:rsidR="00D657CF">
        <w:t xml:space="preserve">by the Australian Taxation Office (ATO) </w:t>
      </w:r>
      <w:r w:rsidR="000568B1">
        <w:t>in the context of the release of such draft ruling.</w:t>
      </w:r>
    </w:p>
    <w:p w:rsidR="00531B67" w:rsidRDefault="00531B67" w:rsidP="0059765D">
      <w:pPr>
        <w:pStyle w:val="ListParagraph"/>
        <w:numPr>
          <w:ilvl w:val="0"/>
          <w:numId w:val="6"/>
        </w:numPr>
        <w:tabs>
          <w:tab w:val="left" w:pos="567"/>
        </w:tabs>
        <w:spacing w:before="240" w:line="280" w:lineRule="exact"/>
        <w:ind w:left="567" w:hanging="567"/>
        <w:contextualSpacing w:val="0"/>
        <w:rPr>
          <w:b/>
        </w:rPr>
      </w:pPr>
      <w:r>
        <w:rPr>
          <w:b/>
        </w:rPr>
        <w:t>Imposition of inappropriate conditions when dividend, in fact, paid out of profits</w:t>
      </w:r>
    </w:p>
    <w:p w:rsidR="00D04826" w:rsidRDefault="00D04826" w:rsidP="00D04826">
      <w:pPr>
        <w:tabs>
          <w:tab w:val="left" w:pos="567"/>
        </w:tabs>
        <w:spacing w:before="240" w:line="280" w:lineRule="exact"/>
        <w:ind w:left="567"/>
      </w:pPr>
      <w:r w:rsidRPr="00D04826">
        <w:t>The current form of s2</w:t>
      </w:r>
      <w:r w:rsidR="00364791">
        <w:t>54</w:t>
      </w:r>
      <w:r w:rsidRPr="00D04826">
        <w:t>T includes</w:t>
      </w:r>
      <w:r>
        <w:t xml:space="preserve"> conditions that must be present after the payment of a dividend </w:t>
      </w:r>
      <w:r w:rsidR="008517FD">
        <w:t xml:space="preserve">which </w:t>
      </w:r>
      <w:r w:rsidR="007C05C2">
        <w:t>were</w:t>
      </w:r>
      <w:r>
        <w:t xml:space="preserve"> drawn</w:t>
      </w:r>
      <w:r w:rsidR="00F528F6">
        <w:t xml:space="preserve"> from the return of capital </w:t>
      </w:r>
      <w:r w:rsidR="00AE4BD0">
        <w:t xml:space="preserve">provisions in </w:t>
      </w:r>
      <w:r w:rsidR="007C05C2">
        <w:t xml:space="preserve">Chapter 2J.  Thus, in addition to the requirement that the dividend not exceed </w:t>
      </w:r>
      <w:r w:rsidR="008517FD">
        <w:t xml:space="preserve">the net assets of the company, </w:t>
      </w:r>
      <w:proofErr w:type="gramStart"/>
      <w:r w:rsidR="003C6CA1">
        <w:t>s254T</w:t>
      </w:r>
      <w:r w:rsidR="00B81332">
        <w:t>(</w:t>
      </w:r>
      <w:proofErr w:type="gramEnd"/>
      <w:r w:rsidR="00B81332">
        <w:t>1)</w:t>
      </w:r>
      <w:r w:rsidR="008517FD">
        <w:t xml:space="preserve"> imposes requirements that:</w:t>
      </w:r>
    </w:p>
    <w:p w:rsidR="008517FD" w:rsidRDefault="006630C6" w:rsidP="00875613">
      <w:pPr>
        <w:tabs>
          <w:tab w:val="left" w:pos="567"/>
          <w:tab w:val="left" w:pos="851"/>
        </w:tabs>
        <w:spacing w:before="240" w:line="280" w:lineRule="exact"/>
        <w:ind w:left="1276" w:hanging="709"/>
        <w:rPr>
          <w:i/>
        </w:rPr>
      </w:pPr>
      <w:r>
        <w:tab/>
        <w:t>“</w:t>
      </w:r>
      <w:r>
        <w:rPr>
          <w:i/>
        </w:rPr>
        <w:t xml:space="preserve">(b) </w:t>
      </w:r>
      <w:proofErr w:type="gramStart"/>
      <w:r>
        <w:rPr>
          <w:i/>
        </w:rPr>
        <w:t>the</w:t>
      </w:r>
      <w:proofErr w:type="gramEnd"/>
      <w:r>
        <w:rPr>
          <w:i/>
        </w:rPr>
        <w:t xml:space="preserve"> payment of the dividend is fair and reasonable to the company’s shareholders as a whole; and</w:t>
      </w:r>
    </w:p>
    <w:p w:rsidR="006630C6" w:rsidRDefault="006630C6" w:rsidP="00875613">
      <w:pPr>
        <w:tabs>
          <w:tab w:val="left" w:pos="851"/>
        </w:tabs>
        <w:spacing w:before="240" w:line="280" w:lineRule="exact"/>
        <w:ind w:left="1134" w:hanging="567"/>
        <w:rPr>
          <w:i/>
        </w:rPr>
      </w:pPr>
      <w:r>
        <w:rPr>
          <w:i/>
        </w:rPr>
        <w:tab/>
        <w:t xml:space="preserve">(c) </w:t>
      </w:r>
      <w:proofErr w:type="gramStart"/>
      <w:r>
        <w:rPr>
          <w:i/>
        </w:rPr>
        <w:t>the</w:t>
      </w:r>
      <w:proofErr w:type="gramEnd"/>
      <w:r>
        <w:rPr>
          <w:i/>
        </w:rPr>
        <w:t xml:space="preserve"> payment </w:t>
      </w:r>
      <w:r w:rsidR="003C6CA1">
        <w:rPr>
          <w:i/>
        </w:rPr>
        <w:t>of the dividend does not materially prejudice the company’s ability to pay its creditors.”</w:t>
      </w:r>
    </w:p>
    <w:p w:rsidR="003C6CA1" w:rsidRPr="003C6CA1" w:rsidRDefault="003C6CA1" w:rsidP="00D04826">
      <w:pPr>
        <w:tabs>
          <w:tab w:val="left" w:pos="567"/>
        </w:tabs>
        <w:spacing w:before="240" w:line="280" w:lineRule="exact"/>
        <w:ind w:left="567"/>
      </w:pPr>
      <w:r>
        <w:t xml:space="preserve">These requirements do not seem warranted where a dividend is funded out of profits.  </w:t>
      </w:r>
      <w:r w:rsidR="00923A24">
        <w:t>In particular, the requirement that the dividend be fair and reasonable to the shareholders as a whole would seem to be problematic in light of t</w:t>
      </w:r>
      <w:r>
        <w:t>he capacity of companies to pay differential dividends to shareholders</w:t>
      </w:r>
      <w:r w:rsidR="00923A24">
        <w:t>.  In this regard</w:t>
      </w:r>
      <w:r>
        <w:t xml:space="preserve"> </w:t>
      </w:r>
      <w:r w:rsidR="00A97904">
        <w:t xml:space="preserve">s254W(2) </w:t>
      </w:r>
      <w:r>
        <w:t>should, in particular, be noted</w:t>
      </w:r>
      <w:r w:rsidR="00A97904">
        <w:t>.</w:t>
      </w:r>
      <w:r w:rsidR="002478F8">
        <w:t xml:space="preserve"> </w:t>
      </w:r>
    </w:p>
    <w:p w:rsidR="005975FD" w:rsidRDefault="00A97D91" w:rsidP="0059765D">
      <w:pPr>
        <w:pStyle w:val="ListParagraph"/>
        <w:numPr>
          <w:ilvl w:val="0"/>
          <w:numId w:val="6"/>
        </w:numPr>
        <w:tabs>
          <w:tab w:val="left" w:pos="567"/>
        </w:tabs>
        <w:spacing w:before="240" w:line="280" w:lineRule="exact"/>
        <w:ind w:left="567" w:hanging="567"/>
        <w:contextualSpacing w:val="0"/>
        <w:rPr>
          <w:b/>
        </w:rPr>
      </w:pPr>
      <w:r>
        <w:rPr>
          <w:b/>
        </w:rPr>
        <w:t>Unintended restrictions on p</w:t>
      </w:r>
      <w:r w:rsidR="005975FD">
        <w:rPr>
          <w:b/>
        </w:rPr>
        <w:t>ayment of dividends out of current year profits</w:t>
      </w:r>
    </w:p>
    <w:p w:rsidR="001E690D" w:rsidRDefault="001E690D" w:rsidP="001E690D">
      <w:pPr>
        <w:tabs>
          <w:tab w:val="left" w:pos="567"/>
        </w:tabs>
        <w:spacing w:before="240" w:line="280" w:lineRule="exact"/>
        <w:ind w:left="567"/>
      </w:pPr>
      <w:r w:rsidRPr="001E690D">
        <w:t>Prior to the changes to s254T</w:t>
      </w:r>
      <w:r>
        <w:t>, it was possible for a company to pay a dividend out of current year profits notwithstanding that after the payment of such dividend the book value of assets did not exceed the book value of liabilities</w:t>
      </w:r>
      <w:r w:rsidR="00681025">
        <w:t>.  This was</w:t>
      </w:r>
      <w:r>
        <w:t xml:space="preserve">, </w:t>
      </w:r>
      <w:r w:rsidR="00681025">
        <w:t xml:space="preserve">of course, subject to the </w:t>
      </w:r>
      <w:r>
        <w:t>provi</w:t>
      </w:r>
      <w:r w:rsidR="00681025">
        <w:t>so</w:t>
      </w:r>
      <w:r>
        <w:t xml:space="preserve"> that, by reference to s588G, </w:t>
      </w:r>
      <w:r w:rsidR="000568B1">
        <w:t>this did not result in the company being unable to pay its debts as and when they fell due</w:t>
      </w:r>
      <w:r w:rsidR="00BC3917">
        <w:t xml:space="preserve">. </w:t>
      </w:r>
      <w:r w:rsidR="00966588">
        <w:t xml:space="preserve"> The availability of current year profits for this purpose was made clear in cases such as </w:t>
      </w:r>
      <w:r w:rsidR="000A1911">
        <w:rPr>
          <w:i/>
        </w:rPr>
        <w:t>Glenville Pastoral Co Pty Ltd v FCT</w:t>
      </w:r>
      <w:r w:rsidR="000A1911">
        <w:t xml:space="preserve"> (1963) 109 CLR 199 and </w:t>
      </w:r>
      <w:proofErr w:type="spellStart"/>
      <w:r w:rsidR="000A1911" w:rsidRPr="00681025">
        <w:rPr>
          <w:i/>
        </w:rPr>
        <w:t>Marra</w:t>
      </w:r>
      <w:proofErr w:type="spellEnd"/>
      <w:r w:rsidR="000A1911" w:rsidRPr="00681025">
        <w:rPr>
          <w:i/>
        </w:rPr>
        <w:t xml:space="preserve"> Developments Pty Ltd v B W </w:t>
      </w:r>
      <w:proofErr w:type="spellStart"/>
      <w:r w:rsidR="000A1911" w:rsidRPr="00681025">
        <w:rPr>
          <w:i/>
        </w:rPr>
        <w:t>Rofe</w:t>
      </w:r>
      <w:proofErr w:type="spellEnd"/>
      <w:r w:rsidR="000A1911" w:rsidRPr="00681025">
        <w:rPr>
          <w:i/>
        </w:rPr>
        <w:t xml:space="preserve"> Pty Ltd</w:t>
      </w:r>
      <w:r w:rsidR="000A1911">
        <w:t xml:space="preserve"> [1977] 2 NSWLR 616.  The payment of such dividends can be precluded by the current s254T, however.</w:t>
      </w:r>
    </w:p>
    <w:p w:rsidR="000A1911" w:rsidRDefault="000A1911" w:rsidP="001E690D">
      <w:pPr>
        <w:tabs>
          <w:tab w:val="left" w:pos="567"/>
        </w:tabs>
        <w:spacing w:before="240" w:line="280" w:lineRule="exact"/>
        <w:ind w:left="567"/>
      </w:pPr>
      <w:r>
        <w:t>The limitation of the availability of such “nimble dividends” can have material consequences for corporate groups.  Thus in passing profits up a chain of companies by way of dividend, a company in the relevant chain with accumulated losses could preclude such profits reaching ultimate shareholders, even where there were no solvency concerns.</w:t>
      </w:r>
      <w:r w:rsidR="00A15ED9">
        <w:t xml:space="preserve"> It should be noted that the Explanatory Memorandum in respect of the 2010 amendments to s254T did not identify this </w:t>
      </w:r>
      <w:r w:rsidR="00A15ED9">
        <w:lastRenderedPageBreak/>
        <w:t>circumscription of funds available for the payment of dividends as one of the intended policy outcomes of such amendments.</w:t>
      </w:r>
    </w:p>
    <w:p w:rsidR="000A1911" w:rsidRDefault="000A1911" w:rsidP="001E690D">
      <w:pPr>
        <w:tabs>
          <w:tab w:val="left" w:pos="567"/>
        </w:tabs>
        <w:spacing w:before="240" w:line="280" w:lineRule="exact"/>
        <w:ind w:left="567"/>
      </w:pPr>
      <w:r>
        <w:t xml:space="preserve">The exclusion of dividends paid out of profits from </w:t>
      </w:r>
      <w:r w:rsidR="00681025">
        <w:t xml:space="preserve">any additional restrictions imposed by s254T would address this concern. Thus such </w:t>
      </w:r>
      <w:r w:rsidR="00023610">
        <w:t xml:space="preserve">additional restrictions </w:t>
      </w:r>
      <w:r w:rsidR="00681025">
        <w:t>could be prefaced by the words:</w:t>
      </w:r>
    </w:p>
    <w:p w:rsidR="00681025" w:rsidRPr="00681025" w:rsidRDefault="00681025" w:rsidP="001E690D">
      <w:pPr>
        <w:tabs>
          <w:tab w:val="left" w:pos="567"/>
        </w:tabs>
        <w:spacing w:before="240" w:line="280" w:lineRule="exact"/>
        <w:ind w:left="567"/>
        <w:rPr>
          <w:i/>
        </w:rPr>
      </w:pPr>
      <w:r>
        <w:tab/>
        <w:t>“</w:t>
      </w:r>
      <w:r>
        <w:rPr>
          <w:i/>
        </w:rPr>
        <w:t>Except to the extent that dividends are paid out of profits...”</w:t>
      </w:r>
    </w:p>
    <w:p w:rsidR="00C50A32" w:rsidRDefault="00C50A32" w:rsidP="0059765D">
      <w:pPr>
        <w:pStyle w:val="ListParagraph"/>
        <w:numPr>
          <w:ilvl w:val="0"/>
          <w:numId w:val="6"/>
        </w:numPr>
        <w:tabs>
          <w:tab w:val="left" w:pos="567"/>
        </w:tabs>
        <w:spacing w:before="240" w:line="280" w:lineRule="exact"/>
        <w:ind w:left="567" w:hanging="567"/>
        <w:contextualSpacing w:val="0"/>
        <w:rPr>
          <w:b/>
        </w:rPr>
      </w:pPr>
      <w:r>
        <w:rPr>
          <w:b/>
        </w:rPr>
        <w:t>Inappropriate requirement to apply accounting standards where not otherwise required</w:t>
      </w:r>
    </w:p>
    <w:p w:rsidR="004E59B4" w:rsidRDefault="004E59B4" w:rsidP="004E59B4">
      <w:pPr>
        <w:tabs>
          <w:tab w:val="left" w:pos="567"/>
        </w:tabs>
        <w:spacing w:before="240" w:line="280" w:lineRule="exact"/>
        <w:ind w:left="567"/>
      </w:pPr>
      <w:r w:rsidRPr="004E59B4">
        <w:t>Under the terms of current s254T</w:t>
      </w:r>
      <w:r w:rsidR="0031329D">
        <w:t>, in order to pay a dividend,</w:t>
      </w:r>
      <w:r w:rsidRPr="004E59B4">
        <w:t xml:space="preserve"> a company must determine that there is a sufficient excess of </w:t>
      </w:r>
      <w:r>
        <w:t>assets over liabilities, w</w:t>
      </w:r>
      <w:r w:rsidR="0083168B">
        <w:t>ith</w:t>
      </w:r>
      <w:r>
        <w:t xml:space="preserve"> such amounts being determined by reference to accounts prepared in accordance with applicable accounting standards.  This, thus, practically, imposes an obligation on </w:t>
      </w:r>
      <w:r w:rsidR="0031329D" w:rsidRPr="00A15ED9">
        <w:rPr>
          <w:b/>
        </w:rPr>
        <w:t>all</w:t>
      </w:r>
      <w:r w:rsidR="0031329D">
        <w:t xml:space="preserve"> companies, including </w:t>
      </w:r>
      <w:r>
        <w:t xml:space="preserve">smaller companies which would otherwise not be required to </w:t>
      </w:r>
      <w:r w:rsidR="00D45B92">
        <w:t>do so</w:t>
      </w:r>
      <w:r>
        <w:t xml:space="preserve">, to </w:t>
      </w:r>
      <w:r w:rsidR="00D45B92">
        <w:t>prepare accounts in accordance with such standards</w:t>
      </w:r>
      <w:r>
        <w:t xml:space="preserve">.  This imposes material and unwarranted compliance costs on such </w:t>
      </w:r>
      <w:r w:rsidR="0031329D">
        <w:t>smaller companies.</w:t>
      </w:r>
    </w:p>
    <w:p w:rsidR="002A2AD4" w:rsidRDefault="002A2AD4" w:rsidP="004E59B4">
      <w:pPr>
        <w:tabs>
          <w:tab w:val="left" w:pos="567"/>
        </w:tabs>
        <w:spacing w:before="240" w:line="280" w:lineRule="exact"/>
        <w:ind w:left="567"/>
      </w:pPr>
      <w:r>
        <w:t>This concern would be substantially addressed by the exclusion of the payment of dividends out of profits from such requirements.</w:t>
      </w:r>
    </w:p>
    <w:p w:rsidR="00FD66EB" w:rsidRDefault="00FD66EB" w:rsidP="0059765D">
      <w:pPr>
        <w:pStyle w:val="ListParagraph"/>
        <w:numPr>
          <w:ilvl w:val="0"/>
          <w:numId w:val="6"/>
        </w:numPr>
        <w:tabs>
          <w:tab w:val="left" w:pos="567"/>
        </w:tabs>
        <w:spacing w:before="240" w:line="280" w:lineRule="exact"/>
        <w:ind w:left="567" w:hanging="567"/>
        <w:contextualSpacing w:val="0"/>
        <w:rPr>
          <w:b/>
        </w:rPr>
      </w:pPr>
      <w:r>
        <w:rPr>
          <w:b/>
        </w:rPr>
        <w:t>To the extent that dividends are paid out of share capital, restrictive safeguards are warranted</w:t>
      </w:r>
    </w:p>
    <w:p w:rsidR="0083168B" w:rsidRDefault="0083168B" w:rsidP="005313E6">
      <w:pPr>
        <w:pStyle w:val="ListParagraph"/>
        <w:ind w:left="567"/>
      </w:pPr>
      <w:r w:rsidRPr="0083168B">
        <w:t>There</w:t>
      </w:r>
      <w:r>
        <w:t xml:space="preserve"> have long been material restrictions on the return by a company of capital to shareholders.  These have been largely aimed at protecting the interests of creditors o</w:t>
      </w:r>
      <w:r w:rsidR="00B81332">
        <w:t>f</w:t>
      </w:r>
      <w:r>
        <w:t xml:space="preserve"> a company and</w:t>
      </w:r>
      <w:r w:rsidR="00B81332">
        <w:t>, in particular,</w:t>
      </w:r>
      <w:r>
        <w:t xml:space="preserve"> maintaining the priority</w:t>
      </w:r>
      <w:r w:rsidR="00B81332">
        <w:t xml:space="preserve"> of the repayment of the amounts that such creditors advanced over the return of capital to shareholders.  It follows that, to the extent that s254T authorises payment of dividends out of share capital, the restriction imposed by </w:t>
      </w:r>
      <w:r w:rsidR="00742935">
        <w:t xml:space="preserve">current </w:t>
      </w:r>
      <w:proofErr w:type="gramStart"/>
      <w:r w:rsidR="00742935">
        <w:t>s254</w:t>
      </w:r>
      <w:r w:rsidR="00D657CF">
        <w:t>T</w:t>
      </w:r>
      <w:r w:rsidR="00742935">
        <w:t>(</w:t>
      </w:r>
      <w:proofErr w:type="gramEnd"/>
      <w:r w:rsidR="00742935">
        <w:t>1)</w:t>
      </w:r>
      <w:r w:rsidR="00B81332">
        <w:t>(</w:t>
      </w:r>
      <w:r w:rsidR="00742935">
        <w:t>c</w:t>
      </w:r>
      <w:r w:rsidR="00B81332">
        <w:t>) is warranted.</w:t>
      </w:r>
    </w:p>
    <w:p w:rsidR="00B81332" w:rsidRDefault="00B81332" w:rsidP="005313E6">
      <w:pPr>
        <w:pStyle w:val="ListParagraph"/>
        <w:ind w:left="567"/>
      </w:pPr>
    </w:p>
    <w:p w:rsidR="00B81332" w:rsidRPr="0083168B" w:rsidRDefault="00B81332" w:rsidP="005313E6">
      <w:pPr>
        <w:pStyle w:val="ListParagraph"/>
        <w:ind w:left="567"/>
      </w:pPr>
      <w:r>
        <w:t>The possible situation of capital contributed by one group of shareholders being used to fund dividends paid to another group of shareholders would similarly, to the extent s254T authorises the payment of dividends out of share capital</w:t>
      </w:r>
      <w:r w:rsidR="00061AF8">
        <w:t xml:space="preserve">, warrant the restriction imposed by </w:t>
      </w:r>
      <w:r w:rsidR="00742935">
        <w:t>current</w:t>
      </w:r>
      <w:r w:rsidR="00061AF8">
        <w:t xml:space="preserve"> </w:t>
      </w:r>
      <w:proofErr w:type="gramStart"/>
      <w:r w:rsidR="00061AF8">
        <w:t>s254T</w:t>
      </w:r>
      <w:r w:rsidR="00742935">
        <w:t>(</w:t>
      </w:r>
      <w:proofErr w:type="gramEnd"/>
      <w:r w:rsidR="00742935">
        <w:t>1)(b)</w:t>
      </w:r>
      <w:r w:rsidR="00061AF8">
        <w:t>.</w:t>
      </w:r>
      <w:r>
        <w:t xml:space="preserve"> </w:t>
      </w:r>
    </w:p>
    <w:p w:rsidR="0083168B" w:rsidRDefault="00B944D5" w:rsidP="0059765D">
      <w:pPr>
        <w:pStyle w:val="ListParagraph"/>
        <w:numPr>
          <w:ilvl w:val="0"/>
          <w:numId w:val="6"/>
        </w:numPr>
        <w:tabs>
          <w:tab w:val="left" w:pos="567"/>
        </w:tabs>
        <w:spacing w:before="240" w:line="280" w:lineRule="exact"/>
        <w:ind w:left="567" w:hanging="567"/>
        <w:contextualSpacing w:val="0"/>
        <w:rPr>
          <w:b/>
        </w:rPr>
      </w:pPr>
      <w:r>
        <w:rPr>
          <w:b/>
        </w:rPr>
        <w:t>Forgoing authorisation of the payment of dividends out of the surplus of the assets of a company over its liabilities</w:t>
      </w:r>
      <w:r w:rsidR="0083168B">
        <w:rPr>
          <w:b/>
        </w:rPr>
        <w:t xml:space="preserve"> </w:t>
      </w:r>
      <w:r w:rsidR="009032A9">
        <w:rPr>
          <w:b/>
        </w:rPr>
        <w:t xml:space="preserve"> now </w:t>
      </w:r>
      <w:r w:rsidR="0083168B">
        <w:rPr>
          <w:b/>
        </w:rPr>
        <w:t xml:space="preserve">impracticable </w:t>
      </w:r>
    </w:p>
    <w:p w:rsidR="00023610" w:rsidRDefault="00023610" w:rsidP="00023610">
      <w:pPr>
        <w:tabs>
          <w:tab w:val="left" w:pos="567"/>
        </w:tabs>
        <w:spacing w:before="240" w:line="280" w:lineRule="exact"/>
        <w:ind w:left="567"/>
      </w:pPr>
      <w:r w:rsidRPr="00023610">
        <w:t>Due to</w:t>
      </w:r>
      <w:r>
        <w:t>:</w:t>
      </w:r>
    </w:p>
    <w:p w:rsidR="00023610" w:rsidRDefault="00023610" w:rsidP="000C3DC6">
      <w:pPr>
        <w:pStyle w:val="ListParagraph"/>
        <w:numPr>
          <w:ilvl w:val="0"/>
          <w:numId w:val="34"/>
        </w:numPr>
        <w:tabs>
          <w:tab w:val="left" w:pos="567"/>
        </w:tabs>
        <w:spacing w:after="0" w:line="280" w:lineRule="exact"/>
        <w:ind w:left="993"/>
      </w:pPr>
      <w:r>
        <w:t>The problems with the previous iteration of s254T which were cited as the motivation for the repeal of that section and its replacement by the current iteration of s254T, and</w:t>
      </w:r>
    </w:p>
    <w:p w:rsidR="00504F72" w:rsidRDefault="00504F72" w:rsidP="000C3DC6">
      <w:pPr>
        <w:tabs>
          <w:tab w:val="left" w:pos="567"/>
        </w:tabs>
        <w:spacing w:after="0" w:line="280" w:lineRule="exact"/>
        <w:ind w:left="993"/>
      </w:pPr>
    </w:p>
    <w:p w:rsidR="00023610" w:rsidRDefault="00023610" w:rsidP="000C3DC6">
      <w:pPr>
        <w:pStyle w:val="ListParagraph"/>
        <w:numPr>
          <w:ilvl w:val="0"/>
          <w:numId w:val="34"/>
        </w:numPr>
        <w:tabs>
          <w:tab w:val="left" w:pos="567"/>
        </w:tabs>
        <w:spacing w:line="280" w:lineRule="exact"/>
        <w:ind w:left="993"/>
      </w:pPr>
      <w:r>
        <w:t>The systems and procedures</w:t>
      </w:r>
      <w:r w:rsidR="00B944D5">
        <w:t>,</w:t>
      </w:r>
      <w:r>
        <w:t xml:space="preserve"> </w:t>
      </w:r>
      <w:r w:rsidR="00B944D5">
        <w:t xml:space="preserve">based around payment of dividends out of the surplus of the value of assets over liabilities, </w:t>
      </w:r>
      <w:r>
        <w:t xml:space="preserve">that have been adopted by companies in response to the </w:t>
      </w:r>
      <w:r w:rsidR="00B944D5">
        <w:t>enactment of the current iteration of s254T,</w:t>
      </w:r>
    </w:p>
    <w:p w:rsidR="00B944D5" w:rsidRPr="00023610" w:rsidRDefault="00B944D5" w:rsidP="00B944D5">
      <w:pPr>
        <w:tabs>
          <w:tab w:val="left" w:pos="567"/>
        </w:tabs>
        <w:spacing w:before="240" w:line="280" w:lineRule="exact"/>
        <w:ind w:left="567" w:hanging="567"/>
      </w:pPr>
      <w:r>
        <w:lastRenderedPageBreak/>
        <w:tab/>
      </w:r>
      <w:proofErr w:type="gramStart"/>
      <w:r w:rsidR="00504F72">
        <w:t>it</w:t>
      </w:r>
      <w:proofErr w:type="gramEnd"/>
      <w:r>
        <w:t xml:space="preserve"> would seem impracticable to return to a rule which restricted the source of dividends </w:t>
      </w:r>
      <w:r w:rsidR="000B57FA">
        <w:t xml:space="preserve">only </w:t>
      </w:r>
      <w:r>
        <w:t xml:space="preserve">to </w:t>
      </w:r>
      <w:r w:rsidR="000B57FA">
        <w:t>“</w:t>
      </w:r>
      <w:r>
        <w:t>profits</w:t>
      </w:r>
      <w:r w:rsidR="000B57FA">
        <w:t>”</w:t>
      </w:r>
      <w:r w:rsidR="006A6428">
        <w:t xml:space="preserve"> of a company</w:t>
      </w:r>
      <w:r>
        <w:t>.</w:t>
      </w:r>
    </w:p>
    <w:p w:rsidR="00656C6D" w:rsidRDefault="00656C6D" w:rsidP="00656C6D">
      <w:pPr>
        <w:pStyle w:val="ListParagraph"/>
        <w:numPr>
          <w:ilvl w:val="0"/>
          <w:numId w:val="6"/>
        </w:numPr>
        <w:tabs>
          <w:tab w:val="left" w:pos="567"/>
        </w:tabs>
        <w:spacing w:before="240" w:line="280" w:lineRule="exact"/>
        <w:ind w:left="567" w:hanging="567"/>
        <w:contextualSpacing w:val="0"/>
        <w:rPr>
          <w:b/>
        </w:rPr>
      </w:pPr>
      <w:r>
        <w:rPr>
          <w:b/>
        </w:rPr>
        <w:t>Inappropriate restriction to declaration of dividends</w:t>
      </w:r>
    </w:p>
    <w:p w:rsidR="00656C6D" w:rsidRPr="009E2899" w:rsidRDefault="006A6428" w:rsidP="006A6428">
      <w:pPr>
        <w:tabs>
          <w:tab w:val="left" w:pos="567"/>
        </w:tabs>
        <w:spacing w:before="240" w:line="280" w:lineRule="exact"/>
        <w:ind w:left="567"/>
        <w:rPr>
          <w:i/>
        </w:rPr>
      </w:pPr>
      <w:r w:rsidRPr="00504F72">
        <w:t xml:space="preserve">The current iteration of </w:t>
      </w:r>
      <w:proofErr w:type="gramStart"/>
      <w:r w:rsidRPr="00504F72">
        <w:t>s</w:t>
      </w:r>
      <w:r w:rsidR="00504F72" w:rsidRPr="00504F72">
        <w:t>254T(</w:t>
      </w:r>
      <w:proofErr w:type="gramEnd"/>
      <w:r w:rsidR="00504F72" w:rsidRPr="00504F72">
        <w:t>1)(a)</w:t>
      </w:r>
      <w:r w:rsidR="00504F72">
        <w:t xml:space="preserve"> requires that </w:t>
      </w:r>
      <w:r w:rsidR="00504F72">
        <w:rPr>
          <w:i/>
        </w:rPr>
        <w:t xml:space="preserve">“the company’s assets exceed its liabilities immediately before the dividend </w:t>
      </w:r>
      <w:r w:rsidR="00504F72" w:rsidRPr="00504F72">
        <w:rPr>
          <w:b/>
          <w:i/>
        </w:rPr>
        <w:t>is declared</w:t>
      </w:r>
      <w:r w:rsidR="00504F72">
        <w:rPr>
          <w:i/>
        </w:rPr>
        <w:t>”</w:t>
      </w:r>
      <w:r w:rsidR="00504F72">
        <w:t xml:space="preserve">(emphasis added). Framed thus, the provision does not appropriately address dividends which are paid without declaration, which is the norm under </w:t>
      </w:r>
      <w:r w:rsidR="00A56F56">
        <w:t xml:space="preserve">s245U and most company constitutions (and was previously often the case in respect of interim dividends).  This could be addressed by substituting the words </w:t>
      </w:r>
      <w:r w:rsidR="00A56F56" w:rsidRPr="009E2899">
        <w:rPr>
          <w:i/>
        </w:rPr>
        <w:t xml:space="preserve">“first to occur </w:t>
      </w:r>
      <w:r w:rsidR="009E2899" w:rsidRPr="009E2899">
        <w:rPr>
          <w:i/>
        </w:rPr>
        <w:t xml:space="preserve">of payment </w:t>
      </w:r>
      <w:r w:rsidR="009E2899">
        <w:rPr>
          <w:i/>
        </w:rPr>
        <w:t>or</w:t>
      </w:r>
      <w:r w:rsidR="009E2899" w:rsidRPr="009E2899">
        <w:rPr>
          <w:i/>
        </w:rPr>
        <w:t xml:space="preserve"> declaration</w:t>
      </w:r>
      <w:r w:rsidR="009E2899">
        <w:rPr>
          <w:i/>
        </w:rPr>
        <w:t xml:space="preserve"> of the dividend</w:t>
      </w:r>
      <w:r w:rsidR="009E2899" w:rsidRPr="009E2899">
        <w:rPr>
          <w:i/>
        </w:rPr>
        <w:t>”</w:t>
      </w:r>
      <w:r w:rsidR="009E2899">
        <w:rPr>
          <w:i/>
        </w:rPr>
        <w:t xml:space="preserve"> </w:t>
      </w:r>
      <w:r w:rsidR="009E2899">
        <w:t xml:space="preserve">for the current </w:t>
      </w:r>
      <w:r w:rsidR="009E2899">
        <w:rPr>
          <w:i/>
        </w:rPr>
        <w:t>“dividend is declared”.</w:t>
      </w:r>
    </w:p>
    <w:p w:rsidR="00FD66EB" w:rsidRPr="00FD66EB" w:rsidRDefault="00FD66EB" w:rsidP="00FD66EB">
      <w:pPr>
        <w:pStyle w:val="ListParagraph"/>
        <w:rPr>
          <w:b/>
        </w:rPr>
      </w:pPr>
    </w:p>
    <w:p w:rsidR="009E2899" w:rsidRDefault="009E2899" w:rsidP="0059765D">
      <w:pPr>
        <w:pStyle w:val="ListParagraph"/>
        <w:numPr>
          <w:ilvl w:val="0"/>
          <w:numId w:val="6"/>
        </w:numPr>
        <w:tabs>
          <w:tab w:val="left" w:pos="567"/>
        </w:tabs>
        <w:spacing w:before="240" w:line="280" w:lineRule="exact"/>
        <w:ind w:left="567" w:hanging="567"/>
        <w:contextualSpacing w:val="0"/>
        <w:rPr>
          <w:b/>
        </w:rPr>
      </w:pPr>
      <w:r>
        <w:rPr>
          <w:b/>
        </w:rPr>
        <w:t xml:space="preserve">Addressing the </w:t>
      </w:r>
      <w:r w:rsidR="00E77A08">
        <w:rPr>
          <w:b/>
        </w:rPr>
        <w:t xml:space="preserve">reform </w:t>
      </w:r>
      <w:r>
        <w:rPr>
          <w:b/>
        </w:rPr>
        <w:t>options posited in the Discussion Paper</w:t>
      </w:r>
    </w:p>
    <w:p w:rsidR="009E2899" w:rsidRDefault="009E2899" w:rsidP="009E2899">
      <w:pPr>
        <w:tabs>
          <w:tab w:val="left" w:pos="567"/>
        </w:tabs>
        <w:spacing w:before="240" w:line="280" w:lineRule="exact"/>
        <w:ind w:left="567"/>
      </w:pPr>
      <w:r w:rsidRPr="009E2899">
        <w:t>Having regard to our</w:t>
      </w:r>
      <w:r>
        <w:rPr>
          <w:b/>
        </w:rPr>
        <w:t xml:space="preserve"> </w:t>
      </w:r>
      <w:r>
        <w:t>submissions, set out above, the options for reform of s254T posited in the Discussion Paper can be addressed as follows:</w:t>
      </w:r>
    </w:p>
    <w:p w:rsidR="00755538" w:rsidRDefault="00755538" w:rsidP="000C3DC6">
      <w:pPr>
        <w:pStyle w:val="ListParagraph"/>
        <w:numPr>
          <w:ilvl w:val="0"/>
          <w:numId w:val="35"/>
        </w:numPr>
        <w:tabs>
          <w:tab w:val="left" w:pos="567"/>
        </w:tabs>
        <w:spacing w:before="240" w:after="0" w:line="280" w:lineRule="exact"/>
        <w:ind w:left="851"/>
      </w:pPr>
      <w:r w:rsidRPr="009E2899">
        <w:t>Option 1</w:t>
      </w:r>
      <w:r w:rsidR="009E2899">
        <w:t xml:space="preserve"> (r</w:t>
      </w:r>
      <w:r w:rsidRPr="009E2899">
        <w:t>etaining s254T as drafted</w:t>
      </w:r>
      <w:r w:rsidR="009E2899">
        <w:t>) would be unsatisfactory, having regard to each of points 2 to 5 (inclusive) and point 8 of our above submissions;</w:t>
      </w:r>
    </w:p>
    <w:p w:rsidR="009E2899" w:rsidRDefault="009E2899" w:rsidP="000C3DC6">
      <w:pPr>
        <w:tabs>
          <w:tab w:val="left" w:pos="567"/>
        </w:tabs>
        <w:spacing w:after="0" w:line="280" w:lineRule="exact"/>
        <w:ind w:left="851"/>
      </w:pPr>
      <w:r>
        <w:t xml:space="preserve"> </w:t>
      </w:r>
    </w:p>
    <w:p w:rsidR="009E2899" w:rsidRDefault="009E2899" w:rsidP="000C3DC6">
      <w:pPr>
        <w:pStyle w:val="ListParagraph"/>
        <w:numPr>
          <w:ilvl w:val="0"/>
          <w:numId w:val="35"/>
        </w:numPr>
        <w:tabs>
          <w:tab w:val="left" w:pos="567"/>
        </w:tabs>
        <w:spacing w:after="0" w:line="280" w:lineRule="exact"/>
        <w:ind w:left="851"/>
      </w:pPr>
      <w:r>
        <w:t xml:space="preserve">Option 2 (adopting a solvency test) </w:t>
      </w:r>
      <w:r w:rsidR="00F96CB3">
        <w:t>would, without more, fail to address points 2, 4, 6 and 8 of our above submissions;</w:t>
      </w:r>
    </w:p>
    <w:p w:rsidR="00F96CB3" w:rsidRDefault="00F96CB3" w:rsidP="000C3DC6">
      <w:pPr>
        <w:tabs>
          <w:tab w:val="left" w:pos="567"/>
        </w:tabs>
        <w:spacing w:after="0" w:line="280" w:lineRule="exact"/>
        <w:ind w:left="851"/>
      </w:pPr>
      <w:r>
        <w:t xml:space="preserve"> </w:t>
      </w:r>
    </w:p>
    <w:p w:rsidR="00F96CB3" w:rsidRDefault="00F96CB3" w:rsidP="000C3DC6">
      <w:pPr>
        <w:pStyle w:val="ListParagraph"/>
        <w:numPr>
          <w:ilvl w:val="0"/>
          <w:numId w:val="35"/>
        </w:numPr>
        <w:tabs>
          <w:tab w:val="left" w:pos="567"/>
        </w:tabs>
        <w:spacing w:after="0" w:line="280" w:lineRule="exact"/>
        <w:ind w:left="851"/>
      </w:pPr>
      <w:r>
        <w:t>Option 3 (reinstating a profits based test) would, without more, be contrary to point 7 of our above submissions;</w:t>
      </w:r>
    </w:p>
    <w:p w:rsidR="00F96CB3" w:rsidRDefault="00F96CB3" w:rsidP="000C3DC6">
      <w:pPr>
        <w:tabs>
          <w:tab w:val="left" w:pos="567"/>
        </w:tabs>
        <w:spacing w:after="0" w:line="280" w:lineRule="exact"/>
        <w:ind w:left="851"/>
      </w:pPr>
      <w:r>
        <w:t xml:space="preserve"> </w:t>
      </w:r>
    </w:p>
    <w:p w:rsidR="00F96CB3" w:rsidRPr="009E2899" w:rsidRDefault="00F96CB3" w:rsidP="000C3DC6">
      <w:pPr>
        <w:pStyle w:val="BDOBulletOne"/>
        <w:numPr>
          <w:ilvl w:val="0"/>
          <w:numId w:val="35"/>
        </w:numPr>
        <w:tabs>
          <w:tab w:val="left" w:pos="1134"/>
        </w:tabs>
        <w:spacing w:after="120"/>
        <w:ind w:left="851"/>
        <w:contextualSpacing w:val="0"/>
      </w:pPr>
      <w:r>
        <w:t>Option 4 (a</w:t>
      </w:r>
      <w:r w:rsidRPr="00F96CB3">
        <w:t>dopting new arrangements under which a company would have two ways of determining whether it could pay a dividend</w:t>
      </w:r>
      <w:r>
        <w:t>) would address our concerns, provided measures were also introduced to address points 2 and 8 of our above submissions.</w:t>
      </w:r>
      <w:bookmarkEnd w:id="1"/>
      <w:bookmarkEnd w:id="2"/>
    </w:p>
    <w:sectPr w:rsidR="00F96CB3" w:rsidRPr="009E2899" w:rsidSect="00E302F2">
      <w:headerReference w:type="even" r:id="rId12"/>
      <w:headerReference w:type="default" r:id="rId13"/>
      <w:footerReference w:type="even" r:id="rId14"/>
      <w:footerReference w:type="default" r:id="rId15"/>
      <w:headerReference w:type="first" r:id="rId16"/>
      <w:footerReference w:type="first" r:id="rId17"/>
      <w:pgSz w:w="11906" w:h="16838" w:code="9"/>
      <w:pgMar w:top="2268" w:right="1133" w:bottom="1843" w:left="1560" w:header="851" w:footer="3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DF" w:rsidRDefault="005627DF">
      <w:r>
        <w:separator/>
      </w:r>
    </w:p>
  </w:endnote>
  <w:endnote w:type="continuationSeparator" w:id="0">
    <w:p w:rsidR="005627DF" w:rsidRDefault="0056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2A9" w:rsidRDefault="0090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6892"/>
      <w:docPartObj>
        <w:docPartGallery w:val="Page Numbers (Bottom of Page)"/>
        <w:docPartUnique/>
      </w:docPartObj>
    </w:sdtPr>
    <w:sdtEndPr/>
    <w:sdtContent>
      <w:p w:rsidR="009032A9" w:rsidRPr="00CD306E" w:rsidRDefault="00CF79F8" w:rsidP="003027FF">
        <w:pPr>
          <w:pStyle w:val="BDOPageNumbering"/>
          <w:framePr w:wrap="around" w:y="16104"/>
        </w:pPr>
        <w:r>
          <w:fldChar w:fldCharType="begin"/>
        </w:r>
        <w:r>
          <w:instrText xml:space="preserve"> PAGE   \* MERGEFORMAT </w:instrText>
        </w:r>
        <w:r>
          <w:fldChar w:fldCharType="separate"/>
        </w:r>
        <w:r w:rsidR="005C6589">
          <w:rPr>
            <w:noProof/>
          </w:rPr>
          <w:t>6</w:t>
        </w:r>
        <w:r>
          <w:rPr>
            <w:noProof/>
          </w:rPr>
          <w:fldChar w:fldCharType="end"/>
        </w:r>
      </w:p>
    </w:sdtContent>
  </w:sdt>
  <w:p w:rsidR="009032A9" w:rsidRDefault="003A5D9A" w:rsidP="005C2B39">
    <w:pPr>
      <w:pStyle w:val="BDOdocid"/>
      <w:framePr w:wrap="around"/>
    </w:pPr>
    <w:r>
      <w:fldChar w:fldCharType="begin"/>
    </w:r>
    <w:r w:rsidR="009032A9">
      <w:instrText xml:space="preserve"> DOCPROPERTY  xDocId  \* MERGEFORMAT </w:instrText>
    </w:r>
    <w:r>
      <w:fldChar w:fldCharType="end"/>
    </w:r>
  </w:p>
  <w:p w:rsidR="009032A9" w:rsidRDefault="00903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alias w:val="Disclaimer"/>
      <w:tag w:val="Disclaimer"/>
      <w:id w:val="8566895"/>
      <w:lock w:val="sdtContentLocked"/>
    </w:sdtPr>
    <w:sdtEndPr>
      <w:rPr>
        <w:color w:val="786860"/>
      </w:rPr>
    </w:sdtEndPr>
    <w:sdtContent>
      <w:p w:rsidR="009032A9" w:rsidRDefault="009032A9" w:rsidP="0078579E">
        <w:pPr>
          <w:pStyle w:val="BDOFooter"/>
          <w:framePr w:w="8481" w:wrap="around"/>
        </w:pPr>
        <w:r>
          <w:t>BDO (NSW-VIC) Pty Ltd ABN 28 005 875 258 is a member of a national association of independent entities which are all members of BDO Australia Ltd ABN 77 050 110 275, an Australian company limited by guarantee. BDO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w:t>
        </w:r>
      </w:p>
      <w:p w:rsidR="009032A9" w:rsidRPr="00D710EB" w:rsidRDefault="009032A9" w:rsidP="0078579E">
        <w:pPr>
          <w:pStyle w:val="BDOFooter"/>
          <w:framePr w:w="8481" w:wrap="around"/>
        </w:pPr>
      </w:p>
      <w:p w:rsidR="009032A9" w:rsidRPr="00A425F9" w:rsidRDefault="005C6589" w:rsidP="005C2B39">
        <w:pPr>
          <w:pStyle w:val="BDOFooter"/>
          <w:framePr w:wrap="around"/>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DF" w:rsidRDefault="005627DF">
      <w:r>
        <w:separator/>
      </w:r>
    </w:p>
  </w:footnote>
  <w:footnote w:type="continuationSeparator" w:id="0">
    <w:p w:rsidR="005627DF" w:rsidRDefault="0056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2A9" w:rsidRDefault="00903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2A9" w:rsidRDefault="005C6589">
    <w:sdt>
      <w:sdtPr>
        <w:id w:val="8566915"/>
        <w:lock w:val="sdtContentLocked"/>
        <w:placeholder>
          <w:docPart w:val="A0C91065178A46B3903027FA3548563E"/>
        </w:placeholder>
        <w:group/>
      </w:sdtPr>
      <w:sdtEndPr/>
      <w:sdtContent>
        <w:r w:rsidR="009032A9" w:rsidRPr="00297D8F">
          <w:rPr>
            <w:noProof/>
            <w:lang w:eastAsia="en-AU"/>
          </w:rPr>
          <w:drawing>
            <wp:anchor distT="0" distB="0" distL="114300" distR="114300" simplePos="0" relativeHeight="251656704" behindDoc="1" locked="0" layoutInCell="1" allowOverlap="1">
              <wp:simplePos x="0" y="0"/>
              <wp:positionH relativeFrom="page">
                <wp:posOffset>1058545</wp:posOffset>
              </wp:positionH>
              <wp:positionV relativeFrom="page">
                <wp:posOffset>543560</wp:posOffset>
              </wp:positionV>
              <wp:extent cx="981075" cy="371475"/>
              <wp:effectExtent l="19050" t="0" r="9525" b="0"/>
              <wp:wrapNone/>
              <wp:docPr id="4" name="Picture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anchor>
          </w:drawing>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20"/>
        <w:szCs w:val="24"/>
      </w:rPr>
      <w:id w:val="55520179"/>
      <w:lock w:val="sdtContentLocked"/>
      <w:placeholder>
        <w:docPart w:val="A0C91065178A46B3903027FA3548563E"/>
      </w:placeholder>
      <w:group/>
    </w:sdtPr>
    <w:sdtEndPr>
      <w:rPr>
        <w:color w:val="786860"/>
      </w:rPr>
    </w:sdtEndPr>
    <w:sdtContent>
      <w:sdt>
        <w:sdtPr>
          <w:rPr>
            <w:color w:val="auto"/>
          </w:rPr>
          <w:alias w:val="Address2"/>
          <w:tag w:val="Address2"/>
          <w:id w:val="8566911"/>
          <w:lock w:val="sdtContentLocked"/>
        </w:sdtPr>
        <w:sdtEndPr>
          <w:rPr>
            <w:color w:val="786860"/>
          </w:rPr>
        </w:sdtEndPr>
        <w:sdtContent>
          <w:p w:rsidR="009032A9" w:rsidRDefault="003A5D9A" w:rsidP="00E07CC4">
            <w:pPr>
              <w:pStyle w:val="BDOAddress2"/>
              <w:framePr w:wrap="around"/>
            </w:pPr>
            <w:r w:rsidRPr="00D710EB">
              <w:fldChar w:fldCharType="begin"/>
            </w:r>
            <w:r w:rsidR="009032A9" w:rsidRPr="00D710EB">
              <w:instrText xml:space="preserve"> DOCPROPERTY  xAddress2  \* MERGEFORMAT </w:instrText>
            </w:r>
            <w:r w:rsidRPr="00D710EB">
              <w:fldChar w:fldCharType="separate"/>
            </w:r>
            <w:r w:rsidR="009032A9">
              <w:t xml:space="preserve">Level 19, 2 Market St </w:t>
            </w:r>
          </w:p>
          <w:p w:rsidR="009032A9" w:rsidRDefault="009032A9" w:rsidP="00E07CC4">
            <w:pPr>
              <w:pStyle w:val="BDOAddress2"/>
              <w:framePr w:wrap="around"/>
            </w:pPr>
            <w:r>
              <w:t>Sydney NSW 2000</w:t>
            </w:r>
          </w:p>
          <w:p w:rsidR="009032A9" w:rsidRDefault="009032A9" w:rsidP="00E07CC4">
            <w:pPr>
              <w:pStyle w:val="BDOAddress2"/>
              <w:framePr w:wrap="around"/>
            </w:pPr>
            <w:r>
              <w:t>GPO Box 2551 Sydney NSW 2001</w:t>
            </w:r>
          </w:p>
          <w:p w:rsidR="009032A9" w:rsidRPr="00D710EB" w:rsidRDefault="009032A9" w:rsidP="00E07CC4">
            <w:pPr>
              <w:pStyle w:val="BDOAddress2"/>
              <w:framePr w:wrap="around"/>
            </w:pPr>
            <w:r>
              <w:t>Australia</w:t>
            </w:r>
            <w:r w:rsidR="003A5D9A" w:rsidRPr="00D710EB">
              <w:fldChar w:fldCharType="end"/>
            </w:r>
          </w:p>
          <w:p w:rsidR="009032A9" w:rsidRPr="006C2421" w:rsidRDefault="005C6589" w:rsidP="00E07CC4">
            <w:pPr>
              <w:pStyle w:val="BDOAddress2"/>
              <w:framePr w:wrap="around"/>
            </w:pPr>
          </w:p>
        </w:sdtContent>
      </w:sdt>
      <w:sdt>
        <w:sdtPr>
          <w:rPr>
            <w:b/>
            <w:color w:val="auto"/>
          </w:rPr>
          <w:alias w:val="Address1"/>
          <w:tag w:val="Address1"/>
          <w:id w:val="8566912"/>
          <w:lock w:val="sdtContentLocked"/>
        </w:sdtPr>
        <w:sdtEndPr/>
        <w:sdtContent>
          <w:p w:rsidR="009032A9" w:rsidRDefault="003A5D9A" w:rsidP="00132121">
            <w:pPr>
              <w:pStyle w:val="BDOAddress"/>
              <w:framePr w:wrap="around" w:y="852"/>
            </w:pPr>
            <w:r w:rsidRPr="00D710EB">
              <w:fldChar w:fldCharType="begin"/>
            </w:r>
            <w:r w:rsidR="009032A9" w:rsidRPr="00D710EB">
              <w:instrText xml:space="preserve"> DOCPROPERTY  xTel  \* MERGEFORMAT </w:instrText>
            </w:r>
            <w:r w:rsidRPr="00D710EB">
              <w:fldChar w:fldCharType="separate"/>
            </w:r>
            <w:r w:rsidR="009032A9">
              <w:t>Tel: +61 2 9286 5555</w:t>
            </w:r>
          </w:p>
          <w:p w:rsidR="009032A9" w:rsidRPr="00D710EB" w:rsidRDefault="009032A9" w:rsidP="00132121">
            <w:pPr>
              <w:pStyle w:val="BDOAddress"/>
              <w:framePr w:wrap="around" w:y="852"/>
            </w:pPr>
            <w:r>
              <w:t>Fax: +61 2 9286 5599</w:t>
            </w:r>
            <w:r w:rsidR="003A5D9A" w:rsidRPr="00D710EB">
              <w:fldChar w:fldCharType="end"/>
            </w:r>
          </w:p>
          <w:p w:rsidR="009032A9" w:rsidRPr="00D710EB" w:rsidRDefault="009032A9" w:rsidP="00132121">
            <w:pPr>
              <w:pStyle w:val="BDOAddress"/>
              <w:framePr w:wrap="around" w:y="852"/>
              <w:rPr>
                <w:b/>
              </w:rPr>
            </w:pPr>
            <w:r w:rsidRPr="00D710EB">
              <w:rPr>
                <w:b/>
              </w:rPr>
              <w:t>www.bdo.com.au</w:t>
            </w:r>
          </w:p>
          <w:p w:rsidR="009032A9" w:rsidRDefault="005C6589" w:rsidP="00132121">
            <w:pPr>
              <w:pStyle w:val="BDOAddress"/>
              <w:framePr w:wrap="around" w:y="852"/>
              <w:rPr>
                <w:b/>
              </w:rPr>
            </w:pPr>
          </w:p>
        </w:sdtContent>
      </w:sdt>
      <w:p w:rsidR="009032A9" w:rsidRDefault="009032A9" w:rsidP="00C979C2">
        <w:pPr>
          <w:pStyle w:val="BDONormal"/>
          <w:spacing w:before="1200"/>
        </w:pPr>
        <w:r>
          <w:rPr>
            <w:noProof/>
            <w:lang w:eastAsia="en-AU"/>
          </w:rPr>
          <w:t xml:space="preserve"> </w:t>
        </w:r>
        <w:r w:rsidRPr="00E85DF7">
          <w:rPr>
            <w:noProof/>
            <w:lang w:eastAsia="en-AU"/>
          </w:rPr>
          <w:drawing>
            <wp:anchor distT="0" distB="0" distL="114300" distR="114300" simplePos="0" relativeHeight="251657728" behindDoc="1" locked="0" layoutInCell="1" allowOverlap="1">
              <wp:simplePos x="0" y="0"/>
              <wp:positionH relativeFrom="page">
                <wp:posOffset>1058545</wp:posOffset>
              </wp:positionH>
              <wp:positionV relativeFrom="page">
                <wp:posOffset>543560</wp:posOffset>
              </wp:positionV>
              <wp:extent cx="981075" cy="371475"/>
              <wp:effectExtent l="19050" t="0" r="9525" b="0"/>
              <wp:wrapNone/>
              <wp:docPr id="7" name="Picture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anchor>
          </w:drawing>
        </w:r>
      </w:p>
      <w:p w:rsidR="009032A9" w:rsidRPr="003027FF" w:rsidRDefault="003A5D9A" w:rsidP="005C2B39">
        <w:pPr>
          <w:pStyle w:val="BDOdocid"/>
          <w:framePr w:wrap="around"/>
        </w:pPr>
        <w:r>
          <w:fldChar w:fldCharType="begin"/>
        </w:r>
        <w:r w:rsidR="009032A9">
          <w:instrText xml:space="preserve"> DOCPROPERTY  xDocId  \* MERGEFORMAT </w:instrText>
        </w:r>
        <w:r>
          <w:fldChar w:fldCharType="end"/>
        </w:r>
      </w:p>
      <w:p w:rsidR="009032A9" w:rsidRPr="00335310" w:rsidRDefault="003A5D9A" w:rsidP="00EE2475">
        <w:pPr>
          <w:pStyle w:val="BDONormal"/>
          <w:spacing w:after="200"/>
          <w:rPr>
            <w:color w:val="786860"/>
            <w:sz w:val="16"/>
            <w:szCs w:val="16"/>
          </w:rPr>
        </w:pPr>
        <w:r w:rsidRPr="00335310">
          <w:rPr>
            <w:color w:val="786860"/>
            <w:sz w:val="16"/>
            <w:szCs w:val="16"/>
          </w:rPr>
          <w:fldChar w:fldCharType="begin"/>
        </w:r>
        <w:r w:rsidR="009032A9" w:rsidRPr="00335310">
          <w:rPr>
            <w:color w:val="786860"/>
            <w:sz w:val="16"/>
            <w:szCs w:val="16"/>
          </w:rPr>
          <w:instrText xml:space="preserve"> DOCPROPERTY  xDelivery  \* MERGEFORMAT </w:instrText>
        </w:r>
        <w:r w:rsidRPr="00335310">
          <w:rPr>
            <w:color w:val="786860"/>
            <w:sz w:val="16"/>
            <w:szCs w:val="16"/>
          </w:rPr>
          <w:fldChar w:fldCharType="end"/>
        </w:r>
        <w:r w:rsidRPr="00335310">
          <w:rPr>
            <w:color w:val="786860"/>
            <w:sz w:val="16"/>
            <w:szCs w:val="16"/>
          </w:rPr>
          <w:fldChar w:fldCharType="begin"/>
        </w:r>
        <w:r w:rsidR="009032A9" w:rsidRPr="00335310">
          <w:rPr>
            <w:color w:val="786860"/>
            <w:sz w:val="16"/>
            <w:szCs w:val="16"/>
          </w:rPr>
          <w:instrText xml:space="preserve"> DOCPROPERTY  xDelivery2  \* MERGEFORMAT </w:instrText>
        </w:r>
        <w:r w:rsidRPr="00335310">
          <w:rPr>
            <w:color w:val="786860"/>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05EB"/>
    <w:multiLevelType w:val="multilevel"/>
    <w:tmpl w:val="21982AEC"/>
    <w:name w:val="BDOAlphaNumeric2"/>
    <w:lvl w:ilvl="0">
      <w:start w:val="1"/>
      <w:numFmt w:val="decimal"/>
      <w:pStyle w:val="BDOAlphaNumericList"/>
      <w:lvlText w:val="%1."/>
      <w:lvlJc w:val="left"/>
      <w:pPr>
        <w:ind w:left="397" w:hanging="397"/>
      </w:pPr>
      <w:rPr>
        <w:rFonts w:ascii="Trebuchet MS" w:hAnsi="Trebuchet MS" w:hint="default"/>
        <w:b w:val="0"/>
        <w:i w:val="0"/>
        <w:color w:val="000000"/>
        <w:sz w:val="20"/>
      </w:rPr>
    </w:lvl>
    <w:lvl w:ilvl="1">
      <w:start w:val="1"/>
      <w:numFmt w:val="lowerLetter"/>
      <w:lvlText w:val="%2."/>
      <w:lvlJc w:val="left"/>
      <w:pPr>
        <w:tabs>
          <w:tab w:val="num" w:pos="397"/>
        </w:tabs>
        <w:ind w:left="794" w:hanging="397"/>
      </w:pPr>
      <w:rPr>
        <w:rFonts w:ascii="Trebuchet MS" w:hAnsi="Trebuchet MS" w:hint="default"/>
        <w:b w:val="0"/>
        <w:i w:val="0"/>
        <w:color w:val="000000"/>
        <w:sz w:val="20"/>
      </w:rPr>
    </w:lvl>
    <w:lvl w:ilvl="2">
      <w:start w:val="1"/>
      <w:numFmt w:val="lowerRoman"/>
      <w:lvlText w:val="%3."/>
      <w:lvlJc w:val="left"/>
      <w:pPr>
        <w:ind w:left="1191" w:hanging="397"/>
      </w:pPr>
      <w:rPr>
        <w:rFonts w:ascii="Trebuchet MS" w:hAnsi="Trebuchet MS" w:hint="default"/>
        <w:b w:val="0"/>
        <w:i w:val="0"/>
        <w:color w:val="00000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02F42D9"/>
    <w:multiLevelType w:val="multilevel"/>
    <w:tmpl w:val="910C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07DD1"/>
    <w:multiLevelType w:val="hybridMultilevel"/>
    <w:tmpl w:val="095418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13C0C52"/>
    <w:multiLevelType w:val="multilevel"/>
    <w:tmpl w:val="8D7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01645"/>
    <w:multiLevelType w:val="hybridMultilevel"/>
    <w:tmpl w:val="14BCF03A"/>
    <w:lvl w:ilvl="0" w:tplc="0C090005">
      <w:start w:val="1"/>
      <w:numFmt w:val="bullet"/>
      <w:lvlText w:val=""/>
      <w:lvlJc w:val="left"/>
      <w:pPr>
        <w:ind w:left="360" w:hanging="360"/>
      </w:pPr>
      <w:rPr>
        <w:rFonts w:ascii="Wingdings" w:hAnsi="Wingdings" w:hint="default"/>
      </w:rPr>
    </w:lvl>
    <w:lvl w:ilvl="1" w:tplc="A9E8D4E6">
      <w:numFmt w:val="bullet"/>
      <w:lvlText w:val="•"/>
      <w:lvlJc w:val="left"/>
      <w:pPr>
        <w:ind w:left="1080" w:hanging="360"/>
      </w:pPr>
      <w:rPr>
        <w:rFonts w:ascii="Trebuchet MS" w:eastAsia="Times New Roman" w:hAnsi="Trebuchet MS"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9953DB6"/>
    <w:multiLevelType w:val="multilevel"/>
    <w:tmpl w:val="6E88FB2C"/>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542B5E"/>
    <w:multiLevelType w:val="multilevel"/>
    <w:tmpl w:val="5574C796"/>
    <w:lvl w:ilvl="0">
      <w:start w:val="1"/>
      <w:numFmt w:val="bullet"/>
      <w:pStyle w:val="BDOBulletOne"/>
      <w:lvlText w:val="•"/>
      <w:lvlJc w:val="left"/>
      <w:pPr>
        <w:ind w:left="965" w:hanging="397"/>
      </w:pPr>
      <w:rPr>
        <w:rFonts w:ascii="Trebuchet MS" w:hAnsi="Trebuchet MS" w:hint="default"/>
        <w:sz w:val="20"/>
        <w:szCs w:val="20"/>
      </w:rPr>
    </w:lvl>
    <w:lvl w:ilvl="1">
      <w:start w:val="1"/>
      <w:numFmt w:val="bullet"/>
      <w:lvlText w:val="-"/>
      <w:lvlJc w:val="left"/>
      <w:pPr>
        <w:tabs>
          <w:tab w:val="num" w:pos="2405"/>
        </w:tabs>
        <w:ind w:left="1362" w:hanging="397"/>
      </w:pPr>
      <w:rPr>
        <w:rFonts w:ascii="Courier New" w:hAnsi="Courier New" w:hint="default"/>
      </w:rPr>
    </w:lvl>
    <w:lvl w:ilvl="2">
      <w:start w:val="1"/>
      <w:numFmt w:val="bullet"/>
      <w:lvlText w:val="•"/>
      <w:lvlJc w:val="left"/>
      <w:pPr>
        <w:tabs>
          <w:tab w:val="num" w:pos="3125"/>
        </w:tabs>
        <w:ind w:left="1759" w:hanging="397"/>
      </w:pPr>
      <w:rPr>
        <w:rFonts w:ascii="Trebuchet MS" w:hAnsi="Trebuchet MS" w:hint="default"/>
      </w:rPr>
    </w:lvl>
    <w:lvl w:ilvl="3">
      <w:start w:val="1"/>
      <w:numFmt w:val="bullet"/>
      <w:lvlText w:val=""/>
      <w:lvlJc w:val="left"/>
      <w:pPr>
        <w:tabs>
          <w:tab w:val="num" w:pos="3845"/>
        </w:tabs>
        <w:ind w:left="3845" w:hanging="360"/>
      </w:pPr>
      <w:rPr>
        <w:rFonts w:ascii="Symbol" w:hAnsi="Symbol" w:hint="default"/>
      </w:rPr>
    </w:lvl>
    <w:lvl w:ilvl="4">
      <w:start w:val="1"/>
      <w:numFmt w:val="bullet"/>
      <w:lvlText w:val="o"/>
      <w:lvlJc w:val="left"/>
      <w:pPr>
        <w:tabs>
          <w:tab w:val="num" w:pos="4565"/>
        </w:tabs>
        <w:ind w:left="4565" w:hanging="360"/>
      </w:pPr>
      <w:rPr>
        <w:rFonts w:ascii="Courier New" w:hAnsi="Courier New" w:cs="Courier New" w:hint="default"/>
      </w:rPr>
    </w:lvl>
    <w:lvl w:ilvl="5">
      <w:start w:val="1"/>
      <w:numFmt w:val="bullet"/>
      <w:lvlText w:val=""/>
      <w:lvlJc w:val="left"/>
      <w:pPr>
        <w:tabs>
          <w:tab w:val="num" w:pos="5285"/>
        </w:tabs>
        <w:ind w:left="5285" w:hanging="360"/>
      </w:pPr>
      <w:rPr>
        <w:rFonts w:ascii="Wingdings" w:hAnsi="Wingdings" w:hint="default"/>
      </w:rPr>
    </w:lvl>
    <w:lvl w:ilvl="6">
      <w:start w:val="1"/>
      <w:numFmt w:val="bullet"/>
      <w:lvlText w:val=""/>
      <w:lvlJc w:val="left"/>
      <w:pPr>
        <w:tabs>
          <w:tab w:val="num" w:pos="6005"/>
        </w:tabs>
        <w:ind w:left="6005" w:hanging="360"/>
      </w:pPr>
      <w:rPr>
        <w:rFonts w:ascii="Symbol" w:hAnsi="Symbol" w:hint="default"/>
      </w:rPr>
    </w:lvl>
    <w:lvl w:ilvl="7">
      <w:start w:val="1"/>
      <w:numFmt w:val="bullet"/>
      <w:lvlText w:val="o"/>
      <w:lvlJc w:val="left"/>
      <w:pPr>
        <w:tabs>
          <w:tab w:val="num" w:pos="6725"/>
        </w:tabs>
        <w:ind w:left="6725" w:hanging="360"/>
      </w:pPr>
      <w:rPr>
        <w:rFonts w:ascii="Courier New" w:hAnsi="Courier New" w:cs="Courier New" w:hint="default"/>
      </w:rPr>
    </w:lvl>
    <w:lvl w:ilvl="8">
      <w:start w:val="1"/>
      <w:numFmt w:val="bullet"/>
      <w:lvlText w:val=""/>
      <w:lvlJc w:val="left"/>
      <w:pPr>
        <w:tabs>
          <w:tab w:val="num" w:pos="7445"/>
        </w:tabs>
        <w:ind w:left="7445" w:hanging="360"/>
      </w:pPr>
      <w:rPr>
        <w:rFonts w:ascii="Wingdings" w:hAnsi="Wingdings" w:hint="default"/>
      </w:rPr>
    </w:lvl>
  </w:abstractNum>
  <w:abstractNum w:abstractNumId="7">
    <w:nsid w:val="438052FC"/>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51C54875"/>
    <w:multiLevelType w:val="multilevel"/>
    <w:tmpl w:val="E7787826"/>
    <w:name w:val="BDOAlphaList"/>
    <w:lvl w:ilvl="0">
      <w:start w:val="1"/>
      <w:numFmt w:val="upperLetter"/>
      <w:pStyle w:val="BDOAlphaLis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B354AF5"/>
    <w:multiLevelType w:val="hybridMultilevel"/>
    <w:tmpl w:val="107476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B9C4B08"/>
    <w:multiLevelType w:val="hybridMultilevel"/>
    <w:tmpl w:val="337A2482"/>
    <w:lvl w:ilvl="0" w:tplc="F62A4CF8">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1">
    <w:nsid w:val="6BAD15C1"/>
    <w:multiLevelType w:val="multilevel"/>
    <w:tmpl w:val="EA123406"/>
    <w:lvl w:ilvl="0">
      <w:start w:val="1"/>
      <w:numFmt w:val="decimal"/>
      <w:pStyle w:val="BDONumericList"/>
      <w:lvlText w:val="%1."/>
      <w:lvlJc w:val="left"/>
      <w:pPr>
        <w:ind w:left="454" w:hanging="454"/>
      </w:pPr>
      <w:rPr>
        <w:rFonts w:ascii="Trebuchet MS" w:hAnsi="Trebuchet MS" w:hint="default"/>
        <w:b w:val="0"/>
        <w:i w:val="0"/>
        <w:color w:val="000000"/>
        <w:sz w:val="20"/>
      </w:rPr>
    </w:lvl>
    <w:lvl w:ilvl="1">
      <w:start w:val="1"/>
      <w:numFmt w:val="decimal"/>
      <w:lvlText w:val="%1.%2."/>
      <w:lvlJc w:val="left"/>
      <w:pPr>
        <w:ind w:left="652" w:hanging="652"/>
      </w:pPr>
      <w:rPr>
        <w:rFonts w:ascii="Trebuchet MS" w:hAnsi="Trebuchet MS" w:hint="default"/>
        <w:b w:val="0"/>
        <w:i w:val="0"/>
        <w:color w:val="000000"/>
        <w:sz w:val="20"/>
      </w:rPr>
    </w:lvl>
    <w:lvl w:ilvl="2">
      <w:start w:val="1"/>
      <w:numFmt w:val="decimal"/>
      <w:lvlText w:val="%1.%2.%3."/>
      <w:lvlJc w:val="left"/>
      <w:pPr>
        <w:ind w:left="1418" w:hanging="850"/>
      </w:pPr>
      <w:rPr>
        <w:rFonts w:ascii="Trebuchet MS" w:hAnsi="Trebuchet MS" w:hint="default"/>
        <w:b w:val="0"/>
        <w:i w:val="0"/>
        <w:color w:val="000000"/>
        <w:sz w:val="20"/>
      </w:rPr>
    </w:lvl>
    <w:lvl w:ilvl="3">
      <w:start w:val="1"/>
      <w:numFmt w:val="decimal"/>
      <w:lvlText w:val="%1.%2.%3.%4."/>
      <w:lvlJc w:val="left"/>
      <w:pPr>
        <w:ind w:left="1899" w:hanging="1047"/>
      </w:pPr>
      <w:rPr>
        <w:rFonts w:ascii="Trebuchet MS" w:hAnsi="Trebuchet MS" w:hint="default"/>
        <w:b w:val="0"/>
        <w:i w:val="0"/>
        <w:sz w:val="20"/>
      </w:rPr>
    </w:lvl>
    <w:lvl w:ilvl="4">
      <w:start w:val="1"/>
      <w:numFmt w:val="decimal"/>
      <w:lvlText w:val="%1.%2.%3.%4.%5."/>
      <w:lvlJc w:val="left"/>
      <w:pPr>
        <w:ind w:left="2381" w:hanging="1245"/>
      </w:pPr>
      <w:rPr>
        <w:rFonts w:ascii="Trebuchet MS" w:hAnsi="Trebuchet MS" w:hint="default"/>
        <w:b w:val="0"/>
        <w:i w:val="0"/>
        <w:sz w:val="20"/>
      </w:rPr>
    </w:lvl>
    <w:lvl w:ilvl="5">
      <w:start w:val="1"/>
      <w:numFmt w:val="decimal"/>
      <w:lvlText w:val="%1.%2.%3.%4.%5.%6."/>
      <w:lvlJc w:val="left"/>
      <w:pPr>
        <w:ind w:left="2863" w:hanging="1443"/>
      </w:pPr>
      <w:rPr>
        <w:rFonts w:ascii="Trebuchet MS" w:hAnsi="Trebuchet MS" w:hint="default"/>
        <w:b w:val="0"/>
        <w:i w:val="0"/>
        <w:sz w:val="20"/>
      </w:rPr>
    </w:lvl>
    <w:lvl w:ilvl="6">
      <w:start w:val="1"/>
      <w:numFmt w:val="decimal"/>
      <w:lvlText w:val="%1.%2.%3.%4.%5.%6.%7."/>
      <w:lvlJc w:val="left"/>
      <w:pPr>
        <w:ind w:left="3345" w:hanging="1641"/>
      </w:pPr>
      <w:rPr>
        <w:rFonts w:ascii="Trebuchet MS" w:hAnsi="Trebuchet MS" w:hint="default"/>
        <w:b w:val="0"/>
        <w:i w:val="0"/>
        <w:sz w:val="20"/>
      </w:rPr>
    </w:lvl>
    <w:lvl w:ilvl="7">
      <w:start w:val="1"/>
      <w:numFmt w:val="decimal"/>
      <w:lvlText w:val="%1.%2.%3.%4.%5.%6.%7.%8."/>
      <w:lvlJc w:val="left"/>
      <w:pPr>
        <w:ind w:left="3827" w:hanging="1839"/>
      </w:pPr>
      <w:rPr>
        <w:rFonts w:ascii="Trebuchet MS" w:hAnsi="Trebuchet MS" w:hint="default"/>
        <w:b w:val="0"/>
        <w:i w:val="0"/>
        <w:color w:val="auto"/>
        <w:sz w:val="20"/>
      </w:rPr>
    </w:lvl>
    <w:lvl w:ilvl="8">
      <w:start w:val="1"/>
      <w:numFmt w:val="decimal"/>
      <w:lvlText w:val="%1.%2.%3.%4.%5.%6.%7.%8.%9."/>
      <w:lvlJc w:val="left"/>
      <w:pPr>
        <w:ind w:left="2669" w:hanging="397"/>
      </w:pPr>
      <w:rPr>
        <w:rFonts w:ascii="Trebuchet MS" w:hAnsi="Trebuchet MS" w:hint="default"/>
        <w:b w:val="0"/>
        <w:i w:val="0"/>
        <w:color w:val="auto"/>
        <w:sz w:val="20"/>
      </w:rPr>
    </w:lvl>
  </w:abstractNum>
  <w:abstractNum w:abstractNumId="12">
    <w:nsid w:val="7C214CCD"/>
    <w:multiLevelType w:val="multilevel"/>
    <w:tmpl w:val="2B2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8"/>
  </w:num>
  <w:num w:numId="4">
    <w:abstractNumId w:val="0"/>
  </w:num>
  <w:num w:numId="5">
    <w:abstractNumId w:val="11"/>
  </w:num>
  <w:num w:numId="6">
    <w:abstractNumId w:val="5"/>
  </w:num>
  <w:num w:numId="7">
    <w:abstractNumId w:val="4"/>
  </w:num>
  <w:num w:numId="8">
    <w:abstractNumId w:val="3"/>
  </w:num>
  <w:num w:numId="9">
    <w:abstractNumId w:val="6"/>
  </w:num>
  <w:num w:numId="10">
    <w:abstractNumId w:val="6"/>
  </w:num>
  <w:num w:numId="11">
    <w:abstractNumId w:val="10"/>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12"/>
  </w:num>
  <w:num w:numId="23">
    <w:abstractNumId w:val="1"/>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2"/>
  </w:num>
  <w:num w:numId="3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00"/>
  <w:displayHorizontalDrawingGridEvery w:val="2"/>
  <w:doNotShadeFormData/>
  <w:noPunctuationKerning/>
  <w:characterSpacingControl w:val="doNotCompress"/>
  <w:hdrShapeDefaults>
    <o:shapedefaults v:ext="edit" spidmax="527361" style="mso-position-horizontal-relative:page;mso-position-vertical-relative:page" fill="f" fillcolor="white" stroke="f">
      <v:fill color="white" on="f"/>
      <v:stroke on="f"/>
      <v:textbox inset="0,0,0,0"/>
      <o:colormenu v:ext="edit" fillcolor="none" strokecolor="none [2415]"/>
    </o:shapedefaults>
  </w:hdrShapeDefaults>
  <w:footnotePr>
    <w:footnote w:id="-1"/>
    <w:footnote w:id="0"/>
  </w:footnotePr>
  <w:endnotePr>
    <w:endnote w:id="-1"/>
    <w:endnote w:id="0"/>
  </w:endnotePr>
  <w:compat>
    <w:compatSetting w:name="compatibilityMode" w:uri="http://schemas.microsoft.com/office/word" w:val="12"/>
  </w:compat>
  <w:docVars>
    <w:docVar w:name="ABN1" w:val="77 050 110 275"/>
    <w:docVar w:name="ABN10" w:val="37 009 547 844"/>
    <w:docVar w:name="ABN11" w:val="69 593 209 343"/>
    <w:docVar w:name="ABN12" w:val="37 009 547 844"/>
    <w:docVar w:name="ABN13" w:val="62 805 149 677"/>
    <w:docVar w:name="ABN14" w:val="54 010 185 725"/>
    <w:docVar w:name="ABN15" w:val="33 134 022 870"/>
    <w:docVar w:name="ABN16" w:val="90 134 036 507"/>
    <w:docVar w:name="ABN17" w:val="45 134 242 434"/>
    <w:docVar w:name="ABN18" w:val="70 202 702 402"/>
    <w:docVar w:name="ABN19" w:val="49 133 818 023"/>
    <w:docVar w:name="ABN2" w:val="77 050 110 275"/>
    <w:docVar w:name="ABN20" w:val="85 134 036 490"/>
    <w:docVar w:name="ABN21" w:val="23 010 085 588"/>
    <w:docVar w:name="ABN22" w:val="77 133 657 833"/>
    <w:docVar w:name="ABN23" w:val="28 005 875 258"/>
    <w:docVar w:name="ABN24" w:val="17 114 673 540"/>
    <w:docVar w:name="ABN25" w:val="15 114 673 531"/>
    <w:docVar w:name="ABN26" w:val="94 118 725 554"/>
    <w:docVar w:name="ABN27" w:val="83 130 172 333"/>
    <w:docVar w:name="ABN28" w:val="19 120 264 520"/>
    <w:docVar w:name="ABN29" w:val="127 122 043"/>
    <w:docVar w:name="ABN3" w:val="18 083 045 096"/>
    <w:docVar w:name="ABN30" w:val="24 005 419 572"/>
    <w:docVar w:name="ABN31" w:val="81 131 246 896"/>
    <w:docVar w:name="ABN32" w:val="82 065 203 492"/>
    <w:docVar w:name="ABN33" w:val="83 130 172 333"/>
    <w:docVar w:name="ABN34" w:val="20 005 438 120"/>
    <w:docVar w:name="ABN35" w:val="56 005 812 555"/>
    <w:docVar w:name="ABN36" w:val="28 005 875 258"/>
    <w:docVar w:name="ABN37" w:val="17 114 673 540"/>
    <w:docVar w:name="ABN38" w:val="15 114 673 531"/>
    <w:docVar w:name="ABN39" w:val="20 005 438 120"/>
    <w:docVar w:name="ABN4" w:val="31 164 696 648"/>
    <w:docVar w:name="ABN40" w:val="28 086 351 135"/>
    <w:docVar w:name="ABN41" w:val="82 065 203 492"/>
    <w:docVar w:name="ABN42" w:val="28 005 875 258"/>
    <w:docVar w:name="ABN43" w:val="17 114 673 540"/>
    <w:docVar w:name="ABN44" w:val="28 005 875 258"/>
    <w:docVar w:name="ABN45" w:val="85 484 958 978"/>
    <w:docVar w:name="ABN46" w:val="98 944 751 649"/>
    <w:docVar w:name="ABN47" w:val="39 635 367 807"/>
    <w:docVar w:name="ABN48" w:val="25 124 031 036"/>
    <w:docVar w:name="ABN49" w:val="16 124 162 296"/>
    <w:docVar w:name="ABN5" w:val="37 008 146 021"/>
    <w:docVar w:name="ABN50" w:val="27 124 031 045"/>
    <w:docVar w:name="ABN51" w:val="31 124 158 756"/>
    <w:docVar w:name="ABN52" w:val="33 124 158 765"/>
    <w:docVar w:name="ABN53" w:val="79 112 284 787"/>
    <w:docVar w:name="ABN6" w:val="68 506 530 045"/>
    <w:docVar w:name="ABN7" w:val="37 008 146 021"/>
    <w:docVar w:name="ABN8" w:val="37 008 146 021"/>
    <w:docVar w:name="ABN9" w:val="008 181 379"/>
    <w:docVar w:name="dgnword-docGUID" w:val="{181CA665-99B0-4105-BFF8-126D403F4109}"/>
    <w:docVar w:name="dgnword-eventsink" w:val="149009088"/>
    <w:docVar w:name="Entity1" w:val="Australia Ltd"/>
    <w:docVar w:name="Entity10" w:val="(TAS) Pty Ltd"/>
    <w:docVar w:name="Entity11" w:val="Audit (TAS)"/>
    <w:docVar w:name="Entity12" w:val="(TAS) Pty Ltd"/>
    <w:docVar w:name="Entity13" w:val="Private Wealth Advisers Pty Ltd"/>
    <w:docVar w:name="Entity14" w:val="Corporate Finance (QLD) Ltd"/>
    <w:docVar w:name="Entity15" w:val="Audit (QLD) Pty Ltd"/>
    <w:docVar w:name="Entity16" w:val="Business Recovery &amp; Insolvency (QLD) Pty Ltd"/>
    <w:docVar w:name="Entity17" w:val="(QLD) Pty Ltd"/>
    <w:docVar w:name="Entity18" w:val="(QLD)"/>
    <w:docVar w:name="Entity19" w:val="Forensic Services (QLD) Pty Ltd"/>
    <w:docVar w:name="Entity2" w:val="Australia Ltd"/>
    <w:docVar w:name="Entity20" w:val="Administration (QLD) Pty Ltd"/>
    <w:docVar w:name="Entity21" w:val="Services (QLD) Pty Ltd"/>
    <w:docVar w:name="Entity22" w:val="Group Holdings (QLD) Pty Ltd"/>
    <w:docVar w:name="Entity23" w:val="(NSW-VIC) Pty Ltd"/>
    <w:docVar w:name="Entity24" w:val="Audit (NSW-VIC) Pty Ltd"/>
    <w:docVar w:name="Entity25" w:val="Business Recovery &amp; Insolvency (NSW-VIC) Pty Ltd"/>
    <w:docVar w:name="Entity26" w:val="Tax Lawyers Pty Ltd"/>
    <w:docVar w:name="Entity27" w:val="Corporate Finance (NSW-VIC) Pty Ltd"/>
    <w:docVar w:name="Entity28" w:val="BRI (VIC) Superannuation Appointments Pty Ltd"/>
    <w:docVar w:name="Entity29" w:val="Group Pty Ltd"/>
    <w:docVar w:name="Entity3" w:val="Financial Planning (NTH QLD) Pty Ltd"/>
    <w:docVar w:name="Entity30" w:val="Wealth Management (VIC) Pty Ltd"/>
    <w:docVar w:name="Entity31" w:val="Private Wealth Pty Ltd"/>
    <w:docVar w:name="Entity32" w:val="Securities (NSW-VIC) Pty Ltd"/>
    <w:docVar w:name="Entity33" w:val="Corporate Finance (NSW-VIC) Pty Ltd"/>
    <w:docVar w:name="Entity34" w:val="Payroll (NSW-VIC) Pty Ltd"/>
    <w:docVar w:name="Entity35" w:val="Administration (NSW-VIC) Pty Ltd"/>
    <w:docVar w:name="Entity36" w:val="(NSW-VIC) Pty Ltd"/>
    <w:docVar w:name="Entity37" w:val="Audit (NSW-VIC) Pty Ltd"/>
    <w:docVar w:name="Entity38" w:val="Business Recovery &amp; Insolvency (NSW-VIC) Pty Ltd"/>
    <w:docVar w:name="Entity39" w:val="Payroll (NSW-VIC) Pty Ltd"/>
    <w:docVar w:name="Entity4" w:val="(NTH QLD)"/>
    <w:docVar w:name="Entity40" w:val="Wealth Management (NSW) Pty Ltd"/>
    <w:docVar w:name="Entity41" w:val="Securities (NSW-VIC) Pty Ltd"/>
    <w:docVar w:name="Entity42" w:val="(NSW-VIC) Pty Ltd"/>
    <w:docVar w:name="Entity43" w:val="Audit (NSW-VIC) Pty Ltd"/>
    <w:docVar w:name="Entity44" w:val="(NSW-VIC) Pty Ltd"/>
    <w:docVar w:name="Entity45" w:val="(NT)"/>
    <w:docVar w:name="Entity46" w:val="Audit (NT)"/>
    <w:docVar w:name="Entity47" w:val="(WA) Directors' &amp; Employees' Trust"/>
    <w:docVar w:name="Entity48" w:val="Tax (WA) Pty Ltd"/>
    <w:docVar w:name="Entity49" w:val="Business Recovery &amp; Insolvency (WA) Pty Ltd"/>
    <w:docVar w:name="Entity5" w:val="(SA) Pty Ltd"/>
    <w:docVar w:name="Entity50" w:val="Corporate Finance (WA) Pty Ltd"/>
    <w:docVar w:name="Entity51" w:val="Corporate Tax (WA) Pty Ltd"/>
    <w:docVar w:name="Entity52" w:val="IT Solutions (WA) Pty Ltd"/>
    <w:docVar w:name="Entity53" w:val="Audit (WA) Pty Ltd"/>
    <w:docVar w:name="Entity6" w:val="(SA)"/>
    <w:docVar w:name="Entity7" w:val="(SA) Pty Ltd"/>
    <w:docVar w:name="Entity8" w:val="(SA) Pty Ltd"/>
    <w:docVar w:name="Entity9" w:val="Corporate Finance (SA) Pty Ltd"/>
    <w:docVar w:name="Fax1" w:val="61 7 3221 9227"/>
    <w:docVar w:name="Fax10" w:val="61 3 6234 2392"/>
    <w:docVar w:name="Fax11" w:val="61 3 6234 2392"/>
    <w:docVar w:name="Fax12" w:val="61 3 6234 2392"/>
    <w:docVar w:name="Fax13" w:val="61 7 3221 2773"/>
    <w:docVar w:name="Fax14" w:val="61 7 3221 9227"/>
    <w:docVar w:name="Fax15" w:val="61 7 3221 9227"/>
    <w:docVar w:name="Fax16" w:val="61 7 3221 9227"/>
    <w:docVar w:name="Fax17" w:val="61 7 3221 9227"/>
    <w:docVar w:name="Fax18" w:val="61 7 3221 9227"/>
    <w:docVar w:name="Fax19" w:val="61 7 3221 9227"/>
    <w:docVar w:name="Fax2" w:val="61 2 9286 5599"/>
    <w:docVar w:name="Fax20" w:val="61 7 3221 9227"/>
    <w:docVar w:name="Fax21" w:val="61 7 3221 9227"/>
    <w:docVar w:name="Fax22" w:val="61 7 3221 9227"/>
    <w:docVar w:name="Fax23" w:val="61 3 8320 2200"/>
    <w:docVar w:name="Fax24" w:val="61 3 8320 2200"/>
    <w:docVar w:name="Fax25" w:val="61 3 8320 2200"/>
    <w:docVar w:name="Fax26" w:val="61 3 8320 2200"/>
    <w:docVar w:name="Fax27" w:val="61 3 8320 2200"/>
    <w:docVar w:name="Fax28" w:val="61 3 8320 2200"/>
    <w:docVar w:name="Fax29" w:val="61 3 8320 2200"/>
    <w:docVar w:name="Fax3" w:val="61 7 4051 3484"/>
    <w:docVar w:name="Fax30" w:val="61 3 8320 4600"/>
    <w:docVar w:name="Fax31" w:val="61 3 8320 2200"/>
    <w:docVar w:name="Fax32" w:val="61 3 8320 2200"/>
    <w:docVar w:name="Fax33" w:val="61 2 9286 5599"/>
    <w:docVar w:name="Fax34" w:val="61 3 8320 2200"/>
    <w:docVar w:name="Fax35" w:val="61 3 8320 2200"/>
    <w:docVar w:name="Fax36" w:val="61 2 9286 5599"/>
    <w:docVar w:name="Fax37" w:val="61 2 9286 5599"/>
    <w:docVar w:name="Fax38" w:val="61 2 9286 5599"/>
    <w:docVar w:name="Fax39" w:val="61 2 9286 5599"/>
    <w:docVar w:name="Fax4" w:val="61 7 4051 3484"/>
    <w:docVar w:name="Fax40" w:val="61 2 9286 5599"/>
    <w:docVar w:name="Fax41" w:val="61 2 9286 5599"/>
    <w:docVar w:name="Fax42" w:val="61 2 4323 1027"/>
    <w:docVar w:name="Fax43" w:val="61 2 4323 1027"/>
    <w:docVar w:name="Fax44" w:val="61 2 9526 2193"/>
    <w:docVar w:name="Fax45" w:val="61 8 8981 7493"/>
    <w:docVar w:name="Fax46" w:val="61 8 8981 7493"/>
    <w:docVar w:name="Fax47" w:val="61 8 6382 4601"/>
    <w:docVar w:name="Fax48" w:val="61 8 6382 4601"/>
    <w:docVar w:name="Fax49" w:val="61 8 6382 4601"/>
    <w:docVar w:name="Fax5" w:val="61 8 8232 0902"/>
    <w:docVar w:name="Fax50" w:val="61 8 6382 4601"/>
    <w:docVar w:name="Fax51" w:val="61 8 6382 4601"/>
    <w:docVar w:name="Fax52" w:val="61 8 6382 4601"/>
    <w:docVar w:name="Fax53" w:val="61 8 6382 4601"/>
    <w:docVar w:name="Fax6" w:val="61 8 8232 0902"/>
    <w:docVar w:name="Fax7" w:val="61 8 8323 8794"/>
    <w:docVar w:name="Fax8" w:val="61 8 8523 4155"/>
    <w:docVar w:name="Fax9" w:val="61 8 8232 0902"/>
    <w:docVar w:name="LegalText1" w:val="BDO Australia Ltd ABN 77 050 110 275, an Australian company limited by guarantee, is a member of BDO International Ltd, a UK company limited by guarantee, and forms part of the international BDO network of independent member firms. Liability limited by a scheme approved under Professional Standards Legislation (other than for the acts or omissions of financial services licensees) in each State or Territory other than Tasmania. "/>
    <w:docVar w:name="LegalText10" w:val="BDO (TAS) Pty Ltd ABN 37 009 547 844 is a member of a national association of independent entities which are all members of BDO Australia Ltd ABN 77 050 110 275, an Australian company limited by guarantee. BDO (TAS)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1" w:val="BDO Audit (TAS) ABN 69 593 209 343 is a member of a national association of independent entities which are all members of BDO Australia Ltd ABN 77 050 110 275, an Australian company limited by guarantee. BDO Audit (TAS)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2" w:val="A Corporate Authorised Representative of Wealthsure Pty Ltd ABN 93 097 405 108  Australian Financial Services Licensee, Licence Number 238030 Suite 1, 34 Hasler Rd, Osbourne Park WA 6017 Phone 61 8 9446 7496 BDO is the brand name for the BDO International network and for each of the BDO Member Firms. BDO in Australia is a national association of separate entities."/>
    <w:docVar w:name="LegalText13" w:val="BDO Private Wealth Advisers Pty Ltd ABN 62 805 149 677 AFS Licence No. 238280 is a member of a national association of independent entities which are all members of BDO Australia Ltd ABN 77 050 110 275, an Australian company limited by guarantee. BDO Private Wealth Advisers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4" w:val="BDO Corporate Finance (QLD) Ltd ABN 54 010 185 725 AFS Licence No. 245513 is a member of a national association of independent entities which are all members of BDO Australia Ltd ABN 77 050 110 275, an Australian company limited by guarantee. BDO Corporate Finance (QLD)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5" w:val="BDO Audit (QLD) Pty Ltd ABN 33 134 022 870 is a member of a national association of independent entities which are all members of BDO Australia Ltd ABN 77 050 110 275, an Australian company limited by guarantee. BDO Audit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6" w:val="BDO Business Recovery &amp; Insolvency (QLD) Pty Ltd ABN 90 134 036 507 is a member of a national association of independent entities which are all members of BDO Australia Ltd ABN 77 050 110 275, an Australian company limited by guarantee. BDO (xxx)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7" w:val="BDO (QLD) Pty Ltd ABN 45 134 242 434 is a member of a national association of independent entities which are all members of BDO Australia Ltd ABN 77 050 110 275, an Australian company limited by guarantee. BDO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8" w:val="BDO (QLD) ABN 70 202 702 402 is a member of a national association of independent entities which are all members of BDO Australia Ltd ABN 77 050 110 275, an Australian company limited by guarantee. BDO (QL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9" w:val="BDO Forensic Services (QLD) Pty Ltd ABN 49 133 818 023 is a member of a national association of independent entities which are all members of BDO Australia Ltd ABN 77 050 110 275, an Australian company limited by guarantee. BDO Forensic Services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 w:val="BDO Australia Ltd ABN 77 050 110 275, an Australian company limited by guarantee, is a member of BDO International Ltd, a UK company limited by guarantee, and forms part of the international BDO network of independent member firms. Liability limited by a scheme approved under Professional Standards Legislation (other than for the acts or omissions of financial services licensees) in each State or Territory other than Tasmania. "/>
    <w:docVar w:name="LegalText20" w:val="BDO Administration (QLD) Pty Ltd ABN 85 134 036 490 is a member of a national association of independent entities which are all members of BDO Australia Ltd ABN 77 050 110 275, an Australian company limited by guarantee. BDO Administration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1" w:val="BDO Services (QLD) Pty Ltd ABN 23 010 085 588 is a member of a national association of independent entities which are all members of BDO Australia Ltd ABN 77 050 110 275, an Australian company limited by guarantee. BDO Services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2" w:val="BDO Group Holdings (QLD) Pty Ltd ABN 77 133 657 833 is a member of a national association of independent entities which are all members of BDO Australia Ltd ABN 77 050 110 275, an Australian company limited by guarantee. BDO Group Holdings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3" w:val="BDO (NSW-VIC) Pty Ltd ABN 28 005 875 258 is a member of a national association of independent entities which are all members of BDO Australia Ltd ABN 77 050 110 275, an Australian company limited by guarantee. BDO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4" w:val="BDO Audit (NSW-VIC) Pty Ltd ABN 17 114 673 540 is a member of a national association of independent entities which are all members of BDO Australia Ltd ABN 77 050 110 275, an Australian company limited by guarantee. BDO Audit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5" w:val="BDO Business Recovery &amp; Insolvency (NSW-VIC) Pty Ltd ABN 15 114 673 531 is a member of a national association of independent entities which are all members of BDO Australia Ltd ABN 77 050 110 275, an Australian company limited by guarantee. BDO (xxx)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6" w:val="BDO Tax Lawyers Pty Ltd ABN 94 118 725 554 is a member of a national association of independent entities which are all members of BDO Australia Ltd ABN 77 050 110 275, an Australian company limited by guarantee. BDO Tax Lawyers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7" w:val="BDO Corporate Finance (NSW-VIC) Pty Ltd ABN 83 130 172 333 is a member of a national association of independent entities which are all members of BDO Australia Ltd ABN 77 050 110 275, an Australian company limited by guarantee. BDO Corporate Finance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8" w:val="BDO BRI (VIC) Superannuation Appointments Pty Ltd ABN 19 120 264 520 is a member of a national association of independent entities which are all members of BDO Australia Ltd ABN 77 050 110 275, an Australian company limited by guarantee. BDO BRI (VIC) Superannuation Appointments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9" w:val="BDO Group Pty Ltd ABN 127 122 043 is a member of a national association of independent entities which are all members of BDO Australia Ltd ABN 77 050 110 275, an Australian company limited by guarantee. BDO Group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 w:val="BDO Financial Planning (NTH QLD) Pty Ltd ABN 18 083 045 096 AFS Licence No. 297 239 is a member of a national association of independent entities which are all members of BDO Australia Ltd ABN 77 050 110 275, an Australian company limited by guarantee. Financial Planning (NTH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0" w:val="BDO Wealth Management (VIC) Pty Ltd ABN 24 005 419 572 AFS Licence No. 237260 is a member of a national association of independent entities which are all members of BDO Australia Ltd ABN 77 050 110 275, an Australian company limited by guarantee. BDO Wealth Management (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1" w:val="BDO Private Wealth Pty Ltd ABN 81 131 246 896 AFS Licence No. 327330 is a member of a national association of independent entities which are all members of BDO Australia Ltd ABN 77 050 110 275, an Australian company limited by guarantee. BDO Private Wealth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2" w:val="BDO Securities (NSW-VIC) Pty Ltd ABN 82 065 203 492 AFS Licence No. 222438 is a member of a national association of independent entities which are all members of BDO Australia Ltd ABN 77 050 110 275, an Australian company limited by guarantee. BDO Securities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3" w:val="BDO Corporate Finance (NSW-VIC) Pty Ltd ABN 83 130 172 333 is a member of a national association of independent entities which are all members of BDO Australia Ltd ABN 77 050 110 275, an Australian company limited by guarantee. BDO Corporate Finance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4" w:val="BDO Payroll (NSW-VIC) Pty Ltd ABN 20 005 438 120 is a member of a national association of independent entities which are all members of BDO Australia Ltd ABN 77 050 110 275, an Australian company limited by guarantee. BDO Payroll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5" w:val="BDO Administration (NSW-VIC) Pty Ltd ABN 56 005 812 555 is a member of a national association of independent entities which are all members of BDO Australia Ltd ABN 77 050 110 275, an Australian company limited by guarantee. BDO Administration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6" w:val="BDO (NSW-VIC) Pty Ltd ABN 28 005 875 258 is a member of a national association of independent entities which are all members of BDO Australia Ltd ABN 77 050 110 275, an Australian company limited by guarantee. BDO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7" w:val="BDO Audit (NSW-VIC) Pty Ltd ABN 17 114 673 540 is a member of a national association of independent entities which are all members of BDO Australia Ltd ABN 77 050 110 275, an Australian company limited by guarantee. BDO Audit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8" w:val="BDO Business Recovery &amp; Insolvency (NSW-VIC) Pty Ltd ABN 15 114 673 531 is a member of a national association of independent entities which are all members of BDO Australia Ltd ABN 77 050 110 275, an Australian company limited by guarantee. BDO Business Recovery &amp; Insolvency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9" w:val="BDO Payroll (NSW-VIC) Pty Ltd ABN 20 005 438 120 is a member of a national association of independent entities which are all members of BDO Australia Ltd ABN 77 050 110 275, an Australian company limited by guarantee. BDO Payroll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 w:val="BDO (NTH QLD) ABN 31 164 696 648 is a member of a national association of independent entities which are all members of BDO Australia Ltd ABN 77 050 110 275, an Australian company limited by guarantee. BDO (NTH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0" w:val="BDO Wealth Management (NSW) Pty Ltd ABN 28 086 351 135 AFS Licence No. 227712 is a member of a national association of independent entities which are all members of BDO Australia Ltd ABN 77 050 110 275, an Australian company limited by guarantee. BDO Wealth Management (NSW)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1" w:val="BDO Securities (NSW-VIC) Pty Ltd ABN 82 065 203 492 AFS Licence No. 222438 is a member of a national association of independent entities which are all members of BDO Australia Ltd ABN 77 050 110 275, an Australian company limited by guarantee. BDO Securities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2" w:val="BDO (NSW-VIC) Pty Ltd ABN 28 005 875 258 is a member of a national association of independent entities which are all members of BDO Australia Ltd ABN 77 050 110 275, an Australian company limited by guarantee. BDO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3" w:val="BDO Audit (NSW-VIC) Pty Ltd ABN 17 114 673 540 is a member of a national association of independent entities which are all members of BDO Australia Ltd ABN 77 050 110 275, an Australian company limited by guarantee. BDO Audit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4" w:val="BDO (NSW-VIC) Pty Ltd ABN 28 005 875 258 is a member of a national association of independent entities which are all members of BDO Australia Ltd ABN 77 050 110 275, an Australian company limited by guarantee. BDO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5" w:val="BDO (NT) ABN 85 484 958 978 is a member of a national association of independent entities which are all members of BDO Australia Ltd ABN 77 050 110 275, an Australian company limited by guarantee. BDO (N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6" w:val="BDO Audit (NT) ABN 98 944 751 649 is a member of a national association of independent entities which are all members of BDO Australia Ltd ABN 77 050 110 275, an Australian company limited by guarantee. BDO Audit (N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7" w:val="BDO (WA) Directors' &amp; Employees' Trust ABN 39 635 367 807 is a member of a national association of independent entities which are all members of BDO Australia Ltd ABN 77 050 110 275, an Australian company limited by guarantee. BDO (WA) Directors' &amp; Employees' Trus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8" w:val="BDO Tax (WA) Pty Ltd ABN 25 124 031 036 is a member of a national association of independent entities which are all members of BDO Australia Ltd ABN 77 050 110 275, an Australian company limited by guarantee. BDO Tax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9" w:val="BDO Business Recovery &amp; Insolvency (WA) Pty Ltd ABN 16 124 162 296 is a member of a national association of independent entities which are all members of BDO Australia Ltd ABN 77 050 110 275, an Australian company limited by guarantee. BDO Business Recovery &amp; Insolvency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 w:val="BDO (SA) Pty Ltd ABN 37 008 146 021 is a member of a national association of independent entities which are all members of BDO Australia Ltd ABN 77 050 110 275, an Australian company limited by guarantee. BDO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0" w:val="BDO Corporate Finance (WA) Pty Ltd ABN 27 124 031 045 AFS Licence No 316158 is a member of a national association of independent entities which are all members of BDO Australia Ltd ABN 77 050 110 275, an Australian company limited by guarantee. BDO Corporate Finance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1" w:val="BDO Corporate Tax (WA) Pty Ltd ABN 31 124 158 756 is a member of a national association of independent entities which are all members of BDO Australia Ltd ABN 77 050 110 275, an Australian company limited by guarantee. BDO Corporate Tax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2" w:val="BDO IT Solutions (WA) Pty Ltd ABN 33 124 158 765 is a member of a national association of independent entities which are all members of BDO Australia Ltd ABN 77 050 110 275, an Australian company limited by guarantee. BDO IT Solutions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3" w:val="BDO Audit (WA) Pty Ltd ABN 79 112 284 787 is a member of a national association of independent entities which are all members of BDO Australia Ltd ABN 77 050 110 275, an Australian company limited by guarantee. BDO Audit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6" w:val="BDO (SA) ABN 68 506 530 045 is a member of a national association of independent entities which are all members of BDO Australia Ltd ABN 77 050 110 275, an Australian company limited by guarantee. BDO (SA)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7" w:val="BDO (SA) Pty Ltd ABN 37 008 146 021 is a member of a national association of independent entities which are all members of BDO Australia Ltd ABN 77 050 110 275, an Australian company limited by guarantee. BDO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8" w:val="BDO (SA) Pty Ltd ABN 37 008 146 021 is a member of a national association of independent entities which are all members of BDO Australia Ltd ABN 77 050 110 275, an Australian company limited by guarantee. BDO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9" w:val="BDO Corporate Finance (SA) Pty Ltd ACN 008 181 379 AFS Licence No. 259983 is a member of a national association of independent entities which are all members of BDO Australia Ltd ABN 77 050 110 275, an Australian company limited by guarantee. BDO Corporate Finance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icence1" w:val="##NA##"/>
    <w:docVar w:name="Licence10" w:val="##NA##"/>
    <w:docVar w:name="Licence11" w:val="##NA##"/>
    <w:docVar w:name="Licence12" w:val="##NA##"/>
    <w:docVar w:name="Licence13" w:val="AFS Licence No. 238280"/>
    <w:docVar w:name="Licence14" w:val="AFS Licence No. 245513"/>
    <w:docVar w:name="Licence15" w:val="##NA##"/>
    <w:docVar w:name="Licence16" w:val="##NA##"/>
    <w:docVar w:name="Licence17" w:val="##NA##"/>
    <w:docVar w:name="Licence18" w:val="##NA##"/>
    <w:docVar w:name="Licence19" w:val="##NA##"/>
    <w:docVar w:name="Licence2" w:val="##NA##"/>
    <w:docVar w:name="Licence20" w:val="##NA##"/>
    <w:docVar w:name="Licence21" w:val="##NA##"/>
    <w:docVar w:name="Licence22" w:val="##NA##"/>
    <w:docVar w:name="Licence23" w:val="##NA##"/>
    <w:docVar w:name="Licence24" w:val="##NA##"/>
    <w:docVar w:name="Licence25" w:val="##NA##"/>
    <w:docVar w:name="Licence26" w:val="##NA##"/>
    <w:docVar w:name="Licence27" w:val="##NA##"/>
    <w:docVar w:name="Licence28" w:val="##NA##"/>
    <w:docVar w:name="Licence29" w:val="##NA##"/>
    <w:docVar w:name="Licence3" w:val="AFS Licence No. 297 239"/>
    <w:docVar w:name="Licence30" w:val="AFS Licence No. 237260"/>
    <w:docVar w:name="Licence31" w:val="AFS Licence No. 327330"/>
    <w:docVar w:name="Licence32" w:val="AFS Licence No. 222438"/>
    <w:docVar w:name="Licence33" w:val="##NA##"/>
    <w:docVar w:name="Licence34" w:val="##NA##"/>
    <w:docVar w:name="Licence35" w:val="##NA##"/>
    <w:docVar w:name="Licence36" w:val="##NA##"/>
    <w:docVar w:name="Licence37" w:val="##NA##"/>
    <w:docVar w:name="Licence38" w:val="##NA##"/>
    <w:docVar w:name="Licence39" w:val="##NA##"/>
    <w:docVar w:name="Licence4" w:val="##NA##"/>
    <w:docVar w:name="Licence40" w:val="AFS Licence No. 227712"/>
    <w:docVar w:name="Licence41" w:val="AFS Licence No. 222438"/>
    <w:docVar w:name="Licence42" w:val="##NA##"/>
    <w:docVar w:name="Licence43" w:val="##NA##"/>
    <w:docVar w:name="Licence44" w:val="##NA##"/>
    <w:docVar w:name="Licence45" w:val="##NA##"/>
    <w:docVar w:name="Licence46" w:val="##NA##"/>
    <w:docVar w:name="Licence47" w:val="##NA##"/>
    <w:docVar w:name="Licence48" w:val="##NA##"/>
    <w:docVar w:name="Licence49" w:val="##NA##"/>
    <w:docVar w:name="Licence5" w:val="##NA##"/>
    <w:docVar w:name="Licence50" w:val="AFS Licence No 316158"/>
    <w:docVar w:name="Licence51" w:val="##NA##"/>
    <w:docVar w:name="Licence52" w:val="##NA##"/>
    <w:docVar w:name="Licence53" w:val="##NA##"/>
    <w:docVar w:name="Licence6" w:val="##NA##"/>
    <w:docVar w:name="Licence7" w:val="##NA##"/>
    <w:docVar w:name="Licence8" w:val="##NA##"/>
    <w:docVar w:name="Licence9" w:val="AFS Licence No. 259983"/>
    <w:docVar w:name="Phone1" w:val="61 7 3237 5999"/>
    <w:docVar w:name="Phone10" w:val="61 3 6234 2499"/>
    <w:docVar w:name="Phone11" w:val="61 3 6234 2499"/>
    <w:docVar w:name="Phone12" w:val="61 3 6234 2499"/>
    <w:docVar w:name="Phone13" w:val="61 7 3221 0205"/>
    <w:docVar w:name="Phone14" w:val="61 7 3237 5999"/>
    <w:docVar w:name="Phone15" w:val="61 7 3237 5999"/>
    <w:docVar w:name="Phone16" w:val="61 7 3237 5999"/>
    <w:docVar w:name="Phone17" w:val="61 7 3237 5999"/>
    <w:docVar w:name="Phone18" w:val="61 7 3237 5999"/>
    <w:docVar w:name="Phone19" w:val="61 7 3237 5999"/>
    <w:docVar w:name="Phone2" w:val="61 2 9286 5555"/>
    <w:docVar w:name="Phone20" w:val="61 7 3237 5999"/>
    <w:docVar w:name="Phone21" w:val="61 7 3237 5999"/>
    <w:docVar w:name="Phone22" w:val="61 7 3237 5999"/>
    <w:docVar w:name="Phone23" w:val="61 3 8320 2222"/>
    <w:docVar w:name="Phone24" w:val="61 3 8320 2222"/>
    <w:docVar w:name="Phone25" w:val="61 3 8320 2222"/>
    <w:docVar w:name="Phone26" w:val="61 3 8320 2222"/>
    <w:docVar w:name="Phone27" w:val="61 3 8320 2222"/>
    <w:docVar w:name="Phone28" w:val="61 3 8320 2222"/>
    <w:docVar w:name="Phone29" w:val="61 3 8320 2222"/>
    <w:docVar w:name="Phone3" w:val="61 7 4046 0000"/>
    <w:docVar w:name="Phone30" w:val="61 3 8320 4646"/>
    <w:docVar w:name="Phone31" w:val="61 3 8320 2222"/>
    <w:docVar w:name="Phone32" w:val="61 3 8320 2222"/>
    <w:docVar w:name="Phone33" w:val="61 2 9286 5555"/>
    <w:docVar w:name="Phone34" w:val="61 3 8320 2222"/>
    <w:docVar w:name="Phone35" w:val="61 3 8320 2222"/>
    <w:docVar w:name="Phone36" w:val="61 2 9286 5555"/>
    <w:docVar w:name="Phone37" w:val="61 2 9286 5555"/>
    <w:docVar w:name="Phone38" w:val="61 2 9286 5555"/>
    <w:docVar w:name="Phone39" w:val="61 2 9286 5555"/>
    <w:docVar w:name="Phone4" w:val="61 7 4046 0000"/>
    <w:docVar w:name="Phone40" w:val="61 2 9286 5555"/>
    <w:docVar w:name="Phone41" w:val="61 2 9286 5555"/>
    <w:docVar w:name="Phone42" w:val="61 2 4324 7211"/>
    <w:docVar w:name="Phone43" w:val="61 2 4324 7211"/>
    <w:docVar w:name="Phone44" w:val="61 2 9525 7900"/>
    <w:docVar w:name="Phone45" w:val="61 8 8981 7066"/>
    <w:docVar w:name="Phone46" w:val="61 8 8981 7066"/>
    <w:docVar w:name="Phone47" w:val="61 8 6382 4600"/>
    <w:docVar w:name="Phone48" w:val="61 8 6382 4600"/>
    <w:docVar w:name="Phone49" w:val="61 8 6382 4600"/>
    <w:docVar w:name="Phone5" w:val="61 8 8223 1066"/>
    <w:docVar w:name="Phone50" w:val="61 8 6382 4600"/>
    <w:docVar w:name="Phone51" w:val="61 8 6382 4600"/>
    <w:docVar w:name="Phone52" w:val="61 8 6382 4600"/>
    <w:docVar w:name="Phone53" w:val="61 8 6382 4600"/>
    <w:docVar w:name="Phone6" w:val="61 8 8223 1066"/>
    <w:docVar w:name="Phone7" w:val="61 8 8323 8752"/>
    <w:docVar w:name="Phone8" w:val="61 8 8523 4122"/>
    <w:docVar w:name="Phone9" w:val="61 8 8223 1066"/>
    <w:docVar w:name="PostalAddress1" w:val="GPO Box 457 Brisbane QLD 4001"/>
    <w:docVar w:name="PostalAddress10" w:val="GPO Box 1681 Hobart TAS 7001"/>
    <w:docVar w:name="PostalAddress11" w:val="GPO Box 1681 Hobart TAS 7001"/>
    <w:docVar w:name="PostalAddress12" w:val="GPO Box 1681 Hobart TAS 7001"/>
    <w:docVar w:name="PostalAddress13" w:val="GPO Box 860 Brisbane QLD 4001"/>
    <w:docVar w:name="PostalAddress14" w:val="GPO Box 457 Brisbane QLD 4001"/>
    <w:docVar w:name="PostalAddress15" w:val="GPO Box 457 Brisbane QLD 4001"/>
    <w:docVar w:name="PostalAddress16" w:val="GPO Box 457 Brisbane QLD 4001"/>
    <w:docVar w:name="PostalAddress17" w:val="GPO Box 457 Brisbane QLD 4001"/>
    <w:docVar w:name="PostalAddress18" w:val="GPO Box 457 Brisbane QLD 4001"/>
    <w:docVar w:name="PostalAddress19" w:val="GPO Box 457 Brisbane QLD 4001"/>
    <w:docVar w:name="PostalAddress2" w:val="GPO Box 2551 Sydney NSW 2001"/>
    <w:docVar w:name="PostalAddress20" w:val="GPO Box 457 Brisbane QLD 4001"/>
    <w:docVar w:name="PostalAddress21" w:val="GPO Box 457 Brisbane QLD 4001"/>
    <w:docVar w:name="PostalAddress22" w:val="GPO Box 457 Brisbane QLD 4001"/>
    <w:docVar w:name="PostalAddress23" w:val="GPO Box 4736 Melbourne VIC 3001"/>
    <w:docVar w:name="PostalAddress24" w:val="GPO Box 4736 Melbourne VIC 3001"/>
    <w:docVar w:name="PostalAddress25" w:val="GPO Box 4736 Melbourne VIC 3001"/>
    <w:docVar w:name="PostalAddress26" w:val="GPO Box 4736 Melbourne VIC 3001"/>
    <w:docVar w:name="PostalAddress27" w:val="GPO Box 4736 Melbourne VIC 3001"/>
    <w:docVar w:name="PostalAddress28" w:val="GPO Box 4736 Melbourne VIC 3001"/>
    <w:docVar w:name="PostalAddress29" w:val="GPO Box 4736 Melbourne VIC 3001"/>
    <w:docVar w:name="PostalAddress3" w:val="PO Box 6771 Cairns Qld 4870"/>
    <w:docVar w:name="PostalAddress30" w:val="GPO Box 4736 Melbourne VIC 3001"/>
    <w:docVar w:name="PostalAddress31" w:val="GPO Box 4736, Melbourne VIC 3001"/>
    <w:docVar w:name="PostalAddress32" w:val="GPO Box 4736, Melbourne VIC 3001"/>
    <w:docVar w:name="PostalAddress33" w:val="GPO Box 2551 Sydney NSW 2001"/>
    <w:docVar w:name="PostalAddress34" w:val="GPO Box 4736 Melbourne VIC 3001"/>
    <w:docVar w:name="PostalAddress35" w:val="GPO Box 4736, Melbourne VIC 3001"/>
    <w:docVar w:name="PostalAddress36" w:val="GPO Box 2551 Sydney NSW 2001"/>
    <w:docVar w:name="PostalAddress37" w:val="GPO Box 2551 Sydney NSW 2001"/>
    <w:docVar w:name="PostalAddress38" w:val="GPO Box 2551 Sydney NSW 2001"/>
    <w:docVar w:name="PostalAddress39" w:val="GPO Box 2551 Sydney NSW 2001"/>
    <w:docVar w:name="PostalAddress4" w:val="PO Box 6771 Cairns Qld 4870"/>
    <w:docVar w:name="PostalAddress40" w:val="GPO Box 2551 Sydney NSW 2001"/>
    <w:docVar w:name="PostalAddress41" w:val="GPO Box 2551 Sydney NSW 2001"/>
    <w:docVar w:name="PostalAddress42" w:val="PO Box 232 Gosford NSW 2250"/>
    <w:docVar w:name="PostalAddress43" w:val="PO Box 232 Gosford NSW 2250"/>
    <w:docVar w:name="PostalAddress44" w:val="PO Box 431 Miranda NSW 2228"/>
    <w:docVar w:name="PostalAddress45" w:val="GPO Box 4640 Darwin NT 0801"/>
    <w:docVar w:name="PostalAddress46" w:val="GPO Box 4640 Darwin NT 0801"/>
    <w:docVar w:name="PostalAddress47" w:val="PO Box 700 West Perth WA 6872"/>
    <w:docVar w:name="PostalAddress48" w:val="PO Box 700 West Perth WA 6872"/>
    <w:docVar w:name="PostalAddress49" w:val="PO Box 700 West Perth WA 6872"/>
    <w:docVar w:name="PostalAddress5" w:val="GPO Box 2018 Adelaide SA 5001"/>
    <w:docVar w:name="PostalAddress50" w:val="PO Box 700 West Perth WA 6872"/>
    <w:docVar w:name="PostalAddress51" w:val="PO Box 700 West Perth WA 6872"/>
    <w:docVar w:name="PostalAddress52" w:val="PO Box 700 West Perth WA 6872"/>
    <w:docVar w:name="PostalAddress53" w:val="PO Box 700 West Perth WA 6872"/>
    <w:docVar w:name="PostalAddress6" w:val="GPO Box 2018 Adelaide SA 5001"/>
    <w:docVar w:name="PostalAddress7" w:val="PO Box 2179 McLaren Vale SA 5171"/>
    <w:docVar w:name="PostalAddress8" w:val="PO Box 1847 Gawler SA 5118"/>
    <w:docVar w:name="PostalAddress9" w:val="GPO Box 2018 Adelaide SA 5001"/>
    <w:docVar w:name="StreetAddress1" w:val="Level 18, 300 Queen St ^pBrisbane QLD 4000"/>
    <w:docVar w:name="StreetAddress10" w:val="Level 8, 85 Macquarie St ^pHobart TAS 7000"/>
    <w:docVar w:name="StreetAddress11" w:val="Level 8, 85 Macquarie St ^pHobart TAS 7000"/>
    <w:docVar w:name="StreetAddress12" w:val="Level 8, 85 Macquarie St ^pHobart TAS 7000"/>
    <w:docVar w:name="StreetAddress13" w:val="Level 18, 300 Queen St ^pBrisbane QLD 4000"/>
    <w:docVar w:name="StreetAddress14" w:val="Level 18, 300 Queen St ^pBrisbane QLD 4000"/>
    <w:docVar w:name="StreetAddress15" w:val="Level 18, 300 Queen St ^pBrisbane QLD 4000,"/>
    <w:docVar w:name="StreetAddress16" w:val="Level 18, 300 Queen St ^pBrisbane QLD 4000"/>
    <w:docVar w:name="StreetAddress17" w:val="Level 18, 300 Queen St ^pBrisbane QLD 4000"/>
    <w:docVar w:name="StreetAddress18" w:val="Level 18, 300 Queen St ^pBrisbane QLD 4000"/>
    <w:docVar w:name="StreetAddress19" w:val="Level 18, 300 Queen St ^pBrisbane QLD 4000"/>
    <w:docVar w:name="StreetAddress2" w:val="Level 19, 2 Market St ^pSydney NSW 2000"/>
    <w:docVar w:name="StreetAddress20" w:val="Level 18, 300 Queen St ^pBrisbane QLD 4000"/>
    <w:docVar w:name="StreetAddress21" w:val="Level 18, 300 Queen St ^pBrisbane QLD 4000"/>
    <w:docVar w:name="StreetAddress22" w:val="Level 18, 300 Queen St ^pBrisbane QLD 4000"/>
    <w:docVar w:name="StreetAddress23" w:val="The Rialto, 525 Collins St ^pMelbourne VIC 3000"/>
    <w:docVar w:name="StreetAddress24" w:val="The Rialto, 525 Collins St ^pMelbourne VIC 3000"/>
    <w:docVar w:name="StreetAddress25" w:val="The Rialto, 525 Collins St ^pMelbourne VIC 3000"/>
    <w:docVar w:name="StreetAddress26" w:val="The Rialto, 525 Collins St ^pMelbourne VIC 3000"/>
    <w:docVar w:name="StreetAddress27" w:val="The Rialto, 525 Collins St ^pMelbourne VIC 3000"/>
    <w:docVar w:name="StreetAddress28" w:val="The Rialto, 525 Collins St ^pMelbourne VIC 3000"/>
    <w:docVar w:name="StreetAddress29" w:val="The Rialto, 525 Collins St ^pMelbourne VIC 3000"/>
    <w:docVar w:name="StreetAddress3" w:val="Cnr Aplin &amp; Sheridan Sts ^pCairns QLD 4870"/>
    <w:docVar w:name="StreetAddress30" w:val="The Rialto, 525 Collins St ^pMelbourne VIC 3000"/>
    <w:docVar w:name="StreetAddress31" w:val="The Rialto 525 Collins St ^pMelbourne VIC 3000"/>
    <w:docVar w:name="StreetAddress32" w:val="The Rialto 525 Collins St ^pMelbourne VIC 3000"/>
    <w:docVar w:name="StreetAddress33" w:val="Level 19, 2 Market St ^pSydney NSW 2000"/>
    <w:docVar w:name="StreetAddress34" w:val="The Rialto, 525 Collins St ^pMelbourne VIC 3000"/>
    <w:docVar w:name="StreetAddress35" w:val="The Rialto 525 Collins St ^pMelbourne VIC 3000"/>
    <w:docVar w:name="StreetAddress36" w:val="Level 19, 2 Market St ^pSydney NSW 2000"/>
    <w:docVar w:name="StreetAddress37" w:val="Level 19, 2 Market St ^pSydney NSW 2000"/>
    <w:docVar w:name="StreetAddress38" w:val="Level 19, 2 Market St ^pSydney NSW 2000"/>
    <w:docVar w:name="StreetAddress39" w:val="Level 19, 2 Market St ^pSydney NSW 2000"/>
    <w:docVar w:name="StreetAddress4" w:val="Cnr Aplin &amp; Sheridan Sts ^pCairns QLD 4870"/>
    <w:docVar w:name="StreetAddress40" w:val="Level 19, 2 Market St ^pSydney NSW 2000"/>
    <w:docVar w:name="StreetAddress41" w:val="Level 19, 2 Market St ^pSydney NSW 2000"/>
    <w:docVar w:name="StreetAddress42" w:val="Level 5, 131 Donnison St ^pGosford NSW 2250"/>
    <w:docVar w:name="StreetAddress43" w:val="Level 5, 131 Donnison St ^pGosford NSW 2250"/>
    <w:docVar w:name="StreetAddress44" w:val="Suite 10, 50-52 Urunga Pde ^pMiranda NSW 2228"/>
    <w:docVar w:name="StreetAddress45" w:val="72 Cavenagh St ^pDarwin NT 0800"/>
    <w:docVar w:name="StreetAddress46" w:val="72 Cavenagh St ^pDarwin NT 0800"/>
    <w:docVar w:name="StreetAddress47" w:val=" 38 Station Street ^pSubiaco, WA 6008"/>
    <w:docVar w:name="StreetAddress48" w:val="38 Station Street ^pSubiaco, WA 6008"/>
    <w:docVar w:name="StreetAddress49" w:val="38 Station Street ^pSubiaco, WA 6008"/>
    <w:docVar w:name="StreetAddress5" w:val="BDO Centre ^pLevel 7, 420 King William Street ^pAdelaide SA 5000"/>
    <w:docVar w:name="StreetAddress50" w:val="38 Station Street ^pSubiaco, WA 6008"/>
    <w:docVar w:name="StreetAddress51" w:val="38 Station Street ^pSubiaco, WA 6008"/>
    <w:docVar w:name="StreetAddress52" w:val="38 Station Street ^pSubiaco, WA 6008"/>
    <w:docVar w:name="StreetAddress53" w:val="38 Station Street ^pSubiaco, WA 6008"/>
    <w:docVar w:name="StreetAddress6" w:val="BDO Centre ^pLevel 7, 420 King William Street ^pAdelaide SA 5000"/>
    <w:docVar w:name="StreetAddress7" w:val="265 Main Rd ^pMcLaren Vale SA 5171"/>
    <w:docVar w:name="StreetAddress8" w:val="169 Murray Street^pGawler SA 5118"/>
    <w:docVar w:name="StreetAddress9" w:val="BDO Centre ^pLevel 7, 420 King William Street ^pAdelaide SA 5000"/>
  </w:docVars>
  <w:rsids>
    <w:rsidRoot w:val="00D761B4"/>
    <w:rsid w:val="000005AD"/>
    <w:rsid w:val="000007C3"/>
    <w:rsid w:val="00001248"/>
    <w:rsid w:val="00002ADC"/>
    <w:rsid w:val="00003D14"/>
    <w:rsid w:val="0000523F"/>
    <w:rsid w:val="000070DB"/>
    <w:rsid w:val="0000798C"/>
    <w:rsid w:val="000127E0"/>
    <w:rsid w:val="00013026"/>
    <w:rsid w:val="0001310F"/>
    <w:rsid w:val="000162B1"/>
    <w:rsid w:val="00023610"/>
    <w:rsid w:val="00023B93"/>
    <w:rsid w:val="0002526D"/>
    <w:rsid w:val="00030B51"/>
    <w:rsid w:val="00032440"/>
    <w:rsid w:val="00034010"/>
    <w:rsid w:val="0003600F"/>
    <w:rsid w:val="00040864"/>
    <w:rsid w:val="000430CD"/>
    <w:rsid w:val="000437AC"/>
    <w:rsid w:val="00043943"/>
    <w:rsid w:val="000442DC"/>
    <w:rsid w:val="000457AD"/>
    <w:rsid w:val="000468E6"/>
    <w:rsid w:val="00046F88"/>
    <w:rsid w:val="0004765B"/>
    <w:rsid w:val="00050959"/>
    <w:rsid w:val="00050C33"/>
    <w:rsid w:val="000524ED"/>
    <w:rsid w:val="00053271"/>
    <w:rsid w:val="00053F35"/>
    <w:rsid w:val="000560BE"/>
    <w:rsid w:val="000568B1"/>
    <w:rsid w:val="00061AF8"/>
    <w:rsid w:val="00062780"/>
    <w:rsid w:val="00063E92"/>
    <w:rsid w:val="00064878"/>
    <w:rsid w:val="000648B6"/>
    <w:rsid w:val="000727AE"/>
    <w:rsid w:val="00075193"/>
    <w:rsid w:val="000758D8"/>
    <w:rsid w:val="00075C1B"/>
    <w:rsid w:val="00076833"/>
    <w:rsid w:val="00077C01"/>
    <w:rsid w:val="000823D1"/>
    <w:rsid w:val="00087FBF"/>
    <w:rsid w:val="00090A19"/>
    <w:rsid w:val="00090CF6"/>
    <w:rsid w:val="0009154A"/>
    <w:rsid w:val="000922F5"/>
    <w:rsid w:val="00092653"/>
    <w:rsid w:val="00092678"/>
    <w:rsid w:val="00092B07"/>
    <w:rsid w:val="000941C4"/>
    <w:rsid w:val="000947E4"/>
    <w:rsid w:val="000964CE"/>
    <w:rsid w:val="00096635"/>
    <w:rsid w:val="000966E7"/>
    <w:rsid w:val="000A118D"/>
    <w:rsid w:val="000A1911"/>
    <w:rsid w:val="000A1DF4"/>
    <w:rsid w:val="000A3FEE"/>
    <w:rsid w:val="000A477F"/>
    <w:rsid w:val="000B05A7"/>
    <w:rsid w:val="000B225C"/>
    <w:rsid w:val="000B57FA"/>
    <w:rsid w:val="000B5B61"/>
    <w:rsid w:val="000B5F59"/>
    <w:rsid w:val="000B7AB4"/>
    <w:rsid w:val="000C265E"/>
    <w:rsid w:val="000C2C90"/>
    <w:rsid w:val="000C37C5"/>
    <w:rsid w:val="000C3DC6"/>
    <w:rsid w:val="000C7D04"/>
    <w:rsid w:val="000D076C"/>
    <w:rsid w:val="000D0773"/>
    <w:rsid w:val="000D159F"/>
    <w:rsid w:val="000D198B"/>
    <w:rsid w:val="000D306E"/>
    <w:rsid w:val="000D31C0"/>
    <w:rsid w:val="000D3E57"/>
    <w:rsid w:val="000D4CE9"/>
    <w:rsid w:val="000D539B"/>
    <w:rsid w:val="000D7DA8"/>
    <w:rsid w:val="000D7F8F"/>
    <w:rsid w:val="000E26DB"/>
    <w:rsid w:val="000F0355"/>
    <w:rsid w:val="000F23BA"/>
    <w:rsid w:val="000F25B4"/>
    <w:rsid w:val="000F3F56"/>
    <w:rsid w:val="000F4BB4"/>
    <w:rsid w:val="000F6AB0"/>
    <w:rsid w:val="000F7A1D"/>
    <w:rsid w:val="001006B7"/>
    <w:rsid w:val="001062F7"/>
    <w:rsid w:val="00107306"/>
    <w:rsid w:val="0011058F"/>
    <w:rsid w:val="001140AE"/>
    <w:rsid w:val="001200FA"/>
    <w:rsid w:val="001206A4"/>
    <w:rsid w:val="00121ABA"/>
    <w:rsid w:val="00121DCC"/>
    <w:rsid w:val="00122D95"/>
    <w:rsid w:val="00124510"/>
    <w:rsid w:val="00125884"/>
    <w:rsid w:val="001274E0"/>
    <w:rsid w:val="00130753"/>
    <w:rsid w:val="00130827"/>
    <w:rsid w:val="0013095B"/>
    <w:rsid w:val="00132121"/>
    <w:rsid w:val="00132C55"/>
    <w:rsid w:val="00134C81"/>
    <w:rsid w:val="00135939"/>
    <w:rsid w:val="00140114"/>
    <w:rsid w:val="001406C2"/>
    <w:rsid w:val="00142227"/>
    <w:rsid w:val="00142428"/>
    <w:rsid w:val="001430A0"/>
    <w:rsid w:val="0014351B"/>
    <w:rsid w:val="0014448E"/>
    <w:rsid w:val="00146A22"/>
    <w:rsid w:val="00146D3B"/>
    <w:rsid w:val="001500A5"/>
    <w:rsid w:val="00150A74"/>
    <w:rsid w:val="001549BF"/>
    <w:rsid w:val="00156DDB"/>
    <w:rsid w:val="00156FB4"/>
    <w:rsid w:val="001629D1"/>
    <w:rsid w:val="001630D3"/>
    <w:rsid w:val="00164145"/>
    <w:rsid w:val="00164879"/>
    <w:rsid w:val="00170467"/>
    <w:rsid w:val="00171036"/>
    <w:rsid w:val="001717C8"/>
    <w:rsid w:val="00171989"/>
    <w:rsid w:val="001723BB"/>
    <w:rsid w:val="001726BC"/>
    <w:rsid w:val="00173069"/>
    <w:rsid w:val="00173C84"/>
    <w:rsid w:val="00174DBE"/>
    <w:rsid w:val="00175CF1"/>
    <w:rsid w:val="0017727E"/>
    <w:rsid w:val="00183106"/>
    <w:rsid w:val="00185822"/>
    <w:rsid w:val="00185BF2"/>
    <w:rsid w:val="00191BB0"/>
    <w:rsid w:val="00192254"/>
    <w:rsid w:val="00192446"/>
    <w:rsid w:val="001943E6"/>
    <w:rsid w:val="00197649"/>
    <w:rsid w:val="001A11A1"/>
    <w:rsid w:val="001A131E"/>
    <w:rsid w:val="001A3201"/>
    <w:rsid w:val="001A5045"/>
    <w:rsid w:val="001A5B1A"/>
    <w:rsid w:val="001A5F44"/>
    <w:rsid w:val="001B1F9E"/>
    <w:rsid w:val="001B2F55"/>
    <w:rsid w:val="001B3DCF"/>
    <w:rsid w:val="001B51E2"/>
    <w:rsid w:val="001B7D43"/>
    <w:rsid w:val="001C179C"/>
    <w:rsid w:val="001C36C5"/>
    <w:rsid w:val="001C5925"/>
    <w:rsid w:val="001C7F36"/>
    <w:rsid w:val="001D1A28"/>
    <w:rsid w:val="001D3904"/>
    <w:rsid w:val="001D5579"/>
    <w:rsid w:val="001E11F2"/>
    <w:rsid w:val="001E39BC"/>
    <w:rsid w:val="001E5DFD"/>
    <w:rsid w:val="001E690D"/>
    <w:rsid w:val="001F0023"/>
    <w:rsid w:val="001F2A48"/>
    <w:rsid w:val="001F35BB"/>
    <w:rsid w:val="001F3929"/>
    <w:rsid w:val="001F5830"/>
    <w:rsid w:val="001F5A8E"/>
    <w:rsid w:val="001F6D5F"/>
    <w:rsid w:val="001F7D05"/>
    <w:rsid w:val="00201EAF"/>
    <w:rsid w:val="0020296C"/>
    <w:rsid w:val="00203A7A"/>
    <w:rsid w:val="00203B7E"/>
    <w:rsid w:val="00204845"/>
    <w:rsid w:val="002059C2"/>
    <w:rsid w:val="00205D8A"/>
    <w:rsid w:val="00207B34"/>
    <w:rsid w:val="002122CC"/>
    <w:rsid w:val="00214A7C"/>
    <w:rsid w:val="00214E43"/>
    <w:rsid w:val="00216BC4"/>
    <w:rsid w:val="00217DDF"/>
    <w:rsid w:val="00220A94"/>
    <w:rsid w:val="002211EA"/>
    <w:rsid w:val="00221E70"/>
    <w:rsid w:val="002226D0"/>
    <w:rsid w:val="00222BC8"/>
    <w:rsid w:val="00223A17"/>
    <w:rsid w:val="00230581"/>
    <w:rsid w:val="0023077C"/>
    <w:rsid w:val="00231BCF"/>
    <w:rsid w:val="002335E1"/>
    <w:rsid w:val="00237CD5"/>
    <w:rsid w:val="00242C8F"/>
    <w:rsid w:val="00245746"/>
    <w:rsid w:val="00246246"/>
    <w:rsid w:val="002478F8"/>
    <w:rsid w:val="0025026C"/>
    <w:rsid w:val="00253B4A"/>
    <w:rsid w:val="002556B9"/>
    <w:rsid w:val="00256BBD"/>
    <w:rsid w:val="00256FBB"/>
    <w:rsid w:val="00257CAF"/>
    <w:rsid w:val="00262459"/>
    <w:rsid w:val="00262FAC"/>
    <w:rsid w:val="00264CBC"/>
    <w:rsid w:val="002665CA"/>
    <w:rsid w:val="0026773E"/>
    <w:rsid w:val="00270AC2"/>
    <w:rsid w:val="00274983"/>
    <w:rsid w:val="0027623E"/>
    <w:rsid w:val="00280909"/>
    <w:rsid w:val="0028095B"/>
    <w:rsid w:val="002812CB"/>
    <w:rsid w:val="00283645"/>
    <w:rsid w:val="00283C16"/>
    <w:rsid w:val="00285012"/>
    <w:rsid w:val="00286AE2"/>
    <w:rsid w:val="00291C36"/>
    <w:rsid w:val="002945A6"/>
    <w:rsid w:val="00294BC2"/>
    <w:rsid w:val="00295C4B"/>
    <w:rsid w:val="00297D8F"/>
    <w:rsid w:val="002A24FA"/>
    <w:rsid w:val="002A2740"/>
    <w:rsid w:val="002A2AD4"/>
    <w:rsid w:val="002A3162"/>
    <w:rsid w:val="002A46D4"/>
    <w:rsid w:val="002B390D"/>
    <w:rsid w:val="002B5119"/>
    <w:rsid w:val="002B698F"/>
    <w:rsid w:val="002C4EC1"/>
    <w:rsid w:val="002C69D2"/>
    <w:rsid w:val="002C7E2B"/>
    <w:rsid w:val="002D0A33"/>
    <w:rsid w:val="002D2313"/>
    <w:rsid w:val="002D3353"/>
    <w:rsid w:val="002D4DE9"/>
    <w:rsid w:val="002D56DC"/>
    <w:rsid w:val="002E0887"/>
    <w:rsid w:val="002E0AC6"/>
    <w:rsid w:val="002E0E3C"/>
    <w:rsid w:val="002E1898"/>
    <w:rsid w:val="002E562F"/>
    <w:rsid w:val="002E5C87"/>
    <w:rsid w:val="002E64A7"/>
    <w:rsid w:val="002F0093"/>
    <w:rsid w:val="002F24AD"/>
    <w:rsid w:val="002F3E64"/>
    <w:rsid w:val="002F456E"/>
    <w:rsid w:val="002F4C73"/>
    <w:rsid w:val="002F7D17"/>
    <w:rsid w:val="003004FF"/>
    <w:rsid w:val="00301BD7"/>
    <w:rsid w:val="00301F63"/>
    <w:rsid w:val="003027FF"/>
    <w:rsid w:val="00303E04"/>
    <w:rsid w:val="00303EB5"/>
    <w:rsid w:val="003044C9"/>
    <w:rsid w:val="00305D7E"/>
    <w:rsid w:val="00307717"/>
    <w:rsid w:val="003110CF"/>
    <w:rsid w:val="0031173A"/>
    <w:rsid w:val="00312500"/>
    <w:rsid w:val="0031329D"/>
    <w:rsid w:val="00313C14"/>
    <w:rsid w:val="00314DD0"/>
    <w:rsid w:val="00316F4B"/>
    <w:rsid w:val="00317A51"/>
    <w:rsid w:val="00321A93"/>
    <w:rsid w:val="00323EC8"/>
    <w:rsid w:val="00324154"/>
    <w:rsid w:val="00324C0B"/>
    <w:rsid w:val="0032608F"/>
    <w:rsid w:val="003278B5"/>
    <w:rsid w:val="00327977"/>
    <w:rsid w:val="00327B87"/>
    <w:rsid w:val="0033114C"/>
    <w:rsid w:val="00335310"/>
    <w:rsid w:val="00337721"/>
    <w:rsid w:val="00337868"/>
    <w:rsid w:val="0034102C"/>
    <w:rsid w:val="003411F8"/>
    <w:rsid w:val="003416DB"/>
    <w:rsid w:val="00346079"/>
    <w:rsid w:val="00352B88"/>
    <w:rsid w:val="00353DDD"/>
    <w:rsid w:val="003550B6"/>
    <w:rsid w:val="00355825"/>
    <w:rsid w:val="003558D0"/>
    <w:rsid w:val="003571DC"/>
    <w:rsid w:val="003600E4"/>
    <w:rsid w:val="00360B6C"/>
    <w:rsid w:val="00364791"/>
    <w:rsid w:val="003649AD"/>
    <w:rsid w:val="00372748"/>
    <w:rsid w:val="00372C80"/>
    <w:rsid w:val="00373D4C"/>
    <w:rsid w:val="00374136"/>
    <w:rsid w:val="003757AF"/>
    <w:rsid w:val="00375C22"/>
    <w:rsid w:val="003776C2"/>
    <w:rsid w:val="00380939"/>
    <w:rsid w:val="00382576"/>
    <w:rsid w:val="00383989"/>
    <w:rsid w:val="0038461A"/>
    <w:rsid w:val="0038473C"/>
    <w:rsid w:val="00385106"/>
    <w:rsid w:val="003909E7"/>
    <w:rsid w:val="00391B1A"/>
    <w:rsid w:val="00392D02"/>
    <w:rsid w:val="003935C8"/>
    <w:rsid w:val="003956D3"/>
    <w:rsid w:val="0039582B"/>
    <w:rsid w:val="00396355"/>
    <w:rsid w:val="003A1C64"/>
    <w:rsid w:val="003A3076"/>
    <w:rsid w:val="003A3BEC"/>
    <w:rsid w:val="003A451E"/>
    <w:rsid w:val="003A586B"/>
    <w:rsid w:val="003A5D9A"/>
    <w:rsid w:val="003A607B"/>
    <w:rsid w:val="003B188D"/>
    <w:rsid w:val="003B5EA1"/>
    <w:rsid w:val="003C15B4"/>
    <w:rsid w:val="003C4306"/>
    <w:rsid w:val="003C4ADB"/>
    <w:rsid w:val="003C6B73"/>
    <w:rsid w:val="003C6CA1"/>
    <w:rsid w:val="003C758F"/>
    <w:rsid w:val="003C7B87"/>
    <w:rsid w:val="003D344C"/>
    <w:rsid w:val="003E1862"/>
    <w:rsid w:val="003E28F0"/>
    <w:rsid w:val="003E7C98"/>
    <w:rsid w:val="003F5D6B"/>
    <w:rsid w:val="00400485"/>
    <w:rsid w:val="00400FCB"/>
    <w:rsid w:val="00404A89"/>
    <w:rsid w:val="00406E08"/>
    <w:rsid w:val="004073C9"/>
    <w:rsid w:val="0041272A"/>
    <w:rsid w:val="00412FAE"/>
    <w:rsid w:val="00414499"/>
    <w:rsid w:val="00414624"/>
    <w:rsid w:val="004178FF"/>
    <w:rsid w:val="00417976"/>
    <w:rsid w:val="0042048B"/>
    <w:rsid w:val="004219B5"/>
    <w:rsid w:val="00421AF3"/>
    <w:rsid w:val="00423AC9"/>
    <w:rsid w:val="004244C3"/>
    <w:rsid w:val="00424A3C"/>
    <w:rsid w:val="00425DD1"/>
    <w:rsid w:val="00426371"/>
    <w:rsid w:val="00426437"/>
    <w:rsid w:val="004267E4"/>
    <w:rsid w:val="004268BC"/>
    <w:rsid w:val="00427D1D"/>
    <w:rsid w:val="00430BA0"/>
    <w:rsid w:val="00433D11"/>
    <w:rsid w:val="00437767"/>
    <w:rsid w:val="004404FC"/>
    <w:rsid w:val="0044260E"/>
    <w:rsid w:val="0044514E"/>
    <w:rsid w:val="00447069"/>
    <w:rsid w:val="004471D7"/>
    <w:rsid w:val="004475FE"/>
    <w:rsid w:val="004515D7"/>
    <w:rsid w:val="00452C60"/>
    <w:rsid w:val="00453B91"/>
    <w:rsid w:val="004569A1"/>
    <w:rsid w:val="00456E43"/>
    <w:rsid w:val="00457149"/>
    <w:rsid w:val="00457769"/>
    <w:rsid w:val="00461D31"/>
    <w:rsid w:val="00464D3C"/>
    <w:rsid w:val="00471581"/>
    <w:rsid w:val="00474446"/>
    <w:rsid w:val="00474C60"/>
    <w:rsid w:val="00475EFC"/>
    <w:rsid w:val="00476A8F"/>
    <w:rsid w:val="00480850"/>
    <w:rsid w:val="004851F2"/>
    <w:rsid w:val="00485388"/>
    <w:rsid w:val="00485529"/>
    <w:rsid w:val="00487B36"/>
    <w:rsid w:val="0049361A"/>
    <w:rsid w:val="00493936"/>
    <w:rsid w:val="0049464B"/>
    <w:rsid w:val="004959D0"/>
    <w:rsid w:val="004968A6"/>
    <w:rsid w:val="004A00A7"/>
    <w:rsid w:val="004A313C"/>
    <w:rsid w:val="004A6593"/>
    <w:rsid w:val="004A71E2"/>
    <w:rsid w:val="004A74C6"/>
    <w:rsid w:val="004A77AF"/>
    <w:rsid w:val="004B1018"/>
    <w:rsid w:val="004B2577"/>
    <w:rsid w:val="004B6699"/>
    <w:rsid w:val="004B681A"/>
    <w:rsid w:val="004B723B"/>
    <w:rsid w:val="004C1868"/>
    <w:rsid w:val="004C46FB"/>
    <w:rsid w:val="004C59D7"/>
    <w:rsid w:val="004D0092"/>
    <w:rsid w:val="004D143F"/>
    <w:rsid w:val="004D69D5"/>
    <w:rsid w:val="004E094C"/>
    <w:rsid w:val="004E0A5F"/>
    <w:rsid w:val="004E0BB1"/>
    <w:rsid w:val="004E0FEC"/>
    <w:rsid w:val="004E114A"/>
    <w:rsid w:val="004E1F7C"/>
    <w:rsid w:val="004E2830"/>
    <w:rsid w:val="004E442A"/>
    <w:rsid w:val="004E59B4"/>
    <w:rsid w:val="004E5C14"/>
    <w:rsid w:val="004E6E95"/>
    <w:rsid w:val="004F2F76"/>
    <w:rsid w:val="004F363D"/>
    <w:rsid w:val="004F42BA"/>
    <w:rsid w:val="004F5D74"/>
    <w:rsid w:val="004F686F"/>
    <w:rsid w:val="005012E2"/>
    <w:rsid w:val="00501657"/>
    <w:rsid w:val="00501DC8"/>
    <w:rsid w:val="0050306F"/>
    <w:rsid w:val="00503E0E"/>
    <w:rsid w:val="00504F72"/>
    <w:rsid w:val="0050596A"/>
    <w:rsid w:val="00506FE9"/>
    <w:rsid w:val="00510BA8"/>
    <w:rsid w:val="005153C1"/>
    <w:rsid w:val="005153E8"/>
    <w:rsid w:val="00515C50"/>
    <w:rsid w:val="005160DC"/>
    <w:rsid w:val="00520B0E"/>
    <w:rsid w:val="00520DB7"/>
    <w:rsid w:val="0052170B"/>
    <w:rsid w:val="00523B91"/>
    <w:rsid w:val="00524D42"/>
    <w:rsid w:val="0053089B"/>
    <w:rsid w:val="005313E6"/>
    <w:rsid w:val="00531B67"/>
    <w:rsid w:val="005323EC"/>
    <w:rsid w:val="0053251A"/>
    <w:rsid w:val="00533601"/>
    <w:rsid w:val="00537BEB"/>
    <w:rsid w:val="005402D6"/>
    <w:rsid w:val="00540AD9"/>
    <w:rsid w:val="00541E05"/>
    <w:rsid w:val="00542DAE"/>
    <w:rsid w:val="00547954"/>
    <w:rsid w:val="00550033"/>
    <w:rsid w:val="00550461"/>
    <w:rsid w:val="00550CE9"/>
    <w:rsid w:val="005536C2"/>
    <w:rsid w:val="0055370A"/>
    <w:rsid w:val="005539C9"/>
    <w:rsid w:val="0055660A"/>
    <w:rsid w:val="0056118A"/>
    <w:rsid w:val="005627DF"/>
    <w:rsid w:val="00563850"/>
    <w:rsid w:val="00564400"/>
    <w:rsid w:val="0056645F"/>
    <w:rsid w:val="00570974"/>
    <w:rsid w:val="00571D3E"/>
    <w:rsid w:val="00573C77"/>
    <w:rsid w:val="00574072"/>
    <w:rsid w:val="00575273"/>
    <w:rsid w:val="00575CE2"/>
    <w:rsid w:val="005769E3"/>
    <w:rsid w:val="00577479"/>
    <w:rsid w:val="00577FEA"/>
    <w:rsid w:val="00582C4D"/>
    <w:rsid w:val="00584157"/>
    <w:rsid w:val="005841A8"/>
    <w:rsid w:val="0058518E"/>
    <w:rsid w:val="00592092"/>
    <w:rsid w:val="00592926"/>
    <w:rsid w:val="0059612C"/>
    <w:rsid w:val="005967C6"/>
    <w:rsid w:val="00596902"/>
    <w:rsid w:val="005975FD"/>
    <w:rsid w:val="0059765D"/>
    <w:rsid w:val="005A027E"/>
    <w:rsid w:val="005A116E"/>
    <w:rsid w:val="005A267D"/>
    <w:rsid w:val="005A2699"/>
    <w:rsid w:val="005A338E"/>
    <w:rsid w:val="005A4103"/>
    <w:rsid w:val="005A654D"/>
    <w:rsid w:val="005A6C00"/>
    <w:rsid w:val="005B1944"/>
    <w:rsid w:val="005B5850"/>
    <w:rsid w:val="005B5CD2"/>
    <w:rsid w:val="005C1A11"/>
    <w:rsid w:val="005C2B39"/>
    <w:rsid w:val="005C5DC9"/>
    <w:rsid w:val="005C60E6"/>
    <w:rsid w:val="005C6589"/>
    <w:rsid w:val="005D2C33"/>
    <w:rsid w:val="005D3976"/>
    <w:rsid w:val="005D6A49"/>
    <w:rsid w:val="005D6CB6"/>
    <w:rsid w:val="005D7B0E"/>
    <w:rsid w:val="005E0047"/>
    <w:rsid w:val="005E017F"/>
    <w:rsid w:val="005E1266"/>
    <w:rsid w:val="005E1A58"/>
    <w:rsid w:val="005E2776"/>
    <w:rsid w:val="005E2F52"/>
    <w:rsid w:val="005E37C9"/>
    <w:rsid w:val="005E4848"/>
    <w:rsid w:val="005F2114"/>
    <w:rsid w:val="005F23E8"/>
    <w:rsid w:val="005F5155"/>
    <w:rsid w:val="005F6210"/>
    <w:rsid w:val="005F694B"/>
    <w:rsid w:val="005F7024"/>
    <w:rsid w:val="00602A5B"/>
    <w:rsid w:val="0060382B"/>
    <w:rsid w:val="00603D7F"/>
    <w:rsid w:val="00612237"/>
    <w:rsid w:val="00613A6D"/>
    <w:rsid w:val="006156D6"/>
    <w:rsid w:val="00616E0A"/>
    <w:rsid w:val="0062473C"/>
    <w:rsid w:val="00624D64"/>
    <w:rsid w:val="00626FC8"/>
    <w:rsid w:val="00632D20"/>
    <w:rsid w:val="00634F51"/>
    <w:rsid w:val="00635CDA"/>
    <w:rsid w:val="00641666"/>
    <w:rsid w:val="00641F18"/>
    <w:rsid w:val="00642A39"/>
    <w:rsid w:val="00642E73"/>
    <w:rsid w:val="00644E3D"/>
    <w:rsid w:val="00647375"/>
    <w:rsid w:val="00647D97"/>
    <w:rsid w:val="00650428"/>
    <w:rsid w:val="00651EB3"/>
    <w:rsid w:val="00652462"/>
    <w:rsid w:val="00653450"/>
    <w:rsid w:val="00654808"/>
    <w:rsid w:val="00656264"/>
    <w:rsid w:val="00656731"/>
    <w:rsid w:val="00656C6D"/>
    <w:rsid w:val="006630C6"/>
    <w:rsid w:val="0066597D"/>
    <w:rsid w:val="006663A4"/>
    <w:rsid w:val="00670C51"/>
    <w:rsid w:val="006750E9"/>
    <w:rsid w:val="00675EA8"/>
    <w:rsid w:val="006769B7"/>
    <w:rsid w:val="00677707"/>
    <w:rsid w:val="00681025"/>
    <w:rsid w:val="00681368"/>
    <w:rsid w:val="0068413F"/>
    <w:rsid w:val="006902CE"/>
    <w:rsid w:val="0069066F"/>
    <w:rsid w:val="0069125B"/>
    <w:rsid w:val="006916B0"/>
    <w:rsid w:val="00691ACB"/>
    <w:rsid w:val="00692607"/>
    <w:rsid w:val="0069364C"/>
    <w:rsid w:val="00694BFB"/>
    <w:rsid w:val="00696672"/>
    <w:rsid w:val="006A28D6"/>
    <w:rsid w:val="006A2E5E"/>
    <w:rsid w:val="006A5A2B"/>
    <w:rsid w:val="006A602B"/>
    <w:rsid w:val="006A6428"/>
    <w:rsid w:val="006B20BF"/>
    <w:rsid w:val="006B56F3"/>
    <w:rsid w:val="006B5746"/>
    <w:rsid w:val="006C0327"/>
    <w:rsid w:val="006C0EF1"/>
    <w:rsid w:val="006C2421"/>
    <w:rsid w:val="006C2463"/>
    <w:rsid w:val="006C50C2"/>
    <w:rsid w:val="006C69DD"/>
    <w:rsid w:val="006C6B0E"/>
    <w:rsid w:val="006C6C23"/>
    <w:rsid w:val="006D1409"/>
    <w:rsid w:val="006D267D"/>
    <w:rsid w:val="006D351C"/>
    <w:rsid w:val="006D6914"/>
    <w:rsid w:val="006E4D63"/>
    <w:rsid w:val="006E61D7"/>
    <w:rsid w:val="006F0F8A"/>
    <w:rsid w:val="006F7236"/>
    <w:rsid w:val="00701641"/>
    <w:rsid w:val="007023D3"/>
    <w:rsid w:val="00702EA8"/>
    <w:rsid w:val="00710CDE"/>
    <w:rsid w:val="0071105E"/>
    <w:rsid w:val="007136DC"/>
    <w:rsid w:val="0071370E"/>
    <w:rsid w:val="00713C38"/>
    <w:rsid w:val="00715792"/>
    <w:rsid w:val="0071769D"/>
    <w:rsid w:val="00720F7A"/>
    <w:rsid w:val="00721650"/>
    <w:rsid w:val="00723BF7"/>
    <w:rsid w:val="00732C83"/>
    <w:rsid w:val="00737B90"/>
    <w:rsid w:val="00740829"/>
    <w:rsid w:val="00740F1E"/>
    <w:rsid w:val="00742935"/>
    <w:rsid w:val="0074631B"/>
    <w:rsid w:val="00751316"/>
    <w:rsid w:val="007514FD"/>
    <w:rsid w:val="00751648"/>
    <w:rsid w:val="00752ED5"/>
    <w:rsid w:val="0075379E"/>
    <w:rsid w:val="00755538"/>
    <w:rsid w:val="007561FE"/>
    <w:rsid w:val="00762A9B"/>
    <w:rsid w:val="00764609"/>
    <w:rsid w:val="00764982"/>
    <w:rsid w:val="00766C0A"/>
    <w:rsid w:val="0076743A"/>
    <w:rsid w:val="007678AD"/>
    <w:rsid w:val="007713B1"/>
    <w:rsid w:val="00773A52"/>
    <w:rsid w:val="00777033"/>
    <w:rsid w:val="00777072"/>
    <w:rsid w:val="00780E2F"/>
    <w:rsid w:val="00782AB3"/>
    <w:rsid w:val="0078579E"/>
    <w:rsid w:val="00787EB4"/>
    <w:rsid w:val="00790FC6"/>
    <w:rsid w:val="00791362"/>
    <w:rsid w:val="007920E3"/>
    <w:rsid w:val="00793A2C"/>
    <w:rsid w:val="00794AC4"/>
    <w:rsid w:val="00794E69"/>
    <w:rsid w:val="007975B3"/>
    <w:rsid w:val="007A0245"/>
    <w:rsid w:val="007A026C"/>
    <w:rsid w:val="007A11B1"/>
    <w:rsid w:val="007A14C2"/>
    <w:rsid w:val="007A300B"/>
    <w:rsid w:val="007A34C6"/>
    <w:rsid w:val="007A3707"/>
    <w:rsid w:val="007A4887"/>
    <w:rsid w:val="007A6835"/>
    <w:rsid w:val="007B1A8C"/>
    <w:rsid w:val="007B24F4"/>
    <w:rsid w:val="007B3AED"/>
    <w:rsid w:val="007B4D41"/>
    <w:rsid w:val="007B59E7"/>
    <w:rsid w:val="007B6A14"/>
    <w:rsid w:val="007C05C2"/>
    <w:rsid w:val="007C2180"/>
    <w:rsid w:val="007C23F2"/>
    <w:rsid w:val="007C2E97"/>
    <w:rsid w:val="007C3914"/>
    <w:rsid w:val="007C5522"/>
    <w:rsid w:val="007C6D6C"/>
    <w:rsid w:val="007C752F"/>
    <w:rsid w:val="007D216E"/>
    <w:rsid w:val="007D2179"/>
    <w:rsid w:val="007D6DA7"/>
    <w:rsid w:val="007E2655"/>
    <w:rsid w:val="007E3132"/>
    <w:rsid w:val="007E3A2F"/>
    <w:rsid w:val="007E4E46"/>
    <w:rsid w:val="007E69B6"/>
    <w:rsid w:val="007F2C3C"/>
    <w:rsid w:val="007F2D37"/>
    <w:rsid w:val="007F32C0"/>
    <w:rsid w:val="007F3566"/>
    <w:rsid w:val="007F3C19"/>
    <w:rsid w:val="007F5A9E"/>
    <w:rsid w:val="0080561F"/>
    <w:rsid w:val="00807641"/>
    <w:rsid w:val="00807700"/>
    <w:rsid w:val="00807BE6"/>
    <w:rsid w:val="008102F4"/>
    <w:rsid w:val="00810DA5"/>
    <w:rsid w:val="0081246A"/>
    <w:rsid w:val="00821216"/>
    <w:rsid w:val="00824937"/>
    <w:rsid w:val="008300F4"/>
    <w:rsid w:val="00830437"/>
    <w:rsid w:val="0083168B"/>
    <w:rsid w:val="00833CEC"/>
    <w:rsid w:val="00841074"/>
    <w:rsid w:val="008428BF"/>
    <w:rsid w:val="00842E92"/>
    <w:rsid w:val="0084372F"/>
    <w:rsid w:val="0084462A"/>
    <w:rsid w:val="00847A28"/>
    <w:rsid w:val="00850856"/>
    <w:rsid w:val="008517FD"/>
    <w:rsid w:val="008556B8"/>
    <w:rsid w:val="0085599D"/>
    <w:rsid w:val="008609FB"/>
    <w:rsid w:val="008666C7"/>
    <w:rsid w:val="00870587"/>
    <w:rsid w:val="00870D74"/>
    <w:rsid w:val="00871F59"/>
    <w:rsid w:val="00872A84"/>
    <w:rsid w:val="00874223"/>
    <w:rsid w:val="00875613"/>
    <w:rsid w:val="00876B6B"/>
    <w:rsid w:val="0087720C"/>
    <w:rsid w:val="00877E3D"/>
    <w:rsid w:val="00880051"/>
    <w:rsid w:val="0088067E"/>
    <w:rsid w:val="00881071"/>
    <w:rsid w:val="00881A1E"/>
    <w:rsid w:val="008824F0"/>
    <w:rsid w:val="00883DE7"/>
    <w:rsid w:val="008842D8"/>
    <w:rsid w:val="00884591"/>
    <w:rsid w:val="008867B5"/>
    <w:rsid w:val="00886DF9"/>
    <w:rsid w:val="008938F2"/>
    <w:rsid w:val="00894628"/>
    <w:rsid w:val="00894D33"/>
    <w:rsid w:val="008964F9"/>
    <w:rsid w:val="00897323"/>
    <w:rsid w:val="00897D35"/>
    <w:rsid w:val="008A0797"/>
    <w:rsid w:val="008A432D"/>
    <w:rsid w:val="008A655C"/>
    <w:rsid w:val="008B5010"/>
    <w:rsid w:val="008B6541"/>
    <w:rsid w:val="008B6DF0"/>
    <w:rsid w:val="008C1D0A"/>
    <w:rsid w:val="008C4FA4"/>
    <w:rsid w:val="008C576D"/>
    <w:rsid w:val="008C6BC4"/>
    <w:rsid w:val="008C6DA1"/>
    <w:rsid w:val="008C769D"/>
    <w:rsid w:val="008D097D"/>
    <w:rsid w:val="008D4505"/>
    <w:rsid w:val="008D61FC"/>
    <w:rsid w:val="008D7916"/>
    <w:rsid w:val="008E478E"/>
    <w:rsid w:val="008E4BED"/>
    <w:rsid w:val="008E5D88"/>
    <w:rsid w:val="008E5EF1"/>
    <w:rsid w:val="008E6566"/>
    <w:rsid w:val="008F06BD"/>
    <w:rsid w:val="008F09EE"/>
    <w:rsid w:val="008F17F6"/>
    <w:rsid w:val="008F2F1C"/>
    <w:rsid w:val="008F4936"/>
    <w:rsid w:val="008F5B1B"/>
    <w:rsid w:val="008F640E"/>
    <w:rsid w:val="008F64A2"/>
    <w:rsid w:val="008F799F"/>
    <w:rsid w:val="009002D7"/>
    <w:rsid w:val="009009FA"/>
    <w:rsid w:val="009021BC"/>
    <w:rsid w:val="009032A9"/>
    <w:rsid w:val="00906901"/>
    <w:rsid w:val="00914FA9"/>
    <w:rsid w:val="0091599D"/>
    <w:rsid w:val="00915DAD"/>
    <w:rsid w:val="00916297"/>
    <w:rsid w:val="00921319"/>
    <w:rsid w:val="00923A24"/>
    <w:rsid w:val="00923CF4"/>
    <w:rsid w:val="00924529"/>
    <w:rsid w:val="009266AE"/>
    <w:rsid w:val="00926A22"/>
    <w:rsid w:val="00927DE5"/>
    <w:rsid w:val="00932976"/>
    <w:rsid w:val="00937F17"/>
    <w:rsid w:val="009407F1"/>
    <w:rsid w:val="00941458"/>
    <w:rsid w:val="009421C3"/>
    <w:rsid w:val="00944FE8"/>
    <w:rsid w:val="00950994"/>
    <w:rsid w:val="00951164"/>
    <w:rsid w:val="0095528B"/>
    <w:rsid w:val="00955667"/>
    <w:rsid w:val="00955D98"/>
    <w:rsid w:val="00956421"/>
    <w:rsid w:val="00956564"/>
    <w:rsid w:val="009569FB"/>
    <w:rsid w:val="009574EB"/>
    <w:rsid w:val="0095757E"/>
    <w:rsid w:val="009614E7"/>
    <w:rsid w:val="00961AA3"/>
    <w:rsid w:val="009637F8"/>
    <w:rsid w:val="00966588"/>
    <w:rsid w:val="00967510"/>
    <w:rsid w:val="00970D9E"/>
    <w:rsid w:val="00982696"/>
    <w:rsid w:val="00982B17"/>
    <w:rsid w:val="00983E29"/>
    <w:rsid w:val="009910FE"/>
    <w:rsid w:val="0099130B"/>
    <w:rsid w:val="00993BC8"/>
    <w:rsid w:val="00993E7A"/>
    <w:rsid w:val="00994802"/>
    <w:rsid w:val="009948FE"/>
    <w:rsid w:val="009A02CB"/>
    <w:rsid w:val="009A2225"/>
    <w:rsid w:val="009A2311"/>
    <w:rsid w:val="009A283B"/>
    <w:rsid w:val="009A3C57"/>
    <w:rsid w:val="009A439B"/>
    <w:rsid w:val="009A56BF"/>
    <w:rsid w:val="009B1D16"/>
    <w:rsid w:val="009B3F8E"/>
    <w:rsid w:val="009B533E"/>
    <w:rsid w:val="009B79E2"/>
    <w:rsid w:val="009C058A"/>
    <w:rsid w:val="009C3E4B"/>
    <w:rsid w:val="009C50B2"/>
    <w:rsid w:val="009C551D"/>
    <w:rsid w:val="009C6740"/>
    <w:rsid w:val="009C6C09"/>
    <w:rsid w:val="009C70AC"/>
    <w:rsid w:val="009D1D7F"/>
    <w:rsid w:val="009D27EE"/>
    <w:rsid w:val="009D45B7"/>
    <w:rsid w:val="009D58F2"/>
    <w:rsid w:val="009D6AC4"/>
    <w:rsid w:val="009D7525"/>
    <w:rsid w:val="009E07D9"/>
    <w:rsid w:val="009E2899"/>
    <w:rsid w:val="009E63E5"/>
    <w:rsid w:val="009F3E41"/>
    <w:rsid w:val="009F4FC4"/>
    <w:rsid w:val="009F6AD2"/>
    <w:rsid w:val="00A00B3E"/>
    <w:rsid w:val="00A01BC8"/>
    <w:rsid w:val="00A0532C"/>
    <w:rsid w:val="00A105E3"/>
    <w:rsid w:val="00A133DD"/>
    <w:rsid w:val="00A13E7F"/>
    <w:rsid w:val="00A14BAC"/>
    <w:rsid w:val="00A15ED9"/>
    <w:rsid w:val="00A238C7"/>
    <w:rsid w:val="00A2419A"/>
    <w:rsid w:val="00A2788B"/>
    <w:rsid w:val="00A300FC"/>
    <w:rsid w:val="00A30E3D"/>
    <w:rsid w:val="00A3218D"/>
    <w:rsid w:val="00A32848"/>
    <w:rsid w:val="00A345CA"/>
    <w:rsid w:val="00A35054"/>
    <w:rsid w:val="00A351BA"/>
    <w:rsid w:val="00A425F9"/>
    <w:rsid w:val="00A43988"/>
    <w:rsid w:val="00A43F8F"/>
    <w:rsid w:val="00A4590C"/>
    <w:rsid w:val="00A524DB"/>
    <w:rsid w:val="00A5602E"/>
    <w:rsid w:val="00A56241"/>
    <w:rsid w:val="00A56F56"/>
    <w:rsid w:val="00A574C0"/>
    <w:rsid w:val="00A60AF3"/>
    <w:rsid w:val="00A60DF8"/>
    <w:rsid w:val="00A631A3"/>
    <w:rsid w:val="00A6467D"/>
    <w:rsid w:val="00A66858"/>
    <w:rsid w:val="00A70D1D"/>
    <w:rsid w:val="00A732DE"/>
    <w:rsid w:val="00A74406"/>
    <w:rsid w:val="00A75474"/>
    <w:rsid w:val="00A809DF"/>
    <w:rsid w:val="00A84863"/>
    <w:rsid w:val="00A861F6"/>
    <w:rsid w:val="00A868E2"/>
    <w:rsid w:val="00A90878"/>
    <w:rsid w:val="00A91008"/>
    <w:rsid w:val="00A94130"/>
    <w:rsid w:val="00A94687"/>
    <w:rsid w:val="00A94B86"/>
    <w:rsid w:val="00A96B93"/>
    <w:rsid w:val="00A97904"/>
    <w:rsid w:val="00A97D91"/>
    <w:rsid w:val="00AA35BE"/>
    <w:rsid w:val="00AA79AF"/>
    <w:rsid w:val="00AA7CA6"/>
    <w:rsid w:val="00AB2E2B"/>
    <w:rsid w:val="00AB69C9"/>
    <w:rsid w:val="00AC033A"/>
    <w:rsid w:val="00AC312E"/>
    <w:rsid w:val="00AC39BA"/>
    <w:rsid w:val="00AC40FA"/>
    <w:rsid w:val="00AC488C"/>
    <w:rsid w:val="00AD0EC7"/>
    <w:rsid w:val="00AD0FB3"/>
    <w:rsid w:val="00AD1C48"/>
    <w:rsid w:val="00AD1F2D"/>
    <w:rsid w:val="00AD31A1"/>
    <w:rsid w:val="00AD34C5"/>
    <w:rsid w:val="00AE2B34"/>
    <w:rsid w:val="00AE3455"/>
    <w:rsid w:val="00AE3677"/>
    <w:rsid w:val="00AE3959"/>
    <w:rsid w:val="00AE4BD0"/>
    <w:rsid w:val="00AE5205"/>
    <w:rsid w:val="00AE6767"/>
    <w:rsid w:val="00AF2FB4"/>
    <w:rsid w:val="00AF3ED9"/>
    <w:rsid w:val="00AF4182"/>
    <w:rsid w:val="00AF49C5"/>
    <w:rsid w:val="00AF521F"/>
    <w:rsid w:val="00B00C19"/>
    <w:rsid w:val="00B014AC"/>
    <w:rsid w:val="00B02722"/>
    <w:rsid w:val="00B02E27"/>
    <w:rsid w:val="00B0508D"/>
    <w:rsid w:val="00B0629E"/>
    <w:rsid w:val="00B06E64"/>
    <w:rsid w:val="00B077C7"/>
    <w:rsid w:val="00B14DFB"/>
    <w:rsid w:val="00B20D0C"/>
    <w:rsid w:val="00B23640"/>
    <w:rsid w:val="00B23748"/>
    <w:rsid w:val="00B259FD"/>
    <w:rsid w:val="00B264DF"/>
    <w:rsid w:val="00B279D0"/>
    <w:rsid w:val="00B31622"/>
    <w:rsid w:val="00B31A23"/>
    <w:rsid w:val="00B35640"/>
    <w:rsid w:val="00B35724"/>
    <w:rsid w:val="00B37F82"/>
    <w:rsid w:val="00B4064A"/>
    <w:rsid w:val="00B44966"/>
    <w:rsid w:val="00B45F5B"/>
    <w:rsid w:val="00B47983"/>
    <w:rsid w:val="00B47A8A"/>
    <w:rsid w:val="00B523D9"/>
    <w:rsid w:val="00B55483"/>
    <w:rsid w:val="00B56771"/>
    <w:rsid w:val="00B56DAD"/>
    <w:rsid w:val="00B57EDF"/>
    <w:rsid w:val="00B57F4D"/>
    <w:rsid w:val="00B61709"/>
    <w:rsid w:val="00B641E7"/>
    <w:rsid w:val="00B66204"/>
    <w:rsid w:val="00B6764A"/>
    <w:rsid w:val="00B7193E"/>
    <w:rsid w:val="00B72A46"/>
    <w:rsid w:val="00B73EDA"/>
    <w:rsid w:val="00B75DB8"/>
    <w:rsid w:val="00B762C5"/>
    <w:rsid w:val="00B800F3"/>
    <w:rsid w:val="00B81332"/>
    <w:rsid w:val="00B81B3F"/>
    <w:rsid w:val="00B81BF8"/>
    <w:rsid w:val="00B82811"/>
    <w:rsid w:val="00B83ECB"/>
    <w:rsid w:val="00B850C5"/>
    <w:rsid w:val="00B868CB"/>
    <w:rsid w:val="00B86C2E"/>
    <w:rsid w:val="00B90051"/>
    <w:rsid w:val="00B907E1"/>
    <w:rsid w:val="00B929FF"/>
    <w:rsid w:val="00B937B7"/>
    <w:rsid w:val="00B944D5"/>
    <w:rsid w:val="00B9577B"/>
    <w:rsid w:val="00B964F3"/>
    <w:rsid w:val="00BA327B"/>
    <w:rsid w:val="00BA4962"/>
    <w:rsid w:val="00BA5266"/>
    <w:rsid w:val="00BA5661"/>
    <w:rsid w:val="00BA6286"/>
    <w:rsid w:val="00BB0487"/>
    <w:rsid w:val="00BB221B"/>
    <w:rsid w:val="00BB2390"/>
    <w:rsid w:val="00BB30E5"/>
    <w:rsid w:val="00BB3964"/>
    <w:rsid w:val="00BB4270"/>
    <w:rsid w:val="00BB6B55"/>
    <w:rsid w:val="00BB6EEB"/>
    <w:rsid w:val="00BB74DA"/>
    <w:rsid w:val="00BC06A5"/>
    <w:rsid w:val="00BC152E"/>
    <w:rsid w:val="00BC1E10"/>
    <w:rsid w:val="00BC3917"/>
    <w:rsid w:val="00BC3F36"/>
    <w:rsid w:val="00BC5AA7"/>
    <w:rsid w:val="00BD286D"/>
    <w:rsid w:val="00BD3081"/>
    <w:rsid w:val="00BD411A"/>
    <w:rsid w:val="00BD4226"/>
    <w:rsid w:val="00BD772C"/>
    <w:rsid w:val="00BD7843"/>
    <w:rsid w:val="00BE197E"/>
    <w:rsid w:val="00BE4DAC"/>
    <w:rsid w:val="00BE5071"/>
    <w:rsid w:val="00BE50DA"/>
    <w:rsid w:val="00BE70DC"/>
    <w:rsid w:val="00BF122C"/>
    <w:rsid w:val="00BF6B3A"/>
    <w:rsid w:val="00BF73DB"/>
    <w:rsid w:val="00BF745E"/>
    <w:rsid w:val="00C01F64"/>
    <w:rsid w:val="00C022CD"/>
    <w:rsid w:val="00C026DF"/>
    <w:rsid w:val="00C03561"/>
    <w:rsid w:val="00C03A7D"/>
    <w:rsid w:val="00C04AEE"/>
    <w:rsid w:val="00C114A6"/>
    <w:rsid w:val="00C14CB3"/>
    <w:rsid w:val="00C14DAC"/>
    <w:rsid w:val="00C177CB"/>
    <w:rsid w:val="00C22DDB"/>
    <w:rsid w:val="00C23EC1"/>
    <w:rsid w:val="00C24DFE"/>
    <w:rsid w:val="00C24E91"/>
    <w:rsid w:val="00C253A2"/>
    <w:rsid w:val="00C3034D"/>
    <w:rsid w:val="00C40B97"/>
    <w:rsid w:val="00C43E01"/>
    <w:rsid w:val="00C46703"/>
    <w:rsid w:val="00C50A32"/>
    <w:rsid w:val="00C50DB2"/>
    <w:rsid w:val="00C534AA"/>
    <w:rsid w:val="00C54A27"/>
    <w:rsid w:val="00C552F1"/>
    <w:rsid w:val="00C55695"/>
    <w:rsid w:val="00C55BA1"/>
    <w:rsid w:val="00C55EFD"/>
    <w:rsid w:val="00C61599"/>
    <w:rsid w:val="00C62B4A"/>
    <w:rsid w:val="00C65956"/>
    <w:rsid w:val="00C66B6B"/>
    <w:rsid w:val="00C67822"/>
    <w:rsid w:val="00C70BF2"/>
    <w:rsid w:val="00C73EBE"/>
    <w:rsid w:val="00C75DD8"/>
    <w:rsid w:val="00C76955"/>
    <w:rsid w:val="00C8283D"/>
    <w:rsid w:val="00C831D5"/>
    <w:rsid w:val="00C83441"/>
    <w:rsid w:val="00C9434D"/>
    <w:rsid w:val="00C96971"/>
    <w:rsid w:val="00C9720F"/>
    <w:rsid w:val="00C979C2"/>
    <w:rsid w:val="00CA0C2B"/>
    <w:rsid w:val="00CA5863"/>
    <w:rsid w:val="00CA6885"/>
    <w:rsid w:val="00CA732E"/>
    <w:rsid w:val="00CB1390"/>
    <w:rsid w:val="00CB1838"/>
    <w:rsid w:val="00CB1F62"/>
    <w:rsid w:val="00CB32CC"/>
    <w:rsid w:val="00CB3404"/>
    <w:rsid w:val="00CC3ED7"/>
    <w:rsid w:val="00CC3FD0"/>
    <w:rsid w:val="00CC3FDF"/>
    <w:rsid w:val="00CC6E98"/>
    <w:rsid w:val="00CC7909"/>
    <w:rsid w:val="00CC7D27"/>
    <w:rsid w:val="00CD290D"/>
    <w:rsid w:val="00CD306E"/>
    <w:rsid w:val="00CD6C7C"/>
    <w:rsid w:val="00CE1DA4"/>
    <w:rsid w:val="00CE1FB0"/>
    <w:rsid w:val="00CE67AD"/>
    <w:rsid w:val="00CE72E3"/>
    <w:rsid w:val="00CE768E"/>
    <w:rsid w:val="00CF0396"/>
    <w:rsid w:val="00CF0CFA"/>
    <w:rsid w:val="00CF0E93"/>
    <w:rsid w:val="00CF0FB1"/>
    <w:rsid w:val="00CF27E8"/>
    <w:rsid w:val="00CF4B3E"/>
    <w:rsid w:val="00CF4CF0"/>
    <w:rsid w:val="00CF5045"/>
    <w:rsid w:val="00CF6ADD"/>
    <w:rsid w:val="00CF6C48"/>
    <w:rsid w:val="00CF7182"/>
    <w:rsid w:val="00CF79F8"/>
    <w:rsid w:val="00D01B11"/>
    <w:rsid w:val="00D02160"/>
    <w:rsid w:val="00D02389"/>
    <w:rsid w:val="00D04826"/>
    <w:rsid w:val="00D05BC6"/>
    <w:rsid w:val="00D05FEF"/>
    <w:rsid w:val="00D06A9D"/>
    <w:rsid w:val="00D07169"/>
    <w:rsid w:val="00D07419"/>
    <w:rsid w:val="00D108B7"/>
    <w:rsid w:val="00D10FC9"/>
    <w:rsid w:val="00D12292"/>
    <w:rsid w:val="00D13771"/>
    <w:rsid w:val="00D13F66"/>
    <w:rsid w:val="00D1448C"/>
    <w:rsid w:val="00D20808"/>
    <w:rsid w:val="00D20CA0"/>
    <w:rsid w:val="00D23F88"/>
    <w:rsid w:val="00D252EC"/>
    <w:rsid w:val="00D26620"/>
    <w:rsid w:val="00D30019"/>
    <w:rsid w:val="00D31F1B"/>
    <w:rsid w:val="00D3465C"/>
    <w:rsid w:val="00D3513A"/>
    <w:rsid w:val="00D37149"/>
    <w:rsid w:val="00D406CB"/>
    <w:rsid w:val="00D41DDA"/>
    <w:rsid w:val="00D42A91"/>
    <w:rsid w:val="00D45B92"/>
    <w:rsid w:val="00D465FC"/>
    <w:rsid w:val="00D468AD"/>
    <w:rsid w:val="00D46F30"/>
    <w:rsid w:val="00D477AF"/>
    <w:rsid w:val="00D52FA9"/>
    <w:rsid w:val="00D53573"/>
    <w:rsid w:val="00D53A3B"/>
    <w:rsid w:val="00D55B1C"/>
    <w:rsid w:val="00D60C15"/>
    <w:rsid w:val="00D62D30"/>
    <w:rsid w:val="00D63665"/>
    <w:rsid w:val="00D63743"/>
    <w:rsid w:val="00D63945"/>
    <w:rsid w:val="00D6448E"/>
    <w:rsid w:val="00D645AA"/>
    <w:rsid w:val="00D64820"/>
    <w:rsid w:val="00D64D83"/>
    <w:rsid w:val="00D65311"/>
    <w:rsid w:val="00D657CF"/>
    <w:rsid w:val="00D710EB"/>
    <w:rsid w:val="00D72214"/>
    <w:rsid w:val="00D72940"/>
    <w:rsid w:val="00D72D80"/>
    <w:rsid w:val="00D738AC"/>
    <w:rsid w:val="00D73CE5"/>
    <w:rsid w:val="00D740D6"/>
    <w:rsid w:val="00D761B4"/>
    <w:rsid w:val="00D77CFA"/>
    <w:rsid w:val="00D8054D"/>
    <w:rsid w:val="00D8216C"/>
    <w:rsid w:val="00D83C02"/>
    <w:rsid w:val="00D847C1"/>
    <w:rsid w:val="00D85FBE"/>
    <w:rsid w:val="00D87213"/>
    <w:rsid w:val="00D903F3"/>
    <w:rsid w:val="00D91393"/>
    <w:rsid w:val="00D92BE8"/>
    <w:rsid w:val="00D94104"/>
    <w:rsid w:val="00D9422E"/>
    <w:rsid w:val="00D95848"/>
    <w:rsid w:val="00D964D0"/>
    <w:rsid w:val="00D96F8B"/>
    <w:rsid w:val="00D9770A"/>
    <w:rsid w:val="00D97FFB"/>
    <w:rsid w:val="00DA1AA5"/>
    <w:rsid w:val="00DA2B6E"/>
    <w:rsid w:val="00DA4AC6"/>
    <w:rsid w:val="00DA585C"/>
    <w:rsid w:val="00DA5C90"/>
    <w:rsid w:val="00DA67C6"/>
    <w:rsid w:val="00DC3890"/>
    <w:rsid w:val="00DC433A"/>
    <w:rsid w:val="00DC78E4"/>
    <w:rsid w:val="00DD16CB"/>
    <w:rsid w:val="00DD2B71"/>
    <w:rsid w:val="00DD2D01"/>
    <w:rsid w:val="00DD3708"/>
    <w:rsid w:val="00DD4F1E"/>
    <w:rsid w:val="00DE1C33"/>
    <w:rsid w:val="00DE56AE"/>
    <w:rsid w:val="00DE5A4C"/>
    <w:rsid w:val="00DE7877"/>
    <w:rsid w:val="00DF488D"/>
    <w:rsid w:val="00DF5C88"/>
    <w:rsid w:val="00DF6D27"/>
    <w:rsid w:val="00E00258"/>
    <w:rsid w:val="00E00602"/>
    <w:rsid w:val="00E01176"/>
    <w:rsid w:val="00E01185"/>
    <w:rsid w:val="00E0125E"/>
    <w:rsid w:val="00E0154E"/>
    <w:rsid w:val="00E01FAC"/>
    <w:rsid w:val="00E03181"/>
    <w:rsid w:val="00E0350D"/>
    <w:rsid w:val="00E07CC4"/>
    <w:rsid w:val="00E108AB"/>
    <w:rsid w:val="00E10E1C"/>
    <w:rsid w:val="00E114E8"/>
    <w:rsid w:val="00E11800"/>
    <w:rsid w:val="00E11DA3"/>
    <w:rsid w:val="00E11EE0"/>
    <w:rsid w:val="00E127A3"/>
    <w:rsid w:val="00E148FA"/>
    <w:rsid w:val="00E155A8"/>
    <w:rsid w:val="00E17ABE"/>
    <w:rsid w:val="00E211C5"/>
    <w:rsid w:val="00E223B0"/>
    <w:rsid w:val="00E228BE"/>
    <w:rsid w:val="00E2411F"/>
    <w:rsid w:val="00E2421E"/>
    <w:rsid w:val="00E24F23"/>
    <w:rsid w:val="00E302F2"/>
    <w:rsid w:val="00E30B6A"/>
    <w:rsid w:val="00E31EC0"/>
    <w:rsid w:val="00E321B9"/>
    <w:rsid w:val="00E3262B"/>
    <w:rsid w:val="00E35DD8"/>
    <w:rsid w:val="00E37CDB"/>
    <w:rsid w:val="00E408F4"/>
    <w:rsid w:val="00E43611"/>
    <w:rsid w:val="00E45C01"/>
    <w:rsid w:val="00E47771"/>
    <w:rsid w:val="00E47A40"/>
    <w:rsid w:val="00E507FB"/>
    <w:rsid w:val="00E52CCE"/>
    <w:rsid w:val="00E538BC"/>
    <w:rsid w:val="00E54395"/>
    <w:rsid w:val="00E54AD8"/>
    <w:rsid w:val="00E5591C"/>
    <w:rsid w:val="00E560CF"/>
    <w:rsid w:val="00E56B7B"/>
    <w:rsid w:val="00E60ECE"/>
    <w:rsid w:val="00E6199F"/>
    <w:rsid w:val="00E61EF1"/>
    <w:rsid w:val="00E630FC"/>
    <w:rsid w:val="00E63C18"/>
    <w:rsid w:val="00E646DB"/>
    <w:rsid w:val="00E701C1"/>
    <w:rsid w:val="00E72326"/>
    <w:rsid w:val="00E73357"/>
    <w:rsid w:val="00E73F94"/>
    <w:rsid w:val="00E74CA1"/>
    <w:rsid w:val="00E76693"/>
    <w:rsid w:val="00E77681"/>
    <w:rsid w:val="00E77A08"/>
    <w:rsid w:val="00E809F5"/>
    <w:rsid w:val="00E85934"/>
    <w:rsid w:val="00E85DF7"/>
    <w:rsid w:val="00E8613B"/>
    <w:rsid w:val="00E913DC"/>
    <w:rsid w:val="00E91774"/>
    <w:rsid w:val="00E91C05"/>
    <w:rsid w:val="00E93ECE"/>
    <w:rsid w:val="00E94475"/>
    <w:rsid w:val="00EA0115"/>
    <w:rsid w:val="00EA0DEC"/>
    <w:rsid w:val="00EA2478"/>
    <w:rsid w:val="00EA2A09"/>
    <w:rsid w:val="00EA3E4D"/>
    <w:rsid w:val="00EA5A6A"/>
    <w:rsid w:val="00EA5C9E"/>
    <w:rsid w:val="00EB052B"/>
    <w:rsid w:val="00EB1032"/>
    <w:rsid w:val="00EB1A1A"/>
    <w:rsid w:val="00EB4CD2"/>
    <w:rsid w:val="00EB5D1E"/>
    <w:rsid w:val="00EC216F"/>
    <w:rsid w:val="00EC340F"/>
    <w:rsid w:val="00EC393C"/>
    <w:rsid w:val="00EC6458"/>
    <w:rsid w:val="00EC66AD"/>
    <w:rsid w:val="00ED0ABC"/>
    <w:rsid w:val="00ED75B1"/>
    <w:rsid w:val="00EE1AFF"/>
    <w:rsid w:val="00EE2475"/>
    <w:rsid w:val="00EE465F"/>
    <w:rsid w:val="00EE47F3"/>
    <w:rsid w:val="00EE4F7E"/>
    <w:rsid w:val="00EE61BB"/>
    <w:rsid w:val="00EE76D2"/>
    <w:rsid w:val="00EF0086"/>
    <w:rsid w:val="00EF0AAC"/>
    <w:rsid w:val="00EF103E"/>
    <w:rsid w:val="00EF1315"/>
    <w:rsid w:val="00EF387F"/>
    <w:rsid w:val="00EF7A33"/>
    <w:rsid w:val="00F00767"/>
    <w:rsid w:val="00F07B95"/>
    <w:rsid w:val="00F1055A"/>
    <w:rsid w:val="00F12E94"/>
    <w:rsid w:val="00F1383D"/>
    <w:rsid w:val="00F20B49"/>
    <w:rsid w:val="00F23D7B"/>
    <w:rsid w:val="00F2459F"/>
    <w:rsid w:val="00F24825"/>
    <w:rsid w:val="00F27278"/>
    <w:rsid w:val="00F36B64"/>
    <w:rsid w:val="00F37F43"/>
    <w:rsid w:val="00F42C29"/>
    <w:rsid w:val="00F43017"/>
    <w:rsid w:val="00F44F23"/>
    <w:rsid w:val="00F452BB"/>
    <w:rsid w:val="00F45A57"/>
    <w:rsid w:val="00F50E1B"/>
    <w:rsid w:val="00F50F4B"/>
    <w:rsid w:val="00F51D82"/>
    <w:rsid w:val="00F528F6"/>
    <w:rsid w:val="00F5308D"/>
    <w:rsid w:val="00F530C2"/>
    <w:rsid w:val="00F5464E"/>
    <w:rsid w:val="00F54729"/>
    <w:rsid w:val="00F54C65"/>
    <w:rsid w:val="00F6237F"/>
    <w:rsid w:val="00F637D5"/>
    <w:rsid w:val="00F6473F"/>
    <w:rsid w:val="00F65147"/>
    <w:rsid w:val="00F66286"/>
    <w:rsid w:val="00F71463"/>
    <w:rsid w:val="00F766A2"/>
    <w:rsid w:val="00F770A6"/>
    <w:rsid w:val="00F80579"/>
    <w:rsid w:val="00F830F8"/>
    <w:rsid w:val="00F83EFC"/>
    <w:rsid w:val="00F8430D"/>
    <w:rsid w:val="00F91C45"/>
    <w:rsid w:val="00F945BD"/>
    <w:rsid w:val="00F948E7"/>
    <w:rsid w:val="00F960FE"/>
    <w:rsid w:val="00F96CB3"/>
    <w:rsid w:val="00F97B11"/>
    <w:rsid w:val="00FA24F5"/>
    <w:rsid w:val="00FA5180"/>
    <w:rsid w:val="00FA6ED0"/>
    <w:rsid w:val="00FB283A"/>
    <w:rsid w:val="00FB5D65"/>
    <w:rsid w:val="00FB5E14"/>
    <w:rsid w:val="00FC09DC"/>
    <w:rsid w:val="00FC0C29"/>
    <w:rsid w:val="00FC25A1"/>
    <w:rsid w:val="00FC5215"/>
    <w:rsid w:val="00FC6168"/>
    <w:rsid w:val="00FC6609"/>
    <w:rsid w:val="00FC76EA"/>
    <w:rsid w:val="00FD0692"/>
    <w:rsid w:val="00FD0BC3"/>
    <w:rsid w:val="00FD4993"/>
    <w:rsid w:val="00FD597E"/>
    <w:rsid w:val="00FD66EB"/>
    <w:rsid w:val="00FE126E"/>
    <w:rsid w:val="00FE2ACD"/>
    <w:rsid w:val="00FE369C"/>
    <w:rsid w:val="00FE3D0A"/>
    <w:rsid w:val="00FE4B4F"/>
    <w:rsid w:val="00FF0326"/>
    <w:rsid w:val="00FF3737"/>
    <w:rsid w:val="00FF609B"/>
    <w:rsid w:val="00FF6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7361" style="mso-position-horizontal-relative:page;mso-position-vertical-relative:page" fill="f" fillcolor="white" stroke="f">
      <v:fill color="white" on="f"/>
      <v:stroke on="f"/>
      <v:textbox inset="0,0,0,0"/>
      <o:colormenu v:ext="edit" fillcolor="none" strokecolor="none [24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lang w:val="en-AU" w:eastAsia="en-AU" w:bidi="ar-SA"/>
      </w:rPr>
    </w:rPrDefault>
    <w:pPrDefault>
      <w:pPr>
        <w:spacing w:after="120" w:line="280" w:lineRule="exact"/>
      </w:pPr>
    </w:pPrDefault>
  </w:docDefaults>
  <w:latentStyles w:defLockedState="1" w:defUIPriority="0" w:defSemiHidden="0" w:defUnhideWhenUsed="0" w:defQFormat="0" w:count="267">
    <w:lsdException w:name="Normal" w:locked="0" w:qFormat="1"/>
    <w:lsdException w:name="heading 1" w:locked="0"/>
    <w:lsdException w:name="heading 2" w:locked="0"/>
    <w:lsdException w:name="heading 3" w:locked="0"/>
    <w:lsdException w:name="heading 4" w:locked="0" w:uiPriority="9" w:qFormat="1"/>
    <w:lsdException w:name="heading 5" w:locked="0"/>
    <w:lsdException w:name="heading 6" w:locked="0"/>
    <w:lsdException w:name="heading 7" w:locked="0"/>
    <w:lsdException w:name="heading 8" w:locked="0"/>
    <w:lsdException w:name="heading 9" w:locked="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semiHidden="1"/>
    <w:lsdException w:name="footnote text" w:semiHidden="1"/>
    <w:lsdException w:name="annotation text" w:semiHidden="1"/>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locked="0"/>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locked="0"/>
    <w:lsdException w:name="HTML Bottom of Form" w:locked="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annotation subject" w:semiHidden="1"/>
    <w:lsdException w:name="No List" w:locked="0" w:uiPriority="99"/>
    <w:lsdException w:name="Balloon Text" w:locked="0" w:semiHidden="1"/>
    <w:lsdException w:name="Placeholder Text" w:locked="0"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locked="0" w:semiHidden="1" w:uiPriority="37" w:unhideWhenUsed="1"/>
    <w:lsdException w:name="TOC Heading" w:locked="0" w:semiHidden="1" w:uiPriority="39" w:unhideWhenUsed="1" w:qFormat="1"/>
  </w:latentStyles>
  <w:style w:type="paragraph" w:default="1" w:styleId="Normal">
    <w:name w:val="Normal"/>
    <w:semiHidden/>
    <w:qFormat/>
    <w:rsid w:val="00E17ABE"/>
    <w:pPr>
      <w:spacing w:line="280" w:lineRule="atLeast"/>
    </w:pPr>
    <w:rPr>
      <w:szCs w:val="24"/>
      <w:lang w:eastAsia="en-GB"/>
    </w:rPr>
  </w:style>
  <w:style w:type="paragraph" w:styleId="Heading1">
    <w:name w:val="heading 1"/>
    <w:basedOn w:val="Normal"/>
    <w:next w:val="Normal"/>
    <w:semiHidden/>
    <w:rsid w:val="00D07419"/>
    <w:pPr>
      <w:keepNext/>
      <w:numPr>
        <w:numId w:val="1"/>
      </w:numPr>
      <w:spacing w:before="240"/>
      <w:outlineLvl w:val="0"/>
    </w:pPr>
    <w:rPr>
      <w:rFonts w:cs="Arial"/>
      <w:b/>
      <w:bCs/>
      <w:kern w:val="32"/>
      <w:sz w:val="28"/>
      <w:szCs w:val="32"/>
    </w:rPr>
  </w:style>
  <w:style w:type="paragraph" w:styleId="Heading2">
    <w:name w:val="heading 2"/>
    <w:basedOn w:val="Normal"/>
    <w:next w:val="Normal"/>
    <w:semiHidden/>
    <w:rsid w:val="00D07419"/>
    <w:pPr>
      <w:keepNext/>
      <w:numPr>
        <w:ilvl w:val="1"/>
        <w:numId w:val="1"/>
      </w:numPr>
      <w:outlineLvl w:val="1"/>
    </w:pPr>
    <w:rPr>
      <w:rFonts w:cs="Arial"/>
      <w:b/>
      <w:bCs/>
      <w:iCs/>
      <w:szCs w:val="28"/>
    </w:rPr>
  </w:style>
  <w:style w:type="paragraph" w:styleId="Heading3">
    <w:name w:val="heading 3"/>
    <w:basedOn w:val="Normal"/>
    <w:next w:val="Normal"/>
    <w:semiHidden/>
    <w:rsid w:val="00D07419"/>
    <w:pPr>
      <w:keepNext/>
      <w:numPr>
        <w:ilvl w:val="2"/>
        <w:numId w:val="1"/>
      </w:numPr>
      <w:spacing w:line="240" w:lineRule="exact"/>
      <w:outlineLvl w:val="2"/>
    </w:pPr>
    <w:rPr>
      <w:rFonts w:cs="Arial"/>
      <w:b/>
      <w:bCs/>
      <w:szCs w:val="26"/>
    </w:rPr>
  </w:style>
  <w:style w:type="paragraph" w:styleId="Heading4">
    <w:name w:val="heading 4"/>
    <w:basedOn w:val="Normal"/>
    <w:next w:val="Normal"/>
    <w:link w:val="Heading4Char"/>
    <w:uiPriority w:val="9"/>
    <w:qFormat/>
    <w:rsid w:val="00D07419"/>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semiHidden/>
    <w:rsid w:val="00D07419"/>
    <w:pPr>
      <w:numPr>
        <w:ilvl w:val="4"/>
        <w:numId w:val="1"/>
      </w:numPr>
      <w:spacing w:before="240" w:after="60"/>
      <w:outlineLvl w:val="4"/>
    </w:pPr>
    <w:rPr>
      <w:b/>
      <w:bCs/>
      <w:i/>
      <w:iCs/>
      <w:sz w:val="26"/>
      <w:szCs w:val="26"/>
    </w:rPr>
  </w:style>
  <w:style w:type="paragraph" w:styleId="Heading6">
    <w:name w:val="heading 6"/>
    <w:basedOn w:val="Normal"/>
    <w:next w:val="Normal"/>
    <w:semiHidden/>
    <w:rsid w:val="00D0741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semiHidden/>
    <w:rsid w:val="00D07419"/>
    <w:pPr>
      <w:numPr>
        <w:ilvl w:val="6"/>
        <w:numId w:val="1"/>
      </w:numPr>
      <w:spacing w:before="240" w:after="60"/>
      <w:outlineLvl w:val="6"/>
    </w:pPr>
    <w:rPr>
      <w:rFonts w:ascii="Times New Roman" w:hAnsi="Times New Roman"/>
      <w:sz w:val="24"/>
    </w:rPr>
  </w:style>
  <w:style w:type="paragraph" w:styleId="Heading8">
    <w:name w:val="heading 8"/>
    <w:basedOn w:val="Normal"/>
    <w:next w:val="Normal"/>
    <w:semiHidden/>
    <w:rsid w:val="00D07419"/>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semiHidden/>
    <w:rsid w:val="00D0741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Normal">
    <w:name w:val="BDO_Normal"/>
    <w:uiPriority w:val="2"/>
    <w:qFormat/>
    <w:rsid w:val="001C5925"/>
    <w:pPr>
      <w:spacing w:line="280" w:lineRule="atLeast"/>
    </w:pPr>
    <w:rPr>
      <w:szCs w:val="24"/>
      <w:lang w:eastAsia="en-GB"/>
    </w:rPr>
  </w:style>
  <w:style w:type="paragraph" w:customStyle="1" w:styleId="BDOHeading1">
    <w:name w:val="BDO_Heading 1"/>
    <w:basedOn w:val="BDONormal"/>
    <w:next w:val="BDOBodyText"/>
    <w:qFormat/>
    <w:rsid w:val="002A3162"/>
    <w:pPr>
      <w:spacing w:before="240"/>
      <w:outlineLvl w:val="0"/>
    </w:pPr>
    <w:rPr>
      <w:b/>
      <w:sz w:val="28"/>
    </w:rPr>
  </w:style>
  <w:style w:type="paragraph" w:customStyle="1" w:styleId="BDOHeading2">
    <w:name w:val="BDO_Heading 2"/>
    <w:basedOn w:val="BDONormal"/>
    <w:next w:val="BDOBodyText"/>
    <w:qFormat/>
    <w:rsid w:val="002A3162"/>
    <w:pPr>
      <w:outlineLvl w:val="1"/>
    </w:pPr>
    <w:rPr>
      <w:b/>
      <w:sz w:val="24"/>
    </w:rPr>
  </w:style>
  <w:style w:type="paragraph" w:customStyle="1" w:styleId="BDOBodyText">
    <w:name w:val="BDO_Body Text"/>
    <w:basedOn w:val="BDONormal"/>
    <w:uiPriority w:val="1"/>
    <w:qFormat/>
    <w:rsid w:val="001C5925"/>
  </w:style>
  <w:style w:type="paragraph" w:customStyle="1" w:styleId="BDOBulletOne">
    <w:name w:val="BDO_Bullet One"/>
    <w:basedOn w:val="BDONormal"/>
    <w:uiPriority w:val="1"/>
    <w:qFormat/>
    <w:rsid w:val="009021BC"/>
    <w:pPr>
      <w:numPr>
        <w:numId w:val="2"/>
      </w:numPr>
      <w:spacing w:after="40"/>
      <w:contextualSpacing/>
    </w:pPr>
    <w:rPr>
      <w:color w:val="000000"/>
    </w:rPr>
  </w:style>
  <w:style w:type="paragraph" w:customStyle="1" w:styleId="BDOToAddress">
    <w:name w:val="BDO_ToAddress"/>
    <w:basedOn w:val="BDONormal"/>
    <w:uiPriority w:val="2"/>
    <w:qFormat/>
    <w:rsid w:val="005D6CB6"/>
    <w:pPr>
      <w:spacing w:after="0"/>
    </w:pPr>
  </w:style>
  <w:style w:type="paragraph" w:customStyle="1" w:styleId="BDODate">
    <w:name w:val="BDO_Date"/>
    <w:basedOn w:val="BDONormal"/>
    <w:uiPriority w:val="3"/>
    <w:qFormat/>
    <w:rsid w:val="00360B6C"/>
    <w:pPr>
      <w:spacing w:before="280"/>
    </w:pPr>
  </w:style>
  <w:style w:type="paragraph" w:customStyle="1" w:styleId="BDORef">
    <w:name w:val="BDO_Ref"/>
    <w:basedOn w:val="BDONormal"/>
    <w:uiPriority w:val="3"/>
    <w:qFormat/>
    <w:rsid w:val="00950994"/>
    <w:pPr>
      <w:spacing w:after="780"/>
    </w:pPr>
  </w:style>
  <w:style w:type="paragraph" w:customStyle="1" w:styleId="BDOAddress">
    <w:name w:val="BDO_Address"/>
    <w:uiPriority w:val="3"/>
    <w:rsid w:val="001C5925"/>
    <w:pPr>
      <w:framePr w:w="2461" w:h="964" w:hRule="exact" w:hSpace="181" w:wrap="around" w:vAnchor="page" w:hAnchor="page" w:x="5841" w:y="795"/>
      <w:shd w:val="clear" w:color="FFFFFF" w:fill="auto"/>
      <w:spacing w:after="0" w:line="240" w:lineRule="auto"/>
    </w:pPr>
    <w:rPr>
      <w:color w:val="786860"/>
      <w:sz w:val="16"/>
      <w:szCs w:val="16"/>
      <w:lang w:eastAsia="en-GB"/>
    </w:rPr>
  </w:style>
  <w:style w:type="paragraph" w:customStyle="1" w:styleId="BDOAddressBold">
    <w:name w:val="BDO_Address (Bold)"/>
    <w:basedOn w:val="BDOAddress"/>
    <w:uiPriority w:val="3"/>
    <w:rsid w:val="00950994"/>
    <w:pPr>
      <w:framePr w:wrap="around"/>
    </w:pPr>
    <w:rPr>
      <w:b/>
    </w:rPr>
  </w:style>
  <w:style w:type="paragraph" w:customStyle="1" w:styleId="BDOFooter">
    <w:name w:val="BDO_Footer"/>
    <w:uiPriority w:val="3"/>
    <w:rsid w:val="006A5A2B"/>
    <w:pPr>
      <w:framePr w:w="7927" w:h="675" w:hRule="exact" w:hSpace="181" w:wrap="around" w:vAnchor="page" w:hAnchor="page" w:x="1725" w:y="15752"/>
      <w:spacing w:after="0" w:line="240" w:lineRule="auto"/>
    </w:pPr>
    <w:rPr>
      <w:color w:val="786860"/>
      <w:sz w:val="12"/>
      <w:szCs w:val="12"/>
      <w:lang w:eastAsia="en-GB"/>
    </w:rPr>
  </w:style>
  <w:style w:type="paragraph" w:styleId="TOAHeading">
    <w:name w:val="toa heading"/>
    <w:basedOn w:val="Normal"/>
    <w:next w:val="Normal"/>
    <w:semiHidden/>
    <w:rsid w:val="00950994"/>
    <w:pPr>
      <w:spacing w:before="120"/>
    </w:pPr>
    <w:rPr>
      <w:rFonts w:ascii="Arial" w:hAnsi="Arial" w:cs="Arial"/>
      <w:b/>
      <w:bCs/>
      <w:sz w:val="24"/>
    </w:rPr>
  </w:style>
  <w:style w:type="paragraph" w:styleId="TOC1">
    <w:name w:val="toc 1"/>
    <w:basedOn w:val="Normal"/>
    <w:next w:val="Normal"/>
    <w:autoRedefine/>
    <w:semiHidden/>
    <w:rsid w:val="00950994"/>
  </w:style>
  <w:style w:type="paragraph" w:styleId="TOC2">
    <w:name w:val="toc 2"/>
    <w:basedOn w:val="Normal"/>
    <w:next w:val="Normal"/>
    <w:autoRedefine/>
    <w:semiHidden/>
    <w:rsid w:val="00950994"/>
    <w:pPr>
      <w:ind w:left="200"/>
    </w:pPr>
  </w:style>
  <w:style w:type="paragraph" w:styleId="TOC3">
    <w:name w:val="toc 3"/>
    <w:basedOn w:val="Normal"/>
    <w:next w:val="Normal"/>
    <w:autoRedefine/>
    <w:semiHidden/>
    <w:rsid w:val="00950994"/>
    <w:pPr>
      <w:ind w:left="400"/>
    </w:pPr>
  </w:style>
  <w:style w:type="paragraph" w:styleId="TOC4">
    <w:name w:val="toc 4"/>
    <w:basedOn w:val="Normal"/>
    <w:next w:val="Normal"/>
    <w:autoRedefine/>
    <w:semiHidden/>
    <w:rsid w:val="00950994"/>
    <w:pPr>
      <w:ind w:left="600"/>
    </w:pPr>
  </w:style>
  <w:style w:type="paragraph" w:styleId="TOC5">
    <w:name w:val="toc 5"/>
    <w:basedOn w:val="Normal"/>
    <w:next w:val="Normal"/>
    <w:autoRedefine/>
    <w:semiHidden/>
    <w:rsid w:val="00950994"/>
    <w:pPr>
      <w:ind w:left="800"/>
    </w:pPr>
  </w:style>
  <w:style w:type="paragraph" w:styleId="TOC6">
    <w:name w:val="toc 6"/>
    <w:basedOn w:val="Normal"/>
    <w:next w:val="Normal"/>
    <w:autoRedefine/>
    <w:semiHidden/>
    <w:rsid w:val="00950994"/>
    <w:pPr>
      <w:ind w:left="1000"/>
    </w:pPr>
  </w:style>
  <w:style w:type="paragraph" w:styleId="TOC7">
    <w:name w:val="toc 7"/>
    <w:basedOn w:val="Normal"/>
    <w:next w:val="Normal"/>
    <w:autoRedefine/>
    <w:semiHidden/>
    <w:rsid w:val="00950994"/>
    <w:pPr>
      <w:ind w:left="1200"/>
    </w:pPr>
  </w:style>
  <w:style w:type="paragraph" w:styleId="TOC8">
    <w:name w:val="toc 8"/>
    <w:basedOn w:val="Normal"/>
    <w:next w:val="Normal"/>
    <w:autoRedefine/>
    <w:semiHidden/>
    <w:rsid w:val="00950994"/>
    <w:pPr>
      <w:ind w:left="1400"/>
    </w:pPr>
  </w:style>
  <w:style w:type="paragraph" w:styleId="TOC9">
    <w:name w:val="toc 9"/>
    <w:basedOn w:val="Normal"/>
    <w:next w:val="Normal"/>
    <w:autoRedefine/>
    <w:semiHidden/>
    <w:rsid w:val="00950994"/>
    <w:pPr>
      <w:ind w:left="1600"/>
    </w:pPr>
  </w:style>
  <w:style w:type="table" w:customStyle="1" w:styleId="BDOTable">
    <w:name w:val="BDO Table"/>
    <w:basedOn w:val="TableNormal"/>
    <w:uiPriority w:val="99"/>
    <w:qFormat/>
    <w:rsid w:val="00CF6ADD"/>
    <w:pPr>
      <w:spacing w:before="60" w:line="280" w:lineRule="atLeast"/>
    </w:pPr>
    <w:rPr>
      <w:color w:val="000000"/>
      <w:sz w:val="18"/>
    </w:rPr>
    <w:tblPr>
      <w:tblStyleRowBandSize w:val="1"/>
      <w:tblInd w:w="0" w:type="dxa"/>
      <w:tblBorders>
        <w:insideH w:val="single" w:sz="4" w:space="0" w:color="FFFFFF"/>
        <w:insideV w:val="single" w:sz="4" w:space="0" w:color="FFFFFF"/>
      </w:tblBorders>
      <w:tblCellMar>
        <w:top w:w="0" w:type="dxa"/>
        <w:left w:w="108" w:type="dxa"/>
        <w:bottom w:w="85" w:type="dxa"/>
        <w:right w:w="108" w:type="dxa"/>
      </w:tblCellMar>
    </w:tblPr>
    <w:tcPr>
      <w:shd w:val="clear" w:color="auto" w:fill="F4F3F1"/>
    </w:tcPr>
    <w:tblStylePr w:type="firstRow">
      <w:rPr>
        <w:rFonts w:ascii="Trebuchet MS" w:hAnsi="Trebuchet MS"/>
        <w:b/>
        <w:color w:val="FFFFFF"/>
        <w:sz w:val="18"/>
      </w:rPr>
      <w:tblPr/>
      <w:tcPr>
        <w:tcBorders>
          <w:insideH w:val="nil"/>
        </w:tcBorders>
        <w:shd w:val="clear" w:color="auto" w:fill="ED1A3B"/>
        <w:vAlign w:val="center"/>
      </w:tcPr>
    </w:tblStylePr>
    <w:tblStylePr w:type="band1Horz">
      <w:tblPr/>
      <w:tcPr>
        <w:shd w:val="clear" w:color="auto" w:fill="F4F3F1"/>
      </w:tcPr>
    </w:tblStylePr>
    <w:tblStylePr w:type="band2Horz">
      <w:tblPr/>
      <w:tcPr>
        <w:shd w:val="clear" w:color="auto" w:fill="FFFFFF"/>
      </w:tcPr>
    </w:tblStylePr>
    <w:tblStylePr w:type="nwCell">
      <w:rPr>
        <w:rFonts w:ascii="Trebuchet MS" w:hAnsi="Trebuchet MS"/>
        <w:sz w:val="18"/>
      </w:rPr>
    </w:tblStylePr>
  </w:style>
  <w:style w:type="paragraph" w:customStyle="1" w:styleId="BDOSalutation">
    <w:name w:val="BDO_Salutation"/>
    <w:basedOn w:val="BDONormal"/>
    <w:uiPriority w:val="2"/>
    <w:qFormat/>
    <w:rsid w:val="005E0047"/>
    <w:pPr>
      <w:spacing w:before="720"/>
      <w:contextualSpacing/>
    </w:pPr>
  </w:style>
  <w:style w:type="paragraph" w:customStyle="1" w:styleId="BDOAddress2">
    <w:name w:val="BDO_Address2"/>
    <w:uiPriority w:val="3"/>
    <w:qFormat/>
    <w:rsid w:val="00E07CC4"/>
    <w:pPr>
      <w:framePr w:w="2977" w:h="964" w:hRule="exact" w:hSpace="181" w:wrap="around" w:vAnchor="page" w:hAnchor="page" w:x="8557" w:y="829"/>
      <w:shd w:val="solid" w:color="FFFFFF" w:fill="auto"/>
      <w:spacing w:after="0" w:line="240" w:lineRule="auto"/>
    </w:pPr>
    <w:rPr>
      <w:color w:val="786860"/>
      <w:sz w:val="16"/>
      <w:szCs w:val="16"/>
      <w:lang w:eastAsia="en-GB"/>
    </w:rPr>
  </w:style>
  <w:style w:type="paragraph" w:styleId="TOCHeading">
    <w:name w:val="TOC Heading"/>
    <w:basedOn w:val="Heading1"/>
    <w:next w:val="Normal"/>
    <w:uiPriority w:val="39"/>
    <w:semiHidden/>
    <w:unhideWhenUsed/>
    <w:qFormat/>
    <w:rsid w:val="0025026C"/>
    <w:pPr>
      <w:keepLines/>
      <w:spacing w:before="480" w:line="240" w:lineRule="auto"/>
      <w:outlineLvl w:val="9"/>
    </w:pPr>
    <w:rPr>
      <w:rFonts w:asciiTheme="majorHAnsi" w:eastAsiaTheme="majorEastAsia" w:hAnsiTheme="majorHAnsi" w:cstheme="majorBidi"/>
      <w:color w:val="B60E28" w:themeColor="accent1" w:themeShade="BF"/>
      <w:kern w:val="0"/>
      <w:szCs w:val="28"/>
    </w:rPr>
  </w:style>
  <w:style w:type="paragraph" w:customStyle="1" w:styleId="BDOHeading3">
    <w:name w:val="BDO_Heading 3"/>
    <w:basedOn w:val="BDOHeading2"/>
    <w:next w:val="BDOBodyText"/>
    <w:qFormat/>
    <w:rsid w:val="002A3162"/>
    <w:rPr>
      <w:b w:val="0"/>
    </w:rPr>
  </w:style>
  <w:style w:type="paragraph" w:customStyle="1" w:styleId="BDOHeading4">
    <w:name w:val="BDO_Heading 4"/>
    <w:basedOn w:val="BDONormal"/>
    <w:next w:val="BDOBodyText"/>
    <w:qFormat/>
    <w:rsid w:val="002A3162"/>
    <w:rPr>
      <w:b/>
    </w:rPr>
  </w:style>
  <w:style w:type="table" w:customStyle="1" w:styleId="BDOTable2">
    <w:name w:val="BDO Table 2"/>
    <w:basedOn w:val="BDOTable"/>
    <w:uiPriority w:val="99"/>
    <w:qFormat/>
    <w:rsid w:val="00F948E7"/>
    <w:tblPr>
      <w:tblStyleRowBandSize w:val="1"/>
      <w:tblStyleColBandSize w:val="1"/>
      <w:tblInd w:w="0" w:type="dxa"/>
      <w:tblBorders>
        <w:insideH w:val="single" w:sz="4" w:space="0" w:color="786860"/>
        <w:insideV w:val="single" w:sz="4" w:space="0" w:color="FFFFFF"/>
      </w:tblBorders>
      <w:tblCellMar>
        <w:top w:w="0" w:type="dxa"/>
        <w:left w:w="108" w:type="dxa"/>
        <w:bottom w:w="85" w:type="dxa"/>
        <w:right w:w="108" w:type="dxa"/>
      </w:tblCellMar>
    </w:tblPr>
    <w:tcPr>
      <w:shd w:val="clear" w:color="auto" w:fill="auto"/>
    </w:tcPr>
    <w:tblStylePr w:type="firstRow">
      <w:rPr>
        <w:rFonts w:ascii="Trebuchet MS" w:hAnsi="Trebuchet MS"/>
        <w:b w:val="0"/>
        <w:color w:val="000000"/>
        <w:sz w:val="18"/>
      </w:rPr>
      <w:tblPr/>
      <w:tcPr>
        <w:tcBorders>
          <w:insideH w:val="nil"/>
        </w:tcBorders>
        <w:shd w:val="clear" w:color="auto" w:fill="ED1A3B"/>
        <w:vAlign w:val="center"/>
      </w:tcPr>
    </w:tblStylePr>
    <w:tblStylePr w:type="firstCol">
      <w:rPr>
        <w:b/>
        <w:color w:val="FFFFFF"/>
      </w:rPr>
      <w:tblPr/>
      <w:tcPr>
        <w:tcBorders>
          <w:top w:val="single" w:sz="4" w:space="0" w:color="FFFFFF"/>
          <w:bottom w:val="single" w:sz="4" w:space="0" w:color="FFFFFF"/>
          <w:insideH w:val="nil"/>
        </w:tcBorders>
        <w:shd w:val="clear" w:color="auto" w:fill="ED1A3B"/>
        <w:vAlign w:val="top"/>
      </w:tcPr>
    </w:tblStylePr>
    <w:tblStylePr w:type="band1Horz">
      <w:tblPr/>
      <w:tcPr>
        <w:shd w:val="clear" w:color="auto" w:fill="FFFFFF"/>
      </w:tcPr>
    </w:tblStylePr>
    <w:tblStylePr w:type="band2Horz">
      <w:tblPr/>
      <w:tcPr>
        <w:shd w:val="clear" w:color="auto" w:fill="FFFFFF"/>
      </w:tcPr>
    </w:tblStylePr>
    <w:tblStylePr w:type="nwCell">
      <w:rPr>
        <w:rFonts w:ascii="Trebuchet MS" w:hAnsi="Trebuchet MS"/>
        <w:b/>
        <w:color w:val="FFFFFF"/>
        <w:sz w:val="18"/>
      </w:rPr>
    </w:tblStylePr>
  </w:style>
  <w:style w:type="table" w:customStyle="1" w:styleId="BDOTable3">
    <w:name w:val="BDO Table 3"/>
    <w:basedOn w:val="TableNormal"/>
    <w:uiPriority w:val="99"/>
    <w:qFormat/>
    <w:rsid w:val="00CF6ADD"/>
    <w:pPr>
      <w:spacing w:before="60" w:line="280" w:lineRule="atLeast"/>
    </w:pPr>
    <w:rPr>
      <w:color w:val="000000"/>
      <w:sz w:val="18"/>
    </w:rPr>
    <w:tblPr>
      <w:tblInd w:w="0" w:type="dxa"/>
      <w:tblBorders>
        <w:top w:val="single" w:sz="4" w:space="0" w:color="786860"/>
        <w:left w:val="single" w:sz="4" w:space="0" w:color="786860"/>
        <w:bottom w:val="single" w:sz="4" w:space="0" w:color="786860"/>
        <w:right w:val="single" w:sz="4" w:space="0" w:color="786860"/>
        <w:insideH w:val="single" w:sz="4" w:space="0" w:color="786860"/>
        <w:insideV w:val="single" w:sz="4" w:space="0" w:color="786860"/>
      </w:tblBorders>
      <w:tblCellMar>
        <w:top w:w="0" w:type="dxa"/>
        <w:left w:w="108" w:type="dxa"/>
        <w:bottom w:w="85" w:type="dxa"/>
        <w:right w:w="108" w:type="dxa"/>
      </w:tblCellMar>
    </w:tblPr>
    <w:tcPr>
      <w:shd w:val="clear" w:color="auto" w:fill="auto"/>
      <w:tcMar>
        <w:top w:w="85" w:type="dxa"/>
        <w:bottom w:w="85" w:type="dxa"/>
      </w:tcMar>
      <w:vAlign w:val="center"/>
    </w:tcPr>
    <w:tblStylePr w:type="firstRow">
      <w:rPr>
        <w:rFonts w:ascii="Trebuchet MS" w:hAnsi="Trebuchet MS"/>
        <w:b/>
        <w:color w:val="000000"/>
        <w:sz w:val="18"/>
      </w:rPr>
    </w:tblStylePr>
    <w:tblStylePr w:type="nwCell">
      <w:rPr>
        <w:rFonts w:ascii="Trebuchet MS" w:hAnsi="Trebuchet MS"/>
        <w:color w:val="000000"/>
        <w:sz w:val="18"/>
      </w:rPr>
    </w:tblStylePr>
  </w:style>
  <w:style w:type="paragraph" w:styleId="BalloonText">
    <w:name w:val="Balloon Text"/>
    <w:basedOn w:val="Normal"/>
    <w:link w:val="BalloonTextChar"/>
    <w:semiHidden/>
    <w:rsid w:val="0038461A"/>
    <w:rPr>
      <w:rFonts w:ascii="Tahoma" w:hAnsi="Tahoma" w:cs="Tahoma"/>
      <w:sz w:val="16"/>
      <w:szCs w:val="16"/>
    </w:rPr>
  </w:style>
  <w:style w:type="character" w:customStyle="1" w:styleId="BalloonTextChar">
    <w:name w:val="Balloon Text Char"/>
    <w:basedOn w:val="DefaultParagraphFont"/>
    <w:link w:val="BalloonText"/>
    <w:semiHidden/>
    <w:rsid w:val="0038461A"/>
    <w:rPr>
      <w:rFonts w:ascii="Tahoma" w:hAnsi="Tahoma" w:cs="Tahoma"/>
      <w:sz w:val="16"/>
      <w:szCs w:val="16"/>
      <w:lang w:eastAsia="en-GB"/>
    </w:rPr>
  </w:style>
  <w:style w:type="paragraph" w:styleId="Header">
    <w:name w:val="header"/>
    <w:basedOn w:val="Normal"/>
    <w:link w:val="HeaderChar"/>
    <w:semiHidden/>
    <w:locked/>
    <w:rsid w:val="00337721"/>
    <w:pPr>
      <w:tabs>
        <w:tab w:val="center" w:pos="4513"/>
        <w:tab w:val="right" w:pos="9026"/>
      </w:tabs>
      <w:spacing w:after="0" w:line="240" w:lineRule="auto"/>
    </w:pPr>
  </w:style>
  <w:style w:type="character" w:customStyle="1" w:styleId="HeaderChar">
    <w:name w:val="Header Char"/>
    <w:basedOn w:val="DefaultParagraphFont"/>
    <w:link w:val="Header"/>
    <w:semiHidden/>
    <w:rsid w:val="00D65311"/>
    <w:rPr>
      <w:szCs w:val="24"/>
      <w:lang w:eastAsia="en-GB"/>
    </w:rPr>
  </w:style>
  <w:style w:type="paragraph" w:styleId="Footer">
    <w:name w:val="footer"/>
    <w:basedOn w:val="Normal"/>
    <w:link w:val="FooterChar"/>
    <w:uiPriority w:val="99"/>
    <w:locked/>
    <w:rsid w:val="00337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311"/>
    <w:rPr>
      <w:szCs w:val="24"/>
      <w:lang w:eastAsia="en-GB"/>
    </w:rPr>
  </w:style>
  <w:style w:type="character" w:styleId="Hyperlink">
    <w:name w:val="Hyperlink"/>
    <w:basedOn w:val="DefaultParagraphFont"/>
    <w:uiPriority w:val="99"/>
    <w:semiHidden/>
    <w:locked/>
    <w:rsid w:val="00E52CCE"/>
    <w:rPr>
      <w:color w:val="22409A" w:themeColor="hyperlink"/>
      <w:u w:val="single"/>
    </w:rPr>
  </w:style>
  <w:style w:type="character" w:styleId="PlaceholderText">
    <w:name w:val="Placeholder Text"/>
    <w:basedOn w:val="DefaultParagraphFont"/>
    <w:uiPriority w:val="99"/>
    <w:semiHidden/>
    <w:rsid w:val="007B6A14"/>
    <w:rPr>
      <w:color w:val="808080"/>
    </w:rPr>
  </w:style>
  <w:style w:type="paragraph" w:customStyle="1" w:styleId="BDOPageNumbering">
    <w:name w:val="BDO_PageNumbering"/>
    <w:uiPriority w:val="3"/>
    <w:qFormat/>
    <w:rsid w:val="00CD306E"/>
    <w:pPr>
      <w:framePr w:w="340" w:h="238" w:hRule="exact" w:hSpace="181" w:wrap="around" w:vAnchor="page" w:hAnchor="page" w:x="10593" w:y="16058"/>
      <w:spacing w:after="0" w:line="170" w:lineRule="atLeast"/>
      <w:jc w:val="right"/>
    </w:pPr>
    <w:rPr>
      <w:color w:val="786860"/>
      <w:sz w:val="16"/>
      <w:szCs w:val="24"/>
      <w:lang w:eastAsia="en-GB"/>
    </w:rPr>
  </w:style>
  <w:style w:type="paragraph" w:customStyle="1" w:styleId="BDOdocid">
    <w:name w:val="BDO_doc_id"/>
    <w:basedOn w:val="BDOFooter"/>
    <w:uiPriority w:val="3"/>
    <w:qFormat/>
    <w:rsid w:val="003027FF"/>
    <w:pPr>
      <w:framePr w:w="9242" w:h="284" w:hRule="exact" w:wrap="around" w:x="1732" w:y="15219"/>
    </w:pPr>
  </w:style>
  <w:style w:type="paragraph" w:customStyle="1" w:styleId="BDOAlphaList">
    <w:name w:val="BDO_Alpha List"/>
    <w:uiPriority w:val="2"/>
    <w:qFormat/>
    <w:rsid w:val="009021BC"/>
    <w:pPr>
      <w:numPr>
        <w:numId w:val="3"/>
      </w:numPr>
      <w:spacing w:after="40" w:line="280" w:lineRule="atLeast"/>
    </w:pPr>
    <w:rPr>
      <w:color w:val="000000"/>
      <w:szCs w:val="24"/>
      <w:lang w:eastAsia="en-GB"/>
    </w:rPr>
  </w:style>
  <w:style w:type="paragraph" w:customStyle="1" w:styleId="BDOAlphaNumericList">
    <w:name w:val="BDO_Alpha Numeric List"/>
    <w:basedOn w:val="BDOBodyText"/>
    <w:uiPriority w:val="2"/>
    <w:qFormat/>
    <w:rsid w:val="009021BC"/>
    <w:pPr>
      <w:numPr>
        <w:numId w:val="4"/>
      </w:numPr>
      <w:spacing w:after="40"/>
    </w:pPr>
    <w:rPr>
      <w:color w:val="000000"/>
    </w:rPr>
  </w:style>
  <w:style w:type="paragraph" w:customStyle="1" w:styleId="BDONumericList">
    <w:name w:val="BDO_Numeric List"/>
    <w:uiPriority w:val="1"/>
    <w:rsid w:val="009021BC"/>
    <w:pPr>
      <w:numPr>
        <w:numId w:val="5"/>
      </w:numPr>
      <w:spacing w:after="40" w:line="280" w:lineRule="atLeast"/>
    </w:pPr>
    <w:rPr>
      <w:rFonts w:cs="Arial"/>
      <w:color w:val="000000"/>
    </w:rPr>
  </w:style>
  <w:style w:type="character" w:customStyle="1" w:styleId="docsearchterm">
    <w:name w:val="docsearchterm"/>
    <w:basedOn w:val="DefaultParagraphFont"/>
    <w:rsid w:val="008C4FA4"/>
  </w:style>
  <w:style w:type="paragraph" w:styleId="ListParagraph">
    <w:name w:val="List Paragraph"/>
    <w:basedOn w:val="Normal"/>
    <w:uiPriority w:val="34"/>
    <w:semiHidden/>
    <w:locked/>
    <w:rsid w:val="00C14CB3"/>
    <w:pPr>
      <w:ind w:left="720"/>
      <w:contextualSpacing/>
    </w:pPr>
  </w:style>
  <w:style w:type="paragraph" w:customStyle="1" w:styleId="Default">
    <w:name w:val="Default"/>
    <w:rsid w:val="00C14DAC"/>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semiHidden/>
    <w:unhideWhenUsed/>
    <w:locked/>
    <w:rsid w:val="0069125B"/>
    <w:pPr>
      <w:spacing w:before="100" w:beforeAutospacing="1" w:after="100" w:afterAutospacing="1" w:line="240" w:lineRule="auto"/>
    </w:pPr>
    <w:rPr>
      <w:rFonts w:ascii="Arial" w:hAnsi="Arial" w:cs="Arial"/>
      <w:color w:val="000000"/>
      <w:szCs w:val="20"/>
      <w:lang w:eastAsia="en-AU"/>
    </w:rPr>
  </w:style>
  <w:style w:type="paragraph" w:customStyle="1" w:styleId="hp">
    <w:name w:val="hp"/>
    <w:basedOn w:val="Normal"/>
    <w:rsid w:val="00C831D5"/>
    <w:pPr>
      <w:spacing w:before="100" w:beforeAutospacing="1" w:after="100" w:afterAutospacing="1" w:line="240" w:lineRule="auto"/>
    </w:pPr>
    <w:rPr>
      <w:rFonts w:ascii="Times New Roman" w:hAnsi="Times New Roman"/>
      <w:sz w:val="24"/>
      <w:lang w:eastAsia="en-AU"/>
    </w:rPr>
  </w:style>
  <w:style w:type="paragraph" w:customStyle="1" w:styleId="paragraph">
    <w:name w:val="paragraph"/>
    <w:basedOn w:val="Normal"/>
    <w:rsid w:val="00122D95"/>
    <w:pPr>
      <w:spacing w:before="100" w:beforeAutospacing="1" w:after="100" w:afterAutospacing="1" w:line="240" w:lineRule="auto"/>
    </w:pPr>
    <w:rPr>
      <w:rFonts w:ascii="Times New Roman" w:hAnsi="Times New Roman"/>
      <w:sz w:val="24"/>
      <w:lang w:eastAsia="en-AU"/>
    </w:rPr>
  </w:style>
  <w:style w:type="character" w:customStyle="1" w:styleId="Heading4Char">
    <w:name w:val="Heading 4 Char"/>
    <w:basedOn w:val="DefaultParagraphFont"/>
    <w:link w:val="Heading4"/>
    <w:uiPriority w:val="9"/>
    <w:rsid w:val="00955667"/>
    <w:rPr>
      <w:rFonts w:ascii="Times New Roman" w:hAnsi="Times New Roman"/>
      <w:b/>
      <w:bCs/>
      <w:sz w:val="28"/>
      <w:szCs w:val="28"/>
      <w:lang w:eastAsia="en-GB"/>
    </w:rPr>
  </w:style>
  <w:style w:type="character" w:styleId="Strong">
    <w:name w:val="Strong"/>
    <w:basedOn w:val="DefaultParagraphFont"/>
    <w:uiPriority w:val="22"/>
    <w:qFormat/>
    <w:locked/>
    <w:rsid w:val="001307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4518">
      <w:bodyDiv w:val="1"/>
      <w:marLeft w:val="0"/>
      <w:marRight w:val="0"/>
      <w:marTop w:val="0"/>
      <w:marBottom w:val="0"/>
      <w:divBdr>
        <w:top w:val="none" w:sz="0" w:space="0" w:color="auto"/>
        <w:left w:val="none" w:sz="0" w:space="0" w:color="auto"/>
        <w:bottom w:val="none" w:sz="0" w:space="0" w:color="auto"/>
        <w:right w:val="none" w:sz="0" w:space="0" w:color="auto"/>
      </w:divBdr>
      <w:divsChild>
        <w:div w:id="1070034161">
          <w:marLeft w:val="0"/>
          <w:marRight w:val="0"/>
          <w:marTop w:val="0"/>
          <w:marBottom w:val="0"/>
          <w:divBdr>
            <w:top w:val="none" w:sz="0" w:space="0" w:color="auto"/>
            <w:left w:val="none" w:sz="0" w:space="0" w:color="auto"/>
            <w:bottom w:val="none" w:sz="0" w:space="0" w:color="auto"/>
            <w:right w:val="none" w:sz="0" w:space="0" w:color="auto"/>
          </w:divBdr>
          <w:divsChild>
            <w:div w:id="138347288">
              <w:marLeft w:val="0"/>
              <w:marRight w:val="0"/>
              <w:marTop w:val="0"/>
              <w:marBottom w:val="0"/>
              <w:divBdr>
                <w:top w:val="none" w:sz="0" w:space="0" w:color="auto"/>
                <w:left w:val="none" w:sz="0" w:space="0" w:color="auto"/>
                <w:bottom w:val="none" w:sz="0" w:space="0" w:color="auto"/>
                <w:right w:val="none" w:sz="0" w:space="0" w:color="auto"/>
              </w:divBdr>
              <w:divsChild>
                <w:div w:id="569577727">
                  <w:marLeft w:val="0"/>
                  <w:marRight w:val="0"/>
                  <w:marTop w:val="0"/>
                  <w:marBottom w:val="0"/>
                  <w:divBdr>
                    <w:top w:val="none" w:sz="0" w:space="0" w:color="auto"/>
                    <w:left w:val="none" w:sz="0" w:space="0" w:color="auto"/>
                    <w:bottom w:val="none" w:sz="0" w:space="0" w:color="auto"/>
                    <w:right w:val="none" w:sz="0" w:space="0" w:color="auto"/>
                  </w:divBdr>
                  <w:divsChild>
                    <w:div w:id="3317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5925">
      <w:bodyDiv w:val="1"/>
      <w:marLeft w:val="0"/>
      <w:marRight w:val="0"/>
      <w:marTop w:val="0"/>
      <w:marBottom w:val="0"/>
      <w:divBdr>
        <w:top w:val="none" w:sz="0" w:space="0" w:color="auto"/>
        <w:left w:val="none" w:sz="0" w:space="0" w:color="auto"/>
        <w:bottom w:val="none" w:sz="0" w:space="0" w:color="auto"/>
        <w:right w:val="none" w:sz="0" w:space="0" w:color="auto"/>
      </w:divBdr>
    </w:div>
    <w:div w:id="277378761">
      <w:bodyDiv w:val="1"/>
      <w:marLeft w:val="0"/>
      <w:marRight w:val="0"/>
      <w:marTop w:val="0"/>
      <w:marBottom w:val="0"/>
      <w:divBdr>
        <w:top w:val="none" w:sz="0" w:space="0" w:color="auto"/>
        <w:left w:val="none" w:sz="0" w:space="0" w:color="auto"/>
        <w:bottom w:val="none" w:sz="0" w:space="0" w:color="auto"/>
        <w:right w:val="none" w:sz="0" w:space="0" w:color="auto"/>
      </w:divBdr>
      <w:divsChild>
        <w:div w:id="20086186">
          <w:marLeft w:val="0"/>
          <w:marRight w:val="0"/>
          <w:marTop w:val="0"/>
          <w:marBottom w:val="0"/>
          <w:divBdr>
            <w:top w:val="none" w:sz="0" w:space="0" w:color="auto"/>
            <w:left w:val="none" w:sz="0" w:space="0" w:color="auto"/>
            <w:bottom w:val="none" w:sz="0" w:space="0" w:color="auto"/>
            <w:right w:val="none" w:sz="0" w:space="0" w:color="auto"/>
          </w:divBdr>
          <w:divsChild>
            <w:div w:id="1252393047">
              <w:marLeft w:val="0"/>
              <w:marRight w:val="0"/>
              <w:marTop w:val="0"/>
              <w:marBottom w:val="0"/>
              <w:divBdr>
                <w:top w:val="none" w:sz="0" w:space="0" w:color="auto"/>
                <w:left w:val="none" w:sz="0" w:space="0" w:color="auto"/>
                <w:bottom w:val="none" w:sz="0" w:space="0" w:color="auto"/>
                <w:right w:val="none" w:sz="0" w:space="0" w:color="auto"/>
              </w:divBdr>
              <w:divsChild>
                <w:div w:id="1077442273">
                  <w:marLeft w:val="0"/>
                  <w:marRight w:val="0"/>
                  <w:marTop w:val="0"/>
                  <w:marBottom w:val="0"/>
                  <w:divBdr>
                    <w:top w:val="none" w:sz="0" w:space="0" w:color="auto"/>
                    <w:left w:val="none" w:sz="0" w:space="0" w:color="auto"/>
                    <w:bottom w:val="none" w:sz="0" w:space="0" w:color="auto"/>
                    <w:right w:val="none" w:sz="0" w:space="0" w:color="auto"/>
                  </w:divBdr>
                  <w:divsChild>
                    <w:div w:id="1142191694">
                      <w:marLeft w:val="3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7865">
      <w:bodyDiv w:val="1"/>
      <w:marLeft w:val="0"/>
      <w:marRight w:val="0"/>
      <w:marTop w:val="0"/>
      <w:marBottom w:val="0"/>
      <w:divBdr>
        <w:top w:val="none" w:sz="0" w:space="0" w:color="auto"/>
        <w:left w:val="none" w:sz="0" w:space="0" w:color="auto"/>
        <w:bottom w:val="none" w:sz="0" w:space="0" w:color="auto"/>
        <w:right w:val="none" w:sz="0" w:space="0" w:color="auto"/>
      </w:divBdr>
      <w:divsChild>
        <w:div w:id="1832870696">
          <w:marLeft w:val="0"/>
          <w:marRight w:val="0"/>
          <w:marTop w:val="0"/>
          <w:marBottom w:val="0"/>
          <w:divBdr>
            <w:top w:val="none" w:sz="0" w:space="0" w:color="auto"/>
            <w:left w:val="none" w:sz="0" w:space="0" w:color="auto"/>
            <w:bottom w:val="none" w:sz="0" w:space="0" w:color="auto"/>
            <w:right w:val="none" w:sz="0" w:space="0" w:color="auto"/>
          </w:divBdr>
          <w:divsChild>
            <w:div w:id="1381630695">
              <w:marLeft w:val="0"/>
              <w:marRight w:val="0"/>
              <w:marTop w:val="0"/>
              <w:marBottom w:val="0"/>
              <w:divBdr>
                <w:top w:val="none" w:sz="0" w:space="0" w:color="auto"/>
                <w:left w:val="none" w:sz="0" w:space="0" w:color="auto"/>
                <w:bottom w:val="none" w:sz="0" w:space="0" w:color="auto"/>
                <w:right w:val="none" w:sz="0" w:space="0" w:color="auto"/>
              </w:divBdr>
              <w:divsChild>
                <w:div w:id="545064759">
                  <w:marLeft w:val="0"/>
                  <w:marRight w:val="0"/>
                  <w:marTop w:val="0"/>
                  <w:marBottom w:val="0"/>
                  <w:divBdr>
                    <w:top w:val="none" w:sz="0" w:space="0" w:color="auto"/>
                    <w:left w:val="none" w:sz="0" w:space="0" w:color="auto"/>
                    <w:bottom w:val="none" w:sz="0" w:space="0" w:color="auto"/>
                    <w:right w:val="none" w:sz="0" w:space="0" w:color="auto"/>
                  </w:divBdr>
                  <w:divsChild>
                    <w:div w:id="16831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02504">
      <w:bodyDiv w:val="1"/>
      <w:marLeft w:val="0"/>
      <w:marRight w:val="0"/>
      <w:marTop w:val="0"/>
      <w:marBottom w:val="0"/>
      <w:divBdr>
        <w:top w:val="none" w:sz="0" w:space="0" w:color="auto"/>
        <w:left w:val="none" w:sz="0" w:space="0" w:color="auto"/>
        <w:bottom w:val="none" w:sz="0" w:space="0" w:color="auto"/>
        <w:right w:val="none" w:sz="0" w:space="0" w:color="auto"/>
      </w:divBdr>
    </w:div>
    <w:div w:id="772213318">
      <w:bodyDiv w:val="1"/>
      <w:marLeft w:val="0"/>
      <w:marRight w:val="0"/>
      <w:marTop w:val="0"/>
      <w:marBottom w:val="0"/>
      <w:divBdr>
        <w:top w:val="none" w:sz="0" w:space="0" w:color="auto"/>
        <w:left w:val="none" w:sz="0" w:space="0" w:color="auto"/>
        <w:bottom w:val="none" w:sz="0" w:space="0" w:color="auto"/>
        <w:right w:val="none" w:sz="0" w:space="0" w:color="auto"/>
      </w:divBdr>
    </w:div>
    <w:div w:id="917594126">
      <w:bodyDiv w:val="1"/>
      <w:marLeft w:val="0"/>
      <w:marRight w:val="0"/>
      <w:marTop w:val="0"/>
      <w:marBottom w:val="0"/>
      <w:divBdr>
        <w:top w:val="none" w:sz="0" w:space="0" w:color="auto"/>
        <w:left w:val="none" w:sz="0" w:space="0" w:color="auto"/>
        <w:bottom w:val="none" w:sz="0" w:space="0" w:color="auto"/>
        <w:right w:val="none" w:sz="0" w:space="0" w:color="auto"/>
      </w:divBdr>
      <w:divsChild>
        <w:div w:id="1881942557">
          <w:marLeft w:val="0"/>
          <w:marRight w:val="0"/>
          <w:marTop w:val="0"/>
          <w:marBottom w:val="0"/>
          <w:divBdr>
            <w:top w:val="none" w:sz="0" w:space="0" w:color="auto"/>
            <w:left w:val="none" w:sz="0" w:space="0" w:color="auto"/>
            <w:bottom w:val="none" w:sz="0" w:space="0" w:color="auto"/>
            <w:right w:val="none" w:sz="0" w:space="0" w:color="auto"/>
          </w:divBdr>
          <w:divsChild>
            <w:div w:id="293098732">
              <w:marLeft w:val="0"/>
              <w:marRight w:val="0"/>
              <w:marTop w:val="0"/>
              <w:marBottom w:val="0"/>
              <w:divBdr>
                <w:top w:val="none" w:sz="0" w:space="0" w:color="auto"/>
                <w:left w:val="none" w:sz="0" w:space="0" w:color="auto"/>
                <w:bottom w:val="none" w:sz="0" w:space="0" w:color="auto"/>
                <w:right w:val="none" w:sz="0" w:space="0" w:color="auto"/>
              </w:divBdr>
              <w:divsChild>
                <w:div w:id="1283073150">
                  <w:marLeft w:val="0"/>
                  <w:marRight w:val="0"/>
                  <w:marTop w:val="0"/>
                  <w:marBottom w:val="0"/>
                  <w:divBdr>
                    <w:top w:val="none" w:sz="0" w:space="0" w:color="auto"/>
                    <w:left w:val="none" w:sz="0" w:space="0" w:color="auto"/>
                    <w:bottom w:val="none" w:sz="0" w:space="0" w:color="auto"/>
                    <w:right w:val="none" w:sz="0" w:space="0" w:color="auto"/>
                  </w:divBdr>
                  <w:divsChild>
                    <w:div w:id="1560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40656">
      <w:bodyDiv w:val="1"/>
      <w:marLeft w:val="0"/>
      <w:marRight w:val="0"/>
      <w:marTop w:val="0"/>
      <w:marBottom w:val="0"/>
      <w:divBdr>
        <w:top w:val="none" w:sz="0" w:space="0" w:color="auto"/>
        <w:left w:val="none" w:sz="0" w:space="0" w:color="auto"/>
        <w:bottom w:val="none" w:sz="0" w:space="0" w:color="auto"/>
        <w:right w:val="none" w:sz="0" w:space="0" w:color="auto"/>
      </w:divBdr>
      <w:divsChild>
        <w:div w:id="1156645703">
          <w:marLeft w:val="0"/>
          <w:marRight w:val="0"/>
          <w:marTop w:val="0"/>
          <w:marBottom w:val="0"/>
          <w:divBdr>
            <w:top w:val="none" w:sz="0" w:space="0" w:color="auto"/>
            <w:left w:val="none" w:sz="0" w:space="0" w:color="auto"/>
            <w:bottom w:val="none" w:sz="0" w:space="0" w:color="auto"/>
            <w:right w:val="none" w:sz="0" w:space="0" w:color="auto"/>
          </w:divBdr>
          <w:divsChild>
            <w:div w:id="58863437">
              <w:marLeft w:val="0"/>
              <w:marRight w:val="0"/>
              <w:marTop w:val="0"/>
              <w:marBottom w:val="0"/>
              <w:divBdr>
                <w:top w:val="none" w:sz="0" w:space="0" w:color="auto"/>
                <w:left w:val="none" w:sz="0" w:space="0" w:color="auto"/>
                <w:bottom w:val="none" w:sz="0" w:space="0" w:color="auto"/>
                <w:right w:val="none" w:sz="0" w:space="0" w:color="auto"/>
              </w:divBdr>
              <w:divsChild>
                <w:div w:id="181288881">
                  <w:marLeft w:val="0"/>
                  <w:marRight w:val="0"/>
                  <w:marTop w:val="0"/>
                  <w:marBottom w:val="0"/>
                  <w:divBdr>
                    <w:top w:val="none" w:sz="0" w:space="0" w:color="auto"/>
                    <w:left w:val="none" w:sz="0" w:space="0" w:color="auto"/>
                    <w:bottom w:val="none" w:sz="0" w:space="0" w:color="auto"/>
                    <w:right w:val="none" w:sz="0" w:space="0" w:color="auto"/>
                  </w:divBdr>
                  <w:divsChild>
                    <w:div w:id="282270512">
                      <w:marLeft w:val="0"/>
                      <w:marRight w:val="0"/>
                      <w:marTop w:val="0"/>
                      <w:marBottom w:val="0"/>
                      <w:divBdr>
                        <w:top w:val="none" w:sz="0" w:space="0" w:color="auto"/>
                        <w:left w:val="none" w:sz="0" w:space="0" w:color="auto"/>
                        <w:bottom w:val="none" w:sz="0" w:space="0" w:color="auto"/>
                        <w:right w:val="none" w:sz="0" w:space="0" w:color="auto"/>
                      </w:divBdr>
                      <w:divsChild>
                        <w:div w:id="523903979">
                          <w:marLeft w:val="0"/>
                          <w:marRight w:val="0"/>
                          <w:marTop w:val="0"/>
                          <w:marBottom w:val="0"/>
                          <w:divBdr>
                            <w:top w:val="none" w:sz="0" w:space="0" w:color="auto"/>
                            <w:left w:val="none" w:sz="0" w:space="0" w:color="auto"/>
                            <w:bottom w:val="none" w:sz="0" w:space="0" w:color="auto"/>
                            <w:right w:val="none" w:sz="0" w:space="0" w:color="auto"/>
                          </w:divBdr>
                          <w:divsChild>
                            <w:div w:id="289750361">
                              <w:marLeft w:val="0"/>
                              <w:marRight w:val="0"/>
                              <w:marTop w:val="0"/>
                              <w:marBottom w:val="0"/>
                              <w:divBdr>
                                <w:top w:val="none" w:sz="0" w:space="0" w:color="auto"/>
                                <w:left w:val="none" w:sz="0" w:space="0" w:color="auto"/>
                                <w:bottom w:val="none" w:sz="0" w:space="0" w:color="auto"/>
                                <w:right w:val="none" w:sz="0" w:space="0" w:color="auto"/>
                              </w:divBdr>
                              <w:divsChild>
                                <w:div w:id="1766538004">
                                  <w:marLeft w:val="0"/>
                                  <w:marRight w:val="0"/>
                                  <w:marTop w:val="0"/>
                                  <w:marBottom w:val="0"/>
                                  <w:divBdr>
                                    <w:top w:val="none" w:sz="0" w:space="0" w:color="auto"/>
                                    <w:left w:val="none" w:sz="0" w:space="0" w:color="auto"/>
                                    <w:bottom w:val="none" w:sz="0" w:space="0" w:color="auto"/>
                                    <w:right w:val="none" w:sz="0" w:space="0" w:color="auto"/>
                                  </w:divBdr>
                                  <w:divsChild>
                                    <w:div w:id="1529683773">
                                      <w:marLeft w:val="0"/>
                                      <w:marRight w:val="0"/>
                                      <w:marTop w:val="0"/>
                                      <w:marBottom w:val="0"/>
                                      <w:divBdr>
                                        <w:top w:val="none" w:sz="0" w:space="0" w:color="auto"/>
                                        <w:left w:val="none" w:sz="0" w:space="0" w:color="auto"/>
                                        <w:bottom w:val="none" w:sz="0" w:space="0" w:color="auto"/>
                                        <w:right w:val="none" w:sz="0" w:space="0" w:color="auto"/>
                                      </w:divBdr>
                                      <w:divsChild>
                                        <w:div w:id="1182354500">
                                          <w:marLeft w:val="0"/>
                                          <w:marRight w:val="0"/>
                                          <w:marTop w:val="0"/>
                                          <w:marBottom w:val="0"/>
                                          <w:divBdr>
                                            <w:top w:val="none" w:sz="0" w:space="0" w:color="auto"/>
                                            <w:left w:val="none" w:sz="0" w:space="0" w:color="auto"/>
                                            <w:bottom w:val="none" w:sz="0" w:space="0" w:color="auto"/>
                                            <w:right w:val="none" w:sz="0" w:space="0" w:color="auto"/>
                                          </w:divBdr>
                                          <w:divsChild>
                                            <w:div w:id="1380472923">
                                              <w:marLeft w:val="0"/>
                                              <w:marRight w:val="0"/>
                                              <w:marTop w:val="0"/>
                                              <w:marBottom w:val="0"/>
                                              <w:divBdr>
                                                <w:top w:val="none" w:sz="0" w:space="0" w:color="auto"/>
                                                <w:left w:val="none" w:sz="0" w:space="0" w:color="auto"/>
                                                <w:bottom w:val="none" w:sz="0" w:space="0" w:color="auto"/>
                                                <w:right w:val="none" w:sz="0" w:space="0" w:color="auto"/>
                                              </w:divBdr>
                                              <w:divsChild>
                                                <w:div w:id="1051660488">
                                                  <w:marLeft w:val="0"/>
                                                  <w:marRight w:val="0"/>
                                                  <w:marTop w:val="0"/>
                                                  <w:marBottom w:val="0"/>
                                                  <w:divBdr>
                                                    <w:top w:val="none" w:sz="0" w:space="0" w:color="auto"/>
                                                    <w:left w:val="none" w:sz="0" w:space="0" w:color="auto"/>
                                                    <w:bottom w:val="none" w:sz="0" w:space="0" w:color="auto"/>
                                                    <w:right w:val="none" w:sz="0" w:space="0" w:color="auto"/>
                                                  </w:divBdr>
                                                  <w:divsChild>
                                                    <w:div w:id="1520461983">
                                                      <w:marLeft w:val="0"/>
                                                      <w:marRight w:val="0"/>
                                                      <w:marTop w:val="0"/>
                                                      <w:marBottom w:val="0"/>
                                                      <w:divBdr>
                                                        <w:top w:val="none" w:sz="0" w:space="0" w:color="auto"/>
                                                        <w:left w:val="none" w:sz="0" w:space="0" w:color="auto"/>
                                                        <w:bottom w:val="none" w:sz="0" w:space="0" w:color="auto"/>
                                                        <w:right w:val="none" w:sz="0" w:space="0" w:color="auto"/>
                                                      </w:divBdr>
                                                      <w:divsChild>
                                                        <w:div w:id="2087147795">
                                                          <w:marLeft w:val="0"/>
                                                          <w:marRight w:val="0"/>
                                                          <w:marTop w:val="0"/>
                                                          <w:marBottom w:val="0"/>
                                                          <w:divBdr>
                                                            <w:top w:val="none" w:sz="0" w:space="0" w:color="auto"/>
                                                            <w:left w:val="none" w:sz="0" w:space="0" w:color="auto"/>
                                                            <w:bottom w:val="none" w:sz="0" w:space="0" w:color="auto"/>
                                                            <w:right w:val="none" w:sz="0" w:space="0" w:color="auto"/>
                                                          </w:divBdr>
                                                          <w:divsChild>
                                                            <w:div w:id="273173439">
                                                              <w:marLeft w:val="0"/>
                                                              <w:marRight w:val="0"/>
                                                              <w:marTop w:val="0"/>
                                                              <w:marBottom w:val="0"/>
                                                              <w:divBdr>
                                                                <w:top w:val="none" w:sz="0" w:space="0" w:color="auto"/>
                                                                <w:left w:val="none" w:sz="0" w:space="0" w:color="auto"/>
                                                                <w:bottom w:val="none" w:sz="0" w:space="0" w:color="auto"/>
                                                                <w:right w:val="none" w:sz="0" w:space="0" w:color="auto"/>
                                                              </w:divBdr>
                                                              <w:divsChild>
                                                                <w:div w:id="6047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7351667">
      <w:bodyDiv w:val="1"/>
      <w:marLeft w:val="0"/>
      <w:marRight w:val="0"/>
      <w:marTop w:val="0"/>
      <w:marBottom w:val="0"/>
      <w:divBdr>
        <w:top w:val="none" w:sz="0" w:space="0" w:color="auto"/>
        <w:left w:val="none" w:sz="0" w:space="0" w:color="auto"/>
        <w:bottom w:val="none" w:sz="0" w:space="0" w:color="auto"/>
        <w:right w:val="none" w:sz="0" w:space="0" w:color="auto"/>
      </w:divBdr>
      <w:divsChild>
        <w:div w:id="45571117">
          <w:marLeft w:val="0"/>
          <w:marRight w:val="0"/>
          <w:marTop w:val="0"/>
          <w:marBottom w:val="0"/>
          <w:divBdr>
            <w:top w:val="none" w:sz="0" w:space="0" w:color="auto"/>
            <w:left w:val="none" w:sz="0" w:space="0" w:color="auto"/>
            <w:bottom w:val="none" w:sz="0" w:space="0" w:color="auto"/>
            <w:right w:val="none" w:sz="0" w:space="0" w:color="auto"/>
          </w:divBdr>
          <w:divsChild>
            <w:div w:id="717049158">
              <w:marLeft w:val="0"/>
              <w:marRight w:val="0"/>
              <w:marTop w:val="0"/>
              <w:marBottom w:val="0"/>
              <w:divBdr>
                <w:top w:val="none" w:sz="0" w:space="0" w:color="auto"/>
                <w:left w:val="none" w:sz="0" w:space="0" w:color="auto"/>
                <w:bottom w:val="none" w:sz="0" w:space="0" w:color="auto"/>
                <w:right w:val="none" w:sz="0" w:space="0" w:color="auto"/>
              </w:divBdr>
              <w:divsChild>
                <w:div w:id="1455557754">
                  <w:marLeft w:val="0"/>
                  <w:marRight w:val="0"/>
                  <w:marTop w:val="0"/>
                  <w:marBottom w:val="0"/>
                  <w:divBdr>
                    <w:top w:val="none" w:sz="0" w:space="0" w:color="auto"/>
                    <w:left w:val="none" w:sz="0" w:space="0" w:color="auto"/>
                    <w:bottom w:val="none" w:sz="0" w:space="0" w:color="auto"/>
                    <w:right w:val="none" w:sz="0" w:space="0" w:color="auto"/>
                  </w:divBdr>
                  <w:divsChild>
                    <w:div w:id="10622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5398">
      <w:bodyDiv w:val="1"/>
      <w:marLeft w:val="0"/>
      <w:marRight w:val="0"/>
      <w:marTop w:val="0"/>
      <w:marBottom w:val="0"/>
      <w:divBdr>
        <w:top w:val="none" w:sz="0" w:space="0" w:color="auto"/>
        <w:left w:val="none" w:sz="0" w:space="0" w:color="auto"/>
        <w:bottom w:val="none" w:sz="0" w:space="0" w:color="auto"/>
        <w:right w:val="none" w:sz="0" w:space="0" w:color="auto"/>
      </w:divBdr>
      <w:divsChild>
        <w:div w:id="82728011">
          <w:marLeft w:val="0"/>
          <w:marRight w:val="0"/>
          <w:marTop w:val="0"/>
          <w:marBottom w:val="0"/>
          <w:divBdr>
            <w:top w:val="none" w:sz="0" w:space="0" w:color="auto"/>
            <w:left w:val="none" w:sz="0" w:space="0" w:color="auto"/>
            <w:bottom w:val="none" w:sz="0" w:space="0" w:color="auto"/>
            <w:right w:val="none" w:sz="0" w:space="0" w:color="auto"/>
          </w:divBdr>
          <w:divsChild>
            <w:div w:id="1304045954">
              <w:marLeft w:val="0"/>
              <w:marRight w:val="0"/>
              <w:marTop w:val="0"/>
              <w:marBottom w:val="0"/>
              <w:divBdr>
                <w:top w:val="none" w:sz="0" w:space="0" w:color="auto"/>
                <w:left w:val="none" w:sz="0" w:space="0" w:color="auto"/>
                <w:bottom w:val="none" w:sz="0" w:space="0" w:color="auto"/>
                <w:right w:val="none" w:sz="0" w:space="0" w:color="auto"/>
              </w:divBdr>
              <w:divsChild>
                <w:div w:id="411588463">
                  <w:marLeft w:val="0"/>
                  <w:marRight w:val="0"/>
                  <w:marTop w:val="0"/>
                  <w:marBottom w:val="0"/>
                  <w:divBdr>
                    <w:top w:val="none" w:sz="0" w:space="0" w:color="auto"/>
                    <w:left w:val="none" w:sz="0" w:space="0" w:color="auto"/>
                    <w:bottom w:val="none" w:sz="0" w:space="0" w:color="auto"/>
                    <w:right w:val="none" w:sz="0" w:space="0" w:color="auto"/>
                  </w:divBdr>
                  <w:divsChild>
                    <w:div w:id="722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2617">
      <w:bodyDiv w:val="1"/>
      <w:marLeft w:val="0"/>
      <w:marRight w:val="0"/>
      <w:marTop w:val="0"/>
      <w:marBottom w:val="0"/>
      <w:divBdr>
        <w:top w:val="none" w:sz="0" w:space="0" w:color="auto"/>
        <w:left w:val="none" w:sz="0" w:space="0" w:color="auto"/>
        <w:bottom w:val="none" w:sz="0" w:space="0" w:color="auto"/>
        <w:right w:val="none" w:sz="0" w:space="0" w:color="auto"/>
      </w:divBdr>
      <w:divsChild>
        <w:div w:id="1658995062">
          <w:marLeft w:val="0"/>
          <w:marRight w:val="0"/>
          <w:marTop w:val="0"/>
          <w:marBottom w:val="0"/>
          <w:divBdr>
            <w:top w:val="none" w:sz="0" w:space="0" w:color="auto"/>
            <w:left w:val="none" w:sz="0" w:space="0" w:color="auto"/>
            <w:bottom w:val="none" w:sz="0" w:space="0" w:color="auto"/>
            <w:right w:val="none" w:sz="0" w:space="0" w:color="auto"/>
          </w:divBdr>
          <w:divsChild>
            <w:div w:id="1330258238">
              <w:marLeft w:val="0"/>
              <w:marRight w:val="0"/>
              <w:marTop w:val="0"/>
              <w:marBottom w:val="0"/>
              <w:divBdr>
                <w:top w:val="none" w:sz="0" w:space="0" w:color="auto"/>
                <w:left w:val="none" w:sz="0" w:space="0" w:color="auto"/>
                <w:bottom w:val="none" w:sz="0" w:space="0" w:color="auto"/>
                <w:right w:val="none" w:sz="0" w:space="0" w:color="auto"/>
              </w:divBdr>
              <w:divsChild>
                <w:div w:id="862016720">
                  <w:marLeft w:val="0"/>
                  <w:marRight w:val="0"/>
                  <w:marTop w:val="0"/>
                  <w:marBottom w:val="0"/>
                  <w:divBdr>
                    <w:top w:val="none" w:sz="0" w:space="0" w:color="auto"/>
                    <w:left w:val="none" w:sz="0" w:space="0" w:color="auto"/>
                    <w:bottom w:val="none" w:sz="0" w:space="0" w:color="auto"/>
                    <w:right w:val="none" w:sz="0" w:space="0" w:color="auto"/>
                  </w:divBdr>
                  <w:divsChild>
                    <w:div w:id="806972228">
                      <w:marLeft w:val="0"/>
                      <w:marRight w:val="0"/>
                      <w:marTop w:val="0"/>
                      <w:marBottom w:val="0"/>
                      <w:divBdr>
                        <w:top w:val="none" w:sz="0" w:space="0" w:color="auto"/>
                        <w:left w:val="none" w:sz="0" w:space="0" w:color="auto"/>
                        <w:bottom w:val="none" w:sz="0" w:space="0" w:color="auto"/>
                        <w:right w:val="none" w:sz="0" w:space="0" w:color="auto"/>
                      </w:divBdr>
                      <w:divsChild>
                        <w:div w:id="1086608081">
                          <w:marLeft w:val="0"/>
                          <w:marRight w:val="0"/>
                          <w:marTop w:val="0"/>
                          <w:marBottom w:val="0"/>
                          <w:divBdr>
                            <w:top w:val="none" w:sz="0" w:space="0" w:color="auto"/>
                            <w:left w:val="none" w:sz="0" w:space="0" w:color="auto"/>
                            <w:bottom w:val="none" w:sz="0" w:space="0" w:color="auto"/>
                            <w:right w:val="none" w:sz="0" w:space="0" w:color="auto"/>
                          </w:divBdr>
                          <w:divsChild>
                            <w:div w:id="1681807508">
                              <w:marLeft w:val="0"/>
                              <w:marRight w:val="0"/>
                              <w:marTop w:val="0"/>
                              <w:marBottom w:val="0"/>
                              <w:divBdr>
                                <w:top w:val="none" w:sz="0" w:space="0" w:color="auto"/>
                                <w:left w:val="none" w:sz="0" w:space="0" w:color="auto"/>
                                <w:bottom w:val="none" w:sz="0" w:space="0" w:color="auto"/>
                                <w:right w:val="none" w:sz="0" w:space="0" w:color="auto"/>
                              </w:divBdr>
                              <w:divsChild>
                                <w:div w:id="1366979945">
                                  <w:marLeft w:val="0"/>
                                  <w:marRight w:val="0"/>
                                  <w:marTop w:val="0"/>
                                  <w:marBottom w:val="0"/>
                                  <w:divBdr>
                                    <w:top w:val="none" w:sz="0" w:space="0" w:color="auto"/>
                                    <w:left w:val="none" w:sz="0" w:space="0" w:color="auto"/>
                                    <w:bottom w:val="none" w:sz="0" w:space="0" w:color="auto"/>
                                    <w:right w:val="none" w:sz="0" w:space="0" w:color="auto"/>
                                  </w:divBdr>
                                  <w:divsChild>
                                    <w:div w:id="2047292695">
                                      <w:marLeft w:val="0"/>
                                      <w:marRight w:val="0"/>
                                      <w:marTop w:val="0"/>
                                      <w:marBottom w:val="0"/>
                                      <w:divBdr>
                                        <w:top w:val="none" w:sz="0" w:space="0" w:color="auto"/>
                                        <w:left w:val="none" w:sz="0" w:space="0" w:color="auto"/>
                                        <w:bottom w:val="none" w:sz="0" w:space="0" w:color="auto"/>
                                        <w:right w:val="none" w:sz="0" w:space="0" w:color="auto"/>
                                      </w:divBdr>
                                      <w:divsChild>
                                        <w:div w:id="1435519965">
                                          <w:marLeft w:val="0"/>
                                          <w:marRight w:val="0"/>
                                          <w:marTop w:val="0"/>
                                          <w:marBottom w:val="0"/>
                                          <w:divBdr>
                                            <w:top w:val="none" w:sz="0" w:space="0" w:color="auto"/>
                                            <w:left w:val="none" w:sz="0" w:space="0" w:color="auto"/>
                                            <w:bottom w:val="none" w:sz="0" w:space="0" w:color="auto"/>
                                            <w:right w:val="none" w:sz="0" w:space="0" w:color="auto"/>
                                          </w:divBdr>
                                          <w:divsChild>
                                            <w:div w:id="910696612">
                                              <w:marLeft w:val="0"/>
                                              <w:marRight w:val="0"/>
                                              <w:marTop w:val="0"/>
                                              <w:marBottom w:val="0"/>
                                              <w:divBdr>
                                                <w:top w:val="none" w:sz="0" w:space="0" w:color="auto"/>
                                                <w:left w:val="none" w:sz="0" w:space="0" w:color="auto"/>
                                                <w:bottom w:val="none" w:sz="0" w:space="0" w:color="auto"/>
                                                <w:right w:val="none" w:sz="0" w:space="0" w:color="auto"/>
                                              </w:divBdr>
                                              <w:divsChild>
                                                <w:div w:id="1806774116">
                                                  <w:marLeft w:val="0"/>
                                                  <w:marRight w:val="0"/>
                                                  <w:marTop w:val="0"/>
                                                  <w:marBottom w:val="0"/>
                                                  <w:divBdr>
                                                    <w:top w:val="none" w:sz="0" w:space="0" w:color="auto"/>
                                                    <w:left w:val="none" w:sz="0" w:space="0" w:color="auto"/>
                                                    <w:bottom w:val="none" w:sz="0" w:space="0" w:color="auto"/>
                                                    <w:right w:val="none" w:sz="0" w:space="0" w:color="auto"/>
                                                  </w:divBdr>
                                                  <w:divsChild>
                                                    <w:div w:id="1915167225">
                                                      <w:marLeft w:val="0"/>
                                                      <w:marRight w:val="0"/>
                                                      <w:marTop w:val="0"/>
                                                      <w:marBottom w:val="0"/>
                                                      <w:divBdr>
                                                        <w:top w:val="none" w:sz="0" w:space="0" w:color="auto"/>
                                                        <w:left w:val="none" w:sz="0" w:space="0" w:color="auto"/>
                                                        <w:bottom w:val="none" w:sz="0" w:space="0" w:color="auto"/>
                                                        <w:right w:val="none" w:sz="0" w:space="0" w:color="auto"/>
                                                      </w:divBdr>
                                                      <w:divsChild>
                                                        <w:div w:id="1096511465">
                                                          <w:marLeft w:val="0"/>
                                                          <w:marRight w:val="0"/>
                                                          <w:marTop w:val="0"/>
                                                          <w:marBottom w:val="0"/>
                                                          <w:divBdr>
                                                            <w:top w:val="none" w:sz="0" w:space="0" w:color="auto"/>
                                                            <w:left w:val="none" w:sz="0" w:space="0" w:color="auto"/>
                                                            <w:bottom w:val="none" w:sz="0" w:space="0" w:color="auto"/>
                                                            <w:right w:val="none" w:sz="0" w:space="0" w:color="auto"/>
                                                          </w:divBdr>
                                                          <w:divsChild>
                                                            <w:div w:id="1083603718">
                                                              <w:marLeft w:val="0"/>
                                                              <w:marRight w:val="0"/>
                                                              <w:marTop w:val="0"/>
                                                              <w:marBottom w:val="0"/>
                                                              <w:divBdr>
                                                                <w:top w:val="none" w:sz="0" w:space="0" w:color="auto"/>
                                                                <w:left w:val="none" w:sz="0" w:space="0" w:color="auto"/>
                                                                <w:bottom w:val="none" w:sz="0" w:space="0" w:color="auto"/>
                                                                <w:right w:val="none" w:sz="0" w:space="0" w:color="auto"/>
                                                              </w:divBdr>
                                                              <w:divsChild>
                                                                <w:div w:id="1015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3133327">
      <w:bodyDiv w:val="1"/>
      <w:marLeft w:val="0"/>
      <w:marRight w:val="0"/>
      <w:marTop w:val="0"/>
      <w:marBottom w:val="0"/>
      <w:divBdr>
        <w:top w:val="none" w:sz="0" w:space="0" w:color="auto"/>
        <w:left w:val="none" w:sz="0" w:space="0" w:color="auto"/>
        <w:bottom w:val="none" w:sz="0" w:space="0" w:color="auto"/>
        <w:right w:val="none" w:sz="0" w:space="0" w:color="auto"/>
      </w:divBdr>
      <w:divsChild>
        <w:div w:id="1049767899">
          <w:marLeft w:val="0"/>
          <w:marRight w:val="0"/>
          <w:marTop w:val="0"/>
          <w:marBottom w:val="0"/>
          <w:divBdr>
            <w:top w:val="none" w:sz="0" w:space="0" w:color="auto"/>
            <w:left w:val="none" w:sz="0" w:space="0" w:color="auto"/>
            <w:bottom w:val="none" w:sz="0" w:space="0" w:color="auto"/>
            <w:right w:val="none" w:sz="0" w:space="0" w:color="auto"/>
          </w:divBdr>
          <w:divsChild>
            <w:div w:id="222913484">
              <w:marLeft w:val="0"/>
              <w:marRight w:val="0"/>
              <w:marTop w:val="0"/>
              <w:marBottom w:val="0"/>
              <w:divBdr>
                <w:top w:val="none" w:sz="0" w:space="0" w:color="auto"/>
                <w:left w:val="none" w:sz="0" w:space="0" w:color="auto"/>
                <w:bottom w:val="none" w:sz="0" w:space="0" w:color="auto"/>
                <w:right w:val="none" w:sz="0" w:space="0" w:color="auto"/>
              </w:divBdr>
              <w:divsChild>
                <w:div w:id="1156722688">
                  <w:marLeft w:val="0"/>
                  <w:marRight w:val="0"/>
                  <w:marTop w:val="0"/>
                  <w:marBottom w:val="0"/>
                  <w:divBdr>
                    <w:top w:val="none" w:sz="0" w:space="0" w:color="auto"/>
                    <w:left w:val="none" w:sz="0" w:space="0" w:color="auto"/>
                    <w:bottom w:val="none" w:sz="0" w:space="0" w:color="auto"/>
                    <w:right w:val="none" w:sz="0" w:space="0" w:color="auto"/>
                  </w:divBdr>
                  <w:divsChild>
                    <w:div w:id="14163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stlii.edu.au/au/legis/cth/num_act/ca2001172/s9.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corporatereportingreforms@treasury.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j:\docs\templates\BDO_letterhead_A4.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C91065178A46B3903027FA3548563E"/>
        <w:category>
          <w:name w:val="General"/>
          <w:gallery w:val="placeholder"/>
        </w:category>
        <w:types>
          <w:type w:val="bbPlcHdr"/>
        </w:types>
        <w:behaviors>
          <w:behavior w:val="content"/>
        </w:behaviors>
        <w:guid w:val="{AAEB804A-A7A2-45C0-B5B7-B0EEB8E2EEBF}"/>
      </w:docPartPr>
      <w:docPartBody>
        <w:p w:rsidR="009A5E4D" w:rsidRDefault="009A5E4D">
          <w:pPr>
            <w:pStyle w:val="A0C91065178A46B3903027FA3548563E"/>
          </w:pPr>
          <w:r w:rsidRPr="00213A54">
            <w:rPr>
              <w:rStyle w:val="PlaceholderText"/>
            </w:rPr>
            <w:t>Click here to enter text.</w:t>
          </w:r>
        </w:p>
      </w:docPartBody>
    </w:docPart>
    <w:docPart>
      <w:docPartPr>
        <w:name w:val="05F9D8DFDB124E658985A990289827F7"/>
        <w:category>
          <w:name w:val="General"/>
          <w:gallery w:val="placeholder"/>
        </w:category>
        <w:types>
          <w:type w:val="bbPlcHdr"/>
        </w:types>
        <w:behaviors>
          <w:behavior w:val="content"/>
        </w:behaviors>
        <w:guid w:val="{80C5D50D-E071-41E3-A121-A9EEEB6F5453}"/>
      </w:docPartPr>
      <w:docPartBody>
        <w:p w:rsidR="00F0385F" w:rsidRDefault="009A5E4D" w:rsidP="00F0385F">
          <w:pPr>
            <w:tabs>
              <w:tab w:val="left" w:pos="567"/>
            </w:tabs>
            <w:spacing w:after="0" w:line="280" w:lineRule="exact"/>
            <w:ind w:left="567" w:hanging="567"/>
          </w:pPr>
          <w:r>
            <w:t>Sdfsafd</w:t>
          </w:r>
        </w:p>
        <w:p w:rsidR="009A5E4D" w:rsidRDefault="009A5E4D">
          <w:pPr>
            <w:pStyle w:val="05F9D8DFDB124E658985A990289827F7"/>
          </w:pPr>
          <w:r>
            <w:t>dfasdf</w:t>
          </w:r>
          <w:r w:rsidRPr="00932976">
            <w:t xml:space="preserve"> </w:t>
          </w:r>
        </w:p>
      </w:docPartBody>
    </w:docPart>
    <w:docPart>
      <w:docPartPr>
        <w:name w:val="4F7CBA5EBB5449BFBD2E530B32021AEF"/>
        <w:category>
          <w:name w:val="General"/>
          <w:gallery w:val="placeholder"/>
        </w:category>
        <w:types>
          <w:type w:val="bbPlcHdr"/>
        </w:types>
        <w:behaviors>
          <w:behavior w:val="content"/>
        </w:behaviors>
        <w:guid w:val="{D08F75A0-FA64-41DF-876E-620F34D62E51}"/>
      </w:docPartPr>
      <w:docPartBody>
        <w:p w:rsidR="00F0385F" w:rsidRDefault="009A5E4D" w:rsidP="00F0385F">
          <w:pPr>
            <w:tabs>
              <w:tab w:val="left" w:pos="567"/>
            </w:tabs>
            <w:spacing w:after="0" w:line="280" w:lineRule="exact"/>
            <w:ind w:left="567" w:hanging="567"/>
          </w:pPr>
          <w:r>
            <w:t>Sdfsafd</w:t>
          </w:r>
        </w:p>
        <w:p w:rsidR="009A5E4D" w:rsidRDefault="009A5E4D">
          <w:pPr>
            <w:pStyle w:val="4F7CBA5EBB5449BFBD2E530B32021AEF"/>
          </w:pPr>
          <w:r>
            <w:t>dfasdf</w:t>
          </w:r>
          <w:r w:rsidRPr="0093297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9A5E4D"/>
    <w:rsid w:val="000C5C8F"/>
    <w:rsid w:val="001A1881"/>
    <w:rsid w:val="001C2AF6"/>
    <w:rsid w:val="001C5CF2"/>
    <w:rsid w:val="00271B16"/>
    <w:rsid w:val="002A0044"/>
    <w:rsid w:val="002C2FC4"/>
    <w:rsid w:val="002E3DE6"/>
    <w:rsid w:val="0037245F"/>
    <w:rsid w:val="003A604B"/>
    <w:rsid w:val="004112E4"/>
    <w:rsid w:val="0048147A"/>
    <w:rsid w:val="004C4F24"/>
    <w:rsid w:val="006429CB"/>
    <w:rsid w:val="00651825"/>
    <w:rsid w:val="00654EB7"/>
    <w:rsid w:val="007370A7"/>
    <w:rsid w:val="007E167D"/>
    <w:rsid w:val="00913EAA"/>
    <w:rsid w:val="009A5E4D"/>
    <w:rsid w:val="009C4FA4"/>
    <w:rsid w:val="00A30A70"/>
    <w:rsid w:val="00B32992"/>
    <w:rsid w:val="00BA2B3B"/>
    <w:rsid w:val="00BD14F2"/>
    <w:rsid w:val="00CC3E30"/>
    <w:rsid w:val="00CE702B"/>
    <w:rsid w:val="00D02374"/>
    <w:rsid w:val="00DE453B"/>
    <w:rsid w:val="00E4070C"/>
    <w:rsid w:val="00E82F66"/>
    <w:rsid w:val="00EB10F8"/>
    <w:rsid w:val="00EF12C8"/>
    <w:rsid w:val="00F0385F"/>
    <w:rsid w:val="00FC34B1"/>
    <w:rsid w:val="00FE6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E4D"/>
    <w:rPr>
      <w:color w:val="808080"/>
    </w:rPr>
  </w:style>
  <w:style w:type="paragraph" w:customStyle="1" w:styleId="A0C91065178A46B3903027FA3548563E">
    <w:name w:val="A0C91065178A46B3903027FA3548563E"/>
    <w:rsid w:val="009A5E4D"/>
  </w:style>
  <w:style w:type="paragraph" w:customStyle="1" w:styleId="05F9D8DFDB124E658985A990289827F7">
    <w:name w:val="05F9D8DFDB124E658985A990289827F7"/>
    <w:rsid w:val="009A5E4D"/>
  </w:style>
  <w:style w:type="paragraph" w:customStyle="1" w:styleId="4F7CBA5EBB5449BFBD2E530B32021AEF">
    <w:name w:val="4F7CBA5EBB5449BFBD2E530B32021AEF"/>
    <w:rsid w:val="009A5E4D"/>
  </w:style>
  <w:style w:type="paragraph" w:customStyle="1" w:styleId="BDOAddress2">
    <w:name w:val="BDO_Address2"/>
    <w:uiPriority w:val="3"/>
    <w:qFormat/>
    <w:rsid w:val="009A5E4D"/>
    <w:pPr>
      <w:framePr w:w="2977" w:h="964" w:hRule="exact" w:hSpace="181" w:wrap="around" w:vAnchor="page" w:hAnchor="page" w:x="8557" w:y="795"/>
      <w:shd w:val="solid" w:color="FFFFFF" w:fill="auto"/>
      <w:spacing w:after="0" w:line="240" w:lineRule="auto"/>
    </w:pPr>
    <w:rPr>
      <w:rFonts w:ascii="Trebuchet MS" w:eastAsia="Times New Roman" w:hAnsi="Trebuchet MS" w:cs="Times New Roman"/>
      <w:color w:val="786860"/>
      <w:sz w:val="16"/>
      <w:szCs w:val="16"/>
      <w:lang w:eastAsia="en-GB"/>
    </w:rPr>
  </w:style>
  <w:style w:type="paragraph" w:customStyle="1" w:styleId="78B7D6BC305C45F98DBD9EB51763CEF6">
    <w:name w:val="78B7D6BC305C45F98DBD9EB51763CEF6"/>
    <w:rsid w:val="009A5E4D"/>
  </w:style>
  <w:style w:type="paragraph" w:customStyle="1" w:styleId="BDOFooter">
    <w:name w:val="BDO_Footer"/>
    <w:basedOn w:val="Normal"/>
    <w:uiPriority w:val="3"/>
    <w:rsid w:val="009A5E4D"/>
    <w:pPr>
      <w:framePr w:w="9072" w:h="794" w:hRule="exact" w:hSpace="181" w:wrap="around" w:vAnchor="page" w:hAnchor="page" w:x="1725" w:y="15616"/>
      <w:shd w:val="solid" w:color="FFFFFF" w:fill="FFFFFF"/>
      <w:spacing w:after="0" w:line="240" w:lineRule="auto"/>
      <w:ind w:right="-397"/>
    </w:pPr>
    <w:rPr>
      <w:rFonts w:ascii="Trebuchet MS" w:eastAsia="Times New Roman" w:hAnsi="Trebuchet MS" w:cs="Times New Roman"/>
      <w:color w:val="786860"/>
      <w:sz w:val="12"/>
      <w:szCs w:val="12"/>
      <w:lang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BDO">
  <a:themeElements>
    <a:clrScheme name="BDO">
      <a:dk1>
        <a:srgbClr val="22409A"/>
      </a:dk1>
      <a:lt1>
        <a:srgbClr val="FFFFFF"/>
      </a:lt1>
      <a:dk2>
        <a:srgbClr val="786860"/>
      </a:dk2>
      <a:lt2>
        <a:srgbClr val="000000"/>
      </a:lt2>
      <a:accent1>
        <a:srgbClr val="ED1A3B"/>
      </a:accent1>
      <a:accent2>
        <a:srgbClr val="2EB0A4"/>
      </a:accent2>
      <a:accent3>
        <a:srgbClr val="62CAE3"/>
      </a:accent3>
      <a:accent4>
        <a:srgbClr val="FFE39C"/>
      </a:accent4>
      <a:accent5>
        <a:srgbClr val="F6A1A8"/>
      </a:accent5>
      <a:accent6>
        <a:srgbClr val="98002E"/>
      </a:accent6>
      <a:hlink>
        <a:srgbClr val="22409A"/>
      </a:hlink>
      <a:folHlink>
        <a:srgbClr val="98002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0CCE1-316B-412E-BA6E-5CB96819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BDO_letterhead_A4.dotm</Template>
  <TotalTime>3</TotalTime>
  <Pages>6</Pages>
  <Words>2043</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BDO (NSW-Vic)</vt:lpstr>
    </vt:vector>
  </TitlesOfParts>
  <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BDO (NSW-Vic)</dc:title>
  <dc:creator/>
  <cp:lastModifiedBy>Schumann, Vicky</cp:lastModifiedBy>
  <cp:revision>3</cp:revision>
  <cp:lastPrinted>2011-12-15T05:07:00Z</cp:lastPrinted>
  <dcterms:created xsi:type="dcterms:W3CDTF">2012-01-27T02:12:00Z</dcterms:created>
  <dcterms:modified xsi:type="dcterms:W3CDTF">2012-04-19T05:19:00Z</dcterms:modified>
  <cp:category/>
</cp:coreProperties>
</file>