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653" w:rsidRPr="00720F05" w:rsidRDefault="0009750E" w:rsidP="00D71653">
      <w:pPr>
        <w:pStyle w:val="Session"/>
      </w:pPr>
      <w:bookmarkStart w:id="0" w:name="_GoBack"/>
      <w:bookmarkEnd w:id="0"/>
      <w:r w:rsidRPr="00720F05">
        <w:t>2010</w:t>
      </w:r>
      <w:r w:rsidR="00720F05" w:rsidRPr="00720F05">
        <w:noBreakHyphen/>
      </w:r>
      <w:r w:rsidRPr="00720F05">
        <w:t>2011</w:t>
      </w:r>
      <w:r w:rsidR="00720F05" w:rsidRPr="00720F05">
        <w:noBreakHyphen/>
      </w:r>
      <w:r w:rsidRPr="00720F05">
        <w:t>2012</w:t>
      </w:r>
    </w:p>
    <w:p w:rsidR="00D71653" w:rsidRPr="00720F05" w:rsidRDefault="00D71653" w:rsidP="00D71653">
      <w:pPr>
        <w:rPr>
          <w:sz w:val="28"/>
        </w:rPr>
      </w:pPr>
    </w:p>
    <w:p w:rsidR="00D71653" w:rsidRPr="00720F05" w:rsidRDefault="00D71653" w:rsidP="0009750E">
      <w:pPr>
        <w:rPr>
          <w:sz w:val="28"/>
        </w:rPr>
      </w:pPr>
      <w:r w:rsidRPr="00720F05">
        <w:rPr>
          <w:sz w:val="28"/>
        </w:rPr>
        <w:t>The Parliament of the</w:t>
      </w:r>
    </w:p>
    <w:p w:rsidR="00D71653" w:rsidRPr="00720F05" w:rsidRDefault="00D71653" w:rsidP="0009750E">
      <w:pPr>
        <w:rPr>
          <w:sz w:val="28"/>
        </w:rPr>
      </w:pPr>
      <w:r w:rsidRPr="00720F05">
        <w:rPr>
          <w:sz w:val="28"/>
        </w:rPr>
        <w:t>Commonwealth of Australia</w:t>
      </w:r>
    </w:p>
    <w:p w:rsidR="00D71653" w:rsidRPr="00720F05" w:rsidRDefault="00D71653" w:rsidP="00D71653">
      <w:pPr>
        <w:rPr>
          <w:sz w:val="28"/>
        </w:rPr>
      </w:pPr>
    </w:p>
    <w:p w:rsidR="00D71653" w:rsidRPr="00720F05" w:rsidRDefault="00D71653" w:rsidP="00D71653">
      <w:pPr>
        <w:pStyle w:val="House"/>
      </w:pPr>
      <w:r w:rsidRPr="00720F05">
        <w:t>HOUSE OF REPRESENTATIVES</w:t>
      </w:r>
    </w:p>
    <w:p w:rsidR="00D71653" w:rsidRPr="00720F05" w:rsidRDefault="00D71653" w:rsidP="00D71653"/>
    <w:p w:rsidR="00D71653" w:rsidRPr="00720F05" w:rsidRDefault="00D71653" w:rsidP="00D71653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720F05" w:rsidRPr="00BA23F6" w:rsidTr="00720F05">
        <w:tc>
          <w:tcPr>
            <w:tcW w:w="7087" w:type="dxa"/>
            <w:shd w:val="clear" w:color="auto" w:fill="auto"/>
          </w:tcPr>
          <w:p w:rsidR="00720F05" w:rsidRPr="00BA23F6" w:rsidRDefault="00720F05" w:rsidP="00720F05">
            <w:pPr>
              <w:jc w:val="center"/>
              <w:rPr>
                <w:b/>
                <w:sz w:val="26"/>
              </w:rPr>
            </w:pPr>
            <w:r w:rsidRPr="00BA23F6">
              <w:rPr>
                <w:b/>
                <w:sz w:val="26"/>
              </w:rPr>
              <w:t>EXPOSURE</w:t>
            </w:r>
            <w:r w:rsidRPr="00BA23F6">
              <w:rPr>
                <w:b/>
                <w:sz w:val="26"/>
              </w:rPr>
              <w:noBreakHyphen/>
              <w:t>DRAFT</w:t>
            </w:r>
          </w:p>
          <w:p w:rsidR="00720F05" w:rsidRPr="00BA23F6" w:rsidRDefault="00720F05" w:rsidP="00720F05">
            <w:pPr>
              <w:rPr>
                <w:b/>
                <w:sz w:val="20"/>
              </w:rPr>
            </w:pPr>
          </w:p>
        </w:tc>
      </w:tr>
    </w:tbl>
    <w:p w:rsidR="00720F05" w:rsidRPr="00720F05" w:rsidRDefault="00720F05" w:rsidP="00720F05">
      <w:pPr>
        <w:pStyle w:val="Page1Pam"/>
      </w:pPr>
    </w:p>
    <w:p w:rsidR="00720F05" w:rsidRPr="00720F05" w:rsidRDefault="00720F05" w:rsidP="00720F05">
      <w:pPr>
        <w:pStyle w:val="ShortT"/>
      </w:pPr>
    </w:p>
    <w:p w:rsidR="00D71653" w:rsidRPr="00720F05" w:rsidRDefault="006F2F8A" w:rsidP="00D71653">
      <w:pPr>
        <w:pStyle w:val="ShortT"/>
      </w:pPr>
      <w:r w:rsidRPr="00720F05">
        <w:t>Consumer Credit and Corporations Legislation Amendment (Enhancements) Bill 2011</w:t>
      </w:r>
    </w:p>
    <w:p w:rsidR="00D71653" w:rsidRPr="00720F05" w:rsidRDefault="00D71653" w:rsidP="00D71653">
      <w:pPr>
        <w:rPr>
          <w:sz w:val="24"/>
        </w:rPr>
      </w:pPr>
    </w:p>
    <w:p w:rsidR="00D71653" w:rsidRPr="00720F05" w:rsidRDefault="00D71653" w:rsidP="00D71653">
      <w:pPr>
        <w:rPr>
          <w:sz w:val="24"/>
        </w:rPr>
      </w:pPr>
    </w:p>
    <w:p w:rsidR="00D71653" w:rsidRPr="00720F05" w:rsidRDefault="00D71653" w:rsidP="00D71653">
      <w:pPr>
        <w:pStyle w:val="Sponsor"/>
      </w:pPr>
      <w:r w:rsidRPr="00720F05">
        <w:t>(Government)</w:t>
      </w:r>
    </w:p>
    <w:p w:rsidR="00977833" w:rsidRPr="00720F05" w:rsidRDefault="00D85830" w:rsidP="00977833">
      <w:pPr>
        <w:pStyle w:val="ParlAmend"/>
      </w:pPr>
      <w:r w:rsidRPr="00720F05">
        <w:t>(1)</w:t>
      </w:r>
      <w:r w:rsidRPr="00720F05">
        <w:tab/>
      </w:r>
      <w:r w:rsidR="00977833" w:rsidRPr="00720F05">
        <w:t>Clause</w:t>
      </w:r>
      <w:r w:rsidR="00720F05" w:rsidRPr="00720F05">
        <w:t> </w:t>
      </w:r>
      <w:r w:rsidR="00977833" w:rsidRPr="00720F05">
        <w:rPr>
          <w:color w:val="000000"/>
        </w:rPr>
        <w:t>2</w:t>
      </w:r>
      <w:r w:rsidR="00977833" w:rsidRPr="00720F05">
        <w:t xml:space="preserve">, page </w:t>
      </w:r>
      <w:r w:rsidR="00977833" w:rsidRPr="00720F05">
        <w:rPr>
          <w:color w:val="000000"/>
        </w:rPr>
        <w:t>2</w:t>
      </w:r>
      <w:r w:rsidR="00977833" w:rsidRPr="00720F05">
        <w:t xml:space="preserve"> (table item</w:t>
      </w:r>
      <w:r w:rsidR="00720F05" w:rsidRPr="00720F05">
        <w:t> </w:t>
      </w:r>
      <w:r w:rsidR="00977833" w:rsidRPr="00720F05">
        <w:rPr>
          <w:color w:val="000000"/>
        </w:rPr>
        <w:t>2</w:t>
      </w:r>
      <w:r w:rsidR="00977833" w:rsidRPr="00720F05">
        <w:t>), omit the table item, substitute:</w:t>
      </w: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F41987" w:rsidRPr="00BA23F6" w:rsidTr="00174A3A"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F41987" w:rsidRPr="00720F05" w:rsidRDefault="00F41987">
            <w:pPr>
              <w:pStyle w:val="Tabletext"/>
            </w:pPr>
            <w:r w:rsidRPr="00720F05">
              <w:t>2.  Schedule</w:t>
            </w:r>
            <w:r w:rsidR="00720F05" w:rsidRPr="00720F05">
              <w:t> </w:t>
            </w:r>
            <w:r w:rsidRPr="00720F05">
              <w:t>1</w:t>
            </w: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F41987" w:rsidRPr="00720F05" w:rsidRDefault="00F41987" w:rsidP="0017432A">
            <w:pPr>
              <w:pStyle w:val="Tabletext"/>
            </w:pPr>
            <w:r w:rsidRPr="00720F05">
              <w:t>1</w:t>
            </w:r>
            <w:r w:rsidR="00720F05" w:rsidRPr="00720F05">
              <w:t> </w:t>
            </w:r>
            <w:r w:rsidRPr="00720F05">
              <w:t>March 2013.</w:t>
            </w: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41987" w:rsidRPr="00720F05" w:rsidRDefault="00F41987" w:rsidP="0017432A">
            <w:pPr>
              <w:pStyle w:val="Tabletext"/>
            </w:pPr>
            <w:r w:rsidRPr="00720F05">
              <w:t>1</w:t>
            </w:r>
            <w:r w:rsidR="00720F05" w:rsidRPr="00720F05">
              <w:t> </w:t>
            </w:r>
            <w:r w:rsidRPr="00720F05">
              <w:t>March 2013</w:t>
            </w:r>
          </w:p>
        </w:tc>
      </w:tr>
      <w:tr w:rsidR="00977833" w:rsidRPr="00BA23F6" w:rsidTr="00174A3A"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77833" w:rsidRPr="00720F05" w:rsidRDefault="00977833" w:rsidP="00977833">
            <w:pPr>
              <w:pStyle w:val="Tabletext"/>
            </w:pPr>
            <w:r w:rsidRPr="00720F05">
              <w:t>2A.  Schedule</w:t>
            </w:r>
            <w:r w:rsidR="00720F05" w:rsidRPr="00720F05">
              <w:t> </w:t>
            </w:r>
            <w:r w:rsidRPr="00720F05">
              <w:t>2, Part</w:t>
            </w:r>
            <w:r w:rsidR="00720F05" w:rsidRPr="00720F05">
              <w:t> </w:t>
            </w:r>
            <w:r w:rsidRPr="00720F05">
              <w:t>1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:rsidR="00977833" w:rsidRPr="00720F05" w:rsidRDefault="00977833" w:rsidP="0050090A">
            <w:pPr>
              <w:pStyle w:val="Tabletext"/>
            </w:pPr>
            <w:r w:rsidRPr="00720F05">
              <w:t>Immediately after the commencement of Part</w:t>
            </w:r>
            <w:r w:rsidR="00720F05" w:rsidRPr="00720F05">
              <w:t> </w:t>
            </w:r>
            <w:r w:rsidRPr="00720F05">
              <w:t>2 of Schedule</w:t>
            </w:r>
            <w:r w:rsidR="00720F05" w:rsidRPr="00720F05">
              <w:t> </w:t>
            </w:r>
            <w:r w:rsidRPr="00720F05">
              <w:t xml:space="preserve">1 to the </w:t>
            </w:r>
            <w:r w:rsidRPr="00720F05">
              <w:rPr>
                <w:i/>
              </w:rPr>
              <w:t>National Consumer Credit Protection Amendment (Home Loans and Credit Cards) Act 2011</w:t>
            </w:r>
            <w:r w:rsidRPr="00720F05">
              <w:t>.</w:t>
            </w:r>
          </w:p>
        </w:tc>
        <w:tc>
          <w:tcPr>
            <w:tcW w:w="1582" w:type="dxa"/>
            <w:tcBorders>
              <w:top w:val="single" w:sz="4" w:space="0" w:color="auto"/>
            </w:tcBorders>
            <w:shd w:val="clear" w:color="auto" w:fill="auto"/>
          </w:tcPr>
          <w:p w:rsidR="00977833" w:rsidRPr="00720F05" w:rsidRDefault="00977833" w:rsidP="0050090A">
            <w:pPr>
              <w:pStyle w:val="Tabletext"/>
            </w:pPr>
            <w:r w:rsidRPr="00720F05">
              <w:t>1</w:t>
            </w:r>
            <w:r w:rsidR="00720F05" w:rsidRPr="00720F05">
              <w:t> </w:t>
            </w:r>
            <w:r w:rsidRPr="00720F05">
              <w:t>July 2012</w:t>
            </w:r>
          </w:p>
        </w:tc>
      </w:tr>
      <w:tr w:rsidR="00977833" w:rsidRPr="00BA23F6" w:rsidTr="00174A3A">
        <w:tc>
          <w:tcPr>
            <w:tcW w:w="1701" w:type="dxa"/>
            <w:shd w:val="clear" w:color="auto" w:fill="auto"/>
            <w:hideMark/>
          </w:tcPr>
          <w:p w:rsidR="00977833" w:rsidRPr="00720F05" w:rsidRDefault="00977833">
            <w:pPr>
              <w:pStyle w:val="Tabletext"/>
            </w:pPr>
            <w:r w:rsidRPr="00720F05">
              <w:t>2B.  Schedule</w:t>
            </w:r>
            <w:r w:rsidR="00720F05" w:rsidRPr="00720F05">
              <w:t> </w:t>
            </w:r>
            <w:r w:rsidRPr="00720F05">
              <w:t>2, Part</w:t>
            </w:r>
            <w:r w:rsidR="00720F05" w:rsidRPr="00720F05">
              <w:t> </w:t>
            </w:r>
            <w:r w:rsidRPr="00720F05">
              <w:t>2</w:t>
            </w:r>
          </w:p>
        </w:tc>
        <w:tc>
          <w:tcPr>
            <w:tcW w:w="3828" w:type="dxa"/>
            <w:shd w:val="clear" w:color="auto" w:fill="auto"/>
          </w:tcPr>
          <w:p w:rsidR="00977833" w:rsidRPr="00720F05" w:rsidRDefault="00361BC3">
            <w:pPr>
              <w:pStyle w:val="Tabletext"/>
            </w:pPr>
            <w:r w:rsidRPr="00720F05">
              <w:t>1</w:t>
            </w:r>
            <w:r w:rsidR="00720F05" w:rsidRPr="00720F05">
              <w:t> </w:t>
            </w:r>
            <w:r w:rsidRPr="00720F05">
              <w:t>March 2013</w:t>
            </w:r>
            <w:r w:rsidR="00977833" w:rsidRPr="00720F05">
              <w:t>.</w:t>
            </w:r>
          </w:p>
        </w:tc>
        <w:tc>
          <w:tcPr>
            <w:tcW w:w="1582" w:type="dxa"/>
            <w:shd w:val="clear" w:color="auto" w:fill="auto"/>
          </w:tcPr>
          <w:p w:rsidR="00977833" w:rsidRPr="00720F05" w:rsidRDefault="00361BC3">
            <w:pPr>
              <w:pStyle w:val="Tabletext"/>
            </w:pPr>
            <w:r w:rsidRPr="00720F05">
              <w:t>1</w:t>
            </w:r>
            <w:r w:rsidR="00720F05" w:rsidRPr="00720F05">
              <w:t> </w:t>
            </w:r>
            <w:r w:rsidRPr="00720F05">
              <w:t>March 2013</w:t>
            </w:r>
          </w:p>
        </w:tc>
      </w:tr>
      <w:tr w:rsidR="00977833" w:rsidRPr="00BA23F6" w:rsidTr="00174A3A">
        <w:tc>
          <w:tcPr>
            <w:tcW w:w="1701" w:type="dxa"/>
            <w:shd w:val="clear" w:color="auto" w:fill="auto"/>
            <w:hideMark/>
          </w:tcPr>
          <w:p w:rsidR="00977833" w:rsidRPr="00720F05" w:rsidRDefault="00977833">
            <w:pPr>
              <w:pStyle w:val="Tabletext"/>
            </w:pPr>
            <w:r w:rsidRPr="00720F05">
              <w:t>2C.  Schedule</w:t>
            </w:r>
            <w:r w:rsidR="00720F05" w:rsidRPr="00720F05">
              <w:t> </w:t>
            </w:r>
            <w:r w:rsidRPr="00720F05">
              <w:t>2, items</w:t>
            </w:r>
            <w:r w:rsidR="00720F05" w:rsidRPr="00720F05">
              <w:t> </w:t>
            </w:r>
            <w:r w:rsidRPr="00720F05">
              <w:t>12 to 14</w:t>
            </w:r>
          </w:p>
        </w:tc>
        <w:tc>
          <w:tcPr>
            <w:tcW w:w="3828" w:type="dxa"/>
            <w:shd w:val="clear" w:color="auto" w:fill="auto"/>
          </w:tcPr>
          <w:p w:rsidR="00977833" w:rsidRPr="00720F05" w:rsidRDefault="00361BC3" w:rsidP="0050090A">
            <w:pPr>
              <w:pStyle w:val="Tabletext"/>
            </w:pPr>
            <w:r w:rsidRPr="00720F05">
              <w:t>1</w:t>
            </w:r>
            <w:r w:rsidR="00720F05" w:rsidRPr="00720F05">
              <w:t> </w:t>
            </w:r>
            <w:r w:rsidRPr="00720F05">
              <w:t>March 2013</w:t>
            </w:r>
            <w:r w:rsidR="00977833" w:rsidRPr="00720F05">
              <w:t>.</w:t>
            </w:r>
          </w:p>
        </w:tc>
        <w:tc>
          <w:tcPr>
            <w:tcW w:w="1582" w:type="dxa"/>
            <w:shd w:val="clear" w:color="auto" w:fill="auto"/>
          </w:tcPr>
          <w:p w:rsidR="00977833" w:rsidRPr="00720F05" w:rsidRDefault="00361BC3" w:rsidP="0050090A">
            <w:pPr>
              <w:pStyle w:val="Tabletext"/>
            </w:pPr>
            <w:r w:rsidRPr="00720F05">
              <w:t>1</w:t>
            </w:r>
            <w:r w:rsidR="00720F05" w:rsidRPr="00720F05">
              <w:t> </w:t>
            </w:r>
            <w:r w:rsidRPr="00720F05">
              <w:t>March 2013</w:t>
            </w:r>
          </w:p>
        </w:tc>
      </w:tr>
      <w:tr w:rsidR="00977833" w:rsidRPr="00BA23F6" w:rsidTr="00174A3A">
        <w:tc>
          <w:tcPr>
            <w:tcW w:w="1701" w:type="dxa"/>
            <w:shd w:val="clear" w:color="auto" w:fill="auto"/>
            <w:hideMark/>
          </w:tcPr>
          <w:p w:rsidR="00977833" w:rsidRPr="00720F05" w:rsidRDefault="00977833">
            <w:pPr>
              <w:pStyle w:val="Tabletext"/>
            </w:pPr>
            <w:r w:rsidRPr="00720F05">
              <w:t>2D.  Schedule</w:t>
            </w:r>
            <w:r w:rsidR="00720F05" w:rsidRPr="00720F05">
              <w:t> </w:t>
            </w:r>
            <w:r w:rsidRPr="00720F05">
              <w:t>2, item</w:t>
            </w:r>
            <w:r w:rsidR="00720F05" w:rsidRPr="00720F05">
              <w:t> </w:t>
            </w:r>
            <w:r w:rsidRPr="00720F05">
              <w:t>15</w:t>
            </w:r>
          </w:p>
        </w:tc>
        <w:tc>
          <w:tcPr>
            <w:tcW w:w="3828" w:type="dxa"/>
            <w:shd w:val="clear" w:color="auto" w:fill="auto"/>
          </w:tcPr>
          <w:p w:rsidR="00977833" w:rsidRPr="00720F05" w:rsidRDefault="00977833" w:rsidP="0050090A">
            <w:pPr>
              <w:pStyle w:val="Tabletext"/>
            </w:pPr>
            <w:r w:rsidRPr="00720F05">
              <w:t>Immediately after the commencement of Part</w:t>
            </w:r>
            <w:r w:rsidR="00720F05" w:rsidRPr="00720F05">
              <w:t> </w:t>
            </w:r>
            <w:r w:rsidRPr="00720F05">
              <w:t>2 of Schedule</w:t>
            </w:r>
            <w:r w:rsidR="00720F05" w:rsidRPr="00720F05">
              <w:t> </w:t>
            </w:r>
            <w:r w:rsidRPr="00720F05">
              <w:t xml:space="preserve">1 to the </w:t>
            </w:r>
            <w:r w:rsidRPr="00720F05">
              <w:rPr>
                <w:i/>
              </w:rPr>
              <w:t>National Consumer Credit Protection Amendment (Home Loans and Credit Cards) Act 2011</w:t>
            </w:r>
            <w:r w:rsidRPr="00720F05">
              <w:t>.</w:t>
            </w:r>
          </w:p>
        </w:tc>
        <w:tc>
          <w:tcPr>
            <w:tcW w:w="1582" w:type="dxa"/>
            <w:shd w:val="clear" w:color="auto" w:fill="auto"/>
          </w:tcPr>
          <w:p w:rsidR="00977833" w:rsidRPr="00720F05" w:rsidRDefault="00977833" w:rsidP="0050090A">
            <w:pPr>
              <w:pStyle w:val="Tabletext"/>
            </w:pPr>
            <w:r w:rsidRPr="00720F05">
              <w:t>1</w:t>
            </w:r>
            <w:r w:rsidR="00720F05" w:rsidRPr="00720F05">
              <w:t> </w:t>
            </w:r>
            <w:r w:rsidRPr="00720F05">
              <w:t>July 2012</w:t>
            </w:r>
          </w:p>
        </w:tc>
      </w:tr>
      <w:tr w:rsidR="00977833" w:rsidRPr="00BA23F6" w:rsidTr="00174A3A">
        <w:tc>
          <w:tcPr>
            <w:tcW w:w="1701" w:type="dxa"/>
            <w:shd w:val="clear" w:color="auto" w:fill="auto"/>
            <w:hideMark/>
          </w:tcPr>
          <w:p w:rsidR="00977833" w:rsidRPr="00720F05" w:rsidRDefault="00977833">
            <w:pPr>
              <w:pStyle w:val="Tabletext"/>
            </w:pPr>
            <w:r w:rsidRPr="00720F05">
              <w:t>2E.  Schedule</w:t>
            </w:r>
            <w:r w:rsidR="00720F05" w:rsidRPr="00720F05">
              <w:t> </w:t>
            </w:r>
            <w:r w:rsidRPr="00720F05">
              <w:t>2, items</w:t>
            </w:r>
            <w:r w:rsidR="00720F05" w:rsidRPr="00720F05">
              <w:t> </w:t>
            </w:r>
            <w:r w:rsidRPr="00720F05">
              <w:t>16 to 18</w:t>
            </w:r>
          </w:p>
        </w:tc>
        <w:tc>
          <w:tcPr>
            <w:tcW w:w="3828" w:type="dxa"/>
            <w:shd w:val="clear" w:color="auto" w:fill="auto"/>
          </w:tcPr>
          <w:p w:rsidR="00977833" w:rsidRPr="00720F05" w:rsidRDefault="00361BC3" w:rsidP="0050090A">
            <w:pPr>
              <w:pStyle w:val="Tabletext"/>
            </w:pPr>
            <w:r w:rsidRPr="00720F05">
              <w:t>1</w:t>
            </w:r>
            <w:r w:rsidR="00720F05" w:rsidRPr="00720F05">
              <w:t> </w:t>
            </w:r>
            <w:r w:rsidRPr="00720F05">
              <w:t>March 2013</w:t>
            </w:r>
            <w:r w:rsidR="00977833" w:rsidRPr="00720F05">
              <w:t>.</w:t>
            </w:r>
          </w:p>
        </w:tc>
        <w:tc>
          <w:tcPr>
            <w:tcW w:w="1582" w:type="dxa"/>
            <w:shd w:val="clear" w:color="auto" w:fill="auto"/>
          </w:tcPr>
          <w:p w:rsidR="00977833" w:rsidRPr="00720F05" w:rsidRDefault="00361BC3" w:rsidP="0050090A">
            <w:pPr>
              <w:pStyle w:val="Tabletext"/>
            </w:pPr>
            <w:r w:rsidRPr="00720F05">
              <w:t>1</w:t>
            </w:r>
            <w:r w:rsidR="00720F05" w:rsidRPr="00720F05">
              <w:t> </w:t>
            </w:r>
            <w:r w:rsidRPr="00720F05">
              <w:t>March 2013</w:t>
            </w:r>
          </w:p>
        </w:tc>
      </w:tr>
      <w:tr w:rsidR="00174A3A" w:rsidRPr="00BA23F6" w:rsidTr="00174A3A">
        <w:tc>
          <w:tcPr>
            <w:tcW w:w="1701" w:type="dxa"/>
            <w:shd w:val="clear" w:color="auto" w:fill="auto"/>
            <w:hideMark/>
          </w:tcPr>
          <w:p w:rsidR="00174A3A" w:rsidRPr="00720F05" w:rsidRDefault="00174A3A">
            <w:pPr>
              <w:pStyle w:val="Tabletext"/>
            </w:pPr>
            <w:r w:rsidRPr="00720F05">
              <w:t>2F.  Schedule</w:t>
            </w:r>
            <w:r w:rsidR="00720F05" w:rsidRPr="00720F05">
              <w:t> </w:t>
            </w:r>
            <w:r w:rsidRPr="00720F05">
              <w:t>2, items</w:t>
            </w:r>
            <w:r w:rsidR="00720F05" w:rsidRPr="00720F05">
              <w:t> </w:t>
            </w:r>
            <w:r w:rsidRPr="00720F05">
              <w:t>19 and 20</w:t>
            </w:r>
          </w:p>
        </w:tc>
        <w:tc>
          <w:tcPr>
            <w:tcW w:w="3828" w:type="dxa"/>
            <w:shd w:val="clear" w:color="auto" w:fill="auto"/>
          </w:tcPr>
          <w:p w:rsidR="00174A3A" w:rsidRPr="00720F05" w:rsidRDefault="00174A3A" w:rsidP="0050090A">
            <w:pPr>
              <w:pStyle w:val="Tabletext"/>
            </w:pPr>
            <w:r w:rsidRPr="00720F05">
              <w:t>Immediately after the commencement of Part</w:t>
            </w:r>
            <w:r w:rsidR="00720F05" w:rsidRPr="00720F05">
              <w:t> </w:t>
            </w:r>
            <w:r w:rsidRPr="00720F05">
              <w:t>2 of Schedule</w:t>
            </w:r>
            <w:r w:rsidR="00720F05" w:rsidRPr="00720F05">
              <w:t> </w:t>
            </w:r>
            <w:r w:rsidRPr="00720F05">
              <w:t xml:space="preserve">1 to the </w:t>
            </w:r>
            <w:r w:rsidRPr="00720F05">
              <w:rPr>
                <w:i/>
              </w:rPr>
              <w:t>National Consumer Credit Protection Amendment (Home Loans and Credit Cards) Act 2011</w:t>
            </w:r>
            <w:r w:rsidRPr="00720F05">
              <w:t>.</w:t>
            </w:r>
          </w:p>
        </w:tc>
        <w:tc>
          <w:tcPr>
            <w:tcW w:w="1582" w:type="dxa"/>
            <w:shd w:val="clear" w:color="auto" w:fill="auto"/>
          </w:tcPr>
          <w:p w:rsidR="00174A3A" w:rsidRPr="00720F05" w:rsidRDefault="00174A3A" w:rsidP="0050090A">
            <w:pPr>
              <w:pStyle w:val="Tabletext"/>
            </w:pPr>
            <w:r w:rsidRPr="00720F05">
              <w:t>1</w:t>
            </w:r>
            <w:r w:rsidR="00720F05" w:rsidRPr="00720F05">
              <w:t> </w:t>
            </w:r>
            <w:r w:rsidRPr="00720F05">
              <w:t>July 2012</w:t>
            </w:r>
          </w:p>
        </w:tc>
      </w:tr>
      <w:tr w:rsidR="00174A3A" w:rsidRPr="00BA23F6" w:rsidTr="00174A3A">
        <w:tc>
          <w:tcPr>
            <w:tcW w:w="1701" w:type="dxa"/>
            <w:shd w:val="clear" w:color="auto" w:fill="auto"/>
            <w:hideMark/>
          </w:tcPr>
          <w:p w:rsidR="00174A3A" w:rsidRPr="00720F05" w:rsidRDefault="00174A3A">
            <w:pPr>
              <w:pStyle w:val="Tabletext"/>
            </w:pPr>
            <w:r w:rsidRPr="00720F05">
              <w:t>2G.  Schedule</w:t>
            </w:r>
            <w:r w:rsidR="00720F05" w:rsidRPr="00720F05">
              <w:t> </w:t>
            </w:r>
            <w:r w:rsidRPr="00720F05">
              <w:t>2, items</w:t>
            </w:r>
            <w:r w:rsidR="00720F05" w:rsidRPr="00720F05">
              <w:t> </w:t>
            </w:r>
            <w:r w:rsidRPr="00720F05">
              <w:t>21 and 22</w:t>
            </w:r>
          </w:p>
        </w:tc>
        <w:tc>
          <w:tcPr>
            <w:tcW w:w="3828" w:type="dxa"/>
            <w:shd w:val="clear" w:color="auto" w:fill="auto"/>
          </w:tcPr>
          <w:p w:rsidR="00174A3A" w:rsidRPr="00720F05" w:rsidRDefault="00361BC3" w:rsidP="0050090A">
            <w:pPr>
              <w:pStyle w:val="Tabletext"/>
            </w:pPr>
            <w:r w:rsidRPr="00720F05">
              <w:t>1</w:t>
            </w:r>
            <w:r w:rsidR="00720F05" w:rsidRPr="00720F05">
              <w:t> </w:t>
            </w:r>
            <w:r w:rsidRPr="00720F05">
              <w:t>March 2013</w:t>
            </w:r>
            <w:r w:rsidR="00174A3A" w:rsidRPr="00720F05">
              <w:t>.</w:t>
            </w:r>
          </w:p>
        </w:tc>
        <w:tc>
          <w:tcPr>
            <w:tcW w:w="1582" w:type="dxa"/>
            <w:shd w:val="clear" w:color="auto" w:fill="auto"/>
          </w:tcPr>
          <w:p w:rsidR="00174A3A" w:rsidRPr="00720F05" w:rsidRDefault="00361BC3" w:rsidP="0050090A">
            <w:pPr>
              <w:pStyle w:val="Tabletext"/>
            </w:pPr>
            <w:r w:rsidRPr="00720F05">
              <w:t>1</w:t>
            </w:r>
            <w:r w:rsidR="00720F05" w:rsidRPr="00720F05">
              <w:t> </w:t>
            </w:r>
            <w:r w:rsidRPr="00720F05">
              <w:t>March 2013</w:t>
            </w:r>
          </w:p>
        </w:tc>
      </w:tr>
      <w:tr w:rsidR="00174A3A" w:rsidRPr="00BA23F6" w:rsidTr="00174A3A">
        <w:tc>
          <w:tcPr>
            <w:tcW w:w="1701" w:type="dxa"/>
            <w:shd w:val="clear" w:color="auto" w:fill="auto"/>
            <w:hideMark/>
          </w:tcPr>
          <w:p w:rsidR="00174A3A" w:rsidRPr="00720F05" w:rsidRDefault="00174A3A" w:rsidP="00174A3A">
            <w:pPr>
              <w:pStyle w:val="Tabletext"/>
            </w:pPr>
            <w:r w:rsidRPr="00720F05">
              <w:t>2H.  Schedule</w:t>
            </w:r>
            <w:r w:rsidR="00720F05" w:rsidRPr="00720F05">
              <w:t> </w:t>
            </w:r>
            <w:r w:rsidRPr="00720F05">
              <w:t>2, item</w:t>
            </w:r>
            <w:r w:rsidR="00720F05" w:rsidRPr="00720F05">
              <w:t> </w:t>
            </w:r>
            <w:r w:rsidRPr="00720F05">
              <w:t>23</w:t>
            </w:r>
          </w:p>
        </w:tc>
        <w:tc>
          <w:tcPr>
            <w:tcW w:w="3828" w:type="dxa"/>
            <w:shd w:val="clear" w:color="auto" w:fill="auto"/>
          </w:tcPr>
          <w:p w:rsidR="00174A3A" w:rsidRPr="00720F05" w:rsidRDefault="00174A3A" w:rsidP="0050090A">
            <w:pPr>
              <w:pStyle w:val="Tabletext"/>
            </w:pPr>
            <w:r w:rsidRPr="00720F05">
              <w:t>Immediately after the commencement of Part</w:t>
            </w:r>
            <w:r w:rsidR="00720F05" w:rsidRPr="00720F05">
              <w:t> </w:t>
            </w:r>
            <w:r w:rsidRPr="00720F05">
              <w:t>2 of Schedule</w:t>
            </w:r>
            <w:r w:rsidR="00720F05" w:rsidRPr="00720F05">
              <w:t> </w:t>
            </w:r>
            <w:r w:rsidRPr="00720F05">
              <w:t xml:space="preserve">1 to the </w:t>
            </w:r>
            <w:r w:rsidRPr="00720F05">
              <w:rPr>
                <w:i/>
              </w:rPr>
              <w:t xml:space="preserve">National </w:t>
            </w:r>
            <w:r w:rsidRPr="00720F05">
              <w:rPr>
                <w:i/>
              </w:rPr>
              <w:lastRenderedPageBreak/>
              <w:t>Consumer Credit Protection Amendment (Home Loans and Credit Cards) Act 2011</w:t>
            </w:r>
            <w:r w:rsidRPr="00720F05">
              <w:t>.</w:t>
            </w:r>
          </w:p>
        </w:tc>
        <w:tc>
          <w:tcPr>
            <w:tcW w:w="1582" w:type="dxa"/>
            <w:shd w:val="clear" w:color="auto" w:fill="auto"/>
          </w:tcPr>
          <w:p w:rsidR="00174A3A" w:rsidRPr="00720F05" w:rsidRDefault="00174A3A" w:rsidP="0050090A">
            <w:pPr>
              <w:pStyle w:val="Tabletext"/>
            </w:pPr>
            <w:r w:rsidRPr="00720F05">
              <w:lastRenderedPageBreak/>
              <w:t>1</w:t>
            </w:r>
            <w:r w:rsidR="00720F05" w:rsidRPr="00720F05">
              <w:t> </w:t>
            </w:r>
            <w:r w:rsidRPr="00720F05">
              <w:t>July 2012</w:t>
            </w:r>
          </w:p>
        </w:tc>
      </w:tr>
      <w:tr w:rsidR="00174A3A" w:rsidRPr="00BA23F6" w:rsidTr="00174A3A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74A3A" w:rsidRPr="00720F05" w:rsidRDefault="00174A3A">
            <w:pPr>
              <w:pStyle w:val="Tabletext"/>
            </w:pPr>
            <w:r w:rsidRPr="00720F05">
              <w:lastRenderedPageBreak/>
              <w:t>2J.  Schedule</w:t>
            </w:r>
            <w:r w:rsidR="00720F05" w:rsidRPr="00720F05">
              <w:t> </w:t>
            </w:r>
            <w:r w:rsidRPr="00720F05">
              <w:t>2, items</w:t>
            </w:r>
            <w:r w:rsidR="00720F05" w:rsidRPr="00720F05">
              <w:t> </w:t>
            </w:r>
            <w:r w:rsidRPr="00720F05">
              <w:t>24 to 26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174A3A" w:rsidRPr="00720F05" w:rsidRDefault="00361BC3" w:rsidP="0050090A">
            <w:pPr>
              <w:pStyle w:val="Tabletext"/>
            </w:pPr>
            <w:r w:rsidRPr="00720F05">
              <w:t>1</w:t>
            </w:r>
            <w:r w:rsidR="00720F05" w:rsidRPr="00720F05">
              <w:t> </w:t>
            </w:r>
            <w:r w:rsidRPr="00720F05">
              <w:t>March 2013</w:t>
            </w:r>
            <w:r w:rsidR="00174A3A" w:rsidRPr="00720F05">
              <w:t>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174A3A" w:rsidRPr="00720F05" w:rsidRDefault="00361BC3" w:rsidP="0050090A">
            <w:pPr>
              <w:pStyle w:val="Tabletext"/>
            </w:pPr>
            <w:r w:rsidRPr="00720F05">
              <w:t>1</w:t>
            </w:r>
            <w:r w:rsidR="00720F05" w:rsidRPr="00720F05">
              <w:t> </w:t>
            </w:r>
            <w:r w:rsidRPr="00720F05">
              <w:t>March 2013</w:t>
            </w:r>
          </w:p>
        </w:tc>
      </w:tr>
      <w:tr w:rsidR="00F41987" w:rsidRPr="00BA23F6" w:rsidTr="00174A3A">
        <w:tc>
          <w:tcPr>
            <w:tcW w:w="1701" w:type="dxa"/>
            <w:tcBorders>
              <w:bottom w:val="nil"/>
            </w:tcBorders>
            <w:shd w:val="clear" w:color="auto" w:fill="auto"/>
            <w:hideMark/>
          </w:tcPr>
          <w:p w:rsidR="00F41987" w:rsidRPr="00720F05" w:rsidRDefault="00F41987">
            <w:pPr>
              <w:pStyle w:val="Tabletext"/>
            </w:pPr>
            <w:r w:rsidRPr="00720F05">
              <w:t>2K.  Schedule</w:t>
            </w:r>
            <w:r w:rsidR="00720F05" w:rsidRPr="00720F05">
              <w:t> </w:t>
            </w:r>
            <w:r w:rsidRPr="00720F05">
              <w:t>3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auto"/>
          </w:tcPr>
          <w:p w:rsidR="00F41987" w:rsidRPr="00720F05" w:rsidRDefault="00F41987" w:rsidP="0017432A">
            <w:pPr>
              <w:pStyle w:val="Tabletext"/>
            </w:pPr>
            <w:r w:rsidRPr="00720F05">
              <w:t>1</w:t>
            </w:r>
            <w:r w:rsidR="00720F05" w:rsidRPr="00720F05">
              <w:t> </w:t>
            </w:r>
            <w:r w:rsidRPr="00720F05">
              <w:t>March 2013.</w:t>
            </w:r>
          </w:p>
        </w:tc>
        <w:tc>
          <w:tcPr>
            <w:tcW w:w="1582" w:type="dxa"/>
            <w:tcBorders>
              <w:bottom w:val="nil"/>
            </w:tcBorders>
            <w:shd w:val="clear" w:color="auto" w:fill="auto"/>
          </w:tcPr>
          <w:p w:rsidR="00F41987" w:rsidRPr="00720F05" w:rsidRDefault="00F41987" w:rsidP="0017432A">
            <w:pPr>
              <w:pStyle w:val="Tabletext"/>
            </w:pPr>
            <w:r w:rsidRPr="00720F05">
              <w:t>1</w:t>
            </w:r>
            <w:r w:rsidR="00720F05" w:rsidRPr="00720F05">
              <w:t> </w:t>
            </w:r>
            <w:r w:rsidRPr="00720F05">
              <w:t>March 2013</w:t>
            </w:r>
          </w:p>
        </w:tc>
      </w:tr>
    </w:tbl>
    <w:p w:rsidR="00977833" w:rsidRPr="00720F05" w:rsidRDefault="00720F05" w:rsidP="00977833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977833" w:rsidRPr="00720F05">
        <w:t>commencement</w:t>
      </w:r>
      <w:proofErr w:type="gramEnd"/>
      <w:r w:rsidR="008F5906" w:rsidRPr="00720F05">
        <w:t xml:space="preserve"> of reverse mortgage provisions</w:t>
      </w:r>
      <w:r w:rsidRPr="00720F05">
        <w:rPr>
          <w:rFonts w:cs="Arial"/>
          <w:bCs/>
          <w:iCs/>
          <w:szCs w:val="22"/>
        </w:rPr>
        <w:t>]</w:t>
      </w:r>
    </w:p>
    <w:p w:rsidR="00F41987" w:rsidRPr="00720F05" w:rsidRDefault="00D85830" w:rsidP="00F41987">
      <w:pPr>
        <w:pStyle w:val="ParlAmend"/>
      </w:pPr>
      <w:r w:rsidRPr="00720F05">
        <w:t>(2)</w:t>
      </w:r>
      <w:r w:rsidRPr="00720F05">
        <w:tab/>
      </w:r>
      <w:r w:rsidR="00F41987" w:rsidRPr="00720F05">
        <w:t>Clause</w:t>
      </w:r>
      <w:r w:rsidR="00720F05" w:rsidRPr="00720F05">
        <w:t> </w:t>
      </w:r>
      <w:r w:rsidR="00F41987" w:rsidRPr="00720F05">
        <w:rPr>
          <w:color w:val="000000"/>
        </w:rPr>
        <w:t>2</w:t>
      </w:r>
      <w:r w:rsidR="00F41987" w:rsidRPr="00720F05">
        <w:t xml:space="preserve">, page </w:t>
      </w:r>
      <w:r w:rsidR="00F41987" w:rsidRPr="00720F05">
        <w:rPr>
          <w:color w:val="000000"/>
        </w:rPr>
        <w:t>2</w:t>
      </w:r>
      <w:r w:rsidR="00F41987" w:rsidRPr="00720F05">
        <w:t xml:space="preserve"> (table item</w:t>
      </w:r>
      <w:r w:rsidR="00720F05" w:rsidRPr="00720F05">
        <w:t> </w:t>
      </w:r>
      <w:r w:rsidR="00F41987" w:rsidRPr="00720F05">
        <w:rPr>
          <w:color w:val="000000"/>
        </w:rPr>
        <w:t>4</w:t>
      </w:r>
      <w:r w:rsidR="00F41987" w:rsidRPr="00720F05">
        <w:t>), omit the table item, substitute:</w:t>
      </w:r>
    </w:p>
    <w:tbl>
      <w:tblPr>
        <w:tblW w:w="0" w:type="auto"/>
        <w:tblInd w:w="107" w:type="dxa"/>
        <w:tblBorders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F41987" w:rsidRPr="00BA23F6" w:rsidTr="00F41987">
        <w:trPr>
          <w:cantSplit/>
        </w:trPr>
        <w:tc>
          <w:tcPr>
            <w:tcW w:w="1701" w:type="dxa"/>
            <w:hideMark/>
          </w:tcPr>
          <w:p w:rsidR="00F41987" w:rsidRPr="00720F05" w:rsidRDefault="00F41987">
            <w:pPr>
              <w:pStyle w:val="Tabletext"/>
            </w:pPr>
            <w:r w:rsidRPr="00720F05">
              <w:t>4.  Schedule</w:t>
            </w:r>
            <w:r w:rsidR="00720F05" w:rsidRPr="00720F05">
              <w:t> </w:t>
            </w:r>
            <w:r w:rsidRPr="00720F05">
              <w:t>5</w:t>
            </w:r>
          </w:p>
        </w:tc>
        <w:tc>
          <w:tcPr>
            <w:tcW w:w="3828" w:type="dxa"/>
          </w:tcPr>
          <w:p w:rsidR="00F41987" w:rsidRPr="00720F05" w:rsidRDefault="00F41987" w:rsidP="0017432A">
            <w:pPr>
              <w:pStyle w:val="Tabletext"/>
            </w:pPr>
            <w:r w:rsidRPr="00720F05">
              <w:t>1</w:t>
            </w:r>
            <w:r w:rsidR="00720F05" w:rsidRPr="00720F05">
              <w:t> </w:t>
            </w:r>
            <w:r w:rsidRPr="00720F05">
              <w:t>March 2013.</w:t>
            </w:r>
          </w:p>
        </w:tc>
        <w:tc>
          <w:tcPr>
            <w:tcW w:w="1582" w:type="dxa"/>
          </w:tcPr>
          <w:p w:rsidR="00F41987" w:rsidRPr="00720F05" w:rsidRDefault="00F41987" w:rsidP="0017432A">
            <w:pPr>
              <w:pStyle w:val="Tabletext"/>
            </w:pPr>
            <w:r w:rsidRPr="00720F05">
              <w:t>1</w:t>
            </w:r>
            <w:r w:rsidR="00720F05" w:rsidRPr="00720F05">
              <w:t> </w:t>
            </w:r>
            <w:r w:rsidRPr="00720F05">
              <w:t>March 2013</w:t>
            </w:r>
          </w:p>
        </w:tc>
      </w:tr>
      <w:tr w:rsidR="00F41987" w:rsidRPr="00BA23F6" w:rsidTr="00F41987">
        <w:trPr>
          <w:cantSplit/>
        </w:trPr>
        <w:tc>
          <w:tcPr>
            <w:tcW w:w="1701" w:type="dxa"/>
            <w:hideMark/>
          </w:tcPr>
          <w:p w:rsidR="00F41987" w:rsidRPr="00720F05" w:rsidRDefault="00F41987">
            <w:pPr>
              <w:pStyle w:val="Tabletext"/>
            </w:pPr>
            <w:r w:rsidRPr="00720F05">
              <w:t>4A.  Schedule</w:t>
            </w:r>
            <w:r w:rsidR="00720F05" w:rsidRPr="00720F05">
              <w:t> </w:t>
            </w:r>
            <w:r w:rsidRPr="00720F05">
              <w:t>6</w:t>
            </w:r>
          </w:p>
        </w:tc>
        <w:tc>
          <w:tcPr>
            <w:tcW w:w="3828" w:type="dxa"/>
          </w:tcPr>
          <w:p w:rsidR="00F41987" w:rsidRPr="00720F05" w:rsidRDefault="00F41987" w:rsidP="00F41987">
            <w:pPr>
              <w:pStyle w:val="Tabletext"/>
            </w:pPr>
            <w:r w:rsidRPr="00720F05">
              <w:t>Immediately after the commencement of Schedule</w:t>
            </w:r>
            <w:r w:rsidR="00720F05" w:rsidRPr="00720F05">
              <w:t> </w:t>
            </w:r>
            <w:r w:rsidRPr="00720F05">
              <w:t xml:space="preserve">2 to the </w:t>
            </w:r>
            <w:r w:rsidRPr="00720F05">
              <w:rPr>
                <w:i/>
              </w:rPr>
              <w:t>National Consumer Credit Protection Amendment (Home Loans and Credit Cards) Act 2011</w:t>
            </w:r>
            <w:r w:rsidRPr="00720F05">
              <w:t>.</w:t>
            </w:r>
          </w:p>
        </w:tc>
        <w:tc>
          <w:tcPr>
            <w:tcW w:w="1582" w:type="dxa"/>
          </w:tcPr>
          <w:p w:rsidR="00F41987" w:rsidRPr="00720F05" w:rsidRDefault="00F41987" w:rsidP="0017432A">
            <w:pPr>
              <w:pStyle w:val="Tabletext"/>
            </w:pPr>
            <w:r w:rsidRPr="00720F05">
              <w:t>1</w:t>
            </w:r>
            <w:r w:rsidR="00720F05" w:rsidRPr="00720F05">
              <w:t> </w:t>
            </w:r>
            <w:r w:rsidRPr="00720F05">
              <w:t>July 2012</w:t>
            </w:r>
          </w:p>
        </w:tc>
      </w:tr>
    </w:tbl>
    <w:p w:rsidR="00F41987" w:rsidRPr="00720F05" w:rsidRDefault="00720F05" w:rsidP="00F41987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F41987" w:rsidRPr="00720F05">
        <w:t>commencement</w:t>
      </w:r>
      <w:proofErr w:type="gramEnd"/>
      <w:r w:rsidR="00F41987" w:rsidRPr="00720F05">
        <w:t xml:space="preserve"> of consumer lease provisions</w:t>
      </w:r>
      <w:r w:rsidRPr="00720F05">
        <w:rPr>
          <w:rFonts w:cs="Arial"/>
          <w:bCs/>
          <w:iCs/>
          <w:szCs w:val="22"/>
        </w:rPr>
        <w:t>]</w:t>
      </w:r>
    </w:p>
    <w:p w:rsidR="00072671" w:rsidRPr="00720F05" w:rsidRDefault="00D85830" w:rsidP="00072671">
      <w:pPr>
        <w:pStyle w:val="ParlAmend"/>
      </w:pPr>
      <w:r w:rsidRPr="00720F05">
        <w:t>(3)</w:t>
      </w:r>
      <w:r w:rsidRPr="00720F05">
        <w:tab/>
      </w:r>
      <w:r w:rsidR="00072671" w:rsidRPr="00720F05">
        <w:t>Schedule</w:t>
      </w:r>
      <w:r w:rsidR="00720F05" w:rsidRPr="00720F05">
        <w:t> </w:t>
      </w:r>
      <w:r w:rsidR="00072671" w:rsidRPr="00720F05">
        <w:rPr>
          <w:color w:val="000000"/>
        </w:rPr>
        <w:t>1</w:t>
      </w:r>
      <w:r w:rsidR="00072671" w:rsidRPr="00720F05">
        <w:t>, item</w:t>
      </w:r>
      <w:r w:rsidR="00720F05" w:rsidRPr="00720F05">
        <w:t> </w:t>
      </w:r>
      <w:r w:rsidR="00072671" w:rsidRPr="00720F05">
        <w:rPr>
          <w:color w:val="000000"/>
        </w:rPr>
        <w:t>1</w:t>
      </w:r>
      <w:r w:rsidR="00072671" w:rsidRPr="00720F05">
        <w:t xml:space="preserve">, page </w:t>
      </w:r>
      <w:r w:rsidR="00072671" w:rsidRPr="00720F05">
        <w:rPr>
          <w:color w:val="000000"/>
        </w:rPr>
        <w:t>3 (line 12) to page 4 (line 5)</w:t>
      </w:r>
      <w:r w:rsidR="00072671" w:rsidRPr="00720F05">
        <w:t xml:space="preserve">, omit subsections </w:t>
      </w:r>
      <w:r w:rsidR="00072671" w:rsidRPr="00720F05">
        <w:rPr>
          <w:color w:val="000000"/>
        </w:rPr>
        <w:t>72</w:t>
      </w:r>
      <w:r w:rsidR="00072671" w:rsidRPr="00720F05">
        <w:t>(</w:t>
      </w:r>
      <w:r w:rsidR="00072671" w:rsidRPr="00720F05">
        <w:rPr>
          <w:color w:val="000000"/>
        </w:rPr>
        <w:t>2</w:t>
      </w:r>
      <w:r w:rsidR="00072671" w:rsidRPr="00720F05">
        <w:t>) to (</w:t>
      </w:r>
      <w:r w:rsidR="00072671" w:rsidRPr="00720F05">
        <w:rPr>
          <w:color w:val="000000"/>
        </w:rPr>
        <w:t>4</w:t>
      </w:r>
      <w:r w:rsidR="00072671" w:rsidRPr="00720F05">
        <w:t>), substitute:</w:t>
      </w:r>
    </w:p>
    <w:p w:rsidR="00940832" w:rsidRPr="00720F05" w:rsidRDefault="00940832" w:rsidP="00940832">
      <w:pPr>
        <w:pStyle w:val="notetext"/>
      </w:pPr>
      <w:r w:rsidRPr="00720F05">
        <w:t>Note:</w:t>
      </w:r>
      <w:r w:rsidRPr="00720F05">
        <w:tab/>
        <w:t>If a debtor has given a credit provider a hardship notice, there may be requirements</w:t>
      </w:r>
      <w:r w:rsidR="000122C4" w:rsidRPr="00720F05">
        <w:t xml:space="preserve"> (beyond those in section</w:t>
      </w:r>
      <w:r w:rsidR="00720F05" w:rsidRPr="00720F05">
        <w:t> </w:t>
      </w:r>
      <w:r w:rsidR="000122C4" w:rsidRPr="00720F05">
        <w:t>88) that</w:t>
      </w:r>
      <w:r w:rsidRPr="00720F05">
        <w:t xml:space="preserve"> the credit provider must comply with before beginning enforcement proceedings—see section</w:t>
      </w:r>
      <w:r w:rsidR="00720F05" w:rsidRPr="00720F05">
        <w:t> </w:t>
      </w:r>
      <w:r w:rsidRPr="00720F05">
        <w:t>89A.</w:t>
      </w:r>
    </w:p>
    <w:p w:rsidR="00072671" w:rsidRPr="00720F05" w:rsidRDefault="00072671" w:rsidP="00072671">
      <w:pPr>
        <w:pStyle w:val="SubsectionHead"/>
      </w:pPr>
      <w:r w:rsidRPr="00720F05">
        <w:t>Further information</w:t>
      </w:r>
    </w:p>
    <w:p w:rsidR="00072671" w:rsidRPr="00720F05" w:rsidRDefault="00072671" w:rsidP="00072671">
      <w:pPr>
        <w:pStyle w:val="subsection"/>
      </w:pPr>
      <w:r w:rsidRPr="00720F05">
        <w:tab/>
        <w:t>(2)</w:t>
      </w:r>
      <w:r w:rsidRPr="00720F05">
        <w:tab/>
        <w:t>Within 21 days after the day of receiving the debtor</w:t>
      </w:r>
      <w:r w:rsidR="00F41987" w:rsidRPr="00720F05">
        <w:t>’</w:t>
      </w:r>
      <w:r w:rsidRPr="00720F05">
        <w:t xml:space="preserve">s hardship notice, the credit provider </w:t>
      </w:r>
      <w:r w:rsidR="00335E10" w:rsidRPr="00720F05">
        <w:t xml:space="preserve">may </w:t>
      </w:r>
      <w:r w:rsidRPr="00720F05">
        <w:t xml:space="preserve">give the debtor a notice requiring the debtor to give the credit provider </w:t>
      </w:r>
      <w:r w:rsidR="00141D56" w:rsidRPr="00720F05">
        <w:t xml:space="preserve">within 21 days </w:t>
      </w:r>
      <w:r w:rsidRPr="00720F05">
        <w:t xml:space="preserve">specified information relevant to </w:t>
      </w:r>
      <w:r w:rsidR="00F16F99" w:rsidRPr="00720F05">
        <w:t>deciding whether and how to change the credit contract to address the debtor</w:t>
      </w:r>
      <w:r w:rsidR="00F41987" w:rsidRPr="00720F05">
        <w:t>’</w:t>
      </w:r>
      <w:r w:rsidR="00F16F99" w:rsidRPr="00720F05">
        <w:t xml:space="preserve">s inability to meet </w:t>
      </w:r>
      <w:r w:rsidR="00726D92" w:rsidRPr="00720F05">
        <w:t>the debtor</w:t>
      </w:r>
      <w:r w:rsidR="00F41987" w:rsidRPr="00720F05">
        <w:t>’</w:t>
      </w:r>
      <w:r w:rsidR="00726D92" w:rsidRPr="00720F05">
        <w:t>s</w:t>
      </w:r>
      <w:r w:rsidR="00F16F99" w:rsidRPr="00720F05">
        <w:t xml:space="preserve"> obligations under the contract.</w:t>
      </w:r>
    </w:p>
    <w:p w:rsidR="00F16F99" w:rsidRPr="00720F05" w:rsidRDefault="00F16F99" w:rsidP="00072671">
      <w:pPr>
        <w:pStyle w:val="subsection"/>
      </w:pPr>
      <w:r w:rsidRPr="00720F05">
        <w:tab/>
        <w:t>(3)</w:t>
      </w:r>
      <w:r w:rsidRPr="00720F05">
        <w:tab/>
        <w:t>The debtor must comply with the requirement.</w:t>
      </w:r>
    </w:p>
    <w:p w:rsidR="00F16F99" w:rsidRPr="00720F05" w:rsidRDefault="00F16F99" w:rsidP="00F16F99">
      <w:pPr>
        <w:pStyle w:val="notetext"/>
      </w:pPr>
      <w:r w:rsidRPr="00720F05">
        <w:t>Note:</w:t>
      </w:r>
      <w:r w:rsidRPr="00720F05">
        <w:tab/>
        <w:t>If the debtor does not comply with the requirement, the credit provider may refuse to agree to change the credit contract.</w:t>
      </w:r>
    </w:p>
    <w:p w:rsidR="00F16F99" w:rsidRPr="00720F05" w:rsidRDefault="00F16F99" w:rsidP="00F16F99">
      <w:pPr>
        <w:pStyle w:val="SubsectionHead"/>
      </w:pPr>
      <w:r w:rsidRPr="00720F05">
        <w:t>Notice of decision on changing credit contract</w:t>
      </w:r>
    </w:p>
    <w:p w:rsidR="00F16F99" w:rsidRPr="00720F05" w:rsidRDefault="00F16F99" w:rsidP="00072671">
      <w:pPr>
        <w:pStyle w:val="subsection"/>
      </w:pPr>
      <w:r w:rsidRPr="00720F05">
        <w:tab/>
        <w:t>(4)</w:t>
      </w:r>
      <w:r w:rsidRPr="00720F05">
        <w:tab/>
        <w:t>The credit provider must</w:t>
      </w:r>
      <w:r w:rsidR="00CC67EE" w:rsidRPr="00720F05">
        <w:t xml:space="preserve">, </w:t>
      </w:r>
      <w:r w:rsidR="00A907FB" w:rsidRPr="00720F05">
        <w:t>before the end of</w:t>
      </w:r>
      <w:r w:rsidR="00CC67EE" w:rsidRPr="00720F05">
        <w:t xml:space="preserve"> </w:t>
      </w:r>
      <w:r w:rsidR="008262D9" w:rsidRPr="00720F05">
        <w:t xml:space="preserve">the period </w:t>
      </w:r>
      <w:r w:rsidR="00786926" w:rsidRPr="00720F05">
        <w:t xml:space="preserve">identified </w:t>
      </w:r>
      <w:r w:rsidR="00CC67EE" w:rsidRPr="00720F05">
        <w:t xml:space="preserve">under </w:t>
      </w:r>
      <w:r w:rsidR="00720F05" w:rsidRPr="00720F05">
        <w:t>subsection (</w:t>
      </w:r>
      <w:r w:rsidR="00CC67EE" w:rsidRPr="00720F05">
        <w:t>5), give the debtor a notice</w:t>
      </w:r>
      <w:r w:rsidRPr="00720F05">
        <w:t>:</w:t>
      </w:r>
    </w:p>
    <w:p w:rsidR="00F16F99" w:rsidRPr="00720F05" w:rsidRDefault="00F16F99" w:rsidP="00F16F99">
      <w:pPr>
        <w:pStyle w:val="paragraph"/>
      </w:pPr>
      <w:r w:rsidRPr="00720F05">
        <w:tab/>
        <w:t>(</w:t>
      </w:r>
      <w:proofErr w:type="gramStart"/>
      <w:r w:rsidRPr="00720F05">
        <w:t>a</w:t>
      </w:r>
      <w:proofErr w:type="gramEnd"/>
      <w:r w:rsidRPr="00720F05">
        <w:t>)</w:t>
      </w:r>
      <w:r w:rsidRPr="00720F05">
        <w:tab/>
        <w:t>that</w:t>
      </w:r>
      <w:r w:rsidR="00CC67EE" w:rsidRPr="00720F05">
        <w:t xml:space="preserve"> is in the form </w:t>
      </w:r>
      <w:r w:rsidR="00AE54BC" w:rsidRPr="00720F05">
        <w:t xml:space="preserve">(if any) </w:t>
      </w:r>
      <w:r w:rsidR="00CC67EE" w:rsidRPr="00720F05">
        <w:t>prescribed by the regulations and</w:t>
      </w:r>
      <w:r w:rsidRPr="00720F05">
        <w:t xml:space="preserve"> records the fact that the credit provider and the debtor have agreed to change the credit contract; or</w:t>
      </w:r>
    </w:p>
    <w:p w:rsidR="00F16F99" w:rsidRPr="00720F05" w:rsidRDefault="00F16F99" w:rsidP="00F16F99">
      <w:pPr>
        <w:pStyle w:val="paragraph"/>
      </w:pPr>
      <w:r w:rsidRPr="00720F05">
        <w:tab/>
        <w:t>(</w:t>
      </w:r>
      <w:proofErr w:type="gramStart"/>
      <w:r w:rsidRPr="00720F05">
        <w:t>b</w:t>
      </w:r>
      <w:proofErr w:type="gramEnd"/>
      <w:r w:rsidRPr="00720F05">
        <w:t>)</w:t>
      </w:r>
      <w:r w:rsidRPr="00720F05">
        <w:tab/>
        <w:t xml:space="preserve">that </w:t>
      </w:r>
      <w:r w:rsidR="00940832" w:rsidRPr="00720F05">
        <w:t xml:space="preserve">is </w:t>
      </w:r>
      <w:r w:rsidR="00CC67EE" w:rsidRPr="00720F05">
        <w:t>in the form</w:t>
      </w:r>
      <w:r w:rsidR="00AE54BC" w:rsidRPr="00720F05">
        <w:t xml:space="preserve"> (if any)</w:t>
      </w:r>
      <w:r w:rsidR="00CC67EE" w:rsidRPr="00720F05">
        <w:t xml:space="preserve"> prescribed by the regulations and </w:t>
      </w:r>
      <w:r w:rsidRPr="00720F05">
        <w:t>states:</w:t>
      </w:r>
    </w:p>
    <w:p w:rsidR="00F16F99" w:rsidRPr="00720F05" w:rsidRDefault="00F16F99" w:rsidP="00F16F99">
      <w:pPr>
        <w:pStyle w:val="paragraphsub"/>
      </w:pPr>
      <w:r w:rsidRPr="00720F05">
        <w:tab/>
        <w:t>(i)</w:t>
      </w:r>
      <w:r w:rsidRPr="00720F05">
        <w:tab/>
      </w:r>
      <w:proofErr w:type="gramStart"/>
      <w:r w:rsidRPr="00720F05">
        <w:t>the</w:t>
      </w:r>
      <w:proofErr w:type="gramEnd"/>
      <w:r w:rsidRPr="00720F05">
        <w:t xml:space="preserve"> credit provider and the debtor have not agreed to change the credit contract; and</w:t>
      </w:r>
    </w:p>
    <w:p w:rsidR="00F16F99" w:rsidRPr="00720F05" w:rsidRDefault="00F16F99" w:rsidP="00F16F99">
      <w:pPr>
        <w:pStyle w:val="paragraphsub"/>
      </w:pPr>
      <w:r w:rsidRPr="00720F05">
        <w:tab/>
        <w:t>(ii)</w:t>
      </w:r>
      <w:r w:rsidRPr="00720F05">
        <w:tab/>
      </w:r>
      <w:proofErr w:type="gramStart"/>
      <w:r w:rsidRPr="00720F05">
        <w:t>the</w:t>
      </w:r>
      <w:proofErr w:type="gramEnd"/>
      <w:r w:rsidRPr="00720F05">
        <w:t xml:space="preserve"> reasons why they have not agreed; and</w:t>
      </w:r>
    </w:p>
    <w:p w:rsidR="00F16F99" w:rsidRPr="00720F05" w:rsidRDefault="00F16F99" w:rsidP="00F16F99">
      <w:pPr>
        <w:pStyle w:val="paragraphsub"/>
      </w:pPr>
      <w:r w:rsidRPr="00720F05">
        <w:tab/>
        <w:t>(iii)</w:t>
      </w:r>
      <w:r w:rsidRPr="00720F05">
        <w:tab/>
      </w:r>
      <w:proofErr w:type="gramStart"/>
      <w:r w:rsidRPr="00720F05">
        <w:t>the</w:t>
      </w:r>
      <w:proofErr w:type="gramEnd"/>
      <w:r w:rsidRPr="00720F05">
        <w:t xml:space="preserve"> name </w:t>
      </w:r>
      <w:r w:rsidR="00AE54BC" w:rsidRPr="00720F05">
        <w:t xml:space="preserve">and contact details </w:t>
      </w:r>
      <w:r w:rsidRPr="00720F05">
        <w:t>of the approved external dispute resolution scheme of which the credit provider is a member; and</w:t>
      </w:r>
    </w:p>
    <w:p w:rsidR="00F16F99" w:rsidRPr="00720F05" w:rsidRDefault="00F16F99" w:rsidP="00F16F99">
      <w:pPr>
        <w:pStyle w:val="paragraphsub"/>
      </w:pPr>
      <w:r w:rsidRPr="00720F05">
        <w:tab/>
        <w:t>(iv)</w:t>
      </w:r>
      <w:r w:rsidRPr="00720F05">
        <w:tab/>
      </w:r>
      <w:proofErr w:type="gramStart"/>
      <w:r w:rsidRPr="00720F05">
        <w:t>the</w:t>
      </w:r>
      <w:proofErr w:type="gramEnd"/>
      <w:r w:rsidRPr="00720F05">
        <w:t xml:space="preserve"> debtor</w:t>
      </w:r>
      <w:r w:rsidR="00F41987" w:rsidRPr="00720F05">
        <w:t>’</w:t>
      </w:r>
      <w:r w:rsidRPr="00720F05">
        <w:t>s rights under that scheme</w:t>
      </w:r>
      <w:r w:rsidR="00CC67EE" w:rsidRPr="00720F05">
        <w:t>.</w:t>
      </w:r>
    </w:p>
    <w:p w:rsidR="003952D7" w:rsidRPr="00720F05" w:rsidRDefault="003952D7" w:rsidP="003952D7">
      <w:pPr>
        <w:pStyle w:val="Penalty"/>
      </w:pPr>
      <w:r w:rsidRPr="00720F05">
        <w:t>Civil penalty:</w:t>
      </w:r>
      <w:r w:rsidRPr="00720F05">
        <w:tab/>
        <w:t>2,000 penalty units.</w:t>
      </w:r>
    </w:p>
    <w:p w:rsidR="001455BF" w:rsidRPr="00720F05" w:rsidRDefault="00CC67EE" w:rsidP="00CC67EE">
      <w:pPr>
        <w:pStyle w:val="subsection"/>
      </w:pPr>
      <w:r w:rsidRPr="00720F05">
        <w:tab/>
        <w:t>(5)</w:t>
      </w:r>
      <w:r w:rsidRPr="00720F05">
        <w:tab/>
      </w:r>
      <w:r w:rsidR="00786926" w:rsidRPr="00720F05">
        <w:t xml:space="preserve">The </w:t>
      </w:r>
      <w:r w:rsidR="008262D9" w:rsidRPr="00720F05">
        <w:t xml:space="preserve">credit provider must give the notice </w:t>
      </w:r>
      <w:r w:rsidR="0050090A" w:rsidRPr="00720F05">
        <w:t xml:space="preserve">before the end of the period </w:t>
      </w:r>
      <w:r w:rsidR="00940832" w:rsidRPr="00720F05">
        <w:t xml:space="preserve">identified </w:t>
      </w:r>
      <w:r w:rsidR="001455BF" w:rsidRPr="00720F05">
        <w:t>using the table.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110"/>
        <w:gridCol w:w="2555"/>
      </w:tblGrid>
      <w:tr w:rsidR="001455BF" w:rsidRPr="00BA23F6" w:rsidTr="001455BF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1455BF" w:rsidRPr="00720F05" w:rsidRDefault="008262D9" w:rsidP="001455BF">
            <w:pPr>
              <w:pStyle w:val="Tabletext"/>
              <w:keepNext/>
              <w:rPr>
                <w:b/>
              </w:rPr>
            </w:pPr>
            <w:r w:rsidRPr="00720F05">
              <w:rPr>
                <w:b/>
              </w:rPr>
              <w:lastRenderedPageBreak/>
              <w:t>Period</w:t>
            </w:r>
            <w:r w:rsidR="006E0CDA" w:rsidRPr="00720F05">
              <w:rPr>
                <w:b/>
              </w:rPr>
              <w:t xml:space="preserve"> for giving notice</w:t>
            </w:r>
          </w:p>
        </w:tc>
      </w:tr>
      <w:tr w:rsidR="001455BF" w:rsidRPr="00BA23F6" w:rsidTr="00940832">
        <w:trPr>
          <w:tblHeader/>
        </w:trPr>
        <w:tc>
          <w:tcPr>
            <w:tcW w:w="42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455BF" w:rsidRPr="00720F05" w:rsidRDefault="001455BF" w:rsidP="001455BF">
            <w:pPr>
              <w:pStyle w:val="Tabletext"/>
              <w:keepNext/>
              <w:rPr>
                <w:b/>
              </w:rPr>
            </w:pPr>
          </w:p>
        </w:tc>
        <w:tc>
          <w:tcPr>
            <w:tcW w:w="41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455BF" w:rsidRPr="00720F05" w:rsidRDefault="001455BF" w:rsidP="001455BF">
            <w:pPr>
              <w:pStyle w:val="Tabletext"/>
              <w:keepNext/>
              <w:rPr>
                <w:b/>
              </w:rPr>
            </w:pPr>
            <w:r w:rsidRPr="00720F05">
              <w:rPr>
                <w:b/>
              </w:rPr>
              <w:t>If:</w:t>
            </w:r>
          </w:p>
        </w:tc>
        <w:tc>
          <w:tcPr>
            <w:tcW w:w="255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455BF" w:rsidRPr="00720F05" w:rsidRDefault="001455BF" w:rsidP="008262D9">
            <w:pPr>
              <w:pStyle w:val="Tabletext"/>
              <w:keepNext/>
              <w:rPr>
                <w:b/>
              </w:rPr>
            </w:pPr>
            <w:r w:rsidRPr="00720F05">
              <w:rPr>
                <w:b/>
              </w:rPr>
              <w:t xml:space="preserve">The </w:t>
            </w:r>
            <w:r w:rsidR="008262D9" w:rsidRPr="00720F05">
              <w:rPr>
                <w:b/>
              </w:rPr>
              <w:t>period</w:t>
            </w:r>
            <w:r w:rsidR="00940832" w:rsidRPr="00720F05">
              <w:rPr>
                <w:b/>
              </w:rPr>
              <w:t xml:space="preserve"> is:</w:t>
            </w:r>
          </w:p>
        </w:tc>
      </w:tr>
      <w:tr w:rsidR="001455BF" w:rsidRPr="00BA23F6" w:rsidTr="00940832">
        <w:tc>
          <w:tcPr>
            <w:tcW w:w="421" w:type="dxa"/>
            <w:tcBorders>
              <w:top w:val="single" w:sz="12" w:space="0" w:color="auto"/>
            </w:tcBorders>
            <w:shd w:val="clear" w:color="auto" w:fill="auto"/>
          </w:tcPr>
          <w:p w:rsidR="001455BF" w:rsidRPr="00720F05" w:rsidRDefault="001455BF" w:rsidP="001455BF">
            <w:pPr>
              <w:pStyle w:val="Tabletext"/>
            </w:pPr>
            <w:r w:rsidRPr="00720F05">
              <w:t>1</w:t>
            </w:r>
          </w:p>
        </w:tc>
        <w:tc>
          <w:tcPr>
            <w:tcW w:w="4110" w:type="dxa"/>
            <w:tcBorders>
              <w:top w:val="single" w:sz="12" w:space="0" w:color="auto"/>
            </w:tcBorders>
            <w:shd w:val="clear" w:color="auto" w:fill="auto"/>
          </w:tcPr>
          <w:p w:rsidR="001455BF" w:rsidRPr="00720F05" w:rsidRDefault="001455BF" w:rsidP="003D6B82">
            <w:pPr>
              <w:pStyle w:val="Tabletext"/>
            </w:pPr>
            <w:r w:rsidRPr="00720F05">
              <w:t>The credit provider d</w:t>
            </w:r>
            <w:r w:rsidR="003D6B82" w:rsidRPr="00720F05">
              <w:t>oes</w:t>
            </w:r>
            <w:r w:rsidRPr="00720F05">
              <w:t xml:space="preserve"> not require information under </w:t>
            </w:r>
            <w:r w:rsidR="00720F05" w:rsidRPr="00720F05">
              <w:t>subsection (</w:t>
            </w:r>
            <w:r w:rsidRPr="00720F05">
              <w:t>2)</w:t>
            </w:r>
          </w:p>
        </w:tc>
        <w:tc>
          <w:tcPr>
            <w:tcW w:w="2555" w:type="dxa"/>
            <w:tcBorders>
              <w:top w:val="single" w:sz="12" w:space="0" w:color="auto"/>
            </w:tcBorders>
            <w:shd w:val="clear" w:color="auto" w:fill="auto"/>
          </w:tcPr>
          <w:p w:rsidR="001455BF" w:rsidRPr="00720F05" w:rsidRDefault="008262D9" w:rsidP="008262D9">
            <w:pPr>
              <w:pStyle w:val="Tabletext"/>
            </w:pPr>
            <w:r w:rsidRPr="00720F05">
              <w:t>21 days after t</w:t>
            </w:r>
            <w:r w:rsidR="000A59F3" w:rsidRPr="00720F05">
              <w:t>he day of r</w:t>
            </w:r>
            <w:r w:rsidR="001455BF" w:rsidRPr="00720F05">
              <w:t>eceiving the hardship notice</w:t>
            </w:r>
          </w:p>
        </w:tc>
      </w:tr>
      <w:tr w:rsidR="001455BF" w:rsidRPr="00BA23F6" w:rsidTr="00940832"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1455BF" w:rsidRPr="00720F05" w:rsidRDefault="001455BF" w:rsidP="001455BF">
            <w:pPr>
              <w:pStyle w:val="Tabletext"/>
            </w:pPr>
            <w:r w:rsidRPr="00720F05">
              <w:t>2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1455BF" w:rsidRPr="00720F05" w:rsidRDefault="001455BF" w:rsidP="003D6B82">
            <w:pPr>
              <w:pStyle w:val="Tabletext"/>
            </w:pPr>
            <w:r w:rsidRPr="00720F05">
              <w:t>The credit provider require</w:t>
            </w:r>
            <w:r w:rsidR="003D6B82" w:rsidRPr="00720F05">
              <w:t>s</w:t>
            </w:r>
            <w:r w:rsidRPr="00720F05">
              <w:t xml:space="preserve"> information under </w:t>
            </w:r>
            <w:r w:rsidR="00720F05" w:rsidRPr="00720F05">
              <w:t>subsection (</w:t>
            </w:r>
            <w:r w:rsidRPr="00720F05">
              <w:t>2) but d</w:t>
            </w:r>
            <w:r w:rsidR="003D6B82" w:rsidRPr="00720F05">
              <w:t>oes</w:t>
            </w:r>
            <w:r w:rsidRPr="00720F05">
              <w:t xml:space="preserve"> not receive any information in </w:t>
            </w:r>
            <w:r w:rsidR="00940832" w:rsidRPr="00720F05">
              <w:t xml:space="preserve">compliance with </w:t>
            </w:r>
            <w:r w:rsidRPr="00720F05">
              <w:t>the requirement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</w:tcPr>
          <w:p w:rsidR="001455BF" w:rsidRPr="00720F05" w:rsidRDefault="008262D9" w:rsidP="008262D9">
            <w:pPr>
              <w:pStyle w:val="Tabletext"/>
            </w:pPr>
            <w:r w:rsidRPr="00720F05">
              <w:t xml:space="preserve">28 days </w:t>
            </w:r>
            <w:r w:rsidR="000A59F3" w:rsidRPr="00720F05">
              <w:t>after the day of m</w:t>
            </w:r>
            <w:r w:rsidR="001455BF" w:rsidRPr="00720F05">
              <w:t>aking the requirement</w:t>
            </w:r>
          </w:p>
        </w:tc>
      </w:tr>
      <w:tr w:rsidR="001455BF" w:rsidRPr="00BA23F6" w:rsidTr="00940832">
        <w:tc>
          <w:tcPr>
            <w:tcW w:w="421" w:type="dxa"/>
            <w:tcBorders>
              <w:bottom w:val="single" w:sz="12" w:space="0" w:color="auto"/>
            </w:tcBorders>
            <w:shd w:val="clear" w:color="auto" w:fill="auto"/>
          </w:tcPr>
          <w:p w:rsidR="001455BF" w:rsidRPr="00720F05" w:rsidRDefault="001455BF" w:rsidP="001455BF">
            <w:pPr>
              <w:pStyle w:val="Tabletext"/>
            </w:pPr>
            <w:r w:rsidRPr="00720F05">
              <w:t>3</w:t>
            </w:r>
          </w:p>
        </w:tc>
        <w:tc>
          <w:tcPr>
            <w:tcW w:w="4110" w:type="dxa"/>
            <w:tcBorders>
              <w:bottom w:val="single" w:sz="12" w:space="0" w:color="auto"/>
            </w:tcBorders>
            <w:shd w:val="clear" w:color="auto" w:fill="auto"/>
          </w:tcPr>
          <w:p w:rsidR="001455BF" w:rsidRPr="00720F05" w:rsidRDefault="001455BF" w:rsidP="003D6B82">
            <w:pPr>
              <w:pStyle w:val="Tabletext"/>
            </w:pPr>
            <w:r w:rsidRPr="00720F05">
              <w:t>The credit provider require</w:t>
            </w:r>
            <w:r w:rsidR="003D6B82" w:rsidRPr="00720F05">
              <w:t>s</w:t>
            </w:r>
            <w:r w:rsidRPr="00720F05">
              <w:t xml:space="preserve"> information under </w:t>
            </w:r>
            <w:r w:rsidR="00720F05" w:rsidRPr="00720F05">
              <w:t>subsection (</w:t>
            </w:r>
            <w:r w:rsidR="003D6B82" w:rsidRPr="00720F05">
              <w:t>2) and receives</w:t>
            </w:r>
            <w:r w:rsidRPr="00720F05">
              <w:t xml:space="preserve"> information in </w:t>
            </w:r>
            <w:r w:rsidR="00940832" w:rsidRPr="00720F05">
              <w:t>compliance with</w:t>
            </w:r>
            <w:r w:rsidRPr="00720F05">
              <w:t xml:space="preserve"> the requirement</w:t>
            </w:r>
          </w:p>
        </w:tc>
        <w:tc>
          <w:tcPr>
            <w:tcW w:w="2555" w:type="dxa"/>
            <w:tcBorders>
              <w:bottom w:val="single" w:sz="12" w:space="0" w:color="auto"/>
            </w:tcBorders>
            <w:shd w:val="clear" w:color="auto" w:fill="auto"/>
          </w:tcPr>
          <w:p w:rsidR="001455BF" w:rsidRPr="00720F05" w:rsidRDefault="008262D9" w:rsidP="008262D9">
            <w:pPr>
              <w:pStyle w:val="Tabletext"/>
            </w:pPr>
            <w:r w:rsidRPr="00720F05">
              <w:t>21 days after t</w:t>
            </w:r>
            <w:r w:rsidR="000A59F3" w:rsidRPr="00720F05">
              <w:t>he day of r</w:t>
            </w:r>
            <w:r w:rsidR="001455BF" w:rsidRPr="00720F05">
              <w:t>eceiving the information</w:t>
            </w:r>
          </w:p>
        </w:tc>
      </w:tr>
    </w:tbl>
    <w:p w:rsidR="00072671" w:rsidRPr="00720F05" w:rsidRDefault="00720F05" w:rsidP="00072671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072671" w:rsidRPr="00720F05">
        <w:t>hardship</w:t>
      </w:r>
      <w:proofErr w:type="gramEnd"/>
      <w:r w:rsidRPr="00720F05">
        <w:rPr>
          <w:rFonts w:cs="Arial"/>
          <w:bCs/>
          <w:iCs/>
          <w:szCs w:val="22"/>
        </w:rPr>
        <w:t>]</w:t>
      </w:r>
    </w:p>
    <w:p w:rsidR="00786926" w:rsidRPr="00720F05" w:rsidRDefault="00D85830" w:rsidP="00786926">
      <w:pPr>
        <w:pStyle w:val="ParlAmend"/>
      </w:pPr>
      <w:r w:rsidRPr="00720F05">
        <w:t>(4)</w:t>
      </w:r>
      <w:r w:rsidRPr="00720F05">
        <w:tab/>
      </w:r>
      <w:r w:rsidR="00786926" w:rsidRPr="00720F05">
        <w:t>Schedule</w:t>
      </w:r>
      <w:r w:rsidR="00720F05" w:rsidRPr="00720F05">
        <w:t> </w:t>
      </w:r>
      <w:r w:rsidR="00786926" w:rsidRPr="00720F05">
        <w:t>1, item</w:t>
      </w:r>
      <w:r w:rsidR="00720F05" w:rsidRPr="00720F05">
        <w:t> </w:t>
      </w:r>
      <w:r w:rsidR="00786926" w:rsidRPr="00720F05">
        <w:t xml:space="preserve">6, page 5 (lines 17 to 19), omit </w:t>
      </w:r>
      <w:r w:rsidR="00F41987" w:rsidRPr="00720F05">
        <w:t>“</w:t>
      </w:r>
      <w:r w:rsidR="00786926" w:rsidRPr="00720F05">
        <w:t>paragraph 72(2</w:t>
      </w:r>
      <w:proofErr w:type="gramStart"/>
      <w:r w:rsidR="00786926" w:rsidRPr="00720F05">
        <w:t>)(</w:t>
      </w:r>
      <w:proofErr w:type="gramEnd"/>
      <w:r w:rsidR="00786926" w:rsidRPr="00720F05">
        <w:t>b), in response to the current hardship notice, stating that the credit provider does not agree to negotiate a</w:t>
      </w:r>
      <w:r w:rsidR="00A42CB4" w:rsidRPr="00720F05">
        <w:t xml:space="preserve"> change to</w:t>
      </w:r>
      <w:r w:rsidR="00F41987" w:rsidRPr="00720F05">
        <w:t>”</w:t>
      </w:r>
      <w:r w:rsidR="00786926" w:rsidRPr="00720F05">
        <w:t xml:space="preserve">, substitute </w:t>
      </w:r>
      <w:r w:rsidR="00F41987" w:rsidRPr="00720F05">
        <w:t>“</w:t>
      </w:r>
      <w:r w:rsidR="00786926" w:rsidRPr="00720F05">
        <w:t xml:space="preserve">paragraph 72(4)(b), in response to the current hardship notice, stating that the credit provider and debtor </w:t>
      </w:r>
      <w:r w:rsidR="00BA0FC0" w:rsidRPr="00720F05">
        <w:t>have not agreed</w:t>
      </w:r>
      <w:r w:rsidR="00786926" w:rsidRPr="00720F05">
        <w:t xml:space="preserve"> to</w:t>
      </w:r>
      <w:r w:rsidR="00A42CB4" w:rsidRPr="00720F05">
        <w:t xml:space="preserve"> change</w:t>
      </w:r>
      <w:r w:rsidR="00F41987" w:rsidRPr="00720F05">
        <w:t>”</w:t>
      </w:r>
      <w:r w:rsidR="00786926" w:rsidRPr="00720F05">
        <w:t>.</w:t>
      </w:r>
    </w:p>
    <w:p w:rsidR="00786926" w:rsidRPr="00720F05" w:rsidRDefault="00720F05" w:rsidP="00786926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786926" w:rsidRPr="00720F05">
        <w:t>hardship</w:t>
      </w:r>
      <w:proofErr w:type="gramEnd"/>
      <w:r w:rsidRPr="00720F05">
        <w:rPr>
          <w:rFonts w:cs="Arial"/>
          <w:bCs/>
          <w:iCs/>
          <w:szCs w:val="22"/>
        </w:rPr>
        <w:t>]</w:t>
      </w:r>
    </w:p>
    <w:p w:rsidR="00BA0FC0" w:rsidRPr="00720F05" w:rsidRDefault="00D85830" w:rsidP="00BA0FC0">
      <w:pPr>
        <w:pStyle w:val="ParlAmend"/>
      </w:pPr>
      <w:r w:rsidRPr="00720F05">
        <w:t>(5)</w:t>
      </w:r>
      <w:r w:rsidRPr="00720F05">
        <w:tab/>
      </w:r>
      <w:r w:rsidR="00BA0FC0" w:rsidRPr="00720F05">
        <w:t>Schedule</w:t>
      </w:r>
      <w:r w:rsidR="00720F05" w:rsidRPr="00720F05">
        <w:t> </w:t>
      </w:r>
      <w:r w:rsidR="00BA0FC0" w:rsidRPr="00720F05">
        <w:t>1, item</w:t>
      </w:r>
      <w:r w:rsidR="00720F05" w:rsidRPr="00720F05">
        <w:t> </w:t>
      </w:r>
      <w:r w:rsidR="00BA0FC0" w:rsidRPr="00720F05">
        <w:t xml:space="preserve">6, page 5 (lines 20 and 21), omit </w:t>
      </w:r>
      <w:r w:rsidR="00F41987" w:rsidRPr="00720F05">
        <w:t>“</w:t>
      </w:r>
      <w:r w:rsidR="00BA0FC0" w:rsidRPr="00720F05">
        <w:t>lessor gives the notice under paragraph 72(2</w:t>
      </w:r>
      <w:proofErr w:type="gramStart"/>
      <w:r w:rsidR="00BA0FC0" w:rsidRPr="00720F05">
        <w:t>)(</w:t>
      </w:r>
      <w:proofErr w:type="gramEnd"/>
      <w:r w:rsidR="00BA0FC0" w:rsidRPr="00720F05">
        <w:t>b)</w:t>
      </w:r>
      <w:r w:rsidR="00F41987" w:rsidRPr="00720F05">
        <w:t>”</w:t>
      </w:r>
      <w:r w:rsidR="00BA0FC0" w:rsidRPr="00720F05">
        <w:t xml:space="preserve">, substitute </w:t>
      </w:r>
      <w:r w:rsidR="00F41987" w:rsidRPr="00720F05">
        <w:t>“</w:t>
      </w:r>
      <w:r w:rsidR="00BA0FC0" w:rsidRPr="00720F05">
        <w:t>credit provider gives the notice under paragraph 72(4)(b)</w:t>
      </w:r>
      <w:r w:rsidR="00F41987" w:rsidRPr="00720F05">
        <w:t>”</w:t>
      </w:r>
      <w:r w:rsidR="00BA0FC0" w:rsidRPr="00720F05">
        <w:t>.</w:t>
      </w:r>
    </w:p>
    <w:p w:rsidR="00BA0FC0" w:rsidRPr="00720F05" w:rsidRDefault="00720F05" w:rsidP="00BA0FC0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BA0FC0" w:rsidRPr="00720F05">
        <w:t>hardship</w:t>
      </w:r>
      <w:proofErr w:type="gramEnd"/>
      <w:r w:rsidRPr="00720F05">
        <w:rPr>
          <w:rFonts w:cs="Arial"/>
          <w:bCs/>
          <w:iCs/>
          <w:szCs w:val="22"/>
        </w:rPr>
        <w:t>]</w:t>
      </w:r>
    </w:p>
    <w:p w:rsidR="000A5BED" w:rsidRPr="00720F05" w:rsidRDefault="00D85830" w:rsidP="00BA0FC0">
      <w:pPr>
        <w:pStyle w:val="ParlAmend"/>
      </w:pPr>
      <w:r w:rsidRPr="00720F05">
        <w:t>(6)</w:t>
      </w:r>
      <w:r w:rsidRPr="00720F05">
        <w:tab/>
      </w:r>
      <w:r w:rsidR="000A5BED" w:rsidRPr="00720F05">
        <w:t>Schedule</w:t>
      </w:r>
      <w:r w:rsidR="00720F05" w:rsidRPr="00720F05">
        <w:t> </w:t>
      </w:r>
      <w:r w:rsidR="000A5BED" w:rsidRPr="00720F05">
        <w:t>1, item</w:t>
      </w:r>
      <w:r w:rsidR="00720F05" w:rsidRPr="00720F05">
        <w:t> </w:t>
      </w:r>
      <w:r w:rsidR="000A5BED" w:rsidRPr="00720F05">
        <w:t xml:space="preserve">15, page 12 (line 16), omit </w:t>
      </w:r>
      <w:r w:rsidR="00F41987" w:rsidRPr="00720F05">
        <w:t>“</w:t>
      </w:r>
      <w:r w:rsidR="000A5BED" w:rsidRPr="00720F05">
        <w:t>represent</w:t>
      </w:r>
      <w:r w:rsidR="00F41987" w:rsidRPr="00720F05">
        <w:t>”</w:t>
      </w:r>
      <w:proofErr w:type="gramStart"/>
      <w:r w:rsidR="000A5BED" w:rsidRPr="00720F05">
        <w:t>,</w:t>
      </w:r>
      <w:proofErr w:type="gramEnd"/>
      <w:r w:rsidR="000A5BED" w:rsidRPr="00720F05">
        <w:t xml:space="preserve"> substitute </w:t>
      </w:r>
      <w:r w:rsidR="00F41987" w:rsidRPr="00720F05">
        <w:t>“</w:t>
      </w:r>
      <w:r w:rsidR="000A5BED" w:rsidRPr="00720F05">
        <w:t>make an unconditional representation</w:t>
      </w:r>
      <w:r w:rsidR="00F41987" w:rsidRPr="00720F05">
        <w:t>”</w:t>
      </w:r>
      <w:r w:rsidR="000A5BED" w:rsidRPr="00720F05">
        <w:t>.</w:t>
      </w:r>
    </w:p>
    <w:p w:rsidR="000A5BED" w:rsidRPr="00720F05" w:rsidRDefault="00720F05" w:rsidP="000A5BED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0A5BED" w:rsidRPr="00720F05">
        <w:t>assessing</w:t>
      </w:r>
      <w:proofErr w:type="gramEnd"/>
      <w:r w:rsidR="000A5BED" w:rsidRPr="00720F05">
        <w:t xml:space="preserve"> unsuitability</w:t>
      </w:r>
      <w:r w:rsidRPr="00720F05">
        <w:rPr>
          <w:rFonts w:cs="Arial"/>
          <w:bCs/>
          <w:iCs/>
          <w:szCs w:val="22"/>
        </w:rPr>
        <w:t>]</w:t>
      </w:r>
    </w:p>
    <w:p w:rsidR="000A5BED" w:rsidRPr="00720F05" w:rsidRDefault="00D85830" w:rsidP="000A5BED">
      <w:pPr>
        <w:pStyle w:val="ParlAmend"/>
      </w:pPr>
      <w:r w:rsidRPr="00720F05">
        <w:t>(7)</w:t>
      </w:r>
      <w:r w:rsidRPr="00720F05">
        <w:tab/>
      </w:r>
      <w:r w:rsidR="000A5BED" w:rsidRPr="00720F05">
        <w:t>Schedule</w:t>
      </w:r>
      <w:r w:rsidR="00720F05" w:rsidRPr="00720F05">
        <w:t> </w:t>
      </w:r>
      <w:r w:rsidR="000A5BED" w:rsidRPr="00720F05">
        <w:t>1, item</w:t>
      </w:r>
      <w:r w:rsidR="00720F05" w:rsidRPr="00720F05">
        <w:t> </w:t>
      </w:r>
      <w:r w:rsidR="000A5BED" w:rsidRPr="00720F05">
        <w:t xml:space="preserve">16, page 12 (line 21), omit </w:t>
      </w:r>
      <w:r w:rsidR="00F41987" w:rsidRPr="00720F05">
        <w:t>“</w:t>
      </w:r>
      <w:r w:rsidR="000A5BED" w:rsidRPr="00720F05">
        <w:t>represent</w:t>
      </w:r>
      <w:r w:rsidR="00F41987" w:rsidRPr="00720F05">
        <w:t>”</w:t>
      </w:r>
      <w:proofErr w:type="gramStart"/>
      <w:r w:rsidR="000A5BED" w:rsidRPr="00720F05">
        <w:t>,</w:t>
      </w:r>
      <w:proofErr w:type="gramEnd"/>
      <w:r w:rsidR="000A5BED" w:rsidRPr="00720F05">
        <w:t xml:space="preserve"> substitute </w:t>
      </w:r>
      <w:r w:rsidR="00F41987" w:rsidRPr="00720F05">
        <w:t>“</w:t>
      </w:r>
      <w:r w:rsidR="000A5BED" w:rsidRPr="00720F05">
        <w:t>make an unconditional representation</w:t>
      </w:r>
      <w:r w:rsidR="00F41987" w:rsidRPr="00720F05">
        <w:t>”</w:t>
      </w:r>
      <w:r w:rsidR="000A5BED" w:rsidRPr="00720F05">
        <w:t>.</w:t>
      </w:r>
    </w:p>
    <w:p w:rsidR="000A5BED" w:rsidRPr="00720F05" w:rsidRDefault="00720F05" w:rsidP="000A5BED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0A5BED" w:rsidRPr="00720F05">
        <w:t>assessing</w:t>
      </w:r>
      <w:proofErr w:type="gramEnd"/>
      <w:r w:rsidR="000A5BED" w:rsidRPr="00720F05">
        <w:t xml:space="preserve"> unsuitability</w:t>
      </w:r>
      <w:r w:rsidRPr="00720F05">
        <w:rPr>
          <w:rFonts w:cs="Arial"/>
          <w:bCs/>
          <w:iCs/>
          <w:szCs w:val="22"/>
        </w:rPr>
        <w:t>]</w:t>
      </w:r>
    </w:p>
    <w:p w:rsidR="000A5BED" w:rsidRPr="00720F05" w:rsidRDefault="00D85830" w:rsidP="000A5BED">
      <w:pPr>
        <w:pStyle w:val="ParlAmend"/>
      </w:pPr>
      <w:r w:rsidRPr="00720F05">
        <w:t>(8)</w:t>
      </w:r>
      <w:r w:rsidRPr="00720F05">
        <w:tab/>
      </w:r>
      <w:r w:rsidR="000A5BED" w:rsidRPr="00720F05">
        <w:t>Schedule</w:t>
      </w:r>
      <w:r w:rsidR="00720F05" w:rsidRPr="00720F05">
        <w:t> </w:t>
      </w:r>
      <w:r w:rsidR="000A5BED" w:rsidRPr="00720F05">
        <w:t>1, item</w:t>
      </w:r>
      <w:r w:rsidR="00720F05" w:rsidRPr="00720F05">
        <w:t> </w:t>
      </w:r>
      <w:r w:rsidR="000A5BED" w:rsidRPr="00720F05">
        <w:t>1</w:t>
      </w:r>
      <w:r w:rsidR="00E345BF" w:rsidRPr="00720F05">
        <w:t>9</w:t>
      </w:r>
      <w:r w:rsidR="000A5BED" w:rsidRPr="00720F05">
        <w:t xml:space="preserve">, page 13 (line 8), omit </w:t>
      </w:r>
      <w:r w:rsidR="00F41987" w:rsidRPr="00720F05">
        <w:t>“</w:t>
      </w:r>
      <w:r w:rsidR="000A5BED" w:rsidRPr="00720F05">
        <w:t>represent</w:t>
      </w:r>
      <w:r w:rsidR="00F41987" w:rsidRPr="00720F05">
        <w:t>”</w:t>
      </w:r>
      <w:proofErr w:type="gramStart"/>
      <w:r w:rsidR="000A5BED" w:rsidRPr="00720F05">
        <w:t>,</w:t>
      </w:r>
      <w:proofErr w:type="gramEnd"/>
      <w:r w:rsidR="000A5BED" w:rsidRPr="00720F05">
        <w:t xml:space="preserve"> substitute </w:t>
      </w:r>
      <w:r w:rsidR="00F41987" w:rsidRPr="00720F05">
        <w:t>“</w:t>
      </w:r>
      <w:r w:rsidR="000A5BED" w:rsidRPr="00720F05">
        <w:t>make an unconditional representation</w:t>
      </w:r>
      <w:r w:rsidR="00F41987" w:rsidRPr="00720F05">
        <w:t>”</w:t>
      </w:r>
      <w:r w:rsidR="000A5BED" w:rsidRPr="00720F05">
        <w:t>.</w:t>
      </w:r>
    </w:p>
    <w:p w:rsidR="000A5BED" w:rsidRPr="00720F05" w:rsidRDefault="00720F05" w:rsidP="000A5BED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0A5BED" w:rsidRPr="00720F05">
        <w:t>assessing</w:t>
      </w:r>
      <w:proofErr w:type="gramEnd"/>
      <w:r w:rsidR="000A5BED" w:rsidRPr="00720F05">
        <w:t xml:space="preserve"> unsuitability</w:t>
      </w:r>
      <w:r w:rsidRPr="00720F05">
        <w:rPr>
          <w:rFonts w:cs="Arial"/>
          <w:bCs/>
          <w:iCs/>
          <w:szCs w:val="22"/>
        </w:rPr>
        <w:t>]</w:t>
      </w:r>
    </w:p>
    <w:p w:rsidR="00B81398" w:rsidRPr="00720F05" w:rsidRDefault="00D85830" w:rsidP="00B81398">
      <w:pPr>
        <w:pStyle w:val="ParlAmend"/>
      </w:pPr>
      <w:r w:rsidRPr="00720F05">
        <w:t>(9)</w:t>
      </w:r>
      <w:r w:rsidRPr="00720F05">
        <w:tab/>
      </w:r>
      <w:r w:rsidR="00B81398" w:rsidRPr="00720F05">
        <w:t>Schedule</w:t>
      </w:r>
      <w:r w:rsidR="00720F05" w:rsidRPr="00720F05">
        <w:t> </w:t>
      </w:r>
      <w:r w:rsidR="00B81398" w:rsidRPr="00720F05">
        <w:rPr>
          <w:color w:val="000000"/>
        </w:rPr>
        <w:t>1</w:t>
      </w:r>
      <w:r w:rsidR="00B81398" w:rsidRPr="00720F05">
        <w:t>, item</w:t>
      </w:r>
      <w:r w:rsidR="00720F05" w:rsidRPr="00720F05">
        <w:t> </w:t>
      </w:r>
      <w:r w:rsidR="00B81398" w:rsidRPr="00720F05">
        <w:rPr>
          <w:color w:val="000000"/>
        </w:rPr>
        <w:t>25</w:t>
      </w:r>
      <w:r w:rsidR="00B81398" w:rsidRPr="00720F05">
        <w:t xml:space="preserve">, page </w:t>
      </w:r>
      <w:r w:rsidR="00B81398" w:rsidRPr="00720F05">
        <w:rPr>
          <w:color w:val="000000"/>
        </w:rPr>
        <w:t>14 (line 17) to page 15 (line 3)</w:t>
      </w:r>
      <w:r w:rsidR="00B81398" w:rsidRPr="00720F05">
        <w:t>, omit section</w:t>
      </w:r>
      <w:r w:rsidR="00720F05" w:rsidRPr="00720F05">
        <w:t> </w:t>
      </w:r>
      <w:r w:rsidR="00B81398" w:rsidRPr="00720F05">
        <w:rPr>
          <w:color w:val="000000"/>
        </w:rPr>
        <w:t>160A</w:t>
      </w:r>
      <w:r w:rsidR="00B81398" w:rsidRPr="00720F05">
        <w:t>, substitute:</w:t>
      </w:r>
    </w:p>
    <w:p w:rsidR="00B81398" w:rsidRPr="00720F05" w:rsidRDefault="00B81398" w:rsidP="00B81398">
      <w:pPr>
        <w:pStyle w:val="ActHead5"/>
      </w:pPr>
      <w:bookmarkStart w:id="1" w:name="_Toc317774913"/>
      <w:proofErr w:type="gramStart"/>
      <w:r w:rsidRPr="00720F05">
        <w:rPr>
          <w:rStyle w:val="CharSectno"/>
        </w:rPr>
        <w:t>160A</w:t>
      </w:r>
      <w:r w:rsidRPr="00720F05">
        <w:t xml:space="preserve">  Guide</w:t>
      </w:r>
      <w:proofErr w:type="gramEnd"/>
      <w:r w:rsidRPr="00720F05">
        <w:t xml:space="preserve"> to this Part</w:t>
      </w:r>
      <w:bookmarkEnd w:id="1"/>
    </w:p>
    <w:p w:rsidR="00B81398" w:rsidRPr="00720F05" w:rsidRDefault="00B81398" w:rsidP="00B81398">
      <w:pPr>
        <w:pStyle w:val="BoxText"/>
      </w:pPr>
      <w:r w:rsidRPr="00720F05">
        <w:t>This Part has a number of miscellaneous rules that require responsible lending conduct when engaging in credit activities or particular types of credit activities. Some of these rules apply to a person even if the person is not required to be licensed.</w:t>
      </w:r>
    </w:p>
    <w:p w:rsidR="00B81398" w:rsidRPr="00720F05" w:rsidRDefault="00B81398" w:rsidP="00B81398">
      <w:pPr>
        <w:pStyle w:val="BoxText"/>
      </w:pPr>
      <w:r w:rsidRPr="00720F05">
        <w:t>Division</w:t>
      </w:r>
      <w:r w:rsidR="00720F05" w:rsidRPr="00720F05">
        <w:t> </w:t>
      </w:r>
      <w:r w:rsidRPr="00720F05">
        <w:t>2 prohibits licensees from making particular representations when providing a credit service to a consumer.</w:t>
      </w:r>
    </w:p>
    <w:p w:rsidR="00B81398" w:rsidRPr="00720F05" w:rsidRDefault="00B81398" w:rsidP="00B81398">
      <w:pPr>
        <w:pStyle w:val="BoxText"/>
      </w:pPr>
      <w:r w:rsidRPr="00720F05">
        <w:t>Division</w:t>
      </w:r>
      <w:r w:rsidR="00720F05" w:rsidRPr="00720F05">
        <w:t> </w:t>
      </w:r>
      <w:r w:rsidRPr="00720F05">
        <w:t>3 prohibits a person (whether licensed or not) from giving false or misleading information in the course of engaging in a credit activity.</w:t>
      </w:r>
    </w:p>
    <w:p w:rsidR="00B81398" w:rsidRPr="00720F05" w:rsidRDefault="00B81398" w:rsidP="00B81398">
      <w:pPr>
        <w:pStyle w:val="BoxText"/>
      </w:pPr>
      <w:r w:rsidRPr="00720F05">
        <w:t>Division</w:t>
      </w:r>
      <w:r w:rsidR="00720F05" w:rsidRPr="00720F05">
        <w:t> </w:t>
      </w:r>
      <w:r w:rsidR="00223DFA" w:rsidRPr="00720F05">
        <w:t>4</w:t>
      </w:r>
      <w:r w:rsidRPr="00720F05">
        <w:t xml:space="preserve"> </w:t>
      </w:r>
      <w:r w:rsidR="001A3836" w:rsidRPr="00720F05">
        <w:t>may require</w:t>
      </w:r>
      <w:r w:rsidRPr="00720F05">
        <w:t xml:space="preserve"> a credit provider or lessor</w:t>
      </w:r>
      <w:r w:rsidR="007252F6" w:rsidRPr="00720F05">
        <w:t xml:space="preserve"> (whether licensed or not)</w:t>
      </w:r>
      <w:r w:rsidRPr="00720F05">
        <w:t xml:space="preserve"> to give </w:t>
      </w:r>
      <w:r w:rsidR="00E02EA5" w:rsidRPr="00720F05">
        <w:t xml:space="preserve">notice when, and in some cases before, </w:t>
      </w:r>
      <w:r w:rsidRPr="00720F05">
        <w:t xml:space="preserve">giving an employer of </w:t>
      </w:r>
      <w:r w:rsidR="00E02EA5" w:rsidRPr="00720F05">
        <w:t>a</w:t>
      </w:r>
      <w:r w:rsidRPr="00720F05">
        <w:t xml:space="preserve"> debtor or lessee an authorisation </w:t>
      </w:r>
      <w:r w:rsidRPr="00720F05">
        <w:lastRenderedPageBreak/>
        <w:t>by the debtor or lessee to make deductions from amounts payable by the employer to the debtor or lessee.</w:t>
      </w:r>
    </w:p>
    <w:p w:rsidR="00B81398" w:rsidRPr="00720F05" w:rsidRDefault="00720F05" w:rsidP="00B81398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B81398" w:rsidRPr="00720F05">
        <w:t>employer</w:t>
      </w:r>
      <w:proofErr w:type="gramEnd"/>
      <w:r w:rsidR="00B81398" w:rsidRPr="00720F05">
        <w:t xml:space="preserve"> payment authorisation</w:t>
      </w:r>
      <w:r w:rsidRPr="00720F05">
        <w:rPr>
          <w:rFonts w:cs="Arial"/>
          <w:bCs/>
          <w:iCs/>
          <w:szCs w:val="22"/>
        </w:rPr>
        <w:t>]</w:t>
      </w:r>
    </w:p>
    <w:p w:rsidR="007F2489" w:rsidRPr="00720F05" w:rsidRDefault="00D85830" w:rsidP="007F2489">
      <w:pPr>
        <w:pStyle w:val="ParlAmend"/>
      </w:pPr>
      <w:r w:rsidRPr="00720F05">
        <w:t>(10)</w:t>
      </w:r>
      <w:r w:rsidRPr="00720F05">
        <w:tab/>
      </w:r>
      <w:r w:rsidR="007F2489" w:rsidRPr="00720F05">
        <w:t>Schedule</w:t>
      </w:r>
      <w:r w:rsidR="00720F05" w:rsidRPr="00720F05">
        <w:t> </w:t>
      </w:r>
      <w:r w:rsidR="007F2489" w:rsidRPr="00720F05">
        <w:rPr>
          <w:color w:val="000000"/>
        </w:rPr>
        <w:t>1</w:t>
      </w:r>
      <w:r w:rsidR="007F2489" w:rsidRPr="00720F05">
        <w:t>, item</w:t>
      </w:r>
      <w:r w:rsidR="00720F05" w:rsidRPr="00720F05">
        <w:t> </w:t>
      </w:r>
      <w:r w:rsidR="007F2489" w:rsidRPr="00720F05">
        <w:rPr>
          <w:color w:val="000000"/>
        </w:rPr>
        <w:t>25</w:t>
      </w:r>
      <w:r w:rsidR="007F2489" w:rsidRPr="00720F05">
        <w:t xml:space="preserve">, page </w:t>
      </w:r>
      <w:r w:rsidR="007F2489" w:rsidRPr="00720F05">
        <w:rPr>
          <w:color w:val="000000"/>
        </w:rPr>
        <w:t>17 (after line 27)</w:t>
      </w:r>
      <w:r w:rsidR="007F2489" w:rsidRPr="00720F05">
        <w:t>, at the end of Part</w:t>
      </w:r>
      <w:r w:rsidR="00720F05" w:rsidRPr="00720F05">
        <w:t> </w:t>
      </w:r>
      <w:r w:rsidR="007F2489" w:rsidRPr="00720F05">
        <w:rPr>
          <w:color w:val="000000"/>
        </w:rPr>
        <w:t>3</w:t>
      </w:r>
      <w:r w:rsidR="00720F05" w:rsidRPr="00720F05">
        <w:rPr>
          <w:color w:val="000000"/>
        </w:rPr>
        <w:noBreakHyphen/>
      </w:r>
      <w:r w:rsidR="007F2489" w:rsidRPr="00720F05">
        <w:rPr>
          <w:color w:val="000000"/>
        </w:rPr>
        <w:t>6A</w:t>
      </w:r>
      <w:r w:rsidR="007F2489" w:rsidRPr="00720F05">
        <w:t>, add:</w:t>
      </w:r>
    </w:p>
    <w:p w:rsidR="007F2489" w:rsidRPr="00720F05" w:rsidRDefault="007F2489" w:rsidP="007F2489">
      <w:pPr>
        <w:pStyle w:val="ActHead3"/>
      </w:pPr>
      <w:bookmarkStart w:id="2" w:name="_Toc317774914"/>
      <w:r w:rsidRPr="00720F05">
        <w:rPr>
          <w:rStyle w:val="CharDivNo"/>
        </w:rPr>
        <w:t>Division</w:t>
      </w:r>
      <w:r w:rsidR="00720F05" w:rsidRPr="00720F05">
        <w:rPr>
          <w:rStyle w:val="CharDivNo"/>
        </w:rPr>
        <w:t> </w:t>
      </w:r>
      <w:r w:rsidR="00223DFA" w:rsidRPr="00720F05">
        <w:rPr>
          <w:rStyle w:val="CharDivNo"/>
        </w:rPr>
        <w:t>4</w:t>
      </w:r>
      <w:r w:rsidRPr="00720F05">
        <w:t>—</w:t>
      </w:r>
      <w:r w:rsidRPr="00720F05">
        <w:rPr>
          <w:rStyle w:val="CharDivText"/>
        </w:rPr>
        <w:t>Giving authorisation for deductions by employer of debtor or less</w:t>
      </w:r>
      <w:r w:rsidR="007358ED" w:rsidRPr="00720F05">
        <w:rPr>
          <w:rStyle w:val="CharDivText"/>
        </w:rPr>
        <w:t>ee</w:t>
      </w:r>
      <w:bookmarkEnd w:id="2"/>
    </w:p>
    <w:p w:rsidR="007F2489" w:rsidRPr="00720F05" w:rsidRDefault="007F2489" w:rsidP="007F2489">
      <w:pPr>
        <w:pStyle w:val="ActHead5"/>
      </w:pPr>
      <w:bookmarkStart w:id="3" w:name="_Toc317774915"/>
      <w:proofErr w:type="gramStart"/>
      <w:r w:rsidRPr="00720F05">
        <w:rPr>
          <w:rStyle w:val="CharSectno"/>
        </w:rPr>
        <w:t>160</w:t>
      </w:r>
      <w:r w:rsidR="00223DFA" w:rsidRPr="00720F05">
        <w:rPr>
          <w:rStyle w:val="CharSectno"/>
        </w:rPr>
        <w:t>E</w:t>
      </w:r>
      <w:r w:rsidRPr="00720F05">
        <w:t xml:space="preserve">  Requirement</w:t>
      </w:r>
      <w:r w:rsidR="001E1D23" w:rsidRPr="00720F05">
        <w:t>s</w:t>
      </w:r>
      <w:proofErr w:type="gramEnd"/>
      <w:r w:rsidR="001E1D23" w:rsidRPr="00720F05">
        <w:t xml:space="preserve"> for </w:t>
      </w:r>
      <w:r w:rsidRPr="00720F05">
        <w:t>giving authorisation</w:t>
      </w:r>
      <w:r w:rsidR="001E1D23" w:rsidRPr="00720F05">
        <w:t xml:space="preserve"> to employer</w:t>
      </w:r>
      <w:bookmarkEnd w:id="3"/>
    </w:p>
    <w:p w:rsidR="001E1D23" w:rsidRPr="00720F05" w:rsidRDefault="001E1D23" w:rsidP="007F2489">
      <w:pPr>
        <w:pStyle w:val="subsection"/>
      </w:pPr>
      <w:r w:rsidRPr="00720F05">
        <w:tab/>
        <w:t>(1)</w:t>
      </w:r>
      <w:r w:rsidRPr="00720F05">
        <w:tab/>
        <w:t>This section applies to a credit provider or lessor giving</w:t>
      </w:r>
      <w:r w:rsidR="00E02EA5" w:rsidRPr="00720F05">
        <w:t>, or intending to give,</w:t>
      </w:r>
      <w:r w:rsidRPr="00720F05">
        <w:t xml:space="preserve"> an employer of a debtor or lessee who is party to a credit contract or consumer lease with the credit provider or lessor an instrument that:</w:t>
      </w:r>
    </w:p>
    <w:p w:rsidR="001E1D23" w:rsidRPr="00720F05" w:rsidRDefault="001E1D23" w:rsidP="001E1D23">
      <w:pPr>
        <w:pStyle w:val="paragraph"/>
      </w:pPr>
      <w:r w:rsidRPr="00720F05">
        <w:tab/>
        <w:t>(a)</w:t>
      </w:r>
      <w:r w:rsidRPr="00720F05">
        <w:tab/>
      </w:r>
      <w:proofErr w:type="gramStart"/>
      <w:r w:rsidRPr="00720F05">
        <w:t>was</w:t>
      </w:r>
      <w:proofErr w:type="gramEnd"/>
      <w:r w:rsidRPr="00720F05">
        <w:t xml:space="preserve"> made by the debtor or lessee; and</w:t>
      </w:r>
    </w:p>
    <w:p w:rsidR="001E1D23" w:rsidRPr="00720F05" w:rsidRDefault="001E1D23" w:rsidP="001E1D23">
      <w:pPr>
        <w:pStyle w:val="paragraph"/>
      </w:pPr>
      <w:r w:rsidRPr="00720F05">
        <w:tab/>
        <w:t>(b)</w:t>
      </w:r>
      <w:r w:rsidRPr="00720F05">
        <w:tab/>
      </w:r>
      <w:proofErr w:type="gramStart"/>
      <w:r w:rsidRPr="00720F05">
        <w:t>authorises</w:t>
      </w:r>
      <w:proofErr w:type="gramEnd"/>
      <w:r w:rsidRPr="00720F05">
        <w:t xml:space="preserve"> the employer to:</w:t>
      </w:r>
    </w:p>
    <w:p w:rsidR="001E1D23" w:rsidRPr="00720F05" w:rsidRDefault="001E1D23" w:rsidP="001E1D23">
      <w:pPr>
        <w:pStyle w:val="paragraphsub"/>
      </w:pPr>
      <w:r w:rsidRPr="00720F05">
        <w:tab/>
        <w:t>(i)</w:t>
      </w:r>
      <w:r w:rsidRPr="00720F05">
        <w:tab/>
      </w:r>
      <w:proofErr w:type="gramStart"/>
      <w:r w:rsidRPr="00720F05">
        <w:t>make</w:t>
      </w:r>
      <w:proofErr w:type="gramEnd"/>
      <w:r w:rsidRPr="00720F05">
        <w:t xml:space="preserve"> one or more deductions from one or more amounts payable by the employer in relation to the performance of work by the debtor or lessee; and</w:t>
      </w:r>
    </w:p>
    <w:p w:rsidR="001E1D23" w:rsidRPr="00720F05" w:rsidRDefault="001E1D23" w:rsidP="001E1D23">
      <w:pPr>
        <w:pStyle w:val="paragraphsub"/>
      </w:pPr>
      <w:r w:rsidRPr="00720F05">
        <w:tab/>
        <w:t>(ii)</w:t>
      </w:r>
      <w:r w:rsidRPr="00720F05">
        <w:tab/>
      </w:r>
      <w:proofErr w:type="gramStart"/>
      <w:r w:rsidRPr="00720F05">
        <w:t>pay</w:t>
      </w:r>
      <w:proofErr w:type="gramEnd"/>
      <w:r w:rsidRPr="00720F05">
        <w:t xml:space="preserve"> the deductions to the credit provider or lessor.</w:t>
      </w:r>
    </w:p>
    <w:p w:rsidR="001E1D23" w:rsidRPr="00720F05" w:rsidRDefault="001E1D23" w:rsidP="001E1D23">
      <w:pPr>
        <w:pStyle w:val="SubsectionHead"/>
      </w:pPr>
      <w:r w:rsidRPr="00720F05">
        <w:t>Credit provider or lessor must give statement to employer</w:t>
      </w:r>
    </w:p>
    <w:p w:rsidR="001E1D23" w:rsidRPr="00720F05" w:rsidRDefault="001E1D23" w:rsidP="001E1D23">
      <w:pPr>
        <w:pStyle w:val="subsection"/>
      </w:pPr>
      <w:r w:rsidRPr="00720F05">
        <w:tab/>
        <w:t>(2)</w:t>
      </w:r>
      <w:r w:rsidRPr="00720F05">
        <w:tab/>
      </w:r>
      <w:r w:rsidR="002B3A25" w:rsidRPr="00720F05">
        <w:t xml:space="preserve">If the credit contract or consumer lease is of a kind prescribed by the regulations, </w:t>
      </w:r>
      <w:r w:rsidR="00041F9B" w:rsidRPr="00720F05">
        <w:t xml:space="preserve">the credit provider </w:t>
      </w:r>
      <w:r w:rsidR="002B3A25" w:rsidRPr="00720F05">
        <w:t xml:space="preserve">or lessor </w:t>
      </w:r>
      <w:r w:rsidR="00041F9B" w:rsidRPr="00720F05">
        <w:t>must give the employer a statement</w:t>
      </w:r>
      <w:r w:rsidR="002B3A25" w:rsidRPr="00720F05">
        <w:t>,</w:t>
      </w:r>
      <w:r w:rsidR="00041F9B" w:rsidRPr="00720F05">
        <w:t xml:space="preserve"> in the form prescribed by the regulations</w:t>
      </w:r>
      <w:r w:rsidR="002B3A25" w:rsidRPr="00720F05">
        <w:t xml:space="preserve"> for that kind of contract or lease, with the instrument</w:t>
      </w:r>
      <w:r w:rsidR="00041F9B" w:rsidRPr="00720F05">
        <w:t>.</w:t>
      </w:r>
    </w:p>
    <w:p w:rsidR="00041F9B" w:rsidRPr="00720F05" w:rsidRDefault="00041F9B" w:rsidP="00041F9B">
      <w:pPr>
        <w:pStyle w:val="Penalty"/>
      </w:pPr>
      <w:r w:rsidRPr="00720F05">
        <w:t>Civil penalty:</w:t>
      </w:r>
      <w:r w:rsidRPr="00720F05">
        <w:tab/>
        <w:t>2,000 penalty units.</w:t>
      </w:r>
    </w:p>
    <w:p w:rsidR="001E1D23" w:rsidRPr="00720F05" w:rsidRDefault="00041F9B" w:rsidP="00041F9B">
      <w:pPr>
        <w:pStyle w:val="SubsectionHead"/>
      </w:pPr>
      <w:r w:rsidRPr="00720F05">
        <w:t>Credit provider or lessor must give 7 days</w:t>
      </w:r>
      <w:r w:rsidR="00F41987" w:rsidRPr="00720F05">
        <w:t>’</w:t>
      </w:r>
      <w:r w:rsidRPr="00720F05">
        <w:t xml:space="preserve"> notice to defaulting debtor or lessee</w:t>
      </w:r>
    </w:p>
    <w:p w:rsidR="008D0BD8" w:rsidRPr="00720F05" w:rsidRDefault="008D0BD8" w:rsidP="008D0BD8">
      <w:pPr>
        <w:pStyle w:val="subsection"/>
      </w:pPr>
      <w:r w:rsidRPr="00720F05">
        <w:tab/>
        <w:t>(3)</w:t>
      </w:r>
      <w:r w:rsidRPr="00720F05">
        <w:tab/>
        <w:t>If the debtor or less</w:t>
      </w:r>
      <w:r w:rsidR="005E0F1B" w:rsidRPr="00720F05">
        <w:t>ee</w:t>
      </w:r>
      <w:r w:rsidRPr="00720F05">
        <w:t xml:space="preserve"> is in default under the credit contract or consumer lease, the credit provider or lessor must give the debtor or less</w:t>
      </w:r>
      <w:r w:rsidR="005E0F1B" w:rsidRPr="00720F05">
        <w:t>ee</w:t>
      </w:r>
      <w:r w:rsidRPr="00720F05">
        <w:t xml:space="preserve"> at least 7 days</w:t>
      </w:r>
      <w:r w:rsidR="00F41987" w:rsidRPr="00720F05">
        <w:t>’</w:t>
      </w:r>
      <w:r w:rsidRPr="00720F05">
        <w:t xml:space="preserve"> notice, in a form prescribed by the regulations, of the intention of the credit provider or lessor to give the instrument to the employer.</w:t>
      </w:r>
    </w:p>
    <w:p w:rsidR="008D0BD8" w:rsidRPr="00720F05" w:rsidRDefault="008D0BD8" w:rsidP="008D0BD8">
      <w:pPr>
        <w:pStyle w:val="Penalty"/>
      </w:pPr>
      <w:r w:rsidRPr="00720F05">
        <w:t>Civil penalty:</w:t>
      </w:r>
      <w:r w:rsidRPr="00720F05">
        <w:tab/>
        <w:t>2,000 penalty units.</w:t>
      </w:r>
    </w:p>
    <w:p w:rsidR="001E1D23" w:rsidRPr="00720F05" w:rsidRDefault="008D0BD8" w:rsidP="007F2489">
      <w:pPr>
        <w:pStyle w:val="subsection"/>
      </w:pPr>
      <w:r w:rsidRPr="00720F05">
        <w:tab/>
        <w:t>(4)</w:t>
      </w:r>
      <w:r w:rsidRPr="00720F05">
        <w:tab/>
        <w:t xml:space="preserve">To avoid doubt, </w:t>
      </w:r>
      <w:r w:rsidR="00720F05" w:rsidRPr="00720F05">
        <w:t>subsection (</w:t>
      </w:r>
      <w:r w:rsidRPr="00720F05">
        <w:t>3) does not apply if there are not regulations in force prescribing a form for the purposes of that subsection.</w:t>
      </w:r>
    </w:p>
    <w:p w:rsidR="007F2489" w:rsidRPr="00720F05" w:rsidRDefault="00720F05" w:rsidP="007F2489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7F2489" w:rsidRPr="00720F05">
        <w:t>employer</w:t>
      </w:r>
      <w:proofErr w:type="gramEnd"/>
      <w:r w:rsidR="007F2489" w:rsidRPr="00720F05">
        <w:t xml:space="preserve"> payment authorisation</w:t>
      </w:r>
      <w:r w:rsidRPr="00720F05">
        <w:rPr>
          <w:rFonts w:cs="Arial"/>
          <w:bCs/>
          <w:iCs/>
          <w:szCs w:val="22"/>
        </w:rPr>
        <w:t>]</w:t>
      </w:r>
    </w:p>
    <w:p w:rsidR="006B7226" w:rsidRPr="00720F05" w:rsidRDefault="00D85830" w:rsidP="00E0133E">
      <w:pPr>
        <w:pStyle w:val="ParlAmend"/>
      </w:pPr>
      <w:r w:rsidRPr="00720F05">
        <w:t>(11)</w:t>
      </w:r>
      <w:r w:rsidRPr="00720F05">
        <w:tab/>
      </w:r>
      <w:r w:rsidR="006B7226" w:rsidRPr="00720F05">
        <w:t>Schedule</w:t>
      </w:r>
      <w:r w:rsidR="00720F05" w:rsidRPr="00720F05">
        <w:t> </w:t>
      </w:r>
      <w:r w:rsidR="006B7226" w:rsidRPr="00720F05">
        <w:rPr>
          <w:color w:val="000000"/>
        </w:rPr>
        <w:t>2</w:t>
      </w:r>
      <w:r w:rsidR="006B7226" w:rsidRPr="00720F05">
        <w:t>, item</w:t>
      </w:r>
      <w:r w:rsidR="00720F05" w:rsidRPr="00720F05">
        <w:t> </w:t>
      </w:r>
      <w:r w:rsidR="006B7226" w:rsidRPr="00720F05">
        <w:rPr>
          <w:color w:val="000000"/>
        </w:rPr>
        <w:t>2</w:t>
      </w:r>
      <w:r w:rsidR="006B7226" w:rsidRPr="00720F05">
        <w:t xml:space="preserve">, page </w:t>
      </w:r>
      <w:r w:rsidR="006B7226" w:rsidRPr="00720F05">
        <w:rPr>
          <w:color w:val="000000"/>
        </w:rPr>
        <w:t>25 (line 25)</w:t>
      </w:r>
      <w:r w:rsidR="006B7226" w:rsidRPr="00720F05">
        <w:t xml:space="preserve">, omit </w:t>
      </w:r>
      <w:r w:rsidR="00F41987" w:rsidRPr="00720F05">
        <w:t>“</w:t>
      </w:r>
      <w:r w:rsidR="006B7226" w:rsidRPr="00720F05">
        <w:rPr>
          <w:color w:val="000000"/>
        </w:rPr>
        <w:t>less than</w:t>
      </w:r>
      <w:r w:rsidR="00F41987" w:rsidRPr="00720F05">
        <w:t>”</w:t>
      </w:r>
      <w:r w:rsidR="006B7226" w:rsidRPr="00720F05">
        <w:t xml:space="preserve">, substitute </w:t>
      </w:r>
      <w:r w:rsidR="00F41987" w:rsidRPr="00720F05">
        <w:t>“</w:t>
      </w:r>
      <w:r w:rsidR="006B7226" w:rsidRPr="00720F05">
        <w:rPr>
          <w:color w:val="000000"/>
        </w:rPr>
        <w:t>or below</w:t>
      </w:r>
      <w:r w:rsidR="00F41987" w:rsidRPr="00720F05">
        <w:t>”</w:t>
      </w:r>
      <w:r w:rsidR="006B7226" w:rsidRPr="00720F05">
        <w:t>.</w:t>
      </w:r>
    </w:p>
    <w:p w:rsidR="006B7226" w:rsidRPr="00720F05" w:rsidRDefault="00720F05" w:rsidP="006B7226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6B7226" w:rsidRPr="00720F05">
        <w:t>reverse</w:t>
      </w:r>
      <w:proofErr w:type="gramEnd"/>
      <w:r w:rsidR="006B7226" w:rsidRPr="00720F05">
        <w:t xml:space="preserve"> mortgage definition</w:t>
      </w:r>
      <w:r w:rsidRPr="00720F05">
        <w:rPr>
          <w:rFonts w:cs="Arial"/>
          <w:bCs/>
          <w:iCs/>
          <w:szCs w:val="22"/>
        </w:rPr>
        <w:t>]</w:t>
      </w:r>
    </w:p>
    <w:p w:rsidR="008F52DA" w:rsidRPr="00720F05" w:rsidRDefault="00D85830" w:rsidP="008F52DA">
      <w:pPr>
        <w:pStyle w:val="ParlAmend"/>
      </w:pPr>
      <w:r w:rsidRPr="00720F05">
        <w:t>(12)</w:t>
      </w:r>
      <w:r w:rsidRPr="00720F05">
        <w:tab/>
      </w:r>
      <w:r w:rsidR="008F52DA" w:rsidRPr="00720F05">
        <w:t>Schedule</w:t>
      </w:r>
      <w:r w:rsidR="00720F05" w:rsidRPr="00720F05">
        <w:t> </w:t>
      </w:r>
      <w:r w:rsidR="008F52DA" w:rsidRPr="00720F05">
        <w:rPr>
          <w:color w:val="000000"/>
        </w:rPr>
        <w:t>2</w:t>
      </w:r>
      <w:r w:rsidR="008F52DA" w:rsidRPr="00720F05">
        <w:t>, item</w:t>
      </w:r>
      <w:r w:rsidR="00720F05" w:rsidRPr="00720F05">
        <w:t> </w:t>
      </w:r>
      <w:r w:rsidR="008F52DA" w:rsidRPr="00720F05">
        <w:rPr>
          <w:color w:val="000000"/>
        </w:rPr>
        <w:t>5</w:t>
      </w:r>
      <w:r w:rsidR="008F52DA" w:rsidRPr="00720F05">
        <w:t xml:space="preserve">, </w:t>
      </w:r>
      <w:proofErr w:type="gramStart"/>
      <w:r w:rsidR="008F52DA" w:rsidRPr="00720F05">
        <w:t>page</w:t>
      </w:r>
      <w:proofErr w:type="gramEnd"/>
      <w:r w:rsidR="008F52DA" w:rsidRPr="00720F05">
        <w:t xml:space="preserve"> </w:t>
      </w:r>
      <w:r w:rsidR="008F52DA" w:rsidRPr="00720F05">
        <w:rPr>
          <w:color w:val="000000"/>
        </w:rPr>
        <w:t>26 (after line 26)</w:t>
      </w:r>
      <w:r w:rsidR="008F52DA" w:rsidRPr="00720F05">
        <w:t xml:space="preserve">, after </w:t>
      </w:r>
      <w:r w:rsidR="00720F05" w:rsidRPr="00720F05">
        <w:t>paragraph (</w:t>
      </w:r>
      <w:r w:rsidR="008F52DA" w:rsidRPr="00720F05">
        <w:rPr>
          <w:color w:val="000000"/>
        </w:rPr>
        <w:t>a</w:t>
      </w:r>
      <w:r w:rsidR="008F52DA" w:rsidRPr="00720F05">
        <w:t xml:space="preserve">) of the definition of </w:t>
      </w:r>
      <w:r w:rsidR="008F52DA" w:rsidRPr="00720F05">
        <w:rPr>
          <w:b/>
          <w:i/>
        </w:rPr>
        <w:t>bridging finance contract</w:t>
      </w:r>
      <w:r w:rsidR="008F52DA" w:rsidRPr="00720F05">
        <w:t xml:space="preserve"> in subsection 204(1), insert:</w:t>
      </w:r>
    </w:p>
    <w:p w:rsidR="008F52DA" w:rsidRPr="00720F05" w:rsidRDefault="008F52DA" w:rsidP="008F52DA">
      <w:pPr>
        <w:pStyle w:val="paragraph"/>
      </w:pPr>
      <w:r w:rsidRPr="00720F05">
        <w:tab/>
        <w:t>(</w:t>
      </w:r>
      <w:proofErr w:type="gramStart"/>
      <w:r w:rsidRPr="00720F05">
        <w:t>aa</w:t>
      </w:r>
      <w:proofErr w:type="gramEnd"/>
      <w:r w:rsidRPr="00720F05">
        <w:t>)</w:t>
      </w:r>
      <w:r w:rsidRPr="00720F05">
        <w:tab/>
        <w:t>the term of the contract is 2 years or less; and</w:t>
      </w:r>
    </w:p>
    <w:p w:rsidR="008F52DA" w:rsidRPr="00720F05" w:rsidRDefault="00720F05" w:rsidP="008F52DA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8F52DA" w:rsidRPr="00720F05">
        <w:t>bridging</w:t>
      </w:r>
      <w:proofErr w:type="gramEnd"/>
      <w:r w:rsidR="008F52DA" w:rsidRPr="00720F05">
        <w:t xml:space="preserve"> finance contract</w:t>
      </w:r>
      <w:r w:rsidR="00423974" w:rsidRPr="00720F05">
        <w:t xml:space="preserve"> definition</w:t>
      </w:r>
      <w:r w:rsidRPr="00720F05">
        <w:rPr>
          <w:rFonts w:cs="Arial"/>
          <w:bCs/>
          <w:iCs/>
          <w:szCs w:val="22"/>
        </w:rPr>
        <w:t>]</w:t>
      </w:r>
    </w:p>
    <w:p w:rsidR="003600DA" w:rsidRPr="00720F05" w:rsidRDefault="00D85830" w:rsidP="003600DA">
      <w:pPr>
        <w:pStyle w:val="ParlAmend"/>
      </w:pPr>
      <w:r w:rsidRPr="00720F05">
        <w:t>(13)</w:t>
      </w:r>
      <w:r w:rsidRPr="00720F05">
        <w:tab/>
      </w:r>
      <w:r w:rsidR="003600DA" w:rsidRPr="00720F05">
        <w:t>Schedule</w:t>
      </w:r>
      <w:r w:rsidR="00720F05" w:rsidRPr="00720F05">
        <w:t> </w:t>
      </w:r>
      <w:r w:rsidR="003600DA" w:rsidRPr="00720F05">
        <w:t>2, item</w:t>
      </w:r>
      <w:r w:rsidR="00720F05" w:rsidRPr="00720F05">
        <w:t> </w:t>
      </w:r>
      <w:r w:rsidR="003600DA" w:rsidRPr="00720F05">
        <w:t xml:space="preserve">10, page 29 (line 8), after </w:t>
      </w:r>
      <w:r w:rsidR="00F41987" w:rsidRPr="00720F05">
        <w:t>“</w:t>
      </w:r>
      <w:r w:rsidR="003600DA" w:rsidRPr="00720F05">
        <w:t>show the consumer in person</w:t>
      </w:r>
      <w:r w:rsidR="00F41987" w:rsidRPr="00720F05">
        <w:t>”</w:t>
      </w:r>
      <w:r w:rsidR="003600DA" w:rsidRPr="00720F05">
        <w:t xml:space="preserve">, insert </w:t>
      </w:r>
      <w:r w:rsidR="00F41987" w:rsidRPr="00720F05">
        <w:t>“</w:t>
      </w:r>
      <w:r w:rsidR="003600DA" w:rsidRPr="00720F05">
        <w:t>, or give the consumer in a way prescribed by the regulations,</w:t>
      </w:r>
      <w:proofErr w:type="gramStart"/>
      <w:r w:rsidR="00F41987" w:rsidRPr="00720F05">
        <w:t>”</w:t>
      </w:r>
      <w:r w:rsidR="003600DA" w:rsidRPr="00720F05">
        <w:t>.</w:t>
      </w:r>
      <w:proofErr w:type="gramEnd"/>
    </w:p>
    <w:p w:rsidR="003600DA" w:rsidRPr="00720F05" w:rsidRDefault="00720F05" w:rsidP="003600DA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694425" w:rsidRPr="00720F05">
        <w:rPr>
          <w:rFonts w:cs="Arial"/>
          <w:bCs/>
          <w:iCs/>
          <w:szCs w:val="22"/>
        </w:rPr>
        <w:t>equity</w:t>
      </w:r>
      <w:proofErr w:type="gramEnd"/>
      <w:r w:rsidR="00694425" w:rsidRPr="00720F05">
        <w:rPr>
          <w:rFonts w:cs="Arial"/>
          <w:bCs/>
          <w:iCs/>
          <w:szCs w:val="22"/>
        </w:rPr>
        <w:t xml:space="preserve"> </w:t>
      </w:r>
      <w:r w:rsidR="003600DA" w:rsidRPr="00720F05">
        <w:t>projections</w:t>
      </w:r>
      <w:r w:rsidRPr="00720F05">
        <w:rPr>
          <w:rFonts w:cs="Arial"/>
          <w:bCs/>
          <w:iCs/>
          <w:szCs w:val="22"/>
        </w:rPr>
        <w:t>]</w:t>
      </w:r>
    </w:p>
    <w:p w:rsidR="00934B65" w:rsidRPr="00720F05" w:rsidRDefault="00D85830" w:rsidP="00934B65">
      <w:pPr>
        <w:pStyle w:val="ParlAmend"/>
      </w:pPr>
      <w:r w:rsidRPr="00720F05">
        <w:lastRenderedPageBreak/>
        <w:t>(14)</w:t>
      </w:r>
      <w:r w:rsidRPr="00720F05">
        <w:tab/>
      </w:r>
      <w:r w:rsidR="00934B65" w:rsidRPr="00720F05">
        <w:t>Schedule</w:t>
      </w:r>
      <w:r w:rsidR="00720F05" w:rsidRPr="00720F05">
        <w:t> </w:t>
      </w:r>
      <w:r w:rsidR="00934B65" w:rsidRPr="00720F05">
        <w:t>2, item</w:t>
      </w:r>
      <w:r w:rsidR="00720F05" w:rsidRPr="00720F05">
        <w:t> </w:t>
      </w:r>
      <w:r w:rsidR="00934B65" w:rsidRPr="00720F05">
        <w:t xml:space="preserve">13, page 36 (line 15), after </w:t>
      </w:r>
      <w:r w:rsidR="00F41987" w:rsidRPr="00720F05">
        <w:t>“</w:t>
      </w:r>
      <w:r w:rsidR="00934B65" w:rsidRPr="00720F05">
        <w:t>failing</w:t>
      </w:r>
      <w:r w:rsidR="00F41987" w:rsidRPr="00720F05">
        <w:t>”</w:t>
      </w:r>
      <w:r w:rsidR="00934B65" w:rsidRPr="00720F05">
        <w:t xml:space="preserve">, insert </w:t>
      </w:r>
      <w:r w:rsidR="00F41987" w:rsidRPr="00720F05">
        <w:t>“</w:t>
      </w:r>
      <w:r w:rsidR="00934B65" w:rsidRPr="00720F05">
        <w:t>, when the debtor occupies the reverse mortgaged property,</w:t>
      </w:r>
      <w:proofErr w:type="gramStart"/>
      <w:r w:rsidR="00F41987" w:rsidRPr="00720F05">
        <w:t>”</w:t>
      </w:r>
      <w:r w:rsidR="00934B65" w:rsidRPr="00720F05">
        <w:t>.</w:t>
      </w:r>
      <w:proofErr w:type="gramEnd"/>
    </w:p>
    <w:p w:rsidR="00934B65" w:rsidRPr="00720F05" w:rsidRDefault="00720F05" w:rsidP="00934B65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934B65" w:rsidRPr="00720F05">
        <w:t>prohibited</w:t>
      </w:r>
      <w:proofErr w:type="gramEnd"/>
      <w:r w:rsidR="00934B65" w:rsidRPr="00720F05">
        <w:t xml:space="preserve"> provisions</w:t>
      </w:r>
      <w:r w:rsidRPr="00720F05">
        <w:rPr>
          <w:rFonts w:cs="Arial"/>
          <w:bCs/>
          <w:iCs/>
          <w:szCs w:val="22"/>
        </w:rPr>
        <w:t>]</w:t>
      </w:r>
    </w:p>
    <w:p w:rsidR="003B4C68" w:rsidRPr="00720F05" w:rsidRDefault="00D85830" w:rsidP="003B4C68">
      <w:pPr>
        <w:pStyle w:val="ParlAmend"/>
      </w:pPr>
      <w:r w:rsidRPr="00720F05">
        <w:t>(15)</w:t>
      </w:r>
      <w:r w:rsidRPr="00720F05">
        <w:tab/>
      </w:r>
      <w:r w:rsidR="003B4C68" w:rsidRPr="00720F05">
        <w:t>Schedule</w:t>
      </w:r>
      <w:r w:rsidR="00720F05" w:rsidRPr="00720F05">
        <w:t> </w:t>
      </w:r>
      <w:r w:rsidR="0031555E" w:rsidRPr="00720F05">
        <w:t>2</w:t>
      </w:r>
      <w:r w:rsidR="003B4C68" w:rsidRPr="00720F05">
        <w:t>, item</w:t>
      </w:r>
      <w:r w:rsidR="00720F05" w:rsidRPr="00720F05">
        <w:t> </w:t>
      </w:r>
      <w:r w:rsidR="003B4C68" w:rsidRPr="00720F05">
        <w:t xml:space="preserve">13, page 36 (line 23), at the end of paragraph </w:t>
      </w:r>
      <w:proofErr w:type="gramStart"/>
      <w:r w:rsidR="003B4C68" w:rsidRPr="00720F05">
        <w:t>18A(</w:t>
      </w:r>
      <w:proofErr w:type="gramEnd"/>
      <w:r w:rsidR="003B4C68" w:rsidRPr="00720F05">
        <w:t xml:space="preserve">3)(d), add </w:t>
      </w:r>
      <w:r w:rsidR="00F41987" w:rsidRPr="00720F05">
        <w:t>“</w:t>
      </w:r>
      <w:r w:rsidR="003B4C68" w:rsidRPr="00720F05">
        <w:t>within 3 years after the payment became due</w:t>
      </w:r>
      <w:r w:rsidR="00F41987" w:rsidRPr="00720F05">
        <w:t>”</w:t>
      </w:r>
      <w:r w:rsidR="003B4C68" w:rsidRPr="00720F05">
        <w:t>.</w:t>
      </w:r>
    </w:p>
    <w:p w:rsidR="003B4C68" w:rsidRPr="00720F05" w:rsidRDefault="00720F05" w:rsidP="003B4C68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3B4C68" w:rsidRPr="00720F05">
        <w:t>prohibited</w:t>
      </w:r>
      <w:proofErr w:type="gramEnd"/>
      <w:r w:rsidR="003B4C68" w:rsidRPr="00720F05">
        <w:t xml:space="preserve"> provisions</w:t>
      </w:r>
      <w:r w:rsidRPr="00720F05">
        <w:rPr>
          <w:rFonts w:cs="Arial"/>
          <w:bCs/>
          <w:iCs/>
          <w:szCs w:val="22"/>
        </w:rPr>
        <w:t>]</w:t>
      </w:r>
    </w:p>
    <w:p w:rsidR="00DA59B3" w:rsidRPr="00720F05" w:rsidRDefault="00D85830" w:rsidP="00DA59B3">
      <w:pPr>
        <w:pStyle w:val="ParlAmend"/>
      </w:pPr>
      <w:r w:rsidRPr="00720F05">
        <w:t>(16)</w:t>
      </w:r>
      <w:r w:rsidRPr="00720F05">
        <w:tab/>
      </w:r>
      <w:r w:rsidR="00DA59B3" w:rsidRPr="00720F05">
        <w:t>Schedule</w:t>
      </w:r>
      <w:r w:rsidR="00720F05" w:rsidRPr="00720F05">
        <w:t> </w:t>
      </w:r>
      <w:r w:rsidR="00DA59B3" w:rsidRPr="00720F05">
        <w:rPr>
          <w:color w:val="000000"/>
        </w:rPr>
        <w:t>2</w:t>
      </w:r>
      <w:r w:rsidR="00DA59B3" w:rsidRPr="00720F05">
        <w:t>, item</w:t>
      </w:r>
      <w:r w:rsidR="00720F05" w:rsidRPr="00720F05">
        <w:t> </w:t>
      </w:r>
      <w:r w:rsidR="00DA59B3" w:rsidRPr="00720F05">
        <w:rPr>
          <w:color w:val="000000"/>
        </w:rPr>
        <w:t>20</w:t>
      </w:r>
      <w:r w:rsidR="00DA59B3" w:rsidRPr="00720F05">
        <w:t xml:space="preserve">, page </w:t>
      </w:r>
      <w:r w:rsidR="00DA59B3" w:rsidRPr="00720F05">
        <w:rPr>
          <w:color w:val="000000"/>
        </w:rPr>
        <w:t>41 (lines 1 to 4)</w:t>
      </w:r>
      <w:r w:rsidR="00DA59B3" w:rsidRPr="00720F05">
        <w:t xml:space="preserve">, omit paragraph </w:t>
      </w:r>
      <w:proofErr w:type="gramStart"/>
      <w:r w:rsidR="00DA59B3" w:rsidRPr="00720F05">
        <w:rPr>
          <w:color w:val="000000"/>
        </w:rPr>
        <w:t>86E</w:t>
      </w:r>
      <w:r w:rsidR="00DA59B3" w:rsidRPr="00720F05">
        <w:t>(</w:t>
      </w:r>
      <w:proofErr w:type="gramEnd"/>
      <w:r w:rsidR="00DA59B3" w:rsidRPr="00720F05">
        <w:rPr>
          <w:color w:val="000000"/>
        </w:rPr>
        <w:t>a</w:t>
      </w:r>
      <w:r w:rsidR="00DA59B3" w:rsidRPr="00720F05">
        <w:t>).</w:t>
      </w:r>
    </w:p>
    <w:p w:rsidR="00DA59B3" w:rsidRPr="00720F05" w:rsidRDefault="00720F05" w:rsidP="00DA59B3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DA59B3" w:rsidRPr="00720F05">
        <w:t>negative</w:t>
      </w:r>
      <w:proofErr w:type="gramEnd"/>
      <w:r w:rsidR="00DA59B3" w:rsidRPr="00720F05">
        <w:t xml:space="preserve"> equity</w:t>
      </w:r>
      <w:r w:rsidRPr="00720F05">
        <w:rPr>
          <w:rFonts w:cs="Arial"/>
          <w:bCs/>
          <w:iCs/>
          <w:szCs w:val="22"/>
        </w:rPr>
        <w:t>]</w:t>
      </w:r>
    </w:p>
    <w:p w:rsidR="006736BE" w:rsidRPr="00720F05" w:rsidRDefault="00D85830" w:rsidP="006736BE">
      <w:pPr>
        <w:pStyle w:val="ParlAmend"/>
      </w:pPr>
      <w:r w:rsidRPr="00720F05">
        <w:t>(17)</w:t>
      </w:r>
      <w:r w:rsidRPr="00720F05">
        <w:tab/>
      </w:r>
      <w:r w:rsidR="006736BE" w:rsidRPr="00720F05">
        <w:t>Schedule</w:t>
      </w:r>
      <w:r w:rsidR="00720F05" w:rsidRPr="00720F05">
        <w:t> </w:t>
      </w:r>
      <w:r w:rsidR="006736BE" w:rsidRPr="00720F05">
        <w:rPr>
          <w:color w:val="000000"/>
        </w:rPr>
        <w:t>3</w:t>
      </w:r>
      <w:r w:rsidR="006736BE" w:rsidRPr="00720F05">
        <w:t>, item</w:t>
      </w:r>
      <w:r w:rsidR="00720F05" w:rsidRPr="00720F05">
        <w:t> </w:t>
      </w:r>
      <w:r w:rsidR="006736BE" w:rsidRPr="00720F05">
        <w:rPr>
          <w:color w:val="000000"/>
        </w:rPr>
        <w:t>4</w:t>
      </w:r>
      <w:r w:rsidR="006736BE" w:rsidRPr="00720F05">
        <w:t xml:space="preserve">, page </w:t>
      </w:r>
      <w:r w:rsidR="006736BE" w:rsidRPr="00720F05">
        <w:rPr>
          <w:color w:val="000000"/>
        </w:rPr>
        <w:t>51 (line 11)</w:t>
      </w:r>
      <w:r w:rsidR="006736BE" w:rsidRPr="00720F05">
        <w:t xml:space="preserve">, after </w:t>
      </w:r>
      <w:r w:rsidR="00F41987" w:rsidRPr="00720F05">
        <w:t>“</w:t>
      </w:r>
      <w:r w:rsidR="006736BE" w:rsidRPr="00720F05">
        <w:rPr>
          <w:color w:val="000000"/>
        </w:rPr>
        <w:t>amount</w:t>
      </w:r>
      <w:r w:rsidR="00F41987" w:rsidRPr="00720F05">
        <w:t>”</w:t>
      </w:r>
      <w:r w:rsidR="006736BE" w:rsidRPr="00720F05">
        <w:t xml:space="preserve">, insert </w:t>
      </w:r>
      <w:r w:rsidR="00F41987" w:rsidRPr="00720F05">
        <w:t>“</w:t>
      </w:r>
      <w:r w:rsidR="006736BE" w:rsidRPr="00720F05">
        <w:rPr>
          <w:color w:val="000000"/>
        </w:rPr>
        <w:t>credit</w:t>
      </w:r>
      <w:r w:rsidR="00F41987" w:rsidRPr="00720F05">
        <w:t>”</w:t>
      </w:r>
      <w:r w:rsidR="006736BE" w:rsidRPr="00720F05">
        <w:t>.</w:t>
      </w:r>
    </w:p>
    <w:p w:rsidR="006736BE" w:rsidRPr="00720F05" w:rsidRDefault="00720F05" w:rsidP="006736BE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6736BE" w:rsidRPr="00720F05">
        <w:t>technical</w:t>
      </w:r>
      <w:proofErr w:type="gramEnd"/>
      <w:r w:rsidR="006736BE" w:rsidRPr="00720F05">
        <w:t xml:space="preserve"> correction</w:t>
      </w:r>
      <w:r w:rsidRPr="00720F05">
        <w:rPr>
          <w:rFonts w:cs="Arial"/>
          <w:bCs/>
          <w:iCs/>
          <w:szCs w:val="22"/>
        </w:rPr>
        <w:t>]</w:t>
      </w:r>
    </w:p>
    <w:p w:rsidR="0050090A" w:rsidRPr="00720F05" w:rsidRDefault="00D85830" w:rsidP="00DA59B3">
      <w:pPr>
        <w:pStyle w:val="ParlAmend"/>
      </w:pPr>
      <w:r w:rsidRPr="00720F05">
        <w:t>(18)</w:t>
      </w:r>
      <w:r w:rsidRPr="00720F05">
        <w:tab/>
      </w:r>
      <w:r w:rsidR="0050090A" w:rsidRPr="00720F05">
        <w:t>Schedule</w:t>
      </w:r>
      <w:r w:rsidR="00720F05" w:rsidRPr="00720F05">
        <w:t> </w:t>
      </w:r>
      <w:r w:rsidR="0050090A" w:rsidRPr="00720F05">
        <w:rPr>
          <w:color w:val="000000"/>
        </w:rPr>
        <w:t>5</w:t>
      </w:r>
      <w:r w:rsidR="0050090A" w:rsidRPr="00720F05">
        <w:t>, item</w:t>
      </w:r>
      <w:r w:rsidR="00720F05" w:rsidRPr="00720F05">
        <w:t> </w:t>
      </w:r>
      <w:r w:rsidR="0050090A" w:rsidRPr="00720F05">
        <w:rPr>
          <w:color w:val="000000"/>
        </w:rPr>
        <w:t>18</w:t>
      </w:r>
      <w:r w:rsidR="0050090A" w:rsidRPr="00720F05">
        <w:t xml:space="preserve">, page </w:t>
      </w:r>
      <w:r w:rsidR="0050090A" w:rsidRPr="00720F05">
        <w:rPr>
          <w:color w:val="000000"/>
        </w:rPr>
        <w:t>73 (lines 9 to 31)</w:t>
      </w:r>
      <w:r w:rsidR="0050090A" w:rsidRPr="00720F05">
        <w:t xml:space="preserve">, omit subsections </w:t>
      </w:r>
      <w:proofErr w:type="gramStart"/>
      <w:r w:rsidR="0050090A" w:rsidRPr="00720F05">
        <w:rPr>
          <w:color w:val="000000"/>
        </w:rPr>
        <w:t>177B</w:t>
      </w:r>
      <w:r w:rsidR="0050090A" w:rsidRPr="00720F05">
        <w:t>(</w:t>
      </w:r>
      <w:proofErr w:type="gramEnd"/>
      <w:r w:rsidR="0050090A" w:rsidRPr="00720F05">
        <w:rPr>
          <w:color w:val="000000"/>
        </w:rPr>
        <w:t>2</w:t>
      </w:r>
      <w:r w:rsidR="0050090A" w:rsidRPr="00720F05">
        <w:t>) to (</w:t>
      </w:r>
      <w:r w:rsidR="0050090A" w:rsidRPr="00720F05">
        <w:rPr>
          <w:color w:val="000000"/>
        </w:rPr>
        <w:t>4</w:t>
      </w:r>
      <w:r w:rsidR="0050090A" w:rsidRPr="00720F05">
        <w:t>), substitute:</w:t>
      </w:r>
    </w:p>
    <w:p w:rsidR="0050090A" w:rsidRPr="00720F05" w:rsidRDefault="0050090A" w:rsidP="0050090A">
      <w:pPr>
        <w:pStyle w:val="notetext"/>
      </w:pPr>
      <w:r w:rsidRPr="00720F05">
        <w:t>Note:</w:t>
      </w:r>
      <w:r w:rsidRPr="00720F05">
        <w:tab/>
        <w:t xml:space="preserve">If a lessee has given a lessor a hardship notice, there may be extra requirements </w:t>
      </w:r>
      <w:r w:rsidR="000122C4" w:rsidRPr="00720F05">
        <w:t>(beyond those in section</w:t>
      </w:r>
      <w:r w:rsidR="00720F05" w:rsidRPr="00720F05">
        <w:t> </w:t>
      </w:r>
      <w:r w:rsidR="000122C4" w:rsidRPr="00720F05">
        <w:t xml:space="preserve">179D) that </w:t>
      </w:r>
      <w:r w:rsidRPr="00720F05">
        <w:t>the lessor must comply with before beginning enforcement proceedings—see section</w:t>
      </w:r>
      <w:r w:rsidR="00720F05" w:rsidRPr="00720F05">
        <w:t> </w:t>
      </w:r>
      <w:r w:rsidRPr="00720F05">
        <w:t>179F.</w:t>
      </w:r>
    </w:p>
    <w:p w:rsidR="0050090A" w:rsidRPr="00720F05" w:rsidRDefault="0050090A" w:rsidP="0050090A">
      <w:pPr>
        <w:pStyle w:val="SubsectionHead"/>
      </w:pPr>
      <w:r w:rsidRPr="00720F05">
        <w:t>Further information</w:t>
      </w:r>
    </w:p>
    <w:p w:rsidR="0050090A" w:rsidRPr="00720F05" w:rsidRDefault="0050090A" w:rsidP="0050090A">
      <w:pPr>
        <w:pStyle w:val="subsection"/>
      </w:pPr>
      <w:r w:rsidRPr="00720F05">
        <w:tab/>
        <w:t>(2)</w:t>
      </w:r>
      <w:r w:rsidRPr="00720F05">
        <w:tab/>
        <w:t>Within 21 days after the day of receiving the lessee</w:t>
      </w:r>
      <w:r w:rsidR="00F41987" w:rsidRPr="00720F05">
        <w:t>’</w:t>
      </w:r>
      <w:r w:rsidRPr="00720F05">
        <w:t>s hardship notice, the lessor may give the lessee a notice requiring the lessee to give the lessor within 21 days specified information relevant to deciding whether and how to change the consumer lease to address the lessee</w:t>
      </w:r>
      <w:r w:rsidR="00F41987" w:rsidRPr="00720F05">
        <w:t>’</w:t>
      </w:r>
      <w:r w:rsidRPr="00720F05">
        <w:t xml:space="preserve">s inability to meet </w:t>
      </w:r>
      <w:r w:rsidR="0031555E" w:rsidRPr="00720F05">
        <w:t>the lessee</w:t>
      </w:r>
      <w:r w:rsidR="00F41987" w:rsidRPr="00720F05">
        <w:t>’</w:t>
      </w:r>
      <w:r w:rsidR="0031555E" w:rsidRPr="00720F05">
        <w:t>s</w:t>
      </w:r>
      <w:r w:rsidRPr="00720F05">
        <w:t xml:space="preserve"> obligations under the lease.</w:t>
      </w:r>
    </w:p>
    <w:p w:rsidR="0050090A" w:rsidRPr="00720F05" w:rsidRDefault="0050090A" w:rsidP="0050090A">
      <w:pPr>
        <w:pStyle w:val="subsection"/>
      </w:pPr>
      <w:r w:rsidRPr="00720F05">
        <w:tab/>
        <w:t>(3)</w:t>
      </w:r>
      <w:r w:rsidRPr="00720F05">
        <w:tab/>
        <w:t>The lessee must comply with the requirement.</w:t>
      </w:r>
    </w:p>
    <w:p w:rsidR="0050090A" w:rsidRPr="00720F05" w:rsidRDefault="0050090A" w:rsidP="0050090A">
      <w:pPr>
        <w:pStyle w:val="notetext"/>
      </w:pPr>
      <w:r w:rsidRPr="00720F05">
        <w:t>Note:</w:t>
      </w:r>
      <w:r w:rsidRPr="00720F05">
        <w:tab/>
        <w:t>If the lessee does not comply with the requirement, the lessor may refuse to agree to change the lease.</w:t>
      </w:r>
    </w:p>
    <w:p w:rsidR="0050090A" w:rsidRPr="00720F05" w:rsidRDefault="0050090A" w:rsidP="0050090A">
      <w:pPr>
        <w:pStyle w:val="SubsectionHead"/>
      </w:pPr>
      <w:r w:rsidRPr="00720F05">
        <w:t xml:space="preserve">Notice of decision on changing </w:t>
      </w:r>
      <w:r w:rsidR="0066157C" w:rsidRPr="00720F05">
        <w:t>consumer lease</w:t>
      </w:r>
    </w:p>
    <w:p w:rsidR="0050090A" w:rsidRPr="00720F05" w:rsidRDefault="0050090A" w:rsidP="0050090A">
      <w:pPr>
        <w:pStyle w:val="subsection"/>
      </w:pPr>
      <w:r w:rsidRPr="00720F05">
        <w:tab/>
        <w:t>(4)</w:t>
      </w:r>
      <w:r w:rsidRPr="00720F05">
        <w:tab/>
        <w:t xml:space="preserve">The </w:t>
      </w:r>
      <w:r w:rsidR="002B071E" w:rsidRPr="00720F05">
        <w:t>lessor</w:t>
      </w:r>
      <w:r w:rsidRPr="00720F05">
        <w:t xml:space="preserve"> must, before the end of the period identified under </w:t>
      </w:r>
      <w:r w:rsidR="00720F05" w:rsidRPr="00720F05">
        <w:t>subsection (</w:t>
      </w:r>
      <w:r w:rsidRPr="00720F05">
        <w:t xml:space="preserve">5), give the </w:t>
      </w:r>
      <w:r w:rsidR="002B071E" w:rsidRPr="00720F05">
        <w:t>lessee</w:t>
      </w:r>
      <w:r w:rsidRPr="00720F05">
        <w:t xml:space="preserve"> a notice:</w:t>
      </w:r>
    </w:p>
    <w:p w:rsidR="0050090A" w:rsidRPr="00720F05" w:rsidRDefault="0050090A" w:rsidP="0050090A">
      <w:pPr>
        <w:pStyle w:val="paragraph"/>
      </w:pPr>
      <w:r w:rsidRPr="00720F05">
        <w:tab/>
        <w:t>(</w:t>
      </w:r>
      <w:proofErr w:type="gramStart"/>
      <w:r w:rsidRPr="00720F05">
        <w:t>a</w:t>
      </w:r>
      <w:proofErr w:type="gramEnd"/>
      <w:r w:rsidRPr="00720F05">
        <w:t>)</w:t>
      </w:r>
      <w:r w:rsidRPr="00720F05">
        <w:tab/>
        <w:t xml:space="preserve">that is in the form </w:t>
      </w:r>
      <w:r w:rsidR="00AE54BC" w:rsidRPr="00720F05">
        <w:t xml:space="preserve">(if any) </w:t>
      </w:r>
      <w:r w:rsidRPr="00720F05">
        <w:t xml:space="preserve">prescribed by the regulations and records the fact that the </w:t>
      </w:r>
      <w:r w:rsidR="002B071E" w:rsidRPr="00720F05">
        <w:t>lessor</w:t>
      </w:r>
      <w:r w:rsidRPr="00720F05">
        <w:t xml:space="preserve"> and the </w:t>
      </w:r>
      <w:r w:rsidR="002B071E" w:rsidRPr="00720F05">
        <w:t>lessee</w:t>
      </w:r>
      <w:r w:rsidRPr="00720F05">
        <w:t xml:space="preserve"> have agreed to change the </w:t>
      </w:r>
      <w:r w:rsidR="002B071E" w:rsidRPr="00720F05">
        <w:t>consumer lease</w:t>
      </w:r>
      <w:r w:rsidRPr="00720F05">
        <w:t>; or</w:t>
      </w:r>
    </w:p>
    <w:p w:rsidR="0050090A" w:rsidRPr="00720F05" w:rsidRDefault="0050090A" w:rsidP="0050090A">
      <w:pPr>
        <w:pStyle w:val="paragraph"/>
      </w:pPr>
      <w:r w:rsidRPr="00720F05">
        <w:tab/>
        <w:t>(</w:t>
      </w:r>
      <w:proofErr w:type="gramStart"/>
      <w:r w:rsidRPr="00720F05">
        <w:t>b</w:t>
      </w:r>
      <w:proofErr w:type="gramEnd"/>
      <w:r w:rsidRPr="00720F05">
        <w:t>)</w:t>
      </w:r>
      <w:r w:rsidRPr="00720F05">
        <w:tab/>
        <w:t xml:space="preserve">that is in the form </w:t>
      </w:r>
      <w:r w:rsidR="00AE54BC" w:rsidRPr="00720F05">
        <w:t xml:space="preserve">(if any) </w:t>
      </w:r>
      <w:r w:rsidRPr="00720F05">
        <w:t>prescribed by the regulations and states:</w:t>
      </w:r>
    </w:p>
    <w:p w:rsidR="0050090A" w:rsidRPr="00720F05" w:rsidRDefault="0050090A" w:rsidP="0050090A">
      <w:pPr>
        <w:pStyle w:val="paragraphsub"/>
      </w:pPr>
      <w:r w:rsidRPr="00720F05">
        <w:tab/>
        <w:t>(i)</w:t>
      </w:r>
      <w:r w:rsidRPr="00720F05">
        <w:tab/>
      </w:r>
      <w:proofErr w:type="gramStart"/>
      <w:r w:rsidRPr="00720F05">
        <w:t>the</w:t>
      </w:r>
      <w:proofErr w:type="gramEnd"/>
      <w:r w:rsidRPr="00720F05">
        <w:t xml:space="preserve"> </w:t>
      </w:r>
      <w:r w:rsidR="002B071E" w:rsidRPr="00720F05">
        <w:t>lessor</w:t>
      </w:r>
      <w:r w:rsidRPr="00720F05">
        <w:t xml:space="preserve"> and the </w:t>
      </w:r>
      <w:r w:rsidR="002B071E" w:rsidRPr="00720F05">
        <w:t>lessee</w:t>
      </w:r>
      <w:r w:rsidRPr="00720F05">
        <w:t xml:space="preserve"> have not agreed to change the </w:t>
      </w:r>
      <w:r w:rsidR="002B071E" w:rsidRPr="00720F05">
        <w:t>consumer lease</w:t>
      </w:r>
      <w:r w:rsidRPr="00720F05">
        <w:t>; and</w:t>
      </w:r>
    </w:p>
    <w:p w:rsidR="0050090A" w:rsidRPr="00720F05" w:rsidRDefault="0050090A" w:rsidP="0050090A">
      <w:pPr>
        <w:pStyle w:val="paragraphsub"/>
      </w:pPr>
      <w:r w:rsidRPr="00720F05">
        <w:tab/>
        <w:t>(ii)</w:t>
      </w:r>
      <w:r w:rsidRPr="00720F05">
        <w:tab/>
      </w:r>
      <w:proofErr w:type="gramStart"/>
      <w:r w:rsidRPr="00720F05">
        <w:t>the</w:t>
      </w:r>
      <w:proofErr w:type="gramEnd"/>
      <w:r w:rsidRPr="00720F05">
        <w:t xml:space="preserve"> reasons why they have not agreed; and</w:t>
      </w:r>
    </w:p>
    <w:p w:rsidR="0050090A" w:rsidRPr="00720F05" w:rsidRDefault="0050090A" w:rsidP="0050090A">
      <w:pPr>
        <w:pStyle w:val="paragraphsub"/>
      </w:pPr>
      <w:r w:rsidRPr="00720F05">
        <w:tab/>
        <w:t>(iii)</w:t>
      </w:r>
      <w:r w:rsidRPr="00720F05">
        <w:tab/>
      </w:r>
      <w:proofErr w:type="gramStart"/>
      <w:r w:rsidRPr="00720F05">
        <w:t>the</w:t>
      </w:r>
      <w:proofErr w:type="gramEnd"/>
      <w:r w:rsidRPr="00720F05">
        <w:t xml:space="preserve"> name </w:t>
      </w:r>
      <w:r w:rsidR="00AE54BC" w:rsidRPr="00720F05">
        <w:t xml:space="preserve">and contact details </w:t>
      </w:r>
      <w:r w:rsidRPr="00720F05">
        <w:t xml:space="preserve">of the approved external dispute resolution scheme of which the </w:t>
      </w:r>
      <w:r w:rsidR="002B071E" w:rsidRPr="00720F05">
        <w:t>lessor</w:t>
      </w:r>
      <w:r w:rsidRPr="00720F05">
        <w:t xml:space="preserve"> is a member; and</w:t>
      </w:r>
    </w:p>
    <w:p w:rsidR="0050090A" w:rsidRPr="00720F05" w:rsidRDefault="0050090A" w:rsidP="0050090A">
      <w:pPr>
        <w:pStyle w:val="paragraphsub"/>
      </w:pPr>
      <w:r w:rsidRPr="00720F05">
        <w:tab/>
        <w:t>(iv)</w:t>
      </w:r>
      <w:r w:rsidRPr="00720F05">
        <w:tab/>
      </w:r>
      <w:proofErr w:type="gramStart"/>
      <w:r w:rsidRPr="00720F05">
        <w:t>the</w:t>
      </w:r>
      <w:proofErr w:type="gramEnd"/>
      <w:r w:rsidRPr="00720F05">
        <w:t xml:space="preserve"> </w:t>
      </w:r>
      <w:r w:rsidR="002B071E" w:rsidRPr="00720F05">
        <w:t>lessee</w:t>
      </w:r>
      <w:r w:rsidR="00F41987" w:rsidRPr="00720F05">
        <w:t>’</w:t>
      </w:r>
      <w:r w:rsidRPr="00720F05">
        <w:t>s rights under that scheme.</w:t>
      </w:r>
    </w:p>
    <w:p w:rsidR="003952D7" w:rsidRPr="00720F05" w:rsidRDefault="003952D7" w:rsidP="003952D7">
      <w:pPr>
        <w:pStyle w:val="Penalty"/>
      </w:pPr>
      <w:r w:rsidRPr="00720F05">
        <w:t>Civil penalty:</w:t>
      </w:r>
      <w:r w:rsidRPr="00720F05">
        <w:tab/>
        <w:t>2,000 penalty units.</w:t>
      </w:r>
    </w:p>
    <w:p w:rsidR="0050090A" w:rsidRPr="00720F05" w:rsidRDefault="0050090A" w:rsidP="0050090A">
      <w:pPr>
        <w:pStyle w:val="subsection"/>
      </w:pPr>
      <w:r w:rsidRPr="00720F05">
        <w:tab/>
        <w:t>(5)</w:t>
      </w:r>
      <w:r w:rsidRPr="00720F05">
        <w:tab/>
        <w:t xml:space="preserve">The </w:t>
      </w:r>
      <w:r w:rsidR="002B071E" w:rsidRPr="00720F05">
        <w:t>lessor</w:t>
      </w:r>
      <w:r w:rsidRPr="00720F05">
        <w:t xml:space="preserve"> must give the notice before the end of the period identified using the table.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110"/>
        <w:gridCol w:w="2555"/>
      </w:tblGrid>
      <w:tr w:rsidR="0050090A" w:rsidRPr="00BA23F6" w:rsidTr="0050090A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0090A" w:rsidRPr="00720F05" w:rsidRDefault="0050090A" w:rsidP="0050090A">
            <w:pPr>
              <w:pStyle w:val="Tabletext"/>
              <w:keepNext/>
              <w:rPr>
                <w:b/>
              </w:rPr>
            </w:pPr>
            <w:r w:rsidRPr="00720F05">
              <w:rPr>
                <w:b/>
              </w:rPr>
              <w:t>Period</w:t>
            </w:r>
            <w:r w:rsidR="00EA5EB7" w:rsidRPr="00720F05">
              <w:rPr>
                <w:b/>
              </w:rPr>
              <w:t xml:space="preserve"> for giving notice</w:t>
            </w:r>
          </w:p>
        </w:tc>
      </w:tr>
      <w:tr w:rsidR="0050090A" w:rsidRPr="00BA23F6" w:rsidTr="0050090A">
        <w:trPr>
          <w:tblHeader/>
        </w:trPr>
        <w:tc>
          <w:tcPr>
            <w:tcW w:w="42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0090A" w:rsidRPr="00720F05" w:rsidRDefault="0050090A" w:rsidP="0050090A">
            <w:pPr>
              <w:pStyle w:val="Tabletext"/>
              <w:keepNext/>
              <w:rPr>
                <w:b/>
              </w:rPr>
            </w:pPr>
          </w:p>
        </w:tc>
        <w:tc>
          <w:tcPr>
            <w:tcW w:w="41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0090A" w:rsidRPr="00720F05" w:rsidRDefault="0050090A" w:rsidP="0050090A">
            <w:pPr>
              <w:pStyle w:val="Tabletext"/>
              <w:keepNext/>
              <w:rPr>
                <w:b/>
              </w:rPr>
            </w:pPr>
            <w:r w:rsidRPr="00720F05">
              <w:rPr>
                <w:b/>
              </w:rPr>
              <w:t>If:</w:t>
            </w:r>
          </w:p>
        </w:tc>
        <w:tc>
          <w:tcPr>
            <w:tcW w:w="255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0090A" w:rsidRPr="00720F05" w:rsidRDefault="0050090A" w:rsidP="0050090A">
            <w:pPr>
              <w:pStyle w:val="Tabletext"/>
              <w:keepNext/>
              <w:rPr>
                <w:b/>
              </w:rPr>
            </w:pPr>
            <w:r w:rsidRPr="00720F05">
              <w:rPr>
                <w:b/>
              </w:rPr>
              <w:t>The period is:</w:t>
            </w:r>
          </w:p>
        </w:tc>
      </w:tr>
      <w:tr w:rsidR="0050090A" w:rsidRPr="00BA23F6" w:rsidTr="0050090A">
        <w:tc>
          <w:tcPr>
            <w:tcW w:w="421" w:type="dxa"/>
            <w:tcBorders>
              <w:top w:val="single" w:sz="12" w:space="0" w:color="auto"/>
            </w:tcBorders>
            <w:shd w:val="clear" w:color="auto" w:fill="auto"/>
          </w:tcPr>
          <w:p w:rsidR="0050090A" w:rsidRPr="00720F05" w:rsidRDefault="0050090A" w:rsidP="0050090A">
            <w:pPr>
              <w:pStyle w:val="Tabletext"/>
            </w:pPr>
            <w:r w:rsidRPr="00720F05">
              <w:t>1</w:t>
            </w:r>
          </w:p>
        </w:tc>
        <w:tc>
          <w:tcPr>
            <w:tcW w:w="4110" w:type="dxa"/>
            <w:tcBorders>
              <w:top w:val="single" w:sz="12" w:space="0" w:color="auto"/>
            </w:tcBorders>
            <w:shd w:val="clear" w:color="auto" w:fill="auto"/>
          </w:tcPr>
          <w:p w:rsidR="0050090A" w:rsidRPr="00720F05" w:rsidRDefault="0050090A" w:rsidP="002B071E">
            <w:pPr>
              <w:pStyle w:val="Tabletext"/>
            </w:pPr>
            <w:r w:rsidRPr="00720F05">
              <w:t xml:space="preserve">The </w:t>
            </w:r>
            <w:r w:rsidR="002B071E" w:rsidRPr="00720F05">
              <w:t>lessor</w:t>
            </w:r>
            <w:r w:rsidRPr="00720F05">
              <w:t xml:space="preserve"> does not require information under </w:t>
            </w:r>
            <w:r w:rsidR="00720F05" w:rsidRPr="00720F05">
              <w:t>subsection (</w:t>
            </w:r>
            <w:r w:rsidRPr="00720F05">
              <w:t>2)</w:t>
            </w:r>
          </w:p>
        </w:tc>
        <w:tc>
          <w:tcPr>
            <w:tcW w:w="2555" w:type="dxa"/>
            <w:tcBorders>
              <w:top w:val="single" w:sz="12" w:space="0" w:color="auto"/>
            </w:tcBorders>
            <w:shd w:val="clear" w:color="auto" w:fill="auto"/>
          </w:tcPr>
          <w:p w:rsidR="0050090A" w:rsidRPr="00720F05" w:rsidRDefault="0050090A" w:rsidP="0050090A">
            <w:pPr>
              <w:pStyle w:val="Tabletext"/>
            </w:pPr>
            <w:r w:rsidRPr="00720F05">
              <w:t>21 days after the day of receiving the hardship notice</w:t>
            </w:r>
          </w:p>
        </w:tc>
      </w:tr>
      <w:tr w:rsidR="0050090A" w:rsidRPr="00BA23F6" w:rsidTr="0050090A"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50090A" w:rsidRPr="00720F05" w:rsidRDefault="0050090A" w:rsidP="0050090A">
            <w:pPr>
              <w:pStyle w:val="Tabletext"/>
            </w:pPr>
            <w:r w:rsidRPr="00720F05">
              <w:t>2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50090A" w:rsidRPr="00720F05" w:rsidRDefault="0050090A" w:rsidP="002B071E">
            <w:pPr>
              <w:pStyle w:val="Tabletext"/>
            </w:pPr>
            <w:r w:rsidRPr="00720F05">
              <w:t xml:space="preserve">The </w:t>
            </w:r>
            <w:r w:rsidR="002B071E" w:rsidRPr="00720F05">
              <w:t>lessor</w:t>
            </w:r>
            <w:r w:rsidRPr="00720F05">
              <w:t xml:space="preserve"> requires information under </w:t>
            </w:r>
            <w:r w:rsidR="00720F05" w:rsidRPr="00720F05">
              <w:t>subsection (</w:t>
            </w:r>
            <w:r w:rsidRPr="00720F05">
              <w:t>2) but does not receive any information in compliance with the requirement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</w:tcPr>
          <w:p w:rsidR="0050090A" w:rsidRPr="00720F05" w:rsidRDefault="0050090A" w:rsidP="0050090A">
            <w:pPr>
              <w:pStyle w:val="Tabletext"/>
            </w:pPr>
            <w:r w:rsidRPr="00720F05">
              <w:t>28 days after the day of making the requirement</w:t>
            </w:r>
          </w:p>
        </w:tc>
      </w:tr>
      <w:tr w:rsidR="0050090A" w:rsidRPr="00BA23F6" w:rsidTr="0050090A">
        <w:tc>
          <w:tcPr>
            <w:tcW w:w="421" w:type="dxa"/>
            <w:tcBorders>
              <w:bottom w:val="single" w:sz="12" w:space="0" w:color="auto"/>
            </w:tcBorders>
            <w:shd w:val="clear" w:color="auto" w:fill="auto"/>
          </w:tcPr>
          <w:p w:rsidR="0050090A" w:rsidRPr="00720F05" w:rsidRDefault="0050090A" w:rsidP="0050090A">
            <w:pPr>
              <w:pStyle w:val="Tabletext"/>
            </w:pPr>
            <w:r w:rsidRPr="00720F05">
              <w:lastRenderedPageBreak/>
              <w:t>3</w:t>
            </w:r>
          </w:p>
        </w:tc>
        <w:tc>
          <w:tcPr>
            <w:tcW w:w="4110" w:type="dxa"/>
            <w:tcBorders>
              <w:bottom w:val="single" w:sz="12" w:space="0" w:color="auto"/>
            </w:tcBorders>
            <w:shd w:val="clear" w:color="auto" w:fill="auto"/>
          </w:tcPr>
          <w:p w:rsidR="0050090A" w:rsidRPr="00720F05" w:rsidRDefault="0050090A" w:rsidP="002B071E">
            <w:pPr>
              <w:pStyle w:val="Tabletext"/>
            </w:pPr>
            <w:r w:rsidRPr="00720F05">
              <w:t xml:space="preserve">The </w:t>
            </w:r>
            <w:r w:rsidR="002B071E" w:rsidRPr="00720F05">
              <w:t>lessor</w:t>
            </w:r>
            <w:r w:rsidRPr="00720F05">
              <w:t xml:space="preserve"> requires information under </w:t>
            </w:r>
            <w:r w:rsidR="00720F05" w:rsidRPr="00720F05">
              <w:t>subsection (</w:t>
            </w:r>
            <w:r w:rsidRPr="00720F05">
              <w:t>2) and receives information in compliance with the requirement</w:t>
            </w:r>
          </w:p>
        </w:tc>
        <w:tc>
          <w:tcPr>
            <w:tcW w:w="2555" w:type="dxa"/>
            <w:tcBorders>
              <w:bottom w:val="single" w:sz="12" w:space="0" w:color="auto"/>
            </w:tcBorders>
            <w:shd w:val="clear" w:color="auto" w:fill="auto"/>
          </w:tcPr>
          <w:p w:rsidR="0050090A" w:rsidRPr="00720F05" w:rsidRDefault="0050090A" w:rsidP="0050090A">
            <w:pPr>
              <w:pStyle w:val="Tabletext"/>
            </w:pPr>
            <w:r w:rsidRPr="00720F05">
              <w:t>21 days after the day of receiving the information</w:t>
            </w:r>
          </w:p>
        </w:tc>
      </w:tr>
    </w:tbl>
    <w:p w:rsidR="0050090A" w:rsidRPr="00720F05" w:rsidRDefault="00720F05" w:rsidP="0050090A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50090A" w:rsidRPr="00720F05">
        <w:t>hardship</w:t>
      </w:r>
      <w:proofErr w:type="gramEnd"/>
      <w:r w:rsidRPr="00720F05">
        <w:rPr>
          <w:rFonts w:cs="Arial"/>
          <w:bCs/>
          <w:iCs/>
          <w:szCs w:val="22"/>
        </w:rPr>
        <w:t>]</w:t>
      </w:r>
    </w:p>
    <w:p w:rsidR="007600EA" w:rsidRPr="00720F05" w:rsidRDefault="00D85830" w:rsidP="007600EA">
      <w:pPr>
        <w:pStyle w:val="ParlAmend"/>
      </w:pPr>
      <w:r w:rsidRPr="00720F05">
        <w:t>(19)</w:t>
      </w:r>
      <w:r w:rsidRPr="00720F05">
        <w:tab/>
      </w:r>
      <w:r w:rsidR="007600EA" w:rsidRPr="00720F05">
        <w:t>Schedule</w:t>
      </w:r>
      <w:r w:rsidR="00720F05" w:rsidRPr="00720F05">
        <w:t> </w:t>
      </w:r>
      <w:r w:rsidR="007600EA" w:rsidRPr="00720F05">
        <w:t>5, item</w:t>
      </w:r>
      <w:r w:rsidR="00720F05" w:rsidRPr="00720F05">
        <w:t> </w:t>
      </w:r>
      <w:r w:rsidR="007600EA" w:rsidRPr="00720F05">
        <w:t xml:space="preserve">24, page 84 (lines 18 to 20), omit </w:t>
      </w:r>
      <w:r w:rsidR="00F41987" w:rsidRPr="00720F05">
        <w:t>“</w:t>
      </w:r>
      <w:r w:rsidR="007600EA" w:rsidRPr="00720F05">
        <w:t xml:space="preserve">paragraph </w:t>
      </w:r>
      <w:proofErr w:type="gramStart"/>
      <w:r w:rsidR="007600EA" w:rsidRPr="00720F05">
        <w:t>177B(</w:t>
      </w:r>
      <w:proofErr w:type="gramEnd"/>
      <w:r w:rsidR="007600EA" w:rsidRPr="00720F05">
        <w:t>2)(b), in response to the current hardship notice; stating that the lessor does not agree to negotiate a</w:t>
      </w:r>
      <w:r w:rsidR="00A85E93" w:rsidRPr="00720F05">
        <w:t xml:space="preserve"> change to</w:t>
      </w:r>
      <w:r w:rsidR="00F41987" w:rsidRPr="00720F05">
        <w:t>”</w:t>
      </w:r>
      <w:r w:rsidR="007600EA" w:rsidRPr="00720F05">
        <w:t xml:space="preserve">, substitute </w:t>
      </w:r>
      <w:r w:rsidR="00F41987" w:rsidRPr="00720F05">
        <w:t>“</w:t>
      </w:r>
      <w:r w:rsidR="007600EA" w:rsidRPr="00720F05">
        <w:t>paragraph 177B(4)(b), in response to the current hardship notice, stating that the lessor and the lessee have not agreed to</w:t>
      </w:r>
      <w:r w:rsidR="00A85E93" w:rsidRPr="00720F05">
        <w:t xml:space="preserve"> change</w:t>
      </w:r>
      <w:r w:rsidR="00F41987" w:rsidRPr="00720F05">
        <w:t>”</w:t>
      </w:r>
      <w:r w:rsidR="007600EA" w:rsidRPr="00720F05">
        <w:t>.</w:t>
      </w:r>
    </w:p>
    <w:p w:rsidR="007600EA" w:rsidRPr="00720F05" w:rsidRDefault="00720F05" w:rsidP="007600EA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7600EA" w:rsidRPr="00720F05">
        <w:t>hardship</w:t>
      </w:r>
      <w:proofErr w:type="gramEnd"/>
      <w:r w:rsidRPr="00720F05">
        <w:rPr>
          <w:rFonts w:cs="Arial"/>
          <w:bCs/>
          <w:iCs/>
          <w:szCs w:val="22"/>
        </w:rPr>
        <w:t>]</w:t>
      </w:r>
    </w:p>
    <w:p w:rsidR="000910C2" w:rsidRPr="00720F05" w:rsidRDefault="00D85830" w:rsidP="000910C2">
      <w:pPr>
        <w:pStyle w:val="ParlAmend"/>
      </w:pPr>
      <w:r w:rsidRPr="00720F05">
        <w:t>(20)</w:t>
      </w:r>
      <w:r w:rsidRPr="00720F05">
        <w:tab/>
      </w:r>
      <w:r w:rsidR="000910C2" w:rsidRPr="00720F05">
        <w:t>Schedule</w:t>
      </w:r>
      <w:r w:rsidR="00720F05" w:rsidRPr="00720F05">
        <w:t> </w:t>
      </w:r>
      <w:r w:rsidR="000910C2" w:rsidRPr="00720F05">
        <w:t>5, item</w:t>
      </w:r>
      <w:r w:rsidR="00720F05" w:rsidRPr="00720F05">
        <w:t> </w:t>
      </w:r>
      <w:r w:rsidR="000910C2" w:rsidRPr="00720F05">
        <w:t xml:space="preserve">24, page 84 (line 23), omit </w:t>
      </w:r>
      <w:r w:rsidR="00F41987" w:rsidRPr="00720F05">
        <w:t>“</w:t>
      </w:r>
      <w:r w:rsidR="000910C2" w:rsidRPr="00720F05">
        <w:t xml:space="preserve">paragraph </w:t>
      </w:r>
      <w:proofErr w:type="gramStart"/>
      <w:r w:rsidR="000910C2" w:rsidRPr="00720F05">
        <w:t>177B(</w:t>
      </w:r>
      <w:proofErr w:type="gramEnd"/>
      <w:r w:rsidR="000910C2" w:rsidRPr="00720F05">
        <w:t>2)(b)</w:t>
      </w:r>
      <w:r w:rsidR="00F41987" w:rsidRPr="00720F05">
        <w:t>”</w:t>
      </w:r>
      <w:r w:rsidR="000910C2" w:rsidRPr="00720F05">
        <w:t xml:space="preserve">, substitute </w:t>
      </w:r>
      <w:r w:rsidR="00F41987" w:rsidRPr="00720F05">
        <w:t>“</w:t>
      </w:r>
      <w:r w:rsidR="000910C2" w:rsidRPr="00720F05">
        <w:t>paragraph 177B(4)(b)</w:t>
      </w:r>
      <w:r w:rsidR="00F41987" w:rsidRPr="00720F05">
        <w:t>”</w:t>
      </w:r>
      <w:r w:rsidR="000910C2" w:rsidRPr="00720F05">
        <w:t>.</w:t>
      </w:r>
    </w:p>
    <w:p w:rsidR="000910C2" w:rsidRPr="00720F05" w:rsidRDefault="00720F05" w:rsidP="000910C2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0910C2" w:rsidRPr="00720F05">
        <w:t>hardship</w:t>
      </w:r>
      <w:proofErr w:type="gramEnd"/>
      <w:r w:rsidRPr="00720F05">
        <w:rPr>
          <w:rFonts w:cs="Arial"/>
          <w:bCs/>
          <w:iCs/>
          <w:szCs w:val="22"/>
        </w:rPr>
        <w:t>]</w:t>
      </w:r>
    </w:p>
    <w:p w:rsidR="00E63306" w:rsidRPr="00720F05" w:rsidRDefault="00D85830" w:rsidP="000910C2">
      <w:pPr>
        <w:pStyle w:val="ParlAmend"/>
      </w:pPr>
      <w:r w:rsidRPr="00720F05">
        <w:t>(21)</w:t>
      </w:r>
      <w:r w:rsidRPr="00720F05">
        <w:tab/>
      </w:r>
      <w:r w:rsidR="00E63306" w:rsidRPr="00720F05">
        <w:t>Schedule</w:t>
      </w:r>
      <w:r w:rsidR="00720F05" w:rsidRPr="00720F05">
        <w:t> </w:t>
      </w:r>
      <w:r w:rsidR="00E63306" w:rsidRPr="00720F05">
        <w:rPr>
          <w:color w:val="000000"/>
        </w:rPr>
        <w:t>6</w:t>
      </w:r>
      <w:r w:rsidR="00E63306" w:rsidRPr="00720F05">
        <w:t>, item</w:t>
      </w:r>
      <w:r w:rsidR="00720F05" w:rsidRPr="00720F05">
        <w:t> </w:t>
      </w:r>
      <w:r w:rsidR="00E63306" w:rsidRPr="00720F05">
        <w:rPr>
          <w:color w:val="000000"/>
        </w:rPr>
        <w:t>4</w:t>
      </w:r>
      <w:r w:rsidR="00E63306" w:rsidRPr="00720F05">
        <w:t xml:space="preserve">, page </w:t>
      </w:r>
      <w:r w:rsidR="00E63306" w:rsidRPr="00720F05">
        <w:rPr>
          <w:color w:val="000000"/>
        </w:rPr>
        <w:t>99 (line 4)</w:t>
      </w:r>
      <w:r w:rsidR="00E63306" w:rsidRPr="00720F05">
        <w:t xml:space="preserve">, </w:t>
      </w:r>
      <w:r w:rsidR="0065438C" w:rsidRPr="00720F05">
        <w:t>omit</w:t>
      </w:r>
      <w:r w:rsidR="00E63306" w:rsidRPr="00720F05">
        <w:t xml:space="preserve"> </w:t>
      </w:r>
      <w:r w:rsidR="00F41987" w:rsidRPr="00720F05">
        <w:t>“</w:t>
      </w:r>
      <w:r w:rsidR="00E63306" w:rsidRPr="00720F05">
        <w:rPr>
          <w:color w:val="000000"/>
        </w:rPr>
        <w:t>inserted by</w:t>
      </w:r>
      <w:r w:rsidR="00F41987" w:rsidRPr="00720F05">
        <w:t>”</w:t>
      </w:r>
      <w:r w:rsidR="00E63306" w:rsidRPr="00720F05">
        <w:t xml:space="preserve">, </w:t>
      </w:r>
      <w:r w:rsidR="0065438C" w:rsidRPr="00720F05">
        <w:t>substitute</w:t>
      </w:r>
      <w:r w:rsidR="00E63306" w:rsidRPr="00720F05">
        <w:t xml:space="preserve"> </w:t>
      </w:r>
      <w:r w:rsidR="00F41987" w:rsidRPr="00720F05">
        <w:t>“</w:t>
      </w:r>
      <w:r w:rsidR="0065438C" w:rsidRPr="00720F05">
        <w:t xml:space="preserve">added by </w:t>
      </w:r>
      <w:r w:rsidR="00E63306" w:rsidRPr="00720F05">
        <w:rPr>
          <w:color w:val="000000"/>
        </w:rPr>
        <w:t>item</w:t>
      </w:r>
      <w:r w:rsidR="00720F05" w:rsidRPr="00720F05">
        <w:rPr>
          <w:color w:val="000000"/>
        </w:rPr>
        <w:t> </w:t>
      </w:r>
      <w:r w:rsidR="00E63306" w:rsidRPr="00720F05">
        <w:rPr>
          <w:color w:val="000000"/>
        </w:rPr>
        <w:t>11 of</w:t>
      </w:r>
      <w:r w:rsidR="00F41987" w:rsidRPr="00720F05">
        <w:t>”</w:t>
      </w:r>
      <w:r w:rsidR="00E63306" w:rsidRPr="00720F05">
        <w:t>.</w:t>
      </w:r>
    </w:p>
    <w:p w:rsidR="00E63306" w:rsidRPr="00720F05" w:rsidRDefault="00720F05" w:rsidP="00E63306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E63306" w:rsidRPr="00720F05">
        <w:t>commencement</w:t>
      </w:r>
      <w:proofErr w:type="gramEnd"/>
      <w:r w:rsidR="00E63306" w:rsidRPr="00720F05">
        <w:t xml:space="preserve"> of reverse mortgage provisions</w:t>
      </w:r>
      <w:r w:rsidRPr="00720F05">
        <w:rPr>
          <w:rFonts w:cs="Arial"/>
          <w:bCs/>
          <w:iCs/>
          <w:szCs w:val="22"/>
        </w:rPr>
        <w:t>]</w:t>
      </w:r>
    </w:p>
    <w:p w:rsidR="003D086F" w:rsidRPr="00720F05" w:rsidRDefault="00D85830" w:rsidP="003D086F">
      <w:pPr>
        <w:pStyle w:val="ParlAmend"/>
      </w:pPr>
      <w:r w:rsidRPr="00720F05">
        <w:t>(22)</w:t>
      </w:r>
      <w:r w:rsidRPr="00720F05">
        <w:tab/>
      </w:r>
      <w:r w:rsidR="003D086F" w:rsidRPr="00720F05">
        <w:t>Schedule</w:t>
      </w:r>
      <w:r w:rsidR="00720F05" w:rsidRPr="00720F05">
        <w:t> </w:t>
      </w:r>
      <w:r w:rsidR="003D086F" w:rsidRPr="00720F05">
        <w:rPr>
          <w:color w:val="000000"/>
        </w:rPr>
        <w:t>6</w:t>
      </w:r>
      <w:r w:rsidR="003D086F" w:rsidRPr="00720F05">
        <w:t>, item</w:t>
      </w:r>
      <w:r w:rsidR="00720F05" w:rsidRPr="00720F05">
        <w:t> </w:t>
      </w:r>
      <w:r w:rsidR="003D086F" w:rsidRPr="00720F05">
        <w:rPr>
          <w:color w:val="000000"/>
        </w:rPr>
        <w:t>4</w:t>
      </w:r>
      <w:r w:rsidR="003D086F" w:rsidRPr="00720F05">
        <w:t xml:space="preserve">, page </w:t>
      </w:r>
      <w:r w:rsidR="003D086F" w:rsidRPr="00720F05">
        <w:rPr>
          <w:color w:val="000000"/>
        </w:rPr>
        <w:t>99 (line 6)</w:t>
      </w:r>
      <w:r w:rsidR="003D086F" w:rsidRPr="00720F05">
        <w:t xml:space="preserve">, omit </w:t>
      </w:r>
      <w:r w:rsidR="00F41987" w:rsidRPr="00720F05">
        <w:t>“</w:t>
      </w:r>
      <w:r w:rsidR="003D086F" w:rsidRPr="00720F05">
        <w:rPr>
          <w:color w:val="000000"/>
        </w:rPr>
        <w:t>that Schedule</w:t>
      </w:r>
      <w:r w:rsidR="00F41987" w:rsidRPr="00720F05">
        <w:t>”</w:t>
      </w:r>
      <w:r w:rsidR="003D086F" w:rsidRPr="00720F05">
        <w:t xml:space="preserve">, substitute </w:t>
      </w:r>
      <w:r w:rsidR="00F41987" w:rsidRPr="00720F05">
        <w:t>“</w:t>
      </w:r>
      <w:r w:rsidR="003D086F" w:rsidRPr="00720F05">
        <w:rPr>
          <w:color w:val="000000"/>
        </w:rPr>
        <w:t>that item</w:t>
      </w:r>
      <w:r w:rsidR="00F41987" w:rsidRPr="00720F05">
        <w:t>”</w:t>
      </w:r>
      <w:r w:rsidR="003D086F" w:rsidRPr="00720F05">
        <w:t>.</w:t>
      </w:r>
    </w:p>
    <w:p w:rsidR="003D086F" w:rsidRPr="00720F05" w:rsidRDefault="00720F05" w:rsidP="003D086F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3D086F" w:rsidRPr="00720F05">
        <w:t>commencement</w:t>
      </w:r>
      <w:proofErr w:type="gramEnd"/>
      <w:r w:rsidR="003D086F" w:rsidRPr="00720F05">
        <w:t xml:space="preserve"> of reverse mortgage provisions</w:t>
      </w:r>
      <w:r w:rsidRPr="00720F05">
        <w:rPr>
          <w:rFonts w:cs="Arial"/>
          <w:bCs/>
          <w:iCs/>
          <w:szCs w:val="22"/>
        </w:rPr>
        <w:t>]</w:t>
      </w:r>
    </w:p>
    <w:p w:rsidR="004F5E0D" w:rsidRPr="00720F05" w:rsidRDefault="00D85830" w:rsidP="003D086F">
      <w:pPr>
        <w:pStyle w:val="ParlAmend"/>
      </w:pPr>
      <w:r w:rsidRPr="00720F05">
        <w:t>(23)</w:t>
      </w:r>
      <w:r w:rsidRPr="00720F05">
        <w:tab/>
      </w:r>
      <w:r w:rsidR="004F5E0D" w:rsidRPr="00720F05">
        <w:t>Schedule</w:t>
      </w:r>
      <w:r w:rsidR="00720F05" w:rsidRPr="00720F05">
        <w:t> </w:t>
      </w:r>
      <w:r w:rsidR="004F5E0D" w:rsidRPr="00720F05">
        <w:rPr>
          <w:color w:val="000000"/>
        </w:rPr>
        <w:t>6</w:t>
      </w:r>
      <w:r w:rsidR="004F5E0D" w:rsidRPr="00720F05">
        <w:t>, item</w:t>
      </w:r>
      <w:r w:rsidR="00720F05" w:rsidRPr="00720F05">
        <w:t> </w:t>
      </w:r>
      <w:r w:rsidR="004F5E0D" w:rsidRPr="00720F05">
        <w:rPr>
          <w:color w:val="000000"/>
        </w:rPr>
        <w:t>4</w:t>
      </w:r>
      <w:r w:rsidR="004F5E0D" w:rsidRPr="00720F05">
        <w:t xml:space="preserve">, page </w:t>
      </w:r>
      <w:r w:rsidR="004F5E0D" w:rsidRPr="00720F05">
        <w:rPr>
          <w:color w:val="000000"/>
        </w:rPr>
        <w:t>99 (line 8)</w:t>
      </w:r>
      <w:r w:rsidR="004F5E0D" w:rsidRPr="00720F05">
        <w:t xml:space="preserve">, after </w:t>
      </w:r>
      <w:r w:rsidR="00F41987" w:rsidRPr="00720F05">
        <w:t>“</w:t>
      </w:r>
      <w:r w:rsidR="004F5E0D" w:rsidRPr="00720F05">
        <w:rPr>
          <w:color w:val="000000"/>
        </w:rPr>
        <w:t>inserted by</w:t>
      </w:r>
      <w:r w:rsidR="00F41987" w:rsidRPr="00720F05">
        <w:t>”</w:t>
      </w:r>
      <w:r w:rsidR="004F5E0D" w:rsidRPr="00720F05">
        <w:t xml:space="preserve">, insert </w:t>
      </w:r>
      <w:r w:rsidR="00F41987" w:rsidRPr="00720F05">
        <w:t>“</w:t>
      </w:r>
      <w:r w:rsidR="004F5E0D" w:rsidRPr="00720F05">
        <w:rPr>
          <w:color w:val="000000"/>
        </w:rPr>
        <w:t>item</w:t>
      </w:r>
      <w:r w:rsidR="00720F05" w:rsidRPr="00720F05">
        <w:rPr>
          <w:color w:val="000000"/>
        </w:rPr>
        <w:t> </w:t>
      </w:r>
      <w:r w:rsidR="004F5E0D" w:rsidRPr="00720F05">
        <w:rPr>
          <w:color w:val="000000"/>
        </w:rPr>
        <w:t>12 of</w:t>
      </w:r>
      <w:r w:rsidR="00F41987" w:rsidRPr="00720F05">
        <w:t>”</w:t>
      </w:r>
      <w:r w:rsidR="004F5E0D" w:rsidRPr="00720F05">
        <w:t>.</w:t>
      </w:r>
    </w:p>
    <w:p w:rsidR="004F5E0D" w:rsidRPr="00720F05" w:rsidRDefault="00720F05" w:rsidP="004F5E0D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4F5E0D" w:rsidRPr="00720F05">
        <w:t>commencement</w:t>
      </w:r>
      <w:proofErr w:type="gramEnd"/>
      <w:r w:rsidR="004F5E0D" w:rsidRPr="00720F05">
        <w:t xml:space="preserve"> of reverse mortgage provisions</w:t>
      </w:r>
      <w:r w:rsidRPr="00720F05">
        <w:rPr>
          <w:rFonts w:cs="Arial"/>
          <w:bCs/>
          <w:iCs/>
          <w:szCs w:val="22"/>
        </w:rPr>
        <w:t>]</w:t>
      </w:r>
    </w:p>
    <w:p w:rsidR="007E7AE2" w:rsidRPr="00720F05" w:rsidRDefault="00D85830" w:rsidP="007E7AE2">
      <w:pPr>
        <w:pStyle w:val="ParlAmend"/>
      </w:pPr>
      <w:r w:rsidRPr="00720F05">
        <w:t>(24)</w:t>
      </w:r>
      <w:r w:rsidRPr="00720F05">
        <w:tab/>
      </w:r>
      <w:r w:rsidR="007E7AE2" w:rsidRPr="00720F05">
        <w:t>Schedule</w:t>
      </w:r>
      <w:r w:rsidR="00720F05" w:rsidRPr="00720F05">
        <w:t> </w:t>
      </w:r>
      <w:r w:rsidR="007E7AE2" w:rsidRPr="00720F05">
        <w:rPr>
          <w:color w:val="000000"/>
        </w:rPr>
        <w:t>6</w:t>
      </w:r>
      <w:r w:rsidR="007E7AE2" w:rsidRPr="00720F05">
        <w:t>, item</w:t>
      </w:r>
      <w:r w:rsidR="00720F05" w:rsidRPr="00720F05">
        <w:t> </w:t>
      </w:r>
      <w:r w:rsidR="007E7AE2" w:rsidRPr="00720F05">
        <w:rPr>
          <w:color w:val="000000"/>
        </w:rPr>
        <w:t>4</w:t>
      </w:r>
      <w:r w:rsidR="007E7AE2" w:rsidRPr="00720F05">
        <w:t xml:space="preserve">, page </w:t>
      </w:r>
      <w:r w:rsidR="007E7AE2" w:rsidRPr="00720F05">
        <w:rPr>
          <w:color w:val="000000"/>
        </w:rPr>
        <w:t>99 (line 10)</w:t>
      </w:r>
      <w:r w:rsidR="007E7AE2" w:rsidRPr="00720F05">
        <w:t xml:space="preserve">, omit </w:t>
      </w:r>
      <w:r w:rsidR="00F41987" w:rsidRPr="00720F05">
        <w:t>“</w:t>
      </w:r>
      <w:r w:rsidR="007E7AE2" w:rsidRPr="00720F05">
        <w:rPr>
          <w:color w:val="000000"/>
        </w:rPr>
        <w:t>that Schedule</w:t>
      </w:r>
      <w:r w:rsidR="00F41987" w:rsidRPr="00720F05">
        <w:t>”</w:t>
      </w:r>
      <w:r w:rsidR="007E7AE2" w:rsidRPr="00720F05">
        <w:t xml:space="preserve">, substitute </w:t>
      </w:r>
      <w:r w:rsidR="00F41987" w:rsidRPr="00720F05">
        <w:t>“</w:t>
      </w:r>
      <w:r w:rsidR="007E7AE2" w:rsidRPr="00720F05">
        <w:rPr>
          <w:color w:val="000000"/>
        </w:rPr>
        <w:t>that item</w:t>
      </w:r>
      <w:r w:rsidR="00F41987" w:rsidRPr="00720F05">
        <w:t>”</w:t>
      </w:r>
      <w:r w:rsidR="007E7AE2" w:rsidRPr="00720F05">
        <w:t>.</w:t>
      </w:r>
    </w:p>
    <w:p w:rsidR="007E7AE2" w:rsidRPr="00720F05" w:rsidRDefault="00720F05" w:rsidP="007E7AE2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7E7AE2" w:rsidRPr="00720F05">
        <w:t>commencement</w:t>
      </w:r>
      <w:proofErr w:type="gramEnd"/>
      <w:r w:rsidR="007E7AE2" w:rsidRPr="00720F05">
        <w:t xml:space="preserve"> of reverse mortgage provisions</w:t>
      </w:r>
      <w:r w:rsidRPr="00720F05">
        <w:rPr>
          <w:rFonts w:cs="Arial"/>
          <w:bCs/>
          <w:iCs/>
          <w:szCs w:val="22"/>
        </w:rPr>
        <w:t>]</w:t>
      </w:r>
    </w:p>
    <w:p w:rsidR="004F5E0D" w:rsidRPr="00720F05" w:rsidRDefault="00D85830" w:rsidP="007E7AE2">
      <w:pPr>
        <w:pStyle w:val="ParlAmend"/>
      </w:pPr>
      <w:r w:rsidRPr="00720F05">
        <w:t>(25)</w:t>
      </w:r>
      <w:r w:rsidRPr="00720F05">
        <w:tab/>
      </w:r>
      <w:r w:rsidR="004F5E0D" w:rsidRPr="00720F05">
        <w:t>Schedule</w:t>
      </w:r>
      <w:r w:rsidR="00720F05" w:rsidRPr="00720F05">
        <w:t> </w:t>
      </w:r>
      <w:r w:rsidR="004F5E0D" w:rsidRPr="00720F05">
        <w:rPr>
          <w:color w:val="000000"/>
        </w:rPr>
        <w:t>6</w:t>
      </w:r>
      <w:r w:rsidR="004F5E0D" w:rsidRPr="00720F05">
        <w:t>, item</w:t>
      </w:r>
      <w:r w:rsidR="00720F05" w:rsidRPr="00720F05">
        <w:t> </w:t>
      </w:r>
      <w:r w:rsidR="004F5E0D" w:rsidRPr="00720F05">
        <w:rPr>
          <w:color w:val="000000"/>
        </w:rPr>
        <w:t>4</w:t>
      </w:r>
      <w:r w:rsidR="004F5E0D" w:rsidRPr="00720F05">
        <w:t xml:space="preserve">, page </w:t>
      </w:r>
      <w:r w:rsidR="004F5E0D" w:rsidRPr="00720F05">
        <w:rPr>
          <w:color w:val="000000"/>
        </w:rPr>
        <w:t>99 (line 12)</w:t>
      </w:r>
      <w:r w:rsidR="004F5E0D" w:rsidRPr="00720F05">
        <w:t xml:space="preserve">, after </w:t>
      </w:r>
      <w:r w:rsidR="00F41987" w:rsidRPr="00720F05">
        <w:t>“</w:t>
      </w:r>
      <w:r w:rsidR="004F5E0D" w:rsidRPr="00720F05">
        <w:rPr>
          <w:color w:val="000000"/>
        </w:rPr>
        <w:t>inserted by</w:t>
      </w:r>
      <w:r w:rsidR="00F41987" w:rsidRPr="00720F05">
        <w:t>”</w:t>
      </w:r>
      <w:r w:rsidR="004F5E0D" w:rsidRPr="00720F05">
        <w:t xml:space="preserve">, insert </w:t>
      </w:r>
      <w:r w:rsidR="00F41987" w:rsidRPr="00720F05">
        <w:t>“</w:t>
      </w:r>
      <w:r w:rsidR="004F5E0D" w:rsidRPr="00720F05">
        <w:rPr>
          <w:color w:val="000000"/>
        </w:rPr>
        <w:t>item</w:t>
      </w:r>
      <w:r w:rsidR="00720F05" w:rsidRPr="00720F05">
        <w:rPr>
          <w:color w:val="000000"/>
        </w:rPr>
        <w:t> </w:t>
      </w:r>
      <w:r w:rsidR="004F5E0D" w:rsidRPr="00720F05">
        <w:rPr>
          <w:color w:val="000000"/>
        </w:rPr>
        <w:t>13 of</w:t>
      </w:r>
      <w:r w:rsidR="00F41987" w:rsidRPr="00720F05">
        <w:t>”</w:t>
      </w:r>
      <w:r w:rsidR="004F5E0D" w:rsidRPr="00720F05">
        <w:t>.</w:t>
      </w:r>
    </w:p>
    <w:p w:rsidR="004F5E0D" w:rsidRPr="00720F05" w:rsidRDefault="00720F05" w:rsidP="004F5E0D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4F5E0D" w:rsidRPr="00720F05">
        <w:t>commencement</w:t>
      </w:r>
      <w:proofErr w:type="gramEnd"/>
      <w:r w:rsidR="004F5E0D" w:rsidRPr="00720F05">
        <w:t xml:space="preserve"> of reverse mortgage provisions</w:t>
      </w:r>
      <w:r w:rsidRPr="00720F05">
        <w:rPr>
          <w:rFonts w:cs="Arial"/>
          <w:bCs/>
          <w:iCs/>
          <w:szCs w:val="22"/>
        </w:rPr>
        <w:t>]</w:t>
      </w:r>
    </w:p>
    <w:p w:rsidR="007E7AE2" w:rsidRPr="00720F05" w:rsidRDefault="00D85830" w:rsidP="007E7AE2">
      <w:pPr>
        <w:pStyle w:val="ParlAmend"/>
      </w:pPr>
      <w:r w:rsidRPr="00720F05">
        <w:t>(26)</w:t>
      </w:r>
      <w:r w:rsidRPr="00720F05">
        <w:tab/>
      </w:r>
      <w:r w:rsidR="007E7AE2" w:rsidRPr="00720F05">
        <w:t>Schedule</w:t>
      </w:r>
      <w:r w:rsidR="00720F05" w:rsidRPr="00720F05">
        <w:t> </w:t>
      </w:r>
      <w:r w:rsidR="007E7AE2" w:rsidRPr="00720F05">
        <w:rPr>
          <w:color w:val="000000"/>
        </w:rPr>
        <w:t>6</w:t>
      </w:r>
      <w:r w:rsidR="007E7AE2" w:rsidRPr="00720F05">
        <w:t>, item</w:t>
      </w:r>
      <w:r w:rsidR="00720F05" w:rsidRPr="00720F05">
        <w:t> </w:t>
      </w:r>
      <w:r w:rsidR="007E7AE2" w:rsidRPr="00720F05">
        <w:rPr>
          <w:color w:val="000000"/>
        </w:rPr>
        <w:t>4</w:t>
      </w:r>
      <w:r w:rsidR="007E7AE2" w:rsidRPr="00720F05">
        <w:t xml:space="preserve">, page </w:t>
      </w:r>
      <w:r w:rsidR="007E7AE2" w:rsidRPr="00720F05">
        <w:rPr>
          <w:color w:val="000000"/>
        </w:rPr>
        <w:t>99 (line 14)</w:t>
      </w:r>
      <w:r w:rsidR="007E7AE2" w:rsidRPr="00720F05">
        <w:t xml:space="preserve">, omit </w:t>
      </w:r>
      <w:r w:rsidR="00F41987" w:rsidRPr="00720F05">
        <w:t>“</w:t>
      </w:r>
      <w:r w:rsidR="007E7AE2" w:rsidRPr="00720F05">
        <w:rPr>
          <w:color w:val="000000"/>
        </w:rPr>
        <w:t>that Schedule</w:t>
      </w:r>
      <w:r w:rsidR="00F41987" w:rsidRPr="00720F05">
        <w:t>”</w:t>
      </w:r>
      <w:r w:rsidR="007E7AE2" w:rsidRPr="00720F05">
        <w:t xml:space="preserve">, substitute </w:t>
      </w:r>
      <w:r w:rsidR="00F41987" w:rsidRPr="00720F05">
        <w:t>“</w:t>
      </w:r>
      <w:r w:rsidR="007E7AE2" w:rsidRPr="00720F05">
        <w:rPr>
          <w:color w:val="000000"/>
        </w:rPr>
        <w:t>that item</w:t>
      </w:r>
      <w:r w:rsidR="00F41987" w:rsidRPr="00720F05">
        <w:t>”</w:t>
      </w:r>
      <w:r w:rsidR="007E7AE2" w:rsidRPr="00720F05">
        <w:t>.</w:t>
      </w:r>
    </w:p>
    <w:p w:rsidR="007E7AE2" w:rsidRPr="00720F05" w:rsidRDefault="00720F05" w:rsidP="007E7AE2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7E7AE2" w:rsidRPr="00720F05">
        <w:t>commencement</w:t>
      </w:r>
      <w:proofErr w:type="gramEnd"/>
      <w:r w:rsidR="007E7AE2" w:rsidRPr="00720F05">
        <w:t xml:space="preserve"> of reverse mortgage provisions</w:t>
      </w:r>
      <w:r w:rsidRPr="00720F05">
        <w:rPr>
          <w:rFonts w:cs="Arial"/>
          <w:bCs/>
          <w:iCs/>
          <w:szCs w:val="22"/>
        </w:rPr>
        <w:t>]</w:t>
      </w:r>
    </w:p>
    <w:p w:rsidR="004F5E0D" w:rsidRPr="00720F05" w:rsidRDefault="00D85830" w:rsidP="007E7AE2">
      <w:pPr>
        <w:pStyle w:val="ParlAmend"/>
      </w:pPr>
      <w:r w:rsidRPr="00720F05">
        <w:t>(27)</w:t>
      </w:r>
      <w:r w:rsidRPr="00720F05">
        <w:tab/>
      </w:r>
      <w:r w:rsidR="004F5E0D" w:rsidRPr="00720F05">
        <w:t>Schedule</w:t>
      </w:r>
      <w:r w:rsidR="00720F05" w:rsidRPr="00720F05">
        <w:t> </w:t>
      </w:r>
      <w:r w:rsidR="004F5E0D" w:rsidRPr="00720F05">
        <w:rPr>
          <w:color w:val="000000"/>
        </w:rPr>
        <w:t>6</w:t>
      </w:r>
      <w:r w:rsidR="004F5E0D" w:rsidRPr="00720F05">
        <w:t>, item</w:t>
      </w:r>
      <w:r w:rsidR="00720F05" w:rsidRPr="00720F05">
        <w:t> </w:t>
      </w:r>
      <w:r w:rsidR="004F5E0D" w:rsidRPr="00720F05">
        <w:rPr>
          <w:color w:val="000000"/>
        </w:rPr>
        <w:t>4</w:t>
      </w:r>
      <w:r w:rsidR="004F5E0D" w:rsidRPr="00720F05">
        <w:t xml:space="preserve">, page </w:t>
      </w:r>
      <w:r w:rsidR="004F5E0D" w:rsidRPr="00720F05">
        <w:rPr>
          <w:color w:val="000000"/>
        </w:rPr>
        <w:t>99 (line 16)</w:t>
      </w:r>
      <w:r w:rsidR="004F5E0D" w:rsidRPr="00720F05">
        <w:t xml:space="preserve">, after </w:t>
      </w:r>
      <w:r w:rsidR="00F41987" w:rsidRPr="00720F05">
        <w:t>“</w:t>
      </w:r>
      <w:r w:rsidR="00441EBF" w:rsidRPr="00720F05">
        <w:rPr>
          <w:color w:val="000000"/>
        </w:rPr>
        <w:t>added</w:t>
      </w:r>
      <w:r w:rsidR="004F5E0D" w:rsidRPr="00720F05">
        <w:rPr>
          <w:color w:val="000000"/>
        </w:rPr>
        <w:t xml:space="preserve"> by</w:t>
      </w:r>
      <w:r w:rsidR="00F41987" w:rsidRPr="00720F05">
        <w:t>”</w:t>
      </w:r>
      <w:r w:rsidR="004F5E0D" w:rsidRPr="00720F05">
        <w:t xml:space="preserve">, insert </w:t>
      </w:r>
      <w:r w:rsidR="00F41987" w:rsidRPr="00720F05">
        <w:t>“</w:t>
      </w:r>
      <w:r w:rsidR="004F5E0D" w:rsidRPr="00720F05">
        <w:rPr>
          <w:color w:val="000000"/>
        </w:rPr>
        <w:t>item</w:t>
      </w:r>
      <w:r w:rsidR="00720F05" w:rsidRPr="00720F05">
        <w:rPr>
          <w:color w:val="000000"/>
        </w:rPr>
        <w:t> </w:t>
      </w:r>
      <w:r w:rsidR="004F5E0D" w:rsidRPr="00720F05">
        <w:rPr>
          <w:color w:val="000000"/>
        </w:rPr>
        <w:t>15 of</w:t>
      </w:r>
      <w:r w:rsidR="00F41987" w:rsidRPr="00720F05">
        <w:t>”</w:t>
      </w:r>
      <w:r w:rsidR="004F5E0D" w:rsidRPr="00720F05">
        <w:t>.</w:t>
      </w:r>
    </w:p>
    <w:p w:rsidR="004F5E0D" w:rsidRPr="00720F05" w:rsidRDefault="00720F05" w:rsidP="004F5E0D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4F5E0D" w:rsidRPr="00720F05">
        <w:t>commencement</w:t>
      </w:r>
      <w:proofErr w:type="gramEnd"/>
      <w:r w:rsidR="004F5E0D" w:rsidRPr="00720F05">
        <w:t xml:space="preserve"> of reverse mortgage provisions</w:t>
      </w:r>
      <w:r w:rsidRPr="00720F05">
        <w:rPr>
          <w:rFonts w:cs="Arial"/>
          <w:bCs/>
          <w:iCs/>
          <w:szCs w:val="22"/>
        </w:rPr>
        <w:t>]</w:t>
      </w:r>
    </w:p>
    <w:p w:rsidR="007E7AE2" w:rsidRPr="00720F05" w:rsidRDefault="00D85830" w:rsidP="007E7AE2">
      <w:pPr>
        <w:pStyle w:val="ParlAmend"/>
      </w:pPr>
      <w:r w:rsidRPr="00720F05">
        <w:t>(28)</w:t>
      </w:r>
      <w:r w:rsidRPr="00720F05">
        <w:tab/>
      </w:r>
      <w:r w:rsidR="007E7AE2" w:rsidRPr="00720F05">
        <w:t>Schedule</w:t>
      </w:r>
      <w:r w:rsidR="00720F05" w:rsidRPr="00720F05">
        <w:t> </w:t>
      </w:r>
      <w:r w:rsidR="007E7AE2" w:rsidRPr="00720F05">
        <w:rPr>
          <w:color w:val="000000"/>
        </w:rPr>
        <w:t>6</w:t>
      </w:r>
      <w:r w:rsidR="007E7AE2" w:rsidRPr="00720F05">
        <w:t>, item</w:t>
      </w:r>
      <w:r w:rsidR="00720F05" w:rsidRPr="00720F05">
        <w:t> </w:t>
      </w:r>
      <w:r w:rsidR="007E7AE2" w:rsidRPr="00720F05">
        <w:rPr>
          <w:color w:val="000000"/>
        </w:rPr>
        <w:t>4</w:t>
      </w:r>
      <w:r w:rsidR="007E7AE2" w:rsidRPr="00720F05">
        <w:t xml:space="preserve">, page </w:t>
      </w:r>
      <w:r w:rsidR="007E7AE2" w:rsidRPr="00720F05">
        <w:rPr>
          <w:color w:val="000000"/>
        </w:rPr>
        <w:t>99 (line 18)</w:t>
      </w:r>
      <w:r w:rsidR="007E7AE2" w:rsidRPr="00720F05">
        <w:t xml:space="preserve">, omit </w:t>
      </w:r>
      <w:r w:rsidR="00F41987" w:rsidRPr="00720F05">
        <w:t>“</w:t>
      </w:r>
      <w:r w:rsidR="007E7AE2" w:rsidRPr="00720F05">
        <w:rPr>
          <w:color w:val="000000"/>
        </w:rPr>
        <w:t>that Schedule</w:t>
      </w:r>
      <w:r w:rsidR="00F41987" w:rsidRPr="00720F05">
        <w:t>”</w:t>
      </w:r>
      <w:r w:rsidR="007E7AE2" w:rsidRPr="00720F05">
        <w:t xml:space="preserve">, substitute </w:t>
      </w:r>
      <w:r w:rsidR="00F41987" w:rsidRPr="00720F05">
        <w:t>“</w:t>
      </w:r>
      <w:r w:rsidR="007E7AE2" w:rsidRPr="00720F05">
        <w:rPr>
          <w:color w:val="000000"/>
        </w:rPr>
        <w:t>that item</w:t>
      </w:r>
      <w:r w:rsidR="00F41987" w:rsidRPr="00720F05">
        <w:t>”</w:t>
      </w:r>
      <w:r w:rsidR="007E7AE2" w:rsidRPr="00720F05">
        <w:t>.</w:t>
      </w:r>
    </w:p>
    <w:p w:rsidR="007E7AE2" w:rsidRPr="00720F05" w:rsidRDefault="00720F05" w:rsidP="007E7AE2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7E7AE2" w:rsidRPr="00720F05">
        <w:t>commencement</w:t>
      </w:r>
      <w:proofErr w:type="gramEnd"/>
      <w:r w:rsidR="007E7AE2" w:rsidRPr="00720F05">
        <w:t xml:space="preserve"> of reverse mortgage provisions</w:t>
      </w:r>
      <w:r w:rsidRPr="00720F05">
        <w:rPr>
          <w:rFonts w:cs="Arial"/>
          <w:bCs/>
          <w:iCs/>
          <w:szCs w:val="22"/>
        </w:rPr>
        <w:t>]</w:t>
      </w:r>
    </w:p>
    <w:p w:rsidR="004F5E0D" w:rsidRPr="00720F05" w:rsidRDefault="00D85830" w:rsidP="007E7AE2">
      <w:pPr>
        <w:pStyle w:val="ParlAmend"/>
      </w:pPr>
      <w:r w:rsidRPr="00720F05">
        <w:t>(29)</w:t>
      </w:r>
      <w:r w:rsidRPr="00720F05">
        <w:tab/>
      </w:r>
      <w:r w:rsidR="004F5E0D" w:rsidRPr="00720F05">
        <w:t>Schedule</w:t>
      </w:r>
      <w:r w:rsidR="00720F05" w:rsidRPr="00720F05">
        <w:t> </w:t>
      </w:r>
      <w:r w:rsidR="004F5E0D" w:rsidRPr="00720F05">
        <w:rPr>
          <w:color w:val="000000"/>
        </w:rPr>
        <w:t>6</w:t>
      </w:r>
      <w:r w:rsidR="004F5E0D" w:rsidRPr="00720F05">
        <w:t>, item</w:t>
      </w:r>
      <w:r w:rsidR="00720F05" w:rsidRPr="00720F05">
        <w:t> </w:t>
      </w:r>
      <w:r w:rsidR="004F5E0D" w:rsidRPr="00720F05">
        <w:rPr>
          <w:color w:val="000000"/>
        </w:rPr>
        <w:t>4</w:t>
      </w:r>
      <w:r w:rsidR="004F5E0D" w:rsidRPr="00720F05">
        <w:t xml:space="preserve">, page </w:t>
      </w:r>
      <w:r w:rsidR="004F5E0D" w:rsidRPr="00720F05">
        <w:rPr>
          <w:color w:val="000000"/>
        </w:rPr>
        <w:t>99 (line 20)</w:t>
      </w:r>
      <w:r w:rsidR="004F5E0D" w:rsidRPr="00720F05">
        <w:t xml:space="preserve">, after </w:t>
      </w:r>
      <w:r w:rsidR="00F41987" w:rsidRPr="00720F05">
        <w:t>“</w:t>
      </w:r>
      <w:r w:rsidR="004F5E0D" w:rsidRPr="00720F05">
        <w:rPr>
          <w:color w:val="000000"/>
        </w:rPr>
        <w:t>made by</w:t>
      </w:r>
      <w:r w:rsidR="00F41987" w:rsidRPr="00720F05">
        <w:t>”</w:t>
      </w:r>
      <w:r w:rsidR="004F5E0D" w:rsidRPr="00720F05">
        <w:t xml:space="preserve">, insert </w:t>
      </w:r>
      <w:r w:rsidR="00F41987" w:rsidRPr="00720F05">
        <w:t>“</w:t>
      </w:r>
      <w:r w:rsidR="004F5E0D" w:rsidRPr="00720F05">
        <w:rPr>
          <w:color w:val="000000"/>
        </w:rPr>
        <w:t>items</w:t>
      </w:r>
      <w:r w:rsidR="00720F05" w:rsidRPr="00720F05">
        <w:rPr>
          <w:color w:val="000000"/>
        </w:rPr>
        <w:t> </w:t>
      </w:r>
      <w:r w:rsidR="004F5E0D" w:rsidRPr="00720F05">
        <w:rPr>
          <w:color w:val="000000"/>
        </w:rPr>
        <w:t>16 and 17 of</w:t>
      </w:r>
      <w:r w:rsidR="00F41987" w:rsidRPr="00720F05">
        <w:t>”</w:t>
      </w:r>
      <w:r w:rsidR="004F5E0D" w:rsidRPr="00720F05">
        <w:t>.</w:t>
      </w:r>
    </w:p>
    <w:p w:rsidR="004F5E0D" w:rsidRPr="00720F05" w:rsidRDefault="00720F05" w:rsidP="004F5E0D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4F5E0D" w:rsidRPr="00720F05">
        <w:t>commencement</w:t>
      </w:r>
      <w:proofErr w:type="gramEnd"/>
      <w:r w:rsidR="004F5E0D" w:rsidRPr="00720F05">
        <w:t xml:space="preserve"> of reverse mortgage provisions</w:t>
      </w:r>
      <w:r w:rsidRPr="00720F05">
        <w:rPr>
          <w:rFonts w:cs="Arial"/>
          <w:bCs/>
          <w:iCs/>
          <w:szCs w:val="22"/>
        </w:rPr>
        <w:t>]</w:t>
      </w:r>
    </w:p>
    <w:p w:rsidR="007E7AE2" w:rsidRPr="00720F05" w:rsidRDefault="00D85830" w:rsidP="007E7AE2">
      <w:pPr>
        <w:pStyle w:val="ParlAmend"/>
      </w:pPr>
      <w:r w:rsidRPr="00720F05">
        <w:t>(30)</w:t>
      </w:r>
      <w:r w:rsidRPr="00720F05">
        <w:tab/>
      </w:r>
      <w:r w:rsidR="007E7AE2" w:rsidRPr="00720F05">
        <w:t>Schedule</w:t>
      </w:r>
      <w:r w:rsidR="00720F05" w:rsidRPr="00720F05">
        <w:t> </w:t>
      </w:r>
      <w:r w:rsidR="007E7AE2" w:rsidRPr="00720F05">
        <w:rPr>
          <w:color w:val="000000"/>
        </w:rPr>
        <w:t>6</w:t>
      </w:r>
      <w:r w:rsidR="007E7AE2" w:rsidRPr="00720F05">
        <w:t>, item</w:t>
      </w:r>
      <w:r w:rsidR="00720F05" w:rsidRPr="00720F05">
        <w:t> </w:t>
      </w:r>
      <w:r w:rsidR="007E7AE2" w:rsidRPr="00720F05">
        <w:rPr>
          <w:color w:val="000000"/>
        </w:rPr>
        <w:t>4</w:t>
      </w:r>
      <w:r w:rsidR="007E7AE2" w:rsidRPr="00720F05">
        <w:t xml:space="preserve">, page </w:t>
      </w:r>
      <w:r w:rsidR="007E7AE2" w:rsidRPr="00720F05">
        <w:rPr>
          <w:color w:val="000000"/>
        </w:rPr>
        <w:t>99 (line 22)</w:t>
      </w:r>
      <w:r w:rsidR="007E7AE2" w:rsidRPr="00720F05">
        <w:t xml:space="preserve">, omit </w:t>
      </w:r>
      <w:r w:rsidR="00F41987" w:rsidRPr="00720F05">
        <w:t>“</w:t>
      </w:r>
      <w:r w:rsidR="007E7AE2" w:rsidRPr="00720F05">
        <w:rPr>
          <w:color w:val="000000"/>
        </w:rPr>
        <w:t>the Schedule</w:t>
      </w:r>
      <w:r w:rsidR="00F41987" w:rsidRPr="00720F05">
        <w:t>”</w:t>
      </w:r>
      <w:r w:rsidR="007E7AE2" w:rsidRPr="00720F05">
        <w:t xml:space="preserve">, substitute </w:t>
      </w:r>
      <w:r w:rsidR="00F41987" w:rsidRPr="00720F05">
        <w:t>“</w:t>
      </w:r>
      <w:r w:rsidR="007E7AE2" w:rsidRPr="00720F05">
        <w:rPr>
          <w:color w:val="000000"/>
        </w:rPr>
        <w:t>those items</w:t>
      </w:r>
      <w:r w:rsidR="00F41987" w:rsidRPr="00720F05">
        <w:t>”</w:t>
      </w:r>
      <w:r w:rsidR="007E7AE2" w:rsidRPr="00720F05">
        <w:t>.</w:t>
      </w:r>
    </w:p>
    <w:p w:rsidR="007E7AE2" w:rsidRPr="00720F05" w:rsidRDefault="00720F05" w:rsidP="007E7AE2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7E7AE2" w:rsidRPr="00720F05">
        <w:t>commencement</w:t>
      </w:r>
      <w:proofErr w:type="gramEnd"/>
      <w:r w:rsidR="007E7AE2" w:rsidRPr="00720F05">
        <w:t xml:space="preserve"> of reverse mortgage provisions</w:t>
      </w:r>
      <w:r w:rsidRPr="00720F05">
        <w:rPr>
          <w:rFonts w:cs="Arial"/>
          <w:bCs/>
          <w:iCs/>
          <w:szCs w:val="22"/>
        </w:rPr>
        <w:t>]</w:t>
      </w:r>
    </w:p>
    <w:p w:rsidR="00E72406" w:rsidRPr="00720F05" w:rsidRDefault="00D85830" w:rsidP="007E7AE2">
      <w:pPr>
        <w:pStyle w:val="ParlAmend"/>
      </w:pPr>
      <w:r w:rsidRPr="00720F05">
        <w:t>(31)</w:t>
      </w:r>
      <w:r w:rsidRPr="00720F05">
        <w:tab/>
      </w:r>
      <w:r w:rsidR="00E72406" w:rsidRPr="00720F05">
        <w:t>Schedule</w:t>
      </w:r>
      <w:r w:rsidR="00720F05" w:rsidRPr="00720F05">
        <w:t> </w:t>
      </w:r>
      <w:r w:rsidR="00E72406" w:rsidRPr="00720F05">
        <w:rPr>
          <w:color w:val="000000"/>
        </w:rPr>
        <w:t>6</w:t>
      </w:r>
      <w:r w:rsidR="00E72406" w:rsidRPr="00720F05">
        <w:t>, item</w:t>
      </w:r>
      <w:r w:rsidR="00720F05" w:rsidRPr="00720F05">
        <w:t> </w:t>
      </w:r>
      <w:r w:rsidR="00E72406" w:rsidRPr="00720F05">
        <w:rPr>
          <w:color w:val="000000"/>
        </w:rPr>
        <w:t>4</w:t>
      </w:r>
      <w:r w:rsidR="00E72406" w:rsidRPr="00720F05">
        <w:t xml:space="preserve">, page </w:t>
      </w:r>
      <w:r w:rsidR="00E72406" w:rsidRPr="00720F05">
        <w:rPr>
          <w:color w:val="000000"/>
        </w:rPr>
        <w:t>99 (line 24)</w:t>
      </w:r>
      <w:r w:rsidR="00E72406" w:rsidRPr="00720F05">
        <w:t xml:space="preserve">, after </w:t>
      </w:r>
      <w:r w:rsidR="00F41987" w:rsidRPr="00720F05">
        <w:t>“</w:t>
      </w:r>
      <w:r w:rsidR="00E72406" w:rsidRPr="00720F05">
        <w:rPr>
          <w:color w:val="000000"/>
        </w:rPr>
        <w:t>inserted by</w:t>
      </w:r>
      <w:r w:rsidR="00F41987" w:rsidRPr="00720F05">
        <w:t>”</w:t>
      </w:r>
      <w:r w:rsidR="00E72406" w:rsidRPr="00720F05">
        <w:t xml:space="preserve">, insert </w:t>
      </w:r>
      <w:r w:rsidR="00F41987" w:rsidRPr="00720F05">
        <w:t>“</w:t>
      </w:r>
      <w:r w:rsidR="00E72406" w:rsidRPr="00720F05">
        <w:rPr>
          <w:color w:val="000000"/>
        </w:rPr>
        <w:t>item</w:t>
      </w:r>
      <w:r w:rsidR="00720F05" w:rsidRPr="00720F05">
        <w:rPr>
          <w:color w:val="000000"/>
        </w:rPr>
        <w:t> </w:t>
      </w:r>
      <w:r w:rsidR="00E72406" w:rsidRPr="00720F05">
        <w:rPr>
          <w:color w:val="000000"/>
        </w:rPr>
        <w:t>18 of</w:t>
      </w:r>
      <w:r w:rsidR="00F41987" w:rsidRPr="00720F05">
        <w:t>”</w:t>
      </w:r>
      <w:r w:rsidR="00E72406" w:rsidRPr="00720F05">
        <w:t>.</w:t>
      </w:r>
    </w:p>
    <w:p w:rsidR="00E72406" w:rsidRPr="00720F05" w:rsidRDefault="00720F05" w:rsidP="00E72406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E72406" w:rsidRPr="00720F05">
        <w:t>commencement</w:t>
      </w:r>
      <w:proofErr w:type="gramEnd"/>
      <w:r w:rsidR="00E72406" w:rsidRPr="00720F05">
        <w:t xml:space="preserve"> of reverse mortgage provisions</w:t>
      </w:r>
      <w:r w:rsidRPr="00720F05">
        <w:rPr>
          <w:rFonts w:cs="Arial"/>
          <w:bCs/>
          <w:iCs/>
          <w:szCs w:val="22"/>
        </w:rPr>
        <w:t>]</w:t>
      </w:r>
    </w:p>
    <w:p w:rsidR="003952E8" w:rsidRPr="00720F05" w:rsidRDefault="00D85830" w:rsidP="003952E8">
      <w:pPr>
        <w:pStyle w:val="ParlAmend"/>
      </w:pPr>
      <w:r w:rsidRPr="00720F05">
        <w:t>(32)</w:t>
      </w:r>
      <w:r w:rsidRPr="00720F05">
        <w:tab/>
      </w:r>
      <w:r w:rsidR="003952E8" w:rsidRPr="00720F05">
        <w:t>Schedule</w:t>
      </w:r>
      <w:r w:rsidR="00720F05" w:rsidRPr="00720F05">
        <w:t> </w:t>
      </w:r>
      <w:r w:rsidR="003952E8" w:rsidRPr="00720F05">
        <w:rPr>
          <w:color w:val="000000"/>
        </w:rPr>
        <w:t>6</w:t>
      </w:r>
      <w:r w:rsidR="003952E8" w:rsidRPr="00720F05">
        <w:t>, item</w:t>
      </w:r>
      <w:r w:rsidR="00720F05" w:rsidRPr="00720F05">
        <w:t> </w:t>
      </w:r>
      <w:r w:rsidR="003952E8" w:rsidRPr="00720F05">
        <w:rPr>
          <w:color w:val="000000"/>
        </w:rPr>
        <w:t>4</w:t>
      </w:r>
      <w:r w:rsidR="003952E8" w:rsidRPr="00720F05">
        <w:t xml:space="preserve">, page </w:t>
      </w:r>
      <w:r w:rsidR="003952E8" w:rsidRPr="00720F05">
        <w:rPr>
          <w:color w:val="000000"/>
        </w:rPr>
        <w:t>99 (line 26)</w:t>
      </w:r>
      <w:r w:rsidR="003952E8" w:rsidRPr="00720F05">
        <w:t xml:space="preserve">, omit </w:t>
      </w:r>
      <w:r w:rsidR="00F41987" w:rsidRPr="00720F05">
        <w:t>“</w:t>
      </w:r>
      <w:r w:rsidR="003952E8" w:rsidRPr="00720F05">
        <w:rPr>
          <w:color w:val="000000"/>
        </w:rPr>
        <w:t>that Schedule</w:t>
      </w:r>
      <w:r w:rsidR="00F41987" w:rsidRPr="00720F05">
        <w:t>”</w:t>
      </w:r>
      <w:r w:rsidR="003952E8" w:rsidRPr="00720F05">
        <w:t xml:space="preserve">, substitute </w:t>
      </w:r>
      <w:r w:rsidR="00F41987" w:rsidRPr="00720F05">
        <w:t>“</w:t>
      </w:r>
      <w:r w:rsidR="003952E8" w:rsidRPr="00720F05">
        <w:rPr>
          <w:color w:val="000000"/>
        </w:rPr>
        <w:t>that item</w:t>
      </w:r>
      <w:r w:rsidR="00F41987" w:rsidRPr="00720F05">
        <w:t>”</w:t>
      </w:r>
      <w:r w:rsidR="003952E8" w:rsidRPr="00720F05">
        <w:t>.</w:t>
      </w:r>
    </w:p>
    <w:p w:rsidR="003952E8" w:rsidRPr="00720F05" w:rsidRDefault="00720F05" w:rsidP="003952E8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3952E8" w:rsidRPr="00720F05">
        <w:t>commencement</w:t>
      </w:r>
      <w:proofErr w:type="gramEnd"/>
      <w:r w:rsidR="003952E8" w:rsidRPr="00720F05">
        <w:t xml:space="preserve"> of reverse mortgage provisions</w:t>
      </w:r>
      <w:r w:rsidRPr="00720F05">
        <w:rPr>
          <w:rFonts w:cs="Arial"/>
          <w:bCs/>
          <w:iCs/>
          <w:szCs w:val="22"/>
        </w:rPr>
        <w:t>]</w:t>
      </w:r>
    </w:p>
    <w:p w:rsidR="004425DD" w:rsidRPr="00720F05" w:rsidRDefault="00D85830" w:rsidP="003952E8">
      <w:pPr>
        <w:pStyle w:val="ParlAmend"/>
      </w:pPr>
      <w:r w:rsidRPr="00720F05">
        <w:lastRenderedPageBreak/>
        <w:t>(33)</w:t>
      </w:r>
      <w:r w:rsidRPr="00720F05">
        <w:tab/>
      </w:r>
      <w:r w:rsidR="004425DD" w:rsidRPr="00720F05">
        <w:t>Schedule</w:t>
      </w:r>
      <w:r w:rsidR="00720F05" w:rsidRPr="00720F05">
        <w:t> </w:t>
      </w:r>
      <w:r w:rsidR="004425DD" w:rsidRPr="00720F05">
        <w:rPr>
          <w:color w:val="000000"/>
        </w:rPr>
        <w:t>6</w:t>
      </w:r>
      <w:r w:rsidR="004425DD" w:rsidRPr="00720F05">
        <w:t>, item</w:t>
      </w:r>
      <w:r w:rsidR="00720F05" w:rsidRPr="00720F05">
        <w:t> </w:t>
      </w:r>
      <w:r w:rsidR="004425DD" w:rsidRPr="00720F05">
        <w:rPr>
          <w:color w:val="000000"/>
        </w:rPr>
        <w:t>4</w:t>
      </w:r>
      <w:r w:rsidR="004425DD" w:rsidRPr="00720F05">
        <w:t xml:space="preserve">, page </w:t>
      </w:r>
      <w:r w:rsidR="004425DD" w:rsidRPr="00720F05">
        <w:rPr>
          <w:color w:val="000000"/>
        </w:rPr>
        <w:t>99 (line 30)</w:t>
      </w:r>
      <w:r w:rsidR="004425DD" w:rsidRPr="00720F05">
        <w:t xml:space="preserve">, after </w:t>
      </w:r>
      <w:r w:rsidR="00F41987" w:rsidRPr="00720F05">
        <w:t>“</w:t>
      </w:r>
      <w:r w:rsidR="004425DD" w:rsidRPr="00720F05">
        <w:rPr>
          <w:color w:val="000000"/>
        </w:rPr>
        <w:t>inserted by</w:t>
      </w:r>
      <w:r w:rsidR="00F41987" w:rsidRPr="00720F05">
        <w:t>”</w:t>
      </w:r>
      <w:r w:rsidR="004425DD" w:rsidRPr="00720F05">
        <w:t xml:space="preserve">, insert </w:t>
      </w:r>
      <w:r w:rsidR="00F41987" w:rsidRPr="00720F05">
        <w:t>“</w:t>
      </w:r>
      <w:r w:rsidR="004425DD" w:rsidRPr="00720F05">
        <w:rPr>
          <w:color w:val="000000"/>
        </w:rPr>
        <w:t>item</w:t>
      </w:r>
      <w:r w:rsidR="00720F05" w:rsidRPr="00720F05">
        <w:rPr>
          <w:color w:val="000000"/>
        </w:rPr>
        <w:t> </w:t>
      </w:r>
      <w:r w:rsidR="004425DD" w:rsidRPr="00720F05">
        <w:rPr>
          <w:color w:val="000000"/>
        </w:rPr>
        <w:t>20 of</w:t>
      </w:r>
      <w:r w:rsidR="00F41987" w:rsidRPr="00720F05">
        <w:t>”</w:t>
      </w:r>
      <w:r w:rsidR="004425DD" w:rsidRPr="00720F05">
        <w:t>.</w:t>
      </w:r>
    </w:p>
    <w:p w:rsidR="004425DD" w:rsidRPr="00720F05" w:rsidRDefault="00720F05" w:rsidP="004425DD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4425DD" w:rsidRPr="00720F05">
        <w:t>commencement</w:t>
      </w:r>
      <w:proofErr w:type="gramEnd"/>
      <w:r w:rsidR="004425DD" w:rsidRPr="00720F05">
        <w:t xml:space="preserve"> of reverse mortgage provisions</w:t>
      </w:r>
      <w:r w:rsidRPr="00720F05">
        <w:rPr>
          <w:rFonts w:cs="Arial"/>
          <w:bCs/>
          <w:iCs/>
          <w:szCs w:val="22"/>
        </w:rPr>
        <w:t>]</w:t>
      </w:r>
    </w:p>
    <w:p w:rsidR="001840A9" w:rsidRPr="00720F05" w:rsidRDefault="00D85830" w:rsidP="001840A9">
      <w:pPr>
        <w:pStyle w:val="ParlAmend"/>
      </w:pPr>
      <w:r w:rsidRPr="00720F05">
        <w:t>(34)</w:t>
      </w:r>
      <w:r w:rsidRPr="00720F05">
        <w:tab/>
      </w:r>
      <w:r w:rsidR="001840A9" w:rsidRPr="00720F05">
        <w:t>Schedule</w:t>
      </w:r>
      <w:r w:rsidR="00720F05" w:rsidRPr="00720F05">
        <w:t> </w:t>
      </w:r>
      <w:r w:rsidR="001840A9" w:rsidRPr="00720F05">
        <w:rPr>
          <w:color w:val="000000"/>
        </w:rPr>
        <w:t>6</w:t>
      </w:r>
      <w:r w:rsidR="001840A9" w:rsidRPr="00720F05">
        <w:t>, item</w:t>
      </w:r>
      <w:r w:rsidR="00720F05" w:rsidRPr="00720F05">
        <w:t> </w:t>
      </w:r>
      <w:r w:rsidR="001840A9" w:rsidRPr="00720F05">
        <w:rPr>
          <w:color w:val="000000"/>
        </w:rPr>
        <w:t>4</w:t>
      </w:r>
      <w:r w:rsidR="001840A9" w:rsidRPr="00720F05">
        <w:t xml:space="preserve">, page </w:t>
      </w:r>
      <w:r w:rsidR="001840A9" w:rsidRPr="00720F05">
        <w:rPr>
          <w:color w:val="000000"/>
        </w:rPr>
        <w:t>99 (line 32)</w:t>
      </w:r>
      <w:r w:rsidR="001840A9" w:rsidRPr="00720F05">
        <w:t xml:space="preserve">, omit </w:t>
      </w:r>
      <w:r w:rsidR="00F41987" w:rsidRPr="00720F05">
        <w:t>“</w:t>
      </w:r>
      <w:r w:rsidR="001840A9" w:rsidRPr="00720F05">
        <w:rPr>
          <w:color w:val="000000"/>
        </w:rPr>
        <w:t>that Schedule</w:t>
      </w:r>
      <w:r w:rsidR="00F41987" w:rsidRPr="00720F05">
        <w:t>”</w:t>
      </w:r>
      <w:r w:rsidR="001840A9" w:rsidRPr="00720F05">
        <w:t xml:space="preserve">, substitute </w:t>
      </w:r>
      <w:r w:rsidR="00F41987" w:rsidRPr="00720F05">
        <w:t>“</w:t>
      </w:r>
      <w:r w:rsidR="001840A9" w:rsidRPr="00720F05">
        <w:rPr>
          <w:color w:val="000000"/>
        </w:rPr>
        <w:t>that item</w:t>
      </w:r>
      <w:r w:rsidR="00F41987" w:rsidRPr="00720F05">
        <w:t>”</w:t>
      </w:r>
      <w:r w:rsidR="001840A9" w:rsidRPr="00720F05">
        <w:t>.</w:t>
      </w:r>
    </w:p>
    <w:p w:rsidR="001840A9" w:rsidRPr="00720F05" w:rsidRDefault="00720F05" w:rsidP="001840A9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1840A9" w:rsidRPr="00720F05">
        <w:t>commencement</w:t>
      </w:r>
      <w:proofErr w:type="gramEnd"/>
      <w:r w:rsidR="001840A9" w:rsidRPr="00720F05">
        <w:t xml:space="preserve"> of reverse mortgage provisions</w:t>
      </w:r>
      <w:r w:rsidRPr="00720F05">
        <w:rPr>
          <w:rFonts w:cs="Arial"/>
          <w:bCs/>
          <w:iCs/>
          <w:szCs w:val="22"/>
        </w:rPr>
        <w:t>]</w:t>
      </w:r>
    </w:p>
    <w:p w:rsidR="0068061C" w:rsidRPr="00720F05" w:rsidRDefault="00D85830" w:rsidP="001840A9">
      <w:pPr>
        <w:pStyle w:val="ParlAmend"/>
      </w:pPr>
      <w:r w:rsidRPr="00720F05">
        <w:t>(35)</w:t>
      </w:r>
      <w:r w:rsidRPr="00720F05">
        <w:tab/>
      </w:r>
      <w:r w:rsidR="0068061C" w:rsidRPr="00720F05">
        <w:t>Schedule</w:t>
      </w:r>
      <w:r w:rsidR="00720F05" w:rsidRPr="00720F05">
        <w:t> </w:t>
      </w:r>
      <w:r w:rsidR="0068061C" w:rsidRPr="00720F05">
        <w:rPr>
          <w:color w:val="000000"/>
        </w:rPr>
        <w:t>6</w:t>
      </w:r>
      <w:r w:rsidR="0068061C" w:rsidRPr="00720F05">
        <w:t>, item</w:t>
      </w:r>
      <w:r w:rsidR="00720F05" w:rsidRPr="00720F05">
        <w:t> </w:t>
      </w:r>
      <w:r w:rsidR="0068061C" w:rsidRPr="00720F05">
        <w:rPr>
          <w:color w:val="000000"/>
        </w:rPr>
        <w:t>4</w:t>
      </w:r>
      <w:r w:rsidR="0068061C" w:rsidRPr="00720F05">
        <w:t xml:space="preserve">, page </w:t>
      </w:r>
      <w:r w:rsidR="0068061C" w:rsidRPr="00720F05">
        <w:rPr>
          <w:color w:val="000000"/>
        </w:rPr>
        <w:t>100 (line 3)</w:t>
      </w:r>
      <w:r w:rsidR="0068061C" w:rsidRPr="00720F05">
        <w:t xml:space="preserve">, after </w:t>
      </w:r>
      <w:r w:rsidR="00F41987" w:rsidRPr="00720F05">
        <w:t>“</w:t>
      </w:r>
      <w:r w:rsidR="0068061C" w:rsidRPr="00720F05">
        <w:rPr>
          <w:color w:val="000000"/>
        </w:rPr>
        <w:t>made by</w:t>
      </w:r>
      <w:r w:rsidR="00F41987" w:rsidRPr="00720F05">
        <w:t>”</w:t>
      </w:r>
      <w:r w:rsidR="0068061C" w:rsidRPr="00720F05">
        <w:t xml:space="preserve">, insert </w:t>
      </w:r>
      <w:r w:rsidR="00F41987" w:rsidRPr="00720F05">
        <w:t>“</w:t>
      </w:r>
      <w:r w:rsidR="0068061C" w:rsidRPr="00720F05">
        <w:rPr>
          <w:color w:val="000000"/>
        </w:rPr>
        <w:t>item</w:t>
      </w:r>
      <w:r w:rsidR="00720F05" w:rsidRPr="00720F05">
        <w:rPr>
          <w:color w:val="000000"/>
        </w:rPr>
        <w:t> </w:t>
      </w:r>
      <w:r w:rsidR="0068061C" w:rsidRPr="00720F05">
        <w:rPr>
          <w:color w:val="000000"/>
        </w:rPr>
        <w:t>21 of</w:t>
      </w:r>
      <w:r w:rsidR="00F41987" w:rsidRPr="00720F05">
        <w:t>”</w:t>
      </w:r>
      <w:r w:rsidR="0068061C" w:rsidRPr="00720F05">
        <w:t>.</w:t>
      </w:r>
    </w:p>
    <w:p w:rsidR="0068061C" w:rsidRPr="00720F05" w:rsidRDefault="00720F05" w:rsidP="0068061C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68061C" w:rsidRPr="00720F05">
        <w:t>commencement</w:t>
      </w:r>
      <w:proofErr w:type="gramEnd"/>
      <w:r w:rsidR="0068061C" w:rsidRPr="00720F05">
        <w:t xml:space="preserve"> of reverse mortgage provisions</w:t>
      </w:r>
      <w:r w:rsidRPr="00720F05">
        <w:rPr>
          <w:rFonts w:cs="Arial"/>
          <w:bCs/>
          <w:iCs/>
          <w:szCs w:val="22"/>
        </w:rPr>
        <w:t>]</w:t>
      </w:r>
    </w:p>
    <w:p w:rsidR="00973794" w:rsidRPr="00720F05" w:rsidRDefault="00D85830" w:rsidP="00973794">
      <w:pPr>
        <w:pStyle w:val="ParlAmend"/>
      </w:pPr>
      <w:r w:rsidRPr="00720F05">
        <w:t>(36)</w:t>
      </w:r>
      <w:r w:rsidRPr="00720F05">
        <w:tab/>
      </w:r>
      <w:r w:rsidR="00973794" w:rsidRPr="00720F05">
        <w:t>Schedule</w:t>
      </w:r>
      <w:r w:rsidR="00720F05" w:rsidRPr="00720F05">
        <w:t> </w:t>
      </w:r>
      <w:r w:rsidR="00973794" w:rsidRPr="00720F05">
        <w:rPr>
          <w:color w:val="000000"/>
        </w:rPr>
        <w:t>6</w:t>
      </w:r>
      <w:r w:rsidR="00973794" w:rsidRPr="00720F05">
        <w:t>, item</w:t>
      </w:r>
      <w:r w:rsidR="00720F05" w:rsidRPr="00720F05">
        <w:t> </w:t>
      </w:r>
      <w:r w:rsidR="00973794" w:rsidRPr="00720F05">
        <w:rPr>
          <w:color w:val="000000"/>
        </w:rPr>
        <w:t>4</w:t>
      </w:r>
      <w:r w:rsidR="00973794" w:rsidRPr="00720F05">
        <w:t xml:space="preserve">, page </w:t>
      </w:r>
      <w:r w:rsidR="00973794" w:rsidRPr="00720F05">
        <w:rPr>
          <w:color w:val="000000"/>
        </w:rPr>
        <w:t>100 (lines 4 and 5)</w:t>
      </w:r>
      <w:r w:rsidR="00973794" w:rsidRPr="00720F05">
        <w:t xml:space="preserve">, omit </w:t>
      </w:r>
      <w:r w:rsidR="00F41987" w:rsidRPr="00720F05">
        <w:t>“</w:t>
      </w:r>
      <w:r w:rsidR="00973794" w:rsidRPr="00720F05">
        <w:rPr>
          <w:color w:val="000000"/>
        </w:rPr>
        <w:t>that Schedule</w:t>
      </w:r>
      <w:r w:rsidR="00F41987" w:rsidRPr="00720F05">
        <w:t>”</w:t>
      </w:r>
      <w:r w:rsidR="00973794" w:rsidRPr="00720F05">
        <w:t xml:space="preserve">, substitute </w:t>
      </w:r>
      <w:r w:rsidR="00F41987" w:rsidRPr="00720F05">
        <w:t>“</w:t>
      </w:r>
      <w:r w:rsidR="00973794" w:rsidRPr="00720F05">
        <w:rPr>
          <w:color w:val="000000"/>
        </w:rPr>
        <w:t>that item</w:t>
      </w:r>
      <w:r w:rsidR="00F41987" w:rsidRPr="00720F05">
        <w:t>”</w:t>
      </w:r>
      <w:r w:rsidR="00973794" w:rsidRPr="00720F05">
        <w:t>.</w:t>
      </w:r>
    </w:p>
    <w:p w:rsidR="00973794" w:rsidRPr="00720F05" w:rsidRDefault="00720F05" w:rsidP="00973794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973794" w:rsidRPr="00720F05">
        <w:t>commencement</w:t>
      </w:r>
      <w:proofErr w:type="gramEnd"/>
      <w:r w:rsidR="00973794" w:rsidRPr="00720F05">
        <w:t xml:space="preserve"> of reverse mortgage provisions</w:t>
      </w:r>
      <w:r w:rsidRPr="00720F05">
        <w:rPr>
          <w:rFonts w:cs="Arial"/>
          <w:bCs/>
          <w:iCs/>
          <w:szCs w:val="22"/>
        </w:rPr>
        <w:t>]</w:t>
      </w:r>
    </w:p>
    <w:p w:rsidR="00A509CE" w:rsidRPr="00720F05" w:rsidRDefault="00D85830" w:rsidP="00973794">
      <w:pPr>
        <w:pStyle w:val="ParlAmend"/>
      </w:pPr>
      <w:r w:rsidRPr="00720F05">
        <w:t>(37)</w:t>
      </w:r>
      <w:r w:rsidRPr="00720F05">
        <w:tab/>
      </w:r>
      <w:r w:rsidR="00A509CE" w:rsidRPr="00720F05">
        <w:t>Schedule</w:t>
      </w:r>
      <w:r w:rsidR="00720F05" w:rsidRPr="00720F05">
        <w:t> </w:t>
      </w:r>
      <w:r w:rsidR="00A509CE" w:rsidRPr="00720F05">
        <w:rPr>
          <w:color w:val="000000"/>
        </w:rPr>
        <w:t>6</w:t>
      </w:r>
      <w:r w:rsidR="00A509CE" w:rsidRPr="00720F05">
        <w:t>, item</w:t>
      </w:r>
      <w:r w:rsidR="00720F05" w:rsidRPr="00720F05">
        <w:t> </w:t>
      </w:r>
      <w:r w:rsidR="00A509CE" w:rsidRPr="00720F05">
        <w:rPr>
          <w:color w:val="000000"/>
        </w:rPr>
        <w:t>4</w:t>
      </w:r>
      <w:r w:rsidR="00A509CE" w:rsidRPr="00720F05">
        <w:t xml:space="preserve">, page </w:t>
      </w:r>
      <w:r w:rsidR="00A509CE" w:rsidRPr="00720F05">
        <w:rPr>
          <w:color w:val="000000"/>
        </w:rPr>
        <w:t>100 (line 7)</w:t>
      </w:r>
      <w:r w:rsidR="00A509CE" w:rsidRPr="00720F05">
        <w:t xml:space="preserve">, after </w:t>
      </w:r>
      <w:r w:rsidR="00F41987" w:rsidRPr="00720F05">
        <w:t>“</w:t>
      </w:r>
      <w:r w:rsidR="00A509CE" w:rsidRPr="00720F05">
        <w:rPr>
          <w:color w:val="000000"/>
        </w:rPr>
        <w:t>inserted by</w:t>
      </w:r>
      <w:r w:rsidR="00F41987" w:rsidRPr="00720F05">
        <w:t>”</w:t>
      </w:r>
      <w:r w:rsidR="00A509CE" w:rsidRPr="00720F05">
        <w:t xml:space="preserve">, insert </w:t>
      </w:r>
      <w:r w:rsidR="00F41987" w:rsidRPr="00720F05">
        <w:t>“</w:t>
      </w:r>
      <w:r w:rsidR="00A509CE" w:rsidRPr="00720F05">
        <w:rPr>
          <w:color w:val="000000"/>
        </w:rPr>
        <w:t>item</w:t>
      </w:r>
      <w:r w:rsidR="00720F05" w:rsidRPr="00720F05">
        <w:rPr>
          <w:color w:val="000000"/>
        </w:rPr>
        <w:t> </w:t>
      </w:r>
      <w:r w:rsidR="00A509CE" w:rsidRPr="00720F05">
        <w:rPr>
          <w:color w:val="000000"/>
        </w:rPr>
        <w:t>22 of</w:t>
      </w:r>
      <w:r w:rsidR="00F41987" w:rsidRPr="00720F05">
        <w:t>”</w:t>
      </w:r>
      <w:r w:rsidR="00A509CE" w:rsidRPr="00720F05">
        <w:t>.</w:t>
      </w:r>
    </w:p>
    <w:p w:rsidR="00A509CE" w:rsidRPr="00720F05" w:rsidRDefault="00720F05" w:rsidP="00A509CE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A509CE" w:rsidRPr="00720F05">
        <w:t>commencement</w:t>
      </w:r>
      <w:proofErr w:type="gramEnd"/>
      <w:r w:rsidR="00A509CE" w:rsidRPr="00720F05">
        <w:t xml:space="preserve"> of reverse mortgage provisions</w:t>
      </w:r>
      <w:r w:rsidRPr="00720F05">
        <w:rPr>
          <w:rFonts w:cs="Arial"/>
          <w:bCs/>
          <w:iCs/>
          <w:szCs w:val="22"/>
        </w:rPr>
        <w:t>]</w:t>
      </w:r>
    </w:p>
    <w:p w:rsidR="00973794" w:rsidRPr="00720F05" w:rsidRDefault="00D85830" w:rsidP="00973794">
      <w:pPr>
        <w:pStyle w:val="ParlAmend"/>
      </w:pPr>
      <w:r w:rsidRPr="00720F05">
        <w:t>(38)</w:t>
      </w:r>
      <w:r w:rsidRPr="00720F05">
        <w:tab/>
      </w:r>
      <w:r w:rsidR="00973794" w:rsidRPr="00720F05">
        <w:t>Schedule</w:t>
      </w:r>
      <w:r w:rsidR="00720F05" w:rsidRPr="00720F05">
        <w:t> </w:t>
      </w:r>
      <w:r w:rsidR="00973794" w:rsidRPr="00720F05">
        <w:rPr>
          <w:color w:val="000000"/>
        </w:rPr>
        <w:t>6</w:t>
      </w:r>
      <w:r w:rsidR="00973794" w:rsidRPr="00720F05">
        <w:t>, item</w:t>
      </w:r>
      <w:r w:rsidR="00720F05" w:rsidRPr="00720F05">
        <w:t> </w:t>
      </w:r>
      <w:r w:rsidR="00973794" w:rsidRPr="00720F05">
        <w:rPr>
          <w:color w:val="000000"/>
        </w:rPr>
        <w:t>4</w:t>
      </w:r>
      <w:r w:rsidR="00973794" w:rsidRPr="00720F05">
        <w:t xml:space="preserve">, page </w:t>
      </w:r>
      <w:r w:rsidR="00973794" w:rsidRPr="00720F05">
        <w:rPr>
          <w:color w:val="000000"/>
        </w:rPr>
        <w:t>100 (line 9)</w:t>
      </w:r>
      <w:r w:rsidR="00973794" w:rsidRPr="00720F05">
        <w:t xml:space="preserve">, omit </w:t>
      </w:r>
      <w:r w:rsidR="00F41987" w:rsidRPr="00720F05">
        <w:t>“</w:t>
      </w:r>
      <w:r w:rsidR="00973794" w:rsidRPr="00720F05">
        <w:rPr>
          <w:color w:val="000000"/>
        </w:rPr>
        <w:t>that Schedule</w:t>
      </w:r>
      <w:r w:rsidR="00F41987" w:rsidRPr="00720F05">
        <w:t>”</w:t>
      </w:r>
      <w:r w:rsidR="00973794" w:rsidRPr="00720F05">
        <w:t xml:space="preserve">, substitute </w:t>
      </w:r>
      <w:r w:rsidR="00F41987" w:rsidRPr="00720F05">
        <w:t>“</w:t>
      </w:r>
      <w:r w:rsidR="00973794" w:rsidRPr="00720F05">
        <w:rPr>
          <w:color w:val="000000"/>
        </w:rPr>
        <w:t>that item</w:t>
      </w:r>
      <w:r w:rsidR="00F41987" w:rsidRPr="00720F05">
        <w:t>”</w:t>
      </w:r>
      <w:r w:rsidR="00973794" w:rsidRPr="00720F05">
        <w:t>.</w:t>
      </w:r>
    </w:p>
    <w:p w:rsidR="00973794" w:rsidRPr="00720F05" w:rsidRDefault="00720F05" w:rsidP="00973794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973794" w:rsidRPr="00720F05">
        <w:t>commencement</w:t>
      </w:r>
      <w:proofErr w:type="gramEnd"/>
      <w:r w:rsidR="00973794" w:rsidRPr="00720F05">
        <w:t xml:space="preserve"> of reverse mortgage provisions</w:t>
      </w:r>
      <w:r w:rsidRPr="00720F05">
        <w:rPr>
          <w:rFonts w:cs="Arial"/>
          <w:bCs/>
          <w:iCs/>
          <w:szCs w:val="22"/>
        </w:rPr>
        <w:t>]</w:t>
      </w:r>
    </w:p>
    <w:p w:rsidR="00F81A13" w:rsidRPr="00720F05" w:rsidRDefault="00D85830" w:rsidP="00973794">
      <w:pPr>
        <w:pStyle w:val="ParlAmend"/>
      </w:pPr>
      <w:r w:rsidRPr="00720F05">
        <w:t>(39)</w:t>
      </w:r>
      <w:r w:rsidRPr="00720F05">
        <w:tab/>
      </w:r>
      <w:r w:rsidR="00F81A13" w:rsidRPr="00720F05">
        <w:t>Schedule</w:t>
      </w:r>
      <w:r w:rsidR="00720F05" w:rsidRPr="00720F05">
        <w:t> </w:t>
      </w:r>
      <w:r w:rsidR="00F81A13" w:rsidRPr="00720F05">
        <w:rPr>
          <w:color w:val="000000"/>
        </w:rPr>
        <w:t>6</w:t>
      </w:r>
      <w:r w:rsidR="00F81A13" w:rsidRPr="00720F05">
        <w:t>, item</w:t>
      </w:r>
      <w:r w:rsidR="00720F05" w:rsidRPr="00720F05">
        <w:t> </w:t>
      </w:r>
      <w:r w:rsidR="00F81A13" w:rsidRPr="00720F05">
        <w:rPr>
          <w:color w:val="000000"/>
        </w:rPr>
        <w:t>4</w:t>
      </w:r>
      <w:r w:rsidR="00F81A13" w:rsidRPr="00720F05">
        <w:t xml:space="preserve">, page </w:t>
      </w:r>
      <w:r w:rsidR="00F81A13" w:rsidRPr="00720F05">
        <w:rPr>
          <w:color w:val="000000"/>
        </w:rPr>
        <w:t>100 (line 11)</w:t>
      </w:r>
      <w:r w:rsidR="00F81A13" w:rsidRPr="00720F05">
        <w:t xml:space="preserve">, after </w:t>
      </w:r>
      <w:r w:rsidR="00F41987" w:rsidRPr="00720F05">
        <w:t>“</w:t>
      </w:r>
      <w:r w:rsidR="00F81A13" w:rsidRPr="00720F05">
        <w:rPr>
          <w:color w:val="000000"/>
        </w:rPr>
        <w:t>added by</w:t>
      </w:r>
      <w:r w:rsidR="00F41987" w:rsidRPr="00720F05">
        <w:t>”</w:t>
      </w:r>
      <w:r w:rsidR="00F81A13" w:rsidRPr="00720F05">
        <w:t xml:space="preserve">, insert </w:t>
      </w:r>
      <w:r w:rsidR="00F41987" w:rsidRPr="00720F05">
        <w:t>“</w:t>
      </w:r>
      <w:r w:rsidR="00F81A13" w:rsidRPr="00720F05">
        <w:rPr>
          <w:color w:val="000000"/>
        </w:rPr>
        <w:t>item</w:t>
      </w:r>
      <w:r w:rsidR="00720F05" w:rsidRPr="00720F05">
        <w:rPr>
          <w:color w:val="000000"/>
        </w:rPr>
        <w:t> </w:t>
      </w:r>
      <w:r w:rsidR="00F81A13" w:rsidRPr="00720F05">
        <w:rPr>
          <w:color w:val="000000"/>
        </w:rPr>
        <w:t>23 of</w:t>
      </w:r>
      <w:r w:rsidR="00F41987" w:rsidRPr="00720F05">
        <w:t>”</w:t>
      </w:r>
      <w:r w:rsidR="00F81A13" w:rsidRPr="00720F05">
        <w:t>.</w:t>
      </w:r>
    </w:p>
    <w:p w:rsidR="00F81A13" w:rsidRPr="00720F05" w:rsidRDefault="00720F05" w:rsidP="00F81A13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F81A13" w:rsidRPr="00720F05">
        <w:t>commencement</w:t>
      </w:r>
      <w:proofErr w:type="gramEnd"/>
      <w:r w:rsidR="00F81A13" w:rsidRPr="00720F05">
        <w:t xml:space="preserve"> of reverse mortgage provisions</w:t>
      </w:r>
      <w:r w:rsidRPr="00720F05">
        <w:rPr>
          <w:rFonts w:cs="Arial"/>
          <w:bCs/>
          <w:iCs/>
          <w:szCs w:val="22"/>
        </w:rPr>
        <w:t>]</w:t>
      </w:r>
    </w:p>
    <w:p w:rsidR="00896F09" w:rsidRPr="00720F05" w:rsidRDefault="00D85830" w:rsidP="00896F09">
      <w:pPr>
        <w:pStyle w:val="ParlAmend"/>
      </w:pPr>
      <w:r w:rsidRPr="00720F05">
        <w:t>(40)</w:t>
      </w:r>
      <w:r w:rsidRPr="00720F05">
        <w:tab/>
      </w:r>
      <w:r w:rsidR="00896F09" w:rsidRPr="00720F05">
        <w:t>Schedule</w:t>
      </w:r>
      <w:r w:rsidR="00720F05" w:rsidRPr="00720F05">
        <w:t> </w:t>
      </w:r>
      <w:r w:rsidR="00896F09" w:rsidRPr="00720F05">
        <w:rPr>
          <w:color w:val="000000"/>
        </w:rPr>
        <w:t>6</w:t>
      </w:r>
      <w:r w:rsidR="00896F09" w:rsidRPr="00720F05">
        <w:t>, item</w:t>
      </w:r>
      <w:r w:rsidR="00720F05" w:rsidRPr="00720F05">
        <w:t> </w:t>
      </w:r>
      <w:r w:rsidR="00896F09" w:rsidRPr="00720F05">
        <w:rPr>
          <w:color w:val="000000"/>
        </w:rPr>
        <w:t>4</w:t>
      </w:r>
      <w:r w:rsidR="00896F09" w:rsidRPr="00720F05">
        <w:t xml:space="preserve">, page </w:t>
      </w:r>
      <w:r w:rsidR="00896F09" w:rsidRPr="00720F05">
        <w:rPr>
          <w:color w:val="000000"/>
        </w:rPr>
        <w:t>100 (line 13)</w:t>
      </w:r>
      <w:r w:rsidR="00896F09" w:rsidRPr="00720F05">
        <w:t xml:space="preserve">, omit </w:t>
      </w:r>
      <w:r w:rsidR="00F41987" w:rsidRPr="00720F05">
        <w:t>“</w:t>
      </w:r>
      <w:r w:rsidR="00896F09" w:rsidRPr="00720F05">
        <w:rPr>
          <w:color w:val="000000"/>
        </w:rPr>
        <w:t>that Schedule</w:t>
      </w:r>
      <w:r w:rsidR="00F41987" w:rsidRPr="00720F05">
        <w:t>”</w:t>
      </w:r>
      <w:r w:rsidR="00896F09" w:rsidRPr="00720F05">
        <w:t xml:space="preserve">, substitute </w:t>
      </w:r>
      <w:r w:rsidR="00F41987" w:rsidRPr="00720F05">
        <w:t>“</w:t>
      </w:r>
      <w:r w:rsidR="00896F09" w:rsidRPr="00720F05">
        <w:rPr>
          <w:color w:val="000000"/>
        </w:rPr>
        <w:t>that item</w:t>
      </w:r>
      <w:r w:rsidR="00F41987" w:rsidRPr="00720F05">
        <w:t>”</w:t>
      </w:r>
      <w:r w:rsidR="00896F09" w:rsidRPr="00720F05">
        <w:t>.</w:t>
      </w:r>
    </w:p>
    <w:p w:rsidR="00896F09" w:rsidRPr="00720F05" w:rsidRDefault="00720F05" w:rsidP="00896F09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896F09" w:rsidRPr="00720F05">
        <w:t>commencement</w:t>
      </w:r>
      <w:proofErr w:type="gramEnd"/>
      <w:r w:rsidR="00896F09" w:rsidRPr="00720F05">
        <w:t xml:space="preserve"> of reverse mortgage provisions</w:t>
      </w:r>
      <w:r w:rsidRPr="00720F05">
        <w:rPr>
          <w:rFonts w:cs="Arial"/>
          <w:bCs/>
          <w:iCs/>
          <w:szCs w:val="22"/>
        </w:rPr>
        <w:t>]</w:t>
      </w:r>
    </w:p>
    <w:p w:rsidR="003D086F" w:rsidRPr="00720F05" w:rsidRDefault="00D85830" w:rsidP="00896F09">
      <w:pPr>
        <w:pStyle w:val="ParlAmend"/>
      </w:pPr>
      <w:r w:rsidRPr="00720F05">
        <w:t>(41)</w:t>
      </w:r>
      <w:r w:rsidRPr="00720F05">
        <w:tab/>
      </w:r>
      <w:r w:rsidR="003D086F" w:rsidRPr="00720F05">
        <w:t>Schedule</w:t>
      </w:r>
      <w:r w:rsidR="00720F05" w:rsidRPr="00720F05">
        <w:t> </w:t>
      </w:r>
      <w:r w:rsidR="003D086F" w:rsidRPr="00720F05">
        <w:rPr>
          <w:color w:val="000000"/>
        </w:rPr>
        <w:t>6</w:t>
      </w:r>
      <w:r w:rsidR="003D086F" w:rsidRPr="00720F05">
        <w:t>, item</w:t>
      </w:r>
      <w:r w:rsidR="00720F05" w:rsidRPr="00720F05">
        <w:t> </w:t>
      </w:r>
      <w:r w:rsidR="003D086F" w:rsidRPr="00720F05">
        <w:rPr>
          <w:color w:val="000000"/>
        </w:rPr>
        <w:t>4</w:t>
      </w:r>
      <w:r w:rsidR="003D086F" w:rsidRPr="00720F05">
        <w:t xml:space="preserve">, page </w:t>
      </w:r>
      <w:r w:rsidR="003D086F" w:rsidRPr="00720F05">
        <w:rPr>
          <w:color w:val="000000"/>
        </w:rPr>
        <w:t>100 (line 15)</w:t>
      </w:r>
      <w:r w:rsidR="003D086F" w:rsidRPr="00720F05">
        <w:t xml:space="preserve">, after </w:t>
      </w:r>
      <w:r w:rsidR="00F41987" w:rsidRPr="00720F05">
        <w:t>“</w:t>
      </w:r>
      <w:r w:rsidR="003D086F" w:rsidRPr="00720F05">
        <w:rPr>
          <w:color w:val="000000"/>
        </w:rPr>
        <w:t>inserted by</w:t>
      </w:r>
      <w:r w:rsidR="00F41987" w:rsidRPr="00720F05">
        <w:t>”</w:t>
      </w:r>
      <w:r w:rsidR="003D086F" w:rsidRPr="00720F05">
        <w:t xml:space="preserve">, insert </w:t>
      </w:r>
      <w:r w:rsidR="00F41987" w:rsidRPr="00720F05">
        <w:t>“</w:t>
      </w:r>
      <w:r w:rsidR="003D086F" w:rsidRPr="00720F05">
        <w:rPr>
          <w:color w:val="000000"/>
        </w:rPr>
        <w:t>item</w:t>
      </w:r>
      <w:r w:rsidR="00720F05" w:rsidRPr="00720F05">
        <w:rPr>
          <w:color w:val="000000"/>
        </w:rPr>
        <w:t> </w:t>
      </w:r>
      <w:r w:rsidR="003D086F" w:rsidRPr="00720F05">
        <w:rPr>
          <w:color w:val="000000"/>
        </w:rPr>
        <w:t>26 of</w:t>
      </w:r>
      <w:r w:rsidR="00F41987" w:rsidRPr="00720F05">
        <w:t>”</w:t>
      </w:r>
      <w:r w:rsidR="003D086F" w:rsidRPr="00720F05">
        <w:t>.</w:t>
      </w:r>
    </w:p>
    <w:p w:rsidR="003D086F" w:rsidRPr="00720F05" w:rsidRDefault="00720F05" w:rsidP="003D086F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3D086F" w:rsidRPr="00720F05">
        <w:t>commencement</w:t>
      </w:r>
      <w:proofErr w:type="gramEnd"/>
      <w:r w:rsidR="003D086F" w:rsidRPr="00720F05">
        <w:t xml:space="preserve"> of reverse mortgage provisions</w:t>
      </w:r>
      <w:r w:rsidRPr="00720F05">
        <w:rPr>
          <w:rFonts w:cs="Arial"/>
          <w:bCs/>
          <w:iCs/>
          <w:szCs w:val="22"/>
        </w:rPr>
        <w:t>]</w:t>
      </w:r>
    </w:p>
    <w:p w:rsidR="00896F09" w:rsidRPr="00720F05" w:rsidRDefault="00D85830" w:rsidP="00896F09">
      <w:pPr>
        <w:pStyle w:val="ParlAmend"/>
      </w:pPr>
      <w:r w:rsidRPr="00720F05">
        <w:t>(42)</w:t>
      </w:r>
      <w:r w:rsidRPr="00720F05">
        <w:tab/>
      </w:r>
      <w:r w:rsidR="00896F09" w:rsidRPr="00720F05">
        <w:t>Schedule</w:t>
      </w:r>
      <w:r w:rsidR="00720F05" w:rsidRPr="00720F05">
        <w:t> </w:t>
      </w:r>
      <w:r w:rsidR="00896F09" w:rsidRPr="00720F05">
        <w:rPr>
          <w:color w:val="000000"/>
        </w:rPr>
        <w:t>6</w:t>
      </w:r>
      <w:r w:rsidR="00896F09" w:rsidRPr="00720F05">
        <w:t>, item</w:t>
      </w:r>
      <w:r w:rsidR="00720F05" w:rsidRPr="00720F05">
        <w:t> </w:t>
      </w:r>
      <w:r w:rsidR="00896F09" w:rsidRPr="00720F05">
        <w:rPr>
          <w:color w:val="000000"/>
        </w:rPr>
        <w:t>4</w:t>
      </w:r>
      <w:r w:rsidR="00896F09" w:rsidRPr="00720F05">
        <w:t xml:space="preserve">, page </w:t>
      </w:r>
      <w:r w:rsidR="00896F09" w:rsidRPr="00720F05">
        <w:rPr>
          <w:color w:val="000000"/>
        </w:rPr>
        <w:t>100 (line 17)</w:t>
      </w:r>
      <w:r w:rsidR="00896F09" w:rsidRPr="00720F05">
        <w:t xml:space="preserve">, omit </w:t>
      </w:r>
      <w:r w:rsidR="00F41987" w:rsidRPr="00720F05">
        <w:t>“</w:t>
      </w:r>
      <w:r w:rsidR="00896F09" w:rsidRPr="00720F05">
        <w:rPr>
          <w:color w:val="000000"/>
        </w:rPr>
        <w:t>that Schedule</w:t>
      </w:r>
      <w:r w:rsidR="00F41987" w:rsidRPr="00720F05">
        <w:t>”</w:t>
      </w:r>
      <w:r w:rsidR="00896F09" w:rsidRPr="00720F05">
        <w:t xml:space="preserve">, substitute </w:t>
      </w:r>
      <w:r w:rsidR="00F41987" w:rsidRPr="00720F05">
        <w:t>“</w:t>
      </w:r>
      <w:r w:rsidR="00896F09" w:rsidRPr="00720F05">
        <w:rPr>
          <w:color w:val="000000"/>
        </w:rPr>
        <w:t>that item</w:t>
      </w:r>
      <w:r w:rsidR="00F41987" w:rsidRPr="00720F05">
        <w:t>”</w:t>
      </w:r>
      <w:r w:rsidR="00896F09" w:rsidRPr="00720F05">
        <w:t>.</w:t>
      </w:r>
    </w:p>
    <w:p w:rsidR="00896F09" w:rsidRPr="00720F05" w:rsidRDefault="00720F05" w:rsidP="00896F09">
      <w:pPr>
        <w:pStyle w:val="noteParlAmend"/>
        <w:rPr>
          <w:rFonts w:cs="Arial"/>
          <w:bCs/>
          <w:iCs/>
          <w:szCs w:val="22"/>
        </w:rPr>
      </w:pPr>
      <w:r w:rsidRPr="00720F05">
        <w:rPr>
          <w:rFonts w:cs="Arial"/>
          <w:bCs/>
          <w:iCs/>
          <w:szCs w:val="22"/>
        </w:rPr>
        <w:t>[</w:t>
      </w:r>
      <w:proofErr w:type="gramStart"/>
      <w:r w:rsidR="00896F09" w:rsidRPr="00720F05">
        <w:t>commencement</w:t>
      </w:r>
      <w:proofErr w:type="gramEnd"/>
      <w:r w:rsidR="00896F09" w:rsidRPr="00720F05">
        <w:t xml:space="preserve"> of reverse mortgage provisions</w:t>
      </w:r>
      <w:r w:rsidRPr="00720F05">
        <w:rPr>
          <w:rFonts w:cs="Arial"/>
          <w:bCs/>
          <w:iCs/>
          <w:szCs w:val="22"/>
        </w:rPr>
        <w:t>]</w:t>
      </w:r>
    </w:p>
    <w:sectPr w:rsidR="00896F09" w:rsidRPr="00720F05" w:rsidSect="00D716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8" w:right="1418" w:bottom="1418" w:left="1418" w:header="72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32A" w:rsidRDefault="0017432A" w:rsidP="00D71653">
      <w:pPr>
        <w:spacing w:line="240" w:lineRule="auto"/>
      </w:pPr>
      <w:r>
        <w:separator/>
      </w:r>
    </w:p>
  </w:endnote>
  <w:endnote w:type="continuationSeparator" w:id="0">
    <w:p w:rsidR="0017432A" w:rsidRDefault="0017432A" w:rsidP="00D71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5CD" w:rsidRPr="00552A7B" w:rsidRDefault="008E7E02" w:rsidP="00720F05">
    <w:pPr>
      <w:pBdr>
        <w:top w:val="single" w:sz="6" w:space="1" w:color="auto"/>
      </w:pBdr>
      <w:spacing w:before="120"/>
      <w:jc w:val="right"/>
      <w:rPr>
        <w:sz w:val="24"/>
      </w:rPr>
    </w:pPr>
    <w:r w:rsidRPr="00552A7B">
      <w:rPr>
        <w:sz w:val="24"/>
      </w:rPr>
      <w:fldChar w:fldCharType="begin"/>
    </w:r>
    <w:r w:rsidR="006555CD" w:rsidRPr="00552A7B">
      <w:rPr>
        <w:sz w:val="24"/>
      </w:rPr>
      <w:instrText xml:space="preserve"> PAGE </w:instrText>
    </w:r>
    <w:r w:rsidRPr="00552A7B">
      <w:rPr>
        <w:sz w:val="24"/>
      </w:rPr>
      <w:fldChar w:fldCharType="separate"/>
    </w:r>
    <w:r w:rsidR="006555CD" w:rsidRPr="00552A7B">
      <w:rPr>
        <w:noProof/>
        <w:sz w:val="24"/>
      </w:rPr>
      <w:t>1</w:t>
    </w:r>
    <w:r w:rsidRPr="00552A7B"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5CD" w:rsidRPr="00552A7B" w:rsidRDefault="008E7E02" w:rsidP="00720F05">
    <w:pPr>
      <w:pBdr>
        <w:top w:val="single" w:sz="6" w:space="1" w:color="auto"/>
      </w:pBdr>
      <w:spacing w:before="120"/>
      <w:jc w:val="right"/>
      <w:rPr>
        <w:sz w:val="24"/>
      </w:rPr>
    </w:pPr>
    <w:r>
      <w:rPr>
        <w:noProof/>
        <w:sz w:val="24"/>
        <w:lang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0;margin-top:805pt;width:347.55pt;height:26.95pt;z-index:-251657216;mso-position-horizontal:center;mso-position-vertical-relative:page" stroked="f">
          <v:textbox>
            <w:txbxContent>
              <w:p w:rsidR="006555CD" w:rsidRPr="008A663D" w:rsidRDefault="008E7E02" w:rsidP="008A663D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fldSimple w:instr=" DOCPROPERTY  Classification  \* MERGEFORMAT ">
                  <w:r w:rsidR="00720F05" w:rsidRPr="00720F05">
                    <w:rPr>
                      <w:rFonts w:ascii="Arial" w:hAnsi="Arial" w:cs="Arial"/>
                      <w:b/>
                      <w:sz w:val="40"/>
                    </w:rPr>
                    <w:t>EXPOSURE-DRAFT</w:t>
                  </w:r>
                </w:fldSimple>
                <w:r w:rsidR="006555CD" w:rsidRPr="008A663D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  <w:r w:rsidRPr="00552A7B">
      <w:rPr>
        <w:sz w:val="24"/>
      </w:rPr>
      <w:fldChar w:fldCharType="begin"/>
    </w:r>
    <w:r w:rsidR="006555CD" w:rsidRPr="00552A7B">
      <w:rPr>
        <w:sz w:val="24"/>
      </w:rPr>
      <w:instrText xml:space="preserve"> PAGE </w:instrText>
    </w:r>
    <w:r w:rsidRPr="00552A7B">
      <w:rPr>
        <w:sz w:val="24"/>
      </w:rPr>
      <w:fldChar w:fldCharType="separate"/>
    </w:r>
    <w:r w:rsidR="00C44757">
      <w:rPr>
        <w:noProof/>
        <w:sz w:val="24"/>
      </w:rPr>
      <w:t>7</w:t>
    </w:r>
    <w:r w:rsidRPr="00552A7B"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5CD" w:rsidRPr="00552A7B" w:rsidRDefault="008E7E02" w:rsidP="00720F05">
    <w:pPr>
      <w:pBdr>
        <w:top w:val="single" w:sz="6" w:space="1" w:color="auto"/>
      </w:pBdr>
      <w:spacing w:before="120"/>
      <w:jc w:val="right"/>
      <w:rPr>
        <w:sz w:val="24"/>
      </w:rPr>
    </w:pPr>
    <w:r>
      <w:rPr>
        <w:noProof/>
        <w:sz w:val="24"/>
        <w:lang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0;margin-top:805pt;width:347.55pt;height:26.95pt;z-index:-251658240;mso-position-horizontal:center;mso-position-vertical-relative:page" stroked="f">
          <v:textbox>
            <w:txbxContent>
              <w:p w:rsidR="006555CD" w:rsidRPr="008A663D" w:rsidRDefault="008E7E02" w:rsidP="008A663D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fldSimple w:instr=" DOCPROPERTY  Classification  \* MERGEFORMAT ">
                  <w:r w:rsidR="00720F05" w:rsidRPr="00720F05">
                    <w:rPr>
                      <w:rFonts w:ascii="Arial" w:hAnsi="Arial" w:cs="Arial"/>
                      <w:b/>
                      <w:sz w:val="40"/>
                    </w:rPr>
                    <w:t>EXPOSURE-DRAFT</w:t>
                  </w:r>
                </w:fldSimple>
                <w:r w:rsidR="006555CD" w:rsidRPr="008A663D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  <w:r w:rsidRPr="00552A7B">
      <w:rPr>
        <w:sz w:val="24"/>
      </w:rPr>
      <w:fldChar w:fldCharType="begin"/>
    </w:r>
    <w:r w:rsidR="006555CD" w:rsidRPr="00552A7B">
      <w:rPr>
        <w:sz w:val="24"/>
      </w:rPr>
      <w:instrText xml:space="preserve"> PAGE </w:instrText>
    </w:r>
    <w:r w:rsidRPr="00552A7B">
      <w:rPr>
        <w:sz w:val="24"/>
      </w:rPr>
      <w:fldChar w:fldCharType="separate"/>
    </w:r>
    <w:r w:rsidR="00C44757">
      <w:rPr>
        <w:noProof/>
        <w:sz w:val="24"/>
      </w:rPr>
      <w:t>1</w:t>
    </w:r>
    <w:r w:rsidRPr="00552A7B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32A" w:rsidRDefault="0017432A" w:rsidP="00D71653">
      <w:pPr>
        <w:spacing w:line="240" w:lineRule="auto"/>
      </w:pPr>
      <w:r>
        <w:separator/>
      </w:r>
    </w:p>
  </w:footnote>
  <w:footnote w:type="continuationSeparator" w:id="0">
    <w:p w:rsidR="0017432A" w:rsidRDefault="0017432A" w:rsidP="00D716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5CD" w:rsidRPr="00552A7B" w:rsidRDefault="006555CD" w:rsidP="00D71653">
    <w:pPr>
      <w:rPr>
        <w:sz w:val="24"/>
      </w:rPr>
    </w:pPr>
  </w:p>
  <w:p w:rsidR="006555CD" w:rsidRPr="00552A7B" w:rsidRDefault="006555CD" w:rsidP="00D7165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5CD" w:rsidRPr="00552A7B" w:rsidRDefault="008E7E02" w:rsidP="00D71653">
    <w:pPr>
      <w:jc w:val="right"/>
      <w:rPr>
        <w:sz w:val="24"/>
      </w:rPr>
    </w:pPr>
    <w:r>
      <w:rPr>
        <w:noProof/>
        <w:sz w:val="24"/>
        <w:lang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11.3pt;width:347.55pt;height:26.95pt;z-index:-251659264;mso-position-horizontal:center;mso-position-vertical-relative:page" stroked="f">
          <v:textbox>
            <w:txbxContent>
              <w:p w:rsidR="006555CD" w:rsidRPr="008A663D" w:rsidRDefault="008E7E02" w:rsidP="008A663D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fldSimple w:instr=" DOCPROPERTY  Classification  \* MERGEFORMAT ">
                  <w:r w:rsidR="00720F05" w:rsidRPr="00720F05">
                    <w:rPr>
                      <w:rFonts w:ascii="Arial" w:hAnsi="Arial" w:cs="Arial"/>
                      <w:b/>
                      <w:sz w:val="40"/>
                    </w:rPr>
                    <w:t>EXPOSURE-DRAFT</w:t>
                  </w:r>
                </w:fldSimple>
                <w:r w:rsidR="006555CD" w:rsidRPr="008A663D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</w:p>
  <w:p w:rsidR="006555CD" w:rsidRPr="00552A7B" w:rsidRDefault="006555CD" w:rsidP="00D7165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5CD" w:rsidRPr="00552A7B" w:rsidRDefault="008E7E02" w:rsidP="00D71653">
    <w:pPr>
      <w:jc w:val="right"/>
      <w:rPr>
        <w:sz w:val="24"/>
      </w:rPr>
    </w:pPr>
    <w:r>
      <w:rPr>
        <w:noProof/>
        <w:sz w:val="24"/>
        <w:lang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11.3pt;width:347.55pt;height:26.95pt;z-index:-251660288;mso-position-horizontal:center;mso-position-vertical-relative:page" stroked="f">
          <v:textbox>
            <w:txbxContent>
              <w:p w:rsidR="006555CD" w:rsidRPr="008A663D" w:rsidRDefault="008E7E02" w:rsidP="008A663D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fldSimple w:instr=" DOCPROPERTY  Classification  \* MERGEFORMAT ">
                  <w:r w:rsidR="00720F05" w:rsidRPr="00720F05">
                    <w:rPr>
                      <w:rFonts w:ascii="Arial" w:hAnsi="Arial" w:cs="Arial"/>
                      <w:b/>
                      <w:sz w:val="40"/>
                    </w:rPr>
                    <w:t>EXPOSURE-DRAFT</w:t>
                  </w:r>
                </w:fldSimple>
                <w:r w:rsidR="006555CD" w:rsidRPr="008A663D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  <w:r w:rsidR="006555CD">
      <w:rPr>
        <w:sz w:val="24"/>
      </w:rPr>
      <w:t>BV249.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22A5D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70251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D98D3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05EF0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632A3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0A35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B639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145E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E6C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CC8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>
    <w:nsid w:val="77FF53DE"/>
    <w:multiLevelType w:val="hybridMultilevel"/>
    <w:tmpl w:val="516033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C86B75"/>
    <w:multiLevelType w:val="hybridMultilevel"/>
    <w:tmpl w:val="5728044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removePersonalInformation/>
  <w:embedTrueTypeFonts/>
  <w:saveSubsetFonts/>
  <w:proofState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45F7"/>
    <w:rsid w:val="000122C4"/>
    <w:rsid w:val="000136AF"/>
    <w:rsid w:val="00025537"/>
    <w:rsid w:val="00041F9B"/>
    <w:rsid w:val="00044A2F"/>
    <w:rsid w:val="000509E3"/>
    <w:rsid w:val="000614BF"/>
    <w:rsid w:val="00063D11"/>
    <w:rsid w:val="000719AC"/>
    <w:rsid w:val="00072671"/>
    <w:rsid w:val="000910C2"/>
    <w:rsid w:val="0009750E"/>
    <w:rsid w:val="000A59F3"/>
    <w:rsid w:val="000A5BED"/>
    <w:rsid w:val="000C711F"/>
    <w:rsid w:val="000D00F6"/>
    <w:rsid w:val="000D05EF"/>
    <w:rsid w:val="000D1234"/>
    <w:rsid w:val="000D6669"/>
    <w:rsid w:val="000E0224"/>
    <w:rsid w:val="000E3826"/>
    <w:rsid w:val="000E3834"/>
    <w:rsid w:val="000E5C2C"/>
    <w:rsid w:val="000F0EB4"/>
    <w:rsid w:val="000F21C1"/>
    <w:rsid w:val="000F5DD1"/>
    <w:rsid w:val="00102B04"/>
    <w:rsid w:val="00106007"/>
    <w:rsid w:val="0010745C"/>
    <w:rsid w:val="001168EC"/>
    <w:rsid w:val="00124AD8"/>
    <w:rsid w:val="00130FCE"/>
    <w:rsid w:val="00135C83"/>
    <w:rsid w:val="00141D56"/>
    <w:rsid w:val="001455BF"/>
    <w:rsid w:val="0015210F"/>
    <w:rsid w:val="00154D5F"/>
    <w:rsid w:val="00166C2F"/>
    <w:rsid w:val="0017432A"/>
    <w:rsid w:val="00174A3A"/>
    <w:rsid w:val="001840A9"/>
    <w:rsid w:val="001852E2"/>
    <w:rsid w:val="001918ED"/>
    <w:rsid w:val="001934B5"/>
    <w:rsid w:val="001939E1"/>
    <w:rsid w:val="00195382"/>
    <w:rsid w:val="001A375D"/>
    <w:rsid w:val="001A3836"/>
    <w:rsid w:val="001A7531"/>
    <w:rsid w:val="001B024C"/>
    <w:rsid w:val="001C0E90"/>
    <w:rsid w:val="001C69C4"/>
    <w:rsid w:val="001D54D5"/>
    <w:rsid w:val="001D60A4"/>
    <w:rsid w:val="001E17F2"/>
    <w:rsid w:val="001E1D23"/>
    <w:rsid w:val="001E3590"/>
    <w:rsid w:val="001E6267"/>
    <w:rsid w:val="001E7407"/>
    <w:rsid w:val="001E7BB5"/>
    <w:rsid w:val="00200E98"/>
    <w:rsid w:val="00205414"/>
    <w:rsid w:val="00205B0C"/>
    <w:rsid w:val="002064A4"/>
    <w:rsid w:val="00223DFA"/>
    <w:rsid w:val="002334B9"/>
    <w:rsid w:val="00240749"/>
    <w:rsid w:val="00257DB0"/>
    <w:rsid w:val="00262475"/>
    <w:rsid w:val="0028696B"/>
    <w:rsid w:val="00297ECB"/>
    <w:rsid w:val="002B071E"/>
    <w:rsid w:val="002B3A25"/>
    <w:rsid w:val="002D043A"/>
    <w:rsid w:val="002E2726"/>
    <w:rsid w:val="002F2D46"/>
    <w:rsid w:val="0031555E"/>
    <w:rsid w:val="0032353C"/>
    <w:rsid w:val="00324496"/>
    <w:rsid w:val="0032795E"/>
    <w:rsid w:val="00330E1F"/>
    <w:rsid w:val="00335E10"/>
    <w:rsid w:val="003415D3"/>
    <w:rsid w:val="003425AF"/>
    <w:rsid w:val="0034635F"/>
    <w:rsid w:val="00352B0F"/>
    <w:rsid w:val="003600DA"/>
    <w:rsid w:val="00361BC3"/>
    <w:rsid w:val="0036564F"/>
    <w:rsid w:val="003722A1"/>
    <w:rsid w:val="00386DAE"/>
    <w:rsid w:val="00392507"/>
    <w:rsid w:val="003952D7"/>
    <w:rsid w:val="003952E8"/>
    <w:rsid w:val="003A59B3"/>
    <w:rsid w:val="003A67B5"/>
    <w:rsid w:val="003B4C68"/>
    <w:rsid w:val="003B567E"/>
    <w:rsid w:val="003B7384"/>
    <w:rsid w:val="003D086F"/>
    <w:rsid w:val="003D0BFE"/>
    <w:rsid w:val="003D5700"/>
    <w:rsid w:val="003D6572"/>
    <w:rsid w:val="003D6B82"/>
    <w:rsid w:val="003E26F9"/>
    <w:rsid w:val="003E4879"/>
    <w:rsid w:val="003E55D1"/>
    <w:rsid w:val="003E6572"/>
    <w:rsid w:val="003E739E"/>
    <w:rsid w:val="003F5609"/>
    <w:rsid w:val="00400412"/>
    <w:rsid w:val="00404EE0"/>
    <w:rsid w:val="0040545B"/>
    <w:rsid w:val="004059D0"/>
    <w:rsid w:val="004116CD"/>
    <w:rsid w:val="00411903"/>
    <w:rsid w:val="004213DF"/>
    <w:rsid w:val="00423974"/>
    <w:rsid w:val="00424CA9"/>
    <w:rsid w:val="00441EBF"/>
    <w:rsid w:val="004425DD"/>
    <w:rsid w:val="0044291A"/>
    <w:rsid w:val="00481B45"/>
    <w:rsid w:val="004827C7"/>
    <w:rsid w:val="00484A23"/>
    <w:rsid w:val="004945F7"/>
    <w:rsid w:val="00496F97"/>
    <w:rsid w:val="004B71A2"/>
    <w:rsid w:val="004D1B41"/>
    <w:rsid w:val="004E11C1"/>
    <w:rsid w:val="004E27EB"/>
    <w:rsid w:val="004E308E"/>
    <w:rsid w:val="004E5543"/>
    <w:rsid w:val="004F41F0"/>
    <w:rsid w:val="004F5E0D"/>
    <w:rsid w:val="00500739"/>
    <w:rsid w:val="0050090A"/>
    <w:rsid w:val="00500F18"/>
    <w:rsid w:val="005136E7"/>
    <w:rsid w:val="00516B8D"/>
    <w:rsid w:val="00520032"/>
    <w:rsid w:val="0053632D"/>
    <w:rsid w:val="00537FBC"/>
    <w:rsid w:val="00550026"/>
    <w:rsid w:val="005510A3"/>
    <w:rsid w:val="005603B7"/>
    <w:rsid w:val="00572274"/>
    <w:rsid w:val="00576AAB"/>
    <w:rsid w:val="00577133"/>
    <w:rsid w:val="00584811"/>
    <w:rsid w:val="005905B6"/>
    <w:rsid w:val="005937F7"/>
    <w:rsid w:val="00593AA6"/>
    <w:rsid w:val="00594161"/>
    <w:rsid w:val="00594749"/>
    <w:rsid w:val="00597891"/>
    <w:rsid w:val="005B4067"/>
    <w:rsid w:val="005B4891"/>
    <w:rsid w:val="005C3F41"/>
    <w:rsid w:val="005C7425"/>
    <w:rsid w:val="005E0F1B"/>
    <w:rsid w:val="005E4A8A"/>
    <w:rsid w:val="00600219"/>
    <w:rsid w:val="006017E9"/>
    <w:rsid w:val="00616889"/>
    <w:rsid w:val="00617146"/>
    <w:rsid w:val="00625430"/>
    <w:rsid w:val="00626BDC"/>
    <w:rsid w:val="0065438C"/>
    <w:rsid w:val="006555CD"/>
    <w:rsid w:val="0066157C"/>
    <w:rsid w:val="006616D1"/>
    <w:rsid w:val="006736BE"/>
    <w:rsid w:val="00677CC2"/>
    <w:rsid w:val="0068061C"/>
    <w:rsid w:val="00685EA8"/>
    <w:rsid w:val="00687B04"/>
    <w:rsid w:val="0069207B"/>
    <w:rsid w:val="00694136"/>
    <w:rsid w:val="00694425"/>
    <w:rsid w:val="006B09D3"/>
    <w:rsid w:val="006B7226"/>
    <w:rsid w:val="006C7F8C"/>
    <w:rsid w:val="006D4557"/>
    <w:rsid w:val="006E0CDA"/>
    <w:rsid w:val="006E6B16"/>
    <w:rsid w:val="006E73F0"/>
    <w:rsid w:val="006F1F29"/>
    <w:rsid w:val="006F2F8A"/>
    <w:rsid w:val="00700B2C"/>
    <w:rsid w:val="0070585C"/>
    <w:rsid w:val="00707126"/>
    <w:rsid w:val="007074A4"/>
    <w:rsid w:val="007122F4"/>
    <w:rsid w:val="00713084"/>
    <w:rsid w:val="00714901"/>
    <w:rsid w:val="00720F05"/>
    <w:rsid w:val="007252F6"/>
    <w:rsid w:val="00726D92"/>
    <w:rsid w:val="00731E00"/>
    <w:rsid w:val="007358ED"/>
    <w:rsid w:val="00736731"/>
    <w:rsid w:val="007440B7"/>
    <w:rsid w:val="007470EA"/>
    <w:rsid w:val="00747E97"/>
    <w:rsid w:val="00754744"/>
    <w:rsid w:val="007600EA"/>
    <w:rsid w:val="00763293"/>
    <w:rsid w:val="007715C9"/>
    <w:rsid w:val="00773D0D"/>
    <w:rsid w:val="00774653"/>
    <w:rsid w:val="00774EDD"/>
    <w:rsid w:val="007757EC"/>
    <w:rsid w:val="00786926"/>
    <w:rsid w:val="007A15DA"/>
    <w:rsid w:val="007B1623"/>
    <w:rsid w:val="007B497E"/>
    <w:rsid w:val="007E7AE2"/>
    <w:rsid w:val="007F1C1D"/>
    <w:rsid w:val="007F2489"/>
    <w:rsid w:val="007F5042"/>
    <w:rsid w:val="00802845"/>
    <w:rsid w:val="008137C1"/>
    <w:rsid w:val="00821889"/>
    <w:rsid w:val="008262D9"/>
    <w:rsid w:val="008425BE"/>
    <w:rsid w:val="008543CC"/>
    <w:rsid w:val="008561DC"/>
    <w:rsid w:val="00856A31"/>
    <w:rsid w:val="00861DB7"/>
    <w:rsid w:val="00873F2A"/>
    <w:rsid w:val="008754D0"/>
    <w:rsid w:val="00896F09"/>
    <w:rsid w:val="008A48D3"/>
    <w:rsid w:val="008A663D"/>
    <w:rsid w:val="008C2E49"/>
    <w:rsid w:val="008D0BD8"/>
    <w:rsid w:val="008D0EE0"/>
    <w:rsid w:val="008D2462"/>
    <w:rsid w:val="008E7A08"/>
    <w:rsid w:val="008E7E02"/>
    <w:rsid w:val="008F054F"/>
    <w:rsid w:val="008F52DA"/>
    <w:rsid w:val="008F5906"/>
    <w:rsid w:val="00912048"/>
    <w:rsid w:val="00917547"/>
    <w:rsid w:val="00932377"/>
    <w:rsid w:val="00932C43"/>
    <w:rsid w:val="00934B65"/>
    <w:rsid w:val="00940832"/>
    <w:rsid w:val="00942ED7"/>
    <w:rsid w:val="0094732E"/>
    <w:rsid w:val="00971DEC"/>
    <w:rsid w:val="00973794"/>
    <w:rsid w:val="009770C6"/>
    <w:rsid w:val="00977833"/>
    <w:rsid w:val="009A446A"/>
    <w:rsid w:val="009A785E"/>
    <w:rsid w:val="009B00E9"/>
    <w:rsid w:val="009D3FF9"/>
    <w:rsid w:val="009E4B74"/>
    <w:rsid w:val="00A171C4"/>
    <w:rsid w:val="00A22F2A"/>
    <w:rsid w:val="00A231E2"/>
    <w:rsid w:val="00A3569B"/>
    <w:rsid w:val="00A363B5"/>
    <w:rsid w:val="00A42175"/>
    <w:rsid w:val="00A42CB4"/>
    <w:rsid w:val="00A509CE"/>
    <w:rsid w:val="00A556DF"/>
    <w:rsid w:val="00A63CF6"/>
    <w:rsid w:val="00A64912"/>
    <w:rsid w:val="00A6494C"/>
    <w:rsid w:val="00A70A74"/>
    <w:rsid w:val="00A85268"/>
    <w:rsid w:val="00A85E93"/>
    <w:rsid w:val="00A901EB"/>
    <w:rsid w:val="00A907FB"/>
    <w:rsid w:val="00A94E08"/>
    <w:rsid w:val="00A97B3D"/>
    <w:rsid w:val="00AA2BC6"/>
    <w:rsid w:val="00AA711D"/>
    <w:rsid w:val="00AB262B"/>
    <w:rsid w:val="00AD5641"/>
    <w:rsid w:val="00AE54BC"/>
    <w:rsid w:val="00AF4735"/>
    <w:rsid w:val="00B07441"/>
    <w:rsid w:val="00B11814"/>
    <w:rsid w:val="00B16EBB"/>
    <w:rsid w:val="00B17103"/>
    <w:rsid w:val="00B17622"/>
    <w:rsid w:val="00B33B3C"/>
    <w:rsid w:val="00B3730E"/>
    <w:rsid w:val="00B4328C"/>
    <w:rsid w:val="00B5023D"/>
    <w:rsid w:val="00B52972"/>
    <w:rsid w:val="00B624E9"/>
    <w:rsid w:val="00B63B89"/>
    <w:rsid w:val="00B81398"/>
    <w:rsid w:val="00B85F47"/>
    <w:rsid w:val="00BA0E6C"/>
    <w:rsid w:val="00BA0FC0"/>
    <w:rsid w:val="00BA23F6"/>
    <w:rsid w:val="00BA3531"/>
    <w:rsid w:val="00BC5D22"/>
    <w:rsid w:val="00BD6F19"/>
    <w:rsid w:val="00BE2231"/>
    <w:rsid w:val="00BE719A"/>
    <w:rsid w:val="00BE720A"/>
    <w:rsid w:val="00BF0122"/>
    <w:rsid w:val="00C00CBF"/>
    <w:rsid w:val="00C0540A"/>
    <w:rsid w:val="00C1020A"/>
    <w:rsid w:val="00C11EBC"/>
    <w:rsid w:val="00C21790"/>
    <w:rsid w:val="00C259C6"/>
    <w:rsid w:val="00C26A6E"/>
    <w:rsid w:val="00C42BF8"/>
    <w:rsid w:val="00C44757"/>
    <w:rsid w:val="00C50043"/>
    <w:rsid w:val="00C54005"/>
    <w:rsid w:val="00C63D01"/>
    <w:rsid w:val="00C7477D"/>
    <w:rsid w:val="00C7573B"/>
    <w:rsid w:val="00C83CAC"/>
    <w:rsid w:val="00C97E7A"/>
    <w:rsid w:val="00CA1E49"/>
    <w:rsid w:val="00CC1FC9"/>
    <w:rsid w:val="00CC3BBC"/>
    <w:rsid w:val="00CC67EE"/>
    <w:rsid w:val="00CE25D2"/>
    <w:rsid w:val="00CE5B0B"/>
    <w:rsid w:val="00CE7C23"/>
    <w:rsid w:val="00CF0BB2"/>
    <w:rsid w:val="00CF182B"/>
    <w:rsid w:val="00D02569"/>
    <w:rsid w:val="00D03B15"/>
    <w:rsid w:val="00D1077D"/>
    <w:rsid w:val="00D12A4E"/>
    <w:rsid w:val="00D13441"/>
    <w:rsid w:val="00D31BF6"/>
    <w:rsid w:val="00D32060"/>
    <w:rsid w:val="00D70DFB"/>
    <w:rsid w:val="00D71653"/>
    <w:rsid w:val="00D766DF"/>
    <w:rsid w:val="00D85830"/>
    <w:rsid w:val="00DA59B3"/>
    <w:rsid w:val="00DA7236"/>
    <w:rsid w:val="00DE22CD"/>
    <w:rsid w:val="00DE7100"/>
    <w:rsid w:val="00E0133E"/>
    <w:rsid w:val="00E02EA5"/>
    <w:rsid w:val="00E05704"/>
    <w:rsid w:val="00E05CB5"/>
    <w:rsid w:val="00E10449"/>
    <w:rsid w:val="00E1440A"/>
    <w:rsid w:val="00E23852"/>
    <w:rsid w:val="00E24762"/>
    <w:rsid w:val="00E33DB9"/>
    <w:rsid w:val="00E345BF"/>
    <w:rsid w:val="00E45195"/>
    <w:rsid w:val="00E45C79"/>
    <w:rsid w:val="00E63306"/>
    <w:rsid w:val="00E72406"/>
    <w:rsid w:val="00E74DC7"/>
    <w:rsid w:val="00E85400"/>
    <w:rsid w:val="00EA5677"/>
    <w:rsid w:val="00EA5EB7"/>
    <w:rsid w:val="00EE7EFE"/>
    <w:rsid w:val="00EF2E3A"/>
    <w:rsid w:val="00F078DC"/>
    <w:rsid w:val="00F14FC6"/>
    <w:rsid w:val="00F16F99"/>
    <w:rsid w:val="00F3493F"/>
    <w:rsid w:val="00F41987"/>
    <w:rsid w:val="00F6289E"/>
    <w:rsid w:val="00F81A13"/>
    <w:rsid w:val="00F906A2"/>
    <w:rsid w:val="00FA2EC4"/>
    <w:rsid w:val="00FA43A2"/>
    <w:rsid w:val="00FA6A86"/>
    <w:rsid w:val="00FB2D88"/>
    <w:rsid w:val="00FC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0F05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5B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5BF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5BF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5B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5BF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5BF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5BF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5BF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5BF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20F05"/>
  </w:style>
  <w:style w:type="paragraph" w:customStyle="1" w:styleId="OPCParaBase">
    <w:name w:val="OPCParaBase"/>
    <w:qFormat/>
    <w:rsid w:val="00720F05"/>
    <w:pPr>
      <w:spacing w:line="260" w:lineRule="atLeast"/>
    </w:pPr>
    <w:rPr>
      <w:rFonts w:eastAsia="Times New Roman"/>
      <w:sz w:val="22"/>
    </w:rPr>
  </w:style>
  <w:style w:type="paragraph" w:customStyle="1" w:styleId="ShortT">
    <w:name w:val="ShortT"/>
    <w:basedOn w:val="OPCParaBase"/>
    <w:next w:val="Normal"/>
    <w:qFormat/>
    <w:rsid w:val="00720F0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20F0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20F0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20F0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20F0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20F0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20F0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20F0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20F0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20F0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20F05"/>
  </w:style>
  <w:style w:type="paragraph" w:customStyle="1" w:styleId="Blocks">
    <w:name w:val="Blocks"/>
    <w:aliases w:val="bb"/>
    <w:basedOn w:val="OPCParaBase"/>
    <w:qFormat/>
    <w:rsid w:val="00720F0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20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20F0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20F05"/>
    <w:rPr>
      <w:i/>
    </w:rPr>
  </w:style>
  <w:style w:type="paragraph" w:customStyle="1" w:styleId="BoxList">
    <w:name w:val="BoxList"/>
    <w:aliases w:val="bl"/>
    <w:basedOn w:val="BoxText"/>
    <w:qFormat/>
    <w:rsid w:val="00720F0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20F0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20F0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20F05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720F05"/>
  </w:style>
  <w:style w:type="character" w:customStyle="1" w:styleId="CharAmPartText">
    <w:name w:val="CharAmPartText"/>
    <w:basedOn w:val="OPCCharBase"/>
    <w:uiPriority w:val="1"/>
    <w:qFormat/>
    <w:rsid w:val="00720F05"/>
  </w:style>
  <w:style w:type="character" w:customStyle="1" w:styleId="CharAmSchNo">
    <w:name w:val="CharAmSchNo"/>
    <w:basedOn w:val="OPCCharBase"/>
    <w:uiPriority w:val="1"/>
    <w:qFormat/>
    <w:rsid w:val="00720F05"/>
  </w:style>
  <w:style w:type="character" w:customStyle="1" w:styleId="CharAmSchText">
    <w:name w:val="CharAmSchText"/>
    <w:basedOn w:val="OPCCharBase"/>
    <w:uiPriority w:val="1"/>
    <w:qFormat/>
    <w:rsid w:val="00720F05"/>
  </w:style>
  <w:style w:type="character" w:customStyle="1" w:styleId="CharBoldItalic">
    <w:name w:val="CharBoldItalic"/>
    <w:basedOn w:val="OPCCharBase"/>
    <w:uiPriority w:val="1"/>
    <w:qFormat/>
    <w:rsid w:val="00720F05"/>
    <w:rPr>
      <w:b/>
      <w:i/>
    </w:rPr>
  </w:style>
  <w:style w:type="character" w:customStyle="1" w:styleId="CharChapNo">
    <w:name w:val="CharChapNo"/>
    <w:basedOn w:val="OPCCharBase"/>
    <w:uiPriority w:val="1"/>
    <w:qFormat/>
    <w:rsid w:val="00720F05"/>
  </w:style>
  <w:style w:type="character" w:customStyle="1" w:styleId="CharChapText">
    <w:name w:val="CharChapText"/>
    <w:basedOn w:val="OPCCharBase"/>
    <w:uiPriority w:val="1"/>
    <w:qFormat/>
    <w:rsid w:val="00720F05"/>
  </w:style>
  <w:style w:type="character" w:customStyle="1" w:styleId="CharDivNo">
    <w:name w:val="CharDivNo"/>
    <w:basedOn w:val="OPCCharBase"/>
    <w:uiPriority w:val="1"/>
    <w:qFormat/>
    <w:rsid w:val="00720F05"/>
  </w:style>
  <w:style w:type="character" w:customStyle="1" w:styleId="CharDivText">
    <w:name w:val="CharDivText"/>
    <w:basedOn w:val="OPCCharBase"/>
    <w:uiPriority w:val="1"/>
    <w:qFormat/>
    <w:rsid w:val="00720F05"/>
  </w:style>
  <w:style w:type="character" w:customStyle="1" w:styleId="CharItalic">
    <w:name w:val="CharItalic"/>
    <w:basedOn w:val="OPCCharBase"/>
    <w:uiPriority w:val="1"/>
    <w:qFormat/>
    <w:rsid w:val="00720F05"/>
    <w:rPr>
      <w:i/>
    </w:rPr>
  </w:style>
  <w:style w:type="character" w:customStyle="1" w:styleId="CharPartNo">
    <w:name w:val="CharPartNo"/>
    <w:basedOn w:val="OPCCharBase"/>
    <w:uiPriority w:val="1"/>
    <w:qFormat/>
    <w:rsid w:val="00720F05"/>
  </w:style>
  <w:style w:type="character" w:customStyle="1" w:styleId="CharPartText">
    <w:name w:val="CharPartText"/>
    <w:basedOn w:val="OPCCharBase"/>
    <w:uiPriority w:val="1"/>
    <w:qFormat/>
    <w:rsid w:val="00720F05"/>
  </w:style>
  <w:style w:type="character" w:customStyle="1" w:styleId="CharSectno">
    <w:name w:val="CharSectno"/>
    <w:basedOn w:val="OPCCharBase"/>
    <w:uiPriority w:val="1"/>
    <w:qFormat/>
    <w:rsid w:val="00720F05"/>
  </w:style>
  <w:style w:type="character" w:customStyle="1" w:styleId="CharSubdNo">
    <w:name w:val="CharSubdNo"/>
    <w:basedOn w:val="OPCCharBase"/>
    <w:uiPriority w:val="1"/>
    <w:qFormat/>
    <w:rsid w:val="00720F05"/>
  </w:style>
  <w:style w:type="character" w:customStyle="1" w:styleId="CharSubdText">
    <w:name w:val="CharSubdText"/>
    <w:basedOn w:val="OPCCharBase"/>
    <w:uiPriority w:val="1"/>
    <w:qFormat/>
    <w:rsid w:val="00720F05"/>
  </w:style>
  <w:style w:type="paragraph" w:customStyle="1" w:styleId="CTA--">
    <w:name w:val="CTA --"/>
    <w:basedOn w:val="OPCParaBase"/>
    <w:next w:val="Normal"/>
    <w:rsid w:val="00720F0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20F0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20F0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20F0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20F0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20F0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20F0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20F0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20F0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20F0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20F0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20F0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20F0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20F0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20F0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20F0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20F0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20F0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20F0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20F0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20F0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720F0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720F0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20F0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20F0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20F05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20F0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20F0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20F0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20F0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20F0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720F05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720F0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20F0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20F0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20F0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20F0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20F0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20F0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20F0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20F0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20F0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20F0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20F0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20F0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20F0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20F0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20F0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20F0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20F0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20F0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20F0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20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20F0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20F0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20F0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20F0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20F0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720F0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20F0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20F05"/>
    <w:pPr>
      <w:keepLines/>
      <w:tabs>
        <w:tab w:val="righ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720F0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20F0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20F0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720F0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20F0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20F0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20F0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20F0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20F0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20F0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720F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F05"/>
    <w:rPr>
      <w:sz w:val="22"/>
    </w:rPr>
  </w:style>
  <w:style w:type="paragraph" w:customStyle="1" w:styleId="Page1Pam">
    <w:name w:val="Page1Pam"/>
    <w:basedOn w:val="OPCParaBase"/>
    <w:next w:val="ShortT"/>
    <w:rsid w:val="00720F05"/>
    <w:pPr>
      <w:spacing w:before="1600" w:line="240" w:lineRule="auto"/>
    </w:pPr>
  </w:style>
  <w:style w:type="character" w:styleId="LineNumber">
    <w:name w:val="line number"/>
    <w:basedOn w:val="OPCCharBase"/>
    <w:uiPriority w:val="99"/>
    <w:semiHidden/>
    <w:unhideWhenUsed/>
    <w:rsid w:val="00720F05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455B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5BF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5BF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5BF"/>
    <w:rPr>
      <w:rFonts w:ascii="Cambria" w:eastAsia="Times New Roman" w:hAnsi="Cambria" w:cs="Times New Roman"/>
      <w:color w:val="243F60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5BF"/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5BF"/>
    <w:rPr>
      <w:rFonts w:ascii="Cambria" w:eastAsia="Times New Roman" w:hAnsi="Cambria" w:cs="Times New Roman"/>
      <w:i/>
      <w:iCs/>
      <w:color w:val="40404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5BF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5BF"/>
    <w:rPr>
      <w:rFonts w:ascii="Cambria" w:eastAsia="Times New Roman" w:hAnsi="Cambria" w:cs="Times New Roman"/>
      <w:i/>
      <w:iCs/>
      <w:color w:val="404040"/>
    </w:rPr>
  </w:style>
  <w:style w:type="character" w:customStyle="1" w:styleId="subsectionChar">
    <w:name w:val="subsection Char"/>
    <w:aliases w:val="ss Char"/>
    <w:basedOn w:val="DefaultParagraphFont"/>
    <w:link w:val="subsection"/>
    <w:rsid w:val="006555CD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6555CD"/>
    <w:rPr>
      <w:rFonts w:eastAsia="Times New Roman" w:cs="Times New Roman"/>
      <w:sz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B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2007\Template.opc\Bills\bill_p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603D-7EB5-4F8D-BD2C-46DCA28E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bill_pam.dotx</Template>
  <TotalTime>0</TotalTime>
  <Pages>7</Pages>
  <Words>2138</Words>
  <Characters>12193</Characters>
  <Application>Microsoft Office Word</Application>
  <DocSecurity>6</DocSecurity>
  <PresentationFormat/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2012-04-16T00:19:00Z</dcterms:created>
  <dcterms:modified xsi:type="dcterms:W3CDTF">2012-04-16T00:19:00Z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EXPOSURE-DRAFT</vt:lpwstr>
  </property>
  <property fmtid="{D5CDD505-2E9C-101B-9397-08002B2CF9AE}" pid="3" name="ShortT">
    <vt:lpwstr/>
  </property>
  <property fmtid="{D5CDD505-2E9C-101B-9397-08002B2CF9AE}" pid="4" name="Actno">
    <vt:lpwstr/>
  </property>
  <property fmtid="{D5CDD505-2E9C-101B-9397-08002B2CF9AE}" pid="5" name="TrimID">
    <vt:lpwstr>PC:</vt:lpwstr>
  </property>
  <property fmtid="{D5CDD505-2E9C-101B-9397-08002B2CF9AE}" pid="6" name="_AdHocReviewCycleID">
    <vt:i4>1967525374</vt:i4>
  </property>
  <property fmtid="{D5CDD505-2E9C-101B-9397-08002B2CF9AE}" pid="7" name="_NewReviewCycle">
    <vt:lpwstr/>
  </property>
</Properties>
</file>