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53" w:rsidRPr="00612DE2" w:rsidRDefault="00B94564" w:rsidP="00D71653">
      <w:pPr>
        <w:pStyle w:val="Session"/>
      </w:pPr>
      <w:bookmarkStart w:id="0" w:name="_GoBack"/>
      <w:bookmarkEnd w:id="0"/>
      <w:r w:rsidRPr="00612DE2">
        <w:t>2010</w:t>
      </w:r>
      <w:r w:rsidR="00612DE2" w:rsidRPr="00612DE2">
        <w:noBreakHyphen/>
      </w:r>
      <w:r w:rsidRPr="00612DE2">
        <w:t>2011</w:t>
      </w:r>
      <w:r w:rsidR="00612DE2" w:rsidRPr="00612DE2">
        <w:noBreakHyphen/>
      </w:r>
      <w:r w:rsidRPr="00612DE2">
        <w:t>2012</w:t>
      </w:r>
    </w:p>
    <w:p w:rsidR="00D71653" w:rsidRPr="00612DE2" w:rsidRDefault="00D71653" w:rsidP="00D71653">
      <w:pPr>
        <w:rPr>
          <w:sz w:val="28"/>
        </w:rPr>
      </w:pPr>
    </w:p>
    <w:p w:rsidR="00D71653" w:rsidRPr="00612DE2" w:rsidRDefault="00D71653" w:rsidP="00E277CF">
      <w:pPr>
        <w:rPr>
          <w:sz w:val="28"/>
        </w:rPr>
      </w:pPr>
      <w:r w:rsidRPr="00612DE2">
        <w:rPr>
          <w:sz w:val="28"/>
        </w:rPr>
        <w:t>The Parliament of the</w:t>
      </w:r>
    </w:p>
    <w:p w:rsidR="00D71653" w:rsidRPr="00612DE2" w:rsidRDefault="00D71653" w:rsidP="00E277CF">
      <w:pPr>
        <w:rPr>
          <w:sz w:val="28"/>
        </w:rPr>
      </w:pPr>
      <w:r w:rsidRPr="00612DE2">
        <w:rPr>
          <w:sz w:val="28"/>
        </w:rPr>
        <w:t>Commonwealth of Australia</w:t>
      </w:r>
    </w:p>
    <w:p w:rsidR="00D71653" w:rsidRPr="00612DE2" w:rsidRDefault="00D71653" w:rsidP="00D71653">
      <w:pPr>
        <w:rPr>
          <w:sz w:val="28"/>
        </w:rPr>
      </w:pPr>
    </w:p>
    <w:p w:rsidR="00D71653" w:rsidRPr="00612DE2" w:rsidRDefault="00B104FB" w:rsidP="00D71653">
      <w:pPr>
        <w:pStyle w:val="House"/>
      </w:pPr>
      <w:r w:rsidRPr="00612DE2">
        <w:t>HOUSE OF REPRESENTATIVES</w:t>
      </w:r>
    </w:p>
    <w:p w:rsidR="00D71653" w:rsidRPr="00612DE2" w:rsidRDefault="00D71653" w:rsidP="00D71653"/>
    <w:p w:rsidR="00D71653" w:rsidRPr="00612DE2" w:rsidRDefault="00D71653" w:rsidP="00D7165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612DE2" w:rsidRPr="00E81001" w:rsidTr="00612DE2">
        <w:tc>
          <w:tcPr>
            <w:tcW w:w="7087" w:type="dxa"/>
            <w:shd w:val="clear" w:color="auto" w:fill="auto"/>
          </w:tcPr>
          <w:p w:rsidR="00612DE2" w:rsidRPr="00E81001" w:rsidRDefault="00612DE2" w:rsidP="00612DE2">
            <w:pPr>
              <w:jc w:val="center"/>
              <w:rPr>
                <w:b/>
                <w:sz w:val="26"/>
              </w:rPr>
            </w:pPr>
            <w:r w:rsidRPr="00E81001">
              <w:rPr>
                <w:b/>
                <w:sz w:val="26"/>
              </w:rPr>
              <w:t>EXPOSURE DRAFT</w:t>
            </w:r>
          </w:p>
          <w:p w:rsidR="00612DE2" w:rsidRPr="00E81001" w:rsidRDefault="00612DE2" w:rsidP="00612DE2">
            <w:pPr>
              <w:rPr>
                <w:b/>
                <w:sz w:val="20"/>
              </w:rPr>
            </w:pPr>
          </w:p>
        </w:tc>
      </w:tr>
    </w:tbl>
    <w:p w:rsidR="00612DE2" w:rsidRPr="00612DE2" w:rsidRDefault="00612DE2" w:rsidP="00612DE2">
      <w:pPr>
        <w:pStyle w:val="Page1Pam"/>
      </w:pPr>
    </w:p>
    <w:p w:rsidR="00612DE2" w:rsidRPr="00612DE2" w:rsidRDefault="00612DE2" w:rsidP="00612DE2">
      <w:pPr>
        <w:pStyle w:val="ShortT"/>
      </w:pPr>
    </w:p>
    <w:p w:rsidR="00D71653" w:rsidRPr="00612DE2" w:rsidRDefault="00B104FB" w:rsidP="00D71653">
      <w:pPr>
        <w:pStyle w:val="ShortT"/>
      </w:pPr>
      <w:r w:rsidRPr="00612DE2">
        <w:t xml:space="preserve">Consumer Credit and Corporations Legislation Amendment (Enhancements) </w:t>
      </w:r>
      <w:r w:rsidR="00932C43" w:rsidRPr="00612DE2">
        <w:t>Bill 201</w:t>
      </w:r>
      <w:r w:rsidR="00622FC4" w:rsidRPr="00612DE2">
        <w:t>1</w:t>
      </w:r>
    </w:p>
    <w:p w:rsidR="00D71653" w:rsidRPr="00612DE2" w:rsidRDefault="00D71653" w:rsidP="00D71653">
      <w:pPr>
        <w:rPr>
          <w:sz w:val="24"/>
        </w:rPr>
      </w:pPr>
    </w:p>
    <w:p w:rsidR="00D71653" w:rsidRPr="00612DE2" w:rsidRDefault="00D71653" w:rsidP="00D71653">
      <w:pPr>
        <w:rPr>
          <w:sz w:val="24"/>
        </w:rPr>
      </w:pPr>
    </w:p>
    <w:p w:rsidR="00D71653" w:rsidRPr="00612DE2" w:rsidRDefault="00D71653" w:rsidP="00D71653">
      <w:pPr>
        <w:pStyle w:val="Sponsor"/>
      </w:pPr>
      <w:r w:rsidRPr="00612DE2">
        <w:t>(Government)</w:t>
      </w:r>
    </w:p>
    <w:p w:rsidR="0031643F" w:rsidRPr="00612DE2" w:rsidRDefault="00384173" w:rsidP="0031643F">
      <w:pPr>
        <w:pStyle w:val="ParlAmend"/>
      </w:pPr>
      <w:r w:rsidRPr="00612DE2">
        <w:t>(1)</w:t>
      </w:r>
      <w:r w:rsidRPr="00612DE2">
        <w:tab/>
      </w:r>
      <w:r w:rsidR="0031643F" w:rsidRPr="00612DE2">
        <w:t>Clause</w:t>
      </w:r>
      <w:r w:rsidR="00612DE2" w:rsidRPr="00612DE2">
        <w:t> </w:t>
      </w:r>
      <w:r w:rsidR="0031643F" w:rsidRPr="00612DE2">
        <w:rPr>
          <w:color w:val="000000"/>
        </w:rPr>
        <w:t>2</w:t>
      </w:r>
      <w:r w:rsidR="0031643F" w:rsidRPr="00612DE2">
        <w:t xml:space="preserve">, page </w:t>
      </w:r>
      <w:r w:rsidR="0031643F" w:rsidRPr="00612DE2">
        <w:rPr>
          <w:color w:val="000000"/>
        </w:rPr>
        <w:t>2</w:t>
      </w:r>
      <w:r w:rsidR="0031643F" w:rsidRPr="00612DE2">
        <w:t xml:space="preserve"> (table item</w:t>
      </w:r>
      <w:r w:rsidR="00612DE2" w:rsidRPr="00612DE2">
        <w:t> </w:t>
      </w:r>
      <w:r w:rsidR="0031643F" w:rsidRPr="00612DE2">
        <w:rPr>
          <w:color w:val="000000"/>
        </w:rPr>
        <w:t>3</w:t>
      </w:r>
      <w:r w:rsidR="0031643F" w:rsidRPr="00612DE2">
        <w:t>), omit the table item, substitute:</w:t>
      </w: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1643F" w:rsidRPr="00E81001" w:rsidTr="002C5A37">
        <w:tc>
          <w:tcPr>
            <w:tcW w:w="1701" w:type="dxa"/>
            <w:shd w:val="clear" w:color="auto" w:fill="auto"/>
          </w:tcPr>
          <w:p w:rsidR="0031643F" w:rsidRPr="00612DE2" w:rsidRDefault="0031643F" w:rsidP="002C5A37">
            <w:pPr>
              <w:pStyle w:val="Tabletext"/>
            </w:pPr>
            <w:r w:rsidRPr="00612DE2">
              <w:t>3.  Schedule</w:t>
            </w:r>
            <w:r w:rsidR="00612DE2" w:rsidRPr="00612DE2">
              <w:t> </w:t>
            </w:r>
            <w:r w:rsidRPr="00612DE2">
              <w:t>4</w:t>
            </w:r>
          </w:p>
        </w:tc>
        <w:tc>
          <w:tcPr>
            <w:tcW w:w="3828" w:type="dxa"/>
            <w:shd w:val="clear" w:color="auto" w:fill="auto"/>
          </w:tcPr>
          <w:p w:rsidR="0031643F" w:rsidRPr="00612DE2" w:rsidRDefault="0031643F" w:rsidP="002C5A37">
            <w:pPr>
              <w:pStyle w:val="Tabletext"/>
            </w:pPr>
            <w:r w:rsidRPr="00612DE2">
              <w:t>1</w:t>
            </w:r>
            <w:r w:rsidR="00612DE2" w:rsidRPr="00612DE2">
              <w:t> </w:t>
            </w:r>
            <w:r w:rsidRPr="00612DE2">
              <w:t>July 2013.</w:t>
            </w:r>
          </w:p>
        </w:tc>
        <w:tc>
          <w:tcPr>
            <w:tcW w:w="1582" w:type="dxa"/>
            <w:shd w:val="clear" w:color="auto" w:fill="auto"/>
          </w:tcPr>
          <w:p w:rsidR="0031643F" w:rsidRPr="00612DE2" w:rsidRDefault="0031643F" w:rsidP="002C5A37">
            <w:pPr>
              <w:pStyle w:val="Tabletext"/>
            </w:pPr>
            <w:r w:rsidRPr="00612DE2">
              <w:t>1</w:t>
            </w:r>
            <w:r w:rsidR="00612DE2" w:rsidRPr="00612DE2">
              <w:t> </w:t>
            </w:r>
            <w:r w:rsidRPr="00612DE2">
              <w:t>July 2013</w:t>
            </w:r>
          </w:p>
        </w:tc>
      </w:tr>
    </w:tbl>
    <w:p w:rsidR="0031643F" w:rsidRPr="00612DE2" w:rsidRDefault="00612DE2" w:rsidP="0031643F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31643F" w:rsidRPr="00612DE2">
        <w:t>commencement</w:t>
      </w:r>
      <w:proofErr w:type="gramEnd"/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(2)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12</w:t>
      </w:r>
      <w:r w:rsidR="006471BB" w:rsidRPr="00612DE2">
        <w:t xml:space="preserve">, page </w:t>
      </w:r>
      <w:r w:rsidR="006471BB" w:rsidRPr="00612DE2">
        <w:rPr>
          <w:color w:val="000000"/>
        </w:rPr>
        <w:t>56 (line 14)</w:t>
      </w:r>
      <w:r w:rsidR="006471BB" w:rsidRPr="00612DE2">
        <w:t>, omit “</w:t>
      </w:r>
      <w:r w:rsidR="006471BB" w:rsidRPr="00612DE2">
        <w:rPr>
          <w:color w:val="000000"/>
        </w:rPr>
        <w:t>10% of</w:t>
      </w:r>
      <w:r w:rsidR="006471BB" w:rsidRPr="00612DE2">
        <w:t>”, substitute “</w:t>
      </w:r>
      <w:r w:rsidR="006471BB" w:rsidRPr="00612DE2">
        <w:rPr>
          <w:color w:val="000000"/>
        </w:rPr>
        <w:t>20% of</w:t>
      </w:r>
      <w:r w:rsidR="006471BB" w:rsidRPr="00612DE2">
        <w:t>”.</w:t>
      </w:r>
    </w:p>
    <w:p w:rsidR="006471BB" w:rsidRPr="00612DE2" w:rsidRDefault="00612DE2" w:rsidP="006471BB">
      <w:pPr>
        <w:pStyle w:val="noteParlAmend"/>
      </w:pPr>
      <w:r w:rsidRPr="00612DE2">
        <w:t>[</w:t>
      </w:r>
      <w:proofErr w:type="gramStart"/>
      <w:r w:rsidR="006471BB" w:rsidRPr="00612DE2">
        <w:t>small</w:t>
      </w:r>
      <w:proofErr w:type="gramEnd"/>
      <w:r w:rsidR="006471BB" w:rsidRPr="00612DE2">
        <w:t xml:space="preserve"> amount credit contract</w:t>
      </w:r>
      <w:r w:rsidRPr="00612DE2">
        <w:t>]</w:t>
      </w:r>
    </w:p>
    <w:p w:rsidR="006471BB" w:rsidRPr="00612DE2" w:rsidRDefault="00384173" w:rsidP="006471BB">
      <w:pPr>
        <w:pStyle w:val="ParlAmend"/>
      </w:pPr>
      <w:r w:rsidRPr="00612DE2">
        <w:t>(3)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12</w:t>
      </w:r>
      <w:r w:rsidR="006471BB" w:rsidRPr="00612DE2">
        <w:t xml:space="preserve">, page </w:t>
      </w:r>
      <w:r w:rsidR="006471BB" w:rsidRPr="00612DE2">
        <w:rPr>
          <w:color w:val="000000"/>
        </w:rPr>
        <w:t>56 (line 19)</w:t>
      </w:r>
      <w:r w:rsidR="006471BB" w:rsidRPr="00612DE2">
        <w:t>, omit “</w:t>
      </w:r>
      <w:r w:rsidR="006471BB" w:rsidRPr="00612DE2">
        <w:rPr>
          <w:color w:val="000000"/>
        </w:rPr>
        <w:t>2% of</w:t>
      </w:r>
      <w:r w:rsidR="006471BB" w:rsidRPr="00612DE2">
        <w:t>”, substitute “</w:t>
      </w:r>
      <w:r w:rsidR="006471BB" w:rsidRPr="00612DE2">
        <w:rPr>
          <w:color w:val="000000"/>
        </w:rPr>
        <w:t>4% of</w:t>
      </w:r>
      <w:r w:rsidR="006471BB" w:rsidRPr="00612DE2">
        <w:t>”.</w:t>
      </w:r>
    </w:p>
    <w:p w:rsidR="006471BB" w:rsidRPr="00612DE2" w:rsidRDefault="00612DE2" w:rsidP="006471BB">
      <w:pPr>
        <w:pStyle w:val="noteParlAmend"/>
      </w:pPr>
      <w:r w:rsidRPr="00612DE2">
        <w:t>[</w:t>
      </w:r>
      <w:proofErr w:type="gramStart"/>
      <w:r w:rsidR="006471BB" w:rsidRPr="00612DE2">
        <w:t>small</w:t>
      </w:r>
      <w:proofErr w:type="gramEnd"/>
      <w:r w:rsidR="006471BB" w:rsidRPr="00612DE2">
        <w:t xml:space="preserve"> amount credit contract</w:t>
      </w:r>
      <w:r w:rsidRPr="00612DE2">
        <w:t>]</w:t>
      </w:r>
    </w:p>
    <w:p w:rsidR="006471BB" w:rsidRPr="00612DE2" w:rsidRDefault="00384173" w:rsidP="006471BB">
      <w:pPr>
        <w:pStyle w:val="ParlAmend"/>
      </w:pPr>
      <w:r w:rsidRPr="00612DE2">
        <w:t>(4)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12</w:t>
      </w:r>
      <w:r w:rsidR="006471BB" w:rsidRPr="00612DE2">
        <w:t xml:space="preserve">, </w:t>
      </w:r>
      <w:proofErr w:type="gramStart"/>
      <w:r w:rsidR="006471BB" w:rsidRPr="00612DE2">
        <w:t>page</w:t>
      </w:r>
      <w:proofErr w:type="gramEnd"/>
      <w:r w:rsidR="006471BB" w:rsidRPr="00612DE2">
        <w:t xml:space="preserve"> </w:t>
      </w:r>
      <w:r w:rsidR="006471BB" w:rsidRPr="00612DE2">
        <w:rPr>
          <w:color w:val="000000"/>
        </w:rPr>
        <w:t>56 (after line 19)</w:t>
      </w:r>
      <w:r w:rsidR="006471BB" w:rsidRPr="00612DE2">
        <w:t>, at the end of section</w:t>
      </w:r>
      <w:r w:rsidR="00612DE2" w:rsidRPr="00612DE2">
        <w:t> </w:t>
      </w:r>
      <w:r w:rsidR="006471BB" w:rsidRPr="00612DE2">
        <w:rPr>
          <w:color w:val="000000"/>
        </w:rPr>
        <w:t>31A</w:t>
      </w:r>
      <w:r w:rsidR="006471BB" w:rsidRPr="00612DE2">
        <w:t>, add:</w:t>
      </w:r>
    </w:p>
    <w:p w:rsidR="006471BB" w:rsidRPr="00612DE2" w:rsidRDefault="006471BB" w:rsidP="006471BB">
      <w:pPr>
        <w:pStyle w:val="SubsectionHead"/>
      </w:pPr>
      <w:r w:rsidRPr="00612DE2">
        <w:t>Review</w:t>
      </w:r>
    </w:p>
    <w:p w:rsidR="006471BB" w:rsidRPr="00612DE2" w:rsidRDefault="006471BB" w:rsidP="006471BB">
      <w:pPr>
        <w:pStyle w:val="subsection"/>
      </w:pPr>
      <w:r w:rsidRPr="00612DE2">
        <w:tab/>
        <w:t>(4)</w:t>
      </w:r>
      <w:r w:rsidRPr="00612DE2">
        <w:tab/>
        <w:t>The Minister must cause an independent review of the operation of this section to be undertaken as soon as practicable after the end of the period of 2 years after the commencement of this section.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small</w:t>
      </w:r>
      <w:proofErr w:type="gramEnd"/>
      <w:r w:rsidR="006471BB" w:rsidRPr="00612DE2">
        <w:t xml:space="preserve"> amount credit contract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(5)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13</w:t>
      </w:r>
      <w:r w:rsidR="006471BB" w:rsidRPr="00612DE2">
        <w:t xml:space="preserve">, page </w:t>
      </w:r>
      <w:r w:rsidR="006471BB" w:rsidRPr="00612DE2">
        <w:rPr>
          <w:color w:val="000000"/>
        </w:rPr>
        <w:t>56 (line 25)</w:t>
      </w:r>
      <w:r w:rsidR="006471BB" w:rsidRPr="00612DE2">
        <w:t xml:space="preserve">, at the end of the heading to subsection </w:t>
      </w:r>
      <w:proofErr w:type="gramStart"/>
      <w:r w:rsidR="006471BB" w:rsidRPr="00612DE2">
        <w:rPr>
          <w:color w:val="000000"/>
        </w:rPr>
        <w:t>32A</w:t>
      </w:r>
      <w:r w:rsidR="006471BB" w:rsidRPr="00612DE2">
        <w:t>(</w:t>
      </w:r>
      <w:proofErr w:type="gramEnd"/>
      <w:r w:rsidR="006471BB" w:rsidRPr="00612DE2">
        <w:rPr>
          <w:color w:val="000000"/>
        </w:rPr>
        <w:t>1</w:t>
      </w:r>
      <w:r w:rsidR="006471BB" w:rsidRPr="00612DE2">
        <w:t>), add “</w:t>
      </w:r>
      <w:r w:rsidR="006471BB" w:rsidRPr="00612DE2">
        <w:rPr>
          <w:i/>
          <w:iCs/>
          <w:color w:val="000000"/>
        </w:rPr>
        <w:t>etc.</w:t>
      </w:r>
      <w:r w:rsidR="006471BB" w:rsidRPr="00612DE2">
        <w:t>”.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(6)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13</w:t>
      </w:r>
      <w:r w:rsidR="006471BB" w:rsidRPr="00612DE2">
        <w:t xml:space="preserve">, page </w:t>
      </w:r>
      <w:r w:rsidR="006471BB" w:rsidRPr="00612DE2">
        <w:rPr>
          <w:color w:val="000000"/>
        </w:rPr>
        <w:t>56 (after line 28)</w:t>
      </w:r>
      <w:r w:rsidR="006471BB" w:rsidRPr="00612DE2">
        <w:t xml:space="preserve">, after subsection </w:t>
      </w:r>
      <w:proofErr w:type="gramStart"/>
      <w:r w:rsidR="006471BB" w:rsidRPr="00612DE2">
        <w:rPr>
          <w:color w:val="000000"/>
        </w:rPr>
        <w:t>32A</w:t>
      </w:r>
      <w:r w:rsidR="006471BB" w:rsidRPr="00612DE2">
        <w:t>(</w:t>
      </w:r>
      <w:proofErr w:type="gramEnd"/>
      <w:r w:rsidR="006471BB" w:rsidRPr="00612DE2">
        <w:rPr>
          <w:color w:val="000000"/>
        </w:rPr>
        <w:t>1</w:t>
      </w:r>
      <w:r w:rsidR="006471BB" w:rsidRPr="00612DE2">
        <w:t>), insert:</w:t>
      </w:r>
    </w:p>
    <w:p w:rsidR="006471BB" w:rsidRPr="00612DE2" w:rsidRDefault="006471BB" w:rsidP="006471BB">
      <w:pPr>
        <w:pStyle w:val="subsection"/>
      </w:pPr>
      <w:r w:rsidRPr="00612DE2">
        <w:lastRenderedPageBreak/>
        <w:tab/>
        <w:t>(1A)</w:t>
      </w:r>
      <w:r w:rsidRPr="00612DE2">
        <w:tab/>
      </w:r>
      <w:proofErr w:type="gramStart"/>
      <w:r w:rsidRPr="00612DE2">
        <w:t>A</w:t>
      </w:r>
      <w:proofErr w:type="gramEnd"/>
      <w:r w:rsidRPr="00612DE2">
        <w:t xml:space="preserve"> person must not be a credit provider under a credit contract if the annual cost rate of the contract exceeds 48% at any time.</w:t>
      </w:r>
    </w:p>
    <w:p w:rsidR="006471BB" w:rsidRPr="00612DE2" w:rsidRDefault="006471BB" w:rsidP="006471BB">
      <w:pPr>
        <w:pStyle w:val="Penalty"/>
      </w:pPr>
      <w:r w:rsidRPr="00612DE2">
        <w:t>Criminal penalty:</w:t>
      </w:r>
      <w:r w:rsidRPr="00612DE2">
        <w:tab/>
        <w:t>50 penalty units.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(7)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13</w:t>
      </w:r>
      <w:r w:rsidR="006471BB" w:rsidRPr="00612DE2">
        <w:t xml:space="preserve">, page </w:t>
      </w:r>
      <w:r w:rsidR="006471BB" w:rsidRPr="00612DE2">
        <w:rPr>
          <w:color w:val="000000"/>
        </w:rPr>
        <w:t>59 (lines 1 to 22)</w:t>
      </w:r>
      <w:r w:rsidR="006471BB" w:rsidRPr="00612DE2">
        <w:t xml:space="preserve">, omit subsections </w:t>
      </w:r>
      <w:proofErr w:type="gramStart"/>
      <w:r w:rsidR="006471BB" w:rsidRPr="00612DE2">
        <w:rPr>
          <w:color w:val="000000"/>
        </w:rPr>
        <w:t>32B</w:t>
      </w:r>
      <w:r w:rsidR="006471BB" w:rsidRPr="00612DE2">
        <w:t>(</w:t>
      </w:r>
      <w:proofErr w:type="gramEnd"/>
      <w:r w:rsidR="006471BB" w:rsidRPr="00612DE2">
        <w:rPr>
          <w:color w:val="000000"/>
        </w:rPr>
        <w:t>3</w:t>
      </w:r>
      <w:r w:rsidR="006471BB" w:rsidRPr="00612DE2">
        <w:t>) and (</w:t>
      </w:r>
      <w:r w:rsidR="006471BB" w:rsidRPr="00612DE2">
        <w:rPr>
          <w:color w:val="000000"/>
        </w:rPr>
        <w:t>4</w:t>
      </w:r>
      <w:r w:rsidR="006471BB" w:rsidRPr="00612DE2">
        <w:t>), substitute:</w:t>
      </w:r>
    </w:p>
    <w:p w:rsidR="006471BB" w:rsidRPr="00612DE2" w:rsidRDefault="006471BB" w:rsidP="006471BB">
      <w:pPr>
        <w:pStyle w:val="SubsectionHead"/>
      </w:pPr>
      <w:r w:rsidRPr="00612DE2">
        <w:t>Credit cost amount</w:t>
      </w:r>
    </w:p>
    <w:p w:rsidR="006471BB" w:rsidRPr="00612DE2" w:rsidRDefault="006471BB" w:rsidP="006471BB">
      <w:pPr>
        <w:pStyle w:val="subsection"/>
      </w:pPr>
      <w:r w:rsidRPr="00612DE2">
        <w:tab/>
        <w:t>(3)</w:t>
      </w:r>
      <w:r w:rsidRPr="00612DE2">
        <w:tab/>
        <w:t>The</w:t>
      </w:r>
      <w:r w:rsidRPr="00612DE2">
        <w:rPr>
          <w:b/>
          <w:i/>
        </w:rPr>
        <w:t xml:space="preserve"> credit cost amount</w:t>
      </w:r>
      <w:r w:rsidRPr="00612DE2">
        <w:t xml:space="preserve"> for the credit contract is the amount calculated in accordance with the regulations.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(8)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t>4, item</w:t>
      </w:r>
      <w:r w:rsidR="00612DE2" w:rsidRPr="00612DE2">
        <w:t> </w:t>
      </w:r>
      <w:r w:rsidR="006471BB" w:rsidRPr="00612DE2">
        <w:t>13, page 59 (line 33), omit “under sections</w:t>
      </w:r>
      <w:r w:rsidR="00612DE2" w:rsidRPr="00612DE2">
        <w:t> </w:t>
      </w:r>
      <w:r w:rsidR="006471BB" w:rsidRPr="00612DE2">
        <w:t>180 to 182”, substitute “prescribed by the regulations”.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(9)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13</w:t>
      </w:r>
      <w:r w:rsidR="006471BB" w:rsidRPr="00612DE2">
        <w:t xml:space="preserve">, page </w:t>
      </w:r>
      <w:r w:rsidR="006471BB" w:rsidRPr="00612DE2">
        <w:rPr>
          <w:color w:val="000000"/>
        </w:rPr>
        <w:t>60 (lines 1 to 17)</w:t>
      </w:r>
      <w:r w:rsidR="006471BB" w:rsidRPr="00612DE2">
        <w:t xml:space="preserve">, omit subsection </w:t>
      </w:r>
      <w:proofErr w:type="gramStart"/>
      <w:r w:rsidR="006471BB" w:rsidRPr="00612DE2">
        <w:rPr>
          <w:color w:val="000000"/>
        </w:rPr>
        <w:t>32B</w:t>
      </w:r>
      <w:r w:rsidR="006471BB" w:rsidRPr="00612DE2">
        <w:t>(</w:t>
      </w:r>
      <w:proofErr w:type="gramEnd"/>
      <w:r w:rsidR="006471BB" w:rsidRPr="00612DE2">
        <w:rPr>
          <w:color w:val="000000"/>
        </w:rPr>
        <w:t>8</w:t>
      </w:r>
      <w:r w:rsidR="006471BB" w:rsidRPr="00612DE2">
        <w:t>).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(10)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t>4, item</w:t>
      </w:r>
      <w:r w:rsidR="00612DE2" w:rsidRPr="00612DE2">
        <w:t> </w:t>
      </w:r>
      <w:r w:rsidR="006471BB" w:rsidRPr="00612DE2">
        <w:t>15, page 61 (lines 20 and 21), omit “an amount that is twice the adjusted credit amount in relation to the contract”, substitute “the amount prescribed by the regulations”.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small</w:t>
      </w:r>
      <w:proofErr w:type="gramEnd"/>
      <w:r w:rsidR="006471BB" w:rsidRPr="00612DE2">
        <w:t xml:space="preserve"> amount credit contract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(11)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16</w:t>
      </w:r>
      <w:r w:rsidR="006471BB" w:rsidRPr="00612DE2">
        <w:t xml:space="preserve">, page </w:t>
      </w:r>
      <w:r w:rsidR="006471BB" w:rsidRPr="00612DE2">
        <w:rPr>
          <w:color w:val="000000"/>
        </w:rPr>
        <w:t>61 (line 30)</w:t>
      </w:r>
      <w:r w:rsidR="006471BB" w:rsidRPr="00612DE2">
        <w:t>, omit “</w:t>
      </w:r>
      <w:r w:rsidR="006471BB" w:rsidRPr="00612DE2">
        <w:rPr>
          <w:color w:val="000000"/>
        </w:rPr>
        <w:t xml:space="preserve">subsection </w:t>
      </w:r>
      <w:proofErr w:type="gramStart"/>
      <w:r w:rsidR="006471BB" w:rsidRPr="00612DE2">
        <w:rPr>
          <w:color w:val="000000"/>
        </w:rPr>
        <w:t>32A(</w:t>
      </w:r>
      <w:proofErr w:type="gramEnd"/>
      <w:r w:rsidR="006471BB" w:rsidRPr="00612DE2">
        <w:rPr>
          <w:color w:val="000000"/>
        </w:rPr>
        <w:t>1).</w:t>
      </w:r>
      <w:r w:rsidR="006471BB" w:rsidRPr="00612DE2">
        <w:t>”, substitute “</w:t>
      </w:r>
      <w:r w:rsidR="006471BB" w:rsidRPr="00612DE2">
        <w:rPr>
          <w:color w:val="000000"/>
        </w:rPr>
        <w:t>subsection 32A(1);</w:t>
      </w:r>
      <w:r w:rsidR="006471BB" w:rsidRPr="00612DE2">
        <w:t>”.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(12)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16</w:t>
      </w:r>
      <w:r w:rsidR="006471BB" w:rsidRPr="00612DE2">
        <w:t xml:space="preserve">, page </w:t>
      </w:r>
      <w:r w:rsidR="006471BB" w:rsidRPr="00612DE2">
        <w:rPr>
          <w:color w:val="000000"/>
        </w:rPr>
        <w:t>61 (after line 30)</w:t>
      </w:r>
      <w:r w:rsidR="006471BB" w:rsidRPr="00612DE2">
        <w:t xml:space="preserve">, after paragraph </w:t>
      </w:r>
      <w:r w:rsidR="006471BB" w:rsidRPr="00612DE2">
        <w:rPr>
          <w:color w:val="000000"/>
        </w:rPr>
        <w:t>111</w:t>
      </w:r>
      <w:r w:rsidR="006471BB" w:rsidRPr="00612DE2">
        <w:t>(</w:t>
      </w:r>
      <w:r w:rsidR="006471BB" w:rsidRPr="00612DE2">
        <w:rPr>
          <w:color w:val="000000"/>
        </w:rPr>
        <w:t>1</w:t>
      </w:r>
      <w:proofErr w:type="gramStart"/>
      <w:r w:rsidR="006471BB" w:rsidRPr="00612DE2">
        <w:t>)(</w:t>
      </w:r>
      <w:proofErr w:type="gramEnd"/>
      <w:r w:rsidR="006471BB" w:rsidRPr="00612DE2">
        <w:rPr>
          <w:color w:val="000000"/>
        </w:rPr>
        <w:t>j</w:t>
      </w:r>
      <w:r w:rsidR="006471BB" w:rsidRPr="00612DE2">
        <w:t>), insert:</w:t>
      </w:r>
    </w:p>
    <w:p w:rsidR="006471BB" w:rsidRPr="00612DE2" w:rsidRDefault="006471BB" w:rsidP="006471BB">
      <w:pPr>
        <w:pStyle w:val="paragraph"/>
      </w:pPr>
      <w:r w:rsidRPr="00612DE2">
        <w:tab/>
        <w:t>(k)</w:t>
      </w:r>
      <w:r w:rsidRPr="00612DE2">
        <w:tab/>
      </w:r>
      <w:proofErr w:type="gramStart"/>
      <w:r w:rsidRPr="00612DE2">
        <w:t>subsection</w:t>
      </w:r>
      <w:proofErr w:type="gramEnd"/>
      <w:r w:rsidRPr="00612DE2">
        <w:t xml:space="preserve"> 32A(1A).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6471BB" w:rsidRPr="00612DE2" w:rsidRDefault="00384173" w:rsidP="006471BB">
      <w:pPr>
        <w:pStyle w:val="ParlAmend"/>
      </w:pPr>
      <w:r w:rsidRPr="00612DE2">
        <w:t>(13)</w:t>
      </w:r>
      <w:r w:rsidRPr="00612DE2">
        <w:tab/>
      </w:r>
      <w:r w:rsidR="006471BB" w:rsidRPr="00612DE2">
        <w:t>Schedule</w:t>
      </w:r>
      <w:r w:rsidR="00612DE2" w:rsidRPr="00612DE2">
        <w:t> </w:t>
      </w:r>
      <w:r w:rsidR="006471BB" w:rsidRPr="00612DE2">
        <w:rPr>
          <w:color w:val="000000"/>
        </w:rPr>
        <w:t>4</w:t>
      </w:r>
      <w:r w:rsidR="006471BB" w:rsidRPr="00612DE2">
        <w:t>, item</w:t>
      </w:r>
      <w:r w:rsidR="00612DE2" w:rsidRPr="00612DE2">
        <w:t> </w:t>
      </w:r>
      <w:r w:rsidR="006471BB" w:rsidRPr="00612DE2">
        <w:rPr>
          <w:color w:val="000000"/>
        </w:rPr>
        <w:t>17</w:t>
      </w:r>
      <w:r w:rsidR="006471BB" w:rsidRPr="00612DE2">
        <w:t xml:space="preserve">, page </w:t>
      </w:r>
      <w:r w:rsidR="006471BB" w:rsidRPr="00612DE2">
        <w:rPr>
          <w:color w:val="000000"/>
        </w:rPr>
        <w:t>61 (after line 33)</w:t>
      </w:r>
      <w:r w:rsidR="006471BB" w:rsidRPr="00612DE2">
        <w:t xml:space="preserve">, after paragraph </w:t>
      </w:r>
      <w:r w:rsidR="006471BB" w:rsidRPr="00612DE2">
        <w:rPr>
          <w:color w:val="000000"/>
        </w:rPr>
        <w:t>111</w:t>
      </w:r>
      <w:r w:rsidR="006471BB" w:rsidRPr="00612DE2">
        <w:t>(</w:t>
      </w:r>
      <w:r w:rsidR="006471BB" w:rsidRPr="00612DE2">
        <w:rPr>
          <w:color w:val="000000"/>
        </w:rPr>
        <w:t>2</w:t>
      </w:r>
      <w:proofErr w:type="gramStart"/>
      <w:r w:rsidR="006471BB" w:rsidRPr="00612DE2">
        <w:t>)(</w:t>
      </w:r>
      <w:proofErr w:type="gramEnd"/>
      <w:r w:rsidR="006471BB" w:rsidRPr="00612DE2">
        <w:rPr>
          <w:color w:val="000000"/>
        </w:rPr>
        <w:t>fa</w:t>
      </w:r>
      <w:r w:rsidR="006471BB" w:rsidRPr="00612DE2">
        <w:t>), insert:</w:t>
      </w:r>
    </w:p>
    <w:p w:rsidR="006471BB" w:rsidRPr="00612DE2" w:rsidRDefault="006471BB" w:rsidP="006471BB">
      <w:pPr>
        <w:pStyle w:val="paragraph"/>
      </w:pPr>
      <w:r w:rsidRPr="00612DE2">
        <w:tab/>
        <w:t>(</w:t>
      </w:r>
      <w:proofErr w:type="gramStart"/>
      <w:r w:rsidRPr="00612DE2">
        <w:t>fb</w:t>
      </w:r>
      <w:proofErr w:type="gramEnd"/>
      <w:r w:rsidRPr="00612DE2">
        <w:t>)</w:t>
      </w:r>
      <w:r w:rsidRPr="00612DE2">
        <w:tab/>
        <w:t>subsection 32A(1A);</w:t>
      </w:r>
    </w:p>
    <w:p w:rsidR="006471BB" w:rsidRPr="00612DE2" w:rsidRDefault="00612DE2" w:rsidP="006471B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6471BB" w:rsidRPr="00612DE2">
        <w:t>annual</w:t>
      </w:r>
      <w:proofErr w:type="gramEnd"/>
      <w:r w:rsidR="006471B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p w:rsidR="00A8642B" w:rsidRPr="00612DE2" w:rsidRDefault="00384173" w:rsidP="00A8642B">
      <w:pPr>
        <w:pStyle w:val="ParlAmend"/>
      </w:pPr>
      <w:r w:rsidRPr="00612DE2">
        <w:t>(14)</w:t>
      </w:r>
      <w:r w:rsidRPr="00612DE2">
        <w:tab/>
      </w:r>
      <w:r w:rsidR="00A8642B" w:rsidRPr="00612DE2">
        <w:t>Schedule</w:t>
      </w:r>
      <w:r w:rsidR="00612DE2" w:rsidRPr="00612DE2">
        <w:t> </w:t>
      </w:r>
      <w:r w:rsidR="00A8642B" w:rsidRPr="00612DE2">
        <w:rPr>
          <w:color w:val="000000"/>
        </w:rPr>
        <w:t>6</w:t>
      </w:r>
      <w:r w:rsidR="00A8642B" w:rsidRPr="00612DE2">
        <w:t xml:space="preserve">, page </w:t>
      </w:r>
      <w:r w:rsidR="00A8642B" w:rsidRPr="00612DE2">
        <w:rPr>
          <w:color w:val="000000"/>
        </w:rPr>
        <w:t>101 (after line 4)</w:t>
      </w:r>
      <w:r w:rsidR="00A8642B" w:rsidRPr="00612DE2">
        <w:t>, at the end of Part</w:t>
      </w:r>
      <w:r w:rsidR="00612DE2" w:rsidRPr="00612DE2">
        <w:t> </w:t>
      </w:r>
      <w:r w:rsidR="00A8642B" w:rsidRPr="00612DE2">
        <w:rPr>
          <w:color w:val="000000"/>
        </w:rPr>
        <w:t>5</w:t>
      </w:r>
      <w:r w:rsidR="00A8642B" w:rsidRPr="00612DE2">
        <w:t>, add:</w:t>
      </w:r>
    </w:p>
    <w:p w:rsidR="00A8642B" w:rsidRPr="00612DE2" w:rsidRDefault="00A8642B" w:rsidP="00A8642B">
      <w:pPr>
        <w:pStyle w:val="Specialih"/>
      </w:pPr>
      <w:proofErr w:type="gramStart"/>
      <w:r w:rsidRPr="00612DE2">
        <w:t>21A  Subsection</w:t>
      </w:r>
      <w:proofErr w:type="gramEnd"/>
      <w:r w:rsidRPr="00612DE2">
        <w:t xml:space="preserve"> 32A(1A) and paragraphs 111(1)(k) and (2)(fb) of the new Credit Code</w:t>
      </w:r>
    </w:p>
    <w:p w:rsidR="00A8642B" w:rsidRPr="00612DE2" w:rsidRDefault="00A8642B" w:rsidP="00A8642B">
      <w:pPr>
        <w:pStyle w:val="Item"/>
      </w:pPr>
      <w:r w:rsidRPr="00612DE2">
        <w:t>Subsection 32A(1A) and paragraphs 111(1)(k) and (2)(fb) of the new Credit Code, as inserted by Schedule</w:t>
      </w:r>
      <w:r w:rsidR="00612DE2" w:rsidRPr="00612DE2">
        <w:t> </w:t>
      </w:r>
      <w:r w:rsidRPr="00612DE2">
        <w:t>4 to the amending Act, apply in relation to credit contracts entered into on or after the commencement of that Schedule.</w:t>
      </w:r>
    </w:p>
    <w:p w:rsidR="00A8642B" w:rsidRPr="00612DE2" w:rsidRDefault="00612DE2" w:rsidP="00A8642B">
      <w:pPr>
        <w:pStyle w:val="noteParlAmend"/>
        <w:rPr>
          <w:rFonts w:cs="Arial"/>
          <w:bCs/>
          <w:iCs/>
          <w:szCs w:val="22"/>
        </w:rPr>
      </w:pPr>
      <w:r w:rsidRPr="00612DE2">
        <w:rPr>
          <w:rFonts w:cs="Arial"/>
          <w:bCs/>
          <w:iCs/>
          <w:szCs w:val="22"/>
        </w:rPr>
        <w:t>[</w:t>
      </w:r>
      <w:proofErr w:type="gramStart"/>
      <w:r w:rsidR="00A8642B" w:rsidRPr="00612DE2">
        <w:t>annual</w:t>
      </w:r>
      <w:proofErr w:type="gramEnd"/>
      <w:r w:rsidR="00A8642B" w:rsidRPr="00612DE2">
        <w:t xml:space="preserve"> cost rate</w:t>
      </w:r>
      <w:r w:rsidRPr="00612DE2">
        <w:rPr>
          <w:rFonts w:cs="Arial"/>
          <w:bCs/>
          <w:iCs/>
          <w:szCs w:val="22"/>
        </w:rPr>
        <w:t>]</w:t>
      </w:r>
    </w:p>
    <w:sectPr w:rsidR="00A8642B" w:rsidRPr="00612DE2" w:rsidSect="00D71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1418" w:left="1418" w:header="7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37" w:rsidRDefault="002C5A37" w:rsidP="00D71653">
      <w:pPr>
        <w:spacing w:line="240" w:lineRule="auto"/>
      </w:pPr>
      <w:r>
        <w:separator/>
      </w:r>
    </w:p>
  </w:endnote>
  <w:endnote w:type="continuationSeparator" w:id="0">
    <w:p w:rsidR="002C5A37" w:rsidRDefault="002C5A37" w:rsidP="00D7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0F528D" w:rsidP="00612DE2">
    <w:pPr>
      <w:pBdr>
        <w:top w:val="single" w:sz="6" w:space="1" w:color="auto"/>
      </w:pBdr>
      <w:spacing w:before="120"/>
      <w:jc w:val="right"/>
      <w:rPr>
        <w:sz w:val="24"/>
      </w:rPr>
    </w:pPr>
    <w:r w:rsidRPr="00552A7B">
      <w:rPr>
        <w:sz w:val="24"/>
      </w:rPr>
      <w:fldChar w:fldCharType="begin"/>
    </w:r>
    <w:r w:rsidR="00D71653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5D0419">
      <w:rPr>
        <w:noProof/>
        <w:sz w:val="24"/>
      </w:rPr>
      <w:t>3</w:t>
    </w:r>
    <w:r w:rsidRPr="00552A7B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0F528D" w:rsidP="00612DE2">
    <w:pPr>
      <w:pBdr>
        <w:top w:val="single" w:sz="6" w:space="1" w:color="auto"/>
      </w:pBdr>
      <w:spacing w:before="120"/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805pt;width:347.55pt;height:26.95pt;z-index:-251657216;mso-position-horizontal:center;mso-position-vertical-relative:page" stroked="f">
          <v:textbox>
            <w:txbxContent>
              <w:p w:rsidR="00E25CCB" w:rsidRPr="00E25CCB" w:rsidRDefault="000F528D" w:rsidP="00E25CCB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DF7293" w:rsidRPr="00DF7293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E25CCB" w:rsidRPr="00E25CCB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Pr="00552A7B">
      <w:rPr>
        <w:sz w:val="24"/>
      </w:rPr>
      <w:fldChar w:fldCharType="begin"/>
    </w:r>
    <w:r w:rsidR="00D71653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D63E44">
      <w:rPr>
        <w:noProof/>
        <w:sz w:val="24"/>
      </w:rPr>
      <w:t>2</w:t>
    </w:r>
    <w:r w:rsidRPr="00552A7B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0F528D" w:rsidP="00612DE2">
    <w:pPr>
      <w:pBdr>
        <w:top w:val="single" w:sz="6" w:space="1" w:color="auto"/>
      </w:pBdr>
      <w:spacing w:before="120"/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805pt;width:347.55pt;height:26.95pt;z-index:-251658240;mso-position-horizontal:center;mso-position-vertical-relative:page" stroked="f">
          <v:textbox>
            <w:txbxContent>
              <w:p w:rsidR="00E25CCB" w:rsidRPr="00E25CCB" w:rsidRDefault="000F528D" w:rsidP="00E25CCB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DF7293" w:rsidRPr="00DF7293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E25CCB" w:rsidRPr="00E25CCB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Pr="00552A7B">
      <w:rPr>
        <w:sz w:val="24"/>
      </w:rPr>
      <w:fldChar w:fldCharType="begin"/>
    </w:r>
    <w:r w:rsidR="00D71653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D63E44">
      <w:rPr>
        <w:noProof/>
        <w:sz w:val="24"/>
      </w:rPr>
      <w:t>1</w:t>
    </w:r>
    <w:r w:rsidRPr="00552A7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37" w:rsidRDefault="002C5A37" w:rsidP="00D71653">
      <w:pPr>
        <w:spacing w:line="240" w:lineRule="auto"/>
      </w:pPr>
      <w:r>
        <w:separator/>
      </w:r>
    </w:p>
  </w:footnote>
  <w:footnote w:type="continuationSeparator" w:id="0">
    <w:p w:rsidR="002C5A37" w:rsidRDefault="002C5A37" w:rsidP="00D71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D71653" w:rsidP="00D71653">
    <w:pPr>
      <w:rPr>
        <w:sz w:val="24"/>
      </w:rPr>
    </w:pPr>
  </w:p>
  <w:p w:rsidR="00D71653" w:rsidRPr="00552A7B" w:rsidRDefault="00D71653" w:rsidP="00D7165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0F528D" w:rsidP="00D71653">
    <w:pPr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11.3pt;width:347.55pt;height:26.95pt;z-index:-251659264;mso-position-horizontal:center;mso-position-vertical-relative:page" stroked="f">
          <v:textbox>
            <w:txbxContent>
              <w:p w:rsidR="00E25CCB" w:rsidRPr="00E25CCB" w:rsidRDefault="000F528D" w:rsidP="00E25CCB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DF7293" w:rsidRPr="00DF7293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E25CCB" w:rsidRPr="00E25CCB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p w:rsidR="00D71653" w:rsidRPr="00552A7B" w:rsidRDefault="00D71653" w:rsidP="00D7165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53" w:rsidRPr="00552A7B" w:rsidRDefault="000F528D" w:rsidP="00D71653">
    <w:pPr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11.3pt;width:347.55pt;height:26.95pt;z-index:-251660288;mso-position-horizontal:center;mso-position-vertical-relative:page" stroked="f">
          <v:textbox>
            <w:txbxContent>
              <w:p w:rsidR="00E25CCB" w:rsidRPr="00E25CCB" w:rsidRDefault="000F528D" w:rsidP="00E25CCB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DF7293" w:rsidRPr="00DF7293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E25CCB" w:rsidRPr="00E25CCB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="00E36170">
      <w:rPr>
        <w:sz w:val="24"/>
      </w:rPr>
      <w:t>BH222.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2A5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025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98D3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5EF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32A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0A3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63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145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E6C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CC8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>
    <w:nsid w:val="77FF53DE"/>
    <w:multiLevelType w:val="hybridMultilevel"/>
    <w:tmpl w:val="516033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C86B75"/>
    <w:multiLevelType w:val="hybridMultilevel"/>
    <w:tmpl w:val="572804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212"/>
    <w:rsid w:val="000136AF"/>
    <w:rsid w:val="00014D02"/>
    <w:rsid w:val="00034CBD"/>
    <w:rsid w:val="000614BF"/>
    <w:rsid w:val="000719AC"/>
    <w:rsid w:val="00073926"/>
    <w:rsid w:val="0008213F"/>
    <w:rsid w:val="00084A62"/>
    <w:rsid w:val="000962C3"/>
    <w:rsid w:val="000D05EF"/>
    <w:rsid w:val="000D1C9D"/>
    <w:rsid w:val="000E1890"/>
    <w:rsid w:val="000F21C1"/>
    <w:rsid w:val="000F528D"/>
    <w:rsid w:val="00102C54"/>
    <w:rsid w:val="0010745C"/>
    <w:rsid w:val="00121008"/>
    <w:rsid w:val="001260AF"/>
    <w:rsid w:val="0013353D"/>
    <w:rsid w:val="00166C2F"/>
    <w:rsid w:val="001939E1"/>
    <w:rsid w:val="00194574"/>
    <w:rsid w:val="00195382"/>
    <w:rsid w:val="001C69C4"/>
    <w:rsid w:val="001E3590"/>
    <w:rsid w:val="001E6804"/>
    <w:rsid w:val="001E7407"/>
    <w:rsid w:val="001E7BB5"/>
    <w:rsid w:val="00207943"/>
    <w:rsid w:val="00240749"/>
    <w:rsid w:val="00241FC6"/>
    <w:rsid w:val="00280CF1"/>
    <w:rsid w:val="00293965"/>
    <w:rsid w:val="00297ECB"/>
    <w:rsid w:val="002C5A37"/>
    <w:rsid w:val="002D043A"/>
    <w:rsid w:val="002F289C"/>
    <w:rsid w:val="003006D8"/>
    <w:rsid w:val="00304D1F"/>
    <w:rsid w:val="0031643F"/>
    <w:rsid w:val="00323D5E"/>
    <w:rsid w:val="00334212"/>
    <w:rsid w:val="003415D3"/>
    <w:rsid w:val="00352B0F"/>
    <w:rsid w:val="0036181D"/>
    <w:rsid w:val="00366CAC"/>
    <w:rsid w:val="003837ED"/>
    <w:rsid w:val="00384173"/>
    <w:rsid w:val="00395787"/>
    <w:rsid w:val="003B6AAF"/>
    <w:rsid w:val="003D0BFE"/>
    <w:rsid w:val="003D5700"/>
    <w:rsid w:val="003D7987"/>
    <w:rsid w:val="003E55D1"/>
    <w:rsid w:val="004116CD"/>
    <w:rsid w:val="00424CA9"/>
    <w:rsid w:val="00435329"/>
    <w:rsid w:val="0044291A"/>
    <w:rsid w:val="0044511F"/>
    <w:rsid w:val="004545B5"/>
    <w:rsid w:val="0047479D"/>
    <w:rsid w:val="00476E91"/>
    <w:rsid w:val="00484A23"/>
    <w:rsid w:val="00485EE6"/>
    <w:rsid w:val="00496F97"/>
    <w:rsid w:val="00516B8D"/>
    <w:rsid w:val="005210C6"/>
    <w:rsid w:val="00521FEC"/>
    <w:rsid w:val="00526831"/>
    <w:rsid w:val="00537FBC"/>
    <w:rsid w:val="0054367C"/>
    <w:rsid w:val="005603B7"/>
    <w:rsid w:val="00571C53"/>
    <w:rsid w:val="00577133"/>
    <w:rsid w:val="00584811"/>
    <w:rsid w:val="00593AA6"/>
    <w:rsid w:val="00594161"/>
    <w:rsid w:val="00594749"/>
    <w:rsid w:val="005B4067"/>
    <w:rsid w:val="005B4891"/>
    <w:rsid w:val="005B548C"/>
    <w:rsid w:val="005C154D"/>
    <w:rsid w:val="005C3F41"/>
    <w:rsid w:val="005D0419"/>
    <w:rsid w:val="005E4A8A"/>
    <w:rsid w:val="005E7CDC"/>
    <w:rsid w:val="005E7E71"/>
    <w:rsid w:val="005F18A0"/>
    <w:rsid w:val="00600219"/>
    <w:rsid w:val="00601931"/>
    <w:rsid w:val="006019BA"/>
    <w:rsid w:val="006046C7"/>
    <w:rsid w:val="00612DE2"/>
    <w:rsid w:val="00614068"/>
    <w:rsid w:val="006220C0"/>
    <w:rsid w:val="00622FC4"/>
    <w:rsid w:val="006471BB"/>
    <w:rsid w:val="006652AB"/>
    <w:rsid w:val="00677CC2"/>
    <w:rsid w:val="00680202"/>
    <w:rsid w:val="00684C59"/>
    <w:rsid w:val="0069207B"/>
    <w:rsid w:val="00694312"/>
    <w:rsid w:val="00695816"/>
    <w:rsid w:val="006A7355"/>
    <w:rsid w:val="006A7C4C"/>
    <w:rsid w:val="006B2A6C"/>
    <w:rsid w:val="006C12A5"/>
    <w:rsid w:val="006C3453"/>
    <w:rsid w:val="006C62A3"/>
    <w:rsid w:val="006C7F8C"/>
    <w:rsid w:val="006E3719"/>
    <w:rsid w:val="00700B2C"/>
    <w:rsid w:val="00713084"/>
    <w:rsid w:val="00714CAA"/>
    <w:rsid w:val="00731E00"/>
    <w:rsid w:val="007440B7"/>
    <w:rsid w:val="007656A5"/>
    <w:rsid w:val="007658C9"/>
    <w:rsid w:val="00767E92"/>
    <w:rsid w:val="007715C9"/>
    <w:rsid w:val="00773D0D"/>
    <w:rsid w:val="00774EDD"/>
    <w:rsid w:val="007757EC"/>
    <w:rsid w:val="00776C56"/>
    <w:rsid w:val="007A4BFF"/>
    <w:rsid w:val="007B0811"/>
    <w:rsid w:val="007C6DC9"/>
    <w:rsid w:val="007C7D40"/>
    <w:rsid w:val="007E3A4E"/>
    <w:rsid w:val="00802E2C"/>
    <w:rsid w:val="00815C76"/>
    <w:rsid w:val="008242E9"/>
    <w:rsid w:val="00824B1C"/>
    <w:rsid w:val="00824BC8"/>
    <w:rsid w:val="0083090D"/>
    <w:rsid w:val="00856A31"/>
    <w:rsid w:val="00860AE9"/>
    <w:rsid w:val="008754D0"/>
    <w:rsid w:val="008941A0"/>
    <w:rsid w:val="008A3996"/>
    <w:rsid w:val="008B7E50"/>
    <w:rsid w:val="008D0EE0"/>
    <w:rsid w:val="008D6DC3"/>
    <w:rsid w:val="008E1422"/>
    <w:rsid w:val="008E3EE5"/>
    <w:rsid w:val="00922758"/>
    <w:rsid w:val="00927B94"/>
    <w:rsid w:val="00932377"/>
    <w:rsid w:val="00932C43"/>
    <w:rsid w:val="00933A83"/>
    <w:rsid w:val="009438F0"/>
    <w:rsid w:val="009536F8"/>
    <w:rsid w:val="00963364"/>
    <w:rsid w:val="009B05F7"/>
    <w:rsid w:val="009C3521"/>
    <w:rsid w:val="009C4DC1"/>
    <w:rsid w:val="009D3FF9"/>
    <w:rsid w:val="00A0620C"/>
    <w:rsid w:val="00A0669F"/>
    <w:rsid w:val="00A06C14"/>
    <w:rsid w:val="00A231E2"/>
    <w:rsid w:val="00A244EF"/>
    <w:rsid w:val="00A30C05"/>
    <w:rsid w:val="00A32CE9"/>
    <w:rsid w:val="00A32E08"/>
    <w:rsid w:val="00A50C90"/>
    <w:rsid w:val="00A61DEF"/>
    <w:rsid w:val="00A64912"/>
    <w:rsid w:val="00A70A74"/>
    <w:rsid w:val="00A7175F"/>
    <w:rsid w:val="00A8642B"/>
    <w:rsid w:val="00A8645F"/>
    <w:rsid w:val="00A941C7"/>
    <w:rsid w:val="00A97B3D"/>
    <w:rsid w:val="00AA5BCC"/>
    <w:rsid w:val="00AD5641"/>
    <w:rsid w:val="00AE010A"/>
    <w:rsid w:val="00AF5152"/>
    <w:rsid w:val="00B104FB"/>
    <w:rsid w:val="00B11814"/>
    <w:rsid w:val="00B33B3C"/>
    <w:rsid w:val="00B365F9"/>
    <w:rsid w:val="00B37584"/>
    <w:rsid w:val="00B42432"/>
    <w:rsid w:val="00B442DE"/>
    <w:rsid w:val="00B471CF"/>
    <w:rsid w:val="00B54B8C"/>
    <w:rsid w:val="00B645C3"/>
    <w:rsid w:val="00B710CA"/>
    <w:rsid w:val="00B853B3"/>
    <w:rsid w:val="00B94564"/>
    <w:rsid w:val="00BD0251"/>
    <w:rsid w:val="00BD7158"/>
    <w:rsid w:val="00BD7992"/>
    <w:rsid w:val="00BE36BF"/>
    <w:rsid w:val="00BE719A"/>
    <w:rsid w:val="00BE720A"/>
    <w:rsid w:val="00BE7267"/>
    <w:rsid w:val="00BE7AA4"/>
    <w:rsid w:val="00C00CBF"/>
    <w:rsid w:val="00C01CB7"/>
    <w:rsid w:val="00C0540A"/>
    <w:rsid w:val="00C1020A"/>
    <w:rsid w:val="00C33057"/>
    <w:rsid w:val="00C33C75"/>
    <w:rsid w:val="00C35B21"/>
    <w:rsid w:val="00C42BF8"/>
    <w:rsid w:val="00C44D28"/>
    <w:rsid w:val="00C50043"/>
    <w:rsid w:val="00C6070B"/>
    <w:rsid w:val="00C71E8E"/>
    <w:rsid w:val="00C7573B"/>
    <w:rsid w:val="00CB4724"/>
    <w:rsid w:val="00CC1FC9"/>
    <w:rsid w:val="00CC44B4"/>
    <w:rsid w:val="00CC57BE"/>
    <w:rsid w:val="00CE25D2"/>
    <w:rsid w:val="00CF0BB2"/>
    <w:rsid w:val="00CF6D0E"/>
    <w:rsid w:val="00CF778F"/>
    <w:rsid w:val="00D03E9F"/>
    <w:rsid w:val="00D13441"/>
    <w:rsid w:val="00D14CD5"/>
    <w:rsid w:val="00D22741"/>
    <w:rsid w:val="00D265E1"/>
    <w:rsid w:val="00D63E44"/>
    <w:rsid w:val="00D67231"/>
    <w:rsid w:val="00D70DFB"/>
    <w:rsid w:val="00D71653"/>
    <w:rsid w:val="00D766DF"/>
    <w:rsid w:val="00D773AB"/>
    <w:rsid w:val="00D86B2A"/>
    <w:rsid w:val="00DD6952"/>
    <w:rsid w:val="00DE4E96"/>
    <w:rsid w:val="00DF16B9"/>
    <w:rsid w:val="00DF415A"/>
    <w:rsid w:val="00DF7293"/>
    <w:rsid w:val="00E02CBB"/>
    <w:rsid w:val="00E05704"/>
    <w:rsid w:val="00E125D8"/>
    <w:rsid w:val="00E151AD"/>
    <w:rsid w:val="00E158BB"/>
    <w:rsid w:val="00E25CCB"/>
    <w:rsid w:val="00E277CF"/>
    <w:rsid w:val="00E36170"/>
    <w:rsid w:val="00E43904"/>
    <w:rsid w:val="00E519B5"/>
    <w:rsid w:val="00E541D5"/>
    <w:rsid w:val="00E74DC7"/>
    <w:rsid w:val="00E81001"/>
    <w:rsid w:val="00E849E2"/>
    <w:rsid w:val="00EC733B"/>
    <w:rsid w:val="00EF2E3A"/>
    <w:rsid w:val="00F078DC"/>
    <w:rsid w:val="00F111C5"/>
    <w:rsid w:val="00F13A3C"/>
    <w:rsid w:val="00F22715"/>
    <w:rsid w:val="00F3493F"/>
    <w:rsid w:val="00F36274"/>
    <w:rsid w:val="00F76508"/>
    <w:rsid w:val="00F8207D"/>
    <w:rsid w:val="00FA4F4F"/>
    <w:rsid w:val="00FA782D"/>
    <w:rsid w:val="00FB19AF"/>
    <w:rsid w:val="00FB2EC4"/>
    <w:rsid w:val="00FB5D71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2DE2"/>
    <w:pPr>
      <w:spacing w:line="260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2DE2"/>
  </w:style>
  <w:style w:type="paragraph" w:customStyle="1" w:styleId="OPCParaBase">
    <w:name w:val="OPCParaBase"/>
    <w:qFormat/>
    <w:rsid w:val="00612DE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612D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2D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2D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2D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2D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12D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2D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2D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2D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2D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2DE2"/>
  </w:style>
  <w:style w:type="paragraph" w:customStyle="1" w:styleId="Blocks">
    <w:name w:val="Blocks"/>
    <w:aliases w:val="bb"/>
    <w:basedOn w:val="OPCParaBase"/>
    <w:qFormat/>
    <w:rsid w:val="00612D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2D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2D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2DE2"/>
    <w:rPr>
      <w:i/>
    </w:rPr>
  </w:style>
  <w:style w:type="paragraph" w:customStyle="1" w:styleId="BoxList">
    <w:name w:val="BoxList"/>
    <w:aliases w:val="bl"/>
    <w:basedOn w:val="BoxText"/>
    <w:qFormat/>
    <w:rsid w:val="00612D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2D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2D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2D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12DE2"/>
  </w:style>
  <w:style w:type="character" w:customStyle="1" w:styleId="CharAmPartText">
    <w:name w:val="CharAmPartText"/>
    <w:basedOn w:val="OPCCharBase"/>
    <w:uiPriority w:val="1"/>
    <w:qFormat/>
    <w:rsid w:val="00612DE2"/>
  </w:style>
  <w:style w:type="character" w:customStyle="1" w:styleId="CharAmSchNo">
    <w:name w:val="CharAmSchNo"/>
    <w:basedOn w:val="OPCCharBase"/>
    <w:uiPriority w:val="1"/>
    <w:qFormat/>
    <w:rsid w:val="00612DE2"/>
  </w:style>
  <w:style w:type="character" w:customStyle="1" w:styleId="CharAmSchText">
    <w:name w:val="CharAmSchText"/>
    <w:basedOn w:val="OPCCharBase"/>
    <w:uiPriority w:val="1"/>
    <w:qFormat/>
    <w:rsid w:val="00612DE2"/>
  </w:style>
  <w:style w:type="character" w:customStyle="1" w:styleId="CharBoldItalic">
    <w:name w:val="CharBoldItalic"/>
    <w:basedOn w:val="OPCCharBase"/>
    <w:uiPriority w:val="1"/>
    <w:qFormat/>
    <w:rsid w:val="00612D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2DE2"/>
  </w:style>
  <w:style w:type="character" w:customStyle="1" w:styleId="CharChapText">
    <w:name w:val="CharChapText"/>
    <w:basedOn w:val="OPCCharBase"/>
    <w:uiPriority w:val="1"/>
    <w:qFormat/>
    <w:rsid w:val="00612DE2"/>
  </w:style>
  <w:style w:type="character" w:customStyle="1" w:styleId="CharDivNo">
    <w:name w:val="CharDivNo"/>
    <w:basedOn w:val="OPCCharBase"/>
    <w:uiPriority w:val="1"/>
    <w:qFormat/>
    <w:rsid w:val="00612DE2"/>
  </w:style>
  <w:style w:type="character" w:customStyle="1" w:styleId="CharDivText">
    <w:name w:val="CharDivText"/>
    <w:basedOn w:val="OPCCharBase"/>
    <w:uiPriority w:val="1"/>
    <w:qFormat/>
    <w:rsid w:val="00612DE2"/>
  </w:style>
  <w:style w:type="character" w:customStyle="1" w:styleId="CharItalic">
    <w:name w:val="CharItalic"/>
    <w:basedOn w:val="OPCCharBase"/>
    <w:uiPriority w:val="1"/>
    <w:qFormat/>
    <w:rsid w:val="00612DE2"/>
    <w:rPr>
      <w:i/>
    </w:rPr>
  </w:style>
  <w:style w:type="character" w:customStyle="1" w:styleId="CharPartNo">
    <w:name w:val="CharPartNo"/>
    <w:basedOn w:val="OPCCharBase"/>
    <w:uiPriority w:val="1"/>
    <w:qFormat/>
    <w:rsid w:val="00612DE2"/>
  </w:style>
  <w:style w:type="character" w:customStyle="1" w:styleId="CharPartText">
    <w:name w:val="CharPartText"/>
    <w:basedOn w:val="OPCCharBase"/>
    <w:uiPriority w:val="1"/>
    <w:qFormat/>
    <w:rsid w:val="00612DE2"/>
  </w:style>
  <w:style w:type="character" w:customStyle="1" w:styleId="CharSectno">
    <w:name w:val="CharSectno"/>
    <w:basedOn w:val="OPCCharBase"/>
    <w:uiPriority w:val="1"/>
    <w:qFormat/>
    <w:rsid w:val="00612DE2"/>
  </w:style>
  <w:style w:type="character" w:customStyle="1" w:styleId="CharSubdNo">
    <w:name w:val="CharSubdNo"/>
    <w:basedOn w:val="OPCCharBase"/>
    <w:uiPriority w:val="1"/>
    <w:qFormat/>
    <w:rsid w:val="00612DE2"/>
  </w:style>
  <w:style w:type="character" w:customStyle="1" w:styleId="CharSubdText">
    <w:name w:val="CharSubdText"/>
    <w:basedOn w:val="OPCCharBase"/>
    <w:uiPriority w:val="1"/>
    <w:qFormat/>
    <w:rsid w:val="00612DE2"/>
  </w:style>
  <w:style w:type="paragraph" w:customStyle="1" w:styleId="CTA--">
    <w:name w:val="CTA --"/>
    <w:basedOn w:val="OPCParaBase"/>
    <w:next w:val="Normal"/>
    <w:rsid w:val="00612D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2D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2D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2D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2D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2D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2D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2D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2D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2D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2D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2D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2D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2D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12D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2DE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2D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2D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2D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2D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2D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612D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12D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2D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2D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2DE2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2D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2D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2D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2D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2D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12DE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12DE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2D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2D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2D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12D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2D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2D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2D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2D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2D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2D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2D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2D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2D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2D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2D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2D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2D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2D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2D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2D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2D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2D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2D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12DE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12DE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12DE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12DE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12D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2D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2D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2D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2D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2D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12D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E2"/>
    <w:rPr>
      <w:sz w:val="22"/>
    </w:rPr>
  </w:style>
  <w:style w:type="paragraph" w:customStyle="1" w:styleId="Page1Pam">
    <w:name w:val="Page1Pam"/>
    <w:basedOn w:val="OPCParaBase"/>
    <w:next w:val="ShortT"/>
    <w:rsid w:val="00612DE2"/>
    <w:pPr>
      <w:spacing w:before="1600" w:line="240" w:lineRule="auto"/>
    </w:pPr>
  </w:style>
  <w:style w:type="character" w:styleId="LineNumber">
    <w:name w:val="line number"/>
    <w:basedOn w:val="OPCCharBase"/>
    <w:uiPriority w:val="99"/>
    <w:semiHidden/>
    <w:unhideWhenUsed/>
    <w:rsid w:val="00612DE2"/>
    <w:rPr>
      <w:sz w:val="16"/>
    </w:rPr>
  </w:style>
  <w:style w:type="paragraph" w:customStyle="1" w:styleId="Specialih">
    <w:name w:val="Special ih"/>
    <w:basedOn w:val="ItemHead"/>
    <w:link w:val="SpecialihChar"/>
    <w:rsid w:val="0054367C"/>
  </w:style>
  <w:style w:type="character" w:customStyle="1" w:styleId="SpecialihChar">
    <w:name w:val="Special ih Char"/>
    <w:basedOn w:val="DefaultParagraphFont"/>
    <w:link w:val="Specialih"/>
    <w:rsid w:val="0054367C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B5"/>
    <w:rPr>
      <w:rFonts w:ascii="Tahoma" w:hAnsi="Tahoma" w:cs="Tahoma"/>
      <w:sz w:val="16"/>
      <w:szCs w:val="16"/>
    </w:rPr>
  </w:style>
  <w:style w:type="table" w:customStyle="1" w:styleId="CFlag">
    <w:name w:val="CFlag"/>
    <w:basedOn w:val="TableNormal"/>
    <w:uiPriority w:val="99"/>
    <w:rsid w:val="00612DE2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ectionChar">
    <w:name w:val="subsection Char"/>
    <w:aliases w:val="ss Char"/>
    <w:basedOn w:val="DefaultParagraphFont"/>
    <w:link w:val="subsection"/>
    <w:rsid w:val="006471B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471B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2007\Template.opc\Bills\bill_p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2B0F-6EA8-4716-A5AE-5FDF2A92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bill_pam.dotx</Template>
  <TotalTime>0</TotalTime>
  <Pages>2</Pages>
  <Words>411</Words>
  <Characters>2348</Characters>
  <Application>Microsoft Office Word</Application>
  <DocSecurity>6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2012-02-06T23:06:00Z</cp:lastPrinted>
  <dcterms:created xsi:type="dcterms:W3CDTF">2012-04-16T00:27:00Z</dcterms:created>
  <dcterms:modified xsi:type="dcterms:W3CDTF">2012-04-16T00:27:00Z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EXPOSURE-DRAFT</vt:lpwstr>
  </property>
  <property fmtid="{D5CDD505-2E9C-101B-9397-08002B2CF9AE}" pid="3" name="ShortT">
    <vt:lpwstr/>
  </property>
  <property fmtid="{D5CDD505-2E9C-101B-9397-08002B2CF9AE}" pid="4" name="Actno">
    <vt:lpwstr/>
  </property>
  <property fmtid="{D5CDD505-2E9C-101B-9397-08002B2CF9AE}" pid="5" name="TrimID">
    <vt:lpwstr>PC:</vt:lpwstr>
  </property>
  <property fmtid="{D5CDD505-2E9C-101B-9397-08002B2CF9AE}" pid="6" name="_AdHocReviewCycleID">
    <vt:i4>1165304302</vt:i4>
  </property>
  <property fmtid="{D5CDD505-2E9C-101B-9397-08002B2CF9AE}" pid="7" name="_NewReviewCycle">
    <vt:lpwstr/>
  </property>
</Properties>
</file>