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06409104"/>
        <w:docPartObj>
          <w:docPartGallery w:val="Cover Pages"/>
          <w:docPartUnique/>
        </w:docPartObj>
      </w:sdtPr>
      <w:sdtEndPr/>
      <w:sdtContent>
        <w:p w14:paraId="71A949A5" w14:textId="77777777" w:rsidR="00A652B8" w:rsidRPr="006D0240" w:rsidRDefault="00A652B8" w:rsidP="008E6292">
          <w:r>
            <w:rPr>
              <w:noProof/>
              <w:lang w:eastAsia="zh-CN"/>
            </w:rPr>
            <w:drawing>
              <wp:anchor distT="0" distB="0" distL="114300" distR="114300" simplePos="0" relativeHeight="251658240" behindDoc="1" locked="0" layoutInCell="1" allowOverlap="1" wp14:anchorId="68CD3706" wp14:editId="383B64B8">
                <wp:simplePos x="0" y="0"/>
                <wp:positionH relativeFrom="page">
                  <wp:align>center</wp:align>
                </wp:positionH>
                <wp:positionV relativeFrom="page">
                  <wp:align>center</wp:align>
                </wp:positionV>
                <wp:extent cx="7558767" cy="10691998"/>
                <wp:effectExtent l="0" t="0" r="444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067B3CC0" w14:textId="77777777" w:rsidR="00A652B8" w:rsidRPr="006D0240" w:rsidRDefault="00A652B8" w:rsidP="001D4EAA">
          <w:pPr>
            <w:pStyle w:val="Header"/>
            <w:spacing w:after="1320"/>
            <w:jc w:val="left"/>
          </w:pPr>
        </w:p>
        <w:p w14:paraId="40D64454" w14:textId="4122AA3B" w:rsidR="00A652B8" w:rsidRPr="00A30B54" w:rsidRDefault="006B5455" w:rsidP="001D4EAA">
          <w:pPr>
            <w:pStyle w:val="Title"/>
            <w:rPr>
              <w:b w:val="0"/>
            </w:rPr>
          </w:pPr>
          <w:r w:rsidRPr="00A30B54">
            <w:rPr>
              <w:b w:val="0"/>
            </w:rPr>
            <w:t>R</w:t>
          </w:r>
          <w:r w:rsidR="00E571FE" w:rsidRPr="00A30B54">
            <w:rPr>
              <w:b w:val="0"/>
            </w:rPr>
            <w:t xml:space="preserve">eview of the </w:t>
          </w:r>
          <w:r w:rsidR="0065662D" w:rsidRPr="00A30B54">
            <w:rPr>
              <w:b w:val="0"/>
            </w:rPr>
            <w:t xml:space="preserve">Terrorism and Cyclone Insurance </w:t>
          </w:r>
          <w:r w:rsidR="00A60831" w:rsidRPr="00A30B54">
            <w:rPr>
              <w:b w:val="0"/>
            </w:rPr>
            <w:t>Act</w:t>
          </w:r>
          <w:r w:rsidR="00E571FE" w:rsidRPr="00A30B54">
            <w:rPr>
              <w:b w:val="0"/>
            </w:rPr>
            <w:t xml:space="preserve"> 2003 </w:t>
          </w:r>
          <w:r w:rsidR="00A60831" w:rsidRPr="00A30B54">
            <w:rPr>
              <w:b w:val="0"/>
            </w:rPr>
            <w:t xml:space="preserve"> </w:t>
          </w:r>
        </w:p>
        <w:p w14:paraId="7708154B" w14:textId="77777777" w:rsidR="00A652B8" w:rsidRPr="001D4EAA" w:rsidRDefault="00A652B8" w:rsidP="00082FC2">
          <w:pPr>
            <w:pStyle w:val="Subtitle"/>
            <w:spacing w:after="240"/>
          </w:pPr>
          <w:r>
            <w:t>Consultation paper</w:t>
          </w:r>
        </w:p>
        <w:p w14:paraId="0C25C2BA" w14:textId="6BFDEC95" w:rsidR="00A652B8" w:rsidRDefault="00567F1B" w:rsidP="001D4EAA">
          <w:pPr>
            <w:pStyle w:val="ReportDate"/>
            <w:rPr>
              <w:rFonts w:ascii="Rockwell" w:hAnsi="Rockwell"/>
              <w:sz w:val="24"/>
            </w:rPr>
          </w:pPr>
          <w:r>
            <w:rPr>
              <w:rStyle w:val="ReportDateChar"/>
            </w:rPr>
            <w:t>September</w:t>
          </w:r>
          <w:r w:rsidR="006A21D6">
            <w:rPr>
              <w:rStyle w:val="ReportDateChar"/>
            </w:rPr>
            <w:t xml:space="preserve"> 2025</w:t>
          </w:r>
        </w:p>
        <w:p w14:paraId="33C57D75" w14:textId="77777777" w:rsidR="00A652B8" w:rsidRDefault="00A652B8" w:rsidP="00775702">
          <w:pPr>
            <w:spacing w:after="1640"/>
          </w:pPr>
        </w:p>
        <w:p w14:paraId="3A6ABB3C" w14:textId="77777777" w:rsidR="00A652B8" w:rsidRDefault="00A652B8" w:rsidP="00775702">
          <w:pPr>
            <w:spacing w:after="1640"/>
          </w:pPr>
        </w:p>
        <w:p w14:paraId="5D533E79" w14:textId="70C3B790" w:rsidR="000E0B74" w:rsidRDefault="00A652B8" w:rsidP="00196B83">
          <w:pPr>
            <w:spacing w:before="0" w:after="160" w:line="259" w:lineRule="auto"/>
            <w:sectPr w:rsidR="000E0B74" w:rsidSect="00555D14">
              <w:pgSz w:w="11906" w:h="16838" w:code="9"/>
              <w:pgMar w:top="1843" w:right="1418" w:bottom="1418" w:left="1418" w:header="709" w:footer="709" w:gutter="0"/>
              <w:pgNumType w:fmt="lowerRoman" w:start="0"/>
              <w:cols w:space="720"/>
              <w:titlePg/>
              <w:docGrid w:linePitch="299"/>
            </w:sectPr>
          </w:pPr>
          <w:r>
            <w:br w:type="page"/>
          </w:r>
        </w:p>
      </w:sdtContent>
    </w:sdt>
    <w:p w14:paraId="5C3CA828" w14:textId="02D6B752" w:rsidR="000E0B74" w:rsidRDefault="000E0B74" w:rsidP="000E0B74">
      <w:pPr>
        <w:spacing w:before="240"/>
      </w:pPr>
      <w:r w:rsidRPr="00661BF0">
        <w:lastRenderedPageBreak/>
        <w:t xml:space="preserve">© Commonwealth of Australia </w:t>
      </w:r>
      <w:r w:rsidRPr="0083531F">
        <w:t>20</w:t>
      </w:r>
      <w:r w:rsidR="00EF2FBF" w:rsidRPr="0083531F">
        <w:t>2</w:t>
      </w:r>
      <w:r w:rsidR="00103E2F" w:rsidRPr="0083531F">
        <w:t>5</w:t>
      </w:r>
    </w:p>
    <w:p w14:paraId="1E0BF6B4" w14:textId="77777777" w:rsidR="000E0B74" w:rsidRPr="00D65E0B" w:rsidRDefault="00D65E0B" w:rsidP="000E0B74">
      <w:pPr>
        <w:tabs>
          <w:tab w:val="left" w:pos="1650"/>
        </w:tabs>
        <w:spacing w:before="240"/>
        <w:rPr>
          <w:rFonts w:cstheme="minorBidi"/>
          <w:szCs w:val="22"/>
        </w:rPr>
      </w:pPr>
      <w:r w:rsidRPr="00D65E0B">
        <w:rPr>
          <w:szCs w:val="22"/>
        </w:rPr>
        <w:t>This publication is available for your use under a</w:t>
      </w:r>
      <w:r w:rsidRPr="00D65E0B">
        <w:rPr>
          <w:rFonts w:cstheme="minorHAnsi"/>
          <w:szCs w:val="22"/>
        </w:rPr>
        <w:t xml:space="preserve"> </w:t>
      </w:r>
      <w:hyperlink r:id="rId9" w:history="1">
        <w:r w:rsidRPr="00D65E0B">
          <w:rPr>
            <w:rStyle w:val="Hyperlink"/>
            <w:szCs w:val="22"/>
          </w:rPr>
          <w:t>Creative Commons Attribution 4.0 International</w:t>
        </w:r>
      </w:hyperlink>
      <w:r w:rsidRPr="00D65E0B">
        <w:rPr>
          <w:rFonts w:cstheme="minorHAnsi"/>
          <w:szCs w:val="22"/>
        </w:rPr>
        <w:t xml:space="preserve"> </w:t>
      </w:r>
      <w:r w:rsidRPr="00D65E0B">
        <w:rPr>
          <w:szCs w:val="22"/>
        </w:rPr>
        <w:t>licence</w:t>
      </w:r>
      <w:r w:rsidR="000E0B74" w:rsidRPr="00D65E0B">
        <w:rPr>
          <w:szCs w:val="22"/>
        </w:rPr>
        <w:t xml:space="preserve">, with the exception of the Commonwealth Coat of Arms, the Treasury logo, photographs, images, </w:t>
      </w:r>
      <w:r w:rsidR="00283EEA" w:rsidRPr="004F5ACF">
        <w:t xml:space="preserve">third party materials, materials protected by a trademark, </w:t>
      </w:r>
      <w:r w:rsidR="000E0B74" w:rsidRPr="00D65E0B">
        <w:rPr>
          <w:szCs w:val="22"/>
        </w:rPr>
        <w:t xml:space="preserve">signatures and where otherwise stated. </w:t>
      </w:r>
      <w:r w:rsidRPr="00D65E0B">
        <w:rPr>
          <w:szCs w:val="22"/>
        </w:rPr>
        <w:t>The full licence terms are available from</w:t>
      </w:r>
      <w:r w:rsidRPr="00D65E0B">
        <w:rPr>
          <w:rFonts w:cstheme="minorHAnsi"/>
          <w:szCs w:val="22"/>
        </w:rPr>
        <w:t xml:space="preserve"> </w:t>
      </w:r>
      <w:hyperlink r:id="rId10" w:history="1">
        <w:r w:rsidR="00283EEA">
          <w:rPr>
            <w:rStyle w:val="Hyperlink"/>
            <w:rFonts w:cstheme="minorHAnsi"/>
            <w:szCs w:val="22"/>
          </w:rPr>
          <w:t>creativecommons.org/licenses/by/4.0/legalcode</w:t>
        </w:r>
      </w:hyperlink>
      <w:r w:rsidRPr="00D65E0B">
        <w:rPr>
          <w:rFonts w:cstheme="minorHAnsi"/>
          <w:szCs w:val="22"/>
        </w:rPr>
        <w:t>.</w:t>
      </w:r>
    </w:p>
    <w:p w14:paraId="4C0407A5" w14:textId="77777777" w:rsidR="000E0B74" w:rsidRDefault="000E0B74" w:rsidP="000E0B74">
      <w:pPr>
        <w:pStyle w:val="ChartGraphic"/>
        <w:jc w:val="left"/>
      </w:pPr>
      <w:r w:rsidRPr="00E56DFB">
        <w:rPr>
          <w:noProof/>
          <w:lang w:eastAsia="zh-CN"/>
        </w:rPr>
        <w:drawing>
          <wp:inline distT="0" distB="0" distL="0" distR="0" wp14:anchorId="6A358EB1" wp14:editId="23B005BA">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1A61DE1" w14:textId="77777777" w:rsidR="000E0B74" w:rsidRPr="006627B4" w:rsidRDefault="000E0B74" w:rsidP="000E0B74">
      <w:pPr>
        <w:tabs>
          <w:tab w:val="left" w:pos="1650"/>
        </w:tabs>
        <w:spacing w:before="240"/>
      </w:pPr>
      <w:r w:rsidRPr="006627B4">
        <w:t xml:space="preserve">Use of Treasury material </w:t>
      </w:r>
      <w:r w:rsidR="00D65E0B" w:rsidRPr="006627B4">
        <w:t>under a</w:t>
      </w:r>
      <w:r w:rsidR="00D65E0B" w:rsidRPr="00476F09">
        <w:rPr>
          <w:rFonts w:cstheme="minorHAnsi"/>
          <w:sz w:val="24"/>
          <w:szCs w:val="24"/>
        </w:rPr>
        <w:t xml:space="preserve"> </w:t>
      </w:r>
      <w:hyperlink r:id="rId12" w:history="1">
        <w:r w:rsidR="00D65E0B" w:rsidRPr="00AC102B">
          <w:rPr>
            <w:rStyle w:val="Hyperlink"/>
          </w:rPr>
          <w:t>Creative Commons Attribution 4.0 International</w:t>
        </w:r>
      </w:hyperlink>
      <w:r w:rsidR="00D65E0B" w:rsidRPr="00AC102B">
        <w:rPr>
          <w:rFonts w:ascii="Calibri" w:hAnsi="Calibri"/>
          <w:color w:val="000000"/>
        </w:rPr>
        <w:t xml:space="preserve"> </w:t>
      </w:r>
      <w:r w:rsidR="00D65E0B" w:rsidRPr="006627B4">
        <w:t xml:space="preserve">licence </w:t>
      </w:r>
      <w:r w:rsidRPr="006627B4">
        <w:t>requires you to attribute the work (but not in any way that suggests that the Treasury endorse</w:t>
      </w:r>
      <w:r>
        <w:t>s you or your use of the work).</w:t>
      </w:r>
    </w:p>
    <w:p w14:paraId="6CD531E1" w14:textId="77777777" w:rsidR="000E0B74" w:rsidRPr="00283EEA" w:rsidRDefault="000E0B74" w:rsidP="0031276E">
      <w:pPr>
        <w:spacing w:before="240"/>
        <w:rPr>
          <w:rStyle w:val="Strong"/>
        </w:rPr>
      </w:pPr>
      <w:r w:rsidRPr="00283EEA">
        <w:rPr>
          <w:rStyle w:val="Strong"/>
        </w:rPr>
        <w:t>Treasury material used ‘as supplied’.</w:t>
      </w:r>
    </w:p>
    <w:p w14:paraId="49E76938"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sidR="00283EEA">
        <w:rPr>
          <w:rFonts w:cs="Calibri Light"/>
        </w:rPr>
        <w:t>–</w:t>
      </w:r>
      <w:r>
        <w:t xml:space="preserve"> then Treasury prefers t</w:t>
      </w:r>
      <w:r w:rsidRPr="00476F09">
        <w:t xml:space="preserve">he following attribution: </w:t>
      </w:r>
    </w:p>
    <w:p w14:paraId="4DBC5326" w14:textId="77777777" w:rsidR="00283EEA" w:rsidRPr="00A13A11" w:rsidRDefault="00283EEA" w:rsidP="00283EEA">
      <w:pPr>
        <w:ind w:firstLine="720"/>
      </w:pPr>
      <w:r w:rsidRPr="00E17231">
        <w:rPr>
          <w:iCs/>
        </w:rPr>
        <w:t>Source:</w:t>
      </w:r>
      <w:r w:rsidRPr="002F1BC2">
        <w:rPr>
          <w:i/>
        </w:rPr>
        <w:t xml:space="preserve"> </w:t>
      </w:r>
      <w:r w:rsidRPr="00AC2B70">
        <w:rPr>
          <w:rStyle w:val="Emphasis"/>
        </w:rPr>
        <w:t>The Commonwealth of Australia.</w:t>
      </w:r>
    </w:p>
    <w:p w14:paraId="4CCEAF6C" w14:textId="77777777" w:rsidR="000E0B74" w:rsidRPr="00283EEA" w:rsidRDefault="000E0B74" w:rsidP="000E0B74">
      <w:pPr>
        <w:spacing w:before="240"/>
        <w:rPr>
          <w:rStyle w:val="Strong"/>
        </w:rPr>
      </w:pPr>
      <w:r w:rsidRPr="00283EEA">
        <w:rPr>
          <w:rStyle w:val="Strong"/>
        </w:rPr>
        <w:t>Derivative material</w:t>
      </w:r>
    </w:p>
    <w:p w14:paraId="302C9B2D"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3A49D820" w14:textId="77777777" w:rsidR="00283EEA" w:rsidRPr="00AC2B70" w:rsidRDefault="00283EEA" w:rsidP="00283EEA">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3DF5281B" w14:textId="77777777" w:rsidR="000E0B74" w:rsidRPr="00283EEA" w:rsidRDefault="000E0B74" w:rsidP="000E0B74">
      <w:pPr>
        <w:spacing w:before="240"/>
        <w:rPr>
          <w:rStyle w:val="Strong"/>
        </w:rPr>
      </w:pPr>
      <w:r w:rsidRPr="00283EEA">
        <w:rPr>
          <w:rStyle w:val="Strong"/>
        </w:rPr>
        <w:t>Use of the Coat of Arms</w:t>
      </w:r>
    </w:p>
    <w:p w14:paraId="01105D8B"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3" w:history="1">
        <w:r w:rsidR="00283EEA">
          <w:rPr>
            <w:rStyle w:val="Hyperlink"/>
          </w:rPr>
          <w:t>www.pmc.gov.au/government/commonwealth-coat-arms</w:t>
        </w:r>
      </w:hyperlink>
      <w:r w:rsidRPr="004A7BC2">
        <w:t>).</w:t>
      </w:r>
    </w:p>
    <w:p w14:paraId="6BE146C7" w14:textId="77777777" w:rsidR="000E0B74" w:rsidRPr="00283EEA" w:rsidRDefault="000E0B74" w:rsidP="000E0B74">
      <w:pPr>
        <w:spacing w:before="240"/>
        <w:rPr>
          <w:rStyle w:val="Strong"/>
        </w:rPr>
      </w:pPr>
      <w:r w:rsidRPr="00283EEA">
        <w:rPr>
          <w:rStyle w:val="Strong"/>
        </w:rPr>
        <w:t>Other uses</w:t>
      </w:r>
    </w:p>
    <w:p w14:paraId="3C6543B8" w14:textId="77777777" w:rsidR="000E0B74" w:rsidRPr="006627B4" w:rsidRDefault="000E0B74" w:rsidP="000E0B74">
      <w:r>
        <w:t>E</w:t>
      </w:r>
      <w:r w:rsidRPr="006627B4">
        <w:t>nquiries regarding this licence and any other use of this document are welcome at:</w:t>
      </w:r>
    </w:p>
    <w:p w14:paraId="13E3BFCA" w14:textId="77777777" w:rsidR="000E0B74" w:rsidRDefault="000E0B74" w:rsidP="000E0B74">
      <w:pPr>
        <w:ind w:left="720"/>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4" w:history="1">
        <w:r w:rsidR="004A077D" w:rsidRPr="000951A5">
          <w:rPr>
            <w:rStyle w:val="Hyperlink"/>
          </w:rPr>
          <w:t>media@treasury.gov.au</w:t>
        </w:r>
      </w:hyperlink>
      <w:r w:rsidR="004A077D">
        <w:t xml:space="preserve"> </w:t>
      </w:r>
    </w:p>
    <w:p w14:paraId="234168F9" w14:textId="77777777" w:rsidR="00746881" w:rsidRPr="00283EEA" w:rsidRDefault="00746881" w:rsidP="00746881">
      <w:pPr>
        <w:rPr>
          <w:rStyle w:val="Emphasis"/>
        </w:rPr>
      </w:pPr>
      <w:r w:rsidRPr="00283EEA">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496994" w:rsidRPr="00283EEA">
        <w:rPr>
          <w:rStyle w:val="Emphasis"/>
        </w:rPr>
        <w:t>.</w:t>
      </w:r>
    </w:p>
    <w:p w14:paraId="1F64E1F7" w14:textId="77777777" w:rsidR="00746881" w:rsidRPr="00746881" w:rsidRDefault="00746881" w:rsidP="00746881"/>
    <w:p w14:paraId="7C3D7B79" w14:textId="77777777" w:rsidR="000E0B74" w:rsidRDefault="000E0B74" w:rsidP="000E0B74">
      <w:pPr>
        <w:pStyle w:val="SingleParagraph"/>
        <w:sectPr w:rsidR="000E0B74" w:rsidSect="008043EA">
          <w:headerReference w:type="even" r:id="rId15"/>
          <w:headerReference w:type="default" r:id="rId16"/>
          <w:footerReference w:type="even" r:id="rId17"/>
          <w:pgSz w:w="11906" w:h="16838" w:code="9"/>
          <w:pgMar w:top="1843" w:right="1418" w:bottom="1418" w:left="1418" w:header="709" w:footer="709" w:gutter="0"/>
          <w:pgNumType w:fmt="lowerRoman"/>
          <w:cols w:space="708"/>
          <w:titlePg/>
          <w:docGrid w:linePitch="360"/>
        </w:sectPr>
      </w:pPr>
    </w:p>
    <w:p w14:paraId="5DB6BA61" w14:textId="261E05E0" w:rsidR="000E0B74" w:rsidRPr="00A30B54" w:rsidRDefault="000E0B74" w:rsidP="00773B26">
      <w:pPr>
        <w:pStyle w:val="Heading1"/>
        <w:tabs>
          <w:tab w:val="left" w:pos="2484"/>
        </w:tabs>
        <w:rPr>
          <w:b w:val="0"/>
        </w:rPr>
      </w:pPr>
      <w:bookmarkStart w:id="0" w:name="_Toc204349561"/>
      <w:bookmarkStart w:id="1" w:name="_Toc210055961"/>
      <w:r w:rsidRPr="00A30B54">
        <w:rPr>
          <w:b w:val="0"/>
        </w:rPr>
        <w:lastRenderedPageBreak/>
        <w:t>Contents</w:t>
      </w:r>
      <w:bookmarkEnd w:id="0"/>
      <w:bookmarkEnd w:id="1"/>
      <w:r w:rsidR="00773B26">
        <w:rPr>
          <w:b w:val="0"/>
        </w:rPr>
        <w:tab/>
      </w:r>
    </w:p>
    <w:p w14:paraId="4316EA40" w14:textId="6FAEDD80" w:rsidR="00773B26" w:rsidRDefault="00257AEE">
      <w:pPr>
        <w:pStyle w:val="TOC1"/>
        <w:rPr>
          <w:rFonts w:asciiTheme="minorHAnsi" w:eastAsiaTheme="minorEastAsia" w:hAnsiTheme="minorHAnsi" w:cstheme="minorBidi"/>
          <w:b w:val="0"/>
          <w:color w:val="auto"/>
          <w:kern w:val="2"/>
          <w:sz w:val="24"/>
          <w:szCs w:val="24"/>
          <w14:ligatures w14:val="standardContextual"/>
        </w:rPr>
      </w:pPr>
      <w:r w:rsidRPr="00BE298D">
        <w:rPr>
          <w:color w:val="2C384A" w:themeColor="accent1"/>
          <w:highlight w:val="yellow"/>
        </w:rPr>
        <w:fldChar w:fldCharType="begin"/>
      </w:r>
      <w:r w:rsidRPr="00BE298D">
        <w:rPr>
          <w:highlight w:val="yellow"/>
        </w:rPr>
        <w:instrText xml:space="preserve"> TOC \o "1-2" \h \z \t "Heading 3,3,Chart Main Heading,3,Table Main Heading,3,Heading 3 Numbered,3,Table Heading Continued,3" </w:instrText>
      </w:r>
      <w:r w:rsidRPr="00BE298D">
        <w:rPr>
          <w:color w:val="2C384A" w:themeColor="accent1"/>
          <w:highlight w:val="yellow"/>
        </w:rPr>
        <w:fldChar w:fldCharType="separate"/>
      </w:r>
      <w:hyperlink w:anchor="_Toc210055961" w:history="1">
        <w:r w:rsidR="00773B26" w:rsidRPr="001670C2">
          <w:rPr>
            <w:rStyle w:val="Hyperlink"/>
          </w:rPr>
          <w:t>Contents</w:t>
        </w:r>
        <w:r w:rsidR="00773B26">
          <w:rPr>
            <w:webHidden/>
          </w:rPr>
          <w:tab/>
        </w:r>
        <w:r w:rsidR="00773B26">
          <w:rPr>
            <w:webHidden/>
          </w:rPr>
          <w:fldChar w:fldCharType="begin"/>
        </w:r>
        <w:r w:rsidR="00773B26">
          <w:rPr>
            <w:webHidden/>
          </w:rPr>
          <w:instrText xml:space="preserve"> PAGEREF _Toc210055961 \h </w:instrText>
        </w:r>
        <w:r w:rsidR="00773B26">
          <w:rPr>
            <w:webHidden/>
          </w:rPr>
        </w:r>
        <w:r w:rsidR="00773B26">
          <w:rPr>
            <w:webHidden/>
          </w:rPr>
          <w:fldChar w:fldCharType="separate"/>
        </w:r>
        <w:r w:rsidR="00773B26">
          <w:rPr>
            <w:webHidden/>
          </w:rPr>
          <w:t>ii</w:t>
        </w:r>
        <w:r w:rsidR="00773B26">
          <w:rPr>
            <w:webHidden/>
          </w:rPr>
          <w:fldChar w:fldCharType="end"/>
        </w:r>
      </w:hyperlink>
    </w:p>
    <w:p w14:paraId="6125654D" w14:textId="42A8E203" w:rsidR="00773B26" w:rsidRDefault="00773B26">
      <w:pPr>
        <w:pStyle w:val="TOC1"/>
        <w:rPr>
          <w:rFonts w:asciiTheme="minorHAnsi" w:eastAsiaTheme="minorEastAsia" w:hAnsiTheme="minorHAnsi" w:cstheme="minorBidi"/>
          <w:b w:val="0"/>
          <w:color w:val="auto"/>
          <w:kern w:val="2"/>
          <w:sz w:val="24"/>
          <w:szCs w:val="24"/>
          <w14:ligatures w14:val="standardContextual"/>
        </w:rPr>
      </w:pPr>
      <w:hyperlink w:anchor="_Toc210055962" w:history="1">
        <w:r w:rsidRPr="001670C2">
          <w:rPr>
            <w:rStyle w:val="Hyperlink"/>
          </w:rPr>
          <w:t>Consultation process</w:t>
        </w:r>
        <w:r>
          <w:rPr>
            <w:webHidden/>
          </w:rPr>
          <w:tab/>
        </w:r>
        <w:r>
          <w:rPr>
            <w:webHidden/>
          </w:rPr>
          <w:fldChar w:fldCharType="begin"/>
        </w:r>
        <w:r>
          <w:rPr>
            <w:webHidden/>
          </w:rPr>
          <w:instrText xml:space="preserve"> PAGEREF _Toc210055962 \h </w:instrText>
        </w:r>
        <w:r>
          <w:rPr>
            <w:webHidden/>
          </w:rPr>
        </w:r>
        <w:r>
          <w:rPr>
            <w:webHidden/>
          </w:rPr>
          <w:fldChar w:fldCharType="separate"/>
        </w:r>
        <w:r>
          <w:rPr>
            <w:webHidden/>
          </w:rPr>
          <w:t>1</w:t>
        </w:r>
        <w:r>
          <w:rPr>
            <w:webHidden/>
          </w:rPr>
          <w:fldChar w:fldCharType="end"/>
        </w:r>
      </w:hyperlink>
    </w:p>
    <w:p w14:paraId="72AC22D2" w14:textId="4D3F1F65" w:rsidR="00773B26" w:rsidRDefault="00773B26">
      <w:pPr>
        <w:pStyle w:val="TOC2"/>
        <w:rPr>
          <w:rFonts w:asciiTheme="minorHAnsi" w:eastAsiaTheme="minorEastAsia" w:hAnsiTheme="minorHAnsi" w:cstheme="minorBidi"/>
          <w:color w:val="auto"/>
          <w:kern w:val="2"/>
          <w:sz w:val="24"/>
          <w:szCs w:val="24"/>
          <w14:ligatures w14:val="standardContextual"/>
        </w:rPr>
      </w:pPr>
      <w:hyperlink w:anchor="_Toc210055963" w:history="1">
        <w:r w:rsidRPr="001670C2">
          <w:rPr>
            <w:rStyle w:val="Hyperlink"/>
          </w:rPr>
          <w:t>Request for feedback and comments</w:t>
        </w:r>
        <w:r>
          <w:rPr>
            <w:webHidden/>
          </w:rPr>
          <w:tab/>
        </w:r>
        <w:r>
          <w:rPr>
            <w:webHidden/>
          </w:rPr>
          <w:fldChar w:fldCharType="begin"/>
        </w:r>
        <w:r>
          <w:rPr>
            <w:webHidden/>
          </w:rPr>
          <w:instrText xml:space="preserve"> PAGEREF _Toc210055963 \h </w:instrText>
        </w:r>
        <w:r>
          <w:rPr>
            <w:webHidden/>
          </w:rPr>
        </w:r>
        <w:r>
          <w:rPr>
            <w:webHidden/>
          </w:rPr>
          <w:fldChar w:fldCharType="separate"/>
        </w:r>
        <w:r>
          <w:rPr>
            <w:webHidden/>
          </w:rPr>
          <w:t>1</w:t>
        </w:r>
        <w:r>
          <w:rPr>
            <w:webHidden/>
          </w:rPr>
          <w:fldChar w:fldCharType="end"/>
        </w:r>
      </w:hyperlink>
    </w:p>
    <w:p w14:paraId="50C0C90D" w14:textId="3D16BBE4" w:rsidR="00773B26" w:rsidRDefault="00773B26">
      <w:pPr>
        <w:pStyle w:val="TOC3"/>
        <w:rPr>
          <w:rFonts w:asciiTheme="minorHAnsi" w:eastAsiaTheme="minorEastAsia" w:hAnsiTheme="minorHAnsi" w:cstheme="minorBidi"/>
          <w:kern w:val="2"/>
          <w:sz w:val="24"/>
          <w:szCs w:val="24"/>
          <w14:ligatures w14:val="standardContextual"/>
        </w:rPr>
      </w:pPr>
      <w:hyperlink w:anchor="_Toc210055964" w:history="1">
        <w:r w:rsidRPr="001670C2">
          <w:rPr>
            <w:rStyle w:val="Hyperlink"/>
          </w:rPr>
          <w:t>Personal information collection</w:t>
        </w:r>
        <w:r>
          <w:rPr>
            <w:webHidden/>
          </w:rPr>
          <w:tab/>
        </w:r>
        <w:r>
          <w:rPr>
            <w:webHidden/>
          </w:rPr>
          <w:fldChar w:fldCharType="begin"/>
        </w:r>
        <w:r>
          <w:rPr>
            <w:webHidden/>
          </w:rPr>
          <w:instrText xml:space="preserve"> PAGEREF _Toc210055964 \h </w:instrText>
        </w:r>
        <w:r>
          <w:rPr>
            <w:webHidden/>
          </w:rPr>
        </w:r>
        <w:r>
          <w:rPr>
            <w:webHidden/>
          </w:rPr>
          <w:fldChar w:fldCharType="separate"/>
        </w:r>
        <w:r>
          <w:rPr>
            <w:webHidden/>
          </w:rPr>
          <w:t>1</w:t>
        </w:r>
        <w:r>
          <w:rPr>
            <w:webHidden/>
          </w:rPr>
          <w:fldChar w:fldCharType="end"/>
        </w:r>
      </w:hyperlink>
    </w:p>
    <w:p w14:paraId="0EEDCDD2" w14:textId="1A4E7A42" w:rsidR="00773B26" w:rsidRDefault="00773B26">
      <w:pPr>
        <w:pStyle w:val="TOC3"/>
        <w:rPr>
          <w:rFonts w:asciiTheme="minorHAnsi" w:eastAsiaTheme="minorEastAsia" w:hAnsiTheme="minorHAnsi" w:cstheme="minorBidi"/>
          <w:kern w:val="2"/>
          <w:sz w:val="24"/>
          <w:szCs w:val="24"/>
          <w14:ligatures w14:val="standardContextual"/>
        </w:rPr>
      </w:pPr>
      <w:hyperlink w:anchor="_Toc210055965" w:history="1">
        <w:r w:rsidRPr="001670C2">
          <w:rPr>
            <w:rStyle w:val="Hyperlink"/>
          </w:rPr>
          <w:t>Converlens privacy policy</w:t>
        </w:r>
        <w:r>
          <w:rPr>
            <w:webHidden/>
          </w:rPr>
          <w:tab/>
        </w:r>
        <w:r>
          <w:rPr>
            <w:webHidden/>
          </w:rPr>
          <w:fldChar w:fldCharType="begin"/>
        </w:r>
        <w:r>
          <w:rPr>
            <w:webHidden/>
          </w:rPr>
          <w:instrText xml:space="preserve"> PAGEREF _Toc210055965 \h </w:instrText>
        </w:r>
        <w:r>
          <w:rPr>
            <w:webHidden/>
          </w:rPr>
        </w:r>
        <w:r>
          <w:rPr>
            <w:webHidden/>
          </w:rPr>
          <w:fldChar w:fldCharType="separate"/>
        </w:r>
        <w:r>
          <w:rPr>
            <w:webHidden/>
          </w:rPr>
          <w:t>2</w:t>
        </w:r>
        <w:r>
          <w:rPr>
            <w:webHidden/>
          </w:rPr>
          <w:fldChar w:fldCharType="end"/>
        </w:r>
      </w:hyperlink>
    </w:p>
    <w:p w14:paraId="53FD9973" w14:textId="4CC3C18A" w:rsidR="00773B26" w:rsidRDefault="00773B26">
      <w:pPr>
        <w:pStyle w:val="TOC3"/>
        <w:rPr>
          <w:rFonts w:asciiTheme="minorHAnsi" w:eastAsiaTheme="minorEastAsia" w:hAnsiTheme="minorHAnsi" w:cstheme="minorBidi"/>
          <w:kern w:val="2"/>
          <w:sz w:val="24"/>
          <w:szCs w:val="24"/>
          <w14:ligatures w14:val="standardContextual"/>
        </w:rPr>
      </w:pPr>
      <w:hyperlink w:anchor="_Toc210055966" w:history="1">
        <w:r w:rsidRPr="001670C2">
          <w:rPr>
            <w:rStyle w:val="Hyperlink"/>
            <w:rFonts w:eastAsia="Calibri Light"/>
          </w:rPr>
          <w:t xml:space="preserve">Closing date for submissions: 11 </w:t>
        </w:r>
        <w:r w:rsidRPr="001670C2">
          <w:rPr>
            <w:rStyle w:val="Hyperlink"/>
            <w:rFonts w:eastAsia="Calibri Light" w:cs="Calibri Light"/>
          </w:rPr>
          <w:t>November 2025</w:t>
        </w:r>
        <w:r>
          <w:rPr>
            <w:webHidden/>
          </w:rPr>
          <w:tab/>
        </w:r>
        <w:r>
          <w:rPr>
            <w:webHidden/>
          </w:rPr>
          <w:fldChar w:fldCharType="begin"/>
        </w:r>
        <w:r>
          <w:rPr>
            <w:webHidden/>
          </w:rPr>
          <w:instrText xml:space="preserve"> PAGEREF _Toc210055966 \h </w:instrText>
        </w:r>
        <w:r>
          <w:rPr>
            <w:webHidden/>
          </w:rPr>
        </w:r>
        <w:r>
          <w:rPr>
            <w:webHidden/>
          </w:rPr>
          <w:fldChar w:fldCharType="separate"/>
        </w:r>
        <w:r>
          <w:rPr>
            <w:webHidden/>
          </w:rPr>
          <w:t>2</w:t>
        </w:r>
        <w:r>
          <w:rPr>
            <w:webHidden/>
          </w:rPr>
          <w:fldChar w:fldCharType="end"/>
        </w:r>
      </w:hyperlink>
    </w:p>
    <w:p w14:paraId="42F4B867" w14:textId="14226703" w:rsidR="00773B26" w:rsidRDefault="00773B26">
      <w:pPr>
        <w:pStyle w:val="TOC1"/>
        <w:rPr>
          <w:rFonts w:asciiTheme="minorHAnsi" w:eastAsiaTheme="minorEastAsia" w:hAnsiTheme="minorHAnsi" w:cstheme="minorBidi"/>
          <w:b w:val="0"/>
          <w:color w:val="auto"/>
          <w:kern w:val="2"/>
          <w:sz w:val="24"/>
          <w:szCs w:val="24"/>
          <w14:ligatures w14:val="standardContextual"/>
        </w:rPr>
      </w:pPr>
      <w:hyperlink w:anchor="_Toc210055967" w:history="1">
        <w:r w:rsidRPr="001670C2">
          <w:rPr>
            <w:rStyle w:val="Hyperlink"/>
          </w:rPr>
          <w:t>Review of the Terrorism and Cyclone Insurance Act 2003</w:t>
        </w:r>
        <w:r>
          <w:rPr>
            <w:webHidden/>
          </w:rPr>
          <w:tab/>
        </w:r>
        <w:r>
          <w:rPr>
            <w:webHidden/>
          </w:rPr>
          <w:fldChar w:fldCharType="begin"/>
        </w:r>
        <w:r>
          <w:rPr>
            <w:webHidden/>
          </w:rPr>
          <w:instrText xml:space="preserve"> PAGEREF _Toc210055967 \h </w:instrText>
        </w:r>
        <w:r>
          <w:rPr>
            <w:webHidden/>
          </w:rPr>
        </w:r>
        <w:r>
          <w:rPr>
            <w:webHidden/>
          </w:rPr>
          <w:fldChar w:fldCharType="separate"/>
        </w:r>
        <w:r>
          <w:rPr>
            <w:webHidden/>
          </w:rPr>
          <w:t>3</w:t>
        </w:r>
        <w:r>
          <w:rPr>
            <w:webHidden/>
          </w:rPr>
          <w:fldChar w:fldCharType="end"/>
        </w:r>
      </w:hyperlink>
    </w:p>
    <w:p w14:paraId="41532946" w14:textId="138973CF" w:rsidR="00773B26" w:rsidRDefault="00773B26">
      <w:pPr>
        <w:pStyle w:val="TOC2"/>
        <w:rPr>
          <w:rFonts w:asciiTheme="minorHAnsi" w:eastAsiaTheme="minorEastAsia" w:hAnsiTheme="minorHAnsi" w:cstheme="minorBidi"/>
          <w:color w:val="auto"/>
          <w:kern w:val="2"/>
          <w:sz w:val="24"/>
          <w:szCs w:val="24"/>
          <w14:ligatures w14:val="standardContextual"/>
        </w:rPr>
      </w:pPr>
      <w:hyperlink w:anchor="_Toc210055968" w:history="1">
        <w:r w:rsidRPr="001670C2">
          <w:rPr>
            <w:rStyle w:val="Hyperlink"/>
          </w:rPr>
          <w:t>Introduction</w:t>
        </w:r>
        <w:r>
          <w:rPr>
            <w:webHidden/>
          </w:rPr>
          <w:tab/>
        </w:r>
        <w:r>
          <w:rPr>
            <w:webHidden/>
          </w:rPr>
          <w:fldChar w:fldCharType="begin"/>
        </w:r>
        <w:r>
          <w:rPr>
            <w:webHidden/>
          </w:rPr>
          <w:instrText xml:space="preserve"> PAGEREF _Toc210055968 \h </w:instrText>
        </w:r>
        <w:r>
          <w:rPr>
            <w:webHidden/>
          </w:rPr>
        </w:r>
        <w:r>
          <w:rPr>
            <w:webHidden/>
          </w:rPr>
          <w:fldChar w:fldCharType="separate"/>
        </w:r>
        <w:r>
          <w:rPr>
            <w:webHidden/>
          </w:rPr>
          <w:t>3</w:t>
        </w:r>
        <w:r>
          <w:rPr>
            <w:webHidden/>
          </w:rPr>
          <w:fldChar w:fldCharType="end"/>
        </w:r>
      </w:hyperlink>
    </w:p>
    <w:p w14:paraId="2E6344D0" w14:textId="501D3ED6" w:rsidR="00773B26" w:rsidRDefault="00773B26">
      <w:pPr>
        <w:pStyle w:val="TOC2"/>
        <w:rPr>
          <w:rFonts w:asciiTheme="minorHAnsi" w:eastAsiaTheme="minorEastAsia" w:hAnsiTheme="minorHAnsi" w:cstheme="minorBidi"/>
          <w:color w:val="auto"/>
          <w:kern w:val="2"/>
          <w:sz w:val="24"/>
          <w:szCs w:val="24"/>
          <w14:ligatures w14:val="standardContextual"/>
        </w:rPr>
      </w:pPr>
      <w:hyperlink w:anchor="_Toc210055969" w:history="1">
        <w:r w:rsidRPr="001670C2">
          <w:rPr>
            <w:rStyle w:val="Hyperlink"/>
          </w:rPr>
          <w:t>Terms of reference</w:t>
        </w:r>
        <w:r>
          <w:rPr>
            <w:webHidden/>
          </w:rPr>
          <w:tab/>
        </w:r>
        <w:r>
          <w:rPr>
            <w:webHidden/>
          </w:rPr>
          <w:fldChar w:fldCharType="begin"/>
        </w:r>
        <w:r>
          <w:rPr>
            <w:webHidden/>
          </w:rPr>
          <w:instrText xml:space="preserve"> PAGEREF _Toc210055969 \h </w:instrText>
        </w:r>
        <w:r>
          <w:rPr>
            <w:webHidden/>
          </w:rPr>
        </w:r>
        <w:r>
          <w:rPr>
            <w:webHidden/>
          </w:rPr>
          <w:fldChar w:fldCharType="separate"/>
        </w:r>
        <w:r>
          <w:rPr>
            <w:webHidden/>
          </w:rPr>
          <w:t>3</w:t>
        </w:r>
        <w:r>
          <w:rPr>
            <w:webHidden/>
          </w:rPr>
          <w:fldChar w:fldCharType="end"/>
        </w:r>
      </w:hyperlink>
    </w:p>
    <w:p w14:paraId="3153A5FF" w14:textId="77CB7973" w:rsidR="00773B26" w:rsidRDefault="00773B26">
      <w:pPr>
        <w:pStyle w:val="TOC2"/>
        <w:rPr>
          <w:rFonts w:asciiTheme="minorHAnsi" w:eastAsiaTheme="minorEastAsia" w:hAnsiTheme="minorHAnsi" w:cstheme="minorBidi"/>
          <w:color w:val="auto"/>
          <w:kern w:val="2"/>
          <w:sz w:val="24"/>
          <w:szCs w:val="24"/>
          <w14:ligatures w14:val="standardContextual"/>
        </w:rPr>
      </w:pPr>
      <w:hyperlink w:anchor="_Toc210055970" w:history="1">
        <w:r w:rsidRPr="001670C2">
          <w:rPr>
            <w:rStyle w:val="Hyperlink"/>
          </w:rPr>
          <w:t>Overview of the pools</w:t>
        </w:r>
        <w:r>
          <w:rPr>
            <w:webHidden/>
          </w:rPr>
          <w:tab/>
        </w:r>
        <w:r>
          <w:rPr>
            <w:webHidden/>
          </w:rPr>
          <w:fldChar w:fldCharType="begin"/>
        </w:r>
        <w:r>
          <w:rPr>
            <w:webHidden/>
          </w:rPr>
          <w:instrText xml:space="preserve"> PAGEREF _Toc210055970 \h </w:instrText>
        </w:r>
        <w:r>
          <w:rPr>
            <w:webHidden/>
          </w:rPr>
        </w:r>
        <w:r>
          <w:rPr>
            <w:webHidden/>
          </w:rPr>
          <w:fldChar w:fldCharType="separate"/>
        </w:r>
        <w:r>
          <w:rPr>
            <w:webHidden/>
          </w:rPr>
          <w:t>3</w:t>
        </w:r>
        <w:r>
          <w:rPr>
            <w:webHidden/>
          </w:rPr>
          <w:fldChar w:fldCharType="end"/>
        </w:r>
      </w:hyperlink>
    </w:p>
    <w:p w14:paraId="7113F795" w14:textId="6F7C6FA9" w:rsidR="00773B26" w:rsidRDefault="00773B26">
      <w:pPr>
        <w:pStyle w:val="TOC1"/>
        <w:rPr>
          <w:rFonts w:asciiTheme="minorHAnsi" w:eastAsiaTheme="minorEastAsia" w:hAnsiTheme="minorHAnsi" w:cstheme="minorBidi"/>
          <w:b w:val="0"/>
          <w:color w:val="auto"/>
          <w:kern w:val="2"/>
          <w:sz w:val="24"/>
          <w:szCs w:val="24"/>
          <w14:ligatures w14:val="standardContextual"/>
        </w:rPr>
      </w:pPr>
      <w:hyperlink w:anchor="_Toc210055971" w:history="1">
        <w:r w:rsidRPr="001670C2">
          <w:rPr>
            <w:rStyle w:val="Hyperlink"/>
          </w:rPr>
          <w:t>Cyclone reinsurance pool</w:t>
        </w:r>
        <w:r>
          <w:rPr>
            <w:webHidden/>
          </w:rPr>
          <w:tab/>
        </w:r>
        <w:r>
          <w:rPr>
            <w:webHidden/>
          </w:rPr>
          <w:fldChar w:fldCharType="begin"/>
        </w:r>
        <w:r>
          <w:rPr>
            <w:webHidden/>
          </w:rPr>
          <w:instrText xml:space="preserve"> PAGEREF _Toc210055971 \h </w:instrText>
        </w:r>
        <w:r>
          <w:rPr>
            <w:webHidden/>
          </w:rPr>
        </w:r>
        <w:r>
          <w:rPr>
            <w:webHidden/>
          </w:rPr>
          <w:fldChar w:fldCharType="separate"/>
        </w:r>
        <w:r>
          <w:rPr>
            <w:webHidden/>
          </w:rPr>
          <w:t>5</w:t>
        </w:r>
        <w:r>
          <w:rPr>
            <w:webHidden/>
          </w:rPr>
          <w:fldChar w:fldCharType="end"/>
        </w:r>
      </w:hyperlink>
    </w:p>
    <w:p w14:paraId="260E0811" w14:textId="3A6F8D0C" w:rsidR="00773B26" w:rsidRDefault="00773B26">
      <w:pPr>
        <w:pStyle w:val="TOC2"/>
        <w:rPr>
          <w:rFonts w:asciiTheme="minorHAnsi" w:eastAsiaTheme="minorEastAsia" w:hAnsiTheme="minorHAnsi" w:cstheme="minorBidi"/>
          <w:color w:val="auto"/>
          <w:kern w:val="2"/>
          <w:sz w:val="24"/>
          <w:szCs w:val="24"/>
          <w14:ligatures w14:val="standardContextual"/>
        </w:rPr>
      </w:pPr>
      <w:hyperlink w:anchor="_Toc210055972" w:history="1">
        <w:r w:rsidRPr="001670C2">
          <w:rPr>
            <w:rStyle w:val="Hyperlink"/>
          </w:rPr>
          <w:t>Claims</w:t>
        </w:r>
        <w:r>
          <w:rPr>
            <w:webHidden/>
          </w:rPr>
          <w:tab/>
        </w:r>
        <w:r>
          <w:rPr>
            <w:webHidden/>
          </w:rPr>
          <w:fldChar w:fldCharType="begin"/>
        </w:r>
        <w:r>
          <w:rPr>
            <w:webHidden/>
          </w:rPr>
          <w:instrText xml:space="preserve"> PAGEREF _Toc210055972 \h </w:instrText>
        </w:r>
        <w:r>
          <w:rPr>
            <w:webHidden/>
          </w:rPr>
        </w:r>
        <w:r>
          <w:rPr>
            <w:webHidden/>
          </w:rPr>
          <w:fldChar w:fldCharType="separate"/>
        </w:r>
        <w:r>
          <w:rPr>
            <w:webHidden/>
          </w:rPr>
          <w:t>6</w:t>
        </w:r>
        <w:r>
          <w:rPr>
            <w:webHidden/>
          </w:rPr>
          <w:fldChar w:fldCharType="end"/>
        </w:r>
      </w:hyperlink>
    </w:p>
    <w:p w14:paraId="03582E40" w14:textId="576087D4" w:rsidR="00773B26" w:rsidRDefault="00773B26">
      <w:pPr>
        <w:pStyle w:val="TOC2"/>
        <w:rPr>
          <w:rFonts w:asciiTheme="minorHAnsi" w:eastAsiaTheme="minorEastAsia" w:hAnsiTheme="minorHAnsi" w:cstheme="minorBidi"/>
          <w:color w:val="auto"/>
          <w:kern w:val="2"/>
          <w:sz w:val="24"/>
          <w:szCs w:val="24"/>
          <w14:ligatures w14:val="standardContextual"/>
        </w:rPr>
      </w:pPr>
      <w:hyperlink w:anchor="_Toc210055973" w:history="1">
        <w:r w:rsidRPr="001670C2">
          <w:rPr>
            <w:rStyle w:val="Hyperlink"/>
          </w:rPr>
          <w:t>Pricing, availability and mitigation</w:t>
        </w:r>
        <w:r>
          <w:rPr>
            <w:webHidden/>
          </w:rPr>
          <w:tab/>
        </w:r>
        <w:r>
          <w:rPr>
            <w:webHidden/>
          </w:rPr>
          <w:fldChar w:fldCharType="begin"/>
        </w:r>
        <w:r>
          <w:rPr>
            <w:webHidden/>
          </w:rPr>
          <w:instrText xml:space="preserve"> PAGEREF _Toc210055973 \h </w:instrText>
        </w:r>
        <w:r>
          <w:rPr>
            <w:webHidden/>
          </w:rPr>
        </w:r>
        <w:r>
          <w:rPr>
            <w:webHidden/>
          </w:rPr>
          <w:fldChar w:fldCharType="separate"/>
        </w:r>
        <w:r>
          <w:rPr>
            <w:webHidden/>
          </w:rPr>
          <w:t>6</w:t>
        </w:r>
        <w:r>
          <w:rPr>
            <w:webHidden/>
          </w:rPr>
          <w:fldChar w:fldCharType="end"/>
        </w:r>
      </w:hyperlink>
    </w:p>
    <w:p w14:paraId="68F2F7F5" w14:textId="35381C4F" w:rsidR="00773B26" w:rsidRDefault="00773B26">
      <w:pPr>
        <w:pStyle w:val="TOC3"/>
        <w:rPr>
          <w:rFonts w:asciiTheme="minorHAnsi" w:eastAsiaTheme="minorEastAsia" w:hAnsiTheme="minorHAnsi" w:cstheme="minorBidi"/>
          <w:kern w:val="2"/>
          <w:sz w:val="24"/>
          <w:szCs w:val="24"/>
          <w14:ligatures w14:val="standardContextual"/>
        </w:rPr>
      </w:pPr>
      <w:hyperlink w:anchor="_Toc210055974" w:history="1">
        <w:r w:rsidRPr="001670C2">
          <w:rPr>
            <w:rStyle w:val="Hyperlink"/>
          </w:rPr>
          <w:t>Cyclone pool objectives</w:t>
        </w:r>
        <w:r>
          <w:rPr>
            <w:webHidden/>
          </w:rPr>
          <w:tab/>
        </w:r>
        <w:r>
          <w:rPr>
            <w:webHidden/>
          </w:rPr>
          <w:fldChar w:fldCharType="begin"/>
        </w:r>
        <w:r>
          <w:rPr>
            <w:webHidden/>
          </w:rPr>
          <w:instrText xml:space="preserve"> PAGEREF _Toc210055974 \h </w:instrText>
        </w:r>
        <w:r>
          <w:rPr>
            <w:webHidden/>
          </w:rPr>
        </w:r>
        <w:r>
          <w:rPr>
            <w:webHidden/>
          </w:rPr>
          <w:fldChar w:fldCharType="separate"/>
        </w:r>
        <w:r>
          <w:rPr>
            <w:webHidden/>
          </w:rPr>
          <w:t>6</w:t>
        </w:r>
        <w:r>
          <w:rPr>
            <w:webHidden/>
          </w:rPr>
          <w:fldChar w:fldCharType="end"/>
        </w:r>
      </w:hyperlink>
    </w:p>
    <w:p w14:paraId="0AEAE783" w14:textId="1F75DC67" w:rsidR="00773B26" w:rsidRDefault="00773B26" w:rsidP="00B94449">
      <w:pPr>
        <w:pStyle w:val="TOC3"/>
        <w:rPr>
          <w:rFonts w:asciiTheme="minorHAnsi" w:eastAsiaTheme="minorEastAsia" w:hAnsiTheme="minorHAnsi" w:cstheme="minorBidi"/>
          <w:kern w:val="2"/>
          <w:sz w:val="24"/>
          <w:szCs w:val="24"/>
          <w14:ligatures w14:val="standardContextual"/>
        </w:rPr>
      </w:pPr>
      <w:hyperlink w:anchor="_Toc210055975" w:history="1">
        <w:r w:rsidRPr="001670C2">
          <w:rPr>
            <w:rStyle w:val="Hyperlink"/>
          </w:rPr>
          <w:t>Price monitoring</w:t>
        </w:r>
        <w:r>
          <w:rPr>
            <w:webHidden/>
          </w:rPr>
          <w:tab/>
        </w:r>
        <w:r>
          <w:rPr>
            <w:webHidden/>
          </w:rPr>
          <w:fldChar w:fldCharType="begin"/>
        </w:r>
        <w:r>
          <w:rPr>
            <w:webHidden/>
          </w:rPr>
          <w:instrText xml:space="preserve"> PAGEREF _Toc210055975 \h </w:instrText>
        </w:r>
        <w:r>
          <w:rPr>
            <w:webHidden/>
          </w:rPr>
        </w:r>
        <w:r>
          <w:rPr>
            <w:webHidden/>
          </w:rPr>
          <w:fldChar w:fldCharType="separate"/>
        </w:r>
        <w:r>
          <w:rPr>
            <w:webHidden/>
          </w:rPr>
          <w:t>7</w:t>
        </w:r>
        <w:r>
          <w:rPr>
            <w:webHidden/>
          </w:rPr>
          <w:fldChar w:fldCharType="end"/>
        </w:r>
      </w:hyperlink>
    </w:p>
    <w:p w14:paraId="5289FC13" w14:textId="24C22496" w:rsidR="00773B26" w:rsidRDefault="00773B26" w:rsidP="0097733B">
      <w:pPr>
        <w:pStyle w:val="TOC3"/>
        <w:rPr>
          <w:rFonts w:asciiTheme="minorHAnsi" w:eastAsiaTheme="minorEastAsia" w:hAnsiTheme="minorHAnsi" w:cstheme="minorBidi"/>
          <w:kern w:val="2"/>
          <w:sz w:val="24"/>
          <w:szCs w:val="24"/>
          <w14:ligatures w14:val="standardContextual"/>
        </w:rPr>
      </w:pPr>
      <w:hyperlink w:anchor="_Toc210055978" w:history="1">
        <w:r w:rsidRPr="001670C2">
          <w:rPr>
            <w:rStyle w:val="Hyperlink"/>
          </w:rPr>
          <w:t>Other reports on the cyclone pool</w:t>
        </w:r>
        <w:r>
          <w:rPr>
            <w:webHidden/>
          </w:rPr>
          <w:tab/>
        </w:r>
        <w:r>
          <w:rPr>
            <w:webHidden/>
          </w:rPr>
          <w:fldChar w:fldCharType="begin"/>
        </w:r>
        <w:r>
          <w:rPr>
            <w:webHidden/>
          </w:rPr>
          <w:instrText xml:space="preserve"> PAGEREF _Toc210055978 \h </w:instrText>
        </w:r>
        <w:r>
          <w:rPr>
            <w:webHidden/>
          </w:rPr>
        </w:r>
        <w:r>
          <w:rPr>
            <w:webHidden/>
          </w:rPr>
          <w:fldChar w:fldCharType="separate"/>
        </w:r>
        <w:r>
          <w:rPr>
            <w:webHidden/>
          </w:rPr>
          <w:t>10</w:t>
        </w:r>
        <w:r>
          <w:rPr>
            <w:webHidden/>
          </w:rPr>
          <w:fldChar w:fldCharType="end"/>
        </w:r>
      </w:hyperlink>
    </w:p>
    <w:p w14:paraId="2114E2A7" w14:textId="43D319DC" w:rsidR="00773B26" w:rsidRDefault="00773B26" w:rsidP="0097733B">
      <w:pPr>
        <w:pStyle w:val="TOC3"/>
        <w:rPr>
          <w:rFonts w:asciiTheme="minorHAnsi" w:eastAsiaTheme="minorEastAsia" w:hAnsiTheme="minorHAnsi" w:cstheme="minorBidi"/>
          <w:kern w:val="2"/>
          <w:sz w:val="24"/>
          <w:szCs w:val="24"/>
          <w14:ligatures w14:val="standardContextual"/>
        </w:rPr>
      </w:pPr>
      <w:hyperlink w:anchor="_Toc210055984" w:history="1">
        <w:r w:rsidRPr="001670C2">
          <w:rPr>
            <w:rStyle w:val="Hyperlink"/>
          </w:rPr>
          <w:t>Risk reduction incentives and mitigation discounts</w:t>
        </w:r>
        <w:r>
          <w:rPr>
            <w:webHidden/>
          </w:rPr>
          <w:tab/>
        </w:r>
        <w:r>
          <w:rPr>
            <w:webHidden/>
          </w:rPr>
          <w:fldChar w:fldCharType="begin"/>
        </w:r>
        <w:r>
          <w:rPr>
            <w:webHidden/>
          </w:rPr>
          <w:instrText xml:space="preserve"> PAGEREF _Toc210055984 \h </w:instrText>
        </w:r>
        <w:r>
          <w:rPr>
            <w:webHidden/>
          </w:rPr>
        </w:r>
        <w:r>
          <w:rPr>
            <w:webHidden/>
          </w:rPr>
          <w:fldChar w:fldCharType="separate"/>
        </w:r>
        <w:r>
          <w:rPr>
            <w:webHidden/>
          </w:rPr>
          <w:t>13</w:t>
        </w:r>
        <w:r>
          <w:rPr>
            <w:webHidden/>
          </w:rPr>
          <w:fldChar w:fldCharType="end"/>
        </w:r>
      </w:hyperlink>
    </w:p>
    <w:p w14:paraId="3947EAC6" w14:textId="4FCA5BA0" w:rsidR="00773B26" w:rsidRDefault="00773B26">
      <w:pPr>
        <w:pStyle w:val="TOC3"/>
        <w:rPr>
          <w:rFonts w:asciiTheme="minorHAnsi" w:eastAsiaTheme="minorEastAsia" w:hAnsiTheme="minorHAnsi" w:cstheme="minorBidi"/>
          <w:kern w:val="2"/>
          <w:sz w:val="24"/>
          <w:szCs w:val="24"/>
          <w14:ligatures w14:val="standardContextual"/>
        </w:rPr>
      </w:pPr>
      <w:hyperlink w:anchor="_Toc210055989" w:history="1">
        <w:r w:rsidRPr="001670C2">
          <w:rPr>
            <w:rStyle w:val="Hyperlink"/>
          </w:rPr>
          <w:t>Cyclone pool reserves</w:t>
        </w:r>
        <w:r>
          <w:rPr>
            <w:webHidden/>
          </w:rPr>
          <w:tab/>
        </w:r>
        <w:r>
          <w:rPr>
            <w:webHidden/>
          </w:rPr>
          <w:fldChar w:fldCharType="begin"/>
        </w:r>
        <w:r>
          <w:rPr>
            <w:webHidden/>
          </w:rPr>
          <w:instrText xml:space="preserve"> PAGEREF _Toc210055989 \h </w:instrText>
        </w:r>
        <w:r>
          <w:rPr>
            <w:webHidden/>
          </w:rPr>
        </w:r>
        <w:r>
          <w:rPr>
            <w:webHidden/>
          </w:rPr>
          <w:fldChar w:fldCharType="separate"/>
        </w:r>
        <w:r>
          <w:rPr>
            <w:webHidden/>
          </w:rPr>
          <w:t>15</w:t>
        </w:r>
        <w:r>
          <w:rPr>
            <w:webHidden/>
          </w:rPr>
          <w:fldChar w:fldCharType="end"/>
        </w:r>
      </w:hyperlink>
    </w:p>
    <w:p w14:paraId="17067A0F" w14:textId="4FBA9719" w:rsidR="00773B26" w:rsidRDefault="00773B26">
      <w:pPr>
        <w:pStyle w:val="TOC2"/>
        <w:rPr>
          <w:rFonts w:asciiTheme="minorHAnsi" w:eastAsiaTheme="minorEastAsia" w:hAnsiTheme="minorHAnsi" w:cstheme="minorBidi"/>
          <w:color w:val="auto"/>
          <w:kern w:val="2"/>
          <w:sz w:val="24"/>
          <w:szCs w:val="24"/>
          <w14:ligatures w14:val="standardContextual"/>
        </w:rPr>
      </w:pPr>
      <w:hyperlink w:anchor="_Toc210055990" w:history="1">
        <w:r w:rsidRPr="001670C2">
          <w:rPr>
            <w:rStyle w:val="Hyperlink"/>
          </w:rPr>
          <w:t>Coverage</w:t>
        </w:r>
        <w:r>
          <w:rPr>
            <w:webHidden/>
          </w:rPr>
          <w:tab/>
        </w:r>
        <w:r>
          <w:rPr>
            <w:webHidden/>
          </w:rPr>
          <w:fldChar w:fldCharType="begin"/>
        </w:r>
        <w:r>
          <w:rPr>
            <w:webHidden/>
          </w:rPr>
          <w:instrText xml:space="preserve"> PAGEREF _Toc210055990 \h </w:instrText>
        </w:r>
        <w:r>
          <w:rPr>
            <w:webHidden/>
          </w:rPr>
        </w:r>
        <w:r>
          <w:rPr>
            <w:webHidden/>
          </w:rPr>
          <w:fldChar w:fldCharType="separate"/>
        </w:r>
        <w:r>
          <w:rPr>
            <w:webHidden/>
          </w:rPr>
          <w:t>16</w:t>
        </w:r>
        <w:r>
          <w:rPr>
            <w:webHidden/>
          </w:rPr>
          <w:fldChar w:fldCharType="end"/>
        </w:r>
      </w:hyperlink>
    </w:p>
    <w:p w14:paraId="6E8559E7" w14:textId="38F98887" w:rsidR="00773B26" w:rsidRDefault="00773B26">
      <w:pPr>
        <w:pStyle w:val="TOC3"/>
        <w:rPr>
          <w:rFonts w:asciiTheme="minorHAnsi" w:eastAsiaTheme="minorEastAsia" w:hAnsiTheme="minorHAnsi" w:cstheme="minorBidi"/>
          <w:kern w:val="2"/>
          <w:sz w:val="24"/>
          <w:szCs w:val="24"/>
          <w14:ligatures w14:val="standardContextual"/>
        </w:rPr>
      </w:pPr>
      <w:hyperlink w:anchor="_Toc210055991" w:history="1">
        <w:r w:rsidRPr="001670C2">
          <w:rPr>
            <w:rStyle w:val="Hyperlink"/>
          </w:rPr>
          <w:t>Coverage period</w:t>
        </w:r>
        <w:r>
          <w:rPr>
            <w:webHidden/>
          </w:rPr>
          <w:tab/>
        </w:r>
        <w:r>
          <w:rPr>
            <w:webHidden/>
          </w:rPr>
          <w:fldChar w:fldCharType="begin"/>
        </w:r>
        <w:r>
          <w:rPr>
            <w:webHidden/>
          </w:rPr>
          <w:instrText xml:space="preserve"> PAGEREF _Toc210055991 \h </w:instrText>
        </w:r>
        <w:r>
          <w:rPr>
            <w:webHidden/>
          </w:rPr>
        </w:r>
        <w:r>
          <w:rPr>
            <w:webHidden/>
          </w:rPr>
          <w:fldChar w:fldCharType="separate"/>
        </w:r>
        <w:r>
          <w:rPr>
            <w:webHidden/>
          </w:rPr>
          <w:t>16</w:t>
        </w:r>
        <w:r>
          <w:rPr>
            <w:webHidden/>
          </w:rPr>
          <w:fldChar w:fldCharType="end"/>
        </w:r>
      </w:hyperlink>
    </w:p>
    <w:p w14:paraId="0CD6E590" w14:textId="73C4C812" w:rsidR="00773B26" w:rsidRDefault="00773B26">
      <w:pPr>
        <w:pStyle w:val="TOC3"/>
        <w:rPr>
          <w:rFonts w:asciiTheme="minorHAnsi" w:eastAsiaTheme="minorEastAsia" w:hAnsiTheme="minorHAnsi" w:cstheme="minorBidi"/>
          <w:kern w:val="2"/>
          <w:sz w:val="24"/>
          <w:szCs w:val="24"/>
          <w14:ligatures w14:val="standardContextual"/>
        </w:rPr>
      </w:pPr>
      <w:hyperlink w:anchor="_Toc210055992" w:history="1">
        <w:r w:rsidRPr="001670C2">
          <w:rPr>
            <w:rStyle w:val="Hyperlink"/>
          </w:rPr>
          <w:t>Small business sum insured limit</w:t>
        </w:r>
        <w:r>
          <w:rPr>
            <w:webHidden/>
          </w:rPr>
          <w:tab/>
        </w:r>
        <w:r>
          <w:rPr>
            <w:webHidden/>
          </w:rPr>
          <w:fldChar w:fldCharType="begin"/>
        </w:r>
        <w:r>
          <w:rPr>
            <w:webHidden/>
          </w:rPr>
          <w:instrText xml:space="preserve"> PAGEREF _Toc210055992 \h </w:instrText>
        </w:r>
        <w:r>
          <w:rPr>
            <w:webHidden/>
          </w:rPr>
        </w:r>
        <w:r>
          <w:rPr>
            <w:webHidden/>
          </w:rPr>
          <w:fldChar w:fldCharType="separate"/>
        </w:r>
        <w:r>
          <w:rPr>
            <w:webHidden/>
          </w:rPr>
          <w:t>18</w:t>
        </w:r>
        <w:r>
          <w:rPr>
            <w:webHidden/>
          </w:rPr>
          <w:fldChar w:fldCharType="end"/>
        </w:r>
      </w:hyperlink>
    </w:p>
    <w:p w14:paraId="2B31757E" w14:textId="7D89CFC0" w:rsidR="00773B26" w:rsidRDefault="00773B26">
      <w:pPr>
        <w:pStyle w:val="TOC3"/>
        <w:rPr>
          <w:rFonts w:asciiTheme="minorHAnsi" w:eastAsiaTheme="minorEastAsia" w:hAnsiTheme="minorHAnsi" w:cstheme="minorBidi"/>
          <w:kern w:val="2"/>
          <w:sz w:val="24"/>
          <w:szCs w:val="24"/>
          <w14:ligatures w14:val="standardContextual"/>
        </w:rPr>
      </w:pPr>
      <w:hyperlink w:anchor="_Toc210055993" w:history="1">
        <w:r w:rsidRPr="001670C2">
          <w:rPr>
            <w:rStyle w:val="Hyperlink"/>
          </w:rPr>
          <w:t>Building date eligibility</w:t>
        </w:r>
        <w:r>
          <w:rPr>
            <w:webHidden/>
          </w:rPr>
          <w:tab/>
        </w:r>
        <w:r>
          <w:rPr>
            <w:webHidden/>
          </w:rPr>
          <w:fldChar w:fldCharType="begin"/>
        </w:r>
        <w:r>
          <w:rPr>
            <w:webHidden/>
          </w:rPr>
          <w:instrText xml:space="preserve"> PAGEREF _Toc210055993 \h </w:instrText>
        </w:r>
        <w:r>
          <w:rPr>
            <w:webHidden/>
          </w:rPr>
        </w:r>
        <w:r>
          <w:rPr>
            <w:webHidden/>
          </w:rPr>
          <w:fldChar w:fldCharType="separate"/>
        </w:r>
        <w:r>
          <w:rPr>
            <w:webHidden/>
          </w:rPr>
          <w:t>18</w:t>
        </w:r>
        <w:r>
          <w:rPr>
            <w:webHidden/>
          </w:rPr>
          <w:fldChar w:fldCharType="end"/>
        </w:r>
      </w:hyperlink>
    </w:p>
    <w:p w14:paraId="237534BF" w14:textId="034867CA" w:rsidR="00773B26" w:rsidRDefault="00773B26">
      <w:pPr>
        <w:pStyle w:val="TOC1"/>
        <w:rPr>
          <w:rFonts w:asciiTheme="minorHAnsi" w:eastAsiaTheme="minorEastAsia" w:hAnsiTheme="minorHAnsi" w:cstheme="minorBidi"/>
          <w:b w:val="0"/>
          <w:color w:val="auto"/>
          <w:kern w:val="2"/>
          <w:sz w:val="24"/>
          <w:szCs w:val="24"/>
          <w14:ligatures w14:val="standardContextual"/>
        </w:rPr>
      </w:pPr>
      <w:hyperlink w:anchor="_Toc210055994" w:history="1">
        <w:r w:rsidRPr="001670C2">
          <w:rPr>
            <w:rStyle w:val="Hyperlink"/>
          </w:rPr>
          <w:t>Terrorism reinsurance pool</w:t>
        </w:r>
        <w:r>
          <w:rPr>
            <w:webHidden/>
          </w:rPr>
          <w:tab/>
        </w:r>
        <w:r>
          <w:rPr>
            <w:webHidden/>
          </w:rPr>
          <w:fldChar w:fldCharType="begin"/>
        </w:r>
        <w:r>
          <w:rPr>
            <w:webHidden/>
          </w:rPr>
          <w:instrText xml:space="preserve"> PAGEREF _Toc210055994 \h </w:instrText>
        </w:r>
        <w:r>
          <w:rPr>
            <w:webHidden/>
          </w:rPr>
        </w:r>
        <w:r>
          <w:rPr>
            <w:webHidden/>
          </w:rPr>
          <w:fldChar w:fldCharType="separate"/>
        </w:r>
        <w:r>
          <w:rPr>
            <w:webHidden/>
          </w:rPr>
          <w:t>19</w:t>
        </w:r>
        <w:r>
          <w:rPr>
            <w:webHidden/>
          </w:rPr>
          <w:fldChar w:fldCharType="end"/>
        </w:r>
      </w:hyperlink>
    </w:p>
    <w:p w14:paraId="62755249" w14:textId="256B07EA" w:rsidR="00773B26" w:rsidRDefault="00773B26">
      <w:pPr>
        <w:pStyle w:val="TOC2"/>
        <w:rPr>
          <w:rFonts w:asciiTheme="minorHAnsi" w:eastAsiaTheme="minorEastAsia" w:hAnsiTheme="minorHAnsi" w:cstheme="minorBidi"/>
          <w:color w:val="auto"/>
          <w:kern w:val="2"/>
          <w:sz w:val="24"/>
          <w:szCs w:val="24"/>
          <w14:ligatures w14:val="standardContextual"/>
        </w:rPr>
      </w:pPr>
      <w:hyperlink w:anchor="_Toc210055995" w:history="1">
        <w:r w:rsidRPr="001670C2">
          <w:rPr>
            <w:rStyle w:val="Hyperlink"/>
          </w:rPr>
          <w:t>Claims</w:t>
        </w:r>
        <w:r>
          <w:rPr>
            <w:webHidden/>
          </w:rPr>
          <w:tab/>
        </w:r>
        <w:r>
          <w:rPr>
            <w:webHidden/>
          </w:rPr>
          <w:fldChar w:fldCharType="begin"/>
        </w:r>
        <w:r>
          <w:rPr>
            <w:webHidden/>
          </w:rPr>
          <w:instrText xml:space="preserve"> PAGEREF _Toc210055995 \h </w:instrText>
        </w:r>
        <w:r>
          <w:rPr>
            <w:webHidden/>
          </w:rPr>
        </w:r>
        <w:r>
          <w:rPr>
            <w:webHidden/>
          </w:rPr>
          <w:fldChar w:fldCharType="separate"/>
        </w:r>
        <w:r>
          <w:rPr>
            <w:webHidden/>
          </w:rPr>
          <w:t>20</w:t>
        </w:r>
        <w:r>
          <w:rPr>
            <w:webHidden/>
          </w:rPr>
          <w:fldChar w:fldCharType="end"/>
        </w:r>
      </w:hyperlink>
    </w:p>
    <w:p w14:paraId="49E29EA0" w14:textId="3994574D" w:rsidR="00773B26" w:rsidRDefault="00773B26">
      <w:pPr>
        <w:pStyle w:val="TOC3"/>
        <w:rPr>
          <w:rFonts w:asciiTheme="minorHAnsi" w:eastAsiaTheme="minorEastAsia" w:hAnsiTheme="minorHAnsi" w:cstheme="minorBidi"/>
          <w:kern w:val="2"/>
          <w:sz w:val="24"/>
          <w:szCs w:val="24"/>
          <w14:ligatures w14:val="standardContextual"/>
        </w:rPr>
      </w:pPr>
      <w:hyperlink w:anchor="_Toc210055996" w:history="1">
        <w:r w:rsidRPr="001670C2">
          <w:rPr>
            <w:rStyle w:val="Hyperlink"/>
          </w:rPr>
          <w:t>How a claim is funded</w:t>
        </w:r>
        <w:r>
          <w:rPr>
            <w:webHidden/>
          </w:rPr>
          <w:tab/>
        </w:r>
        <w:r>
          <w:rPr>
            <w:webHidden/>
          </w:rPr>
          <w:fldChar w:fldCharType="begin"/>
        </w:r>
        <w:r>
          <w:rPr>
            <w:webHidden/>
          </w:rPr>
          <w:instrText xml:space="preserve"> PAGEREF _Toc210055996 \h </w:instrText>
        </w:r>
        <w:r>
          <w:rPr>
            <w:webHidden/>
          </w:rPr>
        </w:r>
        <w:r>
          <w:rPr>
            <w:webHidden/>
          </w:rPr>
          <w:fldChar w:fldCharType="separate"/>
        </w:r>
        <w:r>
          <w:rPr>
            <w:webHidden/>
          </w:rPr>
          <w:t>20</w:t>
        </w:r>
        <w:r>
          <w:rPr>
            <w:webHidden/>
          </w:rPr>
          <w:fldChar w:fldCharType="end"/>
        </w:r>
      </w:hyperlink>
    </w:p>
    <w:p w14:paraId="15EC2D61" w14:textId="46CE7775" w:rsidR="00773B26" w:rsidRDefault="00773B26">
      <w:pPr>
        <w:pStyle w:val="TOC3"/>
        <w:rPr>
          <w:rFonts w:asciiTheme="minorHAnsi" w:eastAsiaTheme="minorEastAsia" w:hAnsiTheme="minorHAnsi" w:cstheme="minorBidi"/>
          <w:kern w:val="2"/>
          <w:sz w:val="24"/>
          <w:szCs w:val="24"/>
          <w14:ligatures w14:val="standardContextual"/>
        </w:rPr>
      </w:pPr>
      <w:hyperlink w:anchor="_Toc210055997" w:history="1">
        <w:r w:rsidRPr="001670C2">
          <w:rPr>
            <w:rStyle w:val="Hyperlink"/>
          </w:rPr>
          <w:t>The need for the terrorism reinsurance pool to continue</w:t>
        </w:r>
        <w:r>
          <w:rPr>
            <w:webHidden/>
          </w:rPr>
          <w:tab/>
        </w:r>
        <w:r>
          <w:rPr>
            <w:webHidden/>
          </w:rPr>
          <w:fldChar w:fldCharType="begin"/>
        </w:r>
        <w:r>
          <w:rPr>
            <w:webHidden/>
          </w:rPr>
          <w:instrText xml:space="preserve"> PAGEREF _Toc210055997 \h </w:instrText>
        </w:r>
        <w:r>
          <w:rPr>
            <w:webHidden/>
          </w:rPr>
        </w:r>
        <w:r>
          <w:rPr>
            <w:webHidden/>
          </w:rPr>
          <w:fldChar w:fldCharType="separate"/>
        </w:r>
        <w:r>
          <w:rPr>
            <w:webHidden/>
          </w:rPr>
          <w:t>21</w:t>
        </w:r>
        <w:r>
          <w:rPr>
            <w:webHidden/>
          </w:rPr>
          <w:fldChar w:fldCharType="end"/>
        </w:r>
      </w:hyperlink>
    </w:p>
    <w:p w14:paraId="2095A022" w14:textId="21E79841" w:rsidR="00773B26" w:rsidRDefault="00773B26">
      <w:pPr>
        <w:pStyle w:val="TOC3"/>
        <w:rPr>
          <w:rFonts w:asciiTheme="minorHAnsi" w:eastAsiaTheme="minorEastAsia" w:hAnsiTheme="minorHAnsi" w:cstheme="minorBidi"/>
          <w:kern w:val="2"/>
          <w:sz w:val="24"/>
          <w:szCs w:val="24"/>
          <w14:ligatures w14:val="standardContextual"/>
        </w:rPr>
      </w:pPr>
      <w:hyperlink w:anchor="_Toc210055998" w:history="1">
        <w:r w:rsidRPr="001670C2">
          <w:rPr>
            <w:rStyle w:val="Hyperlink"/>
          </w:rPr>
          <w:t>Retrocession program</w:t>
        </w:r>
        <w:r>
          <w:rPr>
            <w:webHidden/>
          </w:rPr>
          <w:tab/>
        </w:r>
        <w:r>
          <w:rPr>
            <w:webHidden/>
          </w:rPr>
          <w:fldChar w:fldCharType="begin"/>
        </w:r>
        <w:r>
          <w:rPr>
            <w:webHidden/>
          </w:rPr>
          <w:instrText xml:space="preserve"> PAGEREF _Toc210055998 \h </w:instrText>
        </w:r>
        <w:r>
          <w:rPr>
            <w:webHidden/>
          </w:rPr>
        </w:r>
        <w:r>
          <w:rPr>
            <w:webHidden/>
          </w:rPr>
          <w:fldChar w:fldCharType="separate"/>
        </w:r>
        <w:r>
          <w:rPr>
            <w:webHidden/>
          </w:rPr>
          <w:t>22</w:t>
        </w:r>
        <w:r>
          <w:rPr>
            <w:webHidden/>
          </w:rPr>
          <w:fldChar w:fldCharType="end"/>
        </w:r>
      </w:hyperlink>
    </w:p>
    <w:p w14:paraId="272CED2E" w14:textId="2D84DC4E" w:rsidR="00773B26" w:rsidRDefault="00773B26">
      <w:pPr>
        <w:pStyle w:val="TOC1"/>
        <w:rPr>
          <w:rFonts w:asciiTheme="minorHAnsi" w:eastAsiaTheme="minorEastAsia" w:hAnsiTheme="minorHAnsi" w:cstheme="minorBidi"/>
          <w:b w:val="0"/>
          <w:color w:val="auto"/>
          <w:kern w:val="2"/>
          <w:sz w:val="24"/>
          <w:szCs w:val="24"/>
          <w14:ligatures w14:val="standardContextual"/>
        </w:rPr>
      </w:pPr>
      <w:hyperlink w:anchor="_Toc210055999" w:history="1">
        <w:r w:rsidRPr="001670C2">
          <w:rPr>
            <w:rStyle w:val="Hyperlink"/>
          </w:rPr>
          <w:t>ARPC operations</w:t>
        </w:r>
        <w:r>
          <w:rPr>
            <w:webHidden/>
          </w:rPr>
          <w:tab/>
        </w:r>
        <w:r>
          <w:rPr>
            <w:webHidden/>
          </w:rPr>
          <w:fldChar w:fldCharType="begin"/>
        </w:r>
        <w:r>
          <w:rPr>
            <w:webHidden/>
          </w:rPr>
          <w:instrText xml:space="preserve"> PAGEREF _Toc210055999 \h </w:instrText>
        </w:r>
        <w:r>
          <w:rPr>
            <w:webHidden/>
          </w:rPr>
        </w:r>
        <w:r>
          <w:rPr>
            <w:webHidden/>
          </w:rPr>
          <w:fldChar w:fldCharType="separate"/>
        </w:r>
        <w:r>
          <w:rPr>
            <w:webHidden/>
          </w:rPr>
          <w:t>24</w:t>
        </w:r>
        <w:r>
          <w:rPr>
            <w:webHidden/>
          </w:rPr>
          <w:fldChar w:fldCharType="end"/>
        </w:r>
      </w:hyperlink>
    </w:p>
    <w:p w14:paraId="0193B35D" w14:textId="51C0F0F4" w:rsidR="00773B26" w:rsidRDefault="00773B26">
      <w:pPr>
        <w:pStyle w:val="TOC2"/>
        <w:rPr>
          <w:rFonts w:asciiTheme="minorHAnsi" w:eastAsiaTheme="minorEastAsia" w:hAnsiTheme="minorHAnsi" w:cstheme="minorBidi"/>
          <w:color w:val="auto"/>
          <w:kern w:val="2"/>
          <w:sz w:val="24"/>
          <w:szCs w:val="24"/>
          <w14:ligatures w14:val="standardContextual"/>
        </w:rPr>
      </w:pPr>
      <w:hyperlink w:anchor="_Toc210056000" w:history="1">
        <w:r w:rsidRPr="001670C2">
          <w:rPr>
            <w:rStyle w:val="Hyperlink"/>
          </w:rPr>
          <w:t>Cyclone pool claims process</w:t>
        </w:r>
        <w:r>
          <w:rPr>
            <w:webHidden/>
          </w:rPr>
          <w:tab/>
        </w:r>
        <w:r>
          <w:rPr>
            <w:webHidden/>
          </w:rPr>
          <w:fldChar w:fldCharType="begin"/>
        </w:r>
        <w:r>
          <w:rPr>
            <w:webHidden/>
          </w:rPr>
          <w:instrText xml:space="preserve"> PAGEREF _Toc210056000 \h </w:instrText>
        </w:r>
        <w:r>
          <w:rPr>
            <w:webHidden/>
          </w:rPr>
        </w:r>
        <w:r>
          <w:rPr>
            <w:webHidden/>
          </w:rPr>
          <w:fldChar w:fldCharType="separate"/>
        </w:r>
        <w:r>
          <w:rPr>
            <w:webHidden/>
          </w:rPr>
          <w:t>24</w:t>
        </w:r>
        <w:r>
          <w:rPr>
            <w:webHidden/>
          </w:rPr>
          <w:fldChar w:fldCharType="end"/>
        </w:r>
      </w:hyperlink>
    </w:p>
    <w:p w14:paraId="1A54AC5D" w14:textId="7A783A3C" w:rsidR="00773B26" w:rsidRDefault="00773B26">
      <w:pPr>
        <w:pStyle w:val="TOC2"/>
        <w:rPr>
          <w:rFonts w:asciiTheme="minorHAnsi" w:eastAsiaTheme="minorEastAsia" w:hAnsiTheme="minorHAnsi" w:cstheme="minorBidi"/>
          <w:color w:val="auto"/>
          <w:kern w:val="2"/>
          <w:sz w:val="24"/>
          <w:szCs w:val="24"/>
          <w14:ligatures w14:val="standardContextual"/>
        </w:rPr>
      </w:pPr>
      <w:hyperlink w:anchor="_Toc210056001" w:history="1">
        <w:r w:rsidRPr="001670C2">
          <w:rPr>
            <w:rStyle w:val="Hyperlink"/>
          </w:rPr>
          <w:t>Guarantee and capital holding fees</w:t>
        </w:r>
        <w:r>
          <w:rPr>
            <w:webHidden/>
          </w:rPr>
          <w:tab/>
        </w:r>
        <w:r>
          <w:rPr>
            <w:webHidden/>
          </w:rPr>
          <w:fldChar w:fldCharType="begin"/>
        </w:r>
        <w:r>
          <w:rPr>
            <w:webHidden/>
          </w:rPr>
          <w:instrText xml:space="preserve"> PAGEREF _Toc210056001 \h </w:instrText>
        </w:r>
        <w:r>
          <w:rPr>
            <w:webHidden/>
          </w:rPr>
        </w:r>
        <w:r>
          <w:rPr>
            <w:webHidden/>
          </w:rPr>
          <w:fldChar w:fldCharType="separate"/>
        </w:r>
        <w:r>
          <w:rPr>
            <w:webHidden/>
          </w:rPr>
          <w:t>24</w:t>
        </w:r>
        <w:r>
          <w:rPr>
            <w:webHidden/>
          </w:rPr>
          <w:fldChar w:fldCharType="end"/>
        </w:r>
      </w:hyperlink>
    </w:p>
    <w:p w14:paraId="3D651A64" w14:textId="37B7C1FB" w:rsidR="00773B26" w:rsidRDefault="00773B26">
      <w:pPr>
        <w:pStyle w:val="TOC2"/>
        <w:rPr>
          <w:rFonts w:asciiTheme="minorHAnsi" w:eastAsiaTheme="minorEastAsia" w:hAnsiTheme="minorHAnsi" w:cstheme="minorBidi"/>
          <w:color w:val="auto"/>
          <w:kern w:val="2"/>
          <w:sz w:val="24"/>
          <w:szCs w:val="24"/>
          <w14:ligatures w14:val="standardContextual"/>
        </w:rPr>
      </w:pPr>
      <w:hyperlink w:anchor="_Toc210056002" w:history="1">
        <w:r w:rsidRPr="001670C2">
          <w:rPr>
            <w:rStyle w:val="Hyperlink"/>
          </w:rPr>
          <w:t>Data sharing</w:t>
        </w:r>
        <w:r>
          <w:rPr>
            <w:webHidden/>
          </w:rPr>
          <w:tab/>
        </w:r>
        <w:r>
          <w:rPr>
            <w:webHidden/>
          </w:rPr>
          <w:fldChar w:fldCharType="begin"/>
        </w:r>
        <w:r>
          <w:rPr>
            <w:webHidden/>
          </w:rPr>
          <w:instrText xml:space="preserve"> PAGEREF _Toc210056002 \h </w:instrText>
        </w:r>
        <w:r>
          <w:rPr>
            <w:webHidden/>
          </w:rPr>
        </w:r>
        <w:r>
          <w:rPr>
            <w:webHidden/>
          </w:rPr>
          <w:fldChar w:fldCharType="separate"/>
        </w:r>
        <w:r>
          <w:rPr>
            <w:webHidden/>
          </w:rPr>
          <w:t>25</w:t>
        </w:r>
        <w:r>
          <w:rPr>
            <w:webHidden/>
          </w:rPr>
          <w:fldChar w:fldCharType="end"/>
        </w:r>
      </w:hyperlink>
    </w:p>
    <w:p w14:paraId="6AB252EB" w14:textId="559618DF" w:rsidR="00773B26" w:rsidRDefault="00773B26">
      <w:pPr>
        <w:pStyle w:val="TOC2"/>
        <w:rPr>
          <w:rFonts w:asciiTheme="minorHAnsi" w:eastAsiaTheme="minorEastAsia" w:hAnsiTheme="minorHAnsi" w:cstheme="minorBidi"/>
          <w:color w:val="auto"/>
          <w:kern w:val="2"/>
          <w:sz w:val="24"/>
          <w:szCs w:val="24"/>
          <w14:ligatures w14:val="standardContextual"/>
        </w:rPr>
      </w:pPr>
      <w:hyperlink w:anchor="_Toc210056003" w:history="1">
        <w:r w:rsidRPr="001670C2">
          <w:rPr>
            <w:rStyle w:val="Hyperlink"/>
          </w:rPr>
          <w:t>Scheme actuary</w:t>
        </w:r>
        <w:r>
          <w:rPr>
            <w:webHidden/>
          </w:rPr>
          <w:tab/>
        </w:r>
        <w:r>
          <w:rPr>
            <w:webHidden/>
          </w:rPr>
          <w:fldChar w:fldCharType="begin"/>
        </w:r>
        <w:r>
          <w:rPr>
            <w:webHidden/>
          </w:rPr>
          <w:instrText xml:space="preserve"> PAGEREF _Toc210056003 \h </w:instrText>
        </w:r>
        <w:r>
          <w:rPr>
            <w:webHidden/>
          </w:rPr>
        </w:r>
        <w:r>
          <w:rPr>
            <w:webHidden/>
          </w:rPr>
          <w:fldChar w:fldCharType="separate"/>
        </w:r>
        <w:r>
          <w:rPr>
            <w:webHidden/>
          </w:rPr>
          <w:t>25</w:t>
        </w:r>
        <w:r>
          <w:rPr>
            <w:webHidden/>
          </w:rPr>
          <w:fldChar w:fldCharType="end"/>
        </w:r>
      </w:hyperlink>
    </w:p>
    <w:p w14:paraId="5623E8C5" w14:textId="4C3CBBA3" w:rsidR="00773B26" w:rsidRDefault="00773B26">
      <w:pPr>
        <w:pStyle w:val="TOC1"/>
        <w:rPr>
          <w:rFonts w:asciiTheme="minorHAnsi" w:eastAsiaTheme="minorEastAsia" w:hAnsiTheme="minorHAnsi" w:cstheme="minorBidi"/>
          <w:b w:val="0"/>
          <w:color w:val="auto"/>
          <w:kern w:val="2"/>
          <w:sz w:val="24"/>
          <w:szCs w:val="24"/>
          <w14:ligatures w14:val="standardContextual"/>
        </w:rPr>
      </w:pPr>
      <w:hyperlink w:anchor="_Toc210056004" w:history="1">
        <w:r w:rsidRPr="001670C2">
          <w:rPr>
            <w:rStyle w:val="Hyperlink"/>
          </w:rPr>
          <w:t>Consultation questions</w:t>
        </w:r>
        <w:r>
          <w:rPr>
            <w:webHidden/>
          </w:rPr>
          <w:tab/>
        </w:r>
        <w:r>
          <w:rPr>
            <w:webHidden/>
          </w:rPr>
          <w:fldChar w:fldCharType="begin"/>
        </w:r>
        <w:r>
          <w:rPr>
            <w:webHidden/>
          </w:rPr>
          <w:instrText xml:space="preserve"> PAGEREF _Toc210056004 \h </w:instrText>
        </w:r>
        <w:r>
          <w:rPr>
            <w:webHidden/>
          </w:rPr>
        </w:r>
        <w:r>
          <w:rPr>
            <w:webHidden/>
          </w:rPr>
          <w:fldChar w:fldCharType="separate"/>
        </w:r>
        <w:r>
          <w:rPr>
            <w:webHidden/>
          </w:rPr>
          <w:t>27</w:t>
        </w:r>
        <w:r>
          <w:rPr>
            <w:webHidden/>
          </w:rPr>
          <w:fldChar w:fldCharType="end"/>
        </w:r>
      </w:hyperlink>
    </w:p>
    <w:p w14:paraId="6594C246" w14:textId="3AA5C0E2" w:rsidR="000E0B74" w:rsidRDefault="00257AEE" w:rsidP="00656356">
      <w:pPr>
        <w:pStyle w:val="SingleParagraph"/>
        <w:tabs>
          <w:tab w:val="right" w:leader="dot" w:pos="9072"/>
        </w:tabs>
        <w:ind w:right="-2"/>
        <w:rPr>
          <w:color w:val="004A7F"/>
          <w:szCs w:val="22"/>
        </w:rPr>
      </w:pPr>
      <w:r w:rsidRPr="00BE298D">
        <w:rPr>
          <w:color w:val="004A7F"/>
          <w:szCs w:val="22"/>
          <w:highlight w:val="yellow"/>
        </w:rPr>
        <w:fldChar w:fldCharType="end"/>
      </w:r>
    </w:p>
    <w:p w14:paraId="5C83E470" w14:textId="77777777" w:rsidR="00D64E14" w:rsidRDefault="00D64E14" w:rsidP="00D64E14">
      <w:pPr>
        <w:rPr>
          <w:color w:val="004A7F"/>
          <w:szCs w:val="22"/>
        </w:rPr>
      </w:pPr>
    </w:p>
    <w:p w14:paraId="297EBD0F" w14:textId="4D51EE55" w:rsidR="000E0B74" w:rsidRPr="00B94449" w:rsidRDefault="00D64E14" w:rsidP="00D64E14">
      <w:pPr>
        <w:tabs>
          <w:tab w:val="left" w:pos="2655"/>
        </w:tabs>
        <w:rPr>
          <w:color w:val="004A7F"/>
          <w:szCs w:val="22"/>
        </w:rPr>
        <w:sectPr w:rsidR="000E0B74" w:rsidRPr="00B94449" w:rsidSect="008043EA">
          <w:footerReference w:type="default" r:id="rId18"/>
          <w:pgSz w:w="11906" w:h="16838" w:code="9"/>
          <w:pgMar w:top="1843" w:right="1418" w:bottom="1418" w:left="1418" w:header="709" w:footer="709" w:gutter="0"/>
          <w:pgNumType w:fmt="lowerRoman"/>
          <w:cols w:space="708"/>
          <w:titlePg/>
          <w:docGrid w:linePitch="360"/>
        </w:sectPr>
      </w:pPr>
      <w:r>
        <w:rPr>
          <w:color w:val="004A7F"/>
          <w:szCs w:val="22"/>
        </w:rPr>
        <w:tab/>
      </w:r>
      <w:r>
        <w:tab/>
      </w:r>
    </w:p>
    <w:p w14:paraId="7E27AF41" w14:textId="7ECA0D3C" w:rsidR="000E0B74" w:rsidRDefault="000E0B74" w:rsidP="00354FBB">
      <w:pPr>
        <w:pStyle w:val="Heading1"/>
      </w:pPr>
      <w:bookmarkStart w:id="2" w:name="_Toc210055962"/>
      <w:bookmarkStart w:id="3" w:name="_Toc432067103"/>
      <w:r>
        <w:t xml:space="preserve">Consultation </w:t>
      </w:r>
      <w:r w:rsidR="002243D7">
        <w:t>p</w:t>
      </w:r>
      <w:r>
        <w:t>rocess</w:t>
      </w:r>
      <w:bookmarkEnd w:id="2"/>
    </w:p>
    <w:p w14:paraId="537B4367" w14:textId="77777777" w:rsidR="000E0B74" w:rsidRDefault="000E0B74" w:rsidP="000E0B74">
      <w:pPr>
        <w:pStyle w:val="Heading2"/>
      </w:pPr>
      <w:bookmarkStart w:id="4" w:name="_Toc210055963"/>
      <w:r>
        <w:t>Request for feedback and comments</w:t>
      </w:r>
      <w:bookmarkEnd w:id="4"/>
    </w:p>
    <w:p w14:paraId="3AD5AABF" w14:textId="32F9E44B" w:rsidR="000E0B74" w:rsidRPr="0084131F" w:rsidRDefault="00C5729D" w:rsidP="000E0B74">
      <w:pPr>
        <w:rPr>
          <w:highlight w:val="yellow"/>
        </w:rPr>
      </w:pPr>
      <w:r w:rsidRPr="00D12CBB">
        <w:t xml:space="preserve">The purpose of this consultation paper </w:t>
      </w:r>
      <w:r w:rsidR="005638D9" w:rsidRPr="00D12CBB">
        <w:t xml:space="preserve">is to seek stakeholder input </w:t>
      </w:r>
      <w:r w:rsidR="008D1E76" w:rsidRPr="00D12CBB">
        <w:t xml:space="preserve">on issues </w:t>
      </w:r>
      <w:r w:rsidR="003E4773" w:rsidRPr="00D12CBB">
        <w:t xml:space="preserve">which </w:t>
      </w:r>
      <w:r w:rsidR="00B70D1E" w:rsidRPr="00D12CBB">
        <w:t xml:space="preserve">will assist the Minister to produce a report that determines </w:t>
      </w:r>
      <w:r w:rsidR="003E4773" w:rsidRPr="00D12CBB">
        <w:t xml:space="preserve">whether there is a need for the </w:t>
      </w:r>
      <w:r w:rsidR="003E4773" w:rsidRPr="00D12CBB">
        <w:rPr>
          <w:i/>
          <w:iCs/>
        </w:rPr>
        <w:t>Terrorism and Cyclone Insurance Act 2003</w:t>
      </w:r>
      <w:r w:rsidR="003E4773" w:rsidRPr="00D12CBB">
        <w:t xml:space="preserve"> to continue in operation. </w:t>
      </w:r>
      <w:r w:rsidR="00FC0A4D" w:rsidRPr="00D12CBB">
        <w:t>Interested parties are invited to provide responses to one or more of the consultation questions outlined in this paper</w:t>
      </w:r>
      <w:r w:rsidR="00F7080F" w:rsidRPr="00D12CBB">
        <w:t xml:space="preserve"> by </w:t>
      </w:r>
      <w:r w:rsidR="005E3875" w:rsidRPr="0084131F">
        <w:t>1</w:t>
      </w:r>
      <w:r w:rsidR="0060290B">
        <w:t>1 November</w:t>
      </w:r>
      <w:r w:rsidR="00130CC4" w:rsidRPr="005E3875">
        <w:t xml:space="preserve"> 2025. </w:t>
      </w:r>
    </w:p>
    <w:p w14:paraId="21EF98E9" w14:textId="77777777" w:rsidR="009D3099" w:rsidRPr="0084131F" w:rsidRDefault="009D3099" w:rsidP="009D3099">
      <w:r w:rsidRPr="0084131F">
        <w:t>To help you prepare your response, we recommend that you:</w:t>
      </w:r>
    </w:p>
    <w:p w14:paraId="7FC9E82D" w14:textId="77777777" w:rsidR="009D3099" w:rsidRPr="0084131F" w:rsidRDefault="009D3099" w:rsidP="009D3099">
      <w:pPr>
        <w:numPr>
          <w:ilvl w:val="0"/>
          <w:numId w:val="47"/>
        </w:numPr>
      </w:pPr>
      <w:r w:rsidRPr="0084131F">
        <w:t>read the supporting documents</w:t>
      </w:r>
    </w:p>
    <w:p w14:paraId="7FDCF5C3" w14:textId="77777777" w:rsidR="009D3099" w:rsidRPr="0084131F" w:rsidRDefault="009D3099" w:rsidP="009D3099">
      <w:pPr>
        <w:numPr>
          <w:ilvl w:val="0"/>
          <w:numId w:val="47"/>
        </w:numPr>
      </w:pPr>
      <w:r w:rsidRPr="0084131F">
        <w:t>prepare your response in Word (DOCX or RTF) format, you can also upload PDF files as an alternative</w:t>
      </w:r>
    </w:p>
    <w:p w14:paraId="5ACD3DF0" w14:textId="77777777" w:rsidR="009D3099" w:rsidRPr="0084131F" w:rsidRDefault="009D3099" w:rsidP="009D3099">
      <w:pPr>
        <w:numPr>
          <w:ilvl w:val="0"/>
          <w:numId w:val="47"/>
        </w:numPr>
      </w:pPr>
      <w:hyperlink r:id="rId19" w:history="1">
        <w:r w:rsidRPr="0084131F">
          <w:rPr>
            <w:rStyle w:val="Hyperlink"/>
          </w:rPr>
          <w:t>read our submission guidelines</w:t>
        </w:r>
      </w:hyperlink>
    </w:p>
    <w:p w14:paraId="0ECE0305" w14:textId="77777777" w:rsidR="009D3099" w:rsidRPr="0084131F" w:rsidRDefault="009D3099" w:rsidP="009D3099">
      <w:pPr>
        <w:numPr>
          <w:ilvl w:val="0"/>
          <w:numId w:val="47"/>
        </w:numPr>
      </w:pPr>
      <w:hyperlink r:id="rId20" w:history="1">
        <w:r w:rsidRPr="0084131F">
          <w:rPr>
            <w:rStyle w:val="Hyperlink"/>
          </w:rPr>
          <w:t>read our privacy policy</w:t>
        </w:r>
      </w:hyperlink>
    </w:p>
    <w:p w14:paraId="1056A0B3" w14:textId="77777777" w:rsidR="009D3099" w:rsidRPr="0084131F" w:rsidRDefault="009D3099" w:rsidP="009D3099">
      <w:r w:rsidRPr="0084131F">
        <w:t>You must agree to our privacy collection statement to submit your response.</w:t>
      </w:r>
    </w:p>
    <w:p w14:paraId="665FAA3F" w14:textId="77777777" w:rsidR="009D3099" w:rsidRDefault="009D3099" w:rsidP="009D3099">
      <w:r w:rsidRPr="0084131F">
        <w:t>If you have any issues submitting your response, you can contact us.</w:t>
      </w:r>
    </w:p>
    <w:p w14:paraId="5696DC81" w14:textId="77777777" w:rsidR="00B14BD0" w:rsidRPr="003E5C39" w:rsidRDefault="00B14BD0" w:rsidP="00A30B54">
      <w:pPr>
        <w:pStyle w:val="Heading3"/>
      </w:pPr>
      <w:bookmarkStart w:id="5" w:name="_Toc207898442"/>
      <w:bookmarkStart w:id="6" w:name="_Toc210055964"/>
      <w:r w:rsidRPr="003E5C39">
        <w:t>Personal information collection</w:t>
      </w:r>
      <w:bookmarkEnd w:id="5"/>
      <w:bookmarkEnd w:id="6"/>
    </w:p>
    <w:p w14:paraId="74962C88" w14:textId="77777777" w:rsidR="00B14BD0" w:rsidRPr="00B14BD0" w:rsidRDefault="00B14BD0" w:rsidP="00B14BD0">
      <w:r w:rsidRPr="00B14BD0">
        <w:t>The Treasury collects your personal information to seek your views on the </w:t>
      </w:r>
      <w:r w:rsidRPr="00B14BD0">
        <w:rPr>
          <w:i/>
          <w:iCs/>
        </w:rPr>
        <w:t>Cyclone and Terrorism Insurance Act 2003</w:t>
      </w:r>
      <w:r w:rsidRPr="00B14BD0">
        <w:t>.</w:t>
      </w:r>
    </w:p>
    <w:p w14:paraId="40375E49" w14:textId="77777777" w:rsidR="00B14BD0" w:rsidRPr="00B14BD0" w:rsidRDefault="00B14BD0" w:rsidP="00B14BD0">
      <w:r w:rsidRPr="00B14BD0">
        <w:t>We may also use your name and email to:</w:t>
      </w:r>
    </w:p>
    <w:p w14:paraId="2728DA2E" w14:textId="77777777" w:rsidR="00B14BD0" w:rsidRPr="00B14BD0" w:rsidRDefault="00B14BD0" w:rsidP="00B14BD0">
      <w:pPr>
        <w:numPr>
          <w:ilvl w:val="0"/>
          <w:numId w:val="48"/>
        </w:numPr>
      </w:pPr>
      <w:r w:rsidRPr="00B14BD0">
        <w:t>ask you for more feedback or</w:t>
      </w:r>
    </w:p>
    <w:p w14:paraId="6546F15F" w14:textId="77777777" w:rsidR="00B14BD0" w:rsidRPr="00B14BD0" w:rsidRDefault="00B14BD0" w:rsidP="00B14BD0">
      <w:pPr>
        <w:numPr>
          <w:ilvl w:val="0"/>
          <w:numId w:val="48"/>
        </w:numPr>
      </w:pPr>
      <w:r w:rsidRPr="00B14BD0">
        <w:t>invite you to future-related consultations.</w:t>
      </w:r>
    </w:p>
    <w:p w14:paraId="6DA6C178" w14:textId="77777777" w:rsidR="00B14BD0" w:rsidRPr="00B14BD0" w:rsidRDefault="00B14BD0" w:rsidP="00B14BD0">
      <w:r w:rsidRPr="00B14BD0">
        <w:t>If you don't provide this information, you cannot submit your response via Converlens.</w:t>
      </w:r>
    </w:p>
    <w:p w14:paraId="31591161" w14:textId="77777777" w:rsidR="00B14BD0" w:rsidRPr="00B14BD0" w:rsidRDefault="00B14BD0" w:rsidP="00B14BD0">
      <w:r w:rsidRPr="00B14BD0">
        <w:t>We collect the following personal information:</w:t>
      </w:r>
    </w:p>
    <w:p w14:paraId="40FC8896" w14:textId="77777777" w:rsidR="00B14BD0" w:rsidRPr="00B14BD0" w:rsidRDefault="00B14BD0" w:rsidP="00B14BD0">
      <w:pPr>
        <w:numPr>
          <w:ilvl w:val="0"/>
          <w:numId w:val="49"/>
        </w:numPr>
      </w:pPr>
      <w:r w:rsidRPr="00B14BD0">
        <w:t>full name</w:t>
      </w:r>
    </w:p>
    <w:p w14:paraId="3310ADDF" w14:textId="77777777" w:rsidR="00B14BD0" w:rsidRPr="00B14BD0" w:rsidRDefault="00B14BD0" w:rsidP="00B14BD0">
      <w:pPr>
        <w:numPr>
          <w:ilvl w:val="0"/>
          <w:numId w:val="49"/>
        </w:numPr>
      </w:pPr>
      <w:r w:rsidRPr="00B14BD0">
        <w:t>email address</w:t>
      </w:r>
    </w:p>
    <w:p w14:paraId="21EB1383" w14:textId="77777777" w:rsidR="00B14BD0" w:rsidRPr="00B14BD0" w:rsidRDefault="00B14BD0" w:rsidP="00B14BD0">
      <w:pPr>
        <w:numPr>
          <w:ilvl w:val="0"/>
          <w:numId w:val="49"/>
        </w:numPr>
      </w:pPr>
      <w:r w:rsidRPr="00B14BD0">
        <w:t>location and</w:t>
      </w:r>
    </w:p>
    <w:p w14:paraId="525857B7" w14:textId="77777777" w:rsidR="00B14BD0" w:rsidRPr="00B14BD0" w:rsidRDefault="00B14BD0" w:rsidP="00B14BD0">
      <w:pPr>
        <w:numPr>
          <w:ilvl w:val="0"/>
          <w:numId w:val="49"/>
        </w:numPr>
      </w:pPr>
      <w:r w:rsidRPr="00B14BD0">
        <w:t>the organisation you represent.</w:t>
      </w:r>
    </w:p>
    <w:p w14:paraId="2229DA21" w14:textId="77777777" w:rsidR="00B14BD0" w:rsidRPr="00B14BD0" w:rsidRDefault="00B14BD0" w:rsidP="00B14BD0">
      <w:r w:rsidRPr="00B14BD0">
        <w:t>We'll only use or share your information for the consultation, unless:</w:t>
      </w:r>
    </w:p>
    <w:p w14:paraId="3AA1E4E0" w14:textId="77777777" w:rsidR="00B14BD0" w:rsidRPr="00B14BD0" w:rsidRDefault="00B14BD0" w:rsidP="00B14BD0">
      <w:pPr>
        <w:numPr>
          <w:ilvl w:val="0"/>
          <w:numId w:val="50"/>
        </w:numPr>
      </w:pPr>
      <w:r w:rsidRPr="00B14BD0">
        <w:t>you agree otherwise</w:t>
      </w:r>
    </w:p>
    <w:p w14:paraId="6FD64AC0" w14:textId="77777777" w:rsidR="00B14BD0" w:rsidRPr="00B14BD0" w:rsidRDefault="00B14BD0" w:rsidP="00B14BD0">
      <w:pPr>
        <w:numPr>
          <w:ilvl w:val="0"/>
          <w:numId w:val="50"/>
        </w:numPr>
      </w:pPr>
      <w:r w:rsidRPr="00B14BD0">
        <w:t>you'd expect it or</w:t>
      </w:r>
    </w:p>
    <w:p w14:paraId="0AFE9EBD" w14:textId="77777777" w:rsidR="00B14BD0" w:rsidRPr="00B14BD0" w:rsidRDefault="00B14BD0" w:rsidP="00B14BD0">
      <w:pPr>
        <w:numPr>
          <w:ilvl w:val="0"/>
          <w:numId w:val="50"/>
        </w:numPr>
      </w:pPr>
      <w:r w:rsidRPr="00B14BD0">
        <w:t>the law allows or requires it.</w:t>
      </w:r>
    </w:p>
    <w:p w14:paraId="651C7D38" w14:textId="77777777" w:rsidR="00B14BD0" w:rsidRPr="00B14BD0" w:rsidRDefault="00B14BD0" w:rsidP="00B14BD0">
      <w:r w:rsidRPr="00B14BD0">
        <w:t>Information may be shared with Treasury staff, contractors, ministerial offices or relevant agencies.</w:t>
      </w:r>
    </w:p>
    <w:p w14:paraId="10FCAEE7" w14:textId="77777777" w:rsidR="00B14BD0" w:rsidRPr="003E5C39" w:rsidRDefault="00B14BD0" w:rsidP="00A30B54">
      <w:pPr>
        <w:pStyle w:val="Heading3"/>
      </w:pPr>
      <w:bookmarkStart w:id="7" w:name="_Toc207898443"/>
      <w:bookmarkStart w:id="8" w:name="_Toc210055965"/>
      <w:r w:rsidRPr="003E5C39">
        <w:t>Converlens privacy policy</w:t>
      </w:r>
      <w:bookmarkEnd w:id="7"/>
      <w:bookmarkEnd w:id="8"/>
    </w:p>
    <w:p w14:paraId="48CE9A6D" w14:textId="77777777" w:rsidR="00B14BD0" w:rsidRPr="00B14BD0" w:rsidRDefault="00B14BD0" w:rsidP="00B14BD0">
      <w:r w:rsidRPr="00B14BD0">
        <w:t>We use Converlens to collect and store your information in Australia.</w:t>
      </w:r>
    </w:p>
    <w:p w14:paraId="28B1BFF1" w14:textId="743D5B08" w:rsidR="00B14BD0" w:rsidRPr="0084131F" w:rsidRDefault="00B14BD0" w:rsidP="009D3099">
      <w:hyperlink r:id="rId21" w:tgtFrame="_blank" w:history="1">
        <w:r w:rsidRPr="00B14BD0">
          <w:rPr>
            <w:rStyle w:val="Hyperlink"/>
          </w:rPr>
          <w:t>Visit Converlens' privacy policy for more details</w:t>
        </w:r>
      </w:hyperlink>
    </w:p>
    <w:p w14:paraId="16973134" w14:textId="68B5A5C1" w:rsidR="00B96DD9" w:rsidRDefault="00B96DD9" w:rsidP="00A30B54">
      <w:pPr>
        <w:pStyle w:val="Heading3"/>
        <w:rPr>
          <w:rFonts w:eastAsia="Calibri Light" w:cs="Calibri Light"/>
        </w:rPr>
      </w:pPr>
      <w:bookmarkStart w:id="9" w:name="_Toc207106364"/>
      <w:bookmarkStart w:id="10" w:name="_Toc207898444"/>
      <w:bookmarkStart w:id="11" w:name="_Toc210055966"/>
      <w:bookmarkEnd w:id="3"/>
      <w:r w:rsidRPr="003E5C39">
        <w:rPr>
          <w:rFonts w:eastAsia="Calibri Light"/>
        </w:rPr>
        <w:t>Closing date for submissions:</w:t>
      </w:r>
      <w:r>
        <w:rPr>
          <w:rFonts w:eastAsia="Calibri Light"/>
        </w:rPr>
        <w:t xml:space="preserve"> </w:t>
      </w:r>
      <w:r w:rsidR="00AA108F" w:rsidRPr="0084131F">
        <w:rPr>
          <w:rFonts w:eastAsia="Calibri Light"/>
        </w:rPr>
        <w:t>1</w:t>
      </w:r>
      <w:r w:rsidR="0060290B">
        <w:rPr>
          <w:rFonts w:eastAsia="Calibri Light"/>
        </w:rPr>
        <w:t>1</w:t>
      </w:r>
      <w:r w:rsidR="00AA108F" w:rsidRPr="0084131F">
        <w:rPr>
          <w:rFonts w:eastAsia="Calibri Light"/>
        </w:rPr>
        <w:t xml:space="preserve"> </w:t>
      </w:r>
      <w:r w:rsidR="0060290B">
        <w:rPr>
          <w:rFonts w:eastAsia="Calibri Light" w:cs="Calibri Light"/>
        </w:rPr>
        <w:t>November</w:t>
      </w:r>
      <w:r>
        <w:rPr>
          <w:rFonts w:eastAsia="Calibri Light" w:cs="Calibri Light"/>
        </w:rPr>
        <w:t xml:space="preserve"> 2025</w:t>
      </w:r>
      <w:bookmarkEnd w:id="9"/>
      <w:bookmarkEnd w:id="10"/>
      <w:bookmarkEnd w:id="11"/>
    </w:p>
    <w:tbl>
      <w:tblPr>
        <w:tblStyle w:val="TableGrid"/>
        <w:tblW w:w="0" w:type="auto"/>
        <w:tblLook w:val="04A0" w:firstRow="1" w:lastRow="0" w:firstColumn="1" w:lastColumn="0" w:noHBand="0" w:noVBand="1"/>
      </w:tblPr>
      <w:tblGrid>
        <w:gridCol w:w="1517"/>
        <w:gridCol w:w="7553"/>
      </w:tblGrid>
      <w:tr w:rsidR="004C623B" w14:paraId="051936E2" w14:textId="77777777" w:rsidTr="00B96DD9">
        <w:trPr>
          <w:cnfStyle w:val="100000000000" w:firstRow="1" w:lastRow="0" w:firstColumn="0" w:lastColumn="0" w:oddVBand="0" w:evenVBand="0" w:oddHBand="0" w:evenHBand="0" w:firstRowFirstColumn="0" w:firstRowLastColumn="0" w:lastRowFirstColumn="0" w:lastRowLastColumn="0"/>
        </w:trPr>
        <w:tc>
          <w:tcPr>
            <w:tcW w:w="1517" w:type="dxa"/>
            <w:hideMark/>
          </w:tcPr>
          <w:p w14:paraId="414761D8" w14:textId="77777777" w:rsidR="00B96DD9" w:rsidRPr="00A30B54" w:rsidRDefault="00B96DD9">
            <w:pPr>
              <w:spacing w:before="96" w:after="96"/>
              <w:rPr>
                <w:b w:val="0"/>
                <w:sz w:val="22"/>
                <w:szCs w:val="22"/>
              </w:rPr>
            </w:pPr>
            <w:bookmarkStart w:id="12" w:name="_Toc198811847"/>
            <w:r w:rsidRPr="00876911">
              <w:rPr>
                <w:b w:val="0"/>
                <w:sz w:val="22"/>
                <w:szCs w:val="24"/>
              </w:rPr>
              <w:t>Online</w:t>
            </w:r>
          </w:p>
        </w:tc>
        <w:tc>
          <w:tcPr>
            <w:tcW w:w="7553" w:type="dxa"/>
            <w:hideMark/>
          </w:tcPr>
          <w:p w14:paraId="6A818005" w14:textId="1C392599" w:rsidR="00B96DD9" w:rsidRPr="00437D03" w:rsidRDefault="00B96DD9">
            <w:pPr>
              <w:spacing w:before="96" w:after="96"/>
              <w:rPr>
                <w:b w:val="0"/>
                <w:sz w:val="22"/>
                <w:szCs w:val="22"/>
              </w:rPr>
            </w:pPr>
            <w:r w:rsidRPr="003B7354" w:rsidDel="00437D03">
              <w:rPr>
                <w:b w:val="0"/>
              </w:rPr>
              <w:t xml:space="preserve"> </w:t>
            </w:r>
            <w:r w:rsidR="008538C2" w:rsidRPr="00876911">
              <w:rPr>
                <w:b w:val="0"/>
                <w:sz w:val="22"/>
                <w:szCs w:val="22"/>
              </w:rPr>
              <w:t>https://consult.treasury.gov.au/c2025-688990/consultation</w:t>
            </w:r>
          </w:p>
        </w:tc>
      </w:tr>
      <w:tr w:rsidR="00B96DD9" w14:paraId="17702AF7" w14:textId="77777777" w:rsidTr="00A73FD8">
        <w:trPr>
          <w:trHeight w:val="74"/>
        </w:trPr>
        <w:tc>
          <w:tcPr>
            <w:tcW w:w="1517" w:type="dxa"/>
          </w:tcPr>
          <w:p w14:paraId="335B2144" w14:textId="77777777" w:rsidR="00B96DD9" w:rsidRDefault="00B96DD9">
            <w:pPr>
              <w:spacing w:before="0" w:after="0"/>
              <w:rPr>
                <w:sz w:val="22"/>
                <w:szCs w:val="22"/>
              </w:rPr>
            </w:pPr>
          </w:p>
        </w:tc>
        <w:tc>
          <w:tcPr>
            <w:tcW w:w="7553" w:type="dxa"/>
          </w:tcPr>
          <w:p w14:paraId="4A180B23" w14:textId="77777777" w:rsidR="00B96DD9" w:rsidRDefault="00B96DD9">
            <w:pPr>
              <w:pStyle w:val="SingleParagraph"/>
              <w:rPr>
                <w:sz w:val="22"/>
                <w:szCs w:val="22"/>
              </w:rPr>
            </w:pPr>
          </w:p>
        </w:tc>
      </w:tr>
      <w:tr w:rsidR="00B96DD9" w14:paraId="4603C5E4" w14:textId="77777777" w:rsidTr="00B96DD9">
        <w:tc>
          <w:tcPr>
            <w:tcW w:w="1517" w:type="dxa"/>
            <w:hideMark/>
          </w:tcPr>
          <w:p w14:paraId="452CF2C3" w14:textId="77777777" w:rsidR="00B96DD9" w:rsidRPr="0059595E" w:rsidRDefault="00B96DD9">
            <w:pPr>
              <w:spacing w:before="0" w:after="0"/>
              <w:rPr>
                <w:sz w:val="22"/>
                <w:szCs w:val="22"/>
              </w:rPr>
            </w:pPr>
            <w:r w:rsidRPr="0059595E">
              <w:rPr>
                <w:sz w:val="22"/>
                <w:szCs w:val="22"/>
              </w:rPr>
              <w:t>Enquiries</w:t>
            </w:r>
          </w:p>
        </w:tc>
        <w:tc>
          <w:tcPr>
            <w:tcW w:w="7553" w:type="dxa"/>
            <w:hideMark/>
          </w:tcPr>
          <w:p w14:paraId="686A030C" w14:textId="7F3ECFF8" w:rsidR="00B96DD9" w:rsidRPr="0059595E" w:rsidRDefault="00B96DD9">
            <w:pPr>
              <w:spacing w:before="0" w:after="0"/>
              <w:rPr>
                <w:sz w:val="22"/>
                <w:szCs w:val="22"/>
              </w:rPr>
            </w:pPr>
            <w:r w:rsidRPr="0059595E">
              <w:rPr>
                <w:rFonts w:cs="Arial"/>
                <w:sz w:val="22"/>
                <w:szCs w:val="22"/>
              </w:rPr>
              <w:t>Enquiries can be directed to the</w:t>
            </w:r>
            <w:r w:rsidR="004468E2" w:rsidRPr="0059595E">
              <w:rPr>
                <w:rFonts w:cs="Arial"/>
                <w:sz w:val="22"/>
                <w:szCs w:val="22"/>
              </w:rPr>
              <w:t xml:space="preserve"> </w:t>
            </w:r>
            <w:r w:rsidR="00751114" w:rsidRPr="0059595E">
              <w:rPr>
                <w:rFonts w:cs="Arial"/>
                <w:sz w:val="22"/>
                <w:szCs w:val="22"/>
              </w:rPr>
              <w:t>2025 Australian R</w:t>
            </w:r>
            <w:r w:rsidR="00922890" w:rsidRPr="0059595E">
              <w:rPr>
                <w:rFonts w:cs="Arial"/>
                <w:sz w:val="22"/>
                <w:szCs w:val="22"/>
              </w:rPr>
              <w:t xml:space="preserve">einsurance Pool Corporation Review </w:t>
            </w:r>
            <w:r w:rsidR="0059595E" w:rsidRPr="0059595E">
              <w:rPr>
                <w:rFonts w:cs="Arial"/>
                <w:sz w:val="22"/>
                <w:szCs w:val="22"/>
              </w:rPr>
              <w:t>Team</w:t>
            </w:r>
            <w:r w:rsidRPr="0059595E">
              <w:rPr>
                <w:rFonts w:cs="Arial"/>
                <w:sz w:val="22"/>
                <w:szCs w:val="22"/>
              </w:rPr>
              <w:t xml:space="preserve"> at </w:t>
            </w:r>
            <w:hyperlink r:id="rId22" w:history="1">
              <w:r w:rsidR="0059595E" w:rsidRPr="004C57FB">
                <w:rPr>
                  <w:rStyle w:val="Hyperlink"/>
                  <w:sz w:val="22"/>
                  <w:szCs w:val="24"/>
                </w:rPr>
                <w:t>arpcreview@treasury.gov.au</w:t>
              </w:r>
            </w:hyperlink>
            <w:r w:rsidR="0059595E" w:rsidRPr="004C57FB">
              <w:rPr>
                <w:sz w:val="22"/>
                <w:szCs w:val="24"/>
              </w:rPr>
              <w:t xml:space="preserve">. </w:t>
            </w:r>
          </w:p>
        </w:tc>
      </w:tr>
    </w:tbl>
    <w:bookmarkEnd w:id="12"/>
    <w:p w14:paraId="098394F3" w14:textId="77777777" w:rsidR="00A73FD8" w:rsidRDefault="00A73FD8" w:rsidP="00A73FD8">
      <w:r w:rsidRPr="00611CAF">
        <w:t>The principles outlined in this paper have not received government approval and are not yet law. As a consequence, this paper is merely a guide as to how the principles might operate.</w:t>
      </w:r>
    </w:p>
    <w:p w14:paraId="19CB9033" w14:textId="77777777" w:rsidR="00B96DD9" w:rsidRDefault="00B96DD9" w:rsidP="00B96DD9">
      <w:pPr>
        <w:spacing w:before="0" w:after="160"/>
      </w:pPr>
      <w:r>
        <w:br w:type="page"/>
      </w:r>
    </w:p>
    <w:p w14:paraId="0A6810EF" w14:textId="5F6E1D22" w:rsidR="000E0B74" w:rsidRPr="00A30B54" w:rsidRDefault="007005E6" w:rsidP="00354FBB">
      <w:pPr>
        <w:pStyle w:val="Heading1"/>
        <w:rPr>
          <w:b w:val="0"/>
        </w:rPr>
      </w:pPr>
      <w:bookmarkStart w:id="13" w:name="_Toc210055967"/>
      <w:r w:rsidRPr="00A30B54">
        <w:rPr>
          <w:b w:val="0"/>
        </w:rPr>
        <w:t xml:space="preserve">Review of </w:t>
      </w:r>
      <w:r w:rsidR="00E61C0D" w:rsidRPr="00A30B54">
        <w:rPr>
          <w:b w:val="0"/>
        </w:rPr>
        <w:t xml:space="preserve">the </w:t>
      </w:r>
      <w:r w:rsidRPr="00A30B54">
        <w:rPr>
          <w:b w:val="0"/>
        </w:rPr>
        <w:t>Terrorism and Cyclone Insurance Act 2003</w:t>
      </w:r>
      <w:bookmarkEnd w:id="13"/>
      <w:r w:rsidRPr="00A30B54">
        <w:rPr>
          <w:b w:val="0"/>
        </w:rPr>
        <w:t xml:space="preserve"> </w:t>
      </w:r>
    </w:p>
    <w:p w14:paraId="1CBE37B4" w14:textId="520F6C75" w:rsidR="000E0B74" w:rsidRDefault="000E0B74" w:rsidP="00761967">
      <w:pPr>
        <w:pStyle w:val="Heading2"/>
      </w:pPr>
      <w:bookmarkStart w:id="14" w:name="_Toc306887371"/>
      <w:bookmarkStart w:id="15" w:name="_Toc432064635"/>
      <w:bookmarkStart w:id="16" w:name="_Toc210055968"/>
      <w:bookmarkStart w:id="17" w:name="_Hlk202442525"/>
      <w:r>
        <w:t>In</w:t>
      </w:r>
      <w:bookmarkStart w:id="18" w:name="_Hlk202442518"/>
      <w:r>
        <w:t>t</w:t>
      </w:r>
      <w:bookmarkEnd w:id="18"/>
      <w:r>
        <w:t>roduction</w:t>
      </w:r>
      <w:bookmarkEnd w:id="14"/>
      <w:bookmarkEnd w:id="15"/>
      <w:bookmarkEnd w:id="16"/>
    </w:p>
    <w:bookmarkEnd w:id="17"/>
    <w:p w14:paraId="378C5227" w14:textId="1BA96F56" w:rsidR="00A277F0" w:rsidRDefault="005204A7" w:rsidP="00E10D39">
      <w:r>
        <w:t xml:space="preserve">The </w:t>
      </w:r>
      <w:r w:rsidR="00F97722" w:rsidRPr="0014520A">
        <w:rPr>
          <w:i/>
          <w:iCs/>
        </w:rPr>
        <w:t xml:space="preserve">Terrorism and Cyclone Insurance Act </w:t>
      </w:r>
      <w:r w:rsidR="00F97722" w:rsidRPr="0034566D">
        <w:rPr>
          <w:i/>
        </w:rPr>
        <w:t>2003</w:t>
      </w:r>
      <w:r w:rsidR="00F97722" w:rsidRPr="00077D4B">
        <w:t xml:space="preserve"> (the</w:t>
      </w:r>
      <w:r w:rsidR="00F97722" w:rsidRPr="002447C9">
        <w:rPr>
          <w:iCs/>
        </w:rPr>
        <w:t xml:space="preserve"> Act</w:t>
      </w:r>
      <w:r w:rsidR="00F97722" w:rsidRPr="00077D4B">
        <w:rPr>
          <w:iCs/>
        </w:rPr>
        <w:t>)</w:t>
      </w:r>
      <w:r w:rsidRPr="00077D4B">
        <w:rPr>
          <w:iCs/>
        </w:rPr>
        <w:t xml:space="preserve"> </w:t>
      </w:r>
      <w:r w:rsidR="00445EDC">
        <w:rPr>
          <w:iCs/>
        </w:rPr>
        <w:t xml:space="preserve">(previously named the </w:t>
      </w:r>
      <w:r w:rsidR="00445EDC" w:rsidRPr="009855BD">
        <w:rPr>
          <w:i/>
        </w:rPr>
        <w:t>Terrorism Insurance Act 2003</w:t>
      </w:r>
      <w:r w:rsidR="00445EDC">
        <w:rPr>
          <w:iCs/>
        </w:rPr>
        <w:t xml:space="preserve">) </w:t>
      </w:r>
      <w:r w:rsidR="000319A6">
        <w:t xml:space="preserve">provides the legislative </w:t>
      </w:r>
      <w:r w:rsidR="006F2883">
        <w:t xml:space="preserve">underpinning for the </w:t>
      </w:r>
      <w:r w:rsidR="00E32E47">
        <w:t>Australian Reinsurance Pool Corporation (</w:t>
      </w:r>
      <w:r w:rsidR="00F97722">
        <w:t>ARPC</w:t>
      </w:r>
      <w:r w:rsidR="00E32E47">
        <w:t>)</w:t>
      </w:r>
      <w:r w:rsidR="006F2883">
        <w:t xml:space="preserve">’s operation of </w:t>
      </w:r>
      <w:r w:rsidR="00E10601">
        <w:t xml:space="preserve">the </w:t>
      </w:r>
      <w:r w:rsidR="00A8415F">
        <w:t>Terrorism Reinsurance Pool (terror</w:t>
      </w:r>
      <w:r w:rsidR="009572FA">
        <w:t>ism</w:t>
      </w:r>
      <w:r w:rsidR="00A8415F">
        <w:t xml:space="preserve"> pool</w:t>
      </w:r>
      <w:r w:rsidR="000A4E26">
        <w:t xml:space="preserve">) and Cyclone Reinsurance Pool (cyclone pool). The </w:t>
      </w:r>
      <w:r w:rsidR="000A4E26" w:rsidRPr="002447C9">
        <w:t>Act</w:t>
      </w:r>
      <w:r w:rsidR="000A4E26">
        <w:t xml:space="preserve"> requires the Minister to prepare a report that reviews the need for the</w:t>
      </w:r>
      <w:r w:rsidR="000A4E26" w:rsidRPr="00436AEB">
        <w:rPr>
          <w:i/>
          <w:iCs/>
        </w:rPr>
        <w:t xml:space="preserve"> </w:t>
      </w:r>
      <w:r w:rsidR="000A4E26" w:rsidRPr="002447C9">
        <w:t>Act</w:t>
      </w:r>
      <w:r w:rsidR="000A4E26">
        <w:t xml:space="preserve"> to continue in operation </w:t>
      </w:r>
      <w:r w:rsidR="00BD2285">
        <w:t xml:space="preserve">as soon as practical after 1 July 2025 and </w:t>
      </w:r>
      <w:r w:rsidR="000C73BB">
        <w:t xml:space="preserve">at least once every </w:t>
      </w:r>
      <w:r w:rsidR="005625AD">
        <w:t>five</w:t>
      </w:r>
      <w:r w:rsidR="000C73BB">
        <w:t xml:space="preserve"> years</w:t>
      </w:r>
      <w:r w:rsidR="00BD2285">
        <w:t xml:space="preserve"> after that day</w:t>
      </w:r>
      <w:r w:rsidR="00E02ECB">
        <w:t xml:space="preserve">. </w:t>
      </w:r>
      <w:r w:rsidR="000A4E26">
        <w:t xml:space="preserve">The Act was previously reviewed </w:t>
      </w:r>
      <w:r w:rsidR="0082060D">
        <w:t xml:space="preserve">on a triennial basis </w:t>
      </w:r>
      <w:r w:rsidR="001949AC">
        <w:t>in 2006, 2009, 2012, 2015, 2018 and 2021</w:t>
      </w:r>
      <w:r w:rsidR="000A4E26">
        <w:t>.</w:t>
      </w:r>
    </w:p>
    <w:p w14:paraId="5F64B9DF" w14:textId="4241F1C2" w:rsidR="00B51D40" w:rsidRDefault="00844750" w:rsidP="00E10D39">
      <w:r>
        <w:t xml:space="preserve">To meet the Minister’s requirement </w:t>
      </w:r>
      <w:r w:rsidR="009B08B3">
        <w:t xml:space="preserve">under </w:t>
      </w:r>
      <w:r>
        <w:t xml:space="preserve">the Act, Treasury has been tasked to </w:t>
      </w:r>
      <w:r w:rsidR="00BB1316">
        <w:t xml:space="preserve">undertake </w:t>
      </w:r>
      <w:r w:rsidR="000105A7">
        <w:t xml:space="preserve">a review </w:t>
      </w:r>
      <w:r w:rsidR="005A6E64">
        <w:t>considering</w:t>
      </w:r>
      <w:r w:rsidR="009147F2">
        <w:t xml:space="preserve"> the </w:t>
      </w:r>
      <w:r w:rsidR="005A6E64">
        <w:t xml:space="preserve">need for </w:t>
      </w:r>
      <w:r w:rsidR="009147F2">
        <w:t>the Act</w:t>
      </w:r>
      <w:r w:rsidR="005A6E64">
        <w:t xml:space="preserve"> to continue</w:t>
      </w:r>
      <w:r w:rsidR="0096369A">
        <w:t xml:space="preserve">. As part of this, Treasury </w:t>
      </w:r>
      <w:r w:rsidR="002861C4">
        <w:t xml:space="preserve">has drafted this consultation paper, informed by the terms of reference, and is seeking your </w:t>
      </w:r>
      <w:r w:rsidR="00647633">
        <w:t>responses to</w:t>
      </w:r>
      <w:r w:rsidR="002861C4">
        <w:t xml:space="preserve"> the questions in this consultation paper by </w:t>
      </w:r>
      <w:r w:rsidR="0060290B">
        <w:t>11 November</w:t>
      </w:r>
      <w:r w:rsidR="002861C4">
        <w:t xml:space="preserve"> 2025. When drafting your submission, you may answer all the questions or, the questions relevant to you. The consultation process will inform the final </w:t>
      </w:r>
      <w:r w:rsidR="00FB6107">
        <w:t>report</w:t>
      </w:r>
      <w:r w:rsidR="002861C4">
        <w:t xml:space="preserve">.  </w:t>
      </w:r>
    </w:p>
    <w:p w14:paraId="37D4DE87" w14:textId="3E294966" w:rsidR="00847F69" w:rsidRDefault="00847F69" w:rsidP="00970A65">
      <w:pPr>
        <w:pStyle w:val="Heading2"/>
      </w:pPr>
      <w:bookmarkStart w:id="19" w:name="_Toc210055969"/>
      <w:bookmarkStart w:id="20" w:name="_Hlk202442593"/>
      <w:r>
        <w:t xml:space="preserve">Terms </w:t>
      </w:r>
      <w:bookmarkStart w:id="21" w:name="_Hlk202442587"/>
      <w:r>
        <w:t>of reference</w:t>
      </w:r>
      <w:bookmarkEnd w:id="19"/>
      <w:r>
        <w:t xml:space="preserve"> </w:t>
      </w:r>
      <w:bookmarkEnd w:id="21"/>
    </w:p>
    <w:bookmarkEnd w:id="20"/>
    <w:p w14:paraId="77AC3B84" w14:textId="03D67108" w:rsidR="00847F69" w:rsidRPr="00C04193" w:rsidRDefault="00847F69" w:rsidP="00847F69">
      <w:pPr>
        <w:pStyle w:val="Bullet"/>
        <w:numPr>
          <w:ilvl w:val="0"/>
          <w:numId w:val="0"/>
        </w:numPr>
        <w:ind w:left="520" w:hanging="520"/>
        <w:rPr>
          <w:szCs w:val="22"/>
        </w:rPr>
      </w:pPr>
      <w:r w:rsidRPr="00C04193">
        <w:rPr>
          <w:szCs w:val="22"/>
        </w:rPr>
        <w:t>The review of the Act will consider:</w:t>
      </w:r>
    </w:p>
    <w:p w14:paraId="25743A87" w14:textId="3936473E" w:rsidR="00847F69" w:rsidRPr="00C04193" w:rsidRDefault="00D0300F" w:rsidP="00847F69">
      <w:pPr>
        <w:pStyle w:val="Bullet"/>
        <w:rPr>
          <w:szCs w:val="22"/>
        </w:rPr>
      </w:pPr>
      <w:r w:rsidRPr="00C04193" w:rsidDel="00967895">
        <w:rPr>
          <w:szCs w:val="22"/>
        </w:rPr>
        <w:t>w</w:t>
      </w:r>
      <w:r w:rsidR="00847F69" w:rsidRPr="00C04193" w:rsidDel="00967895">
        <w:rPr>
          <w:szCs w:val="22"/>
        </w:rPr>
        <w:t xml:space="preserve">hether </w:t>
      </w:r>
      <w:r w:rsidR="00847F69" w:rsidRPr="00C04193">
        <w:rPr>
          <w:szCs w:val="22"/>
        </w:rPr>
        <w:t xml:space="preserve">there is a need for the terrorism reinsurance pool to continue </w:t>
      </w:r>
    </w:p>
    <w:p w14:paraId="76F62561" w14:textId="62CD0969" w:rsidR="00847F69" w:rsidRPr="00C04193" w:rsidRDefault="00D0300F" w:rsidP="00847F69">
      <w:pPr>
        <w:pStyle w:val="Bullet"/>
        <w:rPr>
          <w:szCs w:val="22"/>
        </w:rPr>
      </w:pPr>
      <w:r w:rsidRPr="00C04193" w:rsidDel="00967895">
        <w:rPr>
          <w:szCs w:val="22"/>
        </w:rPr>
        <w:t>w</w:t>
      </w:r>
      <w:r w:rsidR="00847F69" w:rsidRPr="00C04193" w:rsidDel="00967895">
        <w:rPr>
          <w:szCs w:val="22"/>
        </w:rPr>
        <w:t xml:space="preserve">hether </w:t>
      </w:r>
      <w:r w:rsidR="00847F69" w:rsidRPr="00C04193">
        <w:rPr>
          <w:szCs w:val="22"/>
        </w:rPr>
        <w:t>the cyclone reinsurance pool is meeting its purpose of improving insurance access and affordability for households</w:t>
      </w:r>
      <w:r w:rsidR="002E61CE">
        <w:rPr>
          <w:szCs w:val="22"/>
        </w:rPr>
        <w:t xml:space="preserve">, </w:t>
      </w:r>
      <w:r w:rsidR="007C7950">
        <w:rPr>
          <w:szCs w:val="22"/>
        </w:rPr>
        <w:t>small businesses,</w:t>
      </w:r>
      <w:r w:rsidR="002E61CE">
        <w:rPr>
          <w:szCs w:val="22"/>
        </w:rPr>
        <w:t xml:space="preserve"> and residential and commercial strata with medium </w:t>
      </w:r>
      <w:r w:rsidR="00144367">
        <w:rPr>
          <w:szCs w:val="22"/>
        </w:rPr>
        <w:t>to</w:t>
      </w:r>
      <w:r w:rsidR="002E61CE">
        <w:rPr>
          <w:szCs w:val="22"/>
        </w:rPr>
        <w:t xml:space="preserve"> high cyclone and related flood damage risk</w:t>
      </w:r>
    </w:p>
    <w:p w14:paraId="5C05005C" w14:textId="1FE9B5BC" w:rsidR="00847F69" w:rsidRPr="00C04193" w:rsidRDefault="00D0300F" w:rsidP="00847F69">
      <w:pPr>
        <w:pStyle w:val="Bullet"/>
        <w:rPr>
          <w:szCs w:val="22"/>
        </w:rPr>
      </w:pPr>
      <w:r w:rsidRPr="00C04193" w:rsidDel="00967895">
        <w:rPr>
          <w:szCs w:val="22"/>
        </w:rPr>
        <w:t>w</w:t>
      </w:r>
      <w:r w:rsidR="00847F69" w:rsidRPr="00C04193" w:rsidDel="00967895">
        <w:rPr>
          <w:szCs w:val="22"/>
        </w:rPr>
        <w:t xml:space="preserve">hether </w:t>
      </w:r>
      <w:r w:rsidR="00847F69" w:rsidRPr="00C04193">
        <w:rPr>
          <w:szCs w:val="22"/>
        </w:rPr>
        <w:t xml:space="preserve">the cyclone reinsurance pool is maintaining incentives to reduce and mitigate the risk of eligible cyclone losses </w:t>
      </w:r>
    </w:p>
    <w:p w14:paraId="46EBA8A8" w14:textId="32EF2A25" w:rsidR="00847F69" w:rsidRPr="00C04193" w:rsidRDefault="00D0300F" w:rsidP="00847F69">
      <w:pPr>
        <w:pStyle w:val="Bullet"/>
        <w:rPr>
          <w:szCs w:val="22"/>
        </w:rPr>
      </w:pPr>
      <w:r w:rsidRPr="00C04193" w:rsidDel="00967895">
        <w:rPr>
          <w:szCs w:val="22"/>
        </w:rPr>
        <w:t>w</w:t>
      </w:r>
      <w:r w:rsidR="00847F69" w:rsidRPr="00C04193" w:rsidDel="00967895">
        <w:rPr>
          <w:szCs w:val="22"/>
        </w:rPr>
        <w:t xml:space="preserve">hether </w:t>
      </w:r>
      <w:r w:rsidR="00847F69" w:rsidRPr="00C04193">
        <w:rPr>
          <w:szCs w:val="22"/>
        </w:rPr>
        <w:t>the governance, administration and resourcing of both reinsurance pools remain appropriate including</w:t>
      </w:r>
      <w:r w:rsidR="00224415" w:rsidRPr="00C04193">
        <w:rPr>
          <w:szCs w:val="22"/>
        </w:rPr>
        <w:t>,</w:t>
      </w:r>
      <w:r w:rsidR="00847F69" w:rsidRPr="00C04193">
        <w:rPr>
          <w:szCs w:val="22"/>
        </w:rPr>
        <w:t xml:space="preserve"> but not limited to</w:t>
      </w:r>
      <w:r w:rsidR="00224415" w:rsidRPr="00C04193">
        <w:rPr>
          <w:szCs w:val="22"/>
        </w:rPr>
        <w:t>,</w:t>
      </w:r>
      <w:r w:rsidR="00847F69" w:rsidRPr="00C04193">
        <w:rPr>
          <w:szCs w:val="22"/>
        </w:rPr>
        <w:t xml:space="preserve"> the level of payments to the Australian Government for fees for the </w:t>
      </w:r>
      <w:r w:rsidR="00731C72">
        <w:rPr>
          <w:szCs w:val="22"/>
        </w:rPr>
        <w:t>Commonwealth</w:t>
      </w:r>
      <w:r w:rsidR="00847F69" w:rsidRPr="00C04193">
        <w:rPr>
          <w:szCs w:val="22"/>
        </w:rPr>
        <w:t xml:space="preserve"> guarantee and dividends</w:t>
      </w:r>
    </w:p>
    <w:p w14:paraId="59B209B3" w14:textId="52702D12" w:rsidR="00847F69" w:rsidRPr="00C04193" w:rsidRDefault="00D0300F" w:rsidP="00847F69">
      <w:pPr>
        <w:pStyle w:val="Bullet"/>
        <w:rPr>
          <w:szCs w:val="22"/>
        </w:rPr>
      </w:pPr>
      <w:r w:rsidRPr="00C04193" w:rsidDel="00967895">
        <w:rPr>
          <w:szCs w:val="22"/>
        </w:rPr>
        <w:t>w</w:t>
      </w:r>
      <w:r w:rsidR="00847F69" w:rsidRPr="00C04193" w:rsidDel="00967895">
        <w:rPr>
          <w:szCs w:val="22"/>
        </w:rPr>
        <w:t xml:space="preserve">ith regard to the findings of the above and any other issues raised, whether </w:t>
      </w:r>
      <w:r w:rsidR="00847F69" w:rsidRPr="00C04193">
        <w:rPr>
          <w:szCs w:val="22"/>
        </w:rPr>
        <w:t>there is a need for the Act to continue</w:t>
      </w:r>
      <w:r w:rsidR="00C63619" w:rsidRPr="00C04193">
        <w:rPr>
          <w:szCs w:val="22"/>
        </w:rPr>
        <w:t xml:space="preserve"> in operation</w:t>
      </w:r>
      <w:r w:rsidR="00847F69" w:rsidRPr="00C04193">
        <w:rPr>
          <w:szCs w:val="22"/>
        </w:rPr>
        <w:t xml:space="preserve">. </w:t>
      </w:r>
    </w:p>
    <w:p w14:paraId="75C06713" w14:textId="2413E8A3" w:rsidR="002861C4" w:rsidRPr="00A277F0" w:rsidRDefault="002164B7" w:rsidP="00970A65">
      <w:pPr>
        <w:pStyle w:val="Heading2"/>
      </w:pPr>
      <w:bookmarkStart w:id="22" w:name="_Toc210055970"/>
      <w:r>
        <w:t xml:space="preserve">Overview </w:t>
      </w:r>
      <w:r w:rsidR="00373735">
        <w:t xml:space="preserve">of </w:t>
      </w:r>
      <w:r w:rsidR="00E05A80">
        <w:t>the</w:t>
      </w:r>
      <w:r w:rsidR="00373735">
        <w:t xml:space="preserve"> </w:t>
      </w:r>
      <w:r>
        <w:t>pools</w:t>
      </w:r>
      <w:bookmarkEnd w:id="22"/>
    </w:p>
    <w:p w14:paraId="7952AB83" w14:textId="2F07F665" w:rsidR="0047461E" w:rsidRDefault="005204A7" w:rsidP="00E10D39">
      <w:r>
        <w:t xml:space="preserve">The </w:t>
      </w:r>
      <w:r w:rsidR="001011BA" w:rsidRPr="001011BA">
        <w:t>Act</w:t>
      </w:r>
      <w:r w:rsidRPr="001011BA">
        <w:t xml:space="preserve"> </w:t>
      </w:r>
      <w:r w:rsidR="0079551D" w:rsidRPr="001011BA">
        <w:t>established</w:t>
      </w:r>
      <w:r w:rsidR="0079551D">
        <w:t xml:space="preserve"> the </w:t>
      </w:r>
      <w:r w:rsidR="00A8415F">
        <w:t>terror</w:t>
      </w:r>
      <w:r w:rsidR="009572FA">
        <w:t>ism</w:t>
      </w:r>
      <w:r w:rsidR="00A8415F">
        <w:t xml:space="preserve"> pool</w:t>
      </w:r>
      <w:r w:rsidR="00E10601">
        <w:t xml:space="preserve"> </w:t>
      </w:r>
      <w:r w:rsidR="00F97722">
        <w:t>to provide cover for eligible terrorism losses in Australia.</w:t>
      </w:r>
      <w:r w:rsidR="00E10601">
        <w:t xml:space="preserve"> This </w:t>
      </w:r>
      <w:r w:rsidR="004C2FEA">
        <w:t>f</w:t>
      </w:r>
      <w:r w:rsidR="00800487">
        <w:t>ollow</w:t>
      </w:r>
      <w:r w:rsidR="00E10601">
        <w:t>ed</w:t>
      </w:r>
      <w:r w:rsidR="00800487">
        <w:t xml:space="preserve"> the </w:t>
      </w:r>
      <w:r w:rsidR="00DF7A3E">
        <w:t>terrorism events</w:t>
      </w:r>
      <w:r w:rsidR="00063865">
        <w:t xml:space="preserve"> in the United States</w:t>
      </w:r>
      <w:r w:rsidR="00DF7A3E">
        <w:t xml:space="preserve"> on 11 September 2001</w:t>
      </w:r>
      <w:r w:rsidR="00F609C4">
        <w:t>,</w:t>
      </w:r>
      <w:r w:rsidR="007655B8">
        <w:t xml:space="preserve"> which </w:t>
      </w:r>
      <w:r w:rsidR="00A97F83">
        <w:t xml:space="preserve">resulted in </w:t>
      </w:r>
      <w:r w:rsidR="00E1354C">
        <w:t>significant</w:t>
      </w:r>
      <w:r w:rsidR="00A97F83">
        <w:t xml:space="preserve"> commercial property insurance claims</w:t>
      </w:r>
      <w:r w:rsidR="00122C47">
        <w:t xml:space="preserve"> and the withdrawal of terrorism cover </w:t>
      </w:r>
      <w:r w:rsidR="00DB48C7">
        <w:t>by commercial property insurers</w:t>
      </w:r>
      <w:r w:rsidR="004C2FEA">
        <w:t xml:space="preserve">. </w:t>
      </w:r>
    </w:p>
    <w:p w14:paraId="10FC8CD5" w14:textId="21F60796" w:rsidR="0099297C" w:rsidRDefault="00F718CA" w:rsidP="00E10D39">
      <w:r>
        <w:t xml:space="preserve">The Australian Government was concerned </w:t>
      </w:r>
      <w:r w:rsidR="00473CAB">
        <w:t>the threat of terrorism events</w:t>
      </w:r>
      <w:r w:rsidR="00CF69B5">
        <w:t xml:space="preserve"> would </w:t>
      </w:r>
      <w:r w:rsidR="007D7CC7">
        <w:t>cause</w:t>
      </w:r>
      <w:r w:rsidR="00CF69B5">
        <w:t xml:space="preserve"> a reduction in financing and investment in the Australian property sector, including a substantial reduction in commercial building activity. </w:t>
      </w:r>
      <w:r w:rsidR="00D50342">
        <w:t xml:space="preserve">The </w:t>
      </w:r>
      <w:r w:rsidR="009D36F0">
        <w:t>terrorism pool</w:t>
      </w:r>
      <w:r w:rsidR="00656906" w:rsidDel="00D25557">
        <w:t xml:space="preserve"> </w:t>
      </w:r>
      <w:r w:rsidR="009D36F0">
        <w:t xml:space="preserve">was created to ensure businesses could continue to obtain insurance coverage for terrorism-related risks. </w:t>
      </w:r>
      <w:r w:rsidR="00D25557">
        <w:t xml:space="preserve">The ARPC commenced operations for the terrorism pool on 1 July 2003. </w:t>
      </w:r>
    </w:p>
    <w:p w14:paraId="3D610CF6" w14:textId="727ADA36" w:rsidR="00907001" w:rsidRPr="0033206B" w:rsidRDefault="00E335C7" w:rsidP="00E10D39">
      <w:r>
        <w:t xml:space="preserve">The </w:t>
      </w:r>
      <w:r>
        <w:rPr>
          <w:i/>
          <w:iCs/>
        </w:rPr>
        <w:t>Treasury Laws Amendment (Cyclone and Flood Damage Reinsurance Pool) Act 2022</w:t>
      </w:r>
      <w:r>
        <w:t xml:space="preserve"> received Royal Assent on 31 March 2022</w:t>
      </w:r>
      <w:r w:rsidR="008E1CB8">
        <w:t>. The Act</w:t>
      </w:r>
      <w:r w:rsidR="008C6D30" w:rsidDel="008E1CB8">
        <w:t xml:space="preserve"> </w:t>
      </w:r>
      <w:r w:rsidR="008C6D30">
        <w:t>establish</w:t>
      </w:r>
      <w:r w:rsidR="00BD53F5">
        <w:t>ed</w:t>
      </w:r>
      <w:r w:rsidR="008C6D30">
        <w:t xml:space="preserve"> a reinsurance pool covering the risk of property damage caused by cyclones and cyclone-related flood damage.</w:t>
      </w:r>
      <w:r w:rsidR="001B1D2A">
        <w:t xml:space="preserve"> This followed several reviews and inquiries </w:t>
      </w:r>
      <w:r w:rsidR="00B21333">
        <w:t>that considered the availability and affordability of insurance cover for natural disasters.</w:t>
      </w:r>
      <w:r w:rsidR="008C6D30">
        <w:t xml:space="preserve"> </w:t>
      </w:r>
    </w:p>
    <w:p w14:paraId="5B85B3A3" w14:textId="63EFB9E4" w:rsidR="00DA36A5" w:rsidRDefault="00466E7D" w:rsidP="00E10D39">
      <w:r>
        <w:t xml:space="preserve">From 1 July 2022, the ARPC </w:t>
      </w:r>
      <w:r w:rsidR="0000598A">
        <w:t>commenced</w:t>
      </w:r>
      <w:r w:rsidR="006553C5">
        <w:t xml:space="preserve"> </w:t>
      </w:r>
      <w:r>
        <w:t>operat</w:t>
      </w:r>
      <w:r w:rsidR="0000598A">
        <w:t>ing</w:t>
      </w:r>
      <w:r>
        <w:t xml:space="preserve"> the cyclone pool. </w:t>
      </w:r>
      <w:r w:rsidR="00D1461D">
        <w:t xml:space="preserve">The cyclone pool </w:t>
      </w:r>
      <w:r w:rsidR="0026647B">
        <w:t xml:space="preserve">is designed to reduce insurance premiums for households, small businesses and strata, with medium </w:t>
      </w:r>
      <w:r w:rsidR="00144367">
        <w:t>to</w:t>
      </w:r>
      <w:r w:rsidR="0026647B">
        <w:t xml:space="preserve"> high cyclone and related flood damage risk</w:t>
      </w:r>
      <w:r w:rsidR="009D59D0">
        <w:t>,</w:t>
      </w:r>
      <w:r w:rsidR="0026647B">
        <w:t xml:space="preserve"> by reducing the cost of </w:t>
      </w:r>
      <w:r w:rsidR="0000598A">
        <w:t>re</w:t>
      </w:r>
      <w:r w:rsidR="0026647B">
        <w:t xml:space="preserve">insurance. </w:t>
      </w:r>
    </w:p>
    <w:p w14:paraId="78421645" w14:textId="1A98F48C" w:rsidR="00DE03C4" w:rsidRDefault="004C31B9" w:rsidP="00E10D39">
      <w:r>
        <w:t xml:space="preserve">Both pools operate by charging insurers premiums for reinsurance coverage. </w:t>
      </w:r>
      <w:r w:rsidR="00AE1234">
        <w:t>T</w:t>
      </w:r>
      <w:r w:rsidR="00A93359">
        <w:t>his</w:t>
      </w:r>
      <w:r>
        <w:t xml:space="preserve"> allows insurers to transfer portions of their risk portfolios to the ARPC to limit their own </w:t>
      </w:r>
      <w:r w:rsidR="005B5A8A">
        <w:t xml:space="preserve">risk exposure. </w:t>
      </w:r>
      <w:r w:rsidR="00552212">
        <w:t xml:space="preserve">Insurers manage claims directly with policyholders in accordance with the terms and conditions of underlying insurance policies. </w:t>
      </w:r>
      <w:r w:rsidR="00F5768D">
        <w:t xml:space="preserve">Once </w:t>
      </w:r>
      <w:r w:rsidR="00D361CA">
        <w:t xml:space="preserve">insurers pay a claim, they then seek to recover </w:t>
      </w:r>
      <w:r w:rsidR="00324761">
        <w:t>eligible</w:t>
      </w:r>
      <w:r w:rsidR="00D361CA">
        <w:t xml:space="preserve"> costs from the ARPC.</w:t>
      </w:r>
      <w:r w:rsidR="00E047BE" w:rsidRPr="009855BD">
        <w:rPr>
          <w:rStyle w:val="FootnoteReference"/>
          <w:sz w:val="22"/>
          <w:szCs w:val="22"/>
        </w:rPr>
        <w:footnoteReference w:id="2"/>
      </w:r>
    </w:p>
    <w:p w14:paraId="01BD06D5" w14:textId="196EAE44" w:rsidR="002339A6" w:rsidRDefault="00E335C7" w:rsidP="00E10D39">
      <w:r>
        <w:t>The</w:t>
      </w:r>
      <w:r w:rsidR="00A13D0E">
        <w:t xml:space="preserve"> </w:t>
      </w:r>
      <w:r w:rsidR="006A6F8F">
        <w:t>Australian Government</w:t>
      </w:r>
      <w:r>
        <w:t xml:space="preserve"> guarantees the ARPC’s liabilities through two guarantees – one covering ‘cyclone loss liabilities’ and the other covering liabilities other than ‘cyclone loss liabilities’. This means that if claims to be paid out of the terrorism and cyclone pools exceed the funds available in those pools</w:t>
      </w:r>
      <w:r w:rsidR="0063535E">
        <w:t xml:space="preserve"> at the time the payment is required, </w:t>
      </w:r>
      <w:r>
        <w:t xml:space="preserve">the ARPC can call on the </w:t>
      </w:r>
      <w:r w:rsidR="003B1C1F">
        <w:t>Australian Government</w:t>
      </w:r>
      <w:r>
        <w:t xml:space="preserve"> to provide the ARPC with funds to meet those liabilities. </w:t>
      </w:r>
    </w:p>
    <w:p w14:paraId="203FF3B2" w14:textId="231CBCD2" w:rsidR="005A2B58" w:rsidRDefault="00BD5F6F">
      <w:pPr>
        <w:spacing w:before="0" w:after="160" w:line="259" w:lineRule="auto"/>
        <w:rPr>
          <w:rFonts w:ascii="Calibri" w:hAnsi="Calibri" w:cs="Arial"/>
          <w:b/>
          <w:color w:val="5D779D" w:themeColor="accent3"/>
          <w:kern w:val="32"/>
          <w:sz w:val="44"/>
          <w:szCs w:val="36"/>
        </w:rPr>
      </w:pPr>
      <w:r w:rsidRPr="00932A0E">
        <w:t>Legally, the terrorism and cyclone pools are not separate pools of money. The ARPC charges premiums for the pools individually</w:t>
      </w:r>
      <w:r w:rsidR="002F1DC9">
        <w:t>, and maintains separate accounts for management purposes,</w:t>
      </w:r>
      <w:r w:rsidRPr="00932A0E">
        <w:t xml:space="preserve"> but they are reported on a combined basis</w:t>
      </w:r>
      <w:r w:rsidR="002F1DC9">
        <w:t xml:space="preserve"> in the ARPC’s statutory accounts</w:t>
      </w:r>
      <w:r w:rsidRPr="00932A0E">
        <w:t xml:space="preserve">. </w:t>
      </w:r>
      <w:r w:rsidR="00324761">
        <w:t>This</w:t>
      </w:r>
      <w:r w:rsidR="000E142F">
        <w:t xml:space="preserve"> increases the reserves available for the ARPC to meet claims and expenses</w:t>
      </w:r>
      <w:r w:rsidR="000E142F" w:rsidDel="00324761">
        <w:t xml:space="preserve"> </w:t>
      </w:r>
      <w:r w:rsidR="000E142F">
        <w:t>and</w:t>
      </w:r>
      <w:r w:rsidR="0093263E">
        <w:t xml:space="preserve"> reduces the</w:t>
      </w:r>
      <w:r w:rsidRPr="00932A0E">
        <w:t xml:space="preserve"> </w:t>
      </w:r>
      <w:r w:rsidR="00F245DD">
        <w:t>likelihood</w:t>
      </w:r>
      <w:r w:rsidR="00F245DD" w:rsidRPr="00932A0E">
        <w:t xml:space="preserve"> </w:t>
      </w:r>
      <w:r w:rsidRPr="00932A0E">
        <w:t xml:space="preserve">of </w:t>
      </w:r>
      <w:r w:rsidR="0093263E">
        <w:t xml:space="preserve">the ARPC </w:t>
      </w:r>
      <w:r w:rsidRPr="00932A0E">
        <w:t xml:space="preserve">drawing on the </w:t>
      </w:r>
      <w:r w:rsidR="00731C72">
        <w:t>Commonwealth</w:t>
      </w:r>
      <w:r w:rsidRPr="00932A0E">
        <w:t xml:space="preserve"> guarantee</w:t>
      </w:r>
      <w:r w:rsidR="001F2C42">
        <w:t>s</w:t>
      </w:r>
      <w:r w:rsidRPr="00932A0E">
        <w:t>.</w:t>
      </w:r>
      <w:r w:rsidR="005A2B58">
        <w:br w:type="page"/>
      </w:r>
    </w:p>
    <w:p w14:paraId="350488CA" w14:textId="140F0BAF" w:rsidR="00BC180C" w:rsidRDefault="00BC180C" w:rsidP="00D43773">
      <w:pPr>
        <w:pStyle w:val="Heading1"/>
      </w:pPr>
      <w:bookmarkStart w:id="23" w:name="_Toc210055971"/>
      <w:r>
        <w:t>Cyclone reinsurance pool</w:t>
      </w:r>
      <w:bookmarkEnd w:id="23"/>
    </w:p>
    <w:p w14:paraId="12232B7B" w14:textId="52A09F72" w:rsidR="008B666B" w:rsidRPr="00C04193" w:rsidRDefault="6957D1CA" w:rsidP="73B10E7D">
      <w:r w:rsidRPr="361B3A4F">
        <w:t>T</w:t>
      </w:r>
      <w:r w:rsidR="007442DB" w:rsidRPr="361B3A4F">
        <w:t>he</w:t>
      </w:r>
      <w:r w:rsidR="007442DB" w:rsidRPr="3877CB6B">
        <w:t xml:space="preserve"> ARPC </w:t>
      </w:r>
      <w:r w:rsidR="006C040E" w:rsidRPr="3877CB6B">
        <w:t>began operating</w:t>
      </w:r>
      <w:r w:rsidR="007442DB" w:rsidRPr="00C04193" w:rsidDel="006C040E">
        <w:rPr>
          <w:szCs w:val="22"/>
        </w:rPr>
        <w:t xml:space="preserve"> </w:t>
      </w:r>
      <w:r w:rsidR="007442DB" w:rsidRPr="3877CB6B">
        <w:t>the cyclone pool</w:t>
      </w:r>
      <w:r w:rsidR="0BDAC410" w:rsidRPr="361B3A4F">
        <w:t xml:space="preserve"> from 1 July 2022</w:t>
      </w:r>
      <w:r w:rsidR="001A29A5" w:rsidRPr="00C04193">
        <w:rPr>
          <w:szCs w:val="22"/>
        </w:rPr>
        <w:t xml:space="preserve">. </w:t>
      </w:r>
      <w:r w:rsidR="00C84483" w:rsidRPr="3877CB6B">
        <w:t xml:space="preserve">The cyclone pool </w:t>
      </w:r>
      <w:r w:rsidR="00C950D5" w:rsidRPr="3877CB6B">
        <w:t>i</w:t>
      </w:r>
      <w:r w:rsidR="001B4D7E" w:rsidRPr="3877CB6B">
        <w:t>s designed to lower insurance premiums for households</w:t>
      </w:r>
      <w:r w:rsidR="00784ABF" w:rsidRPr="3877CB6B">
        <w:t>, strata</w:t>
      </w:r>
      <w:r w:rsidR="001B4D7E" w:rsidRPr="3877CB6B">
        <w:t xml:space="preserve"> and small businesses with</w:t>
      </w:r>
      <w:r w:rsidR="002B5DAF" w:rsidRPr="3877CB6B">
        <w:t xml:space="preserve"> medium </w:t>
      </w:r>
      <w:r w:rsidR="00E04E93" w:rsidRPr="3877CB6B">
        <w:t>to</w:t>
      </w:r>
      <w:r w:rsidR="001B4D7E" w:rsidRPr="3877CB6B">
        <w:t xml:space="preserve"> high cyclone and related flood damage risk</w:t>
      </w:r>
      <w:r w:rsidR="00C216FE" w:rsidRPr="00C04193">
        <w:rPr>
          <w:szCs w:val="22"/>
        </w:rPr>
        <w:t xml:space="preserve">. </w:t>
      </w:r>
      <w:r w:rsidR="00B6323A" w:rsidRPr="3877CB6B">
        <w:t>T</w:t>
      </w:r>
      <w:r w:rsidR="00C047F6" w:rsidRPr="3877CB6B">
        <w:t>his</w:t>
      </w:r>
      <w:r w:rsidR="00B6323A" w:rsidRPr="3877CB6B">
        <w:t xml:space="preserve"> is achieved </w:t>
      </w:r>
      <w:r w:rsidR="001B4D7E" w:rsidRPr="3877CB6B">
        <w:t xml:space="preserve">by reducing the </w:t>
      </w:r>
      <w:r w:rsidR="001D0B84" w:rsidRPr="3877CB6B">
        <w:t>cost of reinsurance, which is a significant cost component of premiums for these policies.</w:t>
      </w:r>
      <w:r w:rsidR="006A1BA0" w:rsidRPr="009855BD">
        <w:rPr>
          <w:rStyle w:val="FootnoteReference"/>
          <w:sz w:val="22"/>
          <w:szCs w:val="22"/>
        </w:rPr>
        <w:footnoteReference w:id="3"/>
      </w:r>
    </w:p>
    <w:p w14:paraId="4944C45E" w14:textId="0685D290" w:rsidR="009E3F27" w:rsidRPr="00C04193" w:rsidRDefault="00FF64F6" w:rsidP="73B10E7D">
      <w:pPr>
        <w:rPr>
          <w:szCs w:val="22"/>
        </w:rPr>
      </w:pPr>
      <w:r w:rsidRPr="00C04193">
        <w:rPr>
          <w:szCs w:val="22"/>
        </w:rPr>
        <w:t xml:space="preserve">The </w:t>
      </w:r>
      <w:r w:rsidR="007E675B" w:rsidRPr="00C04193">
        <w:rPr>
          <w:szCs w:val="22"/>
        </w:rPr>
        <w:t>cyclone pool is a reinsurance arrangement between insurers and the ARPC</w:t>
      </w:r>
      <w:r w:rsidR="008B666B" w:rsidRPr="00C04193">
        <w:rPr>
          <w:szCs w:val="22"/>
        </w:rPr>
        <w:t xml:space="preserve">. </w:t>
      </w:r>
      <w:r w:rsidR="002B6FF1" w:rsidRPr="00C04193">
        <w:rPr>
          <w:szCs w:val="22"/>
        </w:rPr>
        <w:t>It</w:t>
      </w:r>
      <w:r w:rsidR="005F3383" w:rsidRPr="00C04193">
        <w:rPr>
          <w:szCs w:val="22"/>
        </w:rPr>
        <w:t xml:space="preserve"> covers </w:t>
      </w:r>
      <w:r w:rsidR="002A6365" w:rsidRPr="00C04193">
        <w:rPr>
          <w:szCs w:val="22"/>
        </w:rPr>
        <w:t xml:space="preserve">all </w:t>
      </w:r>
      <w:r w:rsidR="00B966DE" w:rsidRPr="00C04193">
        <w:rPr>
          <w:szCs w:val="22"/>
        </w:rPr>
        <w:t xml:space="preserve">eligible </w:t>
      </w:r>
      <w:r w:rsidR="005A2408" w:rsidRPr="00C04193">
        <w:rPr>
          <w:szCs w:val="22"/>
        </w:rPr>
        <w:t>claims</w:t>
      </w:r>
      <w:r w:rsidR="002A6365" w:rsidRPr="00C04193">
        <w:rPr>
          <w:szCs w:val="22"/>
        </w:rPr>
        <w:t xml:space="preserve"> costs</w:t>
      </w:r>
      <w:r w:rsidR="005A2408" w:rsidRPr="00C04193">
        <w:rPr>
          <w:szCs w:val="22"/>
        </w:rPr>
        <w:t xml:space="preserve"> for cyclone and related flood damage arising during a </w:t>
      </w:r>
      <w:r w:rsidR="00125487" w:rsidRPr="00C04193">
        <w:rPr>
          <w:szCs w:val="22"/>
        </w:rPr>
        <w:t>D</w:t>
      </w:r>
      <w:r w:rsidR="008736E7" w:rsidRPr="00C04193">
        <w:rPr>
          <w:szCs w:val="22"/>
        </w:rPr>
        <w:t xml:space="preserve">eclared </w:t>
      </w:r>
      <w:r w:rsidR="00125487" w:rsidRPr="00C04193">
        <w:rPr>
          <w:szCs w:val="22"/>
        </w:rPr>
        <w:t>C</w:t>
      </w:r>
      <w:r w:rsidR="005A2408" w:rsidRPr="00C04193">
        <w:rPr>
          <w:szCs w:val="22"/>
        </w:rPr>
        <w:t xml:space="preserve">yclone </w:t>
      </w:r>
      <w:r w:rsidR="00125487" w:rsidRPr="00C04193">
        <w:rPr>
          <w:szCs w:val="22"/>
        </w:rPr>
        <w:t>E</w:t>
      </w:r>
      <w:r w:rsidR="005A2408" w:rsidRPr="00C04193">
        <w:rPr>
          <w:szCs w:val="22"/>
        </w:rPr>
        <w:t>vent</w:t>
      </w:r>
      <w:r w:rsidR="008B7C90" w:rsidRPr="00C04193">
        <w:rPr>
          <w:szCs w:val="22"/>
        </w:rPr>
        <w:t xml:space="preserve"> (DCE)</w:t>
      </w:r>
      <w:r w:rsidR="005A2408" w:rsidRPr="00C04193">
        <w:rPr>
          <w:szCs w:val="22"/>
        </w:rPr>
        <w:t xml:space="preserve">, which lasts from the time </w:t>
      </w:r>
      <w:r w:rsidR="00B10E90" w:rsidRPr="00C04193">
        <w:rPr>
          <w:szCs w:val="22"/>
        </w:rPr>
        <w:t xml:space="preserve">the Bureau of Meteorology (BoM) declares that </w:t>
      </w:r>
      <w:r w:rsidR="005A2408" w:rsidRPr="00C04193">
        <w:rPr>
          <w:szCs w:val="22"/>
        </w:rPr>
        <w:t xml:space="preserve">a cyclone </w:t>
      </w:r>
      <w:r w:rsidR="00B10E90" w:rsidRPr="00C04193">
        <w:rPr>
          <w:szCs w:val="22"/>
        </w:rPr>
        <w:t xml:space="preserve">has begun </w:t>
      </w:r>
      <w:r w:rsidR="005A2408" w:rsidRPr="00C04193">
        <w:rPr>
          <w:szCs w:val="22"/>
        </w:rPr>
        <w:t>until 48 hours after the cyclone ends</w:t>
      </w:r>
      <w:r w:rsidR="001F1896" w:rsidRPr="00C04193">
        <w:rPr>
          <w:szCs w:val="22"/>
        </w:rPr>
        <w:t xml:space="preserve">. </w:t>
      </w:r>
    </w:p>
    <w:p w14:paraId="4767C807" w14:textId="2897AAB6" w:rsidR="00F55250" w:rsidRPr="00C04193" w:rsidRDefault="005A7A15" w:rsidP="005A7A15">
      <w:pPr>
        <w:rPr>
          <w:szCs w:val="22"/>
        </w:rPr>
      </w:pPr>
      <w:r w:rsidRPr="00C04193">
        <w:rPr>
          <w:szCs w:val="22"/>
        </w:rPr>
        <w:t xml:space="preserve">Under the Act, </w:t>
      </w:r>
      <w:r w:rsidR="005115D9" w:rsidRPr="00C04193">
        <w:rPr>
          <w:szCs w:val="22"/>
        </w:rPr>
        <w:t xml:space="preserve">when setting premiums, the ARPC is to </w:t>
      </w:r>
      <w:r w:rsidR="00313841" w:rsidRPr="00C04193">
        <w:rPr>
          <w:szCs w:val="22"/>
        </w:rPr>
        <w:t>seek to</w:t>
      </w:r>
      <w:r w:rsidR="00F55250" w:rsidRPr="00C04193">
        <w:rPr>
          <w:szCs w:val="22"/>
        </w:rPr>
        <w:t xml:space="preserve">: </w:t>
      </w:r>
    </w:p>
    <w:p w14:paraId="1015A40E" w14:textId="139BE79D" w:rsidR="00F06537" w:rsidRPr="00872CB1" w:rsidRDefault="00F4240B" w:rsidP="00F55250">
      <w:pPr>
        <w:pStyle w:val="Bullet"/>
        <w:rPr>
          <w:szCs w:val="22"/>
        </w:rPr>
      </w:pPr>
      <w:r w:rsidRPr="00872CB1">
        <w:rPr>
          <w:szCs w:val="22"/>
        </w:rPr>
        <w:t>e</w:t>
      </w:r>
      <w:r w:rsidR="00313841" w:rsidRPr="00872CB1">
        <w:rPr>
          <w:szCs w:val="22"/>
        </w:rPr>
        <w:t>nsure t</w:t>
      </w:r>
      <w:r w:rsidR="00F06537" w:rsidRPr="00872CB1">
        <w:rPr>
          <w:szCs w:val="22"/>
        </w:rPr>
        <w:t xml:space="preserve">he </w:t>
      </w:r>
      <w:r w:rsidR="00313841" w:rsidRPr="00872CB1">
        <w:rPr>
          <w:szCs w:val="22"/>
        </w:rPr>
        <w:t xml:space="preserve">cyclone </w:t>
      </w:r>
      <w:r w:rsidR="00F06537" w:rsidRPr="00872CB1">
        <w:rPr>
          <w:szCs w:val="22"/>
        </w:rPr>
        <w:t xml:space="preserve">pool is cost neutral over the longer term </w:t>
      </w:r>
    </w:p>
    <w:p w14:paraId="4F926269" w14:textId="673CBF20" w:rsidR="00E45A08" w:rsidRPr="00C04193" w:rsidRDefault="00F4240B" w:rsidP="00F55250">
      <w:pPr>
        <w:pStyle w:val="Bullet"/>
        <w:rPr>
          <w:szCs w:val="22"/>
        </w:rPr>
      </w:pPr>
      <w:r w:rsidRPr="00C04193">
        <w:rPr>
          <w:szCs w:val="22"/>
        </w:rPr>
        <w:t>k</w:t>
      </w:r>
      <w:r w:rsidR="00C63C98" w:rsidRPr="00C04193">
        <w:rPr>
          <w:szCs w:val="22"/>
        </w:rPr>
        <w:t xml:space="preserve">eep premiums as low as possible </w:t>
      </w:r>
      <w:r w:rsidR="009E0A1F" w:rsidRPr="00C04193">
        <w:rPr>
          <w:szCs w:val="22"/>
        </w:rPr>
        <w:t xml:space="preserve">for medium to high levels of exposure to eligible cyclone losses while maintaining incentives to reduce and mitigate the risk of eligible </w:t>
      </w:r>
      <w:r w:rsidR="00E45A08" w:rsidRPr="00C04193">
        <w:rPr>
          <w:szCs w:val="22"/>
        </w:rPr>
        <w:t xml:space="preserve">cyclone losses </w:t>
      </w:r>
    </w:p>
    <w:p w14:paraId="089BB9EB" w14:textId="1D2EFC7B" w:rsidR="005A7A15" w:rsidRPr="00C04193" w:rsidRDefault="00F4240B" w:rsidP="00F55250">
      <w:pPr>
        <w:pStyle w:val="Bullet"/>
        <w:rPr>
          <w:szCs w:val="22"/>
        </w:rPr>
      </w:pPr>
      <w:r w:rsidRPr="00C04193">
        <w:rPr>
          <w:szCs w:val="22"/>
        </w:rPr>
        <w:t>k</w:t>
      </w:r>
      <w:r w:rsidR="00E45A08" w:rsidRPr="00C04193">
        <w:rPr>
          <w:szCs w:val="22"/>
        </w:rPr>
        <w:t>eep premiums at levels comparable to what would be charged by other reinsurers for lower levels of exposure to cyclone losses.</w:t>
      </w:r>
      <w:r w:rsidR="005A7A15" w:rsidRPr="009855BD">
        <w:rPr>
          <w:rStyle w:val="FootnoteReference"/>
          <w:sz w:val="22"/>
          <w:szCs w:val="22"/>
        </w:rPr>
        <w:footnoteReference w:id="4"/>
      </w:r>
    </w:p>
    <w:p w14:paraId="79D471AF" w14:textId="26E7A162" w:rsidR="00D326DA" w:rsidRPr="00C04193" w:rsidRDefault="00D326DA" w:rsidP="73B10E7D">
      <w:pPr>
        <w:rPr>
          <w:szCs w:val="22"/>
        </w:rPr>
      </w:pPr>
      <w:r w:rsidRPr="00C04193">
        <w:rPr>
          <w:szCs w:val="22"/>
        </w:rPr>
        <w:t>The cyclone pool operates Australia-wide but targets pricing support to cyclone-prone areas</w:t>
      </w:r>
      <w:r w:rsidR="002A4CF1" w:rsidRPr="00C04193">
        <w:rPr>
          <w:szCs w:val="22"/>
        </w:rPr>
        <w:t xml:space="preserve"> which are predominantly </w:t>
      </w:r>
      <w:r w:rsidR="005520F8" w:rsidRPr="00C04193">
        <w:rPr>
          <w:szCs w:val="22"/>
        </w:rPr>
        <w:t xml:space="preserve">located </w:t>
      </w:r>
      <w:r w:rsidR="002A4CF1" w:rsidRPr="00C04193">
        <w:rPr>
          <w:szCs w:val="22"/>
        </w:rPr>
        <w:t>in northern Australia</w:t>
      </w:r>
      <w:r w:rsidR="000026A9" w:rsidRPr="00C04193">
        <w:rPr>
          <w:szCs w:val="22"/>
        </w:rPr>
        <w:t xml:space="preserve">. The </w:t>
      </w:r>
      <w:r w:rsidR="002A4CF1" w:rsidRPr="00C04193">
        <w:rPr>
          <w:szCs w:val="22"/>
        </w:rPr>
        <w:t xml:space="preserve">cyclone </w:t>
      </w:r>
      <w:r w:rsidR="000026A9" w:rsidRPr="00C04193">
        <w:rPr>
          <w:szCs w:val="22"/>
        </w:rPr>
        <w:t xml:space="preserve">pool covers the following types of property: </w:t>
      </w:r>
    </w:p>
    <w:p w14:paraId="6D8969EF" w14:textId="7202664B" w:rsidR="000026A9" w:rsidRPr="00C04193" w:rsidRDefault="00F4240B" w:rsidP="000026A9">
      <w:pPr>
        <w:pStyle w:val="Bullet"/>
        <w:rPr>
          <w:szCs w:val="22"/>
        </w:rPr>
      </w:pPr>
      <w:r w:rsidRPr="00C04193">
        <w:rPr>
          <w:szCs w:val="22"/>
        </w:rPr>
        <w:t>r</w:t>
      </w:r>
      <w:r w:rsidR="000026A9" w:rsidRPr="00C04193">
        <w:rPr>
          <w:szCs w:val="22"/>
        </w:rPr>
        <w:t xml:space="preserve">esidential </w:t>
      </w:r>
      <w:r w:rsidR="00B45300" w:rsidRPr="00C04193">
        <w:rPr>
          <w:szCs w:val="22"/>
        </w:rPr>
        <w:t>home and contents, including landlord insurance and farm residential buildings</w:t>
      </w:r>
      <w:r w:rsidR="00E06F7D" w:rsidRPr="00C04193">
        <w:rPr>
          <w:szCs w:val="22"/>
        </w:rPr>
        <w:t xml:space="preserve"> </w:t>
      </w:r>
    </w:p>
    <w:p w14:paraId="446805BE" w14:textId="661A6DEB" w:rsidR="00B45300" w:rsidRPr="00C04193" w:rsidRDefault="00F4240B" w:rsidP="000026A9">
      <w:pPr>
        <w:pStyle w:val="Bullet"/>
        <w:rPr>
          <w:szCs w:val="22"/>
        </w:rPr>
      </w:pPr>
      <w:r w:rsidRPr="00C04193">
        <w:rPr>
          <w:szCs w:val="22"/>
        </w:rPr>
        <w:t>c</w:t>
      </w:r>
      <w:r w:rsidR="00B45300" w:rsidRPr="00C04193">
        <w:rPr>
          <w:szCs w:val="22"/>
        </w:rPr>
        <w:t xml:space="preserve">ommercial property policies with </w:t>
      </w:r>
      <w:r w:rsidR="000042F9" w:rsidRPr="00C04193">
        <w:rPr>
          <w:szCs w:val="22"/>
        </w:rPr>
        <w:t xml:space="preserve">a </w:t>
      </w:r>
      <w:r w:rsidR="00FA61A6" w:rsidRPr="00C04193">
        <w:rPr>
          <w:szCs w:val="22"/>
        </w:rPr>
        <w:t>maximum sum insured of $5 million or less across risks covered by the cyclone pool (property, contents and business interruption)</w:t>
      </w:r>
    </w:p>
    <w:p w14:paraId="28D8339A" w14:textId="54A5B318" w:rsidR="00FA61A6" w:rsidRPr="00C04193" w:rsidRDefault="00F4240B" w:rsidP="000026A9">
      <w:pPr>
        <w:pStyle w:val="Bullet"/>
        <w:rPr>
          <w:szCs w:val="22"/>
        </w:rPr>
      </w:pPr>
      <w:r w:rsidRPr="00C04193">
        <w:rPr>
          <w:szCs w:val="22"/>
        </w:rPr>
        <w:t>r</w:t>
      </w:r>
      <w:r w:rsidR="00FA61A6" w:rsidRPr="00C04193">
        <w:rPr>
          <w:szCs w:val="22"/>
        </w:rPr>
        <w:t xml:space="preserve">esidential strata, where the insured is a body corporate and 50 per cent or more of floor </w:t>
      </w:r>
      <w:r w:rsidR="00DD28BB" w:rsidRPr="00C04193">
        <w:rPr>
          <w:szCs w:val="22"/>
        </w:rPr>
        <w:t>space is used mainly for residential purposes, including mixed-use strata schemes with owner-occupied, short-term and</w:t>
      </w:r>
      <w:r w:rsidR="00B56D5A" w:rsidRPr="00C04193">
        <w:rPr>
          <w:szCs w:val="22"/>
        </w:rPr>
        <w:t>/or</w:t>
      </w:r>
      <w:r w:rsidR="002E0F92" w:rsidRPr="00C04193">
        <w:rPr>
          <w:szCs w:val="22"/>
        </w:rPr>
        <w:t xml:space="preserve"> </w:t>
      </w:r>
      <w:r w:rsidR="00DD28BB" w:rsidRPr="00C04193">
        <w:rPr>
          <w:szCs w:val="22"/>
        </w:rPr>
        <w:t>long-term rental apartments.</w:t>
      </w:r>
      <w:r w:rsidR="007A7F90" w:rsidRPr="009855BD">
        <w:rPr>
          <w:rStyle w:val="FootnoteReference"/>
          <w:sz w:val="22"/>
          <w:szCs w:val="22"/>
        </w:rPr>
        <w:footnoteReference w:id="5"/>
      </w:r>
      <w:r w:rsidR="00DD28BB" w:rsidRPr="00C04193">
        <w:rPr>
          <w:szCs w:val="22"/>
        </w:rPr>
        <w:t xml:space="preserve"> </w:t>
      </w:r>
    </w:p>
    <w:p w14:paraId="71BDE514" w14:textId="67D514A7" w:rsidR="00EC0499" w:rsidRPr="00C04193" w:rsidRDefault="0021568A" w:rsidP="73B10E7D">
      <w:pPr>
        <w:rPr>
          <w:szCs w:val="22"/>
        </w:rPr>
      </w:pPr>
      <w:r w:rsidRPr="00C04193">
        <w:rPr>
          <w:szCs w:val="22"/>
        </w:rPr>
        <w:t>Participation in the cyclone pool i</w:t>
      </w:r>
      <w:r w:rsidR="007E5C88" w:rsidRPr="00C04193">
        <w:rPr>
          <w:szCs w:val="22"/>
        </w:rPr>
        <w:t xml:space="preserve">s mandatory </w:t>
      </w:r>
      <w:r w:rsidR="005005E3" w:rsidRPr="00C04193">
        <w:rPr>
          <w:szCs w:val="22"/>
        </w:rPr>
        <w:t>under the Act</w:t>
      </w:r>
      <w:r w:rsidR="007E5C88" w:rsidRPr="00C04193">
        <w:rPr>
          <w:szCs w:val="22"/>
        </w:rPr>
        <w:t xml:space="preserve"> for general insurers </w:t>
      </w:r>
      <w:r w:rsidR="0009512F" w:rsidRPr="00C04193">
        <w:rPr>
          <w:szCs w:val="22"/>
        </w:rPr>
        <w:t xml:space="preserve">operating in Australia </w:t>
      </w:r>
      <w:r w:rsidR="00B00954" w:rsidRPr="00C04193">
        <w:rPr>
          <w:szCs w:val="22"/>
        </w:rPr>
        <w:t>with eligible cyclone pool insurance contracts.</w:t>
      </w:r>
      <w:r w:rsidR="007E5C88" w:rsidRPr="00C04193">
        <w:rPr>
          <w:szCs w:val="22"/>
        </w:rPr>
        <w:t xml:space="preserve"> </w:t>
      </w:r>
      <w:r w:rsidR="00CB3526" w:rsidRPr="00C04193">
        <w:rPr>
          <w:szCs w:val="22"/>
        </w:rPr>
        <w:t xml:space="preserve">The </w:t>
      </w:r>
      <w:r w:rsidR="00EC52B7" w:rsidRPr="00C04193">
        <w:rPr>
          <w:szCs w:val="22"/>
        </w:rPr>
        <w:t xml:space="preserve">Act and the </w:t>
      </w:r>
      <w:r w:rsidR="00042F97" w:rsidRPr="00C04193">
        <w:rPr>
          <w:i/>
          <w:iCs/>
          <w:szCs w:val="22"/>
        </w:rPr>
        <w:t>Terrorism and Cyclone Insurance Regulations 2003</w:t>
      </w:r>
      <w:r w:rsidR="00042F97" w:rsidRPr="00C04193">
        <w:rPr>
          <w:szCs w:val="22"/>
        </w:rPr>
        <w:t xml:space="preserve"> (the Regulations) </w:t>
      </w:r>
      <w:r w:rsidR="00E21ECC" w:rsidRPr="00C04193">
        <w:rPr>
          <w:szCs w:val="22"/>
        </w:rPr>
        <w:t xml:space="preserve">provide an exception </w:t>
      </w:r>
      <w:r w:rsidR="00B60AF9" w:rsidRPr="00C04193">
        <w:rPr>
          <w:szCs w:val="22"/>
        </w:rPr>
        <w:t>for</w:t>
      </w:r>
      <w:r w:rsidR="00E21ECC" w:rsidRPr="00C04193">
        <w:rPr>
          <w:szCs w:val="22"/>
        </w:rPr>
        <w:t xml:space="preserve"> insurers </w:t>
      </w:r>
      <w:r w:rsidR="00B60AF9" w:rsidRPr="00C04193">
        <w:rPr>
          <w:szCs w:val="22"/>
        </w:rPr>
        <w:t>whose</w:t>
      </w:r>
      <w:r w:rsidR="00E21ECC" w:rsidRPr="00C04193">
        <w:rPr>
          <w:szCs w:val="22"/>
        </w:rPr>
        <w:t xml:space="preserve"> eligible </w:t>
      </w:r>
      <w:r w:rsidR="00973F68" w:rsidRPr="00C04193">
        <w:rPr>
          <w:szCs w:val="22"/>
        </w:rPr>
        <w:t xml:space="preserve">premium income is below $10 million in </w:t>
      </w:r>
      <w:r w:rsidR="000D7F20" w:rsidRPr="00C04193">
        <w:rPr>
          <w:szCs w:val="22"/>
        </w:rPr>
        <w:t>the</w:t>
      </w:r>
      <w:r w:rsidR="00973F68" w:rsidRPr="00C04193">
        <w:rPr>
          <w:szCs w:val="22"/>
        </w:rPr>
        <w:t xml:space="preserve"> most recent financial year.</w:t>
      </w:r>
      <w:r w:rsidR="00443240" w:rsidRPr="009855BD">
        <w:rPr>
          <w:rStyle w:val="FootnoteReference"/>
          <w:sz w:val="22"/>
          <w:szCs w:val="22"/>
        </w:rPr>
        <w:footnoteReference w:id="6"/>
      </w:r>
      <w:r w:rsidR="00973F68" w:rsidRPr="00C04193">
        <w:rPr>
          <w:szCs w:val="22"/>
        </w:rPr>
        <w:t xml:space="preserve"> </w:t>
      </w:r>
      <w:r w:rsidR="00381AF4" w:rsidRPr="00C04193">
        <w:rPr>
          <w:szCs w:val="22"/>
        </w:rPr>
        <w:t>Large insurers were required to obtain reinsurance from the cyclone pool by 31</w:t>
      </w:r>
      <w:r w:rsidR="005C1F9D" w:rsidRPr="00C04193">
        <w:rPr>
          <w:szCs w:val="22"/>
        </w:rPr>
        <w:t> </w:t>
      </w:r>
      <w:r w:rsidR="00381AF4" w:rsidRPr="00C04193">
        <w:rPr>
          <w:szCs w:val="22"/>
        </w:rPr>
        <w:t xml:space="preserve">December 2023 and small insurers </w:t>
      </w:r>
      <w:r w:rsidR="00610E6F" w:rsidRPr="00C04193">
        <w:rPr>
          <w:szCs w:val="22"/>
        </w:rPr>
        <w:t xml:space="preserve">had until 31 December 2024. </w:t>
      </w:r>
      <w:r w:rsidR="00EB459D" w:rsidRPr="00C04193">
        <w:rPr>
          <w:szCs w:val="22"/>
        </w:rPr>
        <w:t>On 2</w:t>
      </w:r>
      <w:r w:rsidR="00584FF3" w:rsidRPr="00C04193">
        <w:rPr>
          <w:szCs w:val="22"/>
        </w:rPr>
        <w:t> </w:t>
      </w:r>
      <w:r w:rsidR="00EB459D" w:rsidRPr="00C04193">
        <w:rPr>
          <w:szCs w:val="22"/>
        </w:rPr>
        <w:t>January 2025, the ARPC announced all mandated insurers</w:t>
      </w:r>
      <w:r w:rsidR="00610E6F" w:rsidRPr="00C04193">
        <w:rPr>
          <w:szCs w:val="22"/>
        </w:rPr>
        <w:t xml:space="preserve"> </w:t>
      </w:r>
      <w:r w:rsidR="005A5B34" w:rsidRPr="00C04193">
        <w:rPr>
          <w:szCs w:val="22"/>
        </w:rPr>
        <w:t>had</w:t>
      </w:r>
      <w:r w:rsidR="00610E6F" w:rsidRPr="00C04193">
        <w:rPr>
          <w:szCs w:val="22"/>
        </w:rPr>
        <w:t xml:space="preserve"> </w:t>
      </w:r>
      <w:r w:rsidR="00EB459D" w:rsidRPr="00C04193">
        <w:rPr>
          <w:szCs w:val="22"/>
        </w:rPr>
        <w:t>joined the cyclone pool</w:t>
      </w:r>
      <w:r w:rsidR="00286D3F" w:rsidRPr="00C04193">
        <w:rPr>
          <w:szCs w:val="22"/>
        </w:rPr>
        <w:t xml:space="preserve"> within the designated timeframes</w:t>
      </w:r>
      <w:r w:rsidR="00EB459D" w:rsidRPr="00C04193">
        <w:rPr>
          <w:szCs w:val="22"/>
        </w:rPr>
        <w:t>.</w:t>
      </w:r>
      <w:r w:rsidR="004638A9" w:rsidRPr="00191466">
        <w:rPr>
          <w:rStyle w:val="FootnoteReference"/>
          <w:sz w:val="22"/>
          <w:szCs w:val="22"/>
        </w:rPr>
        <w:footnoteReference w:id="7"/>
      </w:r>
      <w:r w:rsidR="00EB459D" w:rsidRPr="00C04193">
        <w:rPr>
          <w:szCs w:val="22"/>
        </w:rPr>
        <w:t xml:space="preserve"> </w:t>
      </w:r>
      <w:r w:rsidR="00334B8D" w:rsidRPr="00C04193">
        <w:rPr>
          <w:szCs w:val="22"/>
        </w:rPr>
        <w:t xml:space="preserve"> </w:t>
      </w:r>
    </w:p>
    <w:p w14:paraId="22F476EF" w14:textId="5CFDFF5D" w:rsidR="0073122A" w:rsidRDefault="0073122A" w:rsidP="00A2427E">
      <w:pPr>
        <w:pStyle w:val="Heading2"/>
      </w:pPr>
      <w:bookmarkStart w:id="25" w:name="_Toc210055972"/>
      <w:r>
        <w:t>Claims</w:t>
      </w:r>
      <w:bookmarkEnd w:id="25"/>
      <w:r w:rsidRPr="00E41FC3">
        <w:t xml:space="preserve"> </w:t>
      </w:r>
    </w:p>
    <w:p w14:paraId="163FE0E7" w14:textId="1FE839BB" w:rsidR="008E1C34" w:rsidRPr="00C04193" w:rsidRDefault="008E1C34" w:rsidP="008E1C34">
      <w:pPr>
        <w:rPr>
          <w:szCs w:val="22"/>
        </w:rPr>
      </w:pPr>
      <w:r w:rsidRPr="00C04193">
        <w:rPr>
          <w:szCs w:val="22"/>
        </w:rPr>
        <w:t xml:space="preserve">As at </w:t>
      </w:r>
      <w:r w:rsidR="00B640AA">
        <w:rPr>
          <w:szCs w:val="22"/>
        </w:rPr>
        <w:t>3</w:t>
      </w:r>
      <w:r w:rsidR="008C7503">
        <w:rPr>
          <w:szCs w:val="22"/>
        </w:rPr>
        <w:t>1</w:t>
      </w:r>
      <w:r w:rsidR="00B640AA">
        <w:rPr>
          <w:szCs w:val="22"/>
        </w:rPr>
        <w:t xml:space="preserve"> </w:t>
      </w:r>
      <w:r w:rsidR="006803F0">
        <w:rPr>
          <w:szCs w:val="22"/>
        </w:rPr>
        <w:t>August</w:t>
      </w:r>
      <w:r w:rsidR="006803F0" w:rsidRPr="00C04193">
        <w:rPr>
          <w:szCs w:val="22"/>
        </w:rPr>
        <w:t xml:space="preserve"> </w:t>
      </w:r>
      <w:r w:rsidRPr="00C04193">
        <w:rPr>
          <w:szCs w:val="22"/>
        </w:rPr>
        <w:t xml:space="preserve">2025, </w:t>
      </w:r>
      <w:r w:rsidR="00105FF4" w:rsidRPr="003A7210">
        <w:rPr>
          <w:rFonts w:cs="Calibri Light"/>
          <w:szCs w:val="22"/>
        </w:rPr>
        <w:t xml:space="preserve">the ARPC has received </w:t>
      </w:r>
      <w:r w:rsidR="00105FF4" w:rsidRPr="00740558">
        <w:rPr>
          <w:rFonts w:cs="Calibri Light"/>
          <w:szCs w:val="22"/>
        </w:rPr>
        <w:t>1</w:t>
      </w:r>
      <w:r w:rsidR="006803F0">
        <w:rPr>
          <w:rFonts w:cs="Calibri Light"/>
          <w:szCs w:val="22"/>
        </w:rPr>
        <w:t>11,860</w:t>
      </w:r>
      <w:r w:rsidR="00105FF4" w:rsidRPr="00740558">
        <w:rPr>
          <w:rFonts w:cs="Calibri Light"/>
          <w:szCs w:val="22"/>
        </w:rPr>
        <w:t xml:space="preserve"> claims with incurred value of $</w:t>
      </w:r>
      <w:r w:rsidR="006803F0">
        <w:rPr>
          <w:rFonts w:cs="Calibri Light"/>
          <w:szCs w:val="22"/>
        </w:rPr>
        <w:t>1.12 billion</w:t>
      </w:r>
      <w:r w:rsidR="00105FF4" w:rsidRPr="00740558">
        <w:rPr>
          <w:rFonts w:cs="Calibri Light"/>
          <w:szCs w:val="22"/>
        </w:rPr>
        <w:t>. However, for Tropical Cyclone Alfred</w:t>
      </w:r>
      <w:r w:rsidR="007D53D7">
        <w:rPr>
          <w:rFonts w:cs="Calibri Light"/>
          <w:szCs w:val="22"/>
        </w:rPr>
        <w:t xml:space="preserve"> alone</w:t>
      </w:r>
      <w:r w:rsidR="00105FF4" w:rsidRPr="00962C13">
        <w:rPr>
          <w:rFonts w:cs="Calibri Light"/>
          <w:szCs w:val="22"/>
        </w:rPr>
        <w:t xml:space="preserve">, the ARPC has received </w:t>
      </w:r>
      <w:r w:rsidR="00264240">
        <w:rPr>
          <w:rFonts w:cs="Calibri Light"/>
          <w:szCs w:val="22"/>
        </w:rPr>
        <w:t>102,636</w:t>
      </w:r>
      <w:r w:rsidR="00105FF4" w:rsidRPr="00962C13">
        <w:rPr>
          <w:rFonts w:cs="Calibri Light"/>
          <w:szCs w:val="22"/>
        </w:rPr>
        <w:t xml:space="preserve"> claims </w:t>
      </w:r>
      <w:r w:rsidR="00F35E4A">
        <w:rPr>
          <w:rFonts w:cs="Calibri Light"/>
          <w:szCs w:val="22"/>
        </w:rPr>
        <w:t>with ultimate costs expected to total $1.56 billion</w:t>
      </w:r>
      <w:r w:rsidR="00105FF4" w:rsidRPr="00962C13">
        <w:rPr>
          <w:rFonts w:cs="Calibri Light"/>
          <w:szCs w:val="22"/>
        </w:rPr>
        <w:t>.</w:t>
      </w:r>
    </w:p>
    <w:p w14:paraId="22C94F78" w14:textId="06661C60" w:rsidR="00192853" w:rsidRPr="00C04193" w:rsidRDefault="00EB5624" w:rsidP="00372123">
      <w:pPr>
        <w:rPr>
          <w:szCs w:val="22"/>
        </w:rPr>
      </w:pPr>
      <w:r w:rsidRPr="00C04193">
        <w:rPr>
          <w:szCs w:val="22"/>
        </w:rPr>
        <w:t xml:space="preserve">If </w:t>
      </w:r>
      <w:r w:rsidR="00D317F1">
        <w:rPr>
          <w:szCs w:val="22"/>
        </w:rPr>
        <w:t xml:space="preserve">a </w:t>
      </w:r>
      <w:r w:rsidRPr="00C04193">
        <w:rPr>
          <w:szCs w:val="22"/>
        </w:rPr>
        <w:t>consumer ha</w:t>
      </w:r>
      <w:r w:rsidR="00D317F1">
        <w:rPr>
          <w:szCs w:val="22"/>
        </w:rPr>
        <w:t xml:space="preserve">s </w:t>
      </w:r>
      <w:r w:rsidRPr="00C04193">
        <w:rPr>
          <w:szCs w:val="22"/>
        </w:rPr>
        <w:t xml:space="preserve">been impacted by a cyclone and they have an existing insurance policy, </w:t>
      </w:r>
      <w:r w:rsidR="00B4723A" w:rsidRPr="00C04193">
        <w:rPr>
          <w:szCs w:val="22"/>
        </w:rPr>
        <w:t xml:space="preserve">they can lodge a claim with their insurer. </w:t>
      </w:r>
      <w:r w:rsidR="00E95040" w:rsidRPr="00C04193">
        <w:rPr>
          <w:szCs w:val="22"/>
        </w:rPr>
        <w:t>As would be the case for a typical insurance claim, i</w:t>
      </w:r>
      <w:r w:rsidR="00A73365" w:rsidRPr="00C04193">
        <w:rPr>
          <w:szCs w:val="22"/>
        </w:rPr>
        <w:t xml:space="preserve">nsurers will assess and </w:t>
      </w:r>
      <w:r w:rsidR="00A51C5F" w:rsidRPr="00C04193">
        <w:rPr>
          <w:szCs w:val="22"/>
        </w:rPr>
        <w:t>decide</w:t>
      </w:r>
      <w:r w:rsidR="00A73365" w:rsidRPr="00C04193">
        <w:rPr>
          <w:szCs w:val="22"/>
        </w:rPr>
        <w:t xml:space="preserve"> whether to accept or decline </w:t>
      </w:r>
      <w:r w:rsidR="001459BD" w:rsidRPr="00C04193">
        <w:rPr>
          <w:szCs w:val="22"/>
        </w:rPr>
        <w:t xml:space="preserve">the claim </w:t>
      </w:r>
      <w:r w:rsidR="00A73365" w:rsidRPr="00C04193">
        <w:rPr>
          <w:szCs w:val="22"/>
        </w:rPr>
        <w:t xml:space="preserve">based on the provisions in the policy. </w:t>
      </w:r>
      <w:r w:rsidR="000A0E8D" w:rsidRPr="00C04193">
        <w:rPr>
          <w:szCs w:val="22"/>
        </w:rPr>
        <w:t xml:space="preserve">If the claim is accepted, </w:t>
      </w:r>
      <w:r w:rsidR="005C13FD" w:rsidRPr="00C04193">
        <w:rPr>
          <w:szCs w:val="22"/>
        </w:rPr>
        <w:t>insurers will offer to either manage a repair</w:t>
      </w:r>
      <w:r w:rsidR="00F77E3D" w:rsidRPr="00C04193">
        <w:rPr>
          <w:szCs w:val="22"/>
        </w:rPr>
        <w:t xml:space="preserve"> or </w:t>
      </w:r>
      <w:r w:rsidR="005C13FD" w:rsidRPr="00C04193">
        <w:rPr>
          <w:szCs w:val="22"/>
        </w:rPr>
        <w:t>rebuild</w:t>
      </w:r>
      <w:r w:rsidR="00E06C2C" w:rsidRPr="00C04193">
        <w:rPr>
          <w:szCs w:val="22"/>
        </w:rPr>
        <w:t>,</w:t>
      </w:r>
      <w:r w:rsidR="005C13FD" w:rsidRPr="00C04193">
        <w:rPr>
          <w:szCs w:val="22"/>
        </w:rPr>
        <w:t xml:space="preserve"> </w:t>
      </w:r>
      <w:r w:rsidR="005B4828" w:rsidRPr="00C04193">
        <w:rPr>
          <w:szCs w:val="22"/>
        </w:rPr>
        <w:t xml:space="preserve">or provide policyholders with a cash settlement to arrange repairs </w:t>
      </w:r>
      <w:r w:rsidR="002F4BD7" w:rsidRPr="00C04193">
        <w:rPr>
          <w:szCs w:val="22"/>
        </w:rPr>
        <w:t>themselves.</w:t>
      </w:r>
    </w:p>
    <w:p w14:paraId="78F3B699" w14:textId="39A69E5A" w:rsidR="00692DBA" w:rsidRPr="00C04193" w:rsidRDefault="00362049" w:rsidP="00372123">
      <w:pPr>
        <w:rPr>
          <w:szCs w:val="22"/>
        </w:rPr>
      </w:pPr>
      <w:r w:rsidRPr="00C04193">
        <w:rPr>
          <w:szCs w:val="22"/>
        </w:rPr>
        <w:t xml:space="preserve">Insurers with an ARPC cyclone pool Reinsurance Agreement seek recovery for the costs of </w:t>
      </w:r>
      <w:r w:rsidR="00A4533C" w:rsidRPr="00C04193">
        <w:rPr>
          <w:szCs w:val="22"/>
        </w:rPr>
        <w:t xml:space="preserve">eligible </w:t>
      </w:r>
      <w:r w:rsidRPr="00C04193">
        <w:rPr>
          <w:szCs w:val="22"/>
        </w:rPr>
        <w:t>claims occurring during a D</w:t>
      </w:r>
      <w:r w:rsidR="008B7C90" w:rsidRPr="00C04193">
        <w:rPr>
          <w:szCs w:val="22"/>
        </w:rPr>
        <w:t>CE</w:t>
      </w:r>
      <w:r w:rsidRPr="00C04193">
        <w:rPr>
          <w:szCs w:val="22"/>
        </w:rPr>
        <w:t xml:space="preserve"> from the ARPC, p</w:t>
      </w:r>
      <w:r w:rsidR="00AC4E31" w:rsidRPr="00C04193">
        <w:rPr>
          <w:szCs w:val="22"/>
        </w:rPr>
        <w:t xml:space="preserve">rovided the claims are settled in accordance with the original policy terms, conditions and exclusions. The ARPC reviews all insurer requests for reimbursement to ensure they are valid under the terms of its reinsurance agreement </w:t>
      </w:r>
      <w:r w:rsidR="00EF5771" w:rsidRPr="00C04193">
        <w:rPr>
          <w:szCs w:val="22"/>
        </w:rPr>
        <w:t xml:space="preserve">with the insurer and the </w:t>
      </w:r>
      <w:r w:rsidR="00692DBA" w:rsidRPr="00C04193">
        <w:rPr>
          <w:szCs w:val="22"/>
        </w:rPr>
        <w:t>Act. This process occurs between the ARPC and insurers and does not impact policyholders’ claims.</w:t>
      </w:r>
      <w:r w:rsidR="00B77921" w:rsidRPr="00191466">
        <w:rPr>
          <w:rStyle w:val="FootnoteReference"/>
          <w:sz w:val="22"/>
          <w:szCs w:val="22"/>
        </w:rPr>
        <w:footnoteReference w:id="8"/>
      </w:r>
    </w:p>
    <w:p w14:paraId="32F7D4D2" w14:textId="4DE7DC0A" w:rsidR="004368BE" w:rsidRDefault="00733FB8" w:rsidP="00733FB8">
      <w:pPr>
        <w:pStyle w:val="Heading2"/>
      </w:pPr>
      <w:bookmarkStart w:id="26" w:name="_Toc210055973"/>
      <w:r>
        <w:t>Pricing</w:t>
      </w:r>
      <w:r w:rsidR="00BE3F51">
        <w:t>, availability and mitigation</w:t>
      </w:r>
      <w:bookmarkEnd w:id="26"/>
      <w:r w:rsidR="00BE3F51">
        <w:t xml:space="preserve"> </w:t>
      </w:r>
      <w:r w:rsidR="00ED62FC" w:rsidRPr="00ED62FC">
        <w:rPr>
          <w:szCs w:val="22"/>
        </w:rPr>
        <w:t xml:space="preserve"> </w:t>
      </w:r>
    </w:p>
    <w:p w14:paraId="61522087" w14:textId="77E65A8D" w:rsidR="00BC180C" w:rsidRDefault="00417D1F" w:rsidP="008B17A4">
      <w:pPr>
        <w:pStyle w:val="Heading3"/>
      </w:pPr>
      <w:bookmarkStart w:id="27" w:name="_Toc207898452"/>
      <w:bookmarkStart w:id="28" w:name="_Toc210055974"/>
      <w:r>
        <w:t>Cy</w:t>
      </w:r>
      <w:r w:rsidR="00D90A45">
        <w:t>clone pool objectives</w:t>
      </w:r>
      <w:bookmarkEnd w:id="27"/>
      <w:bookmarkEnd w:id="28"/>
    </w:p>
    <w:p w14:paraId="0DC1AD3D" w14:textId="02A18A32" w:rsidR="00B717AC" w:rsidRPr="00C04193" w:rsidRDefault="00AC018F" w:rsidP="00D22F13">
      <w:pPr>
        <w:rPr>
          <w:szCs w:val="22"/>
        </w:rPr>
      </w:pPr>
      <w:r w:rsidRPr="00C04193">
        <w:rPr>
          <w:szCs w:val="22"/>
        </w:rPr>
        <w:t xml:space="preserve">The purpose of the </w:t>
      </w:r>
      <w:r w:rsidR="001726A1" w:rsidRPr="00C04193">
        <w:rPr>
          <w:szCs w:val="22"/>
        </w:rPr>
        <w:t xml:space="preserve">cyclone pool is to improve insurance access and affordability </w:t>
      </w:r>
      <w:r w:rsidR="005A74F1">
        <w:rPr>
          <w:szCs w:val="22"/>
        </w:rPr>
        <w:t xml:space="preserve">for </w:t>
      </w:r>
      <w:r w:rsidR="00ED62FC" w:rsidRPr="00C04193">
        <w:rPr>
          <w:szCs w:val="22"/>
        </w:rPr>
        <w:t>households</w:t>
      </w:r>
      <w:r w:rsidR="00ED62FC">
        <w:rPr>
          <w:szCs w:val="22"/>
        </w:rPr>
        <w:t xml:space="preserve">, small businesses, and residential and commercial strata with medium </w:t>
      </w:r>
      <w:r w:rsidR="008029C0">
        <w:rPr>
          <w:szCs w:val="22"/>
        </w:rPr>
        <w:t>to</w:t>
      </w:r>
      <w:r w:rsidR="00ED62FC">
        <w:rPr>
          <w:szCs w:val="22"/>
        </w:rPr>
        <w:t xml:space="preserve"> high cyclone and related flood damage risk</w:t>
      </w:r>
      <w:r w:rsidR="001726A1" w:rsidRPr="00C04193">
        <w:rPr>
          <w:szCs w:val="22"/>
        </w:rPr>
        <w:t>.</w:t>
      </w:r>
      <w:r w:rsidR="00F2168A" w:rsidRPr="00C04193">
        <w:rPr>
          <w:szCs w:val="22"/>
        </w:rPr>
        <w:t xml:space="preserve"> </w:t>
      </w:r>
      <w:r w:rsidR="004458CF" w:rsidRPr="00C04193">
        <w:rPr>
          <w:szCs w:val="22"/>
        </w:rPr>
        <w:t xml:space="preserve">In doing so, the </w:t>
      </w:r>
      <w:r w:rsidR="00BA3EB0">
        <w:rPr>
          <w:szCs w:val="22"/>
        </w:rPr>
        <w:t xml:space="preserve">cyclone </w:t>
      </w:r>
      <w:r w:rsidR="004458CF" w:rsidRPr="00C04193">
        <w:rPr>
          <w:szCs w:val="22"/>
        </w:rPr>
        <w:t>pool aims to</w:t>
      </w:r>
      <w:r w:rsidR="00F2168A" w:rsidRPr="00C04193">
        <w:rPr>
          <w:szCs w:val="22"/>
        </w:rPr>
        <w:t xml:space="preserve"> build the financial capability of affected households and small businesses to recover from natural disasters and support the economic resilience and development </w:t>
      </w:r>
      <w:r w:rsidR="00F2168A" w:rsidRPr="00C04193" w:rsidDel="00B56DBC">
        <w:rPr>
          <w:szCs w:val="22"/>
        </w:rPr>
        <w:t>of</w:t>
      </w:r>
      <w:r w:rsidR="00F2168A" w:rsidRPr="00C04193">
        <w:rPr>
          <w:szCs w:val="22"/>
        </w:rPr>
        <w:t xml:space="preserve"> cyclone-prone areas. </w:t>
      </w:r>
      <w:r w:rsidR="000A70A8" w:rsidRPr="00C04193">
        <w:rPr>
          <w:szCs w:val="22"/>
        </w:rPr>
        <w:t>In addition to this, the</w:t>
      </w:r>
      <w:r w:rsidR="00B3291D" w:rsidRPr="00C04193">
        <w:rPr>
          <w:szCs w:val="22"/>
        </w:rPr>
        <w:t xml:space="preserve"> </w:t>
      </w:r>
      <w:r w:rsidR="00B56DBC">
        <w:rPr>
          <w:szCs w:val="22"/>
        </w:rPr>
        <w:t xml:space="preserve">cyclone </w:t>
      </w:r>
      <w:r w:rsidR="00B3291D" w:rsidRPr="00C04193">
        <w:rPr>
          <w:szCs w:val="22"/>
        </w:rPr>
        <w:t xml:space="preserve">pool is intended </w:t>
      </w:r>
      <w:r w:rsidR="000A70A8" w:rsidRPr="00C04193">
        <w:rPr>
          <w:szCs w:val="22"/>
        </w:rPr>
        <w:t>to increase</w:t>
      </w:r>
      <w:r w:rsidR="003E7704" w:rsidRPr="00C04193">
        <w:rPr>
          <w:szCs w:val="22"/>
        </w:rPr>
        <w:t xml:space="preserve"> competition </w:t>
      </w:r>
      <w:r w:rsidR="00050836" w:rsidRPr="00C04193">
        <w:rPr>
          <w:szCs w:val="22"/>
        </w:rPr>
        <w:t xml:space="preserve">in cyclone-prone areas </w:t>
      </w:r>
      <w:r w:rsidR="003E7704" w:rsidRPr="00C04193">
        <w:rPr>
          <w:szCs w:val="22"/>
        </w:rPr>
        <w:t>by encouraging greater insurer participation and support higher levels of insurance coverage by property owners.</w:t>
      </w:r>
      <w:r w:rsidR="003E7704" w:rsidRPr="00FD15CB">
        <w:rPr>
          <w:rStyle w:val="FootnoteReference"/>
          <w:sz w:val="22"/>
          <w:szCs w:val="22"/>
        </w:rPr>
        <w:footnoteReference w:id="9"/>
      </w:r>
      <w:r w:rsidR="008F7759" w:rsidRPr="00C04193">
        <w:rPr>
          <w:szCs w:val="22"/>
        </w:rPr>
        <w:t xml:space="preserve"> </w:t>
      </w:r>
    </w:p>
    <w:p w14:paraId="3BE1642E" w14:textId="4F2712CC" w:rsidR="00186ED7" w:rsidRPr="00C04193" w:rsidRDefault="00C67CC1" w:rsidP="00986835">
      <w:pPr>
        <w:rPr>
          <w:szCs w:val="22"/>
        </w:rPr>
      </w:pPr>
      <w:r w:rsidRPr="00C04193">
        <w:rPr>
          <w:szCs w:val="22"/>
        </w:rPr>
        <w:t>The cyclone pool is funded by charging reinsurance premiums to insurers consistent with the cyclone pool’s expected claims and operating expenses</w:t>
      </w:r>
      <w:r w:rsidR="00960C80" w:rsidRPr="00C04193">
        <w:rPr>
          <w:szCs w:val="22"/>
        </w:rPr>
        <w:t xml:space="preserve">. </w:t>
      </w:r>
      <w:r w:rsidR="00B837D7" w:rsidRPr="00C04193">
        <w:rPr>
          <w:szCs w:val="22"/>
        </w:rPr>
        <w:t xml:space="preserve">The ARPC does </w:t>
      </w:r>
      <w:r w:rsidR="00960C80" w:rsidRPr="00C04193">
        <w:rPr>
          <w:szCs w:val="22"/>
        </w:rPr>
        <w:t xml:space="preserve">not seek to make a profit and </w:t>
      </w:r>
      <w:r w:rsidR="002F41A1" w:rsidRPr="00C04193">
        <w:rPr>
          <w:szCs w:val="22"/>
        </w:rPr>
        <w:t xml:space="preserve">does not have regulatory capital holding requirements. </w:t>
      </w:r>
      <w:r w:rsidR="00574D5C">
        <w:rPr>
          <w:szCs w:val="22"/>
        </w:rPr>
        <w:t>This means</w:t>
      </w:r>
      <w:r w:rsidR="00960C80" w:rsidRPr="00C04193">
        <w:rPr>
          <w:szCs w:val="22"/>
        </w:rPr>
        <w:t xml:space="preserve"> the ARPC </w:t>
      </w:r>
      <w:r w:rsidR="001E2B2D">
        <w:rPr>
          <w:szCs w:val="22"/>
        </w:rPr>
        <w:t>can</w:t>
      </w:r>
      <w:r w:rsidR="00574D5C" w:rsidRPr="00C04193">
        <w:rPr>
          <w:szCs w:val="22"/>
        </w:rPr>
        <w:t xml:space="preserve"> </w:t>
      </w:r>
      <w:r w:rsidR="00960C80" w:rsidRPr="00C04193">
        <w:rPr>
          <w:szCs w:val="22"/>
        </w:rPr>
        <w:t xml:space="preserve">charge </w:t>
      </w:r>
      <w:r w:rsidR="00603BF3" w:rsidRPr="00C04193">
        <w:rPr>
          <w:szCs w:val="22"/>
        </w:rPr>
        <w:t xml:space="preserve">lower </w:t>
      </w:r>
      <w:r w:rsidR="00960C80" w:rsidRPr="00C04193">
        <w:rPr>
          <w:szCs w:val="22"/>
        </w:rPr>
        <w:t xml:space="preserve">reinsurance </w:t>
      </w:r>
      <w:r w:rsidR="002909ED" w:rsidRPr="00C04193">
        <w:rPr>
          <w:szCs w:val="22"/>
        </w:rPr>
        <w:t xml:space="preserve">premiums </w:t>
      </w:r>
      <w:r w:rsidR="008A026C">
        <w:rPr>
          <w:szCs w:val="22"/>
        </w:rPr>
        <w:t>than</w:t>
      </w:r>
      <w:r w:rsidR="00960C80" w:rsidRPr="00C04193">
        <w:rPr>
          <w:szCs w:val="22"/>
        </w:rPr>
        <w:t xml:space="preserve"> the private reinsurance market</w:t>
      </w:r>
      <w:r w:rsidR="00456F6F" w:rsidRPr="00C04193">
        <w:rPr>
          <w:szCs w:val="22"/>
        </w:rPr>
        <w:t>.</w:t>
      </w:r>
      <w:r w:rsidR="00DF62D5" w:rsidRPr="00C04193">
        <w:rPr>
          <w:szCs w:val="22"/>
        </w:rPr>
        <w:t xml:space="preserve"> </w:t>
      </w:r>
      <w:r w:rsidR="00D6075D" w:rsidRPr="00C04193">
        <w:rPr>
          <w:szCs w:val="22"/>
        </w:rPr>
        <w:t>T</w:t>
      </w:r>
      <w:r w:rsidR="005F6CD2" w:rsidRPr="00C04193">
        <w:rPr>
          <w:szCs w:val="22"/>
        </w:rPr>
        <w:t>he total</w:t>
      </w:r>
      <w:r w:rsidR="00855DF1" w:rsidRPr="00C04193">
        <w:rPr>
          <w:szCs w:val="22"/>
        </w:rPr>
        <w:t xml:space="preserve"> saving</w:t>
      </w:r>
      <w:r w:rsidR="00621756" w:rsidRPr="00C04193">
        <w:rPr>
          <w:szCs w:val="22"/>
        </w:rPr>
        <w:t>s</w:t>
      </w:r>
      <w:r w:rsidR="00855DF1" w:rsidRPr="00C04193">
        <w:rPr>
          <w:szCs w:val="22"/>
        </w:rPr>
        <w:t xml:space="preserve"> that can be generated by the </w:t>
      </w:r>
      <w:r w:rsidR="005E7B7F">
        <w:rPr>
          <w:szCs w:val="22"/>
        </w:rPr>
        <w:t xml:space="preserve">cyclone </w:t>
      </w:r>
      <w:r w:rsidR="00855DF1" w:rsidRPr="00C04193">
        <w:rPr>
          <w:szCs w:val="22"/>
        </w:rPr>
        <w:t xml:space="preserve">pool is </w:t>
      </w:r>
      <w:r w:rsidR="00D6075D" w:rsidRPr="00C04193">
        <w:rPr>
          <w:szCs w:val="22"/>
        </w:rPr>
        <w:t xml:space="preserve">finite, and in aggregate is equal to the difference </w:t>
      </w:r>
      <w:r w:rsidR="00BB1045" w:rsidRPr="00C04193">
        <w:rPr>
          <w:szCs w:val="22"/>
        </w:rPr>
        <w:t xml:space="preserve">between </w:t>
      </w:r>
      <w:r w:rsidR="00D6075D" w:rsidRPr="00C04193">
        <w:rPr>
          <w:szCs w:val="22"/>
        </w:rPr>
        <w:t>the ARPC</w:t>
      </w:r>
      <w:r w:rsidR="00941CC9" w:rsidRPr="00C04193">
        <w:rPr>
          <w:szCs w:val="22"/>
        </w:rPr>
        <w:t xml:space="preserve">’s reinsurance premiums </w:t>
      </w:r>
      <w:r w:rsidR="00A87965" w:rsidRPr="00C04193">
        <w:rPr>
          <w:szCs w:val="22"/>
        </w:rPr>
        <w:t>and</w:t>
      </w:r>
      <w:r w:rsidR="00D6075D" w:rsidRPr="00C04193">
        <w:rPr>
          <w:szCs w:val="22"/>
        </w:rPr>
        <w:t xml:space="preserve"> the premiums private reinsurers would otherwise charge. </w:t>
      </w:r>
    </w:p>
    <w:p w14:paraId="2828EA49" w14:textId="73A254AA" w:rsidR="009B3598" w:rsidRPr="00C04193" w:rsidRDefault="004853B4" w:rsidP="00986835">
      <w:pPr>
        <w:rPr>
          <w:szCs w:val="22"/>
        </w:rPr>
      </w:pPr>
      <w:r w:rsidRPr="00C04193">
        <w:rPr>
          <w:szCs w:val="22"/>
        </w:rPr>
        <w:t>The</w:t>
      </w:r>
      <w:r w:rsidR="4C682CED" w:rsidRPr="00C04193" w:rsidDel="00F26CCF">
        <w:rPr>
          <w:szCs w:val="22"/>
        </w:rPr>
        <w:t xml:space="preserve"> </w:t>
      </w:r>
      <w:r w:rsidR="00F26CCF">
        <w:rPr>
          <w:szCs w:val="22"/>
        </w:rPr>
        <w:t>Act</w:t>
      </w:r>
      <w:r w:rsidR="4C682CED" w:rsidRPr="00C04193">
        <w:rPr>
          <w:szCs w:val="22"/>
        </w:rPr>
        <w:t xml:space="preserve"> requires </w:t>
      </w:r>
      <w:r w:rsidR="00D61849" w:rsidRPr="00C04193">
        <w:rPr>
          <w:szCs w:val="22"/>
        </w:rPr>
        <w:t xml:space="preserve">the </w:t>
      </w:r>
      <w:r w:rsidR="0F5329E8" w:rsidRPr="00C04193">
        <w:rPr>
          <w:szCs w:val="22"/>
        </w:rPr>
        <w:t xml:space="preserve">ARPC </w:t>
      </w:r>
      <w:r w:rsidR="4C682CED" w:rsidRPr="00C04193">
        <w:rPr>
          <w:szCs w:val="22"/>
        </w:rPr>
        <w:t>to</w:t>
      </w:r>
      <w:r w:rsidR="00F54438" w:rsidRPr="00C04193">
        <w:rPr>
          <w:szCs w:val="22"/>
        </w:rPr>
        <w:t xml:space="preserve"> </w:t>
      </w:r>
      <w:r w:rsidR="00C67CC1" w:rsidRPr="00C04193">
        <w:rPr>
          <w:szCs w:val="22"/>
        </w:rPr>
        <w:t>direct the savings from lower</w:t>
      </w:r>
      <w:r w:rsidR="000053F0">
        <w:rPr>
          <w:szCs w:val="22"/>
        </w:rPr>
        <w:t xml:space="preserve"> </w:t>
      </w:r>
      <w:r w:rsidR="00C67CC1" w:rsidRPr="00C04193">
        <w:rPr>
          <w:szCs w:val="22"/>
        </w:rPr>
        <w:t>risk properties to higher</w:t>
      </w:r>
      <w:r w:rsidR="000053F0">
        <w:rPr>
          <w:szCs w:val="22"/>
        </w:rPr>
        <w:t xml:space="preserve"> </w:t>
      </w:r>
      <w:r w:rsidR="00C67CC1" w:rsidRPr="00C04193">
        <w:rPr>
          <w:szCs w:val="22"/>
        </w:rPr>
        <w:t>risk properties</w:t>
      </w:r>
      <w:r w:rsidR="0046143E" w:rsidRPr="00C04193">
        <w:rPr>
          <w:szCs w:val="22"/>
        </w:rPr>
        <w:t xml:space="preserve">. This </w:t>
      </w:r>
      <w:r w:rsidR="009864B3" w:rsidRPr="00C04193">
        <w:rPr>
          <w:szCs w:val="22"/>
        </w:rPr>
        <w:t>further</w:t>
      </w:r>
      <w:r w:rsidR="0046143E" w:rsidRPr="00C04193">
        <w:rPr>
          <w:szCs w:val="22"/>
        </w:rPr>
        <w:t xml:space="preserve"> r</w:t>
      </w:r>
      <w:r w:rsidR="00D679E2" w:rsidRPr="00C04193">
        <w:rPr>
          <w:szCs w:val="22"/>
        </w:rPr>
        <w:t>educe</w:t>
      </w:r>
      <w:r w:rsidR="009864B3" w:rsidRPr="00C04193">
        <w:rPr>
          <w:szCs w:val="22"/>
        </w:rPr>
        <w:t>s</w:t>
      </w:r>
      <w:r w:rsidR="00FE6810" w:rsidRPr="00C04193">
        <w:rPr>
          <w:szCs w:val="22"/>
        </w:rPr>
        <w:t xml:space="preserve"> the reinsurance cost for policies with medium</w:t>
      </w:r>
      <w:r w:rsidR="00604C40">
        <w:rPr>
          <w:szCs w:val="22"/>
        </w:rPr>
        <w:t xml:space="preserve"> </w:t>
      </w:r>
      <w:r w:rsidR="00FE6810" w:rsidRPr="00C04193">
        <w:rPr>
          <w:szCs w:val="22"/>
        </w:rPr>
        <w:t>to</w:t>
      </w:r>
      <w:r w:rsidR="00604C40">
        <w:rPr>
          <w:szCs w:val="22"/>
        </w:rPr>
        <w:t xml:space="preserve"> </w:t>
      </w:r>
      <w:r w:rsidR="00FE6810" w:rsidRPr="00C04193">
        <w:rPr>
          <w:szCs w:val="22"/>
        </w:rPr>
        <w:t xml:space="preserve">high exposure to cyclone </w:t>
      </w:r>
      <w:r w:rsidR="00FE6810" w:rsidRPr="00C04193" w:rsidDel="003F2F68">
        <w:rPr>
          <w:szCs w:val="22"/>
        </w:rPr>
        <w:t>risk</w:t>
      </w:r>
      <w:r w:rsidR="003F2F68" w:rsidRPr="00C04193">
        <w:rPr>
          <w:szCs w:val="22"/>
        </w:rPr>
        <w:t xml:space="preserve"> and</w:t>
      </w:r>
      <w:r w:rsidR="00FE6810" w:rsidRPr="00C04193">
        <w:rPr>
          <w:szCs w:val="22"/>
        </w:rPr>
        <w:t xml:space="preserve"> keep</w:t>
      </w:r>
      <w:r w:rsidR="009864B3" w:rsidRPr="00C04193">
        <w:rPr>
          <w:szCs w:val="22"/>
        </w:rPr>
        <w:t>s</w:t>
      </w:r>
      <w:r w:rsidR="00FE6810" w:rsidRPr="00C04193">
        <w:rPr>
          <w:szCs w:val="22"/>
        </w:rPr>
        <w:t xml:space="preserve"> premiums at levels comparable to what would be charged by </w:t>
      </w:r>
      <w:r w:rsidR="00860111" w:rsidRPr="00C04193">
        <w:rPr>
          <w:szCs w:val="22"/>
        </w:rPr>
        <w:t>private</w:t>
      </w:r>
      <w:r w:rsidR="00FE6810" w:rsidRPr="00C04193">
        <w:rPr>
          <w:szCs w:val="22"/>
        </w:rPr>
        <w:t xml:space="preserve"> reinsurers for lower cyclone risk areas.</w:t>
      </w:r>
      <w:r w:rsidR="000137DB" w:rsidRPr="00C04193">
        <w:rPr>
          <w:szCs w:val="22"/>
        </w:rPr>
        <w:t xml:space="preserve"> </w:t>
      </w:r>
      <w:r w:rsidR="007A3C3D" w:rsidRPr="00C04193">
        <w:rPr>
          <w:szCs w:val="22"/>
        </w:rPr>
        <w:t xml:space="preserve">The Act allows the ARPC to determine, via a </w:t>
      </w:r>
      <w:r w:rsidR="00196909" w:rsidRPr="00C04193">
        <w:rPr>
          <w:szCs w:val="22"/>
        </w:rPr>
        <w:t xml:space="preserve">Notifiable Instrument, certain </w:t>
      </w:r>
      <w:r w:rsidR="007F3BD4" w:rsidRPr="00C04193">
        <w:rPr>
          <w:szCs w:val="22"/>
        </w:rPr>
        <w:t>postcodes where the risk of</w:t>
      </w:r>
      <w:r w:rsidR="00A25F31" w:rsidRPr="00C04193">
        <w:rPr>
          <w:szCs w:val="22"/>
        </w:rPr>
        <w:t xml:space="preserve"> cyclone loss is </w:t>
      </w:r>
      <w:r w:rsidR="006B3D5F" w:rsidRPr="00C04193">
        <w:rPr>
          <w:szCs w:val="22"/>
        </w:rPr>
        <w:t>negligible</w:t>
      </w:r>
      <w:r w:rsidR="00A25F31" w:rsidRPr="00C04193">
        <w:rPr>
          <w:szCs w:val="22"/>
        </w:rPr>
        <w:t>.</w:t>
      </w:r>
      <w:r w:rsidR="005E71FF" w:rsidRPr="00FD15CB">
        <w:rPr>
          <w:rStyle w:val="FootnoteReference"/>
          <w:sz w:val="22"/>
          <w:szCs w:val="22"/>
        </w:rPr>
        <w:footnoteReference w:id="10"/>
      </w:r>
      <w:r w:rsidR="00A25F31" w:rsidRPr="00C04193">
        <w:rPr>
          <w:szCs w:val="22"/>
        </w:rPr>
        <w:t xml:space="preserve"> </w:t>
      </w:r>
      <w:r w:rsidR="00043F39" w:rsidRPr="00C04193">
        <w:rPr>
          <w:szCs w:val="22"/>
        </w:rPr>
        <w:t>P</w:t>
      </w:r>
      <w:r w:rsidR="007451BE" w:rsidRPr="00C04193">
        <w:rPr>
          <w:szCs w:val="22"/>
        </w:rPr>
        <w:t>olicies in p</w:t>
      </w:r>
      <w:r w:rsidR="00043F39" w:rsidRPr="00C04193">
        <w:rPr>
          <w:szCs w:val="22"/>
        </w:rPr>
        <w:t>ostcode</w:t>
      </w:r>
      <w:r w:rsidR="00860111" w:rsidRPr="00C04193">
        <w:rPr>
          <w:szCs w:val="22"/>
        </w:rPr>
        <w:t>s assessed to have n</w:t>
      </w:r>
      <w:r w:rsidR="00AB46F1">
        <w:rPr>
          <w:szCs w:val="22"/>
        </w:rPr>
        <w:t>egligible</w:t>
      </w:r>
      <w:r w:rsidR="00860111" w:rsidRPr="00C04193">
        <w:rPr>
          <w:szCs w:val="22"/>
        </w:rPr>
        <w:t xml:space="preserve"> cyclone risk are not charged any re</w:t>
      </w:r>
      <w:r w:rsidR="009B3598" w:rsidRPr="00C04193">
        <w:rPr>
          <w:szCs w:val="22"/>
        </w:rPr>
        <w:t xml:space="preserve">insurance premium. </w:t>
      </w:r>
    </w:p>
    <w:p w14:paraId="012AB942" w14:textId="2249314B" w:rsidR="005D3508" w:rsidRPr="00C04193" w:rsidRDefault="0051067E" w:rsidP="00986835">
      <w:pPr>
        <w:rPr>
          <w:szCs w:val="22"/>
        </w:rPr>
      </w:pPr>
      <w:r w:rsidRPr="00C04193">
        <w:rPr>
          <w:szCs w:val="22"/>
        </w:rPr>
        <w:t xml:space="preserve">This means that while the ARPC can offer lower reinsurance </w:t>
      </w:r>
      <w:r w:rsidR="00E94B3B" w:rsidRPr="00C04193">
        <w:rPr>
          <w:szCs w:val="22"/>
        </w:rPr>
        <w:t>premiums</w:t>
      </w:r>
      <w:r w:rsidR="004D34D3" w:rsidRPr="00C04193">
        <w:rPr>
          <w:szCs w:val="22"/>
        </w:rPr>
        <w:t xml:space="preserve"> to all risk levels</w:t>
      </w:r>
      <w:r w:rsidR="00E94B3B" w:rsidRPr="00C04193">
        <w:rPr>
          <w:szCs w:val="22"/>
        </w:rPr>
        <w:t xml:space="preserve">, it offers a premium similar to what is offered in the private market </w:t>
      </w:r>
      <w:r w:rsidR="002F66D8" w:rsidRPr="00C04193">
        <w:rPr>
          <w:szCs w:val="22"/>
        </w:rPr>
        <w:t>for lower</w:t>
      </w:r>
      <w:r w:rsidR="00F355D6">
        <w:rPr>
          <w:szCs w:val="22"/>
        </w:rPr>
        <w:t xml:space="preserve"> </w:t>
      </w:r>
      <w:r w:rsidR="002F66D8" w:rsidRPr="00C04193">
        <w:rPr>
          <w:szCs w:val="22"/>
        </w:rPr>
        <w:t>risk properties</w:t>
      </w:r>
      <w:r w:rsidR="00F65F65" w:rsidRPr="00C04193">
        <w:rPr>
          <w:szCs w:val="22"/>
        </w:rPr>
        <w:t xml:space="preserve">. </w:t>
      </w:r>
      <w:r w:rsidR="008E5549" w:rsidRPr="00C04193">
        <w:rPr>
          <w:szCs w:val="22"/>
        </w:rPr>
        <w:t>Finity</w:t>
      </w:r>
      <w:r w:rsidR="00856614" w:rsidRPr="00C04193">
        <w:rPr>
          <w:szCs w:val="22"/>
        </w:rPr>
        <w:t xml:space="preserve"> Consulting</w:t>
      </w:r>
      <w:r w:rsidR="00C03504" w:rsidRPr="00C04193">
        <w:rPr>
          <w:szCs w:val="22"/>
        </w:rPr>
        <w:t xml:space="preserve">’s </w:t>
      </w:r>
      <w:r w:rsidR="00C6081A" w:rsidRPr="00C04193">
        <w:rPr>
          <w:szCs w:val="22"/>
        </w:rPr>
        <w:t>202</w:t>
      </w:r>
      <w:r w:rsidR="004F07E9">
        <w:rPr>
          <w:szCs w:val="22"/>
        </w:rPr>
        <w:t>5</w:t>
      </w:r>
      <w:r w:rsidR="008E5549" w:rsidRPr="00C04193">
        <w:rPr>
          <w:szCs w:val="22"/>
        </w:rPr>
        <w:t xml:space="preserve"> </w:t>
      </w:r>
      <w:r w:rsidR="00C36816">
        <w:rPr>
          <w:szCs w:val="22"/>
        </w:rPr>
        <w:t>premium determination report on the cyclone pool</w:t>
      </w:r>
      <w:r w:rsidR="00FE259B">
        <w:rPr>
          <w:szCs w:val="22"/>
        </w:rPr>
        <w:t xml:space="preserve"> </w:t>
      </w:r>
      <w:r w:rsidR="005C57EF">
        <w:rPr>
          <w:szCs w:val="22"/>
        </w:rPr>
        <w:t>notes the application of the current cross-subsidies achieves overall adequa</w:t>
      </w:r>
      <w:r w:rsidR="003D1240">
        <w:rPr>
          <w:szCs w:val="22"/>
        </w:rPr>
        <w:t>cy while delivering the most benefit to medium and high risk policyholder</w:t>
      </w:r>
      <w:r w:rsidR="00EE210D">
        <w:rPr>
          <w:szCs w:val="22"/>
        </w:rPr>
        <w:t>s</w:t>
      </w:r>
      <w:r w:rsidR="0017423B">
        <w:rPr>
          <w:szCs w:val="22"/>
        </w:rPr>
        <w:t>, based on actual exposure information from insurers</w:t>
      </w:r>
      <w:r w:rsidR="00EE210D">
        <w:rPr>
          <w:szCs w:val="22"/>
        </w:rPr>
        <w:t>.</w:t>
      </w:r>
      <w:r w:rsidR="00C42D25" w:rsidRPr="00C04193">
        <w:rPr>
          <w:szCs w:val="22"/>
        </w:rPr>
        <w:t xml:space="preserve"> </w:t>
      </w:r>
      <w:r w:rsidR="0009170D" w:rsidRPr="00C04193">
        <w:rPr>
          <w:szCs w:val="22"/>
        </w:rPr>
        <w:t xml:space="preserve">It shows that </w:t>
      </w:r>
      <w:r w:rsidR="00D32EC3" w:rsidRPr="00C04193">
        <w:rPr>
          <w:szCs w:val="22"/>
        </w:rPr>
        <w:t>for prop</w:t>
      </w:r>
      <w:r w:rsidR="00BF4030" w:rsidRPr="00C04193">
        <w:rPr>
          <w:szCs w:val="22"/>
        </w:rPr>
        <w:t xml:space="preserve">erties with minimal risk, </w:t>
      </w:r>
      <w:r w:rsidR="00D843A1">
        <w:rPr>
          <w:szCs w:val="22"/>
        </w:rPr>
        <w:t xml:space="preserve">the </w:t>
      </w:r>
      <w:r w:rsidR="00BF4030" w:rsidRPr="00C04193">
        <w:rPr>
          <w:szCs w:val="22"/>
        </w:rPr>
        <w:t xml:space="preserve">premium is slightly above </w:t>
      </w:r>
      <w:r w:rsidR="00321B02">
        <w:rPr>
          <w:szCs w:val="22"/>
        </w:rPr>
        <w:t xml:space="preserve">the </w:t>
      </w:r>
      <w:r w:rsidR="00BF4030" w:rsidRPr="00C04193">
        <w:rPr>
          <w:szCs w:val="22"/>
        </w:rPr>
        <w:t>technical cost, as would be expected in the private market. Meanwhile, for those with high risk</w:t>
      </w:r>
      <w:r w:rsidR="005D3508" w:rsidRPr="00C04193">
        <w:rPr>
          <w:szCs w:val="22"/>
        </w:rPr>
        <w:t>, the cyclone pool premium is substantially below</w:t>
      </w:r>
      <w:r w:rsidR="00321B02">
        <w:rPr>
          <w:szCs w:val="22"/>
        </w:rPr>
        <w:t xml:space="preserve"> the</w:t>
      </w:r>
      <w:r w:rsidR="005D3508" w:rsidRPr="00C04193">
        <w:rPr>
          <w:szCs w:val="22"/>
        </w:rPr>
        <w:t xml:space="preserve"> technical cost</w:t>
      </w:r>
      <w:r w:rsidR="003C6235" w:rsidRPr="00C04193">
        <w:rPr>
          <w:szCs w:val="22"/>
        </w:rPr>
        <w:t>.</w:t>
      </w:r>
      <w:r w:rsidR="005775FB" w:rsidRPr="00FD15CB">
        <w:rPr>
          <w:rStyle w:val="FootnoteReference"/>
          <w:sz w:val="22"/>
          <w:szCs w:val="22"/>
        </w:rPr>
        <w:footnoteReference w:id="11"/>
      </w:r>
    </w:p>
    <w:p w14:paraId="4A1C9B57" w14:textId="0C8F4AE4" w:rsidR="00F614E5" w:rsidRPr="00C04193" w:rsidRDefault="00F65F65" w:rsidP="00986835">
      <w:pPr>
        <w:rPr>
          <w:szCs w:val="22"/>
        </w:rPr>
      </w:pPr>
      <w:r w:rsidRPr="00C04193">
        <w:rPr>
          <w:szCs w:val="22"/>
        </w:rPr>
        <w:t xml:space="preserve">The ARPC </w:t>
      </w:r>
      <w:r w:rsidR="006F2F12">
        <w:rPr>
          <w:szCs w:val="22"/>
        </w:rPr>
        <w:t>re</w:t>
      </w:r>
      <w:r w:rsidR="00FF259F">
        <w:rPr>
          <w:szCs w:val="22"/>
        </w:rPr>
        <w:t>directs</w:t>
      </w:r>
      <w:r w:rsidR="006F2F12">
        <w:rPr>
          <w:szCs w:val="22"/>
        </w:rPr>
        <w:t xml:space="preserve"> </w:t>
      </w:r>
      <w:r w:rsidR="002821F5" w:rsidRPr="00C04193">
        <w:rPr>
          <w:szCs w:val="22"/>
        </w:rPr>
        <w:t>the</w:t>
      </w:r>
      <w:r w:rsidR="00DD2C3F" w:rsidRPr="00C04193">
        <w:rPr>
          <w:szCs w:val="22"/>
        </w:rPr>
        <w:t xml:space="preserve"> discount </w:t>
      </w:r>
      <w:r w:rsidR="007C4CD3" w:rsidRPr="00C04193">
        <w:rPr>
          <w:szCs w:val="22"/>
        </w:rPr>
        <w:t xml:space="preserve">the </w:t>
      </w:r>
      <w:r w:rsidR="005D3508" w:rsidRPr="00C04193">
        <w:rPr>
          <w:szCs w:val="22"/>
        </w:rPr>
        <w:t>low</w:t>
      </w:r>
      <w:r w:rsidR="000053F0">
        <w:rPr>
          <w:szCs w:val="22"/>
        </w:rPr>
        <w:t xml:space="preserve"> </w:t>
      </w:r>
      <w:r w:rsidR="005D3508" w:rsidRPr="00C04193">
        <w:rPr>
          <w:szCs w:val="22"/>
        </w:rPr>
        <w:t>risk</w:t>
      </w:r>
      <w:r w:rsidR="002821F5" w:rsidRPr="00C04193">
        <w:rPr>
          <w:szCs w:val="22"/>
        </w:rPr>
        <w:t xml:space="preserve"> properties could </w:t>
      </w:r>
      <w:r w:rsidR="00C822EA" w:rsidRPr="00C04193">
        <w:rPr>
          <w:szCs w:val="22"/>
        </w:rPr>
        <w:t>receive</w:t>
      </w:r>
      <w:r w:rsidR="007C4CD3" w:rsidRPr="00C04193">
        <w:rPr>
          <w:szCs w:val="22"/>
        </w:rPr>
        <w:t xml:space="preserve"> </w:t>
      </w:r>
      <w:r w:rsidR="00DD2C3F" w:rsidRPr="00C04193">
        <w:rPr>
          <w:szCs w:val="22"/>
        </w:rPr>
        <w:t>to</w:t>
      </w:r>
      <w:r w:rsidR="007C4CD3" w:rsidRPr="00C04193">
        <w:rPr>
          <w:szCs w:val="22"/>
        </w:rPr>
        <w:t xml:space="preserve"> </w:t>
      </w:r>
      <w:r w:rsidR="00DD2C3F" w:rsidRPr="00C04193">
        <w:rPr>
          <w:szCs w:val="22"/>
        </w:rPr>
        <w:t>medium</w:t>
      </w:r>
      <w:r w:rsidR="00D41948">
        <w:rPr>
          <w:szCs w:val="22"/>
        </w:rPr>
        <w:t xml:space="preserve"> </w:t>
      </w:r>
      <w:r w:rsidR="00DD2C3F" w:rsidRPr="00C04193">
        <w:rPr>
          <w:szCs w:val="22"/>
        </w:rPr>
        <w:t>to</w:t>
      </w:r>
      <w:r w:rsidR="00D41948">
        <w:rPr>
          <w:szCs w:val="22"/>
        </w:rPr>
        <w:t xml:space="preserve"> </w:t>
      </w:r>
      <w:r w:rsidR="00DD2C3F" w:rsidRPr="00C04193">
        <w:rPr>
          <w:szCs w:val="22"/>
        </w:rPr>
        <w:t>high risk properties</w:t>
      </w:r>
      <w:r w:rsidR="006B6CCD" w:rsidRPr="00C04193">
        <w:rPr>
          <w:szCs w:val="22"/>
        </w:rPr>
        <w:t xml:space="preserve">. </w:t>
      </w:r>
      <w:r w:rsidR="00CC4E6A">
        <w:rPr>
          <w:szCs w:val="22"/>
        </w:rPr>
        <w:t>However, t</w:t>
      </w:r>
      <w:r w:rsidR="00600D4C" w:rsidRPr="00C04193">
        <w:rPr>
          <w:szCs w:val="22"/>
        </w:rPr>
        <w:t xml:space="preserve">he </w:t>
      </w:r>
      <w:r w:rsidR="00AA3411" w:rsidRPr="00C04193">
        <w:rPr>
          <w:szCs w:val="22"/>
        </w:rPr>
        <w:t xml:space="preserve">savings </w:t>
      </w:r>
      <w:r w:rsidR="00FD5163" w:rsidRPr="00C04193">
        <w:rPr>
          <w:szCs w:val="22"/>
        </w:rPr>
        <w:t xml:space="preserve">received by individual policyholders </w:t>
      </w:r>
      <w:r w:rsidR="0061300E" w:rsidRPr="00C04193">
        <w:rPr>
          <w:szCs w:val="22"/>
        </w:rPr>
        <w:t>are</w:t>
      </w:r>
      <w:r w:rsidR="00600D4C" w:rsidRPr="00C04193">
        <w:rPr>
          <w:szCs w:val="22"/>
        </w:rPr>
        <w:t xml:space="preserve"> </w:t>
      </w:r>
      <w:r w:rsidR="005E50C2" w:rsidRPr="00C04193" w:rsidDel="00600D4C">
        <w:rPr>
          <w:szCs w:val="22"/>
        </w:rPr>
        <w:t>d</w:t>
      </w:r>
      <w:r w:rsidR="005E50C2" w:rsidRPr="00C04193">
        <w:rPr>
          <w:szCs w:val="22"/>
        </w:rPr>
        <w:t>ependent on</w:t>
      </w:r>
      <w:r w:rsidR="00120E05" w:rsidRPr="00C04193">
        <w:rPr>
          <w:szCs w:val="22"/>
        </w:rPr>
        <w:t xml:space="preserve"> the savings generated by </w:t>
      </w:r>
      <w:r w:rsidR="000D3E7F" w:rsidRPr="00C04193">
        <w:rPr>
          <w:szCs w:val="22"/>
        </w:rPr>
        <w:t xml:space="preserve">the </w:t>
      </w:r>
      <w:r w:rsidR="004E3491">
        <w:rPr>
          <w:szCs w:val="22"/>
        </w:rPr>
        <w:t xml:space="preserve">cyclone </w:t>
      </w:r>
      <w:r w:rsidR="000D3E7F" w:rsidRPr="00C04193">
        <w:rPr>
          <w:szCs w:val="22"/>
        </w:rPr>
        <w:t xml:space="preserve">pool being </w:t>
      </w:r>
      <w:r w:rsidR="00B81099" w:rsidRPr="00C04193">
        <w:rPr>
          <w:szCs w:val="22"/>
        </w:rPr>
        <w:t>pass</w:t>
      </w:r>
      <w:r w:rsidR="000D3E7F" w:rsidRPr="00C04193">
        <w:rPr>
          <w:szCs w:val="22"/>
        </w:rPr>
        <w:t>ed</w:t>
      </w:r>
      <w:r w:rsidR="00B81099" w:rsidRPr="00C04193">
        <w:rPr>
          <w:szCs w:val="22"/>
        </w:rPr>
        <w:t xml:space="preserve"> through</w:t>
      </w:r>
      <w:r w:rsidR="000D3E7F" w:rsidRPr="00C04193">
        <w:rPr>
          <w:szCs w:val="22"/>
        </w:rPr>
        <w:t xml:space="preserve"> to policyholders</w:t>
      </w:r>
      <w:r w:rsidR="00B81099" w:rsidRPr="00C04193">
        <w:rPr>
          <w:szCs w:val="22"/>
        </w:rPr>
        <w:t xml:space="preserve"> by insurers.</w:t>
      </w:r>
    </w:p>
    <w:p w14:paraId="281CBBEC" w14:textId="6E5D78EA" w:rsidR="008E7CB0" w:rsidRPr="00C04193" w:rsidRDefault="005D2C9E" w:rsidP="00D22F13">
      <w:pPr>
        <w:rPr>
          <w:szCs w:val="22"/>
        </w:rPr>
      </w:pPr>
      <w:r w:rsidRPr="00C04193">
        <w:rPr>
          <w:szCs w:val="22"/>
        </w:rPr>
        <w:t xml:space="preserve">The </w:t>
      </w:r>
      <w:r w:rsidR="000D0682">
        <w:rPr>
          <w:szCs w:val="22"/>
        </w:rPr>
        <w:t>Act</w:t>
      </w:r>
      <w:r w:rsidRPr="00C04193">
        <w:rPr>
          <w:szCs w:val="22"/>
        </w:rPr>
        <w:t xml:space="preserve"> does not prescribe how the ARPC’s reinsurance premiums should be reflected in the retail premiums charged by insurers to customers. </w:t>
      </w:r>
      <w:r w:rsidR="00B47112" w:rsidRPr="00C04193">
        <w:rPr>
          <w:szCs w:val="22"/>
        </w:rPr>
        <w:t xml:space="preserve">There </w:t>
      </w:r>
      <w:r w:rsidR="00CA3756" w:rsidRPr="00C04193">
        <w:rPr>
          <w:szCs w:val="22"/>
        </w:rPr>
        <w:t>are</w:t>
      </w:r>
      <w:r w:rsidR="00B47112" w:rsidRPr="00C04193">
        <w:rPr>
          <w:szCs w:val="22"/>
        </w:rPr>
        <w:t xml:space="preserve"> no requirements </w:t>
      </w:r>
      <w:r w:rsidR="00233E1D">
        <w:rPr>
          <w:szCs w:val="22"/>
        </w:rPr>
        <w:t xml:space="preserve">in </w:t>
      </w:r>
      <w:r w:rsidR="00B47112" w:rsidRPr="00C04193">
        <w:rPr>
          <w:szCs w:val="22"/>
        </w:rPr>
        <w:t xml:space="preserve">the </w:t>
      </w:r>
      <w:r w:rsidR="00233E1D">
        <w:rPr>
          <w:szCs w:val="22"/>
        </w:rPr>
        <w:t>Act</w:t>
      </w:r>
      <w:r w:rsidR="00B47112" w:rsidRPr="00C04193">
        <w:rPr>
          <w:szCs w:val="22"/>
        </w:rPr>
        <w:t xml:space="preserve"> </w:t>
      </w:r>
      <w:r w:rsidR="005640C3">
        <w:rPr>
          <w:szCs w:val="22"/>
        </w:rPr>
        <w:t>for</w:t>
      </w:r>
      <w:r w:rsidRPr="00C04193">
        <w:rPr>
          <w:szCs w:val="22"/>
        </w:rPr>
        <w:t xml:space="preserve"> </w:t>
      </w:r>
      <w:r w:rsidR="00B47112" w:rsidRPr="00C04193">
        <w:rPr>
          <w:szCs w:val="22"/>
        </w:rPr>
        <w:t>insurers</w:t>
      </w:r>
      <w:r w:rsidR="00B47112" w:rsidRPr="00C04193" w:rsidDel="005D2C9E">
        <w:rPr>
          <w:szCs w:val="22"/>
        </w:rPr>
        <w:t xml:space="preserve"> </w:t>
      </w:r>
      <w:r w:rsidR="005640C3">
        <w:rPr>
          <w:szCs w:val="22"/>
        </w:rPr>
        <w:t>to</w:t>
      </w:r>
      <w:r w:rsidR="00B47112" w:rsidRPr="00C04193" w:rsidDel="005D2C9E">
        <w:rPr>
          <w:szCs w:val="22"/>
        </w:rPr>
        <w:t xml:space="preserve"> </w:t>
      </w:r>
      <w:r w:rsidR="00B47112" w:rsidRPr="00C04193">
        <w:rPr>
          <w:szCs w:val="22"/>
        </w:rPr>
        <w:t>pass on any savings from the cyclone pool to policyholders.</w:t>
      </w:r>
      <w:r w:rsidR="003B01CF" w:rsidRPr="00FD15CB">
        <w:rPr>
          <w:rStyle w:val="FootnoteReference"/>
          <w:sz w:val="22"/>
          <w:szCs w:val="22"/>
        </w:rPr>
        <w:footnoteReference w:id="12"/>
      </w:r>
      <w:r w:rsidR="00B47112" w:rsidRPr="00C04193">
        <w:rPr>
          <w:szCs w:val="22"/>
        </w:rPr>
        <w:t xml:space="preserve"> </w:t>
      </w:r>
      <w:r w:rsidR="00027EDD" w:rsidRPr="00C04193">
        <w:rPr>
          <w:szCs w:val="22"/>
        </w:rPr>
        <w:t xml:space="preserve">However, insurers </w:t>
      </w:r>
      <w:r w:rsidR="00BC1D50" w:rsidRPr="00C04193">
        <w:rPr>
          <w:szCs w:val="22"/>
        </w:rPr>
        <w:t xml:space="preserve">are </w:t>
      </w:r>
      <w:r w:rsidR="00027EDD" w:rsidRPr="00C04193">
        <w:rPr>
          <w:szCs w:val="22"/>
        </w:rPr>
        <w:t>expect</w:t>
      </w:r>
      <w:r w:rsidR="00BC1D50" w:rsidRPr="00C04193">
        <w:rPr>
          <w:szCs w:val="22"/>
        </w:rPr>
        <w:t>ed to</w:t>
      </w:r>
      <w:r w:rsidR="00027EDD" w:rsidRPr="00C04193">
        <w:rPr>
          <w:szCs w:val="22"/>
        </w:rPr>
        <w:t xml:space="preserve"> pass </w:t>
      </w:r>
      <w:r w:rsidR="00CD0D7A">
        <w:rPr>
          <w:szCs w:val="22"/>
        </w:rPr>
        <w:t>on</w:t>
      </w:r>
      <w:r w:rsidR="00027EDD" w:rsidRPr="00C04193">
        <w:rPr>
          <w:szCs w:val="22"/>
        </w:rPr>
        <w:t xml:space="preserve"> </w:t>
      </w:r>
      <w:r w:rsidR="00AF4218" w:rsidRPr="00C04193">
        <w:rPr>
          <w:szCs w:val="22"/>
        </w:rPr>
        <w:t>savings</w:t>
      </w:r>
      <w:r w:rsidR="00AC5317" w:rsidRPr="00C04193">
        <w:rPr>
          <w:szCs w:val="22"/>
        </w:rPr>
        <w:t xml:space="preserve"> in line with the intent of the cyclone pool. </w:t>
      </w:r>
      <w:r w:rsidR="00F86E71" w:rsidRPr="00C04193">
        <w:rPr>
          <w:szCs w:val="22"/>
        </w:rPr>
        <w:t xml:space="preserve">The Australian Competition and Consumer Commission </w:t>
      </w:r>
      <w:r w:rsidR="00477E68" w:rsidRPr="00C04193">
        <w:rPr>
          <w:szCs w:val="22"/>
        </w:rPr>
        <w:t>(ACCC)</w:t>
      </w:r>
      <w:r w:rsidR="00897EE2" w:rsidRPr="00C04193">
        <w:rPr>
          <w:szCs w:val="22"/>
        </w:rPr>
        <w:t>’s</w:t>
      </w:r>
      <w:r w:rsidR="008B2CF9">
        <w:rPr>
          <w:szCs w:val="22"/>
        </w:rPr>
        <w:t xml:space="preserve"> </w:t>
      </w:r>
      <w:r w:rsidR="00F86E71" w:rsidRPr="00C04193">
        <w:rPr>
          <w:szCs w:val="22"/>
        </w:rPr>
        <w:t>price monitoring</w:t>
      </w:r>
      <w:r w:rsidR="00343382">
        <w:rPr>
          <w:szCs w:val="22"/>
        </w:rPr>
        <w:t xml:space="preserve"> role</w:t>
      </w:r>
      <w:r w:rsidR="00F86E71" w:rsidRPr="00C04193">
        <w:rPr>
          <w:szCs w:val="22"/>
        </w:rPr>
        <w:t xml:space="preserve">, expanded </w:t>
      </w:r>
      <w:r w:rsidR="00455A86" w:rsidRPr="00C04193">
        <w:rPr>
          <w:szCs w:val="22"/>
        </w:rPr>
        <w:t xml:space="preserve">on </w:t>
      </w:r>
      <w:r w:rsidR="00F86E71" w:rsidRPr="00C04193">
        <w:rPr>
          <w:szCs w:val="22"/>
        </w:rPr>
        <w:t xml:space="preserve">below, </w:t>
      </w:r>
      <w:r w:rsidR="006E2002" w:rsidRPr="00C04193">
        <w:rPr>
          <w:szCs w:val="22"/>
        </w:rPr>
        <w:t>is</w:t>
      </w:r>
      <w:r w:rsidR="00994E04" w:rsidRPr="00C04193">
        <w:rPr>
          <w:szCs w:val="22"/>
        </w:rPr>
        <w:t xml:space="preserve"> a</w:t>
      </w:r>
      <w:r w:rsidR="0012495B" w:rsidRPr="00C04193">
        <w:rPr>
          <w:szCs w:val="22"/>
        </w:rPr>
        <w:t xml:space="preserve"> way to provide transparency on whether and how</w:t>
      </w:r>
      <w:r w:rsidR="006E2002" w:rsidRPr="00C04193" w:rsidDel="0012495B">
        <w:rPr>
          <w:szCs w:val="22"/>
        </w:rPr>
        <w:t xml:space="preserve"> </w:t>
      </w:r>
      <w:r w:rsidR="00920B99" w:rsidRPr="00C04193">
        <w:rPr>
          <w:szCs w:val="22"/>
        </w:rPr>
        <w:t xml:space="preserve">this occurs. </w:t>
      </w:r>
    </w:p>
    <w:p w14:paraId="31E7EB6C" w14:textId="77777777" w:rsidR="00702272" w:rsidRDefault="00702272" w:rsidP="008B17A4">
      <w:pPr>
        <w:pStyle w:val="Heading3"/>
      </w:pPr>
      <w:bookmarkStart w:id="29" w:name="_Toc207898453"/>
      <w:bookmarkStart w:id="30" w:name="_Toc210055975"/>
      <w:r>
        <w:t>Price monitoring</w:t>
      </w:r>
      <w:bookmarkEnd w:id="29"/>
      <w:bookmarkEnd w:id="30"/>
      <w:r>
        <w:t xml:space="preserve"> </w:t>
      </w:r>
    </w:p>
    <w:p w14:paraId="293F51AC" w14:textId="77777777" w:rsidR="00702272" w:rsidRPr="00C04193" w:rsidRDefault="00702272" w:rsidP="00702272">
      <w:pPr>
        <w:rPr>
          <w:szCs w:val="22"/>
        </w:rPr>
      </w:pPr>
      <w:r w:rsidRPr="00C04193">
        <w:rPr>
          <w:szCs w:val="22"/>
        </w:rPr>
        <w:t>On 12 January 2022, the ACCC was directed to monitor the prices, costs and profits relating to the supply of insurance cover before and after the introduction of the cyclone pool. This is in respect of the destruction of, or damage to, a home building, contents of a residential building, a strata title residence, and certain commercial premises and contents of those commercial premises.</w:t>
      </w:r>
      <w:r w:rsidRPr="00FD15CB">
        <w:rPr>
          <w:rStyle w:val="FootnoteReference"/>
          <w:sz w:val="22"/>
          <w:szCs w:val="22"/>
        </w:rPr>
        <w:footnoteReference w:id="13"/>
      </w:r>
    </w:p>
    <w:p w14:paraId="7D2CF93D" w14:textId="43C66852" w:rsidR="00702272" w:rsidRPr="00C04193" w:rsidRDefault="00702272" w:rsidP="00702272">
      <w:pPr>
        <w:rPr>
          <w:szCs w:val="22"/>
        </w:rPr>
      </w:pPr>
      <w:r w:rsidRPr="00C04193">
        <w:rPr>
          <w:szCs w:val="22"/>
        </w:rPr>
        <w:t xml:space="preserve">The ACCC collects data to evaluate the impact of the cyclone pool and assess whether savings are passed through to policyholders, and whether the </w:t>
      </w:r>
      <w:r w:rsidR="0051036B">
        <w:rPr>
          <w:szCs w:val="22"/>
        </w:rPr>
        <w:t xml:space="preserve">cyclone </w:t>
      </w:r>
      <w:r w:rsidRPr="00C04193">
        <w:rPr>
          <w:szCs w:val="22"/>
        </w:rPr>
        <w:t>pool is delivering on its intended outcomes.</w:t>
      </w:r>
    </w:p>
    <w:p w14:paraId="41629D7C" w14:textId="6FC689ED" w:rsidR="00702272" w:rsidRDefault="00702272" w:rsidP="00702272">
      <w:pPr>
        <w:rPr>
          <w:szCs w:val="22"/>
        </w:rPr>
      </w:pPr>
      <w:r w:rsidRPr="00C04193">
        <w:rPr>
          <w:szCs w:val="22"/>
        </w:rPr>
        <w:t xml:space="preserve">Under the direction, the ACCC is required to report on its monitoring at least once every calendar year from 2022 until 30 June 2026. The ACCC has published </w:t>
      </w:r>
      <w:r w:rsidRPr="00051313">
        <w:rPr>
          <w:szCs w:val="22"/>
        </w:rPr>
        <w:t>four</w:t>
      </w:r>
      <w:r w:rsidRPr="00C04193">
        <w:rPr>
          <w:szCs w:val="22"/>
        </w:rPr>
        <w:t xml:space="preserve"> insurance monitoring reports to dat</w:t>
      </w:r>
      <w:r>
        <w:rPr>
          <w:szCs w:val="22"/>
        </w:rPr>
        <w:t xml:space="preserve">e. The most recent report was published on </w:t>
      </w:r>
      <w:r w:rsidRPr="00DE33EF">
        <w:rPr>
          <w:szCs w:val="22"/>
        </w:rPr>
        <w:t>22 July 2025</w:t>
      </w:r>
      <w:r>
        <w:rPr>
          <w:szCs w:val="22"/>
        </w:rPr>
        <w:t xml:space="preserve"> and is the first report </w:t>
      </w:r>
      <w:r w:rsidR="00991F93">
        <w:rPr>
          <w:szCs w:val="22"/>
        </w:rPr>
        <w:t>with</w:t>
      </w:r>
      <w:r>
        <w:rPr>
          <w:szCs w:val="22"/>
        </w:rPr>
        <w:t xml:space="preserve"> all eligible insurers </w:t>
      </w:r>
      <w:r w:rsidR="0049201D">
        <w:rPr>
          <w:szCs w:val="22"/>
        </w:rPr>
        <w:t>participating in</w:t>
      </w:r>
      <w:r>
        <w:rPr>
          <w:szCs w:val="22"/>
        </w:rPr>
        <w:t xml:space="preserve"> the cyclone pool. </w:t>
      </w:r>
    </w:p>
    <w:p w14:paraId="66021F9F" w14:textId="042EF2A7" w:rsidR="00702272" w:rsidRDefault="00702272" w:rsidP="00702272">
      <w:pPr>
        <w:rPr>
          <w:szCs w:val="22"/>
        </w:rPr>
      </w:pPr>
      <w:r>
        <w:rPr>
          <w:szCs w:val="22"/>
        </w:rPr>
        <w:t>In the most recent report, the ACCC f</w:t>
      </w:r>
      <w:r w:rsidR="00324D6F">
        <w:rPr>
          <w:szCs w:val="22"/>
        </w:rPr>
        <w:t>ou</w:t>
      </w:r>
      <w:r>
        <w:rPr>
          <w:szCs w:val="22"/>
        </w:rPr>
        <w:t xml:space="preserve">nd that the cyclone pool has moderated insurance premium rises for Australian households and small businesses facing medium to high risk of cyclones. However, there </w:t>
      </w:r>
      <w:r w:rsidR="00272C89">
        <w:rPr>
          <w:szCs w:val="22"/>
        </w:rPr>
        <w:t xml:space="preserve">continues </w:t>
      </w:r>
      <w:r>
        <w:rPr>
          <w:szCs w:val="22"/>
        </w:rPr>
        <w:t>to</w:t>
      </w:r>
      <w:r w:rsidR="008F2EBF">
        <w:rPr>
          <w:szCs w:val="22"/>
        </w:rPr>
        <w:t xml:space="preserve"> be a range of non</w:t>
      </w:r>
      <w:r w:rsidR="00115682">
        <w:rPr>
          <w:szCs w:val="22"/>
        </w:rPr>
        <w:t>-</w:t>
      </w:r>
      <w:r>
        <w:rPr>
          <w:szCs w:val="22"/>
        </w:rPr>
        <w:t xml:space="preserve">cyclone </w:t>
      </w:r>
      <w:r w:rsidR="008F2EBF">
        <w:rPr>
          <w:szCs w:val="22"/>
        </w:rPr>
        <w:t>related</w:t>
      </w:r>
      <w:r w:rsidR="006D3E0D">
        <w:rPr>
          <w:szCs w:val="22"/>
        </w:rPr>
        <w:t xml:space="preserve"> factors</w:t>
      </w:r>
      <w:r>
        <w:rPr>
          <w:szCs w:val="22"/>
        </w:rPr>
        <w:t xml:space="preserve"> that </w:t>
      </w:r>
      <w:r w:rsidR="00C1490F">
        <w:rPr>
          <w:szCs w:val="22"/>
        </w:rPr>
        <w:t xml:space="preserve">together </w:t>
      </w:r>
      <w:r>
        <w:rPr>
          <w:szCs w:val="22"/>
        </w:rPr>
        <w:t xml:space="preserve">are </w:t>
      </w:r>
      <w:r w:rsidR="00C1490F">
        <w:rPr>
          <w:szCs w:val="22"/>
        </w:rPr>
        <w:t>acting to sustain</w:t>
      </w:r>
      <w:r>
        <w:rPr>
          <w:szCs w:val="22"/>
        </w:rPr>
        <w:t xml:space="preserve"> </w:t>
      </w:r>
      <w:r w:rsidR="00C1490F">
        <w:rPr>
          <w:szCs w:val="22"/>
        </w:rPr>
        <w:t>very</w:t>
      </w:r>
      <w:r>
        <w:rPr>
          <w:szCs w:val="22"/>
        </w:rPr>
        <w:t xml:space="preserve"> high premiums. Overall, the ACCC conclude that it is unlikely the cyclone pool itself will achieve affordable insurance premiums for consumers in cyclone risk areas. </w:t>
      </w:r>
    </w:p>
    <w:p w14:paraId="7A83F17F" w14:textId="77777777" w:rsidR="00702272" w:rsidRDefault="00702272" w:rsidP="00702272">
      <w:pPr>
        <w:rPr>
          <w:szCs w:val="22"/>
        </w:rPr>
      </w:pPr>
      <w:r>
        <w:rPr>
          <w:szCs w:val="22"/>
        </w:rPr>
        <w:t>In terms of the broader reinsurance market, the ACCC heard from some reinsurance stakeholders that there is a potential for prices to soften in 2025 renewals. In some instances, this was linked to the available capacity in the reinsurance market.</w:t>
      </w:r>
      <w:r>
        <w:rPr>
          <w:rStyle w:val="FootnoteReference"/>
          <w:szCs w:val="22"/>
        </w:rPr>
        <w:footnoteReference w:id="14"/>
      </w:r>
      <w:r>
        <w:rPr>
          <w:szCs w:val="22"/>
        </w:rPr>
        <w:t xml:space="preserve"> </w:t>
      </w:r>
    </w:p>
    <w:p w14:paraId="32D49411" w14:textId="0EBFB272" w:rsidR="00702272" w:rsidRPr="00051313" w:rsidRDefault="00702272" w:rsidP="00702272">
      <w:pPr>
        <w:rPr>
          <w:i/>
          <w:szCs w:val="22"/>
        </w:rPr>
      </w:pPr>
      <w:r w:rsidRPr="00051313">
        <w:rPr>
          <w:i/>
          <w:szCs w:val="22"/>
        </w:rPr>
        <w:t>ACCC</w:t>
      </w:r>
      <w:r>
        <w:rPr>
          <w:i/>
          <w:iCs/>
          <w:szCs w:val="22"/>
        </w:rPr>
        <w:t xml:space="preserve"> 2025</w:t>
      </w:r>
      <w:r w:rsidRPr="00051313">
        <w:rPr>
          <w:i/>
          <w:szCs w:val="22"/>
        </w:rPr>
        <w:t xml:space="preserve"> report – pricing </w:t>
      </w:r>
      <w:r w:rsidR="009E0F5D">
        <w:rPr>
          <w:i/>
          <w:szCs w:val="22"/>
        </w:rPr>
        <w:t>impacts</w:t>
      </w:r>
      <w:r w:rsidRPr="00051313">
        <w:rPr>
          <w:i/>
          <w:szCs w:val="22"/>
        </w:rPr>
        <w:t xml:space="preserve"> </w:t>
      </w:r>
    </w:p>
    <w:p w14:paraId="469BB7A3" w14:textId="15C5452D" w:rsidR="00332CF1" w:rsidRDefault="00332CF1" w:rsidP="00702272">
      <w:pPr>
        <w:rPr>
          <w:bCs/>
        </w:rPr>
      </w:pPr>
      <w:r w:rsidRPr="00B02534">
        <w:t xml:space="preserve">The </w:t>
      </w:r>
      <w:r>
        <w:t xml:space="preserve">ACCC found that the </w:t>
      </w:r>
      <w:r w:rsidR="00FD5D4D">
        <w:t>cyclon</w:t>
      </w:r>
      <w:r w:rsidR="00724888">
        <w:t xml:space="preserve">e </w:t>
      </w:r>
      <w:r w:rsidRPr="00B02534">
        <w:t>pool has moderated rises in insurance premiums for households and small businesses facing medium to high risk of cyclone</w:t>
      </w:r>
      <w:r>
        <w:rPr>
          <w:bCs/>
        </w:rPr>
        <w:t xml:space="preserve">. </w:t>
      </w:r>
      <w:r w:rsidRPr="00B02534">
        <w:t>In the highest cyclone risk areas, the benefits of the</w:t>
      </w:r>
      <w:r w:rsidR="001A2DF0">
        <w:t xml:space="preserve"> cyclone</w:t>
      </w:r>
      <w:r w:rsidRPr="00B02534">
        <w:t xml:space="preserve"> pool have been more pronounced, with some policyholders receiving large premium reductions. </w:t>
      </w:r>
      <w:r w:rsidRPr="00B02534">
        <w:rPr>
          <w:bCs/>
        </w:rPr>
        <w:t xml:space="preserve">This is consistent with the design of the </w:t>
      </w:r>
      <w:r w:rsidR="001A2DF0">
        <w:rPr>
          <w:bCs/>
        </w:rPr>
        <w:t xml:space="preserve">cyclone </w:t>
      </w:r>
      <w:r w:rsidRPr="00B02534">
        <w:rPr>
          <w:bCs/>
        </w:rPr>
        <w:t>pool, which was to direct the biggest savings towards these customers.</w:t>
      </w:r>
      <w:r w:rsidR="001A2FAA">
        <w:rPr>
          <w:rStyle w:val="FootnoteReference"/>
          <w:bCs/>
        </w:rPr>
        <w:footnoteReference w:id="15"/>
      </w:r>
      <w:r w:rsidRPr="00B02534">
        <w:rPr>
          <w:bCs/>
        </w:rPr>
        <w:t xml:space="preserve"> </w:t>
      </w:r>
    </w:p>
    <w:p w14:paraId="672D3A07" w14:textId="5984FC00" w:rsidR="00027C85" w:rsidRPr="00111417" w:rsidRDefault="00027C85" w:rsidP="0033627A">
      <w:pPr>
        <w:pStyle w:val="TableMainHeading"/>
      </w:pPr>
      <w:bookmarkStart w:id="31" w:name="_Toc207898454"/>
      <w:bookmarkStart w:id="32" w:name="_Toc209703726"/>
      <w:bookmarkStart w:id="33" w:name="_Toc210055976"/>
      <w:r w:rsidRPr="00111417">
        <w:t>Figure 1: Change in average premium per $100,000 sum insured by wind risk band, pre and post pool, combined home building and contents insurance</w:t>
      </w:r>
      <w:r w:rsidR="00676F5E">
        <w:t>.</w:t>
      </w:r>
      <w:bookmarkEnd w:id="31"/>
      <w:bookmarkEnd w:id="32"/>
      <w:bookmarkEnd w:id="33"/>
    </w:p>
    <w:p w14:paraId="54FDC455" w14:textId="073F9CB1" w:rsidR="00785A6E" w:rsidRPr="00A32BC1" w:rsidRDefault="00AA4647" w:rsidP="00702272">
      <w:r>
        <w:rPr>
          <w:noProof/>
        </w:rPr>
        <mc:AlternateContent>
          <mc:Choice Requires="wps">
            <w:drawing>
              <wp:anchor distT="0" distB="0" distL="114300" distR="114300" simplePos="0" relativeHeight="251658268" behindDoc="0" locked="0" layoutInCell="1" allowOverlap="1" wp14:anchorId="2E6AD3B8" wp14:editId="54CAE375">
                <wp:simplePos x="0" y="0"/>
                <wp:positionH relativeFrom="column">
                  <wp:posOffset>5532120</wp:posOffset>
                </wp:positionH>
                <wp:positionV relativeFrom="paragraph">
                  <wp:posOffset>2298700</wp:posOffset>
                </wp:positionV>
                <wp:extent cx="0" cy="304800"/>
                <wp:effectExtent l="57150" t="19050" r="76200" b="95250"/>
                <wp:wrapNone/>
                <wp:docPr id="1402475737"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AE258" id="Straight Connector 26" o:spid="_x0000_s1026" alt="&quot;&quot;" style="position:absolute;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6pt,181pt" to="435.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" strokecolor="#2c384a [3204]" strokeweight="2pt">
                <v:shadow on="t" color="black" opacity="24903f" origin=",.5" offset="0,.55556mm"/>
              </v:line>
            </w:pict>
          </mc:Fallback>
        </mc:AlternateContent>
      </w:r>
      <w:r>
        <w:rPr>
          <w:noProof/>
        </w:rPr>
        <mc:AlternateContent>
          <mc:Choice Requires="wps">
            <w:drawing>
              <wp:anchor distT="0" distB="0" distL="114300" distR="114300" simplePos="0" relativeHeight="251658249" behindDoc="0" locked="0" layoutInCell="1" allowOverlap="1" wp14:anchorId="5D39CE75" wp14:editId="1CF5B897">
                <wp:simplePos x="0" y="0"/>
                <wp:positionH relativeFrom="column">
                  <wp:posOffset>3912870</wp:posOffset>
                </wp:positionH>
                <wp:positionV relativeFrom="paragraph">
                  <wp:posOffset>2298700</wp:posOffset>
                </wp:positionV>
                <wp:extent cx="0" cy="304800"/>
                <wp:effectExtent l="57150" t="19050" r="76200" b="95250"/>
                <wp:wrapNone/>
                <wp:docPr id="1827332071"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205D68" id="Straight Connector 26" o:spid="_x0000_s1026" alt="&quot;&quot;"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1pt,181pt" to="308.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" strokecolor="#2c384a [3204]" strokeweight="2pt">
                <v:shadow on="t" color="black" opacity="24903f" origin=",.5" offset="0,.55556mm"/>
              </v:line>
            </w:pict>
          </mc:Fallback>
        </mc:AlternateContent>
      </w:r>
      <w:r>
        <w:rPr>
          <w:noProof/>
        </w:rPr>
        <mc:AlternateContent>
          <mc:Choice Requires="wps">
            <w:drawing>
              <wp:anchor distT="0" distB="0" distL="114300" distR="114300" simplePos="0" relativeHeight="251658250" behindDoc="0" locked="0" layoutInCell="1" allowOverlap="1" wp14:anchorId="7163CC81" wp14:editId="16D97B35">
                <wp:simplePos x="0" y="0"/>
                <wp:positionH relativeFrom="column">
                  <wp:posOffset>3906520</wp:posOffset>
                </wp:positionH>
                <wp:positionV relativeFrom="paragraph">
                  <wp:posOffset>2597150</wp:posOffset>
                </wp:positionV>
                <wp:extent cx="1625600" cy="0"/>
                <wp:effectExtent l="38100" t="38100" r="69850" b="95250"/>
                <wp:wrapNone/>
                <wp:docPr id="1126246486"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6256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E6DAE0" id="Straight Connector 29" o:spid="_x0000_s1026" alt="&quot;&quot;" style="position:absolute;flip: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6pt,204.5pt" to="435.6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" strokecolor="#2c384a [3204]" strokeweight="2pt">
                <v:shadow on="t" color="black" opacity="24903f" origin=",.5" offset="0,.55556mm"/>
              </v:line>
            </w:pict>
          </mc:Fallback>
        </mc:AlternateContent>
      </w:r>
      <w:r>
        <w:rPr>
          <w:noProof/>
        </w:rPr>
        <mc:AlternateContent>
          <mc:Choice Requires="wps">
            <w:drawing>
              <wp:anchor distT="0" distB="0" distL="114300" distR="114300" simplePos="0" relativeHeight="251658245" behindDoc="0" locked="0" layoutInCell="1" allowOverlap="1" wp14:anchorId="6846C10A" wp14:editId="68D7E557">
                <wp:simplePos x="0" y="0"/>
                <wp:positionH relativeFrom="column">
                  <wp:posOffset>721995</wp:posOffset>
                </wp:positionH>
                <wp:positionV relativeFrom="paragraph">
                  <wp:posOffset>2322195</wp:posOffset>
                </wp:positionV>
                <wp:extent cx="0" cy="276225"/>
                <wp:effectExtent l="57150" t="38100" r="76200" b="85725"/>
                <wp:wrapNone/>
                <wp:docPr id="887978719"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2762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D0B16" id="Straight Connector 10" o:spid="_x0000_s1026" alt="&quot;&quot;"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85pt,182.85pt" to="56.85pt,2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" strokecolor="#2c384a [3204]" strokeweight="2pt">
                <v:shadow on="t" color="black" opacity="24903f" origin=",.5" offset="0,.55556mm"/>
              </v:line>
            </w:pict>
          </mc:Fallback>
        </mc:AlternateContent>
      </w:r>
      <w:r>
        <w:rPr>
          <w:noProof/>
        </w:rPr>
        <mc:AlternateContent>
          <mc:Choice Requires="wps">
            <w:drawing>
              <wp:anchor distT="0" distB="0" distL="114300" distR="114300" simplePos="0" relativeHeight="251658248" behindDoc="0" locked="0" layoutInCell="1" allowOverlap="1" wp14:anchorId="0EF19E9E" wp14:editId="58CBCEF6">
                <wp:simplePos x="0" y="0"/>
                <wp:positionH relativeFrom="column">
                  <wp:posOffset>3671570</wp:posOffset>
                </wp:positionH>
                <wp:positionV relativeFrom="paragraph">
                  <wp:posOffset>2295525</wp:posOffset>
                </wp:positionV>
                <wp:extent cx="0" cy="314325"/>
                <wp:effectExtent l="57150" t="19050" r="76200" b="85725"/>
                <wp:wrapNone/>
                <wp:docPr id="1429216722"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4BE9B" id="Straight Connector 18" o:spid="_x0000_s1026" alt="&quot;&quot;"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1pt,180.75pt" to="289.1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" strokecolor="#2c384a [3204]" strokeweight="2pt">
                <v:shadow on="t" color="black" opacity="24903f" origin=",.5" offset="0,.55556mm"/>
              </v:line>
            </w:pict>
          </mc:Fallback>
        </mc:AlternateContent>
      </w:r>
      <w:r>
        <w:rPr>
          <w:noProof/>
        </w:rPr>
        <mc:AlternateContent>
          <mc:Choice Requires="wps">
            <w:drawing>
              <wp:anchor distT="0" distB="0" distL="114300" distR="114300" simplePos="0" relativeHeight="251658246" behindDoc="0" locked="0" layoutInCell="1" allowOverlap="1" wp14:anchorId="2F0B29CC" wp14:editId="14318B3D">
                <wp:simplePos x="0" y="0"/>
                <wp:positionH relativeFrom="column">
                  <wp:posOffset>928370</wp:posOffset>
                </wp:positionH>
                <wp:positionV relativeFrom="paragraph">
                  <wp:posOffset>2295525</wp:posOffset>
                </wp:positionV>
                <wp:extent cx="0" cy="314325"/>
                <wp:effectExtent l="57150" t="19050" r="76200" b="85725"/>
                <wp:wrapNone/>
                <wp:docPr id="15" name="Straight Connector 14">
                  <a:extLst xmlns:a="http://schemas.openxmlformats.org/drawingml/2006/main">
                    <a:ext uri="{FF2B5EF4-FFF2-40B4-BE49-F238E27FC236}">
                      <a16:creationId xmlns:a16="http://schemas.microsoft.com/office/drawing/2014/main" id="{D3384D48-0FEA-030B-7C1A-BD6659BE3BED}"/>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77B313" id="Straight Connector 14" o:spid="_x0000_s1026" alt="&quot;&quot;"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180.75pt" to="73.1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" strokecolor="#2c384a [3204]" strokeweight="2pt">
                <v:shadow on="t" color="black" opacity="24903f" origin=",.5" offset="0,.55556mm"/>
              </v:line>
            </w:pict>
          </mc:Fallback>
        </mc:AlternateContent>
      </w:r>
      <w:r>
        <w:rPr>
          <w:noProof/>
        </w:rPr>
        <mc:AlternateContent>
          <mc:Choice Requires="wps">
            <w:drawing>
              <wp:anchor distT="0" distB="0" distL="114300" distR="114300" simplePos="0" relativeHeight="251658247" behindDoc="0" locked="0" layoutInCell="1" allowOverlap="1" wp14:anchorId="2F575228" wp14:editId="7A5D9AE3">
                <wp:simplePos x="0" y="0"/>
                <wp:positionH relativeFrom="column">
                  <wp:posOffset>918845</wp:posOffset>
                </wp:positionH>
                <wp:positionV relativeFrom="paragraph">
                  <wp:posOffset>2600325</wp:posOffset>
                </wp:positionV>
                <wp:extent cx="2743200" cy="0"/>
                <wp:effectExtent l="38100" t="38100" r="76200" b="95250"/>
                <wp:wrapNone/>
                <wp:docPr id="360119332"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743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F7D826" id="Straight Connector 16" o:spid="_x0000_s1026" alt="&quot;&quot;"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5pt,204.75pt" to="288.35pt,2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" strokecolor="#2c384a [3204]" strokeweight="2pt">
                <v:shadow on="t" color="black" opacity="24903f" origin=",.5" offset="0,.55556mm"/>
              </v:line>
            </w:pict>
          </mc:Fallback>
        </mc:AlternateContent>
      </w:r>
      <w:r w:rsidR="00FE0150">
        <w:rPr>
          <w:noProof/>
        </w:rPr>
        <w:drawing>
          <wp:inline distT="0" distB="0" distL="0" distR="0" wp14:anchorId="18E7F8F9" wp14:editId="71A4777D">
            <wp:extent cx="5759450" cy="2763520"/>
            <wp:effectExtent l="0" t="0" r="12700" b="17780"/>
            <wp:docPr id="404607036" name="Chart 1" descr="This graph shows that the premium reductions are being delivered to the higher risk wind bands. The lower risk wind bands see increases.">
              <a:extLst xmlns:a="http://schemas.openxmlformats.org/drawingml/2006/main">
                <a:ext uri="{FF2B5EF4-FFF2-40B4-BE49-F238E27FC236}">
                  <a16:creationId xmlns:a16="http://schemas.microsoft.com/office/drawing/2014/main" id="{2EA6B68F-8436-3AAB-D4EA-DFD4DC10E3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FE0150" w:rsidDel="00FE0150">
        <w:rPr>
          <w:bCs/>
        </w:rPr>
        <w:t xml:space="preserve"> </w:t>
      </w:r>
      <w:r w:rsidR="0005074C">
        <w:rPr>
          <w:bCs/>
        </w:rPr>
        <w:t xml:space="preserve">Source: </w:t>
      </w:r>
      <w:r w:rsidR="003319D8">
        <w:rPr>
          <w:bCs/>
        </w:rPr>
        <w:t xml:space="preserve">ACCC, </w:t>
      </w:r>
      <w:r w:rsidR="003319D8">
        <w:rPr>
          <w:bCs/>
          <w:i/>
          <w:iCs/>
        </w:rPr>
        <w:t xml:space="preserve">Insurance monitoring, </w:t>
      </w:r>
      <w:r w:rsidR="008E43F8" w:rsidRPr="00BE61B0">
        <w:t>2025</w:t>
      </w:r>
      <w:r w:rsidR="008E43F8">
        <w:rPr>
          <w:bCs/>
          <w:i/>
          <w:iCs/>
        </w:rPr>
        <w:t xml:space="preserve">, </w:t>
      </w:r>
      <w:r w:rsidR="003319D8">
        <w:t>page</w:t>
      </w:r>
      <w:r w:rsidR="00A32BC1">
        <w:rPr>
          <w:bCs/>
        </w:rPr>
        <w:t xml:space="preserve"> 8</w:t>
      </w:r>
      <w:r w:rsidR="00ED73AC">
        <w:rPr>
          <w:bCs/>
        </w:rPr>
        <w:t xml:space="preserve">. </w:t>
      </w:r>
      <w:hyperlink r:id="rId24" w:history="1">
        <w:r w:rsidR="00ED73AC" w:rsidRPr="009C18D8">
          <w:rPr>
            <w:rStyle w:val="Hyperlink"/>
            <w:bCs/>
          </w:rPr>
          <w:t>ACCC website</w:t>
        </w:r>
      </w:hyperlink>
      <w:r w:rsidR="00ED73AC">
        <w:rPr>
          <w:bCs/>
        </w:rPr>
        <w:t>.</w:t>
      </w:r>
    </w:p>
    <w:p w14:paraId="1BEEA8CD" w14:textId="1C4108F0" w:rsidR="001F0AB4" w:rsidRDefault="001F0AB4" w:rsidP="001F0AB4">
      <w:pPr>
        <w:rPr>
          <w:bCs/>
        </w:rPr>
      </w:pPr>
      <w:r w:rsidRPr="00F60157">
        <w:rPr>
          <w:bCs/>
        </w:rPr>
        <w:t>To more clearly understand the impact of the</w:t>
      </w:r>
      <w:r w:rsidR="00FE23DD">
        <w:rPr>
          <w:bCs/>
        </w:rPr>
        <w:t xml:space="preserve"> cyclone</w:t>
      </w:r>
      <w:r w:rsidRPr="00F60157">
        <w:rPr>
          <w:bCs/>
        </w:rPr>
        <w:t xml:space="preserve"> pool on premiums, </w:t>
      </w:r>
      <w:r>
        <w:rPr>
          <w:bCs/>
        </w:rPr>
        <w:t>the</w:t>
      </w:r>
      <w:r w:rsidRPr="00F60157">
        <w:rPr>
          <w:bCs/>
        </w:rPr>
        <w:t xml:space="preserve"> </w:t>
      </w:r>
      <w:r>
        <w:rPr>
          <w:bCs/>
        </w:rPr>
        <w:t xml:space="preserve">ACCC </w:t>
      </w:r>
      <w:r w:rsidRPr="00F60157">
        <w:rPr>
          <w:bCs/>
        </w:rPr>
        <w:t xml:space="preserve">focused </w:t>
      </w:r>
      <w:r>
        <w:rPr>
          <w:bCs/>
        </w:rPr>
        <w:t>its</w:t>
      </w:r>
      <w:r w:rsidRPr="00F60157">
        <w:rPr>
          <w:bCs/>
        </w:rPr>
        <w:t xml:space="preserve"> analysis on changes in average premiums per $100,000 sum insured</w:t>
      </w:r>
      <w:r>
        <w:rPr>
          <w:bCs/>
        </w:rPr>
        <w:t xml:space="preserve"> (see Table 1)</w:t>
      </w:r>
      <w:r w:rsidRPr="00F60157">
        <w:rPr>
          <w:bCs/>
        </w:rPr>
        <w:t>. This is to better compare results across regions due to differences in sums insured and to reduce the impact of inflation-driven increases to premiums associated with rising sums insured</w:t>
      </w:r>
      <w:r>
        <w:rPr>
          <w:bCs/>
        </w:rPr>
        <w:t>.</w:t>
      </w:r>
    </w:p>
    <w:p w14:paraId="0FEF42EA" w14:textId="1E650CAF" w:rsidR="00D73EE0" w:rsidRDefault="001F0AB4" w:rsidP="00702272">
      <w:pPr>
        <w:rPr>
          <w:bCs/>
        </w:rPr>
      </w:pPr>
      <w:r>
        <w:rPr>
          <w:bCs/>
        </w:rPr>
        <w:t>The ACCC</w:t>
      </w:r>
      <w:r w:rsidRPr="00B66206">
        <w:rPr>
          <w:bCs/>
        </w:rPr>
        <w:t xml:space="preserve"> found the average home and contents insurance premium per $100,000 sum insured in medium to high cyclone risk areas decreased by 1</w:t>
      </w:r>
      <w:r w:rsidR="00810AE7">
        <w:rPr>
          <w:bCs/>
        </w:rPr>
        <w:t>1 per cent</w:t>
      </w:r>
      <w:r w:rsidRPr="00B66206">
        <w:rPr>
          <w:bCs/>
        </w:rPr>
        <w:t xml:space="preserve"> compared to pre </w:t>
      </w:r>
      <w:r w:rsidR="00FE23DD">
        <w:rPr>
          <w:bCs/>
        </w:rPr>
        <w:t xml:space="preserve">cyclone </w:t>
      </w:r>
      <w:r w:rsidRPr="00B66206">
        <w:rPr>
          <w:bCs/>
        </w:rPr>
        <w:t xml:space="preserve">pool levels. In contrast, average premiums for </w:t>
      </w:r>
      <w:r w:rsidRPr="00B66206" w:rsidDel="003B104E">
        <w:rPr>
          <w:bCs/>
        </w:rPr>
        <w:t>low risk</w:t>
      </w:r>
      <w:r w:rsidRPr="00B66206">
        <w:rPr>
          <w:bCs/>
        </w:rPr>
        <w:t xml:space="preserve"> properties and properties at no risk of cyclone increased by 4</w:t>
      </w:r>
      <w:r w:rsidR="00810AE7">
        <w:rPr>
          <w:bCs/>
        </w:rPr>
        <w:t xml:space="preserve"> per cent</w:t>
      </w:r>
      <w:r w:rsidRPr="00B66206">
        <w:rPr>
          <w:bCs/>
        </w:rPr>
        <w:t xml:space="preserve"> and 7</w:t>
      </w:r>
      <w:r w:rsidR="00810AE7">
        <w:rPr>
          <w:bCs/>
        </w:rPr>
        <w:t xml:space="preserve"> per cent</w:t>
      </w:r>
      <w:r w:rsidRPr="00B66206">
        <w:rPr>
          <w:bCs/>
        </w:rPr>
        <w:t xml:space="preserve"> respectively.</w:t>
      </w:r>
    </w:p>
    <w:p w14:paraId="763CC4E7" w14:textId="77777777" w:rsidR="00120A99" w:rsidRDefault="00120A99">
      <w:pPr>
        <w:spacing w:before="0" w:after="160" w:line="259" w:lineRule="auto"/>
        <w:rPr>
          <w:rFonts w:ascii="Calibri" w:hAnsi="Calibri" w:cs="Arial"/>
          <w:color w:val="4D7861" w:themeColor="accent2"/>
          <w:kern w:val="32"/>
          <w:sz w:val="26"/>
          <w:szCs w:val="26"/>
        </w:rPr>
      </w:pPr>
      <w:bookmarkStart w:id="34" w:name="_Toc207898455"/>
      <w:r>
        <w:br w:type="page"/>
      </w:r>
    </w:p>
    <w:p w14:paraId="400F98FB" w14:textId="0D1BE0F7" w:rsidR="00F569DC" w:rsidRPr="00A25C00" w:rsidRDefault="00F569DC" w:rsidP="00A25C00">
      <w:pPr>
        <w:pStyle w:val="TableMainHeading"/>
      </w:pPr>
      <w:bookmarkStart w:id="35" w:name="_Toc209703727"/>
      <w:bookmarkStart w:id="36" w:name="_Toc210055977"/>
      <w:r w:rsidRPr="00A25C00">
        <w:t>Table 1: Average premiums per $100,000 sum insured, by cyclone risk, pre and post-cyclone pool.</w:t>
      </w:r>
      <w:bookmarkEnd w:id="34"/>
      <w:bookmarkEnd w:id="35"/>
      <w:bookmarkEnd w:id="36"/>
      <w:r w:rsidRPr="00A25C00">
        <w:t xml:space="preserve"> </w:t>
      </w:r>
    </w:p>
    <w:tbl>
      <w:tblPr>
        <w:tblW w:w="5000" w:type="pct"/>
        <w:tblLook w:val="0720" w:firstRow="1" w:lastRow="0" w:firstColumn="0" w:lastColumn="1" w:noHBand="1" w:noVBand="1"/>
      </w:tblPr>
      <w:tblGrid>
        <w:gridCol w:w="1814"/>
        <w:gridCol w:w="1814"/>
        <w:gridCol w:w="1814"/>
        <w:gridCol w:w="1814"/>
        <w:gridCol w:w="1814"/>
      </w:tblGrid>
      <w:tr w:rsidR="00FA255F" w14:paraId="119712D6" w14:textId="77777777" w:rsidTr="00A30B54">
        <w:trPr>
          <w:trHeight w:val="270"/>
          <w:tblHeader/>
        </w:trPr>
        <w:tc>
          <w:tcPr>
            <w:tcW w:w="1000" w:type="pct"/>
            <w:shd w:val="clear" w:color="auto" w:fill="E5E5E5"/>
          </w:tcPr>
          <w:p w14:paraId="2EE7E10F" w14:textId="4A1C1871" w:rsidR="00FA255F" w:rsidRDefault="005B7B4C" w:rsidP="00567F1B">
            <w:pPr>
              <w:pStyle w:val="TableTextLeft"/>
            </w:pPr>
            <w:r w:rsidDel="005B7B4C">
              <w:rPr>
                <w:bCs/>
              </w:rPr>
              <w:t xml:space="preserve"> </w:t>
            </w:r>
          </w:p>
        </w:tc>
        <w:tc>
          <w:tcPr>
            <w:tcW w:w="1000" w:type="pct"/>
            <w:shd w:val="clear" w:color="auto" w:fill="E5E5E5"/>
          </w:tcPr>
          <w:p w14:paraId="10B1CD4D" w14:textId="06ED10F5" w:rsidR="00FA255F" w:rsidRPr="007A4473" w:rsidRDefault="00FA255F" w:rsidP="00567F1B">
            <w:pPr>
              <w:pStyle w:val="TableTextLeft"/>
              <w:rPr>
                <w:b/>
              </w:rPr>
            </w:pPr>
            <w:r w:rsidRPr="007A4473">
              <w:rPr>
                <w:b/>
              </w:rPr>
              <w:t xml:space="preserve">Cyclone risk </w:t>
            </w:r>
          </w:p>
        </w:tc>
        <w:tc>
          <w:tcPr>
            <w:tcW w:w="1000" w:type="pct"/>
            <w:shd w:val="clear" w:color="auto" w:fill="E5E5E5"/>
          </w:tcPr>
          <w:p w14:paraId="101DB614" w14:textId="33139052" w:rsidR="00FA255F" w:rsidRPr="007A4473" w:rsidRDefault="0022126B" w:rsidP="00567F1B">
            <w:pPr>
              <w:pStyle w:val="TableTextLeft"/>
              <w:rPr>
                <w:b/>
              </w:rPr>
            </w:pPr>
            <w:r w:rsidRPr="007A4473">
              <w:rPr>
                <w:b/>
              </w:rPr>
              <w:t>Pre</w:t>
            </w:r>
            <w:r w:rsidR="00AF0BFF" w:rsidRPr="007A4473">
              <w:rPr>
                <w:b/>
              </w:rPr>
              <w:t>-</w:t>
            </w:r>
            <w:r w:rsidRPr="007A4473">
              <w:rPr>
                <w:b/>
              </w:rPr>
              <w:t xml:space="preserve">cyclone pool average </w:t>
            </w:r>
          </w:p>
        </w:tc>
        <w:tc>
          <w:tcPr>
            <w:tcW w:w="1000" w:type="pct"/>
            <w:shd w:val="clear" w:color="auto" w:fill="E5E5E5"/>
          </w:tcPr>
          <w:p w14:paraId="5EDECC18" w14:textId="4CE3E328" w:rsidR="00FA255F" w:rsidRPr="007A4473" w:rsidRDefault="0022126B" w:rsidP="00567F1B">
            <w:pPr>
              <w:pStyle w:val="TableTextLeft"/>
              <w:rPr>
                <w:b/>
              </w:rPr>
            </w:pPr>
            <w:r w:rsidRPr="007A4473">
              <w:rPr>
                <w:b/>
              </w:rPr>
              <w:t>Post-cyclone pool average</w:t>
            </w:r>
          </w:p>
        </w:tc>
        <w:tc>
          <w:tcPr>
            <w:tcW w:w="1000" w:type="pct"/>
            <w:shd w:val="clear" w:color="auto" w:fill="E5E5E5"/>
          </w:tcPr>
          <w:p w14:paraId="2448A2B7" w14:textId="53C3190C" w:rsidR="00FA255F" w:rsidRPr="007A4473" w:rsidRDefault="0022126B" w:rsidP="00567F1B">
            <w:pPr>
              <w:pStyle w:val="TableTextLeft"/>
              <w:rPr>
                <w:b/>
              </w:rPr>
            </w:pPr>
            <w:r w:rsidRPr="007A4473">
              <w:rPr>
                <w:b/>
              </w:rPr>
              <w:t>Post-cyclone pool percentage difference</w:t>
            </w:r>
          </w:p>
        </w:tc>
      </w:tr>
      <w:tr w:rsidR="00AF0BFF" w14:paraId="492704A7" w14:textId="77777777" w:rsidTr="00A30B54">
        <w:trPr>
          <w:trHeight w:val="270"/>
        </w:trPr>
        <w:tc>
          <w:tcPr>
            <w:tcW w:w="1000" w:type="pct"/>
            <w:vMerge w:val="restart"/>
          </w:tcPr>
          <w:p w14:paraId="6BBA52BD" w14:textId="0EEBDE74" w:rsidR="00AF0BFF" w:rsidRPr="007A4473" w:rsidRDefault="00AF0BFF" w:rsidP="00567F1B">
            <w:pPr>
              <w:pStyle w:val="TableTextLeft"/>
              <w:rPr>
                <w:b/>
              </w:rPr>
            </w:pPr>
            <w:r w:rsidRPr="007A4473">
              <w:rPr>
                <w:b/>
              </w:rPr>
              <w:t>Combined home building and contents</w:t>
            </w:r>
          </w:p>
        </w:tc>
        <w:tc>
          <w:tcPr>
            <w:tcW w:w="1000" w:type="pct"/>
          </w:tcPr>
          <w:p w14:paraId="660502EF" w14:textId="62663274" w:rsidR="00AF0BFF" w:rsidRDefault="00AF0BFF" w:rsidP="00567F1B">
            <w:pPr>
              <w:pStyle w:val="TableTextLeft"/>
            </w:pPr>
            <w:r>
              <w:t xml:space="preserve">Nil </w:t>
            </w:r>
          </w:p>
        </w:tc>
        <w:tc>
          <w:tcPr>
            <w:tcW w:w="1000" w:type="pct"/>
          </w:tcPr>
          <w:p w14:paraId="694E88C7" w14:textId="39E363B2" w:rsidR="00AF0BFF" w:rsidRDefault="00AF0BFF" w:rsidP="00567F1B">
            <w:pPr>
              <w:pStyle w:val="TableTextLeft"/>
            </w:pPr>
            <w:r>
              <w:t>$279</w:t>
            </w:r>
          </w:p>
        </w:tc>
        <w:tc>
          <w:tcPr>
            <w:tcW w:w="1000" w:type="pct"/>
          </w:tcPr>
          <w:p w14:paraId="04E22119" w14:textId="4AB81D8D" w:rsidR="00AF0BFF" w:rsidRDefault="00C43F9A" w:rsidP="00567F1B">
            <w:pPr>
              <w:pStyle w:val="TableTextLeft"/>
            </w:pPr>
            <w:r>
              <w:t>$299</w:t>
            </w:r>
          </w:p>
        </w:tc>
        <w:tc>
          <w:tcPr>
            <w:tcW w:w="1000" w:type="pct"/>
          </w:tcPr>
          <w:p w14:paraId="721C77A6" w14:textId="47A4E996" w:rsidR="00AF0BFF" w:rsidRDefault="00C43F9A" w:rsidP="00567F1B">
            <w:pPr>
              <w:pStyle w:val="TableTextLeft"/>
            </w:pPr>
            <w:r>
              <w:t xml:space="preserve">7 </w:t>
            </w:r>
          </w:p>
        </w:tc>
      </w:tr>
      <w:tr w:rsidR="00AF0BFF" w14:paraId="2A0E0F86" w14:textId="77777777" w:rsidTr="00A30B54">
        <w:trPr>
          <w:trHeight w:val="270"/>
        </w:trPr>
        <w:tc>
          <w:tcPr>
            <w:tcW w:w="1000" w:type="pct"/>
            <w:vMerge/>
          </w:tcPr>
          <w:p w14:paraId="664AAF2B" w14:textId="77777777" w:rsidR="00AF0BFF" w:rsidRPr="00AF0BFF" w:rsidRDefault="00AF0BFF" w:rsidP="00567F1B">
            <w:pPr>
              <w:pStyle w:val="TableTextLeft"/>
              <w:rPr>
                <w:b/>
                <w:bCs/>
              </w:rPr>
            </w:pPr>
          </w:p>
        </w:tc>
        <w:tc>
          <w:tcPr>
            <w:tcW w:w="1000" w:type="pct"/>
          </w:tcPr>
          <w:p w14:paraId="5A2F0280" w14:textId="4B09EA3A" w:rsidR="00AF0BFF" w:rsidRDefault="00AF0BFF" w:rsidP="00567F1B">
            <w:pPr>
              <w:pStyle w:val="TableTextLeft"/>
            </w:pPr>
            <w:r>
              <w:t xml:space="preserve">Low </w:t>
            </w:r>
          </w:p>
        </w:tc>
        <w:tc>
          <w:tcPr>
            <w:tcW w:w="1000" w:type="pct"/>
          </w:tcPr>
          <w:p w14:paraId="587FC855" w14:textId="4BFA1DFC" w:rsidR="00AF0BFF" w:rsidRDefault="004E376E" w:rsidP="00567F1B">
            <w:pPr>
              <w:pStyle w:val="TableTextLeft"/>
            </w:pPr>
            <w:r>
              <w:t>$340</w:t>
            </w:r>
          </w:p>
        </w:tc>
        <w:tc>
          <w:tcPr>
            <w:tcW w:w="1000" w:type="pct"/>
          </w:tcPr>
          <w:p w14:paraId="39354AEF" w14:textId="5417BDCF" w:rsidR="00AF0BFF" w:rsidRDefault="004E376E" w:rsidP="00567F1B">
            <w:pPr>
              <w:pStyle w:val="TableTextLeft"/>
            </w:pPr>
            <w:r>
              <w:t>$354</w:t>
            </w:r>
          </w:p>
        </w:tc>
        <w:tc>
          <w:tcPr>
            <w:tcW w:w="1000" w:type="pct"/>
          </w:tcPr>
          <w:p w14:paraId="4C88756F" w14:textId="6DD161D3" w:rsidR="00AF0BFF" w:rsidRDefault="004E376E" w:rsidP="00567F1B">
            <w:pPr>
              <w:pStyle w:val="TableTextLeft"/>
            </w:pPr>
            <w:r>
              <w:t>4</w:t>
            </w:r>
          </w:p>
        </w:tc>
      </w:tr>
      <w:tr w:rsidR="00AF0BFF" w14:paraId="2D1616D2" w14:textId="77777777" w:rsidTr="00A30B54">
        <w:trPr>
          <w:trHeight w:val="270"/>
        </w:trPr>
        <w:tc>
          <w:tcPr>
            <w:tcW w:w="1000" w:type="pct"/>
            <w:vMerge/>
          </w:tcPr>
          <w:p w14:paraId="0D7A0D97" w14:textId="77777777" w:rsidR="00AF0BFF" w:rsidRPr="00AF0BFF" w:rsidRDefault="00AF0BFF" w:rsidP="00567F1B">
            <w:pPr>
              <w:pStyle w:val="TableTextLeft"/>
              <w:rPr>
                <w:b/>
                <w:bCs/>
              </w:rPr>
            </w:pPr>
          </w:p>
        </w:tc>
        <w:tc>
          <w:tcPr>
            <w:tcW w:w="1000" w:type="pct"/>
          </w:tcPr>
          <w:p w14:paraId="1E680C0F" w14:textId="2ABB9020" w:rsidR="00AF0BFF" w:rsidRDefault="00AF0BFF" w:rsidP="00567F1B">
            <w:pPr>
              <w:pStyle w:val="TableTextLeft"/>
            </w:pPr>
            <w:r>
              <w:t xml:space="preserve">Medium to high </w:t>
            </w:r>
          </w:p>
        </w:tc>
        <w:tc>
          <w:tcPr>
            <w:tcW w:w="1000" w:type="pct"/>
          </w:tcPr>
          <w:p w14:paraId="18A369C1" w14:textId="13E6939A" w:rsidR="00AF0BFF" w:rsidRDefault="004D2819" w:rsidP="00567F1B">
            <w:pPr>
              <w:pStyle w:val="TableTextLeft"/>
            </w:pPr>
            <w:r>
              <w:t>$701</w:t>
            </w:r>
          </w:p>
        </w:tc>
        <w:tc>
          <w:tcPr>
            <w:tcW w:w="1000" w:type="pct"/>
          </w:tcPr>
          <w:p w14:paraId="501CBD78" w14:textId="0BDFCF63" w:rsidR="00AF0BFF" w:rsidRDefault="004D2819" w:rsidP="00567F1B">
            <w:pPr>
              <w:pStyle w:val="TableTextLeft"/>
            </w:pPr>
            <w:r>
              <w:t>$627</w:t>
            </w:r>
          </w:p>
        </w:tc>
        <w:tc>
          <w:tcPr>
            <w:tcW w:w="1000" w:type="pct"/>
          </w:tcPr>
          <w:p w14:paraId="799D92CF" w14:textId="42304DB4" w:rsidR="00AF0BFF" w:rsidRDefault="004D2819" w:rsidP="00567F1B">
            <w:pPr>
              <w:pStyle w:val="TableTextLeft"/>
            </w:pPr>
            <w:r>
              <w:t>-11</w:t>
            </w:r>
          </w:p>
        </w:tc>
      </w:tr>
      <w:tr w:rsidR="00AF0BFF" w14:paraId="3D4C7FEB" w14:textId="77777777" w:rsidTr="00A30B54">
        <w:trPr>
          <w:trHeight w:val="270"/>
        </w:trPr>
        <w:tc>
          <w:tcPr>
            <w:tcW w:w="1000" w:type="pct"/>
            <w:vMerge w:val="restart"/>
          </w:tcPr>
          <w:p w14:paraId="5569D4AF" w14:textId="78BB71E7" w:rsidR="00AF0BFF" w:rsidRPr="007A4473" w:rsidRDefault="00AF0BFF" w:rsidP="00567F1B">
            <w:pPr>
              <w:pStyle w:val="TableTextLeft"/>
              <w:rPr>
                <w:b/>
              </w:rPr>
            </w:pPr>
            <w:r w:rsidRPr="007A4473">
              <w:rPr>
                <w:b/>
              </w:rPr>
              <w:t>Strata</w:t>
            </w:r>
          </w:p>
        </w:tc>
        <w:tc>
          <w:tcPr>
            <w:tcW w:w="1000" w:type="pct"/>
          </w:tcPr>
          <w:p w14:paraId="581116BD" w14:textId="1CEC6E59" w:rsidR="00AF0BFF" w:rsidRDefault="00AF0BFF" w:rsidP="00567F1B">
            <w:pPr>
              <w:pStyle w:val="TableTextLeft"/>
            </w:pPr>
            <w:r>
              <w:t>Nil</w:t>
            </w:r>
          </w:p>
        </w:tc>
        <w:tc>
          <w:tcPr>
            <w:tcW w:w="1000" w:type="pct"/>
          </w:tcPr>
          <w:p w14:paraId="22A23058" w14:textId="0B14433B" w:rsidR="00AF0BFF" w:rsidRDefault="00C86A4D" w:rsidP="00567F1B">
            <w:pPr>
              <w:pStyle w:val="TableTextLeft"/>
            </w:pPr>
            <w:r>
              <w:t>$274</w:t>
            </w:r>
          </w:p>
        </w:tc>
        <w:tc>
          <w:tcPr>
            <w:tcW w:w="1000" w:type="pct"/>
          </w:tcPr>
          <w:p w14:paraId="43257816" w14:textId="3D9235F4" w:rsidR="00AF0BFF" w:rsidRDefault="00C86A4D" w:rsidP="00567F1B">
            <w:pPr>
              <w:pStyle w:val="TableTextLeft"/>
            </w:pPr>
            <w:r>
              <w:t>$287</w:t>
            </w:r>
          </w:p>
        </w:tc>
        <w:tc>
          <w:tcPr>
            <w:tcW w:w="1000" w:type="pct"/>
          </w:tcPr>
          <w:p w14:paraId="0F7CAED9" w14:textId="32A26BDA" w:rsidR="00AF0BFF" w:rsidRDefault="00EE0608" w:rsidP="00567F1B">
            <w:pPr>
              <w:pStyle w:val="TableTextLeft"/>
            </w:pPr>
            <w:r>
              <w:t>5</w:t>
            </w:r>
          </w:p>
        </w:tc>
      </w:tr>
      <w:tr w:rsidR="00AF0BFF" w14:paraId="15A74AFB" w14:textId="77777777" w:rsidTr="00A30B54">
        <w:trPr>
          <w:trHeight w:val="270"/>
        </w:trPr>
        <w:tc>
          <w:tcPr>
            <w:tcW w:w="1000" w:type="pct"/>
            <w:vMerge/>
          </w:tcPr>
          <w:p w14:paraId="322F643A" w14:textId="77777777" w:rsidR="00AF0BFF" w:rsidRPr="00AF0BFF" w:rsidRDefault="00AF0BFF" w:rsidP="00567F1B">
            <w:pPr>
              <w:pStyle w:val="TableTextLeft"/>
              <w:rPr>
                <w:b/>
                <w:bCs/>
              </w:rPr>
            </w:pPr>
          </w:p>
        </w:tc>
        <w:tc>
          <w:tcPr>
            <w:tcW w:w="1000" w:type="pct"/>
          </w:tcPr>
          <w:p w14:paraId="5F24DFBB" w14:textId="662B59A2" w:rsidR="00AF0BFF" w:rsidRDefault="00AF0BFF" w:rsidP="00567F1B">
            <w:pPr>
              <w:pStyle w:val="TableTextLeft"/>
            </w:pPr>
            <w:r>
              <w:t xml:space="preserve">Low </w:t>
            </w:r>
          </w:p>
        </w:tc>
        <w:tc>
          <w:tcPr>
            <w:tcW w:w="1000" w:type="pct"/>
          </w:tcPr>
          <w:p w14:paraId="24A800E5" w14:textId="0E6EB914" w:rsidR="00AF0BFF" w:rsidRDefault="0034347D" w:rsidP="00567F1B">
            <w:pPr>
              <w:pStyle w:val="TableTextLeft"/>
            </w:pPr>
            <w:r>
              <w:t>$274</w:t>
            </w:r>
          </w:p>
        </w:tc>
        <w:tc>
          <w:tcPr>
            <w:tcW w:w="1000" w:type="pct"/>
          </w:tcPr>
          <w:p w14:paraId="5C37239C" w14:textId="406F7C24" w:rsidR="00AF0BFF" w:rsidRDefault="0034347D" w:rsidP="00567F1B">
            <w:pPr>
              <w:pStyle w:val="TableTextLeft"/>
            </w:pPr>
            <w:r>
              <w:t>$285</w:t>
            </w:r>
          </w:p>
        </w:tc>
        <w:tc>
          <w:tcPr>
            <w:tcW w:w="1000" w:type="pct"/>
          </w:tcPr>
          <w:p w14:paraId="4A5E1062" w14:textId="0666FF78" w:rsidR="00AF0BFF" w:rsidRDefault="0034347D" w:rsidP="00567F1B">
            <w:pPr>
              <w:pStyle w:val="TableTextLeft"/>
            </w:pPr>
            <w:r>
              <w:t>4</w:t>
            </w:r>
          </w:p>
        </w:tc>
      </w:tr>
      <w:tr w:rsidR="00AF0BFF" w14:paraId="63CBC2F6" w14:textId="77777777" w:rsidTr="00A30B54">
        <w:trPr>
          <w:trHeight w:val="270"/>
        </w:trPr>
        <w:tc>
          <w:tcPr>
            <w:tcW w:w="1000" w:type="pct"/>
            <w:vMerge/>
          </w:tcPr>
          <w:p w14:paraId="48D38113" w14:textId="77777777" w:rsidR="00AF0BFF" w:rsidRPr="00AF0BFF" w:rsidRDefault="00AF0BFF" w:rsidP="00567F1B">
            <w:pPr>
              <w:pStyle w:val="TableTextLeft"/>
              <w:rPr>
                <w:b/>
                <w:bCs/>
              </w:rPr>
            </w:pPr>
          </w:p>
        </w:tc>
        <w:tc>
          <w:tcPr>
            <w:tcW w:w="1000" w:type="pct"/>
          </w:tcPr>
          <w:p w14:paraId="750BA41E" w14:textId="4B6A5CD3" w:rsidR="00AF0BFF" w:rsidRDefault="00AF0BFF" w:rsidP="00567F1B">
            <w:pPr>
              <w:pStyle w:val="TableTextLeft"/>
            </w:pPr>
            <w:r>
              <w:t xml:space="preserve">Medium to high </w:t>
            </w:r>
          </w:p>
        </w:tc>
        <w:tc>
          <w:tcPr>
            <w:tcW w:w="1000" w:type="pct"/>
          </w:tcPr>
          <w:p w14:paraId="5AA41A84" w14:textId="6CBFF697" w:rsidR="00AF0BFF" w:rsidRDefault="0034347D" w:rsidP="00567F1B">
            <w:pPr>
              <w:pStyle w:val="TableTextLeft"/>
            </w:pPr>
            <w:r>
              <w:t>$</w:t>
            </w:r>
            <w:r w:rsidR="00DC21B1">
              <w:t>418</w:t>
            </w:r>
          </w:p>
        </w:tc>
        <w:tc>
          <w:tcPr>
            <w:tcW w:w="1000" w:type="pct"/>
          </w:tcPr>
          <w:p w14:paraId="649A3176" w14:textId="24982DB2" w:rsidR="00AF0BFF" w:rsidRDefault="00531235" w:rsidP="00567F1B">
            <w:pPr>
              <w:pStyle w:val="TableTextLeft"/>
            </w:pPr>
            <w:r>
              <w:t>$389</w:t>
            </w:r>
          </w:p>
        </w:tc>
        <w:tc>
          <w:tcPr>
            <w:tcW w:w="1000" w:type="pct"/>
          </w:tcPr>
          <w:p w14:paraId="0A687135" w14:textId="0B053489" w:rsidR="00AF0BFF" w:rsidRDefault="00531235" w:rsidP="00567F1B">
            <w:pPr>
              <w:pStyle w:val="TableTextLeft"/>
            </w:pPr>
            <w:r>
              <w:t>-7</w:t>
            </w:r>
          </w:p>
        </w:tc>
      </w:tr>
      <w:tr w:rsidR="00AF0BFF" w14:paraId="5DEFF2DC" w14:textId="77777777" w:rsidTr="00A30B54">
        <w:trPr>
          <w:trHeight w:val="270"/>
        </w:trPr>
        <w:tc>
          <w:tcPr>
            <w:tcW w:w="1000" w:type="pct"/>
            <w:vMerge w:val="restart"/>
          </w:tcPr>
          <w:p w14:paraId="2F044A4A" w14:textId="679A347E" w:rsidR="00AF0BFF" w:rsidRPr="007A4473" w:rsidRDefault="00B26EA1" w:rsidP="00567F1B">
            <w:pPr>
              <w:pStyle w:val="TableTextLeft"/>
              <w:rPr>
                <w:b/>
              </w:rPr>
            </w:pPr>
            <w:r>
              <w:rPr>
                <w:b/>
              </w:rPr>
              <w:t>S</w:t>
            </w:r>
            <w:r w:rsidR="007B3B7B">
              <w:rPr>
                <w:b/>
              </w:rPr>
              <w:t>mall business (S</w:t>
            </w:r>
            <w:r>
              <w:rPr>
                <w:b/>
              </w:rPr>
              <w:t>ME</w:t>
            </w:r>
            <w:r w:rsidR="007278F2">
              <w:rPr>
                <w:b/>
              </w:rPr>
              <w:t>)</w:t>
            </w:r>
            <w:r w:rsidR="00AF0BFF" w:rsidRPr="007A4473" w:rsidDel="009B0EED">
              <w:rPr>
                <w:b/>
              </w:rPr>
              <w:t xml:space="preserve"> </w:t>
            </w:r>
            <w:r w:rsidR="00AF0BFF" w:rsidRPr="007A4473">
              <w:rPr>
                <w:b/>
              </w:rPr>
              <w:t>building and contents</w:t>
            </w:r>
          </w:p>
        </w:tc>
        <w:tc>
          <w:tcPr>
            <w:tcW w:w="1000" w:type="pct"/>
          </w:tcPr>
          <w:p w14:paraId="52A2C7C8" w14:textId="52BF7B16" w:rsidR="00AF0BFF" w:rsidRDefault="00AF0BFF" w:rsidP="00567F1B">
            <w:pPr>
              <w:pStyle w:val="TableTextLeft"/>
            </w:pPr>
            <w:r>
              <w:t>Nil</w:t>
            </w:r>
          </w:p>
        </w:tc>
        <w:tc>
          <w:tcPr>
            <w:tcW w:w="1000" w:type="pct"/>
          </w:tcPr>
          <w:p w14:paraId="49D727C3" w14:textId="63BC59E4" w:rsidR="00AF0BFF" w:rsidRDefault="00531235" w:rsidP="00567F1B">
            <w:pPr>
              <w:pStyle w:val="TableTextLeft"/>
            </w:pPr>
            <w:r>
              <w:t>$638</w:t>
            </w:r>
          </w:p>
        </w:tc>
        <w:tc>
          <w:tcPr>
            <w:tcW w:w="1000" w:type="pct"/>
          </w:tcPr>
          <w:p w14:paraId="5E1D3117" w14:textId="5D3C78ED" w:rsidR="00AF0BFF" w:rsidRDefault="00531235" w:rsidP="00567F1B">
            <w:pPr>
              <w:pStyle w:val="TableTextLeft"/>
            </w:pPr>
            <w:r>
              <w:t>$714</w:t>
            </w:r>
          </w:p>
        </w:tc>
        <w:tc>
          <w:tcPr>
            <w:tcW w:w="1000" w:type="pct"/>
          </w:tcPr>
          <w:p w14:paraId="20F1239D" w14:textId="22979109" w:rsidR="00AF0BFF" w:rsidRDefault="00D56C61" w:rsidP="00567F1B">
            <w:pPr>
              <w:pStyle w:val="TableTextLeft"/>
            </w:pPr>
            <w:r>
              <w:t>12</w:t>
            </w:r>
          </w:p>
        </w:tc>
      </w:tr>
      <w:tr w:rsidR="00AF0BFF" w14:paraId="55805F69" w14:textId="77777777" w:rsidTr="00A30B54">
        <w:trPr>
          <w:trHeight w:val="270"/>
        </w:trPr>
        <w:tc>
          <w:tcPr>
            <w:tcW w:w="1000" w:type="pct"/>
            <w:vMerge/>
          </w:tcPr>
          <w:p w14:paraId="5C99CB2F" w14:textId="77777777" w:rsidR="00AF0BFF" w:rsidRPr="00AF0BFF" w:rsidRDefault="00AF0BFF" w:rsidP="00567F1B">
            <w:pPr>
              <w:pStyle w:val="TableTextLeft"/>
              <w:rPr>
                <w:b/>
                <w:bCs/>
              </w:rPr>
            </w:pPr>
          </w:p>
        </w:tc>
        <w:tc>
          <w:tcPr>
            <w:tcW w:w="1000" w:type="pct"/>
          </w:tcPr>
          <w:p w14:paraId="1314A989" w14:textId="5B571F74" w:rsidR="00AF0BFF" w:rsidRDefault="00AF0BFF" w:rsidP="00567F1B">
            <w:pPr>
              <w:pStyle w:val="TableTextLeft"/>
            </w:pPr>
            <w:r>
              <w:t xml:space="preserve">Low </w:t>
            </w:r>
          </w:p>
        </w:tc>
        <w:tc>
          <w:tcPr>
            <w:tcW w:w="1000" w:type="pct"/>
          </w:tcPr>
          <w:p w14:paraId="1AB8AFFC" w14:textId="4EA0A9D1" w:rsidR="00AF0BFF" w:rsidRDefault="00EB4C38" w:rsidP="00567F1B">
            <w:pPr>
              <w:pStyle w:val="TableTextLeft"/>
            </w:pPr>
            <w:r>
              <w:t>$6</w:t>
            </w:r>
            <w:r w:rsidR="00A94869">
              <w:t>61</w:t>
            </w:r>
          </w:p>
        </w:tc>
        <w:tc>
          <w:tcPr>
            <w:tcW w:w="1000" w:type="pct"/>
          </w:tcPr>
          <w:p w14:paraId="3A440767" w14:textId="33E0E11F" w:rsidR="00AF0BFF" w:rsidRDefault="00EB4C38" w:rsidP="00567F1B">
            <w:pPr>
              <w:pStyle w:val="TableTextLeft"/>
            </w:pPr>
            <w:r>
              <w:t>$</w:t>
            </w:r>
            <w:r w:rsidR="00A94869">
              <w:t>744</w:t>
            </w:r>
          </w:p>
        </w:tc>
        <w:tc>
          <w:tcPr>
            <w:tcW w:w="1000" w:type="pct"/>
          </w:tcPr>
          <w:p w14:paraId="5EDCBE60" w14:textId="0165DEB2" w:rsidR="00AF0BFF" w:rsidRDefault="00EB4C38" w:rsidP="00567F1B">
            <w:pPr>
              <w:pStyle w:val="TableTextLeft"/>
            </w:pPr>
            <w:r>
              <w:t>1</w:t>
            </w:r>
            <w:r w:rsidR="00A94869">
              <w:t>3</w:t>
            </w:r>
          </w:p>
        </w:tc>
      </w:tr>
      <w:tr w:rsidR="00AF0BFF" w14:paraId="24E7CAF1" w14:textId="77777777" w:rsidTr="00A30B54">
        <w:trPr>
          <w:trHeight w:val="270"/>
        </w:trPr>
        <w:tc>
          <w:tcPr>
            <w:tcW w:w="1000" w:type="pct"/>
            <w:vMerge/>
          </w:tcPr>
          <w:p w14:paraId="18E5CD6E" w14:textId="77777777" w:rsidR="00AF0BFF" w:rsidRPr="00AF0BFF" w:rsidRDefault="00AF0BFF" w:rsidP="00567F1B">
            <w:pPr>
              <w:pStyle w:val="TableTextLeft"/>
              <w:rPr>
                <w:b/>
                <w:bCs/>
              </w:rPr>
            </w:pPr>
          </w:p>
        </w:tc>
        <w:tc>
          <w:tcPr>
            <w:tcW w:w="1000" w:type="pct"/>
          </w:tcPr>
          <w:p w14:paraId="4306BF24" w14:textId="40215842" w:rsidR="00AF0BFF" w:rsidRDefault="00AF0BFF" w:rsidP="00567F1B">
            <w:pPr>
              <w:pStyle w:val="TableTextLeft"/>
            </w:pPr>
            <w:r>
              <w:t>Medium to high</w:t>
            </w:r>
          </w:p>
        </w:tc>
        <w:tc>
          <w:tcPr>
            <w:tcW w:w="1000" w:type="pct"/>
          </w:tcPr>
          <w:p w14:paraId="74DF9B2C" w14:textId="113DBBD0" w:rsidR="00AF0BFF" w:rsidRDefault="00A94869" w:rsidP="00567F1B">
            <w:pPr>
              <w:pStyle w:val="TableTextLeft"/>
            </w:pPr>
            <w:r>
              <w:t>$1,1</w:t>
            </w:r>
            <w:r w:rsidR="00FA42D0">
              <w:t>51</w:t>
            </w:r>
          </w:p>
        </w:tc>
        <w:tc>
          <w:tcPr>
            <w:tcW w:w="1000" w:type="pct"/>
          </w:tcPr>
          <w:p w14:paraId="4150D1AF" w14:textId="318D4E1C" w:rsidR="00AF0BFF" w:rsidRDefault="00FA42D0" w:rsidP="00567F1B">
            <w:pPr>
              <w:pStyle w:val="TableTextLeft"/>
            </w:pPr>
            <w:r>
              <w:t>$873</w:t>
            </w:r>
          </w:p>
        </w:tc>
        <w:tc>
          <w:tcPr>
            <w:tcW w:w="1000" w:type="pct"/>
          </w:tcPr>
          <w:p w14:paraId="5488F33A" w14:textId="2AFB2CA1" w:rsidR="00AF0BFF" w:rsidRDefault="00FA42D0" w:rsidP="00567F1B">
            <w:pPr>
              <w:pStyle w:val="TableTextLeft"/>
            </w:pPr>
            <w:r>
              <w:t>-24</w:t>
            </w:r>
          </w:p>
        </w:tc>
      </w:tr>
    </w:tbl>
    <w:p w14:paraId="2AC6145F" w14:textId="041B42C9" w:rsidR="00F569DC" w:rsidRDefault="00F569DC" w:rsidP="00702272">
      <w:pPr>
        <w:rPr>
          <w:bCs/>
        </w:rPr>
      </w:pPr>
      <w:r>
        <w:rPr>
          <w:bCs/>
        </w:rPr>
        <w:t xml:space="preserve">Source: ACCC, </w:t>
      </w:r>
      <w:r w:rsidR="00CA74F6" w:rsidRPr="007A4473">
        <w:rPr>
          <w:i/>
        </w:rPr>
        <w:t>Insurance monitoring</w:t>
      </w:r>
      <w:r w:rsidR="00CA74F6">
        <w:rPr>
          <w:bCs/>
        </w:rPr>
        <w:t xml:space="preserve">, 2025, </w:t>
      </w:r>
      <w:r w:rsidR="009421FC">
        <w:rPr>
          <w:bCs/>
        </w:rPr>
        <w:t xml:space="preserve">page 2. </w:t>
      </w:r>
      <w:hyperlink r:id="rId25" w:history="1">
        <w:r w:rsidR="009421FC" w:rsidRPr="00D5046C">
          <w:rPr>
            <w:rStyle w:val="Hyperlink"/>
            <w:bCs/>
          </w:rPr>
          <w:t>ACCC website</w:t>
        </w:r>
      </w:hyperlink>
      <w:r w:rsidR="009421FC">
        <w:rPr>
          <w:bCs/>
        </w:rPr>
        <w:t xml:space="preserve">. </w:t>
      </w:r>
    </w:p>
    <w:p w14:paraId="144EAEC3" w14:textId="6F037862" w:rsidR="00A14617" w:rsidRDefault="00A14617" w:rsidP="00A14617">
      <w:pPr>
        <w:rPr>
          <w:bCs/>
        </w:rPr>
      </w:pPr>
      <w:r w:rsidRPr="00B02534">
        <w:rPr>
          <w:bCs/>
        </w:rPr>
        <w:t xml:space="preserve">The </w:t>
      </w:r>
      <w:r w:rsidR="00DB6844">
        <w:rPr>
          <w:bCs/>
        </w:rPr>
        <w:t xml:space="preserve">cyclone </w:t>
      </w:r>
      <w:r w:rsidRPr="00B02534">
        <w:rPr>
          <w:bCs/>
        </w:rPr>
        <w:t>pool is designed to target the cyclone risk component of insurance premiums</w:t>
      </w:r>
      <w:r>
        <w:rPr>
          <w:bCs/>
        </w:rPr>
        <w:t>. The ACCC found that</w:t>
      </w:r>
      <w:r w:rsidRPr="00B02534">
        <w:rPr>
          <w:bCs/>
        </w:rPr>
        <w:t xml:space="preserve"> high cyclone risk may not be the only reason that premiums are high. Although average premiums remain much higher in northern Australian regions, </w:t>
      </w:r>
      <w:r>
        <w:rPr>
          <w:bCs/>
        </w:rPr>
        <w:t xml:space="preserve">the ACCC found </w:t>
      </w:r>
      <w:r w:rsidRPr="00B02534">
        <w:rPr>
          <w:bCs/>
        </w:rPr>
        <w:t>premiums again rose more sharply in the rest of Australia in 2023</w:t>
      </w:r>
      <w:r w:rsidR="00010AF4" w:rsidRPr="009855BD">
        <w:rPr>
          <w:szCs w:val="22"/>
        </w:rPr>
        <w:t>–</w:t>
      </w:r>
      <w:r w:rsidRPr="00B02534">
        <w:rPr>
          <w:bCs/>
        </w:rPr>
        <w:t>24</w:t>
      </w:r>
      <w:r w:rsidR="00410725">
        <w:rPr>
          <w:bCs/>
        </w:rPr>
        <w:t>.</w:t>
      </w:r>
      <w:r w:rsidR="00410725">
        <w:rPr>
          <w:rStyle w:val="FootnoteReference"/>
          <w:bCs/>
        </w:rPr>
        <w:footnoteReference w:id="16"/>
      </w:r>
      <w:r w:rsidR="00410725">
        <w:rPr>
          <w:bCs/>
        </w:rPr>
        <w:t xml:space="preserve"> </w:t>
      </w:r>
    </w:p>
    <w:p w14:paraId="15270E2D" w14:textId="6078038D" w:rsidR="00DB6844" w:rsidRPr="00B02534" w:rsidRDefault="00DB6844" w:rsidP="00DB6844">
      <w:r>
        <w:t>The ACCC c</w:t>
      </w:r>
      <w:r w:rsidRPr="00B02534">
        <w:t>ontinue</w:t>
      </w:r>
      <w:r>
        <w:t>d</w:t>
      </w:r>
      <w:r w:rsidRPr="00B02534">
        <w:t xml:space="preserve"> to find that insurers are making changes to their systems and pricing to pass through savings they have received from the </w:t>
      </w:r>
      <w:r>
        <w:t xml:space="preserve">cyclone </w:t>
      </w:r>
      <w:r w:rsidRPr="00B02534">
        <w:t>pool to policyholders. Overall</w:t>
      </w:r>
      <w:r>
        <w:t>, the ACCC</w:t>
      </w:r>
      <w:r w:rsidRPr="00B02534">
        <w:t xml:space="preserve"> ha</w:t>
      </w:r>
      <w:r>
        <w:t>s</w:t>
      </w:r>
      <w:r w:rsidRPr="00B02534">
        <w:t xml:space="preserve"> not seen any approaches used which </w:t>
      </w:r>
      <w:r>
        <w:t>it</w:t>
      </w:r>
      <w:r w:rsidRPr="00B02534">
        <w:t xml:space="preserve"> would consider to be inconsistent with the intent of the </w:t>
      </w:r>
      <w:r>
        <w:t xml:space="preserve">cyclone </w:t>
      </w:r>
      <w:r w:rsidRPr="00B02534">
        <w:t>pool to target savings to consumers at higher risk of cyclone.</w:t>
      </w:r>
      <w:r w:rsidR="006E3102">
        <w:rPr>
          <w:rStyle w:val="FootnoteReference"/>
        </w:rPr>
        <w:footnoteReference w:id="17"/>
      </w:r>
    </w:p>
    <w:p w14:paraId="00D39CB9" w14:textId="5095D917" w:rsidR="0079546E" w:rsidRDefault="0079546E" w:rsidP="0079546E">
      <w:r w:rsidRPr="009119FA">
        <w:t xml:space="preserve">While the </w:t>
      </w:r>
      <w:r w:rsidR="00FE23DD">
        <w:t xml:space="preserve">cyclone </w:t>
      </w:r>
      <w:r w:rsidRPr="009119FA">
        <w:t>pool covers 100</w:t>
      </w:r>
      <w:r>
        <w:t xml:space="preserve"> per cent</w:t>
      </w:r>
      <w:r w:rsidRPr="009119FA">
        <w:t xml:space="preserve"> of the expected claims costs for all eligible cyclone losses (above the policyholder’s excess) for eligible policies, insurers may still need to purchase reinsurance from private markets to cover th</w:t>
      </w:r>
      <w:r w:rsidR="00A35B30">
        <w:t>e</w:t>
      </w:r>
      <w:r w:rsidRPr="009119FA">
        <w:t xml:space="preserve"> part of cyclone risk not covered by the</w:t>
      </w:r>
      <w:r w:rsidR="00F47726">
        <w:t xml:space="preserve"> cyclone</w:t>
      </w:r>
      <w:r w:rsidRPr="009119FA">
        <w:t xml:space="preserve"> pool, as well as non-cyclonic risks such as flood or bushfire.</w:t>
      </w:r>
    </w:p>
    <w:p w14:paraId="513025F2" w14:textId="6E3AF612" w:rsidR="0079546E" w:rsidRPr="007F29E7" w:rsidRDefault="0079546E" w:rsidP="0079546E">
      <w:r w:rsidRPr="007F29E7">
        <w:t xml:space="preserve">For home insurance, </w:t>
      </w:r>
      <w:r>
        <w:t>the ACCC</w:t>
      </w:r>
      <w:r w:rsidRPr="007F29E7">
        <w:t xml:space="preserve"> found that the average reinsurance cost allocated to a policy fell by 25</w:t>
      </w:r>
      <w:r w:rsidR="00F47726">
        <w:t xml:space="preserve"> per cent</w:t>
      </w:r>
      <w:r w:rsidRPr="007F29E7">
        <w:t xml:space="preserve"> in northern Australia between 2022</w:t>
      </w:r>
      <w:r w:rsidR="00010AF4" w:rsidRPr="007F29E7">
        <w:t>–</w:t>
      </w:r>
      <w:r w:rsidRPr="007F29E7">
        <w:t>23 and 2023</w:t>
      </w:r>
      <w:r w:rsidR="00010AF4" w:rsidRPr="007F29E7">
        <w:t>–</w:t>
      </w:r>
      <w:r w:rsidRPr="007F29E7">
        <w:t>24, and total reinsurance costs paid by insurers for policies in northern Australia also fell. By comparison, the average reinsurance cost allocated to a policy in the rest of Australia increased by 1</w:t>
      </w:r>
      <w:r w:rsidR="00F47726">
        <w:t xml:space="preserve">1 per cent </w:t>
      </w:r>
      <w:r w:rsidRPr="007F29E7">
        <w:t>and total reinsurance costs have also increased. This finding suggests that the</w:t>
      </w:r>
      <w:r w:rsidR="00F47726">
        <w:t xml:space="preserve"> cyclone</w:t>
      </w:r>
      <w:r w:rsidRPr="007F29E7">
        <w:t xml:space="preserve"> pool is working as intended.</w:t>
      </w:r>
      <w:r w:rsidR="00A6396A">
        <w:rPr>
          <w:rStyle w:val="FootnoteReference"/>
        </w:rPr>
        <w:footnoteReference w:id="18"/>
      </w:r>
      <w:r w:rsidRPr="007F29E7">
        <w:t xml:space="preserve"> </w:t>
      </w:r>
    </w:p>
    <w:p w14:paraId="5A7DBAD0" w14:textId="6692534B" w:rsidR="00A14617" w:rsidRPr="001571D9" w:rsidRDefault="0079546E" w:rsidP="00702272">
      <w:r w:rsidRPr="007F29E7">
        <w:t xml:space="preserve">Despite reinsurance costs falling for policies in northern Australia, there are a range of other costs associated with the supply of insurance which remain high or rising. Insurers indicated </w:t>
      </w:r>
      <w:r>
        <w:t xml:space="preserve">to the ACCC </w:t>
      </w:r>
      <w:r w:rsidRPr="007F29E7">
        <w:t xml:space="preserve">that factors beyond the pool such as building material and labour inflation, and extreme weather events, may also affect the costs incurred by insurers. The influence of these costs is driving the premium rises that </w:t>
      </w:r>
      <w:r>
        <w:t xml:space="preserve">the ACCC is </w:t>
      </w:r>
      <w:r w:rsidRPr="007F29E7">
        <w:t xml:space="preserve">seeing more </w:t>
      </w:r>
      <w:r w:rsidRPr="007F29E7" w:rsidDel="0023774B">
        <w:t>broadly</w:t>
      </w:r>
      <w:r w:rsidR="0023774B" w:rsidRPr="007F29E7">
        <w:t xml:space="preserve"> and</w:t>
      </w:r>
      <w:r w:rsidRPr="007F29E7">
        <w:t xml:space="preserve"> dampening the benefits of the </w:t>
      </w:r>
      <w:r w:rsidR="00606AD6">
        <w:t>cyclon</w:t>
      </w:r>
      <w:r w:rsidR="00EA27B5">
        <w:t xml:space="preserve">e </w:t>
      </w:r>
      <w:r w:rsidRPr="007F29E7">
        <w:t xml:space="preserve">pool for consumers in medium to </w:t>
      </w:r>
      <w:r w:rsidRPr="007F29E7" w:rsidDel="0023774B">
        <w:t>high risk</w:t>
      </w:r>
      <w:r w:rsidRPr="007F29E7">
        <w:t xml:space="preserve"> cyclone areas.</w:t>
      </w:r>
    </w:p>
    <w:p w14:paraId="7D40C0C7" w14:textId="77777777" w:rsidR="00702272" w:rsidRPr="00051313" w:rsidRDefault="00702272" w:rsidP="00702272">
      <w:pPr>
        <w:rPr>
          <w:rFonts w:eastAsia="Calibri Light" w:cs="Calibri Light"/>
        </w:rPr>
      </w:pPr>
      <w:r>
        <w:t xml:space="preserve">The ACCC noted the largest cost to insurers after net claims costs are reinsurance costs which are a substantial factor contributing to higher premiums in northern Australia. Insurers have reported that they can purchase a lower amount of reinsurance from the private market due to reinsuring through the cyclone pool. </w:t>
      </w:r>
      <w:r w:rsidRPr="499AB1A1">
        <w:rPr>
          <w:rFonts w:eastAsia="Calibri Light"/>
        </w:rPr>
        <w:t xml:space="preserve">However, it is difficult for insurers to isolate the impacts of the cyclone pool on their reinsurance costs </w:t>
      </w:r>
      <w:r w:rsidRPr="499AB1A1">
        <w:rPr>
          <w:rFonts w:eastAsia="Calibri Light" w:cs="Calibri Light"/>
        </w:rPr>
        <w:t>due to</w:t>
      </w:r>
      <w:r w:rsidRPr="499AB1A1">
        <w:rPr>
          <w:rFonts w:eastAsia="Calibri Light"/>
        </w:rPr>
        <w:t xml:space="preserve"> other factors </w:t>
      </w:r>
      <w:r w:rsidRPr="499AB1A1">
        <w:rPr>
          <w:rFonts w:eastAsia="Calibri Light" w:cs="Calibri Light"/>
        </w:rPr>
        <w:t>such as insurers’ cyclone pool entry coinciding</w:t>
      </w:r>
      <w:r w:rsidRPr="499AB1A1">
        <w:rPr>
          <w:rFonts w:eastAsia="Calibri Light"/>
        </w:rPr>
        <w:t xml:space="preserve"> with the </w:t>
      </w:r>
      <w:r w:rsidRPr="499AB1A1">
        <w:rPr>
          <w:rFonts w:eastAsia="Calibri Light" w:cs="Calibri Light"/>
        </w:rPr>
        <w:t xml:space="preserve">hardening </w:t>
      </w:r>
      <w:r w:rsidRPr="499AB1A1">
        <w:rPr>
          <w:rFonts w:eastAsia="Calibri Light"/>
        </w:rPr>
        <w:t xml:space="preserve">reinsurance </w:t>
      </w:r>
      <w:r w:rsidRPr="499AB1A1">
        <w:rPr>
          <w:rFonts w:eastAsia="Calibri Light" w:cs="Calibri Light"/>
        </w:rPr>
        <w:t>market or that the cyclone pool covers 100 per cent of eligible claim costs, unlike traditional reinsurance arrangements.</w:t>
      </w:r>
      <w:r>
        <w:rPr>
          <w:rStyle w:val="FootnoteReference"/>
          <w:rFonts w:eastAsia="Calibri Light" w:cs="Calibri Light"/>
        </w:rPr>
        <w:footnoteReference w:id="19"/>
      </w:r>
    </w:p>
    <w:p w14:paraId="383A886B" w14:textId="77777777" w:rsidR="00702272" w:rsidRDefault="00702272" w:rsidP="00702272">
      <w:pPr>
        <w:rPr>
          <w:i/>
          <w:szCs w:val="22"/>
        </w:rPr>
      </w:pPr>
      <w:r w:rsidRPr="00051313">
        <w:rPr>
          <w:i/>
          <w:szCs w:val="22"/>
        </w:rPr>
        <w:t xml:space="preserve">ACCC </w:t>
      </w:r>
      <w:r>
        <w:rPr>
          <w:i/>
          <w:iCs/>
          <w:szCs w:val="22"/>
        </w:rPr>
        <w:t xml:space="preserve">2025 </w:t>
      </w:r>
      <w:r w:rsidRPr="00051313">
        <w:rPr>
          <w:i/>
          <w:szCs w:val="22"/>
        </w:rPr>
        <w:t>report – availability</w:t>
      </w:r>
    </w:p>
    <w:p w14:paraId="7FE6D7DA" w14:textId="3F61BA41" w:rsidR="00FF4AD0" w:rsidRPr="00204805" w:rsidRDefault="00FF4AD0" w:rsidP="00FF4AD0">
      <w:pPr>
        <w:rPr>
          <w:szCs w:val="22"/>
        </w:rPr>
      </w:pPr>
      <w:r w:rsidRPr="00204805">
        <w:rPr>
          <w:szCs w:val="22"/>
        </w:rPr>
        <w:t xml:space="preserve">The initial design of the </w:t>
      </w:r>
      <w:r>
        <w:rPr>
          <w:szCs w:val="22"/>
        </w:rPr>
        <w:t xml:space="preserve">cyclone </w:t>
      </w:r>
      <w:r w:rsidRPr="00204805">
        <w:rPr>
          <w:szCs w:val="22"/>
        </w:rPr>
        <w:t xml:space="preserve">pool was intended to encourage insurers to enter or expand into northern Australian insurance markets by providing a stable and lower cost means to manage their cyclone risk exposure. </w:t>
      </w:r>
      <w:r w:rsidR="008F5FF1">
        <w:rPr>
          <w:szCs w:val="22"/>
        </w:rPr>
        <w:t>G</w:t>
      </w:r>
      <w:r w:rsidRPr="00204805">
        <w:rPr>
          <w:szCs w:val="22"/>
        </w:rPr>
        <w:t xml:space="preserve">reater insurer participation in these markets </w:t>
      </w:r>
      <w:r w:rsidR="00A17175">
        <w:rPr>
          <w:szCs w:val="22"/>
        </w:rPr>
        <w:t>is expected to</w:t>
      </w:r>
      <w:r w:rsidRPr="00204805">
        <w:rPr>
          <w:szCs w:val="22"/>
        </w:rPr>
        <w:t xml:space="preserve"> increase competition between insurers and lower premiums for consumers.</w:t>
      </w:r>
    </w:p>
    <w:p w14:paraId="55F3BDDB" w14:textId="5CE1DEA3" w:rsidR="00FF4AD0" w:rsidRPr="00204805" w:rsidRDefault="00FF4AD0" w:rsidP="00FF4AD0">
      <w:pPr>
        <w:rPr>
          <w:szCs w:val="22"/>
        </w:rPr>
      </w:pPr>
      <w:r w:rsidRPr="00204805">
        <w:rPr>
          <w:szCs w:val="22"/>
        </w:rPr>
        <w:t>The ACCC observed material increases in quote success rates</w:t>
      </w:r>
      <w:r w:rsidR="004F40CB">
        <w:rPr>
          <w:szCs w:val="22"/>
        </w:rPr>
        <w:t xml:space="preserve"> (</w:t>
      </w:r>
      <w:r w:rsidR="00B70661">
        <w:rPr>
          <w:szCs w:val="22"/>
        </w:rPr>
        <w:t>the number of times an insurance quote was provided to a hypothetical consumer as a percentage of all quotes sought)</w:t>
      </w:r>
      <w:r w:rsidRPr="00204805">
        <w:rPr>
          <w:szCs w:val="22"/>
        </w:rPr>
        <w:t xml:space="preserve"> in high cyclone risk areas as insurers began joining the pool</w:t>
      </w:r>
      <w:r w:rsidR="00B70661">
        <w:rPr>
          <w:szCs w:val="22"/>
        </w:rPr>
        <w:t>. H</w:t>
      </w:r>
      <w:r w:rsidRPr="00204805">
        <w:rPr>
          <w:szCs w:val="22"/>
        </w:rPr>
        <w:t>owever</w:t>
      </w:r>
      <w:r w:rsidR="00B70661">
        <w:rPr>
          <w:szCs w:val="22"/>
        </w:rPr>
        <w:t>,</w:t>
      </w:r>
      <w:r w:rsidRPr="00204805">
        <w:rPr>
          <w:szCs w:val="22"/>
        </w:rPr>
        <w:t xml:space="preserve"> </w:t>
      </w:r>
      <w:r>
        <w:rPr>
          <w:szCs w:val="22"/>
        </w:rPr>
        <w:t xml:space="preserve">it noted that </w:t>
      </w:r>
      <w:r w:rsidRPr="00204805">
        <w:rPr>
          <w:szCs w:val="22"/>
        </w:rPr>
        <w:t xml:space="preserve">there have been minimal changes to quote success rates since then. </w:t>
      </w:r>
    </w:p>
    <w:p w14:paraId="02C7578C" w14:textId="77777777" w:rsidR="00FF4AD0" w:rsidRPr="00204805" w:rsidRDefault="00FF4AD0" w:rsidP="00FF4AD0">
      <w:pPr>
        <w:rPr>
          <w:szCs w:val="22"/>
        </w:rPr>
      </w:pPr>
      <w:r>
        <w:rPr>
          <w:szCs w:val="22"/>
        </w:rPr>
        <w:t>The ACCC’s fourth report notes that i</w:t>
      </w:r>
      <w:r w:rsidRPr="00204805">
        <w:rPr>
          <w:szCs w:val="22"/>
        </w:rPr>
        <w:t xml:space="preserve">nitial improvements in quote success rates </w:t>
      </w:r>
      <w:r>
        <w:rPr>
          <w:szCs w:val="22"/>
        </w:rPr>
        <w:t>we</w:t>
      </w:r>
      <w:r w:rsidRPr="00204805">
        <w:rPr>
          <w:szCs w:val="22"/>
        </w:rPr>
        <w:t xml:space="preserve">re consistent with changes made by insurers already present in northern Australia. </w:t>
      </w:r>
      <w:r>
        <w:rPr>
          <w:szCs w:val="22"/>
        </w:rPr>
        <w:t>That said, the ACCC</w:t>
      </w:r>
      <w:r w:rsidRPr="00204805">
        <w:rPr>
          <w:szCs w:val="22"/>
        </w:rPr>
        <w:t xml:space="preserve"> </w:t>
      </w:r>
      <w:r>
        <w:rPr>
          <w:szCs w:val="22"/>
        </w:rPr>
        <w:t xml:space="preserve">did </w:t>
      </w:r>
      <w:r w:rsidRPr="00204805">
        <w:rPr>
          <w:szCs w:val="22"/>
        </w:rPr>
        <w:t xml:space="preserve">observe insurers reduce or remove embargoes, change underwriting guidelines or amend exposure limits that cap the volume or proportion of customers in a particular area or with certain risks. </w:t>
      </w:r>
      <w:r>
        <w:rPr>
          <w:szCs w:val="22"/>
        </w:rPr>
        <w:t xml:space="preserve">The ACCC concludes that, while positive, </w:t>
      </w:r>
      <w:r w:rsidRPr="00204805">
        <w:rPr>
          <w:szCs w:val="22"/>
        </w:rPr>
        <w:t xml:space="preserve">these changes have not had a substantial impact, although may have improved choice for some customers. </w:t>
      </w:r>
    </w:p>
    <w:p w14:paraId="60F6CF97" w14:textId="4FCD2B0D" w:rsidR="00FF4AD0" w:rsidRPr="006F53AC" w:rsidRDefault="00FF4AD0" w:rsidP="00702272">
      <w:pPr>
        <w:rPr>
          <w:szCs w:val="22"/>
        </w:rPr>
      </w:pPr>
      <w:r w:rsidRPr="00204805">
        <w:rPr>
          <w:szCs w:val="22"/>
        </w:rPr>
        <w:t xml:space="preserve">Despite the </w:t>
      </w:r>
      <w:r>
        <w:rPr>
          <w:szCs w:val="22"/>
        </w:rPr>
        <w:t xml:space="preserve">cyclone </w:t>
      </w:r>
      <w:r w:rsidRPr="00204805">
        <w:rPr>
          <w:szCs w:val="22"/>
        </w:rPr>
        <w:t xml:space="preserve">pool providing access to lower-cost cyclone reinsurance, </w:t>
      </w:r>
      <w:r>
        <w:rPr>
          <w:szCs w:val="22"/>
        </w:rPr>
        <w:t>the ACCC</w:t>
      </w:r>
      <w:r w:rsidRPr="00204805">
        <w:rPr>
          <w:szCs w:val="22"/>
        </w:rPr>
        <w:t xml:space="preserve"> found that there remains limited appetite</w:t>
      </w:r>
      <w:r>
        <w:rPr>
          <w:szCs w:val="22"/>
        </w:rPr>
        <w:t xml:space="preserve"> for insurers</w:t>
      </w:r>
      <w:r w:rsidRPr="00204805">
        <w:rPr>
          <w:szCs w:val="22"/>
        </w:rPr>
        <w:t xml:space="preserve"> to expand services or increase their exposure in certain cyclone prone regions. No new insurers have entered northern Australian markets following the </w:t>
      </w:r>
      <w:r>
        <w:rPr>
          <w:szCs w:val="22"/>
        </w:rPr>
        <w:t>cyclon</w:t>
      </w:r>
      <w:r w:rsidR="00BD5522">
        <w:rPr>
          <w:szCs w:val="22"/>
        </w:rPr>
        <w:t xml:space="preserve">e </w:t>
      </w:r>
      <w:r w:rsidRPr="00204805">
        <w:rPr>
          <w:szCs w:val="22"/>
        </w:rPr>
        <w:t>pool’s commencement.</w:t>
      </w:r>
    </w:p>
    <w:p w14:paraId="5E70DA3A" w14:textId="49808D04" w:rsidR="00702272" w:rsidRPr="00702272" w:rsidRDefault="00702272" w:rsidP="00600A11">
      <w:pPr>
        <w:pStyle w:val="Heading3"/>
      </w:pPr>
      <w:bookmarkStart w:id="37" w:name="_Toc207898456"/>
      <w:bookmarkStart w:id="38" w:name="_Toc210055978"/>
      <w:r w:rsidRPr="00702272">
        <w:t>Other reports on the cyclone pool</w:t>
      </w:r>
      <w:bookmarkEnd w:id="37"/>
      <w:bookmarkEnd w:id="38"/>
      <w:r w:rsidRPr="00702272">
        <w:t xml:space="preserve"> </w:t>
      </w:r>
    </w:p>
    <w:p w14:paraId="2B2D30CD" w14:textId="3FA29B51" w:rsidR="002234ED" w:rsidRPr="00C04193" w:rsidRDefault="002234ED" w:rsidP="00D22F13">
      <w:pPr>
        <w:rPr>
          <w:szCs w:val="22"/>
        </w:rPr>
      </w:pPr>
      <w:r w:rsidRPr="00C04193">
        <w:rPr>
          <w:szCs w:val="22"/>
        </w:rPr>
        <w:t xml:space="preserve">In </w:t>
      </w:r>
      <w:r w:rsidR="00801D3B" w:rsidRPr="00C04193">
        <w:rPr>
          <w:szCs w:val="22"/>
        </w:rPr>
        <w:t xml:space="preserve">July 2024, </w:t>
      </w:r>
      <w:r w:rsidR="00F21B57" w:rsidRPr="00C04193">
        <w:rPr>
          <w:szCs w:val="22"/>
        </w:rPr>
        <w:t xml:space="preserve">an academic researcher from </w:t>
      </w:r>
      <w:r w:rsidR="00D2290F" w:rsidRPr="00C04193">
        <w:rPr>
          <w:szCs w:val="22"/>
        </w:rPr>
        <w:t xml:space="preserve">Massachusetts Institute of Technology </w:t>
      </w:r>
      <w:r w:rsidR="00D32A86" w:rsidRPr="00C04193">
        <w:rPr>
          <w:szCs w:val="22"/>
        </w:rPr>
        <w:t>found</w:t>
      </w:r>
      <w:r w:rsidR="00E22BE5" w:rsidRPr="00C04193">
        <w:rPr>
          <w:szCs w:val="22"/>
        </w:rPr>
        <w:t xml:space="preserve"> the cyclone pool</w:t>
      </w:r>
      <w:r w:rsidR="00453F0E" w:rsidRPr="00C04193">
        <w:rPr>
          <w:szCs w:val="22"/>
        </w:rPr>
        <w:t xml:space="preserve"> </w:t>
      </w:r>
      <w:r w:rsidR="00003C77" w:rsidRPr="00C04193">
        <w:rPr>
          <w:szCs w:val="22"/>
        </w:rPr>
        <w:t>increased insurance availability and reduced premiums substantially</w:t>
      </w:r>
      <w:r w:rsidR="00056A66">
        <w:rPr>
          <w:szCs w:val="22"/>
        </w:rPr>
        <w:t>, based on quote data</w:t>
      </w:r>
      <w:r w:rsidR="00003C77" w:rsidRPr="00C04193">
        <w:rPr>
          <w:szCs w:val="22"/>
        </w:rPr>
        <w:t xml:space="preserve">. Specifically, </w:t>
      </w:r>
      <w:r w:rsidR="00B439F2" w:rsidRPr="00C04193">
        <w:rPr>
          <w:szCs w:val="22"/>
        </w:rPr>
        <w:t xml:space="preserve">the analysis finds </w:t>
      </w:r>
      <w:r w:rsidR="002E05D3" w:rsidRPr="00C04193">
        <w:rPr>
          <w:szCs w:val="22"/>
        </w:rPr>
        <w:t xml:space="preserve">home insurance </w:t>
      </w:r>
      <w:r w:rsidR="00C87AA4">
        <w:rPr>
          <w:szCs w:val="22"/>
        </w:rPr>
        <w:t>premiums</w:t>
      </w:r>
      <w:r w:rsidR="002E05D3" w:rsidRPr="00C04193">
        <w:rPr>
          <w:szCs w:val="22"/>
        </w:rPr>
        <w:t xml:space="preserve"> decreased up to 27 per cent for </w:t>
      </w:r>
      <w:r w:rsidR="006C0F2E" w:rsidRPr="00C04193">
        <w:rPr>
          <w:szCs w:val="22"/>
        </w:rPr>
        <w:t xml:space="preserve">the highest cyclone risk </w:t>
      </w:r>
      <w:r w:rsidR="004C6676" w:rsidRPr="00C04193">
        <w:rPr>
          <w:szCs w:val="22"/>
        </w:rPr>
        <w:t xml:space="preserve">and the </w:t>
      </w:r>
      <w:r w:rsidR="004F60EB" w:rsidRPr="00C04193">
        <w:rPr>
          <w:szCs w:val="22"/>
        </w:rPr>
        <w:t xml:space="preserve">probability of insurance being offered </w:t>
      </w:r>
      <w:r w:rsidR="00D8603D">
        <w:rPr>
          <w:szCs w:val="22"/>
        </w:rPr>
        <w:t>was</w:t>
      </w:r>
      <w:r w:rsidR="00C06EF3" w:rsidRPr="00C04193">
        <w:rPr>
          <w:szCs w:val="22"/>
        </w:rPr>
        <w:t xml:space="preserve"> 11 per cent higher in high</w:t>
      </w:r>
      <w:r w:rsidR="00C1472A">
        <w:rPr>
          <w:szCs w:val="22"/>
        </w:rPr>
        <w:t xml:space="preserve"> </w:t>
      </w:r>
      <w:r w:rsidR="00C06EF3" w:rsidRPr="00C04193">
        <w:rPr>
          <w:szCs w:val="22"/>
        </w:rPr>
        <w:t>risk areas compared to low</w:t>
      </w:r>
      <w:r w:rsidR="00C1472A">
        <w:rPr>
          <w:szCs w:val="22"/>
        </w:rPr>
        <w:t xml:space="preserve"> </w:t>
      </w:r>
      <w:r w:rsidR="00C06EF3" w:rsidRPr="00C04193">
        <w:rPr>
          <w:szCs w:val="22"/>
        </w:rPr>
        <w:t>risk areas.</w:t>
      </w:r>
      <w:r w:rsidR="007A7260" w:rsidRPr="00C04193">
        <w:rPr>
          <w:szCs w:val="22"/>
        </w:rPr>
        <w:t xml:space="preserve"> The</w:t>
      </w:r>
      <w:r w:rsidR="007A7260" w:rsidRPr="00C04193" w:rsidDel="00A54492">
        <w:rPr>
          <w:szCs w:val="22"/>
        </w:rPr>
        <w:t xml:space="preserve"> </w:t>
      </w:r>
      <w:r w:rsidR="00A54492">
        <w:rPr>
          <w:szCs w:val="22"/>
        </w:rPr>
        <w:t>report</w:t>
      </w:r>
      <w:r w:rsidR="00A54492" w:rsidRPr="00C04193">
        <w:rPr>
          <w:szCs w:val="22"/>
        </w:rPr>
        <w:t xml:space="preserve"> </w:t>
      </w:r>
      <w:r w:rsidR="00AD5E15" w:rsidRPr="00C04193">
        <w:rPr>
          <w:szCs w:val="22"/>
        </w:rPr>
        <w:t xml:space="preserve">also </w:t>
      </w:r>
      <w:r w:rsidR="00A61B83" w:rsidRPr="00C04193">
        <w:rPr>
          <w:szCs w:val="22"/>
        </w:rPr>
        <w:t>found</w:t>
      </w:r>
      <w:r w:rsidR="00AD5E15" w:rsidRPr="00C04193">
        <w:rPr>
          <w:szCs w:val="22"/>
        </w:rPr>
        <w:t xml:space="preserve"> </w:t>
      </w:r>
      <w:r w:rsidR="000E33E3" w:rsidRPr="00C04193">
        <w:rPr>
          <w:szCs w:val="22"/>
        </w:rPr>
        <w:t>an</w:t>
      </w:r>
      <w:r w:rsidR="00AD5E15" w:rsidRPr="00C04193">
        <w:rPr>
          <w:szCs w:val="22"/>
        </w:rPr>
        <w:t xml:space="preserve"> increase in competition from insurer entry </w:t>
      </w:r>
      <w:r w:rsidR="000E33E3" w:rsidRPr="00C04193">
        <w:rPr>
          <w:szCs w:val="22"/>
        </w:rPr>
        <w:t xml:space="preserve">into the cyclone pool </w:t>
      </w:r>
      <w:r w:rsidR="00AD5E15" w:rsidRPr="00C04193">
        <w:rPr>
          <w:szCs w:val="22"/>
        </w:rPr>
        <w:t>was an important contributor to</w:t>
      </w:r>
      <w:r w:rsidR="00BE2F4C" w:rsidRPr="00C04193">
        <w:rPr>
          <w:szCs w:val="22"/>
        </w:rPr>
        <w:t xml:space="preserve"> </w:t>
      </w:r>
      <w:r w:rsidR="00AD5E15" w:rsidRPr="00C04193">
        <w:rPr>
          <w:szCs w:val="22"/>
        </w:rPr>
        <w:t>lower premiums.</w:t>
      </w:r>
      <w:r w:rsidR="00C10BC4" w:rsidRPr="00FD15CB">
        <w:rPr>
          <w:rStyle w:val="FootnoteReference"/>
          <w:sz w:val="22"/>
          <w:szCs w:val="22"/>
        </w:rPr>
        <w:footnoteReference w:id="20"/>
      </w:r>
    </w:p>
    <w:p w14:paraId="76709945" w14:textId="63315121" w:rsidR="00240AA4" w:rsidRDefault="00941E97" w:rsidP="00D22F13">
      <w:pPr>
        <w:rPr>
          <w:szCs w:val="22"/>
        </w:rPr>
      </w:pPr>
      <w:r>
        <w:rPr>
          <w:szCs w:val="22"/>
        </w:rPr>
        <w:t>Additionally, i</w:t>
      </w:r>
      <w:r w:rsidR="000A2DA2" w:rsidRPr="00C04193">
        <w:rPr>
          <w:szCs w:val="22"/>
        </w:rPr>
        <w:t>n May 2025</w:t>
      </w:r>
      <w:r w:rsidR="00520F37" w:rsidRPr="00C04193">
        <w:rPr>
          <w:szCs w:val="22"/>
        </w:rPr>
        <w:t xml:space="preserve">, the ARPC released </w:t>
      </w:r>
      <w:r w:rsidR="00884CEB" w:rsidRPr="00C04193">
        <w:rPr>
          <w:szCs w:val="22"/>
        </w:rPr>
        <w:t xml:space="preserve">a report </w:t>
      </w:r>
      <w:r w:rsidR="00151D03" w:rsidRPr="00C04193">
        <w:rPr>
          <w:szCs w:val="22"/>
        </w:rPr>
        <w:t>analysing insurer quote data to assess the cyclone pool premiums against legislative objectives.</w:t>
      </w:r>
      <w:r w:rsidR="00757831">
        <w:rPr>
          <w:szCs w:val="22"/>
        </w:rPr>
        <w:t xml:space="preserve"> </w:t>
      </w:r>
      <w:r w:rsidR="00240AA4">
        <w:rPr>
          <w:szCs w:val="22"/>
        </w:rPr>
        <w:t>Given the ACCC analyses actual premiums paid by policyholders and the ARPC report uses quote data, there are differences between the ACCC</w:t>
      </w:r>
      <w:r w:rsidR="009D1834">
        <w:rPr>
          <w:szCs w:val="22"/>
        </w:rPr>
        <w:t>’s</w:t>
      </w:r>
      <w:r w:rsidR="007E1DAE">
        <w:rPr>
          <w:szCs w:val="22"/>
        </w:rPr>
        <w:t xml:space="preserve"> 2025</w:t>
      </w:r>
      <w:r w:rsidR="00240AA4">
        <w:rPr>
          <w:szCs w:val="22"/>
        </w:rPr>
        <w:t xml:space="preserve"> </w:t>
      </w:r>
      <w:r w:rsidR="00B31B33">
        <w:rPr>
          <w:szCs w:val="22"/>
        </w:rPr>
        <w:t>insurance</w:t>
      </w:r>
      <w:r w:rsidR="00240AA4">
        <w:rPr>
          <w:szCs w:val="22"/>
        </w:rPr>
        <w:t xml:space="preserve"> monitoring </w:t>
      </w:r>
      <w:r w:rsidR="009D1834">
        <w:rPr>
          <w:szCs w:val="22"/>
        </w:rPr>
        <w:t>report,</w:t>
      </w:r>
      <w:r w:rsidR="00240AA4">
        <w:rPr>
          <w:szCs w:val="22"/>
        </w:rPr>
        <w:t xml:space="preserve"> </w:t>
      </w:r>
      <w:r w:rsidR="007E1DAE">
        <w:rPr>
          <w:szCs w:val="22"/>
        </w:rPr>
        <w:t xml:space="preserve">and the two reports discussed in this section. </w:t>
      </w:r>
    </w:p>
    <w:p w14:paraId="29D3FE5F" w14:textId="76024A48" w:rsidR="00C63619" w:rsidRPr="00C04193" w:rsidRDefault="00096687" w:rsidP="00D22F13">
      <w:pPr>
        <w:rPr>
          <w:szCs w:val="22"/>
        </w:rPr>
      </w:pPr>
      <w:r w:rsidRPr="00C04193">
        <w:rPr>
          <w:szCs w:val="22"/>
        </w:rPr>
        <w:t xml:space="preserve">The insurer </w:t>
      </w:r>
      <w:r w:rsidR="00ED7CAC" w:rsidRPr="00C04193">
        <w:rPr>
          <w:szCs w:val="22"/>
        </w:rPr>
        <w:t xml:space="preserve">quote data </w:t>
      </w:r>
      <w:r w:rsidR="00AA2BED" w:rsidRPr="00C04193">
        <w:rPr>
          <w:szCs w:val="22"/>
        </w:rPr>
        <w:t xml:space="preserve">captures online insurer premiums </w:t>
      </w:r>
      <w:r w:rsidR="00642D4B" w:rsidRPr="00C04193">
        <w:rPr>
          <w:szCs w:val="22"/>
        </w:rPr>
        <w:t xml:space="preserve">quoted </w:t>
      </w:r>
      <w:r w:rsidR="00482346" w:rsidRPr="00C04193">
        <w:rPr>
          <w:szCs w:val="22"/>
        </w:rPr>
        <w:t xml:space="preserve">using a consistent set of risk profiles each quarter. </w:t>
      </w:r>
      <w:r w:rsidR="009A6D6C" w:rsidRPr="00C04193">
        <w:rPr>
          <w:szCs w:val="22"/>
        </w:rPr>
        <w:t>Quotes were analysed in groups according to</w:t>
      </w:r>
      <w:r w:rsidR="006F2EA8" w:rsidRPr="00C04193">
        <w:rPr>
          <w:szCs w:val="22"/>
        </w:rPr>
        <w:t xml:space="preserve"> the</w:t>
      </w:r>
      <w:r w:rsidR="009A6D6C" w:rsidRPr="00C04193">
        <w:rPr>
          <w:szCs w:val="22"/>
        </w:rPr>
        <w:t xml:space="preserve"> ARPC Wind Risk Band. </w:t>
      </w:r>
      <w:r w:rsidR="002C2604" w:rsidRPr="00C04193">
        <w:rPr>
          <w:szCs w:val="22"/>
        </w:rPr>
        <w:t xml:space="preserve">The </w:t>
      </w:r>
      <w:r w:rsidR="009A6D6C" w:rsidRPr="00C04193">
        <w:rPr>
          <w:szCs w:val="22"/>
        </w:rPr>
        <w:t>risk band is a premium rating factor developed by the ARPC for the calculation of cyclone pool premiums, with bands running from A (nil cyclone premium) to W (highest risk)</w:t>
      </w:r>
      <w:r w:rsidR="00CD1443" w:rsidRPr="00C04193">
        <w:rPr>
          <w:szCs w:val="22"/>
        </w:rPr>
        <w:t xml:space="preserve">. </w:t>
      </w:r>
      <w:r w:rsidR="00665DE3" w:rsidRPr="00C04193">
        <w:rPr>
          <w:szCs w:val="22"/>
        </w:rPr>
        <w:t xml:space="preserve">In this report, the risk bands have been grouped into five categories (B-F, G-K, </w:t>
      </w:r>
      <w:r w:rsidR="00DE7847" w:rsidRPr="00C04193">
        <w:rPr>
          <w:szCs w:val="22"/>
        </w:rPr>
        <w:t>L-P, Q-S</w:t>
      </w:r>
      <w:r w:rsidR="006937A6" w:rsidRPr="00C04193">
        <w:rPr>
          <w:szCs w:val="22"/>
        </w:rPr>
        <w:t xml:space="preserve"> and</w:t>
      </w:r>
      <w:r w:rsidR="00DE7847" w:rsidRPr="00C04193">
        <w:rPr>
          <w:szCs w:val="22"/>
        </w:rPr>
        <w:t xml:space="preserve"> T-W)</w:t>
      </w:r>
      <w:r w:rsidR="00AA34EB" w:rsidRPr="00C04193">
        <w:rPr>
          <w:szCs w:val="22"/>
        </w:rPr>
        <w:t>. T</w:t>
      </w:r>
      <w:r w:rsidR="00E72CC7" w:rsidRPr="00C04193">
        <w:rPr>
          <w:szCs w:val="22"/>
        </w:rPr>
        <w:t xml:space="preserve">he proportion </w:t>
      </w:r>
      <w:r w:rsidR="00351445" w:rsidRPr="00C04193">
        <w:rPr>
          <w:szCs w:val="22"/>
        </w:rPr>
        <w:t xml:space="preserve">of </w:t>
      </w:r>
      <w:r w:rsidR="00B64E81">
        <w:rPr>
          <w:szCs w:val="22"/>
        </w:rPr>
        <w:t>Home Building P</w:t>
      </w:r>
      <w:r w:rsidR="00351445" w:rsidRPr="00C04193">
        <w:rPr>
          <w:szCs w:val="22"/>
        </w:rPr>
        <w:t>olicies in-force by risk band</w:t>
      </w:r>
      <w:r w:rsidR="00C63619" w:rsidRPr="00C04193">
        <w:rPr>
          <w:szCs w:val="22"/>
        </w:rPr>
        <w:t xml:space="preserve"> are shown in Table </w:t>
      </w:r>
      <w:r w:rsidR="007C458A">
        <w:rPr>
          <w:szCs w:val="22"/>
        </w:rPr>
        <w:t>2</w:t>
      </w:r>
      <w:r w:rsidR="00C63619" w:rsidRPr="00C04193">
        <w:rPr>
          <w:szCs w:val="22"/>
        </w:rPr>
        <w:t xml:space="preserve">. </w:t>
      </w:r>
    </w:p>
    <w:p w14:paraId="29483801" w14:textId="695737DF" w:rsidR="000E75E9" w:rsidRPr="002605D1" w:rsidRDefault="000E75E9" w:rsidP="002605D1">
      <w:pPr>
        <w:pStyle w:val="TableMainHeading"/>
      </w:pPr>
      <w:bookmarkStart w:id="39" w:name="_Toc207898457"/>
      <w:bookmarkStart w:id="40" w:name="_Toc209703729"/>
      <w:bookmarkStart w:id="41" w:name="_Toc210055979"/>
      <w:r w:rsidRPr="002605D1">
        <w:t xml:space="preserve">Table </w:t>
      </w:r>
      <w:r w:rsidR="007C458A" w:rsidRPr="002605D1">
        <w:t>2</w:t>
      </w:r>
      <w:r w:rsidRPr="002605D1">
        <w:t xml:space="preserve">: Proportion of </w:t>
      </w:r>
      <w:r w:rsidR="00044CF1" w:rsidRPr="002605D1">
        <w:t xml:space="preserve">Home Building </w:t>
      </w:r>
      <w:r w:rsidRPr="002605D1">
        <w:t>policies in-force by risk band.</w:t>
      </w:r>
      <w:bookmarkEnd w:id="39"/>
      <w:bookmarkEnd w:id="40"/>
      <w:bookmarkEnd w:id="41"/>
      <w:r w:rsidRPr="002605D1">
        <w:t xml:space="preserve"> </w:t>
      </w:r>
    </w:p>
    <w:tbl>
      <w:tblPr>
        <w:tblW w:w="4819" w:type="pct"/>
        <w:tblLook w:val="07A0" w:firstRow="1" w:lastRow="0" w:firstColumn="1" w:lastColumn="1" w:noHBand="1" w:noVBand="1"/>
      </w:tblPr>
      <w:tblGrid>
        <w:gridCol w:w="4369"/>
        <w:gridCol w:w="4373"/>
      </w:tblGrid>
      <w:tr w:rsidR="005719E5" w14:paraId="4E2EC9B1" w14:textId="77777777" w:rsidTr="00A30B54">
        <w:trPr>
          <w:trHeight w:val="300"/>
          <w:tblHeader/>
        </w:trPr>
        <w:tc>
          <w:tcPr>
            <w:tcW w:w="2499" w:type="pct"/>
            <w:shd w:val="clear" w:color="auto" w:fill="E5E5E5"/>
          </w:tcPr>
          <w:p w14:paraId="4AB6687F" w14:textId="2F41151B" w:rsidR="005719E5" w:rsidRPr="00051313" w:rsidRDefault="005719E5">
            <w:pPr>
              <w:pStyle w:val="TableTextLeft"/>
              <w:rPr>
                <w:b/>
              </w:rPr>
            </w:pPr>
            <w:r w:rsidRPr="00051313">
              <w:rPr>
                <w:b/>
              </w:rPr>
              <w:t>Risk band</w:t>
            </w:r>
          </w:p>
        </w:tc>
        <w:tc>
          <w:tcPr>
            <w:tcW w:w="2501" w:type="pct"/>
            <w:shd w:val="clear" w:color="auto" w:fill="E5E5E5"/>
          </w:tcPr>
          <w:p w14:paraId="52D3A8ED" w14:textId="36E8176A" w:rsidR="005719E5" w:rsidRPr="00051313" w:rsidRDefault="005719E5">
            <w:pPr>
              <w:pStyle w:val="TableTextLeft"/>
              <w:rPr>
                <w:b/>
              </w:rPr>
            </w:pPr>
            <w:r w:rsidRPr="00051313">
              <w:rPr>
                <w:b/>
              </w:rPr>
              <w:t>Proportion of</w:t>
            </w:r>
            <w:r w:rsidR="00044CF1">
              <w:rPr>
                <w:b/>
              </w:rPr>
              <w:t xml:space="preserve"> Home Building</w:t>
            </w:r>
            <w:r w:rsidRPr="00051313">
              <w:rPr>
                <w:b/>
              </w:rPr>
              <w:t xml:space="preserve"> policies in force </w:t>
            </w:r>
            <w:r w:rsidR="000E75E9" w:rsidRPr="00051313">
              <w:rPr>
                <w:b/>
              </w:rPr>
              <w:t>(percentage)</w:t>
            </w:r>
          </w:p>
        </w:tc>
      </w:tr>
      <w:tr w:rsidR="005719E5" w14:paraId="085C1F5F" w14:textId="77777777" w:rsidTr="00A30B54">
        <w:trPr>
          <w:trHeight w:val="300"/>
        </w:trPr>
        <w:tc>
          <w:tcPr>
            <w:tcW w:w="2499" w:type="pct"/>
          </w:tcPr>
          <w:p w14:paraId="73FC7AA4" w14:textId="5818AADC" w:rsidR="005719E5" w:rsidRDefault="005719E5">
            <w:pPr>
              <w:pStyle w:val="TableTextLeft"/>
            </w:pPr>
            <w:r>
              <w:t xml:space="preserve">B-F </w:t>
            </w:r>
          </w:p>
        </w:tc>
        <w:tc>
          <w:tcPr>
            <w:tcW w:w="2501" w:type="pct"/>
          </w:tcPr>
          <w:p w14:paraId="37F9E2A2" w14:textId="5E71EA5C" w:rsidR="005719E5" w:rsidRDefault="000E75E9">
            <w:pPr>
              <w:pStyle w:val="TableTextLeft"/>
            </w:pPr>
            <w:r>
              <w:t>64.7</w:t>
            </w:r>
          </w:p>
        </w:tc>
      </w:tr>
      <w:tr w:rsidR="005719E5" w14:paraId="7D470B06" w14:textId="77777777" w:rsidTr="00A30B54">
        <w:trPr>
          <w:trHeight w:val="300"/>
        </w:trPr>
        <w:tc>
          <w:tcPr>
            <w:tcW w:w="2499" w:type="pct"/>
          </w:tcPr>
          <w:p w14:paraId="775F6B5F" w14:textId="574D4909" w:rsidR="005719E5" w:rsidRDefault="005719E5">
            <w:pPr>
              <w:pStyle w:val="TableTextLeft"/>
            </w:pPr>
            <w:r>
              <w:t xml:space="preserve">G-K </w:t>
            </w:r>
          </w:p>
        </w:tc>
        <w:tc>
          <w:tcPr>
            <w:tcW w:w="2501" w:type="pct"/>
          </w:tcPr>
          <w:p w14:paraId="22A70A68" w14:textId="55D1B08D" w:rsidR="005719E5" w:rsidRDefault="000E75E9">
            <w:pPr>
              <w:pStyle w:val="TableTextLeft"/>
            </w:pPr>
            <w:r>
              <w:t>23.8</w:t>
            </w:r>
          </w:p>
        </w:tc>
      </w:tr>
      <w:tr w:rsidR="005719E5" w14:paraId="6C9C9A09" w14:textId="77777777" w:rsidTr="00A30B54">
        <w:trPr>
          <w:trHeight w:val="300"/>
        </w:trPr>
        <w:tc>
          <w:tcPr>
            <w:tcW w:w="2499" w:type="pct"/>
          </w:tcPr>
          <w:p w14:paraId="592D3F60" w14:textId="6AB320A0" w:rsidR="005719E5" w:rsidRDefault="005719E5">
            <w:pPr>
              <w:pStyle w:val="TableTextLeft"/>
            </w:pPr>
            <w:r>
              <w:t xml:space="preserve">L-P </w:t>
            </w:r>
          </w:p>
        </w:tc>
        <w:tc>
          <w:tcPr>
            <w:tcW w:w="2501" w:type="pct"/>
          </w:tcPr>
          <w:p w14:paraId="37E523D6" w14:textId="21767804" w:rsidR="005719E5" w:rsidRDefault="000E75E9">
            <w:pPr>
              <w:pStyle w:val="TableTextLeft"/>
            </w:pPr>
            <w:r>
              <w:t>8.2</w:t>
            </w:r>
          </w:p>
        </w:tc>
      </w:tr>
      <w:tr w:rsidR="005719E5" w14:paraId="3BA0DEAA" w14:textId="77777777" w:rsidTr="00A30B54">
        <w:trPr>
          <w:trHeight w:val="300"/>
        </w:trPr>
        <w:tc>
          <w:tcPr>
            <w:tcW w:w="2499" w:type="pct"/>
          </w:tcPr>
          <w:p w14:paraId="78E169D2" w14:textId="6B6B1242" w:rsidR="005719E5" w:rsidRDefault="0025025A">
            <w:pPr>
              <w:pStyle w:val="TableTextLeft"/>
            </w:pPr>
            <w:r>
              <w:t>Q-S</w:t>
            </w:r>
          </w:p>
        </w:tc>
        <w:tc>
          <w:tcPr>
            <w:tcW w:w="2501" w:type="pct"/>
          </w:tcPr>
          <w:p w14:paraId="7AA589B5" w14:textId="6A82FFD5" w:rsidR="005719E5" w:rsidRDefault="000E75E9">
            <w:pPr>
              <w:pStyle w:val="TableTextLeft"/>
            </w:pPr>
            <w:r>
              <w:t xml:space="preserve">1.7 </w:t>
            </w:r>
          </w:p>
        </w:tc>
      </w:tr>
      <w:tr w:rsidR="0025025A" w14:paraId="1BB20DAA" w14:textId="77777777" w:rsidTr="00A30B54">
        <w:trPr>
          <w:trHeight w:val="300"/>
        </w:trPr>
        <w:tc>
          <w:tcPr>
            <w:tcW w:w="2499" w:type="pct"/>
          </w:tcPr>
          <w:p w14:paraId="51460C7C" w14:textId="0484DB72" w:rsidR="0025025A" w:rsidRDefault="0025025A">
            <w:pPr>
              <w:pStyle w:val="TableTextLeft"/>
            </w:pPr>
            <w:r>
              <w:t>T-W</w:t>
            </w:r>
          </w:p>
        </w:tc>
        <w:tc>
          <w:tcPr>
            <w:tcW w:w="2501" w:type="pct"/>
          </w:tcPr>
          <w:p w14:paraId="0759D0F5" w14:textId="198F31C6" w:rsidR="0025025A" w:rsidRDefault="000E75E9">
            <w:pPr>
              <w:pStyle w:val="TableTextLeft"/>
            </w:pPr>
            <w:r>
              <w:t>1.6</w:t>
            </w:r>
          </w:p>
        </w:tc>
      </w:tr>
    </w:tbl>
    <w:p w14:paraId="26094A27" w14:textId="5BF87210" w:rsidR="00C63619" w:rsidRDefault="000E75E9" w:rsidP="00D22F13">
      <w:r>
        <w:t xml:space="preserve">Source: </w:t>
      </w:r>
      <w:r w:rsidR="00D11A4B">
        <w:t xml:space="preserve">ARPC, </w:t>
      </w:r>
      <w:r w:rsidR="008C0834">
        <w:t xml:space="preserve">Cyclone Reinsurance Pool Premium Assessment, page 10. </w:t>
      </w:r>
      <w:hyperlink r:id="rId26" w:history="1">
        <w:r w:rsidR="008C0834" w:rsidRPr="005B6640">
          <w:rPr>
            <w:rStyle w:val="Hyperlink"/>
          </w:rPr>
          <w:t>ARPC website.</w:t>
        </w:r>
      </w:hyperlink>
      <w:r w:rsidR="008C0834">
        <w:t xml:space="preserve"> </w:t>
      </w:r>
    </w:p>
    <w:p w14:paraId="2654C9F3" w14:textId="69558397" w:rsidR="001D2761" w:rsidRPr="00E03960" w:rsidRDefault="00970E43" w:rsidP="00D22F13">
      <w:pPr>
        <w:rPr>
          <w:i/>
        </w:rPr>
      </w:pPr>
      <w:r>
        <w:rPr>
          <w:i/>
        </w:rPr>
        <w:t>Quoted r</w:t>
      </w:r>
      <w:r w:rsidR="00986F38" w:rsidRPr="00E03960">
        <w:rPr>
          <w:i/>
        </w:rPr>
        <w:t xml:space="preserve">esidential </w:t>
      </w:r>
      <w:r w:rsidR="00B96925">
        <w:rPr>
          <w:i/>
        </w:rPr>
        <w:t>H</w:t>
      </w:r>
      <w:r w:rsidR="00986F38" w:rsidRPr="00E03960">
        <w:rPr>
          <w:i/>
        </w:rPr>
        <w:t>ome</w:t>
      </w:r>
      <w:r w:rsidR="00B96925">
        <w:rPr>
          <w:i/>
        </w:rPr>
        <w:t xml:space="preserve"> (Buildings and Contents)</w:t>
      </w:r>
      <w:r w:rsidR="00986F38" w:rsidRPr="00E03960">
        <w:rPr>
          <w:i/>
        </w:rPr>
        <w:t xml:space="preserve"> policies </w:t>
      </w:r>
    </w:p>
    <w:p w14:paraId="29FCFA33" w14:textId="6DDE8382" w:rsidR="001339D3" w:rsidRPr="00FD15CB" w:rsidRDefault="001F1BE4" w:rsidP="00D22F13">
      <w:pPr>
        <w:rPr>
          <w:strike/>
          <w:szCs w:val="22"/>
        </w:rPr>
      </w:pPr>
      <w:r>
        <w:t>The report found a</w:t>
      </w:r>
      <w:r w:rsidR="00001950">
        <w:t xml:space="preserve">verage </w:t>
      </w:r>
      <w:r w:rsidR="00A40EB6">
        <w:t xml:space="preserve">quoted </w:t>
      </w:r>
      <w:r w:rsidR="00001950">
        <w:t xml:space="preserve">premiums for the highest cyclone risk bands </w:t>
      </w:r>
      <w:r w:rsidR="00A35E86">
        <w:t>decreased by 39 per cent from pre-cyclone pool premiums to January 2025</w:t>
      </w:r>
      <w:r w:rsidR="007275E4" w:rsidRPr="00C04193">
        <w:rPr>
          <w:szCs w:val="22"/>
        </w:rPr>
        <w:t>.</w:t>
      </w:r>
      <w:r w:rsidR="00692DEE" w:rsidRPr="00FD15CB">
        <w:rPr>
          <w:rStyle w:val="FootnoteReference"/>
          <w:sz w:val="22"/>
          <w:szCs w:val="22"/>
        </w:rPr>
        <w:footnoteReference w:id="21"/>
      </w:r>
      <w:r w:rsidR="006A0A44" w:rsidRPr="00C04193">
        <w:rPr>
          <w:szCs w:val="22"/>
        </w:rPr>
        <w:t xml:space="preserve"> This is shown in Table </w:t>
      </w:r>
      <w:r w:rsidR="001B68F6">
        <w:rPr>
          <w:szCs w:val="22"/>
        </w:rPr>
        <w:t>3</w:t>
      </w:r>
      <w:r w:rsidR="002D5248">
        <w:rPr>
          <w:szCs w:val="22"/>
        </w:rPr>
        <w:t xml:space="preserve"> which</w:t>
      </w:r>
      <w:r w:rsidR="009F67BD" w:rsidRPr="00C04193">
        <w:rPr>
          <w:szCs w:val="22"/>
        </w:rPr>
        <w:t xml:space="preserve"> represents the percent</w:t>
      </w:r>
      <w:r w:rsidR="00373569" w:rsidRPr="00C04193">
        <w:rPr>
          <w:szCs w:val="22"/>
        </w:rPr>
        <w:t>age</w:t>
      </w:r>
      <w:r w:rsidR="009F67BD" w:rsidRPr="00C04193">
        <w:rPr>
          <w:szCs w:val="22"/>
        </w:rPr>
        <w:t xml:space="preserve"> change in average </w:t>
      </w:r>
      <w:r w:rsidR="00E80442">
        <w:rPr>
          <w:szCs w:val="22"/>
        </w:rPr>
        <w:t>quoted</w:t>
      </w:r>
      <w:r w:rsidR="009F67BD" w:rsidRPr="00C04193">
        <w:rPr>
          <w:szCs w:val="22"/>
        </w:rPr>
        <w:t xml:space="preserve"> home premiums </w:t>
      </w:r>
      <w:r w:rsidR="00EA77F5">
        <w:rPr>
          <w:szCs w:val="22"/>
        </w:rPr>
        <w:t>pre-cyclone</w:t>
      </w:r>
      <w:r w:rsidR="009F67BD" w:rsidRPr="00C04193">
        <w:rPr>
          <w:szCs w:val="22"/>
        </w:rPr>
        <w:t xml:space="preserve"> pool to January 2025. </w:t>
      </w:r>
    </w:p>
    <w:p w14:paraId="7C7FAC09" w14:textId="09945271" w:rsidR="000B460C" w:rsidRPr="00C04193" w:rsidRDefault="004766DF" w:rsidP="00D22F13">
      <w:pPr>
        <w:rPr>
          <w:szCs w:val="22"/>
        </w:rPr>
      </w:pPr>
      <w:r w:rsidRPr="00C04193">
        <w:rPr>
          <w:szCs w:val="22"/>
        </w:rPr>
        <w:t>T</w:t>
      </w:r>
      <w:r w:rsidR="001F6552" w:rsidRPr="00C04193">
        <w:rPr>
          <w:szCs w:val="22"/>
        </w:rPr>
        <w:t xml:space="preserve">he report </w:t>
      </w:r>
      <w:r w:rsidR="00CD3592" w:rsidRPr="00C04193">
        <w:rPr>
          <w:szCs w:val="22"/>
        </w:rPr>
        <w:t xml:space="preserve">also found sample quotes in the lowest risk band increased </w:t>
      </w:r>
      <w:r w:rsidR="00CF6406" w:rsidRPr="00C04193">
        <w:rPr>
          <w:szCs w:val="22"/>
        </w:rPr>
        <w:t>by 15 per cent</w:t>
      </w:r>
      <w:r w:rsidR="00F935B3">
        <w:rPr>
          <w:szCs w:val="22"/>
        </w:rPr>
        <w:t xml:space="preserve"> over the period</w:t>
      </w:r>
      <w:r w:rsidR="00CF6406" w:rsidRPr="00C04193">
        <w:rPr>
          <w:szCs w:val="22"/>
        </w:rPr>
        <w:t xml:space="preserve">. The ARPC </w:t>
      </w:r>
      <w:r w:rsidR="00C270D8">
        <w:rPr>
          <w:szCs w:val="22"/>
        </w:rPr>
        <w:t>noted</w:t>
      </w:r>
      <w:r w:rsidR="00CF6406" w:rsidRPr="00C04193">
        <w:rPr>
          <w:szCs w:val="22"/>
        </w:rPr>
        <w:t xml:space="preserve"> this </w:t>
      </w:r>
      <w:r w:rsidR="00373569" w:rsidRPr="00C04193">
        <w:rPr>
          <w:szCs w:val="22"/>
        </w:rPr>
        <w:t>is</w:t>
      </w:r>
      <w:r w:rsidR="00CF6406" w:rsidRPr="00C04193">
        <w:rPr>
          <w:szCs w:val="22"/>
        </w:rPr>
        <w:t xml:space="preserve"> likely caused by market movements in home insurance rates over the past two to three years which are largely unrelated to the cyclone pool. </w:t>
      </w:r>
      <w:r w:rsidR="00DC5AF0" w:rsidRPr="00C04193">
        <w:rPr>
          <w:szCs w:val="22"/>
        </w:rPr>
        <w:t xml:space="preserve">In addition, </w:t>
      </w:r>
      <w:r w:rsidR="00373569" w:rsidRPr="00C04193">
        <w:rPr>
          <w:szCs w:val="22"/>
        </w:rPr>
        <w:t xml:space="preserve">it </w:t>
      </w:r>
      <w:r w:rsidR="00C270D8">
        <w:rPr>
          <w:szCs w:val="22"/>
        </w:rPr>
        <w:t>stated</w:t>
      </w:r>
      <w:r w:rsidR="008B3566" w:rsidRPr="00C04193">
        <w:rPr>
          <w:szCs w:val="22"/>
        </w:rPr>
        <w:t xml:space="preserve"> premium reductions for medium </w:t>
      </w:r>
      <w:r w:rsidR="00E04E93">
        <w:rPr>
          <w:szCs w:val="22"/>
        </w:rPr>
        <w:t>to</w:t>
      </w:r>
      <w:r w:rsidR="008B3566" w:rsidRPr="00C04193">
        <w:rPr>
          <w:szCs w:val="22"/>
        </w:rPr>
        <w:t xml:space="preserve"> </w:t>
      </w:r>
      <w:r w:rsidR="00C22522" w:rsidRPr="00C04193">
        <w:rPr>
          <w:szCs w:val="22"/>
        </w:rPr>
        <w:t>high</w:t>
      </w:r>
      <w:r w:rsidR="00C1472A">
        <w:rPr>
          <w:szCs w:val="22"/>
        </w:rPr>
        <w:t xml:space="preserve"> </w:t>
      </w:r>
      <w:r w:rsidR="00C22522" w:rsidRPr="00C04193">
        <w:rPr>
          <w:szCs w:val="22"/>
        </w:rPr>
        <w:t>risk</w:t>
      </w:r>
      <w:r w:rsidR="008B3566" w:rsidRPr="00C04193">
        <w:rPr>
          <w:szCs w:val="22"/>
        </w:rPr>
        <w:t xml:space="preserve"> </w:t>
      </w:r>
      <w:r w:rsidR="00B011AC">
        <w:rPr>
          <w:szCs w:val="22"/>
        </w:rPr>
        <w:t>quotes</w:t>
      </w:r>
      <w:r w:rsidR="008B3566" w:rsidRPr="00C04193">
        <w:rPr>
          <w:szCs w:val="22"/>
        </w:rPr>
        <w:t xml:space="preserve"> may have been </w:t>
      </w:r>
      <w:r w:rsidR="006E706E" w:rsidRPr="00C04193">
        <w:rPr>
          <w:szCs w:val="22"/>
        </w:rPr>
        <w:t xml:space="preserve">greater if the cyclone pool was not introduced </w:t>
      </w:r>
      <w:r w:rsidR="003879E5" w:rsidRPr="00C04193">
        <w:rPr>
          <w:szCs w:val="22"/>
        </w:rPr>
        <w:t xml:space="preserve">in an environment </w:t>
      </w:r>
      <w:r w:rsidR="00863CAB" w:rsidRPr="00C04193">
        <w:rPr>
          <w:szCs w:val="22"/>
        </w:rPr>
        <w:t>of</w:t>
      </w:r>
      <w:r w:rsidR="003879E5" w:rsidRPr="00C04193">
        <w:rPr>
          <w:szCs w:val="22"/>
        </w:rPr>
        <w:t xml:space="preserve"> high inflation and increasing reinsurance costs.</w:t>
      </w:r>
    </w:p>
    <w:p w14:paraId="4163B304" w14:textId="48566EEA" w:rsidR="008260CC" w:rsidRPr="002605D1" w:rsidRDefault="001F5E9D" w:rsidP="002605D1">
      <w:pPr>
        <w:pStyle w:val="TableMainHeading"/>
      </w:pPr>
      <w:bookmarkStart w:id="42" w:name="_Toc207898458"/>
      <w:bookmarkStart w:id="43" w:name="_Toc209703730"/>
      <w:bookmarkStart w:id="44" w:name="_Toc210055980"/>
      <w:r w:rsidRPr="002605D1">
        <w:t xml:space="preserve">Table </w:t>
      </w:r>
      <w:r w:rsidR="007976E5" w:rsidRPr="002605D1">
        <w:t>3</w:t>
      </w:r>
      <w:r w:rsidR="008260CC" w:rsidRPr="002605D1">
        <w:t>: Change in average</w:t>
      </w:r>
      <w:r w:rsidR="0013214D" w:rsidRPr="002605D1">
        <w:t xml:space="preserve"> quoted</w:t>
      </w:r>
      <w:r w:rsidR="008260CC" w:rsidRPr="002605D1">
        <w:t xml:space="preserve"> </w:t>
      </w:r>
      <w:r w:rsidR="00873779" w:rsidRPr="002605D1">
        <w:t>H</w:t>
      </w:r>
      <w:r w:rsidR="008260CC" w:rsidRPr="002605D1">
        <w:t>ome</w:t>
      </w:r>
      <w:r w:rsidR="00EB3F6B" w:rsidRPr="002605D1">
        <w:t xml:space="preserve"> </w:t>
      </w:r>
      <w:r w:rsidR="005B0EA1" w:rsidRPr="002605D1">
        <w:t xml:space="preserve">(Building </w:t>
      </w:r>
      <w:r w:rsidR="00EB3F6B" w:rsidRPr="002605D1">
        <w:t>and Contents</w:t>
      </w:r>
      <w:r w:rsidR="005B0EA1" w:rsidRPr="002605D1">
        <w:t>)</w:t>
      </w:r>
      <w:r w:rsidR="008260CC" w:rsidRPr="002605D1">
        <w:t xml:space="preserve"> premium</w:t>
      </w:r>
      <w:r w:rsidR="00D8563C" w:rsidRPr="002605D1">
        <w:t>s</w:t>
      </w:r>
      <w:r w:rsidR="008260CC" w:rsidRPr="002605D1">
        <w:t xml:space="preserve"> by risk band from pre-cyclone pool to </w:t>
      </w:r>
      <w:r w:rsidR="00384550" w:rsidRPr="002605D1">
        <w:t>Jan</w:t>
      </w:r>
      <w:r w:rsidR="00C4688B" w:rsidRPr="002605D1">
        <w:t>uary</w:t>
      </w:r>
      <w:r w:rsidR="00384550" w:rsidRPr="002605D1">
        <w:t xml:space="preserve"> 2025.</w:t>
      </w:r>
      <w:bookmarkEnd w:id="42"/>
      <w:bookmarkEnd w:id="43"/>
      <w:bookmarkEnd w:id="44"/>
      <w:r w:rsidR="00384550" w:rsidRPr="002605D1">
        <w:t xml:space="preserve"> </w:t>
      </w:r>
      <w:r w:rsidR="008260CC" w:rsidRPr="002605D1">
        <w:t xml:space="preserve"> </w:t>
      </w:r>
    </w:p>
    <w:tbl>
      <w:tblPr>
        <w:tblW w:w="5000" w:type="pct"/>
        <w:tblLook w:val="0720" w:firstRow="1" w:lastRow="0" w:firstColumn="0" w:lastColumn="1" w:noHBand="1" w:noVBand="1"/>
      </w:tblPr>
      <w:tblGrid>
        <w:gridCol w:w="2415"/>
        <w:gridCol w:w="1332"/>
        <w:gridCol w:w="1331"/>
        <w:gridCol w:w="1331"/>
        <w:gridCol w:w="1331"/>
        <w:gridCol w:w="1330"/>
      </w:tblGrid>
      <w:tr w:rsidR="007E4734" w14:paraId="3A8018E6" w14:textId="77777777" w:rsidTr="00131D6D">
        <w:trPr>
          <w:trHeight w:val="270"/>
          <w:tblHeader/>
        </w:trPr>
        <w:tc>
          <w:tcPr>
            <w:tcW w:w="1331" w:type="pct"/>
            <w:shd w:val="clear" w:color="auto" w:fill="E5E5E5"/>
          </w:tcPr>
          <w:p w14:paraId="086CD2B9" w14:textId="77777777" w:rsidR="00702D2B" w:rsidRDefault="00702D2B">
            <w:pPr>
              <w:pStyle w:val="TableTextLeft"/>
            </w:pPr>
          </w:p>
        </w:tc>
        <w:tc>
          <w:tcPr>
            <w:tcW w:w="734" w:type="pct"/>
            <w:shd w:val="clear" w:color="auto" w:fill="E5E5E5"/>
          </w:tcPr>
          <w:p w14:paraId="58A64572" w14:textId="77777777" w:rsidR="00AA345E" w:rsidRDefault="0001144D">
            <w:pPr>
              <w:pStyle w:val="TableTextLeft"/>
              <w:rPr>
                <w:b/>
                <w:bCs/>
              </w:rPr>
            </w:pPr>
            <w:r>
              <w:rPr>
                <w:b/>
                <w:bCs/>
              </w:rPr>
              <w:t xml:space="preserve">Lowest </w:t>
            </w:r>
            <w:r w:rsidR="00D705C1">
              <w:rPr>
                <w:b/>
                <w:bCs/>
              </w:rPr>
              <w:t xml:space="preserve">cyclone </w:t>
            </w:r>
            <w:r>
              <w:rPr>
                <w:b/>
                <w:bCs/>
              </w:rPr>
              <w:t xml:space="preserve">risk </w:t>
            </w:r>
          </w:p>
          <w:p w14:paraId="51DCAAC5" w14:textId="4C3AD246" w:rsidR="00702D2B" w:rsidRPr="001C57EA" w:rsidRDefault="003C4274">
            <w:pPr>
              <w:pStyle w:val="TableTextLeft"/>
              <w:rPr>
                <w:b/>
                <w:bCs/>
              </w:rPr>
            </w:pPr>
            <w:r>
              <w:rPr>
                <w:b/>
                <w:bCs/>
              </w:rPr>
              <w:t>b</w:t>
            </w:r>
            <w:r w:rsidR="005532CA">
              <w:rPr>
                <w:b/>
                <w:bCs/>
              </w:rPr>
              <w:t xml:space="preserve">and </w:t>
            </w:r>
            <w:r w:rsidR="00702D2B" w:rsidRPr="001C57EA">
              <w:rPr>
                <w:b/>
                <w:bCs/>
              </w:rPr>
              <w:t>B-</w:t>
            </w:r>
            <w:r w:rsidR="00BC5FD8" w:rsidRPr="001C57EA">
              <w:rPr>
                <w:b/>
                <w:bCs/>
              </w:rPr>
              <w:t>F</w:t>
            </w:r>
          </w:p>
        </w:tc>
        <w:tc>
          <w:tcPr>
            <w:tcW w:w="734" w:type="pct"/>
            <w:shd w:val="clear" w:color="auto" w:fill="E5E5E5"/>
          </w:tcPr>
          <w:p w14:paraId="337B24A5" w14:textId="77777777" w:rsidR="00AA345E" w:rsidRDefault="00AA345E">
            <w:pPr>
              <w:pStyle w:val="TableTextLeft"/>
              <w:rPr>
                <w:b/>
                <w:bCs/>
              </w:rPr>
            </w:pPr>
          </w:p>
          <w:p w14:paraId="1A557725" w14:textId="77777777" w:rsidR="00AA345E" w:rsidRDefault="00AA345E">
            <w:pPr>
              <w:pStyle w:val="TableTextLeft"/>
              <w:rPr>
                <w:b/>
                <w:bCs/>
              </w:rPr>
            </w:pPr>
          </w:p>
          <w:p w14:paraId="19901DD0" w14:textId="590F7670" w:rsidR="00702D2B" w:rsidRPr="001C57EA" w:rsidRDefault="003C4274">
            <w:pPr>
              <w:pStyle w:val="TableTextLeft"/>
              <w:rPr>
                <w:b/>
                <w:bCs/>
              </w:rPr>
            </w:pPr>
            <w:r>
              <w:rPr>
                <w:b/>
                <w:bCs/>
              </w:rPr>
              <w:t>b</w:t>
            </w:r>
            <w:r w:rsidR="005532CA">
              <w:rPr>
                <w:b/>
                <w:bCs/>
              </w:rPr>
              <w:t xml:space="preserve">and </w:t>
            </w:r>
            <w:r w:rsidR="00BC5FD8" w:rsidRPr="001C57EA">
              <w:rPr>
                <w:b/>
                <w:bCs/>
              </w:rPr>
              <w:t>G-K</w:t>
            </w:r>
          </w:p>
        </w:tc>
        <w:tc>
          <w:tcPr>
            <w:tcW w:w="734" w:type="pct"/>
            <w:shd w:val="clear" w:color="auto" w:fill="E5E5E5"/>
          </w:tcPr>
          <w:p w14:paraId="4ECF8592" w14:textId="35B4F76E" w:rsidR="00AA345E" w:rsidRDefault="00AA345E">
            <w:pPr>
              <w:pStyle w:val="TableTextLeft"/>
              <w:rPr>
                <w:b/>
                <w:bCs/>
              </w:rPr>
            </w:pPr>
          </w:p>
          <w:p w14:paraId="6313718C" w14:textId="2F52650C" w:rsidR="00AA345E" w:rsidRDefault="00AA345E">
            <w:pPr>
              <w:pStyle w:val="TableTextLeft"/>
              <w:rPr>
                <w:b/>
                <w:bCs/>
              </w:rPr>
            </w:pPr>
          </w:p>
          <w:p w14:paraId="190150FB" w14:textId="4A6DFB51" w:rsidR="00702D2B" w:rsidRPr="001C57EA" w:rsidRDefault="003C4274">
            <w:pPr>
              <w:pStyle w:val="TableTextLeft"/>
              <w:rPr>
                <w:b/>
                <w:bCs/>
              </w:rPr>
            </w:pPr>
            <w:r>
              <w:rPr>
                <w:b/>
                <w:bCs/>
              </w:rPr>
              <w:t>b</w:t>
            </w:r>
            <w:r w:rsidR="005532CA">
              <w:rPr>
                <w:b/>
                <w:bCs/>
              </w:rPr>
              <w:t xml:space="preserve">and </w:t>
            </w:r>
            <w:r w:rsidR="00BC5FD8" w:rsidRPr="001C57EA">
              <w:rPr>
                <w:b/>
                <w:bCs/>
              </w:rPr>
              <w:t>L-P</w:t>
            </w:r>
          </w:p>
        </w:tc>
        <w:tc>
          <w:tcPr>
            <w:tcW w:w="734" w:type="pct"/>
            <w:shd w:val="clear" w:color="auto" w:fill="E5E5E5"/>
          </w:tcPr>
          <w:p w14:paraId="38CB98A1" w14:textId="7AEA2BD4" w:rsidR="00AA345E" w:rsidRDefault="00AA345E">
            <w:pPr>
              <w:pStyle w:val="TableTextLeft"/>
              <w:rPr>
                <w:b/>
                <w:bCs/>
              </w:rPr>
            </w:pPr>
            <w:r>
              <w:rPr>
                <w:b/>
                <w:bCs/>
                <w:noProof/>
              </w:rPr>
              <mc:AlternateContent>
                <mc:Choice Requires="wps">
                  <w:drawing>
                    <wp:anchor distT="0" distB="0" distL="114300" distR="114300" simplePos="0" relativeHeight="251658241" behindDoc="0" locked="0" layoutInCell="1" allowOverlap="1" wp14:anchorId="7368DDDE" wp14:editId="2915A9A1">
                      <wp:simplePos x="0" y="0"/>
                      <wp:positionH relativeFrom="column">
                        <wp:posOffset>-1640840</wp:posOffset>
                      </wp:positionH>
                      <wp:positionV relativeFrom="paragraph">
                        <wp:posOffset>186055</wp:posOffset>
                      </wp:positionV>
                      <wp:extent cx="2292350" cy="6350"/>
                      <wp:effectExtent l="0" t="76200" r="12700" b="88900"/>
                      <wp:wrapNone/>
                      <wp:docPr id="207465452"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2923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B48DDDB" id="_x0000_t32" coordsize="21600,21600" o:spt="32" o:oned="t" path="m,l21600,21600e" filled="f">
                      <v:path arrowok="t" fillok="f" o:connecttype="none"/>
                      <o:lock v:ext="edit" shapetype="t"/>
                    </v:shapetype>
                    <v:shape id="Straight Arrow Connector 1" o:spid="_x0000_s1026" type="#_x0000_t32" alt="&quot;&quot;" style="position:absolute;margin-left:-129.2pt;margin-top:14.65pt;width:180.5pt;height:.5pt;flip:y;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" strokecolor="#293545 [3044]">
                      <v:stroke endarrow="block"/>
                    </v:shape>
                  </w:pict>
                </mc:Fallback>
              </mc:AlternateContent>
            </w:r>
          </w:p>
          <w:p w14:paraId="4BDBFC9B" w14:textId="77777777" w:rsidR="00AA345E" w:rsidRDefault="00AA345E">
            <w:pPr>
              <w:pStyle w:val="TableTextLeft"/>
              <w:rPr>
                <w:b/>
                <w:bCs/>
              </w:rPr>
            </w:pPr>
          </w:p>
          <w:p w14:paraId="48D46AA9" w14:textId="0B691851" w:rsidR="00702D2B" w:rsidRPr="001C57EA" w:rsidRDefault="003C4274">
            <w:pPr>
              <w:pStyle w:val="TableTextLeft"/>
              <w:rPr>
                <w:b/>
                <w:bCs/>
              </w:rPr>
            </w:pPr>
            <w:r>
              <w:rPr>
                <w:b/>
                <w:bCs/>
              </w:rPr>
              <w:t>b</w:t>
            </w:r>
            <w:r w:rsidR="005532CA">
              <w:rPr>
                <w:b/>
                <w:bCs/>
              </w:rPr>
              <w:t xml:space="preserve">and </w:t>
            </w:r>
            <w:r w:rsidR="00BC5FD8" w:rsidRPr="001C57EA">
              <w:rPr>
                <w:b/>
                <w:bCs/>
              </w:rPr>
              <w:t>Q-S</w:t>
            </w:r>
          </w:p>
        </w:tc>
        <w:tc>
          <w:tcPr>
            <w:tcW w:w="733" w:type="pct"/>
            <w:shd w:val="clear" w:color="auto" w:fill="E5E5E5"/>
          </w:tcPr>
          <w:p w14:paraId="583DEA88" w14:textId="77777777" w:rsidR="00D705C1" w:rsidRDefault="00D705C1">
            <w:pPr>
              <w:pStyle w:val="TableTextLeft"/>
              <w:rPr>
                <w:b/>
                <w:bCs/>
              </w:rPr>
            </w:pPr>
            <w:r>
              <w:rPr>
                <w:b/>
                <w:bCs/>
              </w:rPr>
              <w:t xml:space="preserve">Highest cyclone risk </w:t>
            </w:r>
          </w:p>
          <w:p w14:paraId="180CB4C8" w14:textId="27B45859" w:rsidR="00702D2B" w:rsidRPr="001C57EA" w:rsidRDefault="003C4274">
            <w:pPr>
              <w:pStyle w:val="TableTextLeft"/>
              <w:rPr>
                <w:b/>
                <w:bCs/>
              </w:rPr>
            </w:pPr>
            <w:r>
              <w:rPr>
                <w:b/>
                <w:bCs/>
              </w:rPr>
              <w:t>b</w:t>
            </w:r>
            <w:r w:rsidR="005532CA">
              <w:rPr>
                <w:b/>
                <w:bCs/>
              </w:rPr>
              <w:t xml:space="preserve">and </w:t>
            </w:r>
            <w:r w:rsidR="00BC5FD8" w:rsidRPr="001C57EA">
              <w:rPr>
                <w:b/>
                <w:bCs/>
              </w:rPr>
              <w:t>T-W</w:t>
            </w:r>
          </w:p>
        </w:tc>
      </w:tr>
      <w:tr w:rsidR="00702D2B" w14:paraId="29960DA4" w14:textId="77777777" w:rsidTr="00C6022B">
        <w:trPr>
          <w:trHeight w:val="270"/>
        </w:trPr>
        <w:tc>
          <w:tcPr>
            <w:tcW w:w="1331" w:type="pct"/>
          </w:tcPr>
          <w:p w14:paraId="5F480AE4" w14:textId="31B8F16F" w:rsidR="00702D2B" w:rsidRPr="001C57EA" w:rsidRDefault="00E44E79">
            <w:pPr>
              <w:pStyle w:val="TableTextLeft"/>
              <w:rPr>
                <w:b/>
                <w:bCs/>
              </w:rPr>
            </w:pPr>
            <w:r>
              <w:rPr>
                <w:b/>
                <w:bCs/>
              </w:rPr>
              <w:t>Average h</w:t>
            </w:r>
            <w:r w:rsidR="00D93885">
              <w:rPr>
                <w:b/>
                <w:bCs/>
              </w:rPr>
              <w:t xml:space="preserve">ome premium per cent change from </w:t>
            </w:r>
            <w:r w:rsidR="00EC0558">
              <w:rPr>
                <w:b/>
                <w:bCs/>
              </w:rPr>
              <w:t>cyclone pool entry</w:t>
            </w:r>
            <w:r w:rsidR="00D93885">
              <w:rPr>
                <w:b/>
                <w:bCs/>
              </w:rPr>
              <w:t xml:space="preserve"> to Jan</w:t>
            </w:r>
            <w:r w:rsidR="00C6489C">
              <w:rPr>
                <w:b/>
                <w:bCs/>
              </w:rPr>
              <w:t xml:space="preserve"> </w:t>
            </w:r>
            <w:r w:rsidR="00AC7DFC">
              <w:rPr>
                <w:b/>
                <w:bCs/>
              </w:rPr>
              <w:t>20</w:t>
            </w:r>
            <w:r w:rsidR="00D93885">
              <w:rPr>
                <w:b/>
                <w:bCs/>
              </w:rPr>
              <w:t xml:space="preserve">25 </w:t>
            </w:r>
          </w:p>
        </w:tc>
        <w:tc>
          <w:tcPr>
            <w:tcW w:w="734" w:type="pct"/>
          </w:tcPr>
          <w:p w14:paraId="69D6B6C6" w14:textId="35FB056F" w:rsidR="00702D2B" w:rsidRDefault="00BC5FD8">
            <w:pPr>
              <w:pStyle w:val="TableTextLeft"/>
            </w:pPr>
            <w:r>
              <w:t xml:space="preserve">15 </w:t>
            </w:r>
          </w:p>
        </w:tc>
        <w:tc>
          <w:tcPr>
            <w:tcW w:w="734" w:type="pct"/>
          </w:tcPr>
          <w:p w14:paraId="6D2EC3FC" w14:textId="54FE3428" w:rsidR="00702D2B" w:rsidRDefault="007653C8" w:rsidP="00BC5FD8">
            <w:pPr>
              <w:pStyle w:val="TableTextLeft"/>
            </w:pPr>
            <w:r>
              <w:t xml:space="preserve">-1 </w:t>
            </w:r>
          </w:p>
        </w:tc>
        <w:tc>
          <w:tcPr>
            <w:tcW w:w="734" w:type="pct"/>
          </w:tcPr>
          <w:p w14:paraId="5E3733A1" w14:textId="234D9A5B" w:rsidR="00702D2B" w:rsidRDefault="001A5F1C">
            <w:pPr>
              <w:pStyle w:val="TableTextLeft"/>
            </w:pPr>
            <w:r>
              <w:t xml:space="preserve">-15 </w:t>
            </w:r>
          </w:p>
        </w:tc>
        <w:tc>
          <w:tcPr>
            <w:tcW w:w="734" w:type="pct"/>
          </w:tcPr>
          <w:p w14:paraId="362196A1" w14:textId="58EAF80E" w:rsidR="00702D2B" w:rsidRDefault="001A5F1C">
            <w:pPr>
              <w:pStyle w:val="TableTextLeft"/>
            </w:pPr>
            <w:r>
              <w:t xml:space="preserve">-26 </w:t>
            </w:r>
          </w:p>
        </w:tc>
        <w:tc>
          <w:tcPr>
            <w:tcW w:w="733" w:type="pct"/>
          </w:tcPr>
          <w:p w14:paraId="419C7089" w14:textId="178156A9" w:rsidR="00702D2B" w:rsidRDefault="001A5F1C">
            <w:pPr>
              <w:pStyle w:val="TableTextLeft"/>
            </w:pPr>
            <w:r>
              <w:t xml:space="preserve">-39 </w:t>
            </w:r>
          </w:p>
        </w:tc>
      </w:tr>
    </w:tbl>
    <w:p w14:paraId="4BC7D96E" w14:textId="707B3CCA" w:rsidR="008260CC" w:rsidRDefault="008260CC" w:rsidP="00D22F13">
      <w:r w:rsidRPr="00C04193">
        <w:rPr>
          <w:szCs w:val="22"/>
        </w:rPr>
        <w:t>Source:</w:t>
      </w:r>
      <w:r w:rsidR="00B566DD" w:rsidRPr="00C04193">
        <w:rPr>
          <w:szCs w:val="22"/>
        </w:rPr>
        <w:t xml:space="preserve"> ARPC</w:t>
      </w:r>
      <w:r w:rsidR="004A6D19" w:rsidRPr="00C04193">
        <w:rPr>
          <w:szCs w:val="22"/>
        </w:rPr>
        <w:t>,</w:t>
      </w:r>
      <w:r w:rsidR="00B566DD" w:rsidRPr="00C04193">
        <w:rPr>
          <w:szCs w:val="22"/>
        </w:rPr>
        <w:t xml:space="preserve"> Cyclone Reinsurance Pool Premium Assessment 2025</w:t>
      </w:r>
      <w:r w:rsidR="003E51C9" w:rsidRPr="00C04193">
        <w:rPr>
          <w:szCs w:val="22"/>
        </w:rPr>
        <w:t xml:space="preserve"> (page 5) based on quote data provided by Finity </w:t>
      </w:r>
      <w:r w:rsidR="001159DC" w:rsidRPr="00C04193">
        <w:rPr>
          <w:szCs w:val="22"/>
        </w:rPr>
        <w:t>Consulting</w:t>
      </w:r>
      <w:r w:rsidR="003E51C9" w:rsidRPr="00C04193">
        <w:rPr>
          <w:szCs w:val="22"/>
        </w:rPr>
        <w:t xml:space="preserve">. </w:t>
      </w:r>
      <w:hyperlink r:id="rId27" w:history="1">
        <w:r w:rsidR="0059473E" w:rsidRPr="00067C41">
          <w:rPr>
            <w:rStyle w:val="Hyperlink"/>
            <w:szCs w:val="22"/>
          </w:rPr>
          <w:t>ARPC website</w:t>
        </w:r>
      </w:hyperlink>
      <w:r w:rsidR="0059473E" w:rsidRPr="00067C41">
        <w:rPr>
          <w:szCs w:val="22"/>
        </w:rPr>
        <w:t>.</w:t>
      </w:r>
    </w:p>
    <w:p w14:paraId="74F33D7A" w14:textId="75697A05" w:rsidR="00D510E3" w:rsidRPr="00C04193" w:rsidRDefault="00D510E3" w:rsidP="00D22F13">
      <w:pPr>
        <w:rPr>
          <w:szCs w:val="22"/>
        </w:rPr>
      </w:pPr>
      <w:r w:rsidRPr="00C04193">
        <w:rPr>
          <w:szCs w:val="22"/>
        </w:rPr>
        <w:t>To measure insurance availability, the report includes data on the average quote success rate. This refers to the number of successful quotes as a percentage of the total quotes attempted. From pre-cyclone pool to January 2025, quote success rates increased for all risk bands.</w:t>
      </w:r>
      <w:r w:rsidRPr="00FD15CB">
        <w:rPr>
          <w:rStyle w:val="FootnoteReference"/>
          <w:sz w:val="22"/>
          <w:szCs w:val="22"/>
        </w:rPr>
        <w:footnoteReference w:id="22"/>
      </w:r>
      <w:r w:rsidRPr="00C04193">
        <w:rPr>
          <w:szCs w:val="22"/>
        </w:rPr>
        <w:t xml:space="preserve"> This is shown in </w:t>
      </w:r>
      <w:r w:rsidRPr="00C04193">
        <w:rPr>
          <w:szCs w:val="22"/>
        </w:rPr>
        <w:br/>
      </w:r>
      <w:r w:rsidR="00612804" w:rsidRPr="00C04193">
        <w:rPr>
          <w:szCs w:val="22"/>
        </w:rPr>
        <w:t xml:space="preserve">Table </w:t>
      </w:r>
      <w:r w:rsidR="007C458A">
        <w:rPr>
          <w:szCs w:val="22"/>
        </w:rPr>
        <w:t>4</w:t>
      </w:r>
      <w:r w:rsidRPr="00C04193">
        <w:rPr>
          <w:szCs w:val="22"/>
        </w:rPr>
        <w:t xml:space="preserve">. </w:t>
      </w:r>
    </w:p>
    <w:p w14:paraId="558B4623" w14:textId="77777777" w:rsidR="00120A99" w:rsidRDefault="00120A99">
      <w:pPr>
        <w:spacing w:before="0" w:after="160" w:line="259" w:lineRule="auto"/>
        <w:rPr>
          <w:rFonts w:ascii="Calibri" w:hAnsi="Calibri" w:cs="Arial"/>
          <w:color w:val="4D7861" w:themeColor="accent2"/>
          <w:kern w:val="32"/>
          <w:sz w:val="26"/>
          <w:szCs w:val="26"/>
        </w:rPr>
      </w:pPr>
      <w:bookmarkStart w:id="45" w:name="_Toc207898459"/>
      <w:r>
        <w:br w:type="page"/>
      </w:r>
    </w:p>
    <w:p w14:paraId="0E601A05" w14:textId="270C6066" w:rsidR="00612804" w:rsidRPr="00676F5E" w:rsidRDefault="00612804" w:rsidP="00676F5E">
      <w:pPr>
        <w:pStyle w:val="TableMainHeading"/>
      </w:pPr>
      <w:bookmarkStart w:id="46" w:name="_Toc209703731"/>
      <w:bookmarkStart w:id="47" w:name="_Toc210055981"/>
      <w:r w:rsidRPr="00676F5E">
        <w:t xml:space="preserve">Table </w:t>
      </w:r>
      <w:r w:rsidR="007C458A" w:rsidRPr="00676F5E">
        <w:t>4</w:t>
      </w:r>
      <w:r w:rsidRPr="00676F5E">
        <w:t xml:space="preserve">: </w:t>
      </w:r>
      <w:r w:rsidR="00D95ECE" w:rsidRPr="00676F5E">
        <w:t>Percentage point c</w:t>
      </w:r>
      <w:r w:rsidR="004C399D" w:rsidRPr="00676F5E">
        <w:t>hange in q</w:t>
      </w:r>
      <w:r w:rsidRPr="00676F5E">
        <w:t xml:space="preserve">uote success rate by risk band </w:t>
      </w:r>
      <w:r w:rsidR="004C399D" w:rsidRPr="00676F5E">
        <w:t xml:space="preserve">from pre-cyclone pool to </w:t>
      </w:r>
      <w:r w:rsidR="00D95ECE" w:rsidRPr="00676F5E">
        <w:t>January 2025.</w:t>
      </w:r>
      <w:bookmarkEnd w:id="45"/>
      <w:bookmarkEnd w:id="46"/>
      <w:bookmarkEnd w:id="47"/>
    </w:p>
    <w:tbl>
      <w:tblPr>
        <w:tblW w:w="5000" w:type="pct"/>
        <w:tblLook w:val="0720" w:firstRow="1" w:lastRow="0" w:firstColumn="0" w:lastColumn="1" w:noHBand="1" w:noVBand="1"/>
      </w:tblPr>
      <w:tblGrid>
        <w:gridCol w:w="2267"/>
        <w:gridCol w:w="1360"/>
        <w:gridCol w:w="1360"/>
        <w:gridCol w:w="1361"/>
        <w:gridCol w:w="1361"/>
        <w:gridCol w:w="1361"/>
      </w:tblGrid>
      <w:tr w:rsidR="007E4734" w14:paraId="7D800FC9" w14:textId="77777777" w:rsidTr="00131D6D">
        <w:trPr>
          <w:trHeight w:val="270"/>
          <w:tblHeader/>
        </w:trPr>
        <w:tc>
          <w:tcPr>
            <w:tcW w:w="1250" w:type="pct"/>
            <w:shd w:val="clear" w:color="auto" w:fill="E5E5E5"/>
          </w:tcPr>
          <w:p w14:paraId="403552C3" w14:textId="77777777" w:rsidR="00E92ECE" w:rsidRDefault="00E92ECE" w:rsidP="00E92ECE">
            <w:pPr>
              <w:pStyle w:val="TableTextLeft"/>
            </w:pPr>
          </w:p>
        </w:tc>
        <w:tc>
          <w:tcPr>
            <w:tcW w:w="750" w:type="pct"/>
            <w:shd w:val="clear" w:color="auto" w:fill="E5E5E5"/>
          </w:tcPr>
          <w:p w14:paraId="49B62151" w14:textId="77777777" w:rsidR="00E92ECE" w:rsidRDefault="00E92ECE" w:rsidP="00E92ECE">
            <w:pPr>
              <w:pStyle w:val="TableTextLeft"/>
              <w:rPr>
                <w:b/>
                <w:bCs/>
              </w:rPr>
            </w:pPr>
            <w:r>
              <w:rPr>
                <w:b/>
                <w:bCs/>
              </w:rPr>
              <w:t xml:space="preserve">Lowest cyclone risk </w:t>
            </w:r>
          </w:p>
          <w:p w14:paraId="58B4E020" w14:textId="7A0CF5A6" w:rsidR="00E92ECE" w:rsidRPr="001C57EA" w:rsidRDefault="003C4274" w:rsidP="00E92ECE">
            <w:pPr>
              <w:pStyle w:val="TableTextLeft"/>
              <w:rPr>
                <w:b/>
                <w:bCs/>
              </w:rPr>
            </w:pPr>
            <w:r>
              <w:rPr>
                <w:b/>
                <w:bCs/>
              </w:rPr>
              <w:t>b</w:t>
            </w:r>
            <w:r w:rsidR="00E92ECE">
              <w:rPr>
                <w:b/>
                <w:bCs/>
              </w:rPr>
              <w:t xml:space="preserve">and </w:t>
            </w:r>
            <w:r w:rsidR="00E92ECE" w:rsidRPr="001C57EA">
              <w:rPr>
                <w:b/>
                <w:bCs/>
              </w:rPr>
              <w:t>B-</w:t>
            </w:r>
            <w:r w:rsidR="00E92ECE" w:rsidRPr="001C57EA" w:rsidDel="00E736EF">
              <w:rPr>
                <w:b/>
                <w:bCs/>
              </w:rPr>
              <w:t>F</w:t>
            </w:r>
          </w:p>
        </w:tc>
        <w:tc>
          <w:tcPr>
            <w:tcW w:w="750" w:type="pct"/>
            <w:shd w:val="clear" w:color="auto" w:fill="E5E5E5"/>
          </w:tcPr>
          <w:p w14:paraId="229DB1E1" w14:textId="77777777" w:rsidR="00E92ECE" w:rsidRDefault="00E92ECE" w:rsidP="00E92ECE">
            <w:pPr>
              <w:pStyle w:val="TableTextLeft"/>
              <w:rPr>
                <w:b/>
                <w:bCs/>
              </w:rPr>
            </w:pPr>
          </w:p>
          <w:p w14:paraId="16BDD7B0" w14:textId="77777777" w:rsidR="00E92ECE" w:rsidRDefault="00E92ECE" w:rsidP="00E92ECE">
            <w:pPr>
              <w:pStyle w:val="TableTextLeft"/>
              <w:rPr>
                <w:b/>
                <w:bCs/>
              </w:rPr>
            </w:pPr>
          </w:p>
          <w:p w14:paraId="2E070AEF" w14:textId="7A9B5C72" w:rsidR="00E92ECE" w:rsidRPr="001C57EA" w:rsidRDefault="003C4274" w:rsidP="00E92ECE">
            <w:pPr>
              <w:pStyle w:val="TableTextLeft"/>
              <w:rPr>
                <w:b/>
                <w:bCs/>
              </w:rPr>
            </w:pPr>
            <w:r>
              <w:rPr>
                <w:b/>
                <w:bCs/>
              </w:rPr>
              <w:t>b</w:t>
            </w:r>
            <w:r w:rsidR="00E92ECE">
              <w:rPr>
                <w:b/>
                <w:bCs/>
              </w:rPr>
              <w:t xml:space="preserve">and </w:t>
            </w:r>
            <w:r w:rsidR="00E92ECE" w:rsidRPr="001C57EA">
              <w:rPr>
                <w:b/>
                <w:bCs/>
              </w:rPr>
              <w:t>G-</w:t>
            </w:r>
            <w:r w:rsidR="00E92ECE" w:rsidRPr="001C57EA" w:rsidDel="00E736EF">
              <w:rPr>
                <w:b/>
                <w:bCs/>
              </w:rPr>
              <w:t>K</w:t>
            </w:r>
          </w:p>
        </w:tc>
        <w:tc>
          <w:tcPr>
            <w:tcW w:w="750" w:type="pct"/>
            <w:shd w:val="clear" w:color="auto" w:fill="E5E5E5"/>
          </w:tcPr>
          <w:p w14:paraId="7B520A1A" w14:textId="77777777" w:rsidR="00E92ECE" w:rsidRDefault="00E92ECE" w:rsidP="00E92ECE">
            <w:pPr>
              <w:pStyle w:val="TableTextLeft"/>
              <w:rPr>
                <w:b/>
                <w:bCs/>
              </w:rPr>
            </w:pPr>
          </w:p>
          <w:p w14:paraId="155A72AC" w14:textId="77777777" w:rsidR="00E92ECE" w:rsidRDefault="00E92ECE" w:rsidP="00E92ECE">
            <w:pPr>
              <w:pStyle w:val="TableTextLeft"/>
              <w:rPr>
                <w:b/>
                <w:bCs/>
              </w:rPr>
            </w:pPr>
          </w:p>
          <w:p w14:paraId="5F3B4E76" w14:textId="0A31424E" w:rsidR="00E92ECE" w:rsidRPr="001C57EA" w:rsidRDefault="003C4274" w:rsidP="00E92ECE">
            <w:pPr>
              <w:pStyle w:val="TableTextLeft"/>
              <w:rPr>
                <w:b/>
                <w:bCs/>
              </w:rPr>
            </w:pPr>
            <w:r>
              <w:rPr>
                <w:b/>
                <w:bCs/>
              </w:rPr>
              <w:t>b</w:t>
            </w:r>
            <w:r w:rsidR="00E92ECE">
              <w:rPr>
                <w:b/>
                <w:bCs/>
              </w:rPr>
              <w:t xml:space="preserve">and </w:t>
            </w:r>
            <w:r w:rsidR="00E92ECE" w:rsidRPr="001C57EA">
              <w:rPr>
                <w:b/>
                <w:bCs/>
              </w:rPr>
              <w:t>L-</w:t>
            </w:r>
            <w:r w:rsidR="00E92ECE" w:rsidRPr="001C57EA" w:rsidDel="00E736EF">
              <w:rPr>
                <w:b/>
                <w:bCs/>
              </w:rPr>
              <w:t>P</w:t>
            </w:r>
          </w:p>
        </w:tc>
        <w:tc>
          <w:tcPr>
            <w:tcW w:w="750" w:type="pct"/>
            <w:shd w:val="clear" w:color="auto" w:fill="E5E5E5"/>
          </w:tcPr>
          <w:p w14:paraId="4274616A" w14:textId="77777777" w:rsidR="00E92ECE" w:rsidRDefault="00E92ECE" w:rsidP="00E92ECE">
            <w:pPr>
              <w:pStyle w:val="TableTextLeft"/>
              <w:rPr>
                <w:b/>
                <w:bCs/>
              </w:rPr>
            </w:pPr>
            <w:r>
              <w:rPr>
                <w:b/>
                <w:bCs/>
                <w:noProof/>
              </w:rPr>
              <mc:AlternateContent>
                <mc:Choice Requires="wps">
                  <w:drawing>
                    <wp:anchor distT="0" distB="0" distL="114300" distR="114300" simplePos="0" relativeHeight="251658242" behindDoc="0" locked="0" layoutInCell="1" allowOverlap="1" wp14:anchorId="6E6C387B" wp14:editId="4C590847">
                      <wp:simplePos x="0" y="0"/>
                      <wp:positionH relativeFrom="column">
                        <wp:posOffset>-1640840</wp:posOffset>
                      </wp:positionH>
                      <wp:positionV relativeFrom="paragraph">
                        <wp:posOffset>186055</wp:posOffset>
                      </wp:positionV>
                      <wp:extent cx="2292350" cy="6350"/>
                      <wp:effectExtent l="0" t="76200" r="12700" b="88900"/>
                      <wp:wrapNone/>
                      <wp:docPr id="148914588"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2923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F5AD28" id="Straight Arrow Connector 1" o:spid="_x0000_s1026" type="#_x0000_t32" alt="&quot;&quot;" style="position:absolute;margin-left:-129.2pt;margin-top:14.65pt;width:180.5pt;height:.5pt;flip:y;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" strokecolor="#293545 [3044]">
                      <v:stroke endarrow="block"/>
                    </v:shape>
                  </w:pict>
                </mc:Fallback>
              </mc:AlternateContent>
            </w:r>
          </w:p>
          <w:p w14:paraId="05C9F2AF" w14:textId="77777777" w:rsidR="00E92ECE" w:rsidRDefault="00E92ECE" w:rsidP="00E92ECE">
            <w:pPr>
              <w:pStyle w:val="TableTextLeft"/>
              <w:rPr>
                <w:b/>
                <w:bCs/>
              </w:rPr>
            </w:pPr>
          </w:p>
          <w:p w14:paraId="013DE454" w14:textId="63D9B8F0" w:rsidR="00E92ECE" w:rsidRPr="001C57EA" w:rsidRDefault="003C4274" w:rsidP="00E92ECE">
            <w:pPr>
              <w:pStyle w:val="TableTextLeft"/>
              <w:rPr>
                <w:b/>
                <w:bCs/>
              </w:rPr>
            </w:pPr>
            <w:r>
              <w:rPr>
                <w:b/>
                <w:bCs/>
              </w:rPr>
              <w:t>b</w:t>
            </w:r>
            <w:r w:rsidR="00E92ECE">
              <w:rPr>
                <w:b/>
                <w:bCs/>
              </w:rPr>
              <w:t xml:space="preserve">and </w:t>
            </w:r>
            <w:r w:rsidR="00E92ECE" w:rsidRPr="001C57EA">
              <w:rPr>
                <w:b/>
                <w:bCs/>
              </w:rPr>
              <w:t>Q-</w:t>
            </w:r>
            <w:r w:rsidR="00E92ECE" w:rsidRPr="001C57EA" w:rsidDel="00E736EF">
              <w:rPr>
                <w:b/>
                <w:bCs/>
              </w:rPr>
              <w:t>S</w:t>
            </w:r>
          </w:p>
        </w:tc>
        <w:tc>
          <w:tcPr>
            <w:tcW w:w="750" w:type="pct"/>
            <w:shd w:val="clear" w:color="auto" w:fill="E5E5E5"/>
          </w:tcPr>
          <w:p w14:paraId="0D871868" w14:textId="77777777" w:rsidR="00E92ECE" w:rsidRDefault="00E92ECE" w:rsidP="00E92ECE">
            <w:pPr>
              <w:pStyle w:val="TableTextLeft"/>
              <w:rPr>
                <w:b/>
                <w:bCs/>
              </w:rPr>
            </w:pPr>
            <w:r>
              <w:rPr>
                <w:b/>
                <w:bCs/>
              </w:rPr>
              <w:t xml:space="preserve">Highest cyclone risk </w:t>
            </w:r>
          </w:p>
          <w:p w14:paraId="3E6D2DBA" w14:textId="070DFF97" w:rsidR="00E92ECE" w:rsidRPr="001C57EA" w:rsidRDefault="003C4274" w:rsidP="00E92ECE">
            <w:pPr>
              <w:pStyle w:val="TableTextLeft"/>
              <w:rPr>
                <w:b/>
                <w:bCs/>
              </w:rPr>
            </w:pPr>
            <w:r>
              <w:rPr>
                <w:b/>
                <w:bCs/>
              </w:rPr>
              <w:t>b</w:t>
            </w:r>
            <w:r w:rsidR="00E92ECE">
              <w:rPr>
                <w:b/>
                <w:bCs/>
              </w:rPr>
              <w:t xml:space="preserve">and </w:t>
            </w:r>
            <w:r w:rsidR="00E92ECE" w:rsidRPr="001C57EA">
              <w:rPr>
                <w:b/>
                <w:bCs/>
              </w:rPr>
              <w:t>T-</w:t>
            </w:r>
            <w:r w:rsidR="00E92ECE" w:rsidRPr="001C57EA" w:rsidDel="00E736EF">
              <w:rPr>
                <w:b/>
                <w:bCs/>
              </w:rPr>
              <w:t>W</w:t>
            </w:r>
          </w:p>
        </w:tc>
      </w:tr>
      <w:tr w:rsidR="006A0A44" w14:paraId="7CE24A57" w14:textId="77777777" w:rsidTr="00C6022B">
        <w:trPr>
          <w:trHeight w:val="270"/>
        </w:trPr>
        <w:tc>
          <w:tcPr>
            <w:tcW w:w="1250" w:type="pct"/>
          </w:tcPr>
          <w:p w14:paraId="34EA87CF" w14:textId="6363A38E" w:rsidR="006A0A44" w:rsidRPr="001C57EA" w:rsidRDefault="00E01486">
            <w:pPr>
              <w:pStyle w:val="TableTextLeft"/>
              <w:rPr>
                <w:b/>
                <w:bCs/>
              </w:rPr>
            </w:pPr>
            <w:r>
              <w:rPr>
                <w:b/>
                <w:bCs/>
              </w:rPr>
              <w:t>Quote success rate p</w:t>
            </w:r>
            <w:r w:rsidR="00D95ECE">
              <w:rPr>
                <w:b/>
                <w:bCs/>
              </w:rPr>
              <w:t xml:space="preserve">ercentage point change </w:t>
            </w:r>
            <w:r>
              <w:rPr>
                <w:b/>
                <w:bCs/>
              </w:rPr>
              <w:t>from pre-cyclone pool to Jan 2025</w:t>
            </w:r>
          </w:p>
        </w:tc>
        <w:tc>
          <w:tcPr>
            <w:tcW w:w="750" w:type="pct"/>
          </w:tcPr>
          <w:p w14:paraId="74ED1515" w14:textId="44BCD914" w:rsidR="006A0A44" w:rsidRDefault="009D284F">
            <w:pPr>
              <w:pStyle w:val="TableTextLeft"/>
            </w:pPr>
            <w:r>
              <w:t>3</w:t>
            </w:r>
          </w:p>
          <w:p w14:paraId="2468D85B" w14:textId="6482B0FE" w:rsidR="008E1B59" w:rsidRDefault="008E1B59">
            <w:pPr>
              <w:pStyle w:val="TableTextLeft"/>
            </w:pPr>
          </w:p>
        </w:tc>
        <w:tc>
          <w:tcPr>
            <w:tcW w:w="750" w:type="pct"/>
          </w:tcPr>
          <w:p w14:paraId="6603A95D" w14:textId="2F544D48" w:rsidR="006A0A44" w:rsidRDefault="009D284F">
            <w:pPr>
              <w:pStyle w:val="TableTextLeft"/>
            </w:pPr>
            <w:r>
              <w:t>5</w:t>
            </w:r>
            <w:r w:rsidR="008E1B59">
              <w:t xml:space="preserve"> </w:t>
            </w:r>
          </w:p>
          <w:p w14:paraId="6540F1D3" w14:textId="4337F863" w:rsidR="008E1B59" w:rsidRDefault="008E1B59">
            <w:pPr>
              <w:pStyle w:val="TableTextLeft"/>
            </w:pPr>
          </w:p>
        </w:tc>
        <w:tc>
          <w:tcPr>
            <w:tcW w:w="750" w:type="pct"/>
          </w:tcPr>
          <w:p w14:paraId="0438B104" w14:textId="5268178B" w:rsidR="006A0A44" w:rsidRDefault="0040409A">
            <w:pPr>
              <w:pStyle w:val="TableTextLeft"/>
            </w:pPr>
            <w:r>
              <w:t>15</w:t>
            </w:r>
          </w:p>
          <w:p w14:paraId="078A1288" w14:textId="5F741C24" w:rsidR="008E1B59" w:rsidRDefault="008E1B59">
            <w:pPr>
              <w:pStyle w:val="TableTextLeft"/>
            </w:pPr>
          </w:p>
        </w:tc>
        <w:tc>
          <w:tcPr>
            <w:tcW w:w="750" w:type="pct"/>
          </w:tcPr>
          <w:p w14:paraId="56F5ADF1" w14:textId="46E6A72D" w:rsidR="006A0A44" w:rsidRDefault="0040409A">
            <w:pPr>
              <w:pStyle w:val="TableTextLeft"/>
            </w:pPr>
            <w:r>
              <w:t>17</w:t>
            </w:r>
          </w:p>
        </w:tc>
        <w:tc>
          <w:tcPr>
            <w:tcW w:w="750" w:type="pct"/>
          </w:tcPr>
          <w:p w14:paraId="2A1EDBC8" w14:textId="66CF4A5A" w:rsidR="006A0A44" w:rsidRDefault="0040409A">
            <w:pPr>
              <w:pStyle w:val="TableTextLeft"/>
            </w:pPr>
            <w:r>
              <w:t>18</w:t>
            </w:r>
          </w:p>
        </w:tc>
      </w:tr>
    </w:tbl>
    <w:p w14:paraId="1FCFA5E1" w14:textId="2F4250F8" w:rsidR="00F052DD" w:rsidRPr="00612804" w:rsidRDefault="003E51C9" w:rsidP="00D22F13">
      <w:r w:rsidRPr="008A51CD">
        <w:t>Source:</w:t>
      </w:r>
      <w:r>
        <w:t xml:space="preserve"> ARPC</w:t>
      </w:r>
      <w:r w:rsidR="004A6D19">
        <w:t>,</w:t>
      </w:r>
      <w:r>
        <w:t xml:space="preserve"> Cyclone Reinsurance Pool Premium Assessment 2025</w:t>
      </w:r>
      <w:r w:rsidR="0059473E">
        <w:t xml:space="preserve"> (</w:t>
      </w:r>
      <w:r>
        <w:t>page 7</w:t>
      </w:r>
      <w:r w:rsidR="0059473E">
        <w:t>) based on quote data provided by Finity Consulting</w:t>
      </w:r>
      <w:r>
        <w:t xml:space="preserve">. </w:t>
      </w:r>
      <w:hyperlink r:id="rId28" w:history="1">
        <w:r w:rsidR="0059473E" w:rsidRPr="002470C1">
          <w:rPr>
            <w:rStyle w:val="Hyperlink"/>
          </w:rPr>
          <w:t>ARPC website</w:t>
        </w:r>
      </w:hyperlink>
      <w:r w:rsidR="0059473E" w:rsidRPr="002470C1">
        <w:t>.</w:t>
      </w:r>
    </w:p>
    <w:p w14:paraId="5A4D6CA7" w14:textId="13D31395" w:rsidR="00986F38" w:rsidRDefault="00986F38" w:rsidP="00D22F13">
      <w:pPr>
        <w:rPr>
          <w:i/>
          <w:iCs/>
        </w:rPr>
      </w:pPr>
      <w:r w:rsidRPr="001F2A6C">
        <w:rPr>
          <w:i/>
          <w:iCs/>
        </w:rPr>
        <w:t xml:space="preserve">SME </w:t>
      </w:r>
      <w:r w:rsidR="00CD3B4E">
        <w:rPr>
          <w:i/>
          <w:iCs/>
        </w:rPr>
        <w:t>buildin</w:t>
      </w:r>
      <w:r w:rsidR="00CF1A97">
        <w:rPr>
          <w:i/>
          <w:iCs/>
        </w:rPr>
        <w:t>g</w:t>
      </w:r>
      <w:r w:rsidR="00264E1B">
        <w:rPr>
          <w:i/>
          <w:iCs/>
        </w:rPr>
        <w:t>s</w:t>
      </w:r>
      <w:r w:rsidR="00CD3B4E">
        <w:rPr>
          <w:i/>
          <w:iCs/>
        </w:rPr>
        <w:t xml:space="preserve"> and contents </w:t>
      </w:r>
      <w:r w:rsidRPr="001F2A6C">
        <w:rPr>
          <w:i/>
          <w:iCs/>
        </w:rPr>
        <w:t xml:space="preserve">policies </w:t>
      </w:r>
    </w:p>
    <w:p w14:paraId="3A9D7697" w14:textId="01A1A215" w:rsidR="00986F38" w:rsidRDefault="00A702CB" w:rsidP="00D22F13">
      <w:r>
        <w:t>From pre-pool to January 2025, t</w:t>
      </w:r>
      <w:r w:rsidR="00357D8A">
        <w:t>he</w:t>
      </w:r>
      <w:r w:rsidR="005F30D7">
        <w:t xml:space="preserve"> report finds</w:t>
      </w:r>
      <w:r w:rsidR="00357D8A">
        <w:t xml:space="preserve"> significant reductions</w:t>
      </w:r>
      <w:r w:rsidR="009102D5">
        <w:t xml:space="preserve"> across the highest risk bands for SME buildings and contents cover</w:t>
      </w:r>
      <w:r w:rsidR="001A3AC6">
        <w:t xml:space="preserve"> and an increase for the lowest risk band</w:t>
      </w:r>
      <w:r w:rsidR="000A0833">
        <w:t>s</w:t>
      </w:r>
      <w:r w:rsidR="001A3AC6">
        <w:t>.</w:t>
      </w:r>
      <w:r w:rsidR="00AB2257" w:rsidRPr="00FD15CB">
        <w:rPr>
          <w:rStyle w:val="FootnoteReference"/>
          <w:sz w:val="22"/>
          <w:szCs w:val="22"/>
        </w:rPr>
        <w:footnoteReference w:id="23"/>
      </w:r>
      <w:r w:rsidR="00535059" w:rsidRPr="00494AE4">
        <w:rPr>
          <w:szCs w:val="22"/>
        </w:rPr>
        <w:t xml:space="preserve"> </w:t>
      </w:r>
      <w:r w:rsidR="00535059">
        <w:t xml:space="preserve">This is shown in Table </w:t>
      </w:r>
      <w:r w:rsidR="007C458A">
        <w:t>5</w:t>
      </w:r>
      <w:r w:rsidR="00535059">
        <w:t xml:space="preserve">. </w:t>
      </w:r>
    </w:p>
    <w:p w14:paraId="22BE60D1" w14:textId="2F56A573" w:rsidR="00D41D35" w:rsidRPr="00676F5E" w:rsidRDefault="00D41D35" w:rsidP="00676F5E">
      <w:pPr>
        <w:pStyle w:val="TableMainHeading"/>
      </w:pPr>
      <w:bookmarkStart w:id="48" w:name="_Toc207898460"/>
      <w:bookmarkStart w:id="49" w:name="_Toc209703732"/>
      <w:bookmarkStart w:id="50" w:name="_Toc210055982"/>
      <w:r w:rsidRPr="00676F5E">
        <w:t xml:space="preserve">Table </w:t>
      </w:r>
      <w:r w:rsidR="007C458A" w:rsidRPr="00676F5E">
        <w:t>5</w:t>
      </w:r>
      <w:r w:rsidRPr="00676F5E">
        <w:t xml:space="preserve">: Change in average </w:t>
      </w:r>
      <w:r w:rsidR="009B320B" w:rsidRPr="00676F5E">
        <w:t xml:space="preserve">quoted </w:t>
      </w:r>
      <w:r w:rsidRPr="00676F5E">
        <w:t>SME (Buildings and Contents) premium</w:t>
      </w:r>
      <w:r w:rsidR="00285F69" w:rsidRPr="00676F5E">
        <w:t>s</w:t>
      </w:r>
      <w:r w:rsidRPr="00676F5E">
        <w:t xml:space="preserve"> by risk band from pre-cyclone pool to </w:t>
      </w:r>
      <w:r w:rsidR="007F26F4" w:rsidRPr="00676F5E">
        <w:t>January 2025.</w:t>
      </w:r>
      <w:bookmarkEnd w:id="48"/>
      <w:bookmarkEnd w:id="49"/>
      <w:bookmarkEnd w:id="50"/>
      <w:r w:rsidR="007F26F4" w:rsidRPr="00676F5E">
        <w:t xml:space="preserve"> </w:t>
      </w:r>
    </w:p>
    <w:tbl>
      <w:tblPr>
        <w:tblW w:w="5000" w:type="pct"/>
        <w:tblLook w:val="0720" w:firstRow="1" w:lastRow="0" w:firstColumn="0" w:lastColumn="1" w:noHBand="1" w:noVBand="1"/>
      </w:tblPr>
      <w:tblGrid>
        <w:gridCol w:w="2415"/>
        <w:gridCol w:w="1332"/>
        <w:gridCol w:w="1331"/>
        <w:gridCol w:w="1331"/>
        <w:gridCol w:w="1331"/>
        <w:gridCol w:w="1330"/>
      </w:tblGrid>
      <w:tr w:rsidR="007E4734" w14:paraId="0E50FCCE" w14:textId="77777777" w:rsidTr="00131D6D">
        <w:trPr>
          <w:trHeight w:val="270"/>
          <w:tblHeader/>
        </w:trPr>
        <w:tc>
          <w:tcPr>
            <w:tcW w:w="1331" w:type="pct"/>
            <w:shd w:val="clear" w:color="auto" w:fill="E5E5E5"/>
          </w:tcPr>
          <w:p w14:paraId="7B6F613B" w14:textId="77777777" w:rsidR="00E92ECE" w:rsidRDefault="00E92ECE" w:rsidP="00E92ECE">
            <w:pPr>
              <w:pStyle w:val="TableTextLeft"/>
            </w:pPr>
          </w:p>
        </w:tc>
        <w:tc>
          <w:tcPr>
            <w:tcW w:w="734" w:type="pct"/>
            <w:shd w:val="clear" w:color="auto" w:fill="E5E5E5"/>
          </w:tcPr>
          <w:p w14:paraId="06C60DD9" w14:textId="77777777" w:rsidR="00E92ECE" w:rsidRDefault="00E92ECE" w:rsidP="00E92ECE">
            <w:pPr>
              <w:pStyle w:val="TableTextLeft"/>
              <w:rPr>
                <w:b/>
                <w:bCs/>
              </w:rPr>
            </w:pPr>
            <w:r>
              <w:rPr>
                <w:b/>
                <w:bCs/>
              </w:rPr>
              <w:t xml:space="preserve">Lowest cyclone risk </w:t>
            </w:r>
          </w:p>
          <w:p w14:paraId="7AF21861" w14:textId="7FEADE0B" w:rsidR="00E92ECE" w:rsidRPr="001C57EA" w:rsidRDefault="003C4274" w:rsidP="00FD15CB">
            <w:pPr>
              <w:pStyle w:val="TableTextLeft"/>
              <w:rPr>
                <w:b/>
                <w:bCs/>
              </w:rPr>
            </w:pPr>
            <w:r>
              <w:rPr>
                <w:b/>
                <w:bCs/>
              </w:rPr>
              <w:t>b</w:t>
            </w:r>
            <w:r w:rsidR="00E92ECE">
              <w:rPr>
                <w:b/>
                <w:bCs/>
              </w:rPr>
              <w:t xml:space="preserve">and </w:t>
            </w:r>
            <w:r w:rsidR="00E92ECE" w:rsidRPr="001C57EA">
              <w:rPr>
                <w:b/>
                <w:bCs/>
              </w:rPr>
              <w:t>B-</w:t>
            </w:r>
            <w:r w:rsidR="00E92ECE" w:rsidRPr="001C57EA" w:rsidDel="00E96518">
              <w:rPr>
                <w:b/>
                <w:bCs/>
              </w:rPr>
              <w:t>F</w:t>
            </w:r>
          </w:p>
        </w:tc>
        <w:tc>
          <w:tcPr>
            <w:tcW w:w="734" w:type="pct"/>
            <w:shd w:val="clear" w:color="auto" w:fill="E5E5E5"/>
          </w:tcPr>
          <w:p w14:paraId="01698A57" w14:textId="77777777" w:rsidR="00E92ECE" w:rsidRDefault="00E92ECE" w:rsidP="00E92ECE">
            <w:pPr>
              <w:pStyle w:val="TableTextLeft"/>
              <w:rPr>
                <w:b/>
                <w:bCs/>
              </w:rPr>
            </w:pPr>
          </w:p>
          <w:p w14:paraId="48ECDBDC" w14:textId="77777777" w:rsidR="00E92ECE" w:rsidRDefault="00E92ECE" w:rsidP="00E92ECE">
            <w:pPr>
              <w:pStyle w:val="TableTextLeft"/>
              <w:rPr>
                <w:b/>
                <w:bCs/>
              </w:rPr>
            </w:pPr>
          </w:p>
          <w:p w14:paraId="349E3C7F" w14:textId="05BDF74F" w:rsidR="00E92ECE" w:rsidRPr="001C57EA" w:rsidRDefault="003C4274" w:rsidP="00E92ECE">
            <w:pPr>
              <w:pStyle w:val="TableTextLeft"/>
              <w:jc w:val="center"/>
              <w:rPr>
                <w:b/>
                <w:bCs/>
              </w:rPr>
            </w:pPr>
            <w:r>
              <w:rPr>
                <w:b/>
                <w:bCs/>
              </w:rPr>
              <w:t>b</w:t>
            </w:r>
            <w:r w:rsidR="00E92ECE">
              <w:rPr>
                <w:b/>
                <w:bCs/>
              </w:rPr>
              <w:t xml:space="preserve">and </w:t>
            </w:r>
            <w:r w:rsidR="00E92ECE" w:rsidRPr="001C57EA">
              <w:rPr>
                <w:b/>
                <w:bCs/>
              </w:rPr>
              <w:t>G-</w:t>
            </w:r>
            <w:r w:rsidR="00E92ECE" w:rsidRPr="001C57EA" w:rsidDel="00E96518">
              <w:rPr>
                <w:b/>
                <w:bCs/>
              </w:rPr>
              <w:t>K</w:t>
            </w:r>
          </w:p>
        </w:tc>
        <w:tc>
          <w:tcPr>
            <w:tcW w:w="734" w:type="pct"/>
            <w:shd w:val="clear" w:color="auto" w:fill="E5E5E5"/>
          </w:tcPr>
          <w:p w14:paraId="385606F5" w14:textId="77777777" w:rsidR="00E92ECE" w:rsidRDefault="00E92ECE" w:rsidP="00E92ECE">
            <w:pPr>
              <w:pStyle w:val="TableTextLeft"/>
              <w:rPr>
                <w:b/>
                <w:bCs/>
              </w:rPr>
            </w:pPr>
          </w:p>
          <w:p w14:paraId="5755BACC" w14:textId="77777777" w:rsidR="00E92ECE" w:rsidRDefault="00E92ECE" w:rsidP="00E92ECE">
            <w:pPr>
              <w:pStyle w:val="TableTextLeft"/>
              <w:rPr>
                <w:b/>
                <w:bCs/>
              </w:rPr>
            </w:pPr>
          </w:p>
          <w:p w14:paraId="3583A656" w14:textId="2C97E94F" w:rsidR="00E92ECE" w:rsidRPr="001C57EA" w:rsidRDefault="003C4274" w:rsidP="00E92ECE">
            <w:pPr>
              <w:pStyle w:val="TableTextLeft"/>
              <w:jc w:val="center"/>
              <w:rPr>
                <w:b/>
                <w:bCs/>
              </w:rPr>
            </w:pPr>
            <w:r>
              <w:rPr>
                <w:b/>
                <w:bCs/>
              </w:rPr>
              <w:t>b</w:t>
            </w:r>
            <w:r w:rsidR="00E92ECE">
              <w:rPr>
                <w:b/>
                <w:bCs/>
              </w:rPr>
              <w:t xml:space="preserve">and </w:t>
            </w:r>
            <w:r w:rsidR="00E92ECE" w:rsidRPr="001C57EA">
              <w:rPr>
                <w:b/>
                <w:bCs/>
              </w:rPr>
              <w:t>L-</w:t>
            </w:r>
            <w:r w:rsidR="00E92ECE" w:rsidRPr="001C57EA" w:rsidDel="00E96518">
              <w:rPr>
                <w:b/>
                <w:bCs/>
              </w:rPr>
              <w:t>P</w:t>
            </w:r>
          </w:p>
        </w:tc>
        <w:tc>
          <w:tcPr>
            <w:tcW w:w="734" w:type="pct"/>
            <w:shd w:val="clear" w:color="auto" w:fill="E5E5E5"/>
          </w:tcPr>
          <w:p w14:paraId="077E0C5E" w14:textId="77777777" w:rsidR="00E92ECE" w:rsidRDefault="00E92ECE" w:rsidP="00E92ECE">
            <w:pPr>
              <w:pStyle w:val="TableTextLeft"/>
              <w:rPr>
                <w:b/>
                <w:bCs/>
              </w:rPr>
            </w:pPr>
            <w:r>
              <w:rPr>
                <w:b/>
                <w:bCs/>
                <w:noProof/>
              </w:rPr>
              <mc:AlternateContent>
                <mc:Choice Requires="wps">
                  <w:drawing>
                    <wp:anchor distT="0" distB="0" distL="114300" distR="114300" simplePos="0" relativeHeight="251658243" behindDoc="0" locked="0" layoutInCell="1" allowOverlap="1" wp14:anchorId="1B6764E4" wp14:editId="11DD5728">
                      <wp:simplePos x="0" y="0"/>
                      <wp:positionH relativeFrom="column">
                        <wp:posOffset>-1640840</wp:posOffset>
                      </wp:positionH>
                      <wp:positionV relativeFrom="paragraph">
                        <wp:posOffset>186055</wp:posOffset>
                      </wp:positionV>
                      <wp:extent cx="2292350" cy="6350"/>
                      <wp:effectExtent l="0" t="76200" r="12700" b="88900"/>
                      <wp:wrapNone/>
                      <wp:docPr id="1536894119"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2923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C9B881" id="Straight Arrow Connector 1" o:spid="_x0000_s1026" type="#_x0000_t32" alt="&quot;&quot;" style="position:absolute;margin-left:-129.2pt;margin-top:14.65pt;width:180.5pt;height:.5pt;flip:y;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" strokecolor="#293545 [3044]">
                      <v:stroke endarrow="block"/>
                    </v:shape>
                  </w:pict>
                </mc:Fallback>
              </mc:AlternateContent>
            </w:r>
          </w:p>
          <w:p w14:paraId="09AD234E" w14:textId="77777777" w:rsidR="00E92ECE" w:rsidRDefault="00E92ECE" w:rsidP="00E92ECE">
            <w:pPr>
              <w:pStyle w:val="TableTextLeft"/>
              <w:rPr>
                <w:b/>
                <w:bCs/>
              </w:rPr>
            </w:pPr>
          </w:p>
          <w:p w14:paraId="1690EEB0" w14:textId="1A8D4F42" w:rsidR="00E92ECE" w:rsidRPr="001C57EA" w:rsidRDefault="003C4274" w:rsidP="00E92ECE">
            <w:pPr>
              <w:pStyle w:val="TableTextLeft"/>
              <w:jc w:val="center"/>
              <w:rPr>
                <w:b/>
                <w:bCs/>
              </w:rPr>
            </w:pPr>
            <w:r>
              <w:rPr>
                <w:b/>
                <w:bCs/>
              </w:rPr>
              <w:t>b</w:t>
            </w:r>
            <w:r w:rsidR="00E92ECE">
              <w:rPr>
                <w:b/>
                <w:bCs/>
              </w:rPr>
              <w:t xml:space="preserve">and </w:t>
            </w:r>
            <w:r w:rsidR="00E92ECE" w:rsidRPr="001C57EA">
              <w:rPr>
                <w:b/>
                <w:bCs/>
              </w:rPr>
              <w:t>Q-</w:t>
            </w:r>
            <w:r w:rsidR="00E92ECE" w:rsidRPr="001C57EA" w:rsidDel="00E96518">
              <w:rPr>
                <w:b/>
                <w:bCs/>
              </w:rPr>
              <w:t>S</w:t>
            </w:r>
          </w:p>
        </w:tc>
        <w:tc>
          <w:tcPr>
            <w:tcW w:w="733" w:type="pct"/>
            <w:shd w:val="clear" w:color="auto" w:fill="E5E5E5"/>
          </w:tcPr>
          <w:p w14:paraId="12E59309" w14:textId="77777777" w:rsidR="00E92ECE" w:rsidRDefault="00E92ECE" w:rsidP="00E92ECE">
            <w:pPr>
              <w:pStyle w:val="TableTextLeft"/>
              <w:rPr>
                <w:b/>
                <w:bCs/>
              </w:rPr>
            </w:pPr>
            <w:r>
              <w:rPr>
                <w:b/>
                <w:bCs/>
              </w:rPr>
              <w:t xml:space="preserve">Highest cyclone risk </w:t>
            </w:r>
          </w:p>
          <w:p w14:paraId="51218751" w14:textId="0566C969" w:rsidR="00E92ECE" w:rsidRPr="001C57EA" w:rsidRDefault="003C4274" w:rsidP="00FD15CB">
            <w:pPr>
              <w:pStyle w:val="TableTextLeft"/>
              <w:rPr>
                <w:b/>
                <w:bCs/>
              </w:rPr>
            </w:pPr>
            <w:r>
              <w:rPr>
                <w:b/>
                <w:bCs/>
              </w:rPr>
              <w:t>b</w:t>
            </w:r>
            <w:r w:rsidR="00E92ECE">
              <w:rPr>
                <w:b/>
                <w:bCs/>
              </w:rPr>
              <w:t xml:space="preserve">and </w:t>
            </w:r>
            <w:r w:rsidR="00E92ECE" w:rsidRPr="001C57EA">
              <w:rPr>
                <w:b/>
                <w:bCs/>
              </w:rPr>
              <w:t>T-</w:t>
            </w:r>
            <w:r w:rsidR="00E92ECE" w:rsidRPr="001C57EA" w:rsidDel="00E96518">
              <w:rPr>
                <w:b/>
                <w:bCs/>
              </w:rPr>
              <w:t>W</w:t>
            </w:r>
          </w:p>
        </w:tc>
      </w:tr>
      <w:tr w:rsidR="00D41D35" w14:paraId="235A17B7" w14:textId="77777777" w:rsidTr="00C6022B">
        <w:trPr>
          <w:trHeight w:val="270"/>
        </w:trPr>
        <w:tc>
          <w:tcPr>
            <w:tcW w:w="1331" w:type="pct"/>
          </w:tcPr>
          <w:p w14:paraId="53FF1E29" w14:textId="05D114E1" w:rsidR="00D41D35" w:rsidRPr="001C57EA" w:rsidRDefault="00E44E79">
            <w:pPr>
              <w:pStyle w:val="TableTextLeft"/>
              <w:rPr>
                <w:b/>
                <w:bCs/>
              </w:rPr>
            </w:pPr>
            <w:r>
              <w:rPr>
                <w:b/>
                <w:bCs/>
              </w:rPr>
              <w:t>Average SME building and contents premium per cent change from pool entry to Jan 2025</w:t>
            </w:r>
          </w:p>
        </w:tc>
        <w:tc>
          <w:tcPr>
            <w:tcW w:w="734" w:type="pct"/>
          </w:tcPr>
          <w:p w14:paraId="7D34F4FD" w14:textId="61B11A2D" w:rsidR="00D41D35" w:rsidRDefault="00D41D35" w:rsidP="00EB5623">
            <w:pPr>
              <w:pStyle w:val="TableTextLeft"/>
              <w:jc w:val="center"/>
            </w:pPr>
            <w:r>
              <w:t>11</w:t>
            </w:r>
          </w:p>
        </w:tc>
        <w:tc>
          <w:tcPr>
            <w:tcW w:w="734" w:type="pct"/>
          </w:tcPr>
          <w:p w14:paraId="73A795E7" w14:textId="506D88AF" w:rsidR="00D41D35" w:rsidRDefault="00D41D35" w:rsidP="00EB5623">
            <w:pPr>
              <w:pStyle w:val="TableTextLeft"/>
              <w:jc w:val="center"/>
            </w:pPr>
            <w:r>
              <w:t>-3</w:t>
            </w:r>
          </w:p>
        </w:tc>
        <w:tc>
          <w:tcPr>
            <w:tcW w:w="734" w:type="pct"/>
          </w:tcPr>
          <w:p w14:paraId="7F2EB2D4" w14:textId="15218575" w:rsidR="00D41D35" w:rsidRDefault="00D41D35" w:rsidP="00EB5623">
            <w:pPr>
              <w:pStyle w:val="TableTextLeft"/>
              <w:jc w:val="center"/>
            </w:pPr>
            <w:r>
              <w:t>-13</w:t>
            </w:r>
          </w:p>
        </w:tc>
        <w:tc>
          <w:tcPr>
            <w:tcW w:w="734" w:type="pct"/>
          </w:tcPr>
          <w:p w14:paraId="3D8F6F38" w14:textId="420991DA" w:rsidR="00D41D35" w:rsidRDefault="00D41D35" w:rsidP="00EB5623">
            <w:pPr>
              <w:pStyle w:val="TableTextLeft"/>
              <w:jc w:val="center"/>
            </w:pPr>
            <w:r>
              <w:t>-20</w:t>
            </w:r>
          </w:p>
        </w:tc>
        <w:tc>
          <w:tcPr>
            <w:tcW w:w="733" w:type="pct"/>
          </w:tcPr>
          <w:p w14:paraId="42AA8917" w14:textId="042D2274" w:rsidR="00D41D35" w:rsidRDefault="00D41D35" w:rsidP="00EB5623">
            <w:pPr>
              <w:pStyle w:val="TableTextLeft"/>
              <w:jc w:val="center"/>
            </w:pPr>
            <w:r>
              <w:t>-31</w:t>
            </w:r>
          </w:p>
        </w:tc>
      </w:tr>
    </w:tbl>
    <w:p w14:paraId="26A1EDFE" w14:textId="51488618" w:rsidR="00EB5623" w:rsidRPr="00612804" w:rsidRDefault="00EB5623" w:rsidP="00EB5623">
      <w:r w:rsidRPr="008A51CD">
        <w:t>Source:</w:t>
      </w:r>
      <w:r>
        <w:t xml:space="preserve"> ARPC</w:t>
      </w:r>
      <w:r w:rsidR="004A6D19">
        <w:t>,</w:t>
      </w:r>
      <w:r>
        <w:t xml:space="preserve"> Cyclone Reinsurance Pool Premium Assessment 2025</w:t>
      </w:r>
      <w:r w:rsidR="0059473E">
        <w:t xml:space="preserve"> (</w:t>
      </w:r>
      <w:r>
        <w:t>page 8</w:t>
      </w:r>
      <w:r w:rsidR="0059473E">
        <w:t>) based on quote data provided by Finity Consulting</w:t>
      </w:r>
      <w:r>
        <w:t xml:space="preserve">. </w:t>
      </w:r>
      <w:hyperlink r:id="rId29" w:history="1">
        <w:r w:rsidR="0059473E" w:rsidRPr="002470C1">
          <w:rPr>
            <w:rStyle w:val="Hyperlink"/>
          </w:rPr>
          <w:t>ARPC website</w:t>
        </w:r>
      </w:hyperlink>
      <w:r w:rsidR="0059473E" w:rsidRPr="002470C1">
        <w:t>.</w:t>
      </w:r>
    </w:p>
    <w:p w14:paraId="1F9D77B6" w14:textId="7C7C2C76" w:rsidR="00CF1A97" w:rsidRPr="001F2A6C" w:rsidRDefault="00CF1A97" w:rsidP="002806F6">
      <w:pPr>
        <w:keepNext/>
        <w:rPr>
          <w:i/>
          <w:iCs/>
        </w:rPr>
      </w:pPr>
      <w:r w:rsidRPr="001F2A6C">
        <w:rPr>
          <w:i/>
          <w:iCs/>
        </w:rPr>
        <w:t xml:space="preserve">Business Interruption </w:t>
      </w:r>
    </w:p>
    <w:p w14:paraId="3E37D184" w14:textId="64CB4D69" w:rsidR="007D5460" w:rsidRDefault="00E9721F" w:rsidP="00D22F13">
      <w:r>
        <w:t xml:space="preserve">From pre-pool to January 2025, </w:t>
      </w:r>
      <w:r w:rsidR="0082769C">
        <w:t>a</w:t>
      </w:r>
      <w:r w:rsidR="00756C9F">
        <w:t xml:space="preserve">verage business interruption premiums </w:t>
      </w:r>
      <w:r w:rsidR="009E3E97">
        <w:t>were higher than pre</w:t>
      </w:r>
      <w:r w:rsidR="005D1B75">
        <w:t>-</w:t>
      </w:r>
      <w:r w:rsidR="0040443A">
        <w:t xml:space="preserve"> cyclone </w:t>
      </w:r>
      <w:r w:rsidR="009E3E97">
        <w:t>pool premiums for all risk bands</w:t>
      </w:r>
      <w:r w:rsidR="00AB55DE">
        <w:t>, with a 33 per cent increase for the highest risk bands.</w:t>
      </w:r>
      <w:r w:rsidR="000B0CB7" w:rsidRPr="00FD15CB">
        <w:rPr>
          <w:rStyle w:val="FootnoteReference"/>
          <w:sz w:val="22"/>
          <w:szCs w:val="22"/>
        </w:rPr>
        <w:footnoteReference w:id="24"/>
      </w:r>
      <w:r w:rsidR="00535059">
        <w:t xml:space="preserve"> This is shown in Table </w:t>
      </w:r>
      <w:r w:rsidR="007C458A">
        <w:t>6</w:t>
      </w:r>
      <w:r w:rsidR="00535059">
        <w:t xml:space="preserve">. </w:t>
      </w:r>
    </w:p>
    <w:p w14:paraId="11203F77" w14:textId="76A22EED" w:rsidR="00535059" w:rsidRPr="00676F5E" w:rsidRDefault="00535059" w:rsidP="00676F5E">
      <w:pPr>
        <w:pStyle w:val="TableMainHeading"/>
      </w:pPr>
      <w:bookmarkStart w:id="51" w:name="_Toc207898461"/>
      <w:bookmarkStart w:id="52" w:name="_Toc209703733"/>
      <w:bookmarkStart w:id="53" w:name="_Toc210055983"/>
      <w:r w:rsidRPr="00676F5E">
        <w:t xml:space="preserve">Table </w:t>
      </w:r>
      <w:r w:rsidR="007C458A" w:rsidRPr="00676F5E">
        <w:t>6</w:t>
      </w:r>
      <w:r w:rsidRPr="00676F5E">
        <w:t xml:space="preserve">: </w:t>
      </w:r>
      <w:r w:rsidR="0014411B" w:rsidRPr="00676F5E">
        <w:t xml:space="preserve">Change in average </w:t>
      </w:r>
      <w:r w:rsidR="009B320B" w:rsidRPr="00676F5E">
        <w:t xml:space="preserve">quoted </w:t>
      </w:r>
      <w:r w:rsidR="0014411B" w:rsidRPr="00676F5E">
        <w:t>SME (Business Interruption) premium</w:t>
      </w:r>
      <w:r w:rsidR="00285F69" w:rsidRPr="00676F5E">
        <w:t>s</w:t>
      </w:r>
      <w:r w:rsidR="0014411B" w:rsidRPr="00676F5E">
        <w:t xml:space="preserve"> by risk band from pre-cyclone pool to </w:t>
      </w:r>
      <w:r w:rsidR="00F424D2" w:rsidRPr="00676F5E">
        <w:t>January 2025.</w:t>
      </w:r>
      <w:bookmarkEnd w:id="51"/>
      <w:bookmarkEnd w:id="52"/>
      <w:bookmarkEnd w:id="53"/>
      <w:r w:rsidR="00F424D2" w:rsidRPr="00676F5E">
        <w:t xml:space="preserve"> </w:t>
      </w:r>
    </w:p>
    <w:tbl>
      <w:tblPr>
        <w:tblW w:w="4955" w:type="pct"/>
        <w:tblLook w:val="0720" w:firstRow="1" w:lastRow="0" w:firstColumn="0" w:lastColumn="1" w:noHBand="1" w:noVBand="1"/>
      </w:tblPr>
      <w:tblGrid>
        <w:gridCol w:w="3388"/>
        <w:gridCol w:w="1866"/>
        <w:gridCol w:w="1868"/>
        <w:gridCol w:w="1866"/>
      </w:tblGrid>
      <w:tr w:rsidR="00C14646" w14:paraId="61519037" w14:textId="77777777" w:rsidTr="00C6022B">
        <w:trPr>
          <w:trHeight w:val="20"/>
          <w:tblHeader/>
        </w:trPr>
        <w:tc>
          <w:tcPr>
            <w:tcW w:w="1885" w:type="pct"/>
            <w:shd w:val="clear" w:color="auto" w:fill="E5E5E5"/>
          </w:tcPr>
          <w:p w14:paraId="7B1B8BDD" w14:textId="77777777" w:rsidR="0014411B" w:rsidRDefault="0014411B">
            <w:pPr>
              <w:pStyle w:val="TableTextLeft"/>
            </w:pPr>
          </w:p>
        </w:tc>
        <w:tc>
          <w:tcPr>
            <w:tcW w:w="1038" w:type="pct"/>
            <w:shd w:val="clear" w:color="auto" w:fill="E5E5E5"/>
          </w:tcPr>
          <w:p w14:paraId="148F1FED" w14:textId="3D5CB555" w:rsidR="002F35D5" w:rsidRDefault="00E44E79" w:rsidP="00FD15CB">
            <w:pPr>
              <w:pStyle w:val="TableTextLeft"/>
              <w:rPr>
                <w:b/>
                <w:bCs/>
              </w:rPr>
            </w:pPr>
            <w:r>
              <w:rPr>
                <w:b/>
                <w:bCs/>
              </w:rPr>
              <w:t>Lowest cyclone risk band</w:t>
            </w:r>
          </w:p>
          <w:p w14:paraId="6AD18B6D" w14:textId="0DF53F6E" w:rsidR="0014411B" w:rsidRPr="001C57EA" w:rsidRDefault="0014411B" w:rsidP="00FD15CB">
            <w:pPr>
              <w:pStyle w:val="TableTextLeft"/>
              <w:rPr>
                <w:b/>
                <w:bCs/>
              </w:rPr>
            </w:pPr>
            <w:r w:rsidRPr="001C57EA">
              <w:rPr>
                <w:b/>
                <w:bCs/>
              </w:rPr>
              <w:t>N-P</w:t>
            </w:r>
          </w:p>
        </w:tc>
        <w:tc>
          <w:tcPr>
            <w:tcW w:w="1039" w:type="pct"/>
            <w:shd w:val="clear" w:color="auto" w:fill="E5E5E5"/>
          </w:tcPr>
          <w:p w14:paraId="6D714BFF" w14:textId="02DB76E2" w:rsidR="002F35D5" w:rsidRDefault="00E44E79">
            <w:pPr>
              <w:pStyle w:val="TableTextLeft"/>
              <w:jc w:val="center"/>
              <w:rPr>
                <w:b/>
                <w:bCs/>
              </w:rPr>
            </w:pPr>
            <w:r>
              <w:rPr>
                <w:b/>
                <w:bCs/>
                <w:noProof/>
              </w:rPr>
              <mc:AlternateContent>
                <mc:Choice Requires="wps">
                  <w:drawing>
                    <wp:anchor distT="0" distB="0" distL="114300" distR="114300" simplePos="0" relativeHeight="251658244" behindDoc="0" locked="0" layoutInCell="1" allowOverlap="1" wp14:anchorId="386C7ECA" wp14:editId="68E81843">
                      <wp:simplePos x="0" y="0"/>
                      <wp:positionH relativeFrom="column">
                        <wp:posOffset>-87863</wp:posOffset>
                      </wp:positionH>
                      <wp:positionV relativeFrom="paragraph">
                        <wp:posOffset>156560</wp:posOffset>
                      </wp:positionV>
                      <wp:extent cx="1063690" cy="6220"/>
                      <wp:effectExtent l="0" t="76200" r="22225" b="89535"/>
                      <wp:wrapNone/>
                      <wp:docPr id="1085446976"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063690" cy="62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59969C" id="Straight Arrow Connector 3" o:spid="_x0000_s1026" type="#_x0000_t32" alt="&quot;&quot;" style="position:absolute;margin-left:-6.9pt;margin-top:12.35pt;width:83.75pt;height:.5pt;flip:y;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" strokecolor="#293545 [3044]">
                      <v:stroke endarrow="block"/>
                    </v:shape>
                  </w:pict>
                </mc:Fallback>
              </mc:AlternateContent>
            </w:r>
          </w:p>
          <w:p w14:paraId="03DDD842" w14:textId="77777777" w:rsidR="00E44E79" w:rsidRDefault="00E44E79">
            <w:pPr>
              <w:pStyle w:val="TableTextLeft"/>
              <w:jc w:val="center"/>
              <w:rPr>
                <w:b/>
                <w:bCs/>
              </w:rPr>
            </w:pPr>
          </w:p>
          <w:p w14:paraId="03DED567" w14:textId="211A2A84" w:rsidR="0014411B" w:rsidRPr="001C57EA" w:rsidRDefault="0014411B">
            <w:pPr>
              <w:pStyle w:val="TableTextLeft"/>
              <w:jc w:val="center"/>
              <w:rPr>
                <w:b/>
                <w:bCs/>
              </w:rPr>
            </w:pPr>
            <w:r w:rsidRPr="001C57EA">
              <w:rPr>
                <w:b/>
                <w:bCs/>
              </w:rPr>
              <w:t>Q-S</w:t>
            </w:r>
          </w:p>
        </w:tc>
        <w:tc>
          <w:tcPr>
            <w:tcW w:w="1038" w:type="pct"/>
            <w:shd w:val="clear" w:color="auto" w:fill="E5E5E5"/>
          </w:tcPr>
          <w:p w14:paraId="600F9CAD" w14:textId="1F3FEB8C" w:rsidR="002F35D5" w:rsidRDefault="00E44E79" w:rsidP="00FD15CB">
            <w:pPr>
              <w:pStyle w:val="TableTextLeft"/>
              <w:rPr>
                <w:b/>
                <w:bCs/>
              </w:rPr>
            </w:pPr>
            <w:r>
              <w:rPr>
                <w:b/>
                <w:bCs/>
              </w:rPr>
              <w:t>Highest cyclone risk band</w:t>
            </w:r>
          </w:p>
          <w:p w14:paraId="16AD8D30" w14:textId="0B88571F" w:rsidR="0014411B" w:rsidRPr="001C57EA" w:rsidRDefault="0014411B" w:rsidP="00FD15CB">
            <w:pPr>
              <w:pStyle w:val="TableTextLeft"/>
              <w:rPr>
                <w:b/>
                <w:bCs/>
              </w:rPr>
            </w:pPr>
            <w:r w:rsidRPr="001C57EA">
              <w:rPr>
                <w:b/>
                <w:bCs/>
              </w:rPr>
              <w:t>T-W</w:t>
            </w:r>
          </w:p>
        </w:tc>
      </w:tr>
      <w:tr w:rsidR="0014411B" w14:paraId="5DD7DFAC" w14:textId="77777777" w:rsidTr="00C6022B">
        <w:trPr>
          <w:trHeight w:val="350"/>
        </w:trPr>
        <w:tc>
          <w:tcPr>
            <w:tcW w:w="1885" w:type="pct"/>
          </w:tcPr>
          <w:p w14:paraId="1116716A" w14:textId="30EF6253" w:rsidR="0014411B" w:rsidRPr="001C57EA" w:rsidRDefault="00C72C33">
            <w:pPr>
              <w:pStyle w:val="TableTextLeft"/>
              <w:rPr>
                <w:b/>
                <w:bCs/>
              </w:rPr>
            </w:pPr>
            <w:r>
              <w:rPr>
                <w:b/>
                <w:bCs/>
              </w:rPr>
              <w:t xml:space="preserve">Average SME Business Interruption </w:t>
            </w:r>
            <w:r w:rsidR="00EA37C3">
              <w:rPr>
                <w:b/>
                <w:bCs/>
              </w:rPr>
              <w:t xml:space="preserve">premium per cent change </w:t>
            </w:r>
            <w:r w:rsidR="002C24F4">
              <w:rPr>
                <w:b/>
                <w:bCs/>
              </w:rPr>
              <w:t xml:space="preserve">from pool entry to Jan </w:t>
            </w:r>
            <w:r w:rsidR="00AC7DFC">
              <w:rPr>
                <w:b/>
                <w:bCs/>
              </w:rPr>
              <w:t>20</w:t>
            </w:r>
            <w:r w:rsidR="002C24F4">
              <w:rPr>
                <w:b/>
                <w:bCs/>
              </w:rPr>
              <w:t>25</w:t>
            </w:r>
            <w:r w:rsidR="0014411B" w:rsidRPr="001C57EA">
              <w:rPr>
                <w:b/>
                <w:bCs/>
              </w:rPr>
              <w:t xml:space="preserve"> </w:t>
            </w:r>
          </w:p>
        </w:tc>
        <w:tc>
          <w:tcPr>
            <w:tcW w:w="1038" w:type="pct"/>
          </w:tcPr>
          <w:p w14:paraId="2509A469" w14:textId="1435D624" w:rsidR="0014411B" w:rsidRDefault="0014411B">
            <w:pPr>
              <w:pStyle w:val="TableTextLeft"/>
              <w:jc w:val="center"/>
            </w:pPr>
            <w:r>
              <w:t>39</w:t>
            </w:r>
          </w:p>
        </w:tc>
        <w:tc>
          <w:tcPr>
            <w:tcW w:w="1039" w:type="pct"/>
          </w:tcPr>
          <w:p w14:paraId="7DF50CC2" w14:textId="6AA6A110" w:rsidR="0014411B" w:rsidRDefault="0014411B">
            <w:pPr>
              <w:pStyle w:val="TableTextLeft"/>
              <w:jc w:val="center"/>
            </w:pPr>
            <w:r>
              <w:t>47</w:t>
            </w:r>
          </w:p>
        </w:tc>
        <w:tc>
          <w:tcPr>
            <w:tcW w:w="1038" w:type="pct"/>
          </w:tcPr>
          <w:p w14:paraId="3CF76CA8" w14:textId="4CD87BDB" w:rsidR="0014411B" w:rsidRDefault="0014411B">
            <w:pPr>
              <w:pStyle w:val="TableTextLeft"/>
              <w:jc w:val="center"/>
            </w:pPr>
            <w:r>
              <w:t>33</w:t>
            </w:r>
          </w:p>
        </w:tc>
      </w:tr>
    </w:tbl>
    <w:p w14:paraId="0856792B" w14:textId="5DA8AA17" w:rsidR="005976ED" w:rsidRPr="00CD3B4E" w:rsidRDefault="0014411B" w:rsidP="00D22F13">
      <w:r>
        <w:t>Source: ARPC</w:t>
      </w:r>
      <w:r w:rsidR="004A6D19">
        <w:t>,</w:t>
      </w:r>
      <w:r>
        <w:t xml:space="preserve"> Cyclone Reinsurance Pool Premium Assessment 2025</w:t>
      </w:r>
      <w:r w:rsidR="0059473E">
        <w:t xml:space="preserve"> (p</w:t>
      </w:r>
      <w:r>
        <w:t>age 9</w:t>
      </w:r>
      <w:r w:rsidR="0059473E">
        <w:t>) based on quote data provided by Finity Consulting</w:t>
      </w:r>
      <w:r>
        <w:t xml:space="preserve">. </w:t>
      </w:r>
      <w:hyperlink r:id="rId30" w:history="1">
        <w:r w:rsidR="007B2F37" w:rsidRPr="002470C1">
          <w:rPr>
            <w:rStyle w:val="Hyperlink"/>
          </w:rPr>
          <w:t>ARPC website</w:t>
        </w:r>
      </w:hyperlink>
      <w:r w:rsidR="007B2F37" w:rsidRPr="002470C1">
        <w:t>.</w:t>
      </w:r>
      <w:r w:rsidR="007B2F37">
        <w:t xml:space="preserve"> </w:t>
      </w:r>
    </w:p>
    <w:p w14:paraId="5B34AD63" w14:textId="01C34B79" w:rsidR="0039426D" w:rsidRDefault="00F33FD8" w:rsidP="00600A11">
      <w:pPr>
        <w:pStyle w:val="Heading3"/>
      </w:pPr>
      <w:bookmarkStart w:id="54" w:name="_Toc207898462"/>
      <w:bookmarkStart w:id="55" w:name="_Toc210055984"/>
      <w:r>
        <w:t>Risk reduction incentives and mitigation discounts</w:t>
      </w:r>
      <w:bookmarkEnd w:id="54"/>
      <w:bookmarkEnd w:id="55"/>
      <w:r>
        <w:t xml:space="preserve"> </w:t>
      </w:r>
    </w:p>
    <w:p w14:paraId="39E3562B" w14:textId="7A723AC6" w:rsidR="00090984" w:rsidRPr="009855BD" w:rsidRDefault="00997710" w:rsidP="004A029A">
      <w:pPr>
        <w:rPr>
          <w:szCs w:val="22"/>
        </w:rPr>
      </w:pPr>
      <w:r w:rsidRPr="009855BD">
        <w:rPr>
          <w:szCs w:val="22"/>
        </w:rPr>
        <w:t>The Act requires the ARPC to</w:t>
      </w:r>
      <w:r w:rsidR="00AF4A68" w:rsidRPr="009855BD">
        <w:rPr>
          <w:szCs w:val="22"/>
        </w:rPr>
        <w:t xml:space="preserve"> set reinsurance premiums in a way that</w:t>
      </w:r>
      <w:r w:rsidR="004041AA" w:rsidRPr="009855BD">
        <w:rPr>
          <w:szCs w:val="22"/>
        </w:rPr>
        <w:t xml:space="preserve"> maintain</w:t>
      </w:r>
      <w:r w:rsidR="00AF4A68" w:rsidRPr="009855BD">
        <w:rPr>
          <w:szCs w:val="22"/>
        </w:rPr>
        <w:t>s</w:t>
      </w:r>
      <w:r w:rsidR="004041AA" w:rsidRPr="009855BD">
        <w:rPr>
          <w:szCs w:val="22"/>
        </w:rPr>
        <w:t xml:space="preserve"> incentives </w:t>
      </w:r>
      <w:r w:rsidR="00AF4A68" w:rsidRPr="009855BD">
        <w:rPr>
          <w:szCs w:val="22"/>
        </w:rPr>
        <w:t xml:space="preserve">to reduce and mitigate the risk of eligible cyclone losses </w:t>
      </w:r>
      <w:r w:rsidR="004041AA" w:rsidRPr="009855BD">
        <w:rPr>
          <w:szCs w:val="22"/>
        </w:rPr>
        <w:t>for medium to high levels of exposure to eligible cyclone losses</w:t>
      </w:r>
      <w:r w:rsidR="00090984" w:rsidRPr="009855BD">
        <w:rPr>
          <w:szCs w:val="22"/>
        </w:rPr>
        <w:t>.</w:t>
      </w:r>
      <w:r w:rsidR="00C82540">
        <w:rPr>
          <w:rStyle w:val="FootnoteReference"/>
          <w:szCs w:val="22"/>
        </w:rPr>
        <w:footnoteReference w:id="25"/>
      </w:r>
      <w:r w:rsidR="004041AA" w:rsidRPr="009855BD">
        <w:rPr>
          <w:szCs w:val="22"/>
        </w:rPr>
        <w:t xml:space="preserve"> </w:t>
      </w:r>
    </w:p>
    <w:p w14:paraId="5D0181C0" w14:textId="2A11A756" w:rsidR="00922F28" w:rsidRDefault="001853D3" w:rsidP="0095569E">
      <w:pPr>
        <w:rPr>
          <w:szCs w:val="22"/>
        </w:rPr>
      </w:pPr>
      <w:r w:rsidRPr="009855BD">
        <w:rPr>
          <w:szCs w:val="22"/>
        </w:rPr>
        <w:t>T</w:t>
      </w:r>
      <w:r w:rsidR="00F04FC9" w:rsidRPr="009855BD">
        <w:rPr>
          <w:szCs w:val="22"/>
        </w:rPr>
        <w:t xml:space="preserve">he ARPC’s pricing formula includes incentives for risk reduction and offers discounts on reinsurance premiums for </w:t>
      </w:r>
      <w:r w:rsidR="00282ACC" w:rsidRPr="009855BD">
        <w:rPr>
          <w:szCs w:val="22"/>
        </w:rPr>
        <w:t>home and strata p</w:t>
      </w:r>
      <w:r w:rsidR="00F04FC9" w:rsidRPr="009855BD">
        <w:rPr>
          <w:szCs w:val="22"/>
        </w:rPr>
        <w:t>roperties that have undertaken mitigation</w:t>
      </w:r>
      <w:r w:rsidR="003E3FFC" w:rsidRPr="009855BD">
        <w:rPr>
          <w:szCs w:val="22"/>
        </w:rPr>
        <w:t>.</w:t>
      </w:r>
      <w:r w:rsidR="00090984" w:rsidRPr="009855BD">
        <w:rPr>
          <w:szCs w:val="22"/>
        </w:rPr>
        <w:t xml:space="preserve"> </w:t>
      </w:r>
      <w:r w:rsidR="00EA7B4F" w:rsidRPr="009855BD">
        <w:rPr>
          <w:szCs w:val="22"/>
        </w:rPr>
        <w:t>Insurers may receive discounts on their reinsurance premiums from the cyclone pool if the properties they cover have implemented the recognised mitigants and they report this to the ARPC.</w:t>
      </w:r>
      <w:r w:rsidR="00254FDC" w:rsidRPr="009855BD">
        <w:rPr>
          <w:szCs w:val="22"/>
        </w:rPr>
        <w:t xml:space="preserve"> </w:t>
      </w:r>
      <w:r w:rsidR="0051113F" w:rsidRPr="009855BD">
        <w:rPr>
          <w:szCs w:val="22"/>
        </w:rPr>
        <w:t>The insurer decides how this is then pass</w:t>
      </w:r>
      <w:r w:rsidR="00254FDC" w:rsidRPr="009855BD">
        <w:rPr>
          <w:szCs w:val="22"/>
        </w:rPr>
        <w:t>ed</w:t>
      </w:r>
      <w:r w:rsidR="0051113F" w:rsidRPr="009855BD">
        <w:rPr>
          <w:szCs w:val="22"/>
        </w:rPr>
        <w:t xml:space="preserve"> on in the </w:t>
      </w:r>
      <w:r w:rsidR="007478E1">
        <w:rPr>
          <w:szCs w:val="22"/>
        </w:rPr>
        <w:t>retail premium</w:t>
      </w:r>
      <w:r w:rsidR="0051113F" w:rsidRPr="009855BD">
        <w:rPr>
          <w:szCs w:val="22"/>
        </w:rPr>
        <w:t xml:space="preserve"> they charge the policyholder. </w:t>
      </w:r>
    </w:p>
    <w:p w14:paraId="51CB7EF7" w14:textId="42BDC196" w:rsidR="0040565B" w:rsidRPr="009855BD" w:rsidRDefault="00041C12" w:rsidP="0095569E">
      <w:r w:rsidRPr="7746AF20">
        <w:t>The ARPC implemented mitigation discounts for residential property at inception of the cyclone pool and strata mitigation discounts were announced in 2024</w:t>
      </w:r>
      <w:r w:rsidR="6E69825E" w:rsidRPr="7746AF20">
        <w:t xml:space="preserve"> and</w:t>
      </w:r>
      <w:r w:rsidRPr="7746AF20">
        <w:t xml:space="preserve"> are reflected in the ARPC’s premium rates from 1 </w:t>
      </w:r>
      <w:r w:rsidR="004F3453" w:rsidRPr="7746AF20">
        <w:t>April</w:t>
      </w:r>
      <w:r w:rsidR="004F3453" w:rsidRPr="009855BD">
        <w:rPr>
          <w:szCs w:val="22"/>
        </w:rPr>
        <w:t xml:space="preserve"> </w:t>
      </w:r>
      <w:r w:rsidRPr="7746AF20">
        <w:t xml:space="preserve">2025. </w:t>
      </w:r>
      <w:r w:rsidR="007E01A8">
        <w:t xml:space="preserve">The introduction </w:t>
      </w:r>
      <w:r w:rsidR="00040B93">
        <w:t xml:space="preserve">of premium discounts for SME properties that have undertaken risk mitigation activities will </w:t>
      </w:r>
      <w:r w:rsidR="003C1F10">
        <w:t xml:space="preserve">be the same as those for strata and </w:t>
      </w:r>
      <w:r w:rsidR="00040B93">
        <w:t>apply from 1 April 2026.</w:t>
      </w:r>
      <w:r w:rsidR="00040B93">
        <w:rPr>
          <w:rStyle w:val="FootnoteReference"/>
          <w:szCs w:val="22"/>
        </w:rPr>
        <w:footnoteReference w:id="26"/>
      </w:r>
      <w:r w:rsidR="00040B93">
        <w:t xml:space="preserve"> </w:t>
      </w:r>
      <w:r w:rsidR="00AE4891" w:rsidRPr="7746AF20">
        <w:t>As at 3</w:t>
      </w:r>
      <w:r w:rsidR="002032A6">
        <w:t>1</w:t>
      </w:r>
      <w:r w:rsidR="00AE4891" w:rsidRPr="009855BD" w:rsidDel="00A15A3E">
        <w:rPr>
          <w:szCs w:val="22"/>
        </w:rPr>
        <w:t xml:space="preserve"> </w:t>
      </w:r>
      <w:r w:rsidR="002032A6">
        <w:rPr>
          <w:szCs w:val="22"/>
        </w:rPr>
        <w:t>March</w:t>
      </w:r>
      <w:r w:rsidR="00A15A3E" w:rsidRPr="7746AF20">
        <w:t xml:space="preserve"> </w:t>
      </w:r>
      <w:r w:rsidR="00AE4891" w:rsidRPr="7746AF20">
        <w:t>202</w:t>
      </w:r>
      <w:r w:rsidR="00A15A3E" w:rsidRPr="7746AF20">
        <w:t>5</w:t>
      </w:r>
      <w:r w:rsidR="00AE4891" w:rsidRPr="7746AF20">
        <w:t>, t</w:t>
      </w:r>
      <w:r w:rsidR="00EB7343" w:rsidRPr="7746AF20">
        <w:t>he ARPC has</w:t>
      </w:r>
      <w:r w:rsidR="003104CB" w:rsidRPr="7746AF20">
        <w:t xml:space="preserve"> applied $</w:t>
      </w:r>
      <w:r w:rsidR="002032A6">
        <w:t>7.3</w:t>
      </w:r>
      <w:r w:rsidR="003104CB" w:rsidRPr="7746AF20">
        <w:t xml:space="preserve"> million of </w:t>
      </w:r>
      <w:r w:rsidR="005C53E1" w:rsidRPr="7746AF20">
        <w:t xml:space="preserve">annual discounts to Home properties for property level </w:t>
      </w:r>
      <w:r w:rsidR="003104CB" w:rsidRPr="7746AF20">
        <w:t xml:space="preserve">mitigation </w:t>
      </w:r>
      <w:r w:rsidR="005C53E1" w:rsidRPr="7746AF20">
        <w:t>activities</w:t>
      </w:r>
      <w:r w:rsidR="003104CB" w:rsidRPr="009855BD">
        <w:rPr>
          <w:szCs w:val="22"/>
        </w:rPr>
        <w:t>.</w:t>
      </w:r>
      <w:r w:rsidR="00F52ECE">
        <w:rPr>
          <w:rStyle w:val="FootnoteReference"/>
          <w:szCs w:val="22"/>
        </w:rPr>
        <w:footnoteReference w:id="27"/>
      </w:r>
    </w:p>
    <w:p w14:paraId="4440A568" w14:textId="070745EA" w:rsidR="006E0631" w:rsidRPr="00676F5E" w:rsidRDefault="006E0631" w:rsidP="00676F5E">
      <w:pPr>
        <w:pStyle w:val="TableMainHeading"/>
      </w:pPr>
      <w:bookmarkStart w:id="56" w:name="_Toc207898463"/>
      <w:bookmarkStart w:id="57" w:name="_Toc209703735"/>
      <w:bookmarkStart w:id="58" w:name="_Toc210055985"/>
      <w:r w:rsidRPr="00676F5E">
        <w:t xml:space="preserve">Table </w:t>
      </w:r>
      <w:r w:rsidR="007C458A" w:rsidRPr="00676F5E">
        <w:t>7</w:t>
      </w:r>
      <w:r w:rsidRPr="00676F5E">
        <w:t xml:space="preserve">: </w:t>
      </w:r>
      <w:r w:rsidR="00A760F5" w:rsidRPr="00676F5E">
        <w:t>ARPC</w:t>
      </w:r>
      <w:r w:rsidR="005A5437" w:rsidRPr="00676F5E">
        <w:t xml:space="preserve"> mitigation</w:t>
      </w:r>
      <w:r w:rsidR="00A760F5" w:rsidRPr="00676F5E">
        <w:t xml:space="preserve"> discounts for homes.</w:t>
      </w:r>
      <w:bookmarkEnd w:id="56"/>
      <w:bookmarkEnd w:id="57"/>
      <w:bookmarkEnd w:id="58"/>
      <w:r w:rsidR="00A760F5" w:rsidRPr="00676F5E">
        <w:t xml:space="preserve"> </w:t>
      </w:r>
    </w:p>
    <w:tbl>
      <w:tblPr>
        <w:tblW w:w="5000" w:type="pct"/>
        <w:tblLook w:val="07A0" w:firstRow="1" w:lastRow="0" w:firstColumn="1" w:lastColumn="1" w:noHBand="1" w:noVBand="1"/>
      </w:tblPr>
      <w:tblGrid>
        <w:gridCol w:w="4535"/>
        <w:gridCol w:w="4535"/>
      </w:tblGrid>
      <w:tr w:rsidR="00A760F5" w14:paraId="61EADA62" w14:textId="77777777" w:rsidTr="00A30B54">
        <w:trPr>
          <w:trHeight w:val="348"/>
          <w:tblHeader/>
        </w:trPr>
        <w:tc>
          <w:tcPr>
            <w:tcW w:w="2500" w:type="pct"/>
            <w:shd w:val="clear" w:color="auto" w:fill="E5E5E5"/>
          </w:tcPr>
          <w:p w14:paraId="3A89A98E" w14:textId="1054CB4B" w:rsidR="00A760F5" w:rsidRPr="00A760F5" w:rsidRDefault="00A760F5">
            <w:pPr>
              <w:pStyle w:val="TableTextLeft"/>
              <w:rPr>
                <w:b/>
                <w:bCs/>
              </w:rPr>
            </w:pPr>
            <w:r w:rsidRPr="00A760F5">
              <w:rPr>
                <w:b/>
                <w:bCs/>
              </w:rPr>
              <w:t>Mitigation</w:t>
            </w:r>
          </w:p>
        </w:tc>
        <w:tc>
          <w:tcPr>
            <w:tcW w:w="2500" w:type="pct"/>
            <w:shd w:val="clear" w:color="auto" w:fill="E5E5E5"/>
          </w:tcPr>
          <w:p w14:paraId="4E3A7D0F" w14:textId="63753153" w:rsidR="00A760F5" w:rsidRPr="00A760F5" w:rsidRDefault="00A760F5" w:rsidP="00A760F5">
            <w:pPr>
              <w:pStyle w:val="TableTextLeft"/>
              <w:rPr>
                <w:b/>
                <w:bCs/>
              </w:rPr>
            </w:pPr>
            <w:r w:rsidRPr="00A760F5">
              <w:rPr>
                <w:b/>
                <w:bCs/>
              </w:rPr>
              <w:t>Discount applied to wind component of the cyclone pool premium (per cent)</w:t>
            </w:r>
          </w:p>
        </w:tc>
      </w:tr>
      <w:tr w:rsidR="00A760F5" w14:paraId="0BCE1253" w14:textId="77777777" w:rsidTr="00A30B54">
        <w:trPr>
          <w:trHeight w:val="348"/>
        </w:trPr>
        <w:tc>
          <w:tcPr>
            <w:tcW w:w="2500" w:type="pct"/>
          </w:tcPr>
          <w:p w14:paraId="09C8BF91" w14:textId="57356052" w:rsidR="00A760F5" w:rsidRDefault="00A760F5">
            <w:pPr>
              <w:pStyle w:val="TableTextLeft"/>
            </w:pPr>
            <w:r>
              <w:t xml:space="preserve">New roof  </w:t>
            </w:r>
          </w:p>
        </w:tc>
        <w:tc>
          <w:tcPr>
            <w:tcW w:w="2500" w:type="pct"/>
          </w:tcPr>
          <w:p w14:paraId="7569C89B" w14:textId="3C2F45B6" w:rsidR="00A760F5" w:rsidRDefault="00A760F5" w:rsidP="00A760F5">
            <w:pPr>
              <w:pStyle w:val="TableTextLeft"/>
            </w:pPr>
            <w:r>
              <w:t>30</w:t>
            </w:r>
          </w:p>
        </w:tc>
      </w:tr>
      <w:tr w:rsidR="00A760F5" w14:paraId="5AED8DCC" w14:textId="77777777" w:rsidTr="00A30B54">
        <w:trPr>
          <w:trHeight w:val="348"/>
        </w:trPr>
        <w:tc>
          <w:tcPr>
            <w:tcW w:w="2500" w:type="pct"/>
          </w:tcPr>
          <w:p w14:paraId="7BA1B857" w14:textId="0C90C717" w:rsidR="00A760F5" w:rsidRDefault="00A760F5">
            <w:pPr>
              <w:pStyle w:val="TableTextLeft"/>
            </w:pPr>
            <w:r>
              <w:t>Roof tied down</w:t>
            </w:r>
          </w:p>
        </w:tc>
        <w:tc>
          <w:tcPr>
            <w:tcW w:w="2500" w:type="pct"/>
          </w:tcPr>
          <w:p w14:paraId="0629D8AC" w14:textId="7091FF50" w:rsidR="00A760F5" w:rsidRDefault="00A760F5" w:rsidP="00A760F5">
            <w:pPr>
              <w:pStyle w:val="TableTextLeft"/>
            </w:pPr>
            <w:r>
              <w:t>20</w:t>
            </w:r>
          </w:p>
        </w:tc>
      </w:tr>
      <w:tr w:rsidR="00A760F5" w14:paraId="65A99932" w14:textId="77777777" w:rsidTr="00A30B54">
        <w:trPr>
          <w:trHeight w:val="348"/>
        </w:trPr>
        <w:tc>
          <w:tcPr>
            <w:tcW w:w="2500" w:type="pct"/>
          </w:tcPr>
          <w:p w14:paraId="66659EE1" w14:textId="56AE7BBE" w:rsidR="00A760F5" w:rsidRDefault="00A760F5">
            <w:pPr>
              <w:pStyle w:val="TableTextLeft"/>
            </w:pPr>
            <w:r>
              <w:t xml:space="preserve">Roller door braced </w:t>
            </w:r>
          </w:p>
        </w:tc>
        <w:tc>
          <w:tcPr>
            <w:tcW w:w="2500" w:type="pct"/>
          </w:tcPr>
          <w:p w14:paraId="638CFA6C" w14:textId="2C903175" w:rsidR="00A760F5" w:rsidRDefault="00A760F5" w:rsidP="00A760F5">
            <w:pPr>
              <w:pStyle w:val="TableTextLeft"/>
            </w:pPr>
            <w:r>
              <w:t>8</w:t>
            </w:r>
          </w:p>
        </w:tc>
      </w:tr>
      <w:tr w:rsidR="00A760F5" w14:paraId="1C651F63" w14:textId="77777777" w:rsidTr="00A30B54">
        <w:trPr>
          <w:trHeight w:val="348"/>
        </w:trPr>
        <w:tc>
          <w:tcPr>
            <w:tcW w:w="2500" w:type="pct"/>
          </w:tcPr>
          <w:p w14:paraId="5D97A5E8" w14:textId="48C31BA2" w:rsidR="00A760F5" w:rsidRDefault="00A760F5">
            <w:pPr>
              <w:pStyle w:val="TableTextLeft"/>
            </w:pPr>
            <w:r>
              <w:t xml:space="preserve">Window protection </w:t>
            </w:r>
          </w:p>
        </w:tc>
        <w:tc>
          <w:tcPr>
            <w:tcW w:w="2500" w:type="pct"/>
          </w:tcPr>
          <w:p w14:paraId="1DC4A7C6" w14:textId="642BC94E" w:rsidR="00A760F5" w:rsidRDefault="000B2D54" w:rsidP="00A760F5">
            <w:pPr>
              <w:pStyle w:val="TableTextLeft"/>
            </w:pPr>
            <w:r>
              <w:t xml:space="preserve">10 </w:t>
            </w:r>
          </w:p>
        </w:tc>
      </w:tr>
    </w:tbl>
    <w:p w14:paraId="4AA39E43" w14:textId="73AE8275" w:rsidR="00E5148E" w:rsidRDefault="004F07D9" w:rsidP="00C70C51">
      <w:pPr>
        <w:rPr>
          <w:b/>
          <w:bCs/>
        </w:rPr>
      </w:pPr>
      <w:r w:rsidRPr="004F07D9">
        <w:rPr>
          <w:szCs w:val="22"/>
        </w:rPr>
        <w:t xml:space="preserve">Source: ARPC, Cyclone pool – consumers. </w:t>
      </w:r>
      <w:hyperlink r:id="rId31" w:history="1">
        <w:r w:rsidRPr="004F07D9">
          <w:rPr>
            <w:rStyle w:val="Hyperlink"/>
            <w:szCs w:val="22"/>
          </w:rPr>
          <w:t>ARPC website</w:t>
        </w:r>
      </w:hyperlink>
      <w:r w:rsidRPr="004F07D9">
        <w:rPr>
          <w:szCs w:val="22"/>
        </w:rPr>
        <w:t>.</w:t>
      </w:r>
    </w:p>
    <w:p w14:paraId="6F6D5BC5" w14:textId="54D59C88" w:rsidR="00C70C51" w:rsidRPr="00676F5E" w:rsidRDefault="005A5437" w:rsidP="00676F5E">
      <w:pPr>
        <w:pStyle w:val="TableMainHeading"/>
      </w:pPr>
      <w:bookmarkStart w:id="59" w:name="_Toc207898464"/>
      <w:bookmarkStart w:id="60" w:name="_Toc209703736"/>
      <w:bookmarkStart w:id="61" w:name="_Toc210055986"/>
      <w:r w:rsidRPr="00676F5E">
        <w:t xml:space="preserve">Table </w:t>
      </w:r>
      <w:r w:rsidR="007C458A" w:rsidRPr="00676F5E">
        <w:t>8</w:t>
      </w:r>
      <w:r w:rsidRPr="00676F5E">
        <w:t>: ARPC mitigation discounts for strata</w:t>
      </w:r>
      <w:r w:rsidR="00676F5E" w:rsidRPr="00676F5E">
        <w:t>.</w:t>
      </w:r>
      <w:bookmarkEnd w:id="59"/>
      <w:bookmarkEnd w:id="60"/>
      <w:bookmarkEnd w:id="61"/>
      <w:r w:rsidRPr="00676F5E">
        <w:t xml:space="preserve"> </w:t>
      </w:r>
    </w:p>
    <w:tbl>
      <w:tblPr>
        <w:tblW w:w="5000" w:type="pct"/>
        <w:tblLook w:val="07A0" w:firstRow="1" w:lastRow="0" w:firstColumn="1" w:lastColumn="1" w:noHBand="1" w:noVBand="1"/>
      </w:tblPr>
      <w:tblGrid>
        <w:gridCol w:w="4535"/>
        <w:gridCol w:w="4535"/>
      </w:tblGrid>
      <w:tr w:rsidR="00366417" w14:paraId="4783F1D4" w14:textId="77777777" w:rsidTr="00A30B54">
        <w:trPr>
          <w:trHeight w:val="348"/>
          <w:tblHeader/>
        </w:trPr>
        <w:tc>
          <w:tcPr>
            <w:tcW w:w="2500" w:type="pct"/>
            <w:shd w:val="clear" w:color="auto" w:fill="E5E5E5"/>
          </w:tcPr>
          <w:p w14:paraId="16F87109" w14:textId="77777777" w:rsidR="00366417" w:rsidRPr="00A760F5" w:rsidRDefault="00366417" w:rsidP="002806F6">
            <w:pPr>
              <w:pStyle w:val="TableTextLeft"/>
              <w:keepNext/>
              <w:rPr>
                <w:b/>
                <w:bCs/>
              </w:rPr>
            </w:pPr>
            <w:r w:rsidRPr="00A760F5">
              <w:rPr>
                <w:b/>
                <w:bCs/>
              </w:rPr>
              <w:t>Mitigation</w:t>
            </w:r>
          </w:p>
        </w:tc>
        <w:tc>
          <w:tcPr>
            <w:tcW w:w="2500" w:type="pct"/>
            <w:shd w:val="clear" w:color="auto" w:fill="E5E5E5"/>
          </w:tcPr>
          <w:p w14:paraId="541512ED" w14:textId="77777777" w:rsidR="00366417" w:rsidRPr="00A760F5" w:rsidRDefault="00366417" w:rsidP="002806F6">
            <w:pPr>
              <w:pStyle w:val="TableTextLeft"/>
              <w:keepNext/>
              <w:rPr>
                <w:b/>
                <w:bCs/>
              </w:rPr>
            </w:pPr>
            <w:r w:rsidRPr="00A760F5">
              <w:rPr>
                <w:b/>
                <w:bCs/>
              </w:rPr>
              <w:t>Discount applied to wind component of the cyclone pool premium (per cent)</w:t>
            </w:r>
          </w:p>
        </w:tc>
      </w:tr>
      <w:tr w:rsidR="00366417" w14:paraId="671D9E0D" w14:textId="77777777" w:rsidTr="00A30B54">
        <w:trPr>
          <w:trHeight w:val="348"/>
        </w:trPr>
        <w:tc>
          <w:tcPr>
            <w:tcW w:w="2500" w:type="pct"/>
          </w:tcPr>
          <w:p w14:paraId="2BE122CA" w14:textId="52DE51C8" w:rsidR="00366417" w:rsidRDefault="00932717" w:rsidP="002806F6">
            <w:pPr>
              <w:pStyle w:val="TableTextLeft"/>
              <w:keepNext/>
            </w:pPr>
            <w:r>
              <w:t xml:space="preserve">Roof mitigation – full retrofit </w:t>
            </w:r>
            <w:r w:rsidR="00366417">
              <w:t xml:space="preserve">  </w:t>
            </w:r>
          </w:p>
        </w:tc>
        <w:tc>
          <w:tcPr>
            <w:tcW w:w="2500" w:type="pct"/>
          </w:tcPr>
          <w:p w14:paraId="770071E0" w14:textId="7BD4F932" w:rsidR="00366417" w:rsidRDefault="00932717" w:rsidP="002806F6">
            <w:pPr>
              <w:pStyle w:val="TableTextLeft"/>
              <w:keepNext/>
            </w:pPr>
            <w:r>
              <w:t>10</w:t>
            </w:r>
          </w:p>
        </w:tc>
      </w:tr>
      <w:tr w:rsidR="00366417" w14:paraId="0A8AC33A" w14:textId="77777777" w:rsidTr="00A30B54">
        <w:trPr>
          <w:trHeight w:val="348"/>
        </w:trPr>
        <w:tc>
          <w:tcPr>
            <w:tcW w:w="2500" w:type="pct"/>
          </w:tcPr>
          <w:p w14:paraId="76454657" w14:textId="6B1FF003" w:rsidR="00366417" w:rsidRDefault="00932717" w:rsidP="002806F6">
            <w:pPr>
              <w:pStyle w:val="TableTextLeft"/>
              <w:keepNext/>
            </w:pPr>
            <w:r>
              <w:t xml:space="preserve">Window protection – permanent protection </w:t>
            </w:r>
          </w:p>
        </w:tc>
        <w:tc>
          <w:tcPr>
            <w:tcW w:w="2500" w:type="pct"/>
          </w:tcPr>
          <w:p w14:paraId="5AA86DD7" w14:textId="66844DAA" w:rsidR="00366417" w:rsidRDefault="00932717" w:rsidP="002806F6">
            <w:pPr>
              <w:pStyle w:val="TableTextLeft"/>
              <w:keepNext/>
            </w:pPr>
            <w:r>
              <w:t xml:space="preserve">3 </w:t>
            </w:r>
          </w:p>
        </w:tc>
      </w:tr>
      <w:tr w:rsidR="00366417" w14:paraId="4A7B2406" w14:textId="77777777" w:rsidTr="00A30B54">
        <w:trPr>
          <w:trHeight w:val="348"/>
        </w:trPr>
        <w:tc>
          <w:tcPr>
            <w:tcW w:w="2500" w:type="pct"/>
          </w:tcPr>
          <w:p w14:paraId="08702DB0" w14:textId="05959AE8" w:rsidR="00366417" w:rsidRDefault="00932717" w:rsidP="002806F6">
            <w:pPr>
              <w:pStyle w:val="TableTextLeft"/>
              <w:keepNext/>
            </w:pPr>
            <w:r>
              <w:t xml:space="preserve">External doors – cyclone resilient </w:t>
            </w:r>
          </w:p>
        </w:tc>
        <w:tc>
          <w:tcPr>
            <w:tcW w:w="2500" w:type="pct"/>
          </w:tcPr>
          <w:p w14:paraId="52957375" w14:textId="23135635" w:rsidR="00366417" w:rsidRDefault="00591BE5" w:rsidP="002806F6">
            <w:pPr>
              <w:pStyle w:val="TableTextLeft"/>
              <w:keepNext/>
            </w:pPr>
            <w:r>
              <w:t>3</w:t>
            </w:r>
          </w:p>
        </w:tc>
      </w:tr>
      <w:tr w:rsidR="00366417" w14:paraId="4C3F8C12" w14:textId="77777777" w:rsidTr="00A30B54">
        <w:trPr>
          <w:trHeight w:val="348"/>
        </w:trPr>
        <w:tc>
          <w:tcPr>
            <w:tcW w:w="2500" w:type="pct"/>
          </w:tcPr>
          <w:p w14:paraId="7121CFD2" w14:textId="4050DA9C" w:rsidR="00366417" w:rsidRDefault="00932717" w:rsidP="002806F6">
            <w:pPr>
              <w:pStyle w:val="TableTextLeft"/>
              <w:keepNext/>
            </w:pPr>
            <w:r>
              <w:t xml:space="preserve">Vehicle access doors – compliant with current standards on low rise buildings </w:t>
            </w:r>
          </w:p>
        </w:tc>
        <w:tc>
          <w:tcPr>
            <w:tcW w:w="2500" w:type="pct"/>
          </w:tcPr>
          <w:p w14:paraId="392E9CBB" w14:textId="3D8E9AFE" w:rsidR="00366417" w:rsidRDefault="004A69E6" w:rsidP="002806F6">
            <w:pPr>
              <w:pStyle w:val="TableTextLeft"/>
              <w:keepNext/>
            </w:pPr>
            <w:r>
              <w:t>3</w:t>
            </w:r>
          </w:p>
        </w:tc>
      </w:tr>
      <w:tr w:rsidR="00932717" w14:paraId="4DA2746A" w14:textId="77777777" w:rsidTr="00A30B54">
        <w:trPr>
          <w:trHeight w:val="348"/>
        </w:trPr>
        <w:tc>
          <w:tcPr>
            <w:tcW w:w="2500" w:type="pct"/>
          </w:tcPr>
          <w:p w14:paraId="199E172C" w14:textId="2EB3DBBE" w:rsidR="00932717" w:rsidRDefault="004A69E6" w:rsidP="002806F6">
            <w:pPr>
              <w:pStyle w:val="TableTextLeft"/>
              <w:keepNext/>
            </w:pPr>
            <w:r>
              <w:t xml:space="preserve">Gutter overflows – installed for boxed eaves and gutters </w:t>
            </w:r>
          </w:p>
        </w:tc>
        <w:tc>
          <w:tcPr>
            <w:tcW w:w="2500" w:type="pct"/>
          </w:tcPr>
          <w:p w14:paraId="60EBB598" w14:textId="36C5AB8C" w:rsidR="00932717" w:rsidRDefault="004A69E6" w:rsidP="002806F6">
            <w:pPr>
              <w:pStyle w:val="TableTextLeft"/>
              <w:keepNext/>
            </w:pPr>
            <w:r>
              <w:t>3</w:t>
            </w:r>
          </w:p>
        </w:tc>
      </w:tr>
    </w:tbl>
    <w:p w14:paraId="0EBB3702" w14:textId="397E9DF0" w:rsidR="00E5148E" w:rsidRDefault="00E5148E" w:rsidP="0095569E">
      <w:pPr>
        <w:rPr>
          <w:b/>
          <w:bCs/>
        </w:rPr>
      </w:pPr>
      <w:r>
        <w:t xml:space="preserve">Source: ARPC, Cyclone pool – consumers. </w:t>
      </w:r>
      <w:hyperlink r:id="rId32" w:history="1">
        <w:r w:rsidRPr="007B2F37">
          <w:rPr>
            <w:rStyle w:val="Hyperlink"/>
          </w:rPr>
          <w:t>ARPC website</w:t>
        </w:r>
      </w:hyperlink>
      <w:r>
        <w:t>.</w:t>
      </w:r>
    </w:p>
    <w:p w14:paraId="0F84315C" w14:textId="77777777" w:rsidR="00120A99" w:rsidRDefault="00120A99">
      <w:pPr>
        <w:spacing w:before="0" w:after="160" w:line="259" w:lineRule="auto"/>
        <w:rPr>
          <w:rFonts w:ascii="Calibri" w:hAnsi="Calibri" w:cs="Arial"/>
          <w:color w:val="4D7861" w:themeColor="accent2"/>
          <w:kern w:val="32"/>
          <w:sz w:val="26"/>
          <w:szCs w:val="26"/>
        </w:rPr>
      </w:pPr>
      <w:bookmarkStart w:id="62" w:name="_Toc207898465"/>
      <w:r>
        <w:br w:type="page"/>
      </w:r>
    </w:p>
    <w:p w14:paraId="61D3575F" w14:textId="2ACECF26" w:rsidR="00F14723" w:rsidRPr="00676F5E" w:rsidRDefault="004A69E6" w:rsidP="00676F5E">
      <w:pPr>
        <w:pStyle w:val="TableMainHeading"/>
      </w:pPr>
      <w:bookmarkStart w:id="63" w:name="_Toc209703737"/>
      <w:bookmarkStart w:id="64" w:name="_Toc210055987"/>
      <w:r w:rsidRPr="00676F5E">
        <w:t>T</w:t>
      </w:r>
      <w:r w:rsidR="00554F5D" w:rsidRPr="00676F5E">
        <w:t xml:space="preserve">able </w:t>
      </w:r>
      <w:r w:rsidR="007C458A" w:rsidRPr="00676F5E">
        <w:t>9</w:t>
      </w:r>
      <w:r w:rsidR="00554F5D" w:rsidRPr="00676F5E">
        <w:t>: P</w:t>
      </w:r>
      <w:r w:rsidR="005D2D95" w:rsidRPr="00676F5E">
        <w:t>rop</w:t>
      </w:r>
      <w:r w:rsidR="008A3FF7" w:rsidRPr="00676F5E">
        <w:t xml:space="preserve">ortion </w:t>
      </w:r>
      <w:r w:rsidR="00164AD9" w:rsidRPr="00676F5E">
        <w:t xml:space="preserve">(per cent) </w:t>
      </w:r>
      <w:r w:rsidR="008A3FF7" w:rsidRPr="00676F5E">
        <w:t>of Buildings in the cyclone pool eligible for mitigation discount by region</w:t>
      </w:r>
      <w:r w:rsidR="003D6EE5" w:rsidRPr="00676F5E">
        <w:t xml:space="preserve"> </w:t>
      </w:r>
      <w:r w:rsidR="008A3FF7" w:rsidRPr="00676F5E">
        <w:t>as at 3</w:t>
      </w:r>
      <w:r w:rsidR="007B7203">
        <w:t>1</w:t>
      </w:r>
      <w:r w:rsidR="008A3FF7" w:rsidRPr="00676F5E" w:rsidDel="003D6EE5">
        <w:t xml:space="preserve"> </w:t>
      </w:r>
      <w:r w:rsidR="007B7203">
        <w:t>March</w:t>
      </w:r>
      <w:r w:rsidR="003D6EE5" w:rsidRPr="00676F5E">
        <w:t xml:space="preserve"> </w:t>
      </w:r>
      <w:r w:rsidR="008A3FF7" w:rsidRPr="00676F5E">
        <w:t>202</w:t>
      </w:r>
      <w:r w:rsidR="003D6EE5" w:rsidRPr="00676F5E">
        <w:t>5</w:t>
      </w:r>
      <w:r w:rsidR="00554F5D" w:rsidRPr="00676F5E">
        <w:t>.</w:t>
      </w:r>
      <w:bookmarkEnd w:id="62"/>
      <w:bookmarkEnd w:id="63"/>
      <w:bookmarkEnd w:id="64"/>
      <w:r w:rsidR="00554F5D" w:rsidRPr="00676F5E">
        <w:t xml:space="preserve"> </w:t>
      </w:r>
    </w:p>
    <w:tbl>
      <w:tblPr>
        <w:tblW w:w="5000" w:type="pct"/>
        <w:tblLook w:val="07E0" w:firstRow="1" w:lastRow="1" w:firstColumn="1" w:lastColumn="1" w:noHBand="1" w:noVBand="1"/>
      </w:tblPr>
      <w:tblGrid>
        <w:gridCol w:w="1513"/>
        <w:gridCol w:w="1513"/>
        <w:gridCol w:w="1513"/>
        <w:gridCol w:w="1513"/>
        <w:gridCol w:w="1511"/>
        <w:gridCol w:w="1507"/>
      </w:tblGrid>
      <w:tr w:rsidR="007C3268" w14:paraId="55E2F92A" w14:textId="468813D9" w:rsidTr="00A30B54">
        <w:trPr>
          <w:trHeight w:val="348"/>
          <w:tblHeader/>
        </w:trPr>
        <w:tc>
          <w:tcPr>
            <w:tcW w:w="834" w:type="pct"/>
            <w:shd w:val="clear" w:color="auto" w:fill="E5E5E5"/>
          </w:tcPr>
          <w:p w14:paraId="038CB002" w14:textId="48F3A4DF" w:rsidR="007C3268" w:rsidRPr="00A760F5" w:rsidRDefault="007C3268">
            <w:pPr>
              <w:pStyle w:val="TableTextLeft"/>
              <w:rPr>
                <w:b/>
                <w:bCs/>
              </w:rPr>
            </w:pPr>
            <w:r>
              <w:rPr>
                <w:b/>
                <w:bCs/>
              </w:rPr>
              <w:t>Region</w:t>
            </w:r>
          </w:p>
        </w:tc>
        <w:tc>
          <w:tcPr>
            <w:tcW w:w="834" w:type="pct"/>
            <w:shd w:val="clear" w:color="auto" w:fill="E5E5E5"/>
          </w:tcPr>
          <w:p w14:paraId="4748FB71" w14:textId="39C838A9" w:rsidR="007C3268" w:rsidRPr="00A760F5" w:rsidRDefault="007C3268">
            <w:pPr>
              <w:pStyle w:val="TableTextLeft"/>
              <w:rPr>
                <w:b/>
                <w:bCs/>
              </w:rPr>
            </w:pPr>
            <w:r>
              <w:rPr>
                <w:b/>
                <w:bCs/>
              </w:rPr>
              <w:t>Roller door bracing</w:t>
            </w:r>
          </w:p>
        </w:tc>
        <w:tc>
          <w:tcPr>
            <w:tcW w:w="834" w:type="pct"/>
            <w:shd w:val="clear" w:color="auto" w:fill="E5E5E5"/>
          </w:tcPr>
          <w:p w14:paraId="438AEAC4" w14:textId="7148D1CB" w:rsidR="007C3268" w:rsidRDefault="007C3268">
            <w:pPr>
              <w:pStyle w:val="TableTextLeft"/>
              <w:rPr>
                <w:b/>
                <w:bCs/>
              </w:rPr>
            </w:pPr>
            <w:r>
              <w:rPr>
                <w:b/>
                <w:bCs/>
              </w:rPr>
              <w:t>Window protection</w:t>
            </w:r>
          </w:p>
        </w:tc>
        <w:tc>
          <w:tcPr>
            <w:tcW w:w="834" w:type="pct"/>
            <w:shd w:val="clear" w:color="auto" w:fill="E5E5E5"/>
          </w:tcPr>
          <w:p w14:paraId="0C5DCC7D" w14:textId="660C7F7B" w:rsidR="007C3268" w:rsidRDefault="007C3268">
            <w:pPr>
              <w:pStyle w:val="TableTextLeft"/>
              <w:rPr>
                <w:b/>
                <w:bCs/>
              </w:rPr>
            </w:pPr>
            <w:r>
              <w:rPr>
                <w:b/>
                <w:bCs/>
              </w:rPr>
              <w:t xml:space="preserve">Roof tied down </w:t>
            </w:r>
          </w:p>
        </w:tc>
        <w:tc>
          <w:tcPr>
            <w:tcW w:w="833" w:type="pct"/>
            <w:shd w:val="clear" w:color="auto" w:fill="E5E5E5"/>
          </w:tcPr>
          <w:p w14:paraId="1505CC61" w14:textId="3937D657" w:rsidR="007C3268" w:rsidRDefault="007C3268">
            <w:pPr>
              <w:pStyle w:val="TableTextLeft"/>
              <w:rPr>
                <w:b/>
                <w:bCs/>
              </w:rPr>
            </w:pPr>
            <w:r>
              <w:rPr>
                <w:b/>
                <w:bCs/>
              </w:rPr>
              <w:t>New roof</w:t>
            </w:r>
            <w:r w:rsidR="00EF5254">
              <w:rPr>
                <w:b/>
                <w:bCs/>
              </w:rPr>
              <w:t xml:space="preserve"> </w:t>
            </w:r>
          </w:p>
        </w:tc>
        <w:tc>
          <w:tcPr>
            <w:tcW w:w="831" w:type="pct"/>
            <w:shd w:val="clear" w:color="auto" w:fill="E5E5E5"/>
          </w:tcPr>
          <w:p w14:paraId="6D6E5661" w14:textId="24950711" w:rsidR="007C3268" w:rsidRDefault="007C3268">
            <w:pPr>
              <w:pStyle w:val="TableTextLeft"/>
              <w:rPr>
                <w:b/>
                <w:bCs/>
              </w:rPr>
            </w:pPr>
            <w:r>
              <w:rPr>
                <w:b/>
                <w:bCs/>
              </w:rPr>
              <w:t xml:space="preserve">Ground floor elevated &gt; 1m </w:t>
            </w:r>
          </w:p>
        </w:tc>
      </w:tr>
      <w:tr w:rsidR="007C3268" w14:paraId="0E4386A7" w14:textId="7C03B50B" w:rsidTr="00A30B54">
        <w:trPr>
          <w:trHeight w:val="348"/>
        </w:trPr>
        <w:tc>
          <w:tcPr>
            <w:tcW w:w="834" w:type="pct"/>
          </w:tcPr>
          <w:p w14:paraId="7F7D954C" w14:textId="05245389" w:rsidR="007C3268" w:rsidRDefault="007C3268">
            <w:pPr>
              <w:pStyle w:val="TableTextLeft"/>
            </w:pPr>
            <w:r>
              <w:t xml:space="preserve">Northern New South Wales   </w:t>
            </w:r>
          </w:p>
        </w:tc>
        <w:tc>
          <w:tcPr>
            <w:tcW w:w="834" w:type="pct"/>
          </w:tcPr>
          <w:p w14:paraId="0FD58B09" w14:textId="1A4C1CFC" w:rsidR="007C3268" w:rsidRDefault="00164AD9">
            <w:pPr>
              <w:pStyle w:val="TableTextLeft"/>
            </w:pPr>
            <w:r>
              <w:t>0.0</w:t>
            </w:r>
          </w:p>
        </w:tc>
        <w:tc>
          <w:tcPr>
            <w:tcW w:w="834" w:type="pct"/>
          </w:tcPr>
          <w:p w14:paraId="427264E6" w14:textId="4B434C07" w:rsidR="007C3268" w:rsidRDefault="00164AD9">
            <w:pPr>
              <w:pStyle w:val="TableTextLeft"/>
            </w:pPr>
            <w:r>
              <w:t>0.0</w:t>
            </w:r>
          </w:p>
        </w:tc>
        <w:tc>
          <w:tcPr>
            <w:tcW w:w="834" w:type="pct"/>
          </w:tcPr>
          <w:p w14:paraId="1DCB57C5" w14:textId="41A51933" w:rsidR="007C3268" w:rsidRDefault="00631774">
            <w:pPr>
              <w:pStyle w:val="TableTextLeft"/>
            </w:pPr>
            <w:r>
              <w:t>0.0</w:t>
            </w:r>
          </w:p>
        </w:tc>
        <w:tc>
          <w:tcPr>
            <w:tcW w:w="833" w:type="pct"/>
          </w:tcPr>
          <w:p w14:paraId="105992FA" w14:textId="3A95F82D" w:rsidR="007C3268" w:rsidRDefault="00631774">
            <w:pPr>
              <w:pStyle w:val="TableTextLeft"/>
            </w:pPr>
            <w:r>
              <w:t>0.</w:t>
            </w:r>
            <w:r w:rsidR="00DB33FC">
              <w:t>1</w:t>
            </w:r>
          </w:p>
        </w:tc>
        <w:tc>
          <w:tcPr>
            <w:tcW w:w="831" w:type="pct"/>
          </w:tcPr>
          <w:p w14:paraId="3545694C" w14:textId="38CDEACD" w:rsidR="007C3268" w:rsidRDefault="00DB33FC">
            <w:pPr>
              <w:pStyle w:val="TableTextLeft"/>
            </w:pPr>
            <w:r>
              <w:t>1.1</w:t>
            </w:r>
          </w:p>
        </w:tc>
      </w:tr>
      <w:tr w:rsidR="007C3268" w14:paraId="24D3E08B" w14:textId="56D0472A" w:rsidTr="00A30B54">
        <w:trPr>
          <w:trHeight w:val="348"/>
        </w:trPr>
        <w:tc>
          <w:tcPr>
            <w:tcW w:w="834" w:type="pct"/>
          </w:tcPr>
          <w:p w14:paraId="4F9178DA" w14:textId="072282A0" w:rsidR="007C3268" w:rsidRDefault="007C3268">
            <w:pPr>
              <w:pStyle w:val="TableTextLeft"/>
            </w:pPr>
            <w:r>
              <w:t>South East and Mid Coast Queensland (QLD)</w:t>
            </w:r>
          </w:p>
        </w:tc>
        <w:tc>
          <w:tcPr>
            <w:tcW w:w="834" w:type="pct"/>
          </w:tcPr>
          <w:p w14:paraId="1AD62847" w14:textId="24E36E70" w:rsidR="007C3268" w:rsidRDefault="00631774">
            <w:pPr>
              <w:pStyle w:val="TableTextLeft"/>
            </w:pPr>
            <w:r>
              <w:t>2.</w:t>
            </w:r>
            <w:r w:rsidR="00DB33FC">
              <w:t>2</w:t>
            </w:r>
          </w:p>
        </w:tc>
        <w:tc>
          <w:tcPr>
            <w:tcW w:w="834" w:type="pct"/>
          </w:tcPr>
          <w:p w14:paraId="19DB19B1" w14:textId="00840091" w:rsidR="007C3268" w:rsidRDefault="001C57EA">
            <w:pPr>
              <w:pStyle w:val="TableTextLeft"/>
            </w:pPr>
            <w:r>
              <w:t>0.</w:t>
            </w:r>
            <w:r w:rsidR="00440B5F">
              <w:t>8</w:t>
            </w:r>
          </w:p>
        </w:tc>
        <w:tc>
          <w:tcPr>
            <w:tcW w:w="834" w:type="pct"/>
          </w:tcPr>
          <w:p w14:paraId="5D007705" w14:textId="091D494B" w:rsidR="007C3268" w:rsidRDefault="001C57EA">
            <w:pPr>
              <w:pStyle w:val="TableTextLeft"/>
            </w:pPr>
            <w:r>
              <w:t>1.</w:t>
            </w:r>
            <w:r w:rsidR="00DB33FC">
              <w:t>0</w:t>
            </w:r>
          </w:p>
        </w:tc>
        <w:tc>
          <w:tcPr>
            <w:tcW w:w="833" w:type="pct"/>
          </w:tcPr>
          <w:p w14:paraId="2342611B" w14:textId="018C3CD1" w:rsidR="007C3268" w:rsidRDefault="00DB33FC">
            <w:pPr>
              <w:pStyle w:val="TableTextLeft"/>
            </w:pPr>
            <w:r>
              <w:t>1.2</w:t>
            </w:r>
          </w:p>
        </w:tc>
        <w:tc>
          <w:tcPr>
            <w:tcW w:w="831" w:type="pct"/>
          </w:tcPr>
          <w:p w14:paraId="0F46F2F3" w14:textId="313B8FA7" w:rsidR="007C3268" w:rsidRDefault="00B44031">
            <w:pPr>
              <w:pStyle w:val="TableTextLeft"/>
            </w:pPr>
            <w:r>
              <w:t>3</w:t>
            </w:r>
            <w:r w:rsidR="00E216A7">
              <w:t>.1</w:t>
            </w:r>
          </w:p>
        </w:tc>
      </w:tr>
      <w:tr w:rsidR="007C3268" w14:paraId="0EAED38C" w14:textId="1C125BCC" w:rsidTr="00A30B54">
        <w:trPr>
          <w:trHeight w:val="348"/>
        </w:trPr>
        <w:tc>
          <w:tcPr>
            <w:tcW w:w="834" w:type="pct"/>
          </w:tcPr>
          <w:p w14:paraId="6F5A098A" w14:textId="67D2C3D9" w:rsidR="007C3268" w:rsidRDefault="007C3268">
            <w:pPr>
              <w:pStyle w:val="TableTextLeft"/>
            </w:pPr>
            <w:r>
              <w:t xml:space="preserve">Inland QLD </w:t>
            </w:r>
          </w:p>
        </w:tc>
        <w:tc>
          <w:tcPr>
            <w:tcW w:w="834" w:type="pct"/>
          </w:tcPr>
          <w:p w14:paraId="6C2CD330" w14:textId="36EF3392" w:rsidR="007C3268" w:rsidRDefault="00631774">
            <w:pPr>
              <w:pStyle w:val="TableTextLeft"/>
            </w:pPr>
            <w:r>
              <w:t>1.</w:t>
            </w:r>
            <w:r w:rsidR="00E216A7">
              <w:t>2</w:t>
            </w:r>
          </w:p>
        </w:tc>
        <w:tc>
          <w:tcPr>
            <w:tcW w:w="834" w:type="pct"/>
          </w:tcPr>
          <w:p w14:paraId="6D72569C" w14:textId="2ADACB8B" w:rsidR="007C3268" w:rsidRDefault="001C57EA">
            <w:pPr>
              <w:pStyle w:val="TableTextLeft"/>
            </w:pPr>
            <w:r>
              <w:t>0.</w:t>
            </w:r>
            <w:r w:rsidR="00E216A7">
              <w:t>4</w:t>
            </w:r>
          </w:p>
        </w:tc>
        <w:tc>
          <w:tcPr>
            <w:tcW w:w="834" w:type="pct"/>
          </w:tcPr>
          <w:p w14:paraId="6F658069" w14:textId="17FDB321" w:rsidR="007C3268" w:rsidRDefault="001C57EA">
            <w:pPr>
              <w:pStyle w:val="TableTextLeft"/>
            </w:pPr>
            <w:r>
              <w:t>0.</w:t>
            </w:r>
            <w:r w:rsidR="00E216A7">
              <w:t>4</w:t>
            </w:r>
          </w:p>
        </w:tc>
        <w:tc>
          <w:tcPr>
            <w:tcW w:w="833" w:type="pct"/>
          </w:tcPr>
          <w:p w14:paraId="2CC298D8" w14:textId="07DA6DD8" w:rsidR="007C3268" w:rsidRDefault="00E55671">
            <w:pPr>
              <w:pStyle w:val="TableTextLeft"/>
            </w:pPr>
            <w:r>
              <w:t>0.</w:t>
            </w:r>
            <w:r w:rsidR="00E216A7">
              <w:t>6</w:t>
            </w:r>
          </w:p>
        </w:tc>
        <w:tc>
          <w:tcPr>
            <w:tcW w:w="831" w:type="pct"/>
          </w:tcPr>
          <w:p w14:paraId="07585A22" w14:textId="1F95892A" w:rsidR="007C3268" w:rsidRDefault="00747C03">
            <w:pPr>
              <w:pStyle w:val="TableTextLeft"/>
            </w:pPr>
            <w:r>
              <w:t>3.2</w:t>
            </w:r>
          </w:p>
        </w:tc>
      </w:tr>
      <w:tr w:rsidR="007C3268" w14:paraId="0604B2E9" w14:textId="30AD4189" w:rsidTr="00A30B54">
        <w:trPr>
          <w:trHeight w:val="348"/>
        </w:trPr>
        <w:tc>
          <w:tcPr>
            <w:tcW w:w="834" w:type="pct"/>
          </w:tcPr>
          <w:p w14:paraId="63F6661E" w14:textId="5025FF33" w:rsidR="007C3268" w:rsidRDefault="007C3268">
            <w:pPr>
              <w:pStyle w:val="TableTextLeft"/>
            </w:pPr>
            <w:r>
              <w:t xml:space="preserve">Far North QLD </w:t>
            </w:r>
          </w:p>
        </w:tc>
        <w:tc>
          <w:tcPr>
            <w:tcW w:w="834" w:type="pct"/>
          </w:tcPr>
          <w:p w14:paraId="7EB878F1" w14:textId="28F23AD5" w:rsidR="007C3268" w:rsidRDefault="00631774">
            <w:pPr>
              <w:pStyle w:val="TableTextLeft"/>
            </w:pPr>
            <w:r>
              <w:t>8.6</w:t>
            </w:r>
          </w:p>
        </w:tc>
        <w:tc>
          <w:tcPr>
            <w:tcW w:w="834" w:type="pct"/>
          </w:tcPr>
          <w:p w14:paraId="5B02CB2F" w14:textId="56BD4FBB" w:rsidR="007C3268" w:rsidRDefault="001C57EA">
            <w:pPr>
              <w:pStyle w:val="TableTextLeft"/>
            </w:pPr>
            <w:r>
              <w:t>5.</w:t>
            </w:r>
            <w:r w:rsidR="00E216A7">
              <w:t>7</w:t>
            </w:r>
          </w:p>
        </w:tc>
        <w:tc>
          <w:tcPr>
            <w:tcW w:w="834" w:type="pct"/>
          </w:tcPr>
          <w:p w14:paraId="444BD988" w14:textId="3089A458" w:rsidR="007C3268" w:rsidRDefault="00597081">
            <w:pPr>
              <w:pStyle w:val="TableTextLeft"/>
            </w:pPr>
            <w:r>
              <w:t>6.9</w:t>
            </w:r>
          </w:p>
        </w:tc>
        <w:tc>
          <w:tcPr>
            <w:tcW w:w="833" w:type="pct"/>
          </w:tcPr>
          <w:p w14:paraId="790FA2B0" w14:textId="1BE03A61" w:rsidR="007C3268" w:rsidRDefault="00E216A7">
            <w:pPr>
              <w:pStyle w:val="TableTextLeft"/>
            </w:pPr>
            <w:r>
              <w:t>6.3</w:t>
            </w:r>
          </w:p>
        </w:tc>
        <w:tc>
          <w:tcPr>
            <w:tcW w:w="831" w:type="pct"/>
          </w:tcPr>
          <w:p w14:paraId="01B7F878" w14:textId="08AD0DDE" w:rsidR="007C3268" w:rsidRDefault="00E216A7">
            <w:pPr>
              <w:pStyle w:val="TableTextLeft"/>
            </w:pPr>
            <w:r>
              <w:t>4.1</w:t>
            </w:r>
          </w:p>
        </w:tc>
      </w:tr>
      <w:tr w:rsidR="007C3268" w14:paraId="6D49128E" w14:textId="39D17B04" w:rsidTr="00A30B54">
        <w:trPr>
          <w:trHeight w:val="348"/>
        </w:trPr>
        <w:tc>
          <w:tcPr>
            <w:tcW w:w="834" w:type="pct"/>
          </w:tcPr>
          <w:p w14:paraId="7D5043C5" w14:textId="47C406BF" w:rsidR="007C3268" w:rsidRDefault="007C3268">
            <w:pPr>
              <w:pStyle w:val="TableTextLeft"/>
            </w:pPr>
            <w:r>
              <w:t xml:space="preserve">Northern Territory </w:t>
            </w:r>
          </w:p>
        </w:tc>
        <w:tc>
          <w:tcPr>
            <w:tcW w:w="834" w:type="pct"/>
          </w:tcPr>
          <w:p w14:paraId="0B44E670" w14:textId="58819C8F" w:rsidR="007C3268" w:rsidRDefault="00631774">
            <w:pPr>
              <w:pStyle w:val="TableTextLeft"/>
            </w:pPr>
            <w:r>
              <w:t>0.</w:t>
            </w:r>
            <w:r w:rsidR="00E216A7">
              <w:t>4</w:t>
            </w:r>
          </w:p>
        </w:tc>
        <w:tc>
          <w:tcPr>
            <w:tcW w:w="834" w:type="pct"/>
          </w:tcPr>
          <w:p w14:paraId="641F2FC7" w14:textId="26CD7D8F" w:rsidR="007C3268" w:rsidRDefault="001C57EA">
            <w:pPr>
              <w:pStyle w:val="TableTextLeft"/>
            </w:pPr>
            <w:r>
              <w:t>2.</w:t>
            </w:r>
            <w:r w:rsidR="00E216A7">
              <w:t>6</w:t>
            </w:r>
          </w:p>
        </w:tc>
        <w:tc>
          <w:tcPr>
            <w:tcW w:w="834" w:type="pct"/>
          </w:tcPr>
          <w:p w14:paraId="4B6F7949" w14:textId="3DE2F3AA" w:rsidR="007C3268" w:rsidRDefault="00E55671">
            <w:pPr>
              <w:pStyle w:val="TableTextLeft"/>
            </w:pPr>
            <w:r>
              <w:t>0.</w:t>
            </w:r>
            <w:r w:rsidR="00E216A7">
              <w:t>3</w:t>
            </w:r>
          </w:p>
        </w:tc>
        <w:tc>
          <w:tcPr>
            <w:tcW w:w="833" w:type="pct"/>
          </w:tcPr>
          <w:p w14:paraId="57954CE2" w14:textId="6515E9BB" w:rsidR="007C3268" w:rsidRDefault="00E55671">
            <w:pPr>
              <w:pStyle w:val="TableTextLeft"/>
            </w:pPr>
            <w:r>
              <w:t>0.</w:t>
            </w:r>
            <w:r w:rsidR="00E216A7">
              <w:t>4</w:t>
            </w:r>
          </w:p>
        </w:tc>
        <w:tc>
          <w:tcPr>
            <w:tcW w:w="831" w:type="pct"/>
          </w:tcPr>
          <w:p w14:paraId="34691016" w14:textId="58E87EDF" w:rsidR="007C3268" w:rsidRDefault="009A044A">
            <w:pPr>
              <w:pStyle w:val="TableTextLeft"/>
            </w:pPr>
            <w:r>
              <w:t>0.</w:t>
            </w:r>
            <w:r w:rsidR="00597081">
              <w:t>8</w:t>
            </w:r>
          </w:p>
        </w:tc>
      </w:tr>
      <w:tr w:rsidR="007C3268" w14:paraId="00C98826" w14:textId="77777777" w:rsidTr="00A30B54">
        <w:trPr>
          <w:trHeight w:val="348"/>
        </w:trPr>
        <w:tc>
          <w:tcPr>
            <w:tcW w:w="834" w:type="pct"/>
          </w:tcPr>
          <w:p w14:paraId="570EAA8A" w14:textId="57DEDB07" w:rsidR="007C3268" w:rsidRDefault="007C3268">
            <w:pPr>
              <w:pStyle w:val="TableTextLeft"/>
            </w:pPr>
            <w:r>
              <w:t>Northern Western Australia (WA)</w:t>
            </w:r>
          </w:p>
        </w:tc>
        <w:tc>
          <w:tcPr>
            <w:tcW w:w="834" w:type="pct"/>
          </w:tcPr>
          <w:p w14:paraId="68B1422D" w14:textId="32921950" w:rsidR="007C3268" w:rsidRDefault="00631774">
            <w:pPr>
              <w:pStyle w:val="TableTextLeft"/>
            </w:pPr>
            <w:r>
              <w:t>1.</w:t>
            </w:r>
            <w:r w:rsidR="00E216A7">
              <w:t>4</w:t>
            </w:r>
          </w:p>
        </w:tc>
        <w:tc>
          <w:tcPr>
            <w:tcW w:w="834" w:type="pct"/>
          </w:tcPr>
          <w:p w14:paraId="7344B493" w14:textId="4685F14F" w:rsidR="007C3268" w:rsidRDefault="00597081">
            <w:pPr>
              <w:pStyle w:val="TableTextLeft"/>
            </w:pPr>
            <w:r>
              <w:t>4.</w:t>
            </w:r>
            <w:r w:rsidR="00E216A7">
              <w:t>1</w:t>
            </w:r>
          </w:p>
        </w:tc>
        <w:tc>
          <w:tcPr>
            <w:tcW w:w="834" w:type="pct"/>
          </w:tcPr>
          <w:p w14:paraId="2DD071C0" w14:textId="5DF7DE5E" w:rsidR="007C3268" w:rsidRDefault="00E55671">
            <w:pPr>
              <w:pStyle w:val="TableTextLeft"/>
            </w:pPr>
            <w:r>
              <w:t>1.</w:t>
            </w:r>
            <w:r w:rsidR="00E216A7">
              <w:t>3</w:t>
            </w:r>
          </w:p>
        </w:tc>
        <w:tc>
          <w:tcPr>
            <w:tcW w:w="833" w:type="pct"/>
          </w:tcPr>
          <w:p w14:paraId="30A8A074" w14:textId="766452C4" w:rsidR="007C3268" w:rsidRDefault="00E55671">
            <w:pPr>
              <w:pStyle w:val="TableTextLeft"/>
            </w:pPr>
            <w:r>
              <w:t>1.</w:t>
            </w:r>
            <w:r w:rsidR="00E216A7">
              <w:t>2</w:t>
            </w:r>
          </w:p>
        </w:tc>
        <w:tc>
          <w:tcPr>
            <w:tcW w:w="831" w:type="pct"/>
          </w:tcPr>
          <w:p w14:paraId="5020437A" w14:textId="497CC168" w:rsidR="007C3268" w:rsidRDefault="009A044A">
            <w:pPr>
              <w:pStyle w:val="TableTextLeft"/>
            </w:pPr>
            <w:r>
              <w:t>0.</w:t>
            </w:r>
            <w:r w:rsidR="002507EF">
              <w:t>7</w:t>
            </w:r>
          </w:p>
        </w:tc>
      </w:tr>
      <w:tr w:rsidR="007C3268" w14:paraId="5839CA84" w14:textId="77777777" w:rsidTr="00A30B54">
        <w:trPr>
          <w:trHeight w:val="348"/>
        </w:trPr>
        <w:tc>
          <w:tcPr>
            <w:tcW w:w="834" w:type="pct"/>
          </w:tcPr>
          <w:p w14:paraId="36437754" w14:textId="0D4379CC" w:rsidR="007C3268" w:rsidRDefault="007C3268">
            <w:pPr>
              <w:pStyle w:val="TableTextLeft"/>
            </w:pPr>
            <w:r>
              <w:t>Southern WA</w:t>
            </w:r>
          </w:p>
        </w:tc>
        <w:tc>
          <w:tcPr>
            <w:tcW w:w="834" w:type="pct"/>
          </w:tcPr>
          <w:p w14:paraId="5545AB0E" w14:textId="4AAF9A60" w:rsidR="007C3268" w:rsidRDefault="00631774">
            <w:pPr>
              <w:pStyle w:val="TableTextLeft"/>
            </w:pPr>
            <w:r>
              <w:t>0.0</w:t>
            </w:r>
          </w:p>
        </w:tc>
        <w:tc>
          <w:tcPr>
            <w:tcW w:w="834" w:type="pct"/>
          </w:tcPr>
          <w:p w14:paraId="6CC0143F" w14:textId="225969A9" w:rsidR="007C3268" w:rsidRDefault="001C57EA">
            <w:pPr>
              <w:pStyle w:val="TableTextLeft"/>
            </w:pPr>
            <w:r>
              <w:t>0.0</w:t>
            </w:r>
          </w:p>
        </w:tc>
        <w:tc>
          <w:tcPr>
            <w:tcW w:w="834" w:type="pct"/>
          </w:tcPr>
          <w:p w14:paraId="1FD59EC3" w14:textId="59E89763" w:rsidR="007C3268" w:rsidRDefault="00E55671">
            <w:pPr>
              <w:pStyle w:val="TableTextLeft"/>
            </w:pPr>
            <w:r>
              <w:t>0.0</w:t>
            </w:r>
          </w:p>
        </w:tc>
        <w:tc>
          <w:tcPr>
            <w:tcW w:w="833" w:type="pct"/>
          </w:tcPr>
          <w:p w14:paraId="61386BA4" w14:textId="72F23B2E" w:rsidR="007C3268" w:rsidRDefault="00E55671">
            <w:pPr>
              <w:pStyle w:val="TableTextLeft"/>
            </w:pPr>
            <w:r>
              <w:t>0.</w:t>
            </w:r>
            <w:r w:rsidR="003B3D71">
              <w:t>0</w:t>
            </w:r>
          </w:p>
        </w:tc>
        <w:tc>
          <w:tcPr>
            <w:tcW w:w="831" w:type="pct"/>
          </w:tcPr>
          <w:p w14:paraId="4C865363" w14:textId="2B65EB62" w:rsidR="007C3268" w:rsidRDefault="009A044A">
            <w:pPr>
              <w:pStyle w:val="TableTextLeft"/>
            </w:pPr>
            <w:r>
              <w:t>0.2</w:t>
            </w:r>
          </w:p>
        </w:tc>
      </w:tr>
      <w:tr w:rsidR="001C57EA" w14:paraId="5D69701F" w14:textId="77777777" w:rsidTr="00A30B54">
        <w:trPr>
          <w:trHeight w:val="348"/>
        </w:trPr>
        <w:tc>
          <w:tcPr>
            <w:tcW w:w="834" w:type="pct"/>
          </w:tcPr>
          <w:p w14:paraId="00A56027" w14:textId="432D4D02" w:rsidR="001C57EA" w:rsidRPr="001C57EA" w:rsidRDefault="001C57EA">
            <w:pPr>
              <w:pStyle w:val="TableTextLeft"/>
              <w:rPr>
                <w:b/>
                <w:bCs/>
              </w:rPr>
            </w:pPr>
            <w:r w:rsidRPr="001C57EA">
              <w:rPr>
                <w:b/>
                <w:bCs/>
              </w:rPr>
              <w:t>Total</w:t>
            </w:r>
          </w:p>
        </w:tc>
        <w:tc>
          <w:tcPr>
            <w:tcW w:w="834" w:type="pct"/>
          </w:tcPr>
          <w:p w14:paraId="6366729C" w14:textId="2900E044" w:rsidR="001C57EA" w:rsidRDefault="001C57EA">
            <w:pPr>
              <w:pStyle w:val="TableTextLeft"/>
            </w:pPr>
            <w:r>
              <w:t>1.</w:t>
            </w:r>
            <w:r w:rsidR="00E216A7">
              <w:t>4</w:t>
            </w:r>
          </w:p>
        </w:tc>
        <w:tc>
          <w:tcPr>
            <w:tcW w:w="834" w:type="pct"/>
          </w:tcPr>
          <w:p w14:paraId="6C47BE96" w14:textId="6C15FFCC" w:rsidR="001C57EA" w:rsidRDefault="001C57EA">
            <w:pPr>
              <w:pStyle w:val="TableTextLeft"/>
            </w:pPr>
            <w:r>
              <w:t>0.</w:t>
            </w:r>
            <w:r w:rsidR="00E216A7">
              <w:t>7</w:t>
            </w:r>
          </w:p>
        </w:tc>
        <w:tc>
          <w:tcPr>
            <w:tcW w:w="834" w:type="pct"/>
          </w:tcPr>
          <w:p w14:paraId="176765B9" w14:textId="17F4F5C6" w:rsidR="001C57EA" w:rsidRDefault="00E55671">
            <w:pPr>
              <w:pStyle w:val="TableTextLeft"/>
            </w:pPr>
            <w:r>
              <w:t>0.</w:t>
            </w:r>
            <w:r w:rsidR="00E216A7">
              <w:t>8</w:t>
            </w:r>
          </w:p>
        </w:tc>
        <w:tc>
          <w:tcPr>
            <w:tcW w:w="833" w:type="pct"/>
          </w:tcPr>
          <w:p w14:paraId="74B62CF7" w14:textId="541DED0E" w:rsidR="001C57EA" w:rsidRDefault="00E55671">
            <w:pPr>
              <w:pStyle w:val="TableTextLeft"/>
            </w:pPr>
            <w:r>
              <w:t>0.</w:t>
            </w:r>
            <w:r w:rsidR="00E216A7">
              <w:t>9</w:t>
            </w:r>
          </w:p>
        </w:tc>
        <w:tc>
          <w:tcPr>
            <w:tcW w:w="831" w:type="pct"/>
          </w:tcPr>
          <w:p w14:paraId="0BE7F9DE" w14:textId="7797961F" w:rsidR="001C57EA" w:rsidRDefault="009A044A">
            <w:pPr>
              <w:pStyle w:val="TableTextLeft"/>
            </w:pPr>
            <w:r>
              <w:t>1.</w:t>
            </w:r>
            <w:r w:rsidR="00461352">
              <w:t>9</w:t>
            </w:r>
          </w:p>
        </w:tc>
      </w:tr>
    </w:tbl>
    <w:p w14:paraId="6D64AD3D" w14:textId="4A307D04" w:rsidR="00701D17" w:rsidRDefault="00701D17" w:rsidP="0095569E">
      <w:r>
        <w:t>Source: ARPC</w:t>
      </w:r>
      <w:r w:rsidR="0013190A">
        <w:t>, Cyclone Reinsurance Pool Statistics as at 3</w:t>
      </w:r>
      <w:r w:rsidR="00104661">
        <w:t>1</w:t>
      </w:r>
      <w:r w:rsidR="0013190A">
        <w:t xml:space="preserve"> </w:t>
      </w:r>
      <w:r w:rsidR="00104661">
        <w:t>March</w:t>
      </w:r>
      <w:r w:rsidR="003042A6">
        <w:t xml:space="preserve"> </w:t>
      </w:r>
      <w:r w:rsidR="0013190A">
        <w:t>202</w:t>
      </w:r>
      <w:r w:rsidR="003042A6">
        <w:t>5</w:t>
      </w:r>
      <w:r w:rsidR="0013190A">
        <w:t xml:space="preserve"> (page </w:t>
      </w:r>
      <w:r w:rsidR="003B3D71">
        <w:t>10</w:t>
      </w:r>
      <w:r w:rsidR="0013190A">
        <w:t xml:space="preserve">). </w:t>
      </w:r>
      <w:hyperlink r:id="rId33" w:history="1">
        <w:r w:rsidR="0013190A" w:rsidRPr="00104661">
          <w:rPr>
            <w:rStyle w:val="Hyperlink"/>
          </w:rPr>
          <w:t>ARPC website</w:t>
        </w:r>
      </w:hyperlink>
      <w:r w:rsidR="0013190A" w:rsidRPr="00E216A7">
        <w:t>.</w:t>
      </w:r>
    </w:p>
    <w:p w14:paraId="13F6528B" w14:textId="128ABCAC" w:rsidR="005B7A37" w:rsidRDefault="00F47004" w:rsidP="00676F5E">
      <w:pPr>
        <w:pStyle w:val="TableMainHeading"/>
      </w:pPr>
      <w:r>
        <w:rPr>
          <w:b/>
          <w:bCs/>
        </w:rPr>
        <w:br/>
      </w:r>
      <w:r>
        <w:rPr>
          <w:b/>
          <w:bCs/>
        </w:rPr>
        <w:br/>
      </w:r>
      <w:r>
        <w:rPr>
          <w:b/>
          <w:bCs/>
        </w:rPr>
        <w:br/>
      </w:r>
      <w:r>
        <w:rPr>
          <w:b/>
          <w:bCs/>
        </w:rPr>
        <w:br/>
      </w:r>
      <w:r>
        <w:rPr>
          <w:b/>
          <w:bCs/>
        </w:rPr>
        <w:br/>
      </w:r>
      <w:r>
        <w:rPr>
          <w:b/>
          <w:bCs/>
        </w:rPr>
        <w:br/>
      </w:r>
      <w:bookmarkStart w:id="65" w:name="_Toc207898466"/>
      <w:bookmarkStart w:id="66" w:name="_Toc209703738"/>
      <w:bookmarkStart w:id="67" w:name="_Toc210055988"/>
      <w:r w:rsidR="0041078C" w:rsidRPr="00676F5E">
        <w:t>Figure</w:t>
      </w:r>
      <w:r w:rsidR="006354FE" w:rsidRPr="00676F5E">
        <w:t xml:space="preserve"> </w:t>
      </w:r>
      <w:r w:rsidR="007C458A" w:rsidRPr="00676F5E">
        <w:t>2</w:t>
      </w:r>
      <w:r w:rsidR="006354FE" w:rsidRPr="00676F5E">
        <w:t xml:space="preserve">: </w:t>
      </w:r>
      <w:r w:rsidR="00306FBC" w:rsidRPr="00676F5E">
        <w:t>Breakdown of total premium discount by wind band</w:t>
      </w:r>
      <w:r w:rsidR="00EB7343" w:rsidRPr="00676F5E">
        <w:t xml:space="preserve"> as at 31 </w:t>
      </w:r>
      <w:r w:rsidR="00070795" w:rsidRPr="00676F5E">
        <w:t xml:space="preserve">March </w:t>
      </w:r>
      <w:r w:rsidR="00EB7343" w:rsidRPr="00676F5E">
        <w:t>202</w:t>
      </w:r>
      <w:r w:rsidR="00070795" w:rsidRPr="00676F5E">
        <w:t>5</w:t>
      </w:r>
      <w:r w:rsidR="00EB7343" w:rsidRPr="00676F5E">
        <w:t>.</w:t>
      </w:r>
      <w:bookmarkEnd w:id="65"/>
      <w:bookmarkEnd w:id="66"/>
      <w:bookmarkEnd w:id="67"/>
      <w:r w:rsidR="00EB7343" w:rsidRPr="00676F5E">
        <w:t xml:space="preserve"> </w:t>
      </w:r>
    </w:p>
    <w:p w14:paraId="105993DA" w14:textId="7D6633FF" w:rsidR="00A41BBC" w:rsidRDefault="00BB5A8B" w:rsidP="0095569E">
      <w:r>
        <w:rPr>
          <w:noProof/>
        </w:rPr>
        <w:drawing>
          <wp:inline distT="0" distB="0" distL="0" distR="0" wp14:anchorId="3A139A58" wp14:editId="7C66DD81">
            <wp:extent cx="5743575" cy="3245681"/>
            <wp:effectExtent l="0" t="0" r="0" b="0"/>
            <wp:docPr id="2062488419" name="Picture 2" descr="This graph shows the discounts in total dollar amount by wind risk band. There are fewer high risk properties however they receive larger discounts than the lower risk properties which are more numero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488419" name="Picture 2" descr="This graph shows the discounts in total dollar amount by wind risk band. There are fewer high risk properties however they receive larger discounts than the lower risk properties which are more numerous.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57251" cy="3253409"/>
                    </a:xfrm>
                    <a:prstGeom prst="rect">
                      <a:avLst/>
                    </a:prstGeom>
                    <a:noFill/>
                  </pic:spPr>
                </pic:pic>
              </a:graphicData>
            </a:graphic>
          </wp:inline>
        </w:drawing>
      </w:r>
    </w:p>
    <w:p w14:paraId="6A37A310" w14:textId="158EA4E5" w:rsidR="007779E3" w:rsidRDefault="001614DE" w:rsidP="0095569E">
      <w:r>
        <w:t xml:space="preserve">Source: ARPC, Cyclone Reinsurance Pool Statistics as at 31 March 2025 (page 10). </w:t>
      </w:r>
      <w:hyperlink r:id="rId35" w:history="1">
        <w:r w:rsidRPr="006354FE">
          <w:rPr>
            <w:rStyle w:val="Hyperlink"/>
          </w:rPr>
          <w:t>ARPC website.</w:t>
        </w:r>
      </w:hyperlink>
    </w:p>
    <w:p w14:paraId="50C3D358" w14:textId="77777777" w:rsidR="00243B3B" w:rsidRPr="00051313" w:rsidRDefault="00243B3B" w:rsidP="00243B3B">
      <w:pPr>
        <w:rPr>
          <w:i/>
          <w:szCs w:val="22"/>
        </w:rPr>
      </w:pPr>
      <w:r w:rsidRPr="00051313">
        <w:rPr>
          <w:i/>
          <w:szCs w:val="22"/>
        </w:rPr>
        <w:t xml:space="preserve">ACCC </w:t>
      </w:r>
      <w:r>
        <w:rPr>
          <w:i/>
          <w:iCs/>
          <w:szCs w:val="22"/>
        </w:rPr>
        <w:t xml:space="preserve">2025 </w:t>
      </w:r>
      <w:r w:rsidRPr="00051313">
        <w:rPr>
          <w:i/>
          <w:szCs w:val="22"/>
        </w:rPr>
        <w:t xml:space="preserve">report – </w:t>
      </w:r>
      <w:r>
        <w:rPr>
          <w:i/>
          <w:iCs/>
          <w:szCs w:val="22"/>
        </w:rPr>
        <w:t xml:space="preserve">private </w:t>
      </w:r>
      <w:r w:rsidRPr="00051313">
        <w:rPr>
          <w:i/>
          <w:szCs w:val="22"/>
        </w:rPr>
        <w:t xml:space="preserve">mitigation </w:t>
      </w:r>
    </w:p>
    <w:p w14:paraId="038FA7E5" w14:textId="709CCB4F" w:rsidR="00243B3B" w:rsidRDefault="00243B3B" w:rsidP="00243B3B">
      <w:pPr>
        <w:rPr>
          <w:szCs w:val="22"/>
        </w:rPr>
      </w:pPr>
      <w:r>
        <w:rPr>
          <w:szCs w:val="22"/>
        </w:rPr>
        <w:t xml:space="preserve">The ACCC found the majority of insurers in the cyclone pool have a mitigation framework in place and many have adopted the ARPC mitigation framework. However, a small number of insurers are yet to implement a mitigation framework in their pricing. </w:t>
      </w:r>
      <w:r w:rsidR="00CD097C">
        <w:rPr>
          <w:szCs w:val="22"/>
        </w:rPr>
        <w:t xml:space="preserve">For policyholders </w:t>
      </w:r>
      <w:r w:rsidR="002C5C93">
        <w:rPr>
          <w:szCs w:val="22"/>
        </w:rPr>
        <w:t>with these insurers, t</w:t>
      </w:r>
      <w:r>
        <w:rPr>
          <w:szCs w:val="22"/>
        </w:rPr>
        <w:t xml:space="preserve">his means </w:t>
      </w:r>
      <w:r w:rsidR="00737543">
        <w:rPr>
          <w:szCs w:val="22"/>
        </w:rPr>
        <w:t>premiums will not reflect any</w:t>
      </w:r>
      <w:r>
        <w:rPr>
          <w:szCs w:val="22"/>
        </w:rPr>
        <w:t xml:space="preserve"> cyclone mitigation measures </w:t>
      </w:r>
      <w:r w:rsidDel="00B26A83">
        <w:rPr>
          <w:szCs w:val="22"/>
        </w:rPr>
        <w:t xml:space="preserve">they </w:t>
      </w:r>
      <w:r w:rsidR="00B26A83">
        <w:rPr>
          <w:szCs w:val="22"/>
        </w:rPr>
        <w:t>have implemented</w:t>
      </w:r>
      <w:r>
        <w:rPr>
          <w:szCs w:val="22"/>
        </w:rPr>
        <w:t xml:space="preserve">. </w:t>
      </w:r>
    </w:p>
    <w:p w14:paraId="5A86784D" w14:textId="77777777" w:rsidR="001E50BA" w:rsidRDefault="00243B3B" w:rsidP="00243B3B">
      <w:pPr>
        <w:rPr>
          <w:szCs w:val="22"/>
        </w:rPr>
      </w:pPr>
      <w:r>
        <w:rPr>
          <w:szCs w:val="22"/>
        </w:rPr>
        <w:t xml:space="preserve">The ACCC found that insurers could be doing more to incentivise households to implement cyclone risk reduction measures. The ACCC’s findings also included that insurers have limited communication to consumers about the impact of private mitigation on retail premiums and that there is a lack of effective price signalling. For example, the ACCC heard that insurers could be providing information on mitigation actions and more certainty on the expected impact on premiums. </w:t>
      </w:r>
    </w:p>
    <w:p w14:paraId="3928B643" w14:textId="052AEB03" w:rsidR="00243B3B" w:rsidRDefault="00243B3B" w:rsidP="00243B3B">
      <w:pPr>
        <w:rPr>
          <w:szCs w:val="22"/>
        </w:rPr>
      </w:pPr>
      <w:r>
        <w:rPr>
          <w:szCs w:val="22"/>
        </w:rPr>
        <w:t xml:space="preserve">However, the Act does not require insurers to adopt the ARPC mitigation framework or any mitigation framework. Overall, the ACCC consider additional measures are needed to support investment in private mitigation to meaningfully improve risk reduction and affordability over time. </w:t>
      </w:r>
    </w:p>
    <w:p w14:paraId="676563CA" w14:textId="77777777" w:rsidR="00A508F0" w:rsidRDefault="00A508F0" w:rsidP="00795037">
      <w:pPr>
        <w:pStyle w:val="Heading3"/>
      </w:pPr>
      <w:bookmarkStart w:id="68" w:name="_Toc207898467"/>
      <w:bookmarkStart w:id="69" w:name="_Toc210055989"/>
      <w:r>
        <w:t>Cyclone pool reserves</w:t>
      </w:r>
      <w:bookmarkEnd w:id="68"/>
      <w:bookmarkEnd w:id="69"/>
      <w:r>
        <w:t xml:space="preserve"> </w:t>
      </w:r>
    </w:p>
    <w:p w14:paraId="37B21B05" w14:textId="74FE9BF9" w:rsidR="00A508F0" w:rsidRDefault="00A508F0" w:rsidP="00A508F0">
      <w:r>
        <w:t xml:space="preserve">The ARPC is required to set reinsurance premiums at a level that results in the cyclone pool being cost neutral to the Australian Government over the longer term. Given that cyclone events causing large insured losses tend to occur infrequently, it is expected that </w:t>
      </w:r>
      <w:r w:rsidRPr="005D1134">
        <w:t>in most years the ARPC would accumulate a surplus</w:t>
      </w:r>
      <w:r>
        <w:t xml:space="preserve">. The ARPC then builds up a pool of reserves </w:t>
      </w:r>
      <w:r w:rsidRPr="005D1134">
        <w:t xml:space="preserve">that </w:t>
      </w:r>
      <w:r>
        <w:t xml:space="preserve">can be </w:t>
      </w:r>
      <w:r w:rsidRPr="005D1134">
        <w:t xml:space="preserve">drawn down when </w:t>
      </w:r>
      <w:r>
        <w:t>a</w:t>
      </w:r>
      <w:r w:rsidRPr="005D1134">
        <w:t xml:space="preserve"> large cyclone event</w:t>
      </w:r>
      <w:r>
        <w:t xml:space="preserve"> occurs</w:t>
      </w:r>
      <w:r w:rsidRPr="005D1134">
        <w:t>.</w:t>
      </w:r>
      <w:r>
        <w:t xml:space="preserve"> As such, the accumulation of reserves over the short to medium term is not evidence that the scheme is </w:t>
      </w:r>
      <w:r w:rsidDel="002628DB">
        <w:t>overpriced</w:t>
      </w:r>
      <w:r>
        <w:t xml:space="preserve"> but rather reflects the operation of the </w:t>
      </w:r>
      <w:r w:rsidR="002F63EC">
        <w:t xml:space="preserve">cyclone </w:t>
      </w:r>
      <w:r>
        <w:t>pool over time.</w:t>
      </w:r>
    </w:p>
    <w:p w14:paraId="46C3521A" w14:textId="1556E4DD" w:rsidR="00A508F0" w:rsidRDefault="00A508F0" w:rsidP="00A508F0">
      <w:r>
        <w:t>Similarly, the cyclone pool entering an accumulated deficit position – where its liabilities exceed its assets – is not necessarily an indication that the scheme is underpriced. Following Tropical Cyclone Alfred in March 2025, the cyclone pool is expected to incur $1.</w:t>
      </w:r>
      <w:r w:rsidR="00375E1A">
        <w:t>5</w:t>
      </w:r>
      <w:r w:rsidR="00617FC0">
        <w:t>6</w:t>
      </w:r>
      <w:r>
        <w:t xml:space="preserve"> billion of claims</w:t>
      </w:r>
      <w:r w:rsidR="0034483E">
        <w:t xml:space="preserve"> from this cyclone alone</w:t>
      </w:r>
      <w:r>
        <w:t>. This occurred only three months after the last mandated insurer joined the cyclone pool and has resulted in the cyclone pool entering an accumulated deficit position. However, the cyclone pool is likely to be able to meet its future liabilities from assets already held and future premium income. As such, it has not needed to either call on the Commonwealth guarantee or transfer funds from the terrorism pool.</w:t>
      </w:r>
    </w:p>
    <w:p w14:paraId="73D2399E" w14:textId="19175FA4" w:rsidR="00A508F0" w:rsidRDefault="00A508F0" w:rsidP="0095569E">
      <w:r>
        <w:t xml:space="preserve">The ARPC estimates it will return to a positive net asset position in early 2026. However, this is highly dependent on the occurrence or otherwise of another large cyclone event. </w:t>
      </w:r>
    </w:p>
    <w:p w14:paraId="5B6AC022" w14:textId="15B534E0" w:rsidR="00774C5B" w:rsidRPr="00A30B54" w:rsidRDefault="00774C5B" w:rsidP="001030C3">
      <w:pPr>
        <w:pStyle w:val="BoxHeading"/>
        <w:rPr>
          <w:b w:val="0"/>
        </w:rPr>
      </w:pPr>
      <w:r w:rsidRPr="002F6AAF">
        <w:t>Questions</w:t>
      </w:r>
    </w:p>
    <w:p w14:paraId="2959BF74" w14:textId="58E95DB2" w:rsidR="00774C5B" w:rsidRDefault="00774C5B" w:rsidP="00774C5B">
      <w:pPr>
        <w:shd w:val="clear" w:color="auto" w:fill="E8F0FC" w:themeFill="accent5" w:themeFillTint="33"/>
      </w:pPr>
      <w:r>
        <w:t>1.</w:t>
      </w:r>
      <w:r w:rsidR="00FC4894">
        <w:t xml:space="preserve"> </w:t>
      </w:r>
      <w:r w:rsidR="00A07C90">
        <w:t xml:space="preserve">Is the </w:t>
      </w:r>
      <w:r w:rsidR="000F7E92">
        <w:t>cyclone</w:t>
      </w:r>
      <w:r w:rsidR="00A07C90">
        <w:t xml:space="preserve"> pool</w:t>
      </w:r>
      <w:r w:rsidR="009172C4">
        <w:t xml:space="preserve"> helping to reduce</w:t>
      </w:r>
      <w:r w:rsidR="00FC4894" w:rsidRPr="00FC4894">
        <w:t xml:space="preserve"> insurance premiums for</w:t>
      </w:r>
      <w:r w:rsidR="00FC4894" w:rsidRPr="003F50A5">
        <w:rPr>
          <w:szCs w:val="22"/>
        </w:rPr>
        <w:t xml:space="preserve"> </w:t>
      </w:r>
      <w:r w:rsidR="00FC4894" w:rsidRPr="00C04193">
        <w:rPr>
          <w:szCs w:val="22"/>
        </w:rPr>
        <w:t>households</w:t>
      </w:r>
      <w:r w:rsidR="00CE0A85">
        <w:rPr>
          <w:szCs w:val="22"/>
        </w:rPr>
        <w:t xml:space="preserve">, </w:t>
      </w:r>
      <w:r w:rsidR="003F50A5">
        <w:rPr>
          <w:szCs w:val="22"/>
        </w:rPr>
        <w:t xml:space="preserve">small businesses, and residential and commercial strata with medium </w:t>
      </w:r>
      <w:r w:rsidR="00F1166C">
        <w:rPr>
          <w:szCs w:val="22"/>
        </w:rPr>
        <w:t>to</w:t>
      </w:r>
      <w:r w:rsidR="003F50A5">
        <w:rPr>
          <w:szCs w:val="22"/>
        </w:rPr>
        <w:t xml:space="preserve"> high cyclone and related flood damage risk,</w:t>
      </w:r>
      <w:r w:rsidR="003F50A5" w:rsidRPr="00FC4894" w:rsidDel="003F50A5">
        <w:t xml:space="preserve"> </w:t>
      </w:r>
      <w:r w:rsidR="00BE1A88">
        <w:t xml:space="preserve">when compared to what they would be </w:t>
      </w:r>
      <w:r w:rsidR="00332783">
        <w:t xml:space="preserve">in the absence of the </w:t>
      </w:r>
      <w:r w:rsidR="00DE18A8">
        <w:t>cyclone pool</w:t>
      </w:r>
      <w:r w:rsidR="004A2FCD">
        <w:t xml:space="preserve">, while maintaining premiums at comparable levels to the private market for </w:t>
      </w:r>
      <w:r w:rsidR="006579CE">
        <w:t>those with low</w:t>
      </w:r>
      <w:r w:rsidR="00FB778B">
        <w:t>er</w:t>
      </w:r>
      <w:r w:rsidR="006579CE">
        <w:t xml:space="preserve"> risk</w:t>
      </w:r>
      <w:r w:rsidR="00FC4894" w:rsidRPr="00FC4894">
        <w:t xml:space="preserve">? </w:t>
      </w:r>
    </w:p>
    <w:p w14:paraId="0EB361DE" w14:textId="7C727097" w:rsidR="00221376" w:rsidRDefault="00EB4EDE" w:rsidP="00221376">
      <w:pPr>
        <w:shd w:val="clear" w:color="auto" w:fill="E8F0FC" w:themeFill="accent5" w:themeFillTint="33"/>
      </w:pPr>
      <w:r>
        <w:t>2</w:t>
      </w:r>
      <w:r w:rsidR="00774C5B">
        <w:t>.</w:t>
      </w:r>
      <w:r w:rsidR="00221376">
        <w:rPr>
          <w:rFonts w:eastAsiaTheme="minorEastAsia"/>
        </w:rPr>
        <w:t xml:space="preserve"> </w:t>
      </w:r>
      <w:r w:rsidR="000076BA">
        <w:t>Are</w:t>
      </w:r>
      <w:r w:rsidR="00221376">
        <w:t xml:space="preserve"> the ARPC</w:t>
      </w:r>
      <w:r w:rsidR="000076BA">
        <w:t>’s</w:t>
      </w:r>
      <w:r w:rsidR="00221376">
        <w:t xml:space="preserve"> </w:t>
      </w:r>
      <w:r w:rsidR="000076BA">
        <w:t>discount</w:t>
      </w:r>
      <w:r w:rsidR="004B5F2D">
        <w:t>s for mitigation effective</w:t>
      </w:r>
      <w:r w:rsidR="00071241">
        <w:t>?</w:t>
      </w:r>
      <w:r w:rsidR="005463BF">
        <w:t xml:space="preserve"> </w:t>
      </w:r>
      <w:r w:rsidR="00221376">
        <w:t>Is pricing the only way the ARPC has encouraged risk mitigation?</w:t>
      </w:r>
    </w:p>
    <w:p w14:paraId="078255A3" w14:textId="3A2A65D3" w:rsidR="00F36D12" w:rsidRDefault="00F36D12" w:rsidP="00221376">
      <w:pPr>
        <w:shd w:val="clear" w:color="auto" w:fill="E8F0FC" w:themeFill="accent5" w:themeFillTint="33"/>
      </w:pPr>
      <w:r>
        <w:t xml:space="preserve">3. Are there any other matters that should be considered when assessing whether the cyclone pool should continue? </w:t>
      </w:r>
    </w:p>
    <w:p w14:paraId="7C8AF8DE" w14:textId="6EA3D474" w:rsidR="00A330CE" w:rsidRPr="00221376" w:rsidRDefault="00A330CE" w:rsidP="00221376">
      <w:pPr>
        <w:shd w:val="clear" w:color="auto" w:fill="E8F0FC" w:themeFill="accent5" w:themeFillTint="33"/>
      </w:pPr>
      <w:r>
        <w:t>4. Should the cyclone pool continue to exist? What would be the consequences of ending the cyclone pool?</w:t>
      </w:r>
    </w:p>
    <w:p w14:paraId="3E1DBE62" w14:textId="27829656" w:rsidR="007E476A" w:rsidRDefault="00507EFD" w:rsidP="00507EFD">
      <w:pPr>
        <w:pStyle w:val="Heading2"/>
      </w:pPr>
      <w:bookmarkStart w:id="70" w:name="_Toc210055990"/>
      <w:r>
        <w:t>Coverage</w:t>
      </w:r>
      <w:bookmarkEnd w:id="70"/>
    </w:p>
    <w:p w14:paraId="14B4B22C" w14:textId="007FBADD" w:rsidR="00507EFD" w:rsidRDefault="00615485" w:rsidP="00AB39DE">
      <w:pPr>
        <w:pStyle w:val="Heading3"/>
      </w:pPr>
      <w:bookmarkStart w:id="71" w:name="_Toc207898469"/>
      <w:bookmarkStart w:id="72" w:name="_Toc210055991"/>
      <w:r>
        <w:t>C</w:t>
      </w:r>
      <w:r w:rsidR="00507EFD">
        <w:t>overage period</w:t>
      </w:r>
      <w:bookmarkEnd w:id="71"/>
      <w:bookmarkEnd w:id="72"/>
    </w:p>
    <w:p w14:paraId="44041EE5" w14:textId="77777777" w:rsidR="008A449C" w:rsidRPr="009855BD" w:rsidRDefault="008A449C" w:rsidP="008A449C">
      <w:pPr>
        <w:rPr>
          <w:szCs w:val="22"/>
        </w:rPr>
      </w:pPr>
      <w:r w:rsidRPr="009855BD">
        <w:rPr>
          <w:szCs w:val="22"/>
        </w:rPr>
        <w:t xml:space="preserve">The cyclone pool’s coverage period was intended to support the intent of the cyclone pool, to target the highest cyclone risks, predominantly located in northern Australia. The coverage period has been subject to scrutiny, particularly following the significant rainfall from Tropical Cyclone Jasper </w:t>
      </w:r>
      <w:r w:rsidRPr="009855BD">
        <w:rPr>
          <w:szCs w:val="22"/>
        </w:rPr>
        <w:br/>
        <w:t xml:space="preserve">(see Box 1). </w:t>
      </w:r>
    </w:p>
    <w:p w14:paraId="22737AAC" w14:textId="2B6D4702" w:rsidR="009D4521" w:rsidRPr="009855BD" w:rsidRDefault="00A1336E" w:rsidP="009D4521">
      <w:pPr>
        <w:rPr>
          <w:szCs w:val="22"/>
        </w:rPr>
      </w:pPr>
      <w:r w:rsidRPr="009855BD">
        <w:rPr>
          <w:szCs w:val="22"/>
        </w:rPr>
        <w:t>Australia’s weather agency, the BoM, observe</w:t>
      </w:r>
      <w:r w:rsidR="00B9250F" w:rsidRPr="009855BD">
        <w:rPr>
          <w:szCs w:val="22"/>
        </w:rPr>
        <w:t>s</w:t>
      </w:r>
      <w:r w:rsidRPr="009855BD">
        <w:rPr>
          <w:szCs w:val="22"/>
        </w:rPr>
        <w:t xml:space="preserve"> when a cyclone begins, </w:t>
      </w:r>
      <w:r w:rsidR="00CA222D" w:rsidRPr="009855BD">
        <w:rPr>
          <w:szCs w:val="22"/>
        </w:rPr>
        <w:t>intensifies and ends</w:t>
      </w:r>
      <w:r w:rsidRPr="009855BD">
        <w:rPr>
          <w:szCs w:val="22"/>
        </w:rPr>
        <w:t xml:space="preserve">. </w:t>
      </w:r>
      <w:r w:rsidR="008C4C14" w:rsidRPr="009855BD">
        <w:rPr>
          <w:szCs w:val="22"/>
        </w:rPr>
        <w:t xml:space="preserve">If the BoM observes that a cyclone exists, and is likely to affect any part of Australia, it must notify the ARPC within 24 hours of making the observation. The ARPC must declare the start of a cyclone event within 24 hours of receiving </w:t>
      </w:r>
      <w:r w:rsidR="008E72E0">
        <w:rPr>
          <w:szCs w:val="22"/>
        </w:rPr>
        <w:t>the</w:t>
      </w:r>
      <w:r w:rsidR="008C4C14" w:rsidRPr="009855BD">
        <w:rPr>
          <w:szCs w:val="22"/>
        </w:rPr>
        <w:t xml:space="preserve"> BoM’s advice. </w:t>
      </w:r>
    </w:p>
    <w:p w14:paraId="4CD74EC0" w14:textId="680F09B4" w:rsidR="00167A48" w:rsidRPr="009855BD" w:rsidRDefault="00FA164E" w:rsidP="009D4521">
      <w:pPr>
        <w:rPr>
          <w:szCs w:val="22"/>
        </w:rPr>
      </w:pPr>
      <w:r w:rsidRPr="009855BD">
        <w:rPr>
          <w:szCs w:val="22"/>
        </w:rPr>
        <w:t xml:space="preserve">Relying on the BoM’s </w:t>
      </w:r>
      <w:r w:rsidR="00FF319C" w:rsidRPr="009855BD">
        <w:rPr>
          <w:szCs w:val="22"/>
        </w:rPr>
        <w:t>advice that a cyclone has ended, th</w:t>
      </w:r>
      <w:r w:rsidR="008C4C14" w:rsidRPr="009855BD">
        <w:rPr>
          <w:szCs w:val="22"/>
        </w:rPr>
        <w:t xml:space="preserve">e </w:t>
      </w:r>
      <w:r w:rsidR="008D22A4" w:rsidRPr="009855BD">
        <w:rPr>
          <w:szCs w:val="22"/>
        </w:rPr>
        <w:t xml:space="preserve">ARPC </w:t>
      </w:r>
      <w:r w:rsidR="00FF319C" w:rsidRPr="009855BD">
        <w:rPr>
          <w:szCs w:val="22"/>
        </w:rPr>
        <w:t xml:space="preserve">must make a subsequent declaration to note the end of a cyclone event. </w:t>
      </w:r>
      <w:r w:rsidR="00ED4E5A" w:rsidRPr="009855BD">
        <w:rPr>
          <w:szCs w:val="22"/>
        </w:rPr>
        <w:t>The cyclone event</w:t>
      </w:r>
      <w:r w:rsidR="00CB4A7F" w:rsidRPr="009855BD">
        <w:rPr>
          <w:szCs w:val="22"/>
        </w:rPr>
        <w:t>,</w:t>
      </w:r>
      <w:r w:rsidR="00460579" w:rsidRPr="009855BD">
        <w:rPr>
          <w:szCs w:val="22"/>
        </w:rPr>
        <w:t xml:space="preserve"> and with it the</w:t>
      </w:r>
      <w:r w:rsidR="00ED4E5A" w:rsidRPr="009855BD">
        <w:rPr>
          <w:szCs w:val="22"/>
        </w:rPr>
        <w:t xml:space="preserve"> claims period</w:t>
      </w:r>
      <w:r w:rsidR="00460579" w:rsidRPr="009855BD">
        <w:rPr>
          <w:szCs w:val="22"/>
        </w:rPr>
        <w:t>,</w:t>
      </w:r>
      <w:r w:rsidR="00ED4E5A" w:rsidRPr="009855BD">
        <w:rPr>
          <w:szCs w:val="22"/>
        </w:rPr>
        <w:t xml:space="preserve"> will conclude 48</w:t>
      </w:r>
      <w:r w:rsidR="00B6209F" w:rsidRPr="009855BD">
        <w:rPr>
          <w:szCs w:val="22"/>
        </w:rPr>
        <w:t> </w:t>
      </w:r>
      <w:r w:rsidR="00ED4E5A" w:rsidRPr="009855BD">
        <w:rPr>
          <w:szCs w:val="22"/>
        </w:rPr>
        <w:t xml:space="preserve">hours after the cyclone ends. </w:t>
      </w:r>
      <w:r w:rsidR="008C3A20" w:rsidRPr="009855BD">
        <w:rPr>
          <w:szCs w:val="22"/>
        </w:rPr>
        <w:t xml:space="preserve">This means the ARPC will cover eligible claims </w:t>
      </w:r>
      <w:r w:rsidR="00DF16C3" w:rsidRPr="009855BD">
        <w:rPr>
          <w:szCs w:val="22"/>
        </w:rPr>
        <w:t xml:space="preserve">for losses that commence </w:t>
      </w:r>
      <w:r w:rsidR="008C3A20" w:rsidRPr="009855BD">
        <w:rPr>
          <w:szCs w:val="22"/>
        </w:rPr>
        <w:t xml:space="preserve">during </w:t>
      </w:r>
      <w:r w:rsidR="00084A2A" w:rsidRPr="009855BD">
        <w:rPr>
          <w:szCs w:val="22"/>
        </w:rPr>
        <w:t xml:space="preserve">a </w:t>
      </w:r>
      <w:r w:rsidR="008C3A20" w:rsidRPr="009855BD">
        <w:rPr>
          <w:szCs w:val="22"/>
        </w:rPr>
        <w:t xml:space="preserve">cyclone and 48 hours after. </w:t>
      </w:r>
      <w:r w:rsidR="00D13844" w:rsidRPr="009855BD">
        <w:rPr>
          <w:szCs w:val="22"/>
        </w:rPr>
        <w:t>If a cyclone was declared to have ended but then re-intensifies based on the BoM’s advice, the ARPC must declare a new cyclone e</w:t>
      </w:r>
      <w:r w:rsidR="00D118CD" w:rsidRPr="009855BD">
        <w:rPr>
          <w:szCs w:val="22"/>
        </w:rPr>
        <w:t>vent.</w:t>
      </w:r>
      <w:r w:rsidR="00D118CD" w:rsidRPr="00FD15CB">
        <w:rPr>
          <w:rStyle w:val="FootnoteReference"/>
          <w:sz w:val="22"/>
          <w:szCs w:val="22"/>
        </w:rPr>
        <w:footnoteReference w:id="28"/>
      </w:r>
      <w:r w:rsidR="00AE2859" w:rsidRPr="009855BD">
        <w:rPr>
          <w:szCs w:val="22"/>
        </w:rPr>
        <w:t xml:space="preserve"> </w:t>
      </w:r>
    </w:p>
    <w:p w14:paraId="10EC15AC" w14:textId="7983F772" w:rsidR="00635C36" w:rsidRDefault="0079682A" w:rsidP="009D4521">
      <w:pPr>
        <w:rPr>
          <w:szCs w:val="22"/>
        </w:rPr>
      </w:pPr>
      <w:r w:rsidRPr="009855BD">
        <w:rPr>
          <w:szCs w:val="22"/>
        </w:rPr>
        <w:t>Generally</w:t>
      </w:r>
      <w:r w:rsidR="001160AD" w:rsidRPr="009855BD">
        <w:rPr>
          <w:szCs w:val="22"/>
        </w:rPr>
        <w:t xml:space="preserve"> under private market reinsurance contracts</w:t>
      </w:r>
      <w:r w:rsidR="005647D8" w:rsidRPr="009855BD">
        <w:rPr>
          <w:szCs w:val="22"/>
        </w:rPr>
        <w:t xml:space="preserve">, </w:t>
      </w:r>
      <w:r w:rsidR="008D0AB3" w:rsidRPr="009855BD">
        <w:rPr>
          <w:szCs w:val="22"/>
        </w:rPr>
        <w:t>insurers</w:t>
      </w:r>
      <w:r w:rsidR="00AC365B" w:rsidRPr="009855BD">
        <w:rPr>
          <w:szCs w:val="22"/>
        </w:rPr>
        <w:t xml:space="preserve"> can choose</w:t>
      </w:r>
      <w:r w:rsidR="008D0AB3" w:rsidRPr="009855BD">
        <w:rPr>
          <w:szCs w:val="22"/>
        </w:rPr>
        <w:t xml:space="preserve"> to recover the cost of event claims from reinsurers</w:t>
      </w:r>
      <w:r w:rsidR="00490052" w:rsidRPr="009855BD">
        <w:rPr>
          <w:szCs w:val="22"/>
        </w:rPr>
        <w:t xml:space="preserve"> that occur during</w:t>
      </w:r>
      <w:r w:rsidR="008D0AB3" w:rsidRPr="009855BD" w:rsidDel="00490052">
        <w:rPr>
          <w:szCs w:val="22"/>
        </w:rPr>
        <w:t xml:space="preserve"> </w:t>
      </w:r>
      <w:r w:rsidR="008D0AB3" w:rsidRPr="009855BD">
        <w:rPr>
          <w:szCs w:val="22"/>
        </w:rPr>
        <w:t xml:space="preserve">a maximum </w:t>
      </w:r>
      <w:r w:rsidR="00490052" w:rsidRPr="009855BD">
        <w:rPr>
          <w:szCs w:val="22"/>
        </w:rPr>
        <w:t xml:space="preserve">period </w:t>
      </w:r>
      <w:r w:rsidR="008D0AB3" w:rsidRPr="009855BD">
        <w:rPr>
          <w:szCs w:val="22"/>
        </w:rPr>
        <w:t xml:space="preserve">of 168 hours </w:t>
      </w:r>
      <w:r w:rsidR="00B72680" w:rsidRPr="009855BD">
        <w:rPr>
          <w:szCs w:val="22"/>
        </w:rPr>
        <w:t xml:space="preserve">from a point </w:t>
      </w:r>
      <w:r w:rsidR="00AC365B" w:rsidRPr="009855BD">
        <w:rPr>
          <w:szCs w:val="22"/>
        </w:rPr>
        <w:t xml:space="preserve">they choose as the start of </w:t>
      </w:r>
      <w:r w:rsidR="0097210F" w:rsidRPr="009855BD">
        <w:rPr>
          <w:szCs w:val="22"/>
        </w:rPr>
        <w:t>an</w:t>
      </w:r>
      <w:r w:rsidR="00A325AB" w:rsidRPr="009855BD">
        <w:rPr>
          <w:szCs w:val="22"/>
        </w:rPr>
        <w:t xml:space="preserve"> insured</w:t>
      </w:r>
      <w:r w:rsidR="0097210F" w:rsidRPr="009855BD">
        <w:rPr>
          <w:szCs w:val="22"/>
        </w:rPr>
        <w:t xml:space="preserve"> event. </w:t>
      </w:r>
      <w:r w:rsidR="00604970" w:rsidRPr="009855BD">
        <w:rPr>
          <w:szCs w:val="22"/>
        </w:rPr>
        <w:t xml:space="preserve">Therefore, depending on </w:t>
      </w:r>
      <w:r w:rsidR="00A16D25" w:rsidRPr="009855BD">
        <w:rPr>
          <w:szCs w:val="22"/>
        </w:rPr>
        <w:t>the cyclone duration</w:t>
      </w:r>
      <w:r w:rsidR="00A86740">
        <w:rPr>
          <w:szCs w:val="22"/>
        </w:rPr>
        <w:t>,</w:t>
      </w:r>
      <w:r w:rsidR="00A16D25" w:rsidRPr="009855BD">
        <w:rPr>
          <w:szCs w:val="22"/>
        </w:rPr>
        <w:t xml:space="preserve"> the ARPC’s coverage may be shorter or longer than the industry standar</w:t>
      </w:r>
      <w:r w:rsidR="0006190D" w:rsidRPr="009855BD">
        <w:rPr>
          <w:szCs w:val="22"/>
        </w:rPr>
        <w:t>d</w:t>
      </w:r>
      <w:r w:rsidR="00A16D25" w:rsidRPr="009855BD">
        <w:rPr>
          <w:szCs w:val="22"/>
        </w:rPr>
        <w:t xml:space="preserve">. For example, </w:t>
      </w:r>
      <w:r w:rsidR="00B606DF" w:rsidRPr="009855BD">
        <w:rPr>
          <w:szCs w:val="22"/>
        </w:rPr>
        <w:t xml:space="preserve">Tropical Cyclone Alfred’s </w:t>
      </w:r>
      <w:r w:rsidR="00963802" w:rsidRPr="009855BD">
        <w:rPr>
          <w:szCs w:val="22"/>
        </w:rPr>
        <w:t xml:space="preserve">cyclone pool </w:t>
      </w:r>
      <w:r w:rsidR="00B606DF" w:rsidRPr="009855BD">
        <w:rPr>
          <w:szCs w:val="22"/>
        </w:rPr>
        <w:t xml:space="preserve">claims period was 237.5 hours </w:t>
      </w:r>
      <w:r w:rsidR="00CF641B" w:rsidRPr="009855BD">
        <w:rPr>
          <w:szCs w:val="22"/>
        </w:rPr>
        <w:t>and Tropi</w:t>
      </w:r>
      <w:r w:rsidR="00DD38F3" w:rsidRPr="009855BD">
        <w:rPr>
          <w:szCs w:val="22"/>
        </w:rPr>
        <w:t>cal Cyclone Jasper’s was 128 hours</w:t>
      </w:r>
      <w:r w:rsidR="00D86581" w:rsidRPr="009855BD">
        <w:rPr>
          <w:szCs w:val="22"/>
        </w:rPr>
        <w:t xml:space="preserve"> from the </w:t>
      </w:r>
      <w:r w:rsidR="00DB11C1" w:rsidRPr="009855BD">
        <w:rPr>
          <w:szCs w:val="22"/>
        </w:rPr>
        <w:t>beginning of the cyclone event</w:t>
      </w:r>
      <w:r w:rsidR="00D3722A">
        <w:rPr>
          <w:szCs w:val="22"/>
        </w:rPr>
        <w:t>s</w:t>
      </w:r>
      <w:r w:rsidR="00DD38F3" w:rsidRPr="009855BD">
        <w:rPr>
          <w:szCs w:val="22"/>
        </w:rPr>
        <w:t xml:space="preserve">. </w:t>
      </w:r>
    </w:p>
    <w:p w14:paraId="7195B618" w14:textId="4F18D789" w:rsidR="00B62B00" w:rsidRPr="00A30B54" w:rsidRDefault="00B62B00" w:rsidP="00E078D6">
      <w:pPr>
        <w:pStyle w:val="BoxHeading"/>
      </w:pPr>
      <w:r w:rsidRPr="00A30B54">
        <w:t xml:space="preserve">Box 1: Tropical Cyclone Jasper and the coverage period </w:t>
      </w:r>
    </w:p>
    <w:p w14:paraId="5D78C64E" w14:textId="7A4AFE60" w:rsidR="00BE3A2E" w:rsidRPr="009855BD" w:rsidRDefault="0003229F" w:rsidP="00C939EA">
      <w:pPr>
        <w:shd w:val="clear" w:color="auto" w:fill="E8F0FC" w:themeFill="accent5" w:themeFillTint="33"/>
        <w:rPr>
          <w:szCs w:val="22"/>
        </w:rPr>
      </w:pPr>
      <w:r w:rsidRPr="009855BD">
        <w:rPr>
          <w:szCs w:val="22"/>
        </w:rPr>
        <w:t xml:space="preserve">The claims period for </w:t>
      </w:r>
      <w:r w:rsidR="00D770C3" w:rsidRPr="009855BD">
        <w:rPr>
          <w:szCs w:val="22"/>
        </w:rPr>
        <w:t xml:space="preserve">Tropical </w:t>
      </w:r>
      <w:r w:rsidR="00476579" w:rsidRPr="009855BD">
        <w:rPr>
          <w:szCs w:val="22"/>
        </w:rPr>
        <w:t>Cyclone Jasper</w:t>
      </w:r>
      <w:r w:rsidRPr="009855BD">
        <w:rPr>
          <w:szCs w:val="22"/>
        </w:rPr>
        <w:t xml:space="preserve"> began </w:t>
      </w:r>
      <w:r w:rsidR="00487DFB">
        <w:rPr>
          <w:szCs w:val="22"/>
        </w:rPr>
        <w:t xml:space="preserve">at 4pm on </w:t>
      </w:r>
      <w:r w:rsidR="007C68C7" w:rsidRPr="009855BD">
        <w:rPr>
          <w:szCs w:val="22"/>
        </w:rPr>
        <w:t xml:space="preserve">10 December 2023 </w:t>
      </w:r>
      <w:r w:rsidR="007631F3" w:rsidRPr="009855BD">
        <w:rPr>
          <w:szCs w:val="22"/>
        </w:rPr>
        <w:t xml:space="preserve">and ended 48 </w:t>
      </w:r>
      <w:r w:rsidR="00572D72" w:rsidRPr="009855BD">
        <w:rPr>
          <w:szCs w:val="22"/>
        </w:rPr>
        <w:t xml:space="preserve">hours after the </w:t>
      </w:r>
      <w:r w:rsidR="00F00583" w:rsidRPr="009855BD">
        <w:rPr>
          <w:szCs w:val="22"/>
        </w:rPr>
        <w:t>cyclone ended</w:t>
      </w:r>
      <w:r w:rsidR="007A5B8C" w:rsidRPr="009855BD">
        <w:rPr>
          <w:szCs w:val="22"/>
        </w:rPr>
        <w:t xml:space="preserve"> </w:t>
      </w:r>
      <w:r w:rsidR="00135996" w:rsidRPr="009855BD">
        <w:rPr>
          <w:szCs w:val="22"/>
        </w:rPr>
        <w:t>(</w:t>
      </w:r>
      <w:r w:rsidR="00487DFB">
        <w:rPr>
          <w:szCs w:val="22"/>
        </w:rPr>
        <w:t xml:space="preserve">12am on </w:t>
      </w:r>
      <w:r w:rsidR="006F4DE2" w:rsidRPr="009855BD">
        <w:rPr>
          <w:szCs w:val="22"/>
        </w:rPr>
        <w:t>14 December 2023</w:t>
      </w:r>
      <w:r w:rsidR="000F0E20" w:rsidRPr="009855BD">
        <w:rPr>
          <w:szCs w:val="22"/>
        </w:rPr>
        <w:t xml:space="preserve">) at </w:t>
      </w:r>
      <w:r w:rsidR="00487DFB">
        <w:rPr>
          <w:szCs w:val="22"/>
        </w:rPr>
        <w:t xml:space="preserve">12am on </w:t>
      </w:r>
      <w:r w:rsidR="00476A65" w:rsidRPr="009855BD">
        <w:rPr>
          <w:szCs w:val="22"/>
        </w:rPr>
        <w:t>16</w:t>
      </w:r>
      <w:r w:rsidR="00DB1C49" w:rsidRPr="009855BD">
        <w:rPr>
          <w:szCs w:val="22"/>
        </w:rPr>
        <w:t xml:space="preserve"> December</w:t>
      </w:r>
      <w:r w:rsidR="009B6D6D">
        <w:rPr>
          <w:szCs w:val="22"/>
        </w:rPr>
        <w:t xml:space="preserve"> 2023</w:t>
      </w:r>
      <w:r w:rsidR="00F00583" w:rsidRPr="009855BD">
        <w:rPr>
          <w:szCs w:val="22"/>
        </w:rPr>
        <w:t>.</w:t>
      </w:r>
      <w:r w:rsidR="00454361" w:rsidRPr="00FD15CB">
        <w:rPr>
          <w:rStyle w:val="FootnoteReference"/>
          <w:sz w:val="22"/>
          <w:szCs w:val="22"/>
        </w:rPr>
        <w:footnoteReference w:id="29"/>
      </w:r>
      <w:r w:rsidR="00F00583" w:rsidRPr="009855BD">
        <w:rPr>
          <w:szCs w:val="22"/>
        </w:rPr>
        <w:t xml:space="preserve"> </w:t>
      </w:r>
      <w:r w:rsidR="007A5B8C" w:rsidRPr="009855BD">
        <w:rPr>
          <w:szCs w:val="22"/>
        </w:rPr>
        <w:t>Two days later</w:t>
      </w:r>
      <w:r w:rsidR="00221454" w:rsidRPr="009855BD">
        <w:rPr>
          <w:szCs w:val="22"/>
        </w:rPr>
        <w:t>,</w:t>
      </w:r>
      <w:r w:rsidR="007A6041" w:rsidRPr="009855BD">
        <w:rPr>
          <w:szCs w:val="22"/>
        </w:rPr>
        <w:t xml:space="preserve"> the </w:t>
      </w:r>
      <w:r w:rsidR="00946286" w:rsidRPr="009855BD">
        <w:rPr>
          <w:szCs w:val="22"/>
        </w:rPr>
        <w:t>low-pressure</w:t>
      </w:r>
      <w:r w:rsidR="007A6041" w:rsidRPr="009855BD">
        <w:rPr>
          <w:szCs w:val="22"/>
        </w:rPr>
        <w:t xml:space="preserve"> system </w:t>
      </w:r>
      <w:r w:rsidR="00946286" w:rsidRPr="009855BD">
        <w:rPr>
          <w:szCs w:val="22"/>
        </w:rPr>
        <w:t xml:space="preserve">over Cairns </w:t>
      </w:r>
      <w:r w:rsidR="00E60A3D" w:rsidRPr="009855BD">
        <w:rPr>
          <w:szCs w:val="22"/>
        </w:rPr>
        <w:t>(</w:t>
      </w:r>
      <w:r w:rsidR="00C451C2">
        <w:rPr>
          <w:szCs w:val="22"/>
        </w:rPr>
        <w:t xml:space="preserve">Tropical </w:t>
      </w:r>
      <w:r w:rsidR="00E60A3D" w:rsidRPr="009855BD">
        <w:rPr>
          <w:szCs w:val="22"/>
        </w:rPr>
        <w:t xml:space="preserve">Cyclone Jasper having been downgraded to a </w:t>
      </w:r>
      <w:r w:rsidR="00946286" w:rsidRPr="009855BD">
        <w:rPr>
          <w:szCs w:val="22"/>
        </w:rPr>
        <w:t>low-pressure</w:t>
      </w:r>
      <w:r w:rsidR="00E60A3D" w:rsidRPr="009855BD">
        <w:rPr>
          <w:szCs w:val="22"/>
        </w:rPr>
        <w:t xml:space="preserve"> system) caused </w:t>
      </w:r>
      <w:r w:rsidR="00F80097" w:rsidRPr="009855BD">
        <w:rPr>
          <w:szCs w:val="22"/>
        </w:rPr>
        <w:t>extensive flooding</w:t>
      </w:r>
      <w:r w:rsidR="00490052" w:rsidRPr="009855BD">
        <w:rPr>
          <w:szCs w:val="22"/>
        </w:rPr>
        <w:t xml:space="preserve"> and other damage</w:t>
      </w:r>
      <w:r w:rsidR="002A68CC" w:rsidRPr="009855BD">
        <w:rPr>
          <w:szCs w:val="22"/>
        </w:rPr>
        <w:t xml:space="preserve">. </w:t>
      </w:r>
    </w:p>
    <w:p w14:paraId="1B65F024" w14:textId="29BBCD59" w:rsidR="00FF0D4D" w:rsidRPr="009855BD" w:rsidRDefault="00997CC5" w:rsidP="00C939EA">
      <w:pPr>
        <w:shd w:val="clear" w:color="auto" w:fill="E8F0FC" w:themeFill="accent5" w:themeFillTint="33"/>
        <w:rPr>
          <w:szCs w:val="22"/>
        </w:rPr>
      </w:pPr>
      <w:r w:rsidRPr="009855BD">
        <w:rPr>
          <w:szCs w:val="22"/>
        </w:rPr>
        <w:t xml:space="preserve">The length of the coverage period </w:t>
      </w:r>
      <w:r w:rsidR="00D83116" w:rsidRPr="009855BD">
        <w:rPr>
          <w:szCs w:val="22"/>
        </w:rPr>
        <w:t xml:space="preserve">has no effect on the ability of policyholders to claim under their </w:t>
      </w:r>
      <w:r w:rsidR="00F57EF5" w:rsidRPr="009855BD">
        <w:rPr>
          <w:szCs w:val="22"/>
        </w:rPr>
        <w:t xml:space="preserve">individual </w:t>
      </w:r>
      <w:r w:rsidR="00D83116" w:rsidRPr="009855BD">
        <w:rPr>
          <w:szCs w:val="22"/>
        </w:rPr>
        <w:t xml:space="preserve">insurance policies. </w:t>
      </w:r>
      <w:r w:rsidR="009938B9" w:rsidRPr="009855BD">
        <w:rPr>
          <w:szCs w:val="22"/>
        </w:rPr>
        <w:t>Rather, t</w:t>
      </w:r>
      <w:r w:rsidR="00665A72" w:rsidRPr="009855BD">
        <w:rPr>
          <w:szCs w:val="22"/>
        </w:rPr>
        <w:t>he effect of the coverage period</w:t>
      </w:r>
      <w:r w:rsidR="0090020E" w:rsidRPr="009855BD">
        <w:rPr>
          <w:szCs w:val="22"/>
        </w:rPr>
        <w:t xml:space="preserve"> </w:t>
      </w:r>
      <w:r w:rsidR="00D226C6">
        <w:rPr>
          <w:szCs w:val="22"/>
        </w:rPr>
        <w:t>for</w:t>
      </w:r>
      <w:r w:rsidR="0090020E" w:rsidRPr="009855BD">
        <w:rPr>
          <w:szCs w:val="22"/>
        </w:rPr>
        <w:t xml:space="preserve"> </w:t>
      </w:r>
      <w:r w:rsidR="006B74F1" w:rsidRPr="009855BD">
        <w:rPr>
          <w:szCs w:val="22"/>
        </w:rPr>
        <w:t>Tropical Cyclone Jasper</w:t>
      </w:r>
      <w:r w:rsidR="00665A72" w:rsidRPr="009855BD">
        <w:rPr>
          <w:szCs w:val="22"/>
        </w:rPr>
        <w:t xml:space="preserve"> was that</w:t>
      </w:r>
      <w:r w:rsidR="00D83116" w:rsidRPr="009855BD">
        <w:rPr>
          <w:szCs w:val="22"/>
        </w:rPr>
        <w:t xml:space="preserve"> i</w:t>
      </w:r>
      <w:r w:rsidR="00086DBA" w:rsidRPr="009855BD">
        <w:rPr>
          <w:szCs w:val="22"/>
        </w:rPr>
        <w:t>nsurers were unable to make</w:t>
      </w:r>
      <w:r w:rsidR="00306503" w:rsidRPr="009855BD">
        <w:rPr>
          <w:szCs w:val="22"/>
        </w:rPr>
        <w:t xml:space="preserve"> reinsurance claims under their reinsurance agreements with the ARPC</w:t>
      </w:r>
      <w:r w:rsidR="00086DBA" w:rsidRPr="009855BD">
        <w:rPr>
          <w:szCs w:val="22"/>
        </w:rPr>
        <w:t xml:space="preserve"> </w:t>
      </w:r>
      <w:r w:rsidR="00EC2F86" w:rsidRPr="009855BD">
        <w:rPr>
          <w:szCs w:val="22"/>
        </w:rPr>
        <w:t xml:space="preserve">for losses </w:t>
      </w:r>
      <w:r w:rsidR="00403E3D" w:rsidRPr="009855BD">
        <w:rPr>
          <w:szCs w:val="22"/>
        </w:rPr>
        <w:t>caused by</w:t>
      </w:r>
      <w:r w:rsidR="00B971A4" w:rsidRPr="009855BD">
        <w:rPr>
          <w:szCs w:val="22"/>
        </w:rPr>
        <w:t xml:space="preserve"> flooding outside of the </w:t>
      </w:r>
      <w:r w:rsidR="00DB1509" w:rsidRPr="009855BD">
        <w:rPr>
          <w:szCs w:val="22"/>
        </w:rPr>
        <w:t>coverage period.</w:t>
      </w:r>
    </w:p>
    <w:p w14:paraId="10110942" w14:textId="11E12F06" w:rsidR="00C422DE" w:rsidRPr="009855BD" w:rsidRDefault="004F2AAC" w:rsidP="00C939EA">
      <w:pPr>
        <w:shd w:val="clear" w:color="auto" w:fill="E8F0FC" w:themeFill="accent5" w:themeFillTint="33"/>
        <w:rPr>
          <w:szCs w:val="22"/>
        </w:rPr>
      </w:pPr>
      <w:r w:rsidRPr="009855BD">
        <w:rPr>
          <w:szCs w:val="22"/>
        </w:rPr>
        <w:t>If policyholders held flood cover</w:t>
      </w:r>
      <w:r w:rsidR="00AB7A37" w:rsidRPr="009855BD">
        <w:rPr>
          <w:szCs w:val="22"/>
        </w:rPr>
        <w:t>,</w:t>
      </w:r>
      <w:r w:rsidRPr="009855BD">
        <w:rPr>
          <w:szCs w:val="22"/>
        </w:rPr>
        <w:t xml:space="preserve"> insurers were liable to pay </w:t>
      </w:r>
      <w:r w:rsidR="004F7EC4" w:rsidRPr="009855BD">
        <w:rPr>
          <w:szCs w:val="22"/>
        </w:rPr>
        <w:t xml:space="preserve">eligible </w:t>
      </w:r>
      <w:r w:rsidR="00AB7A37" w:rsidRPr="009855BD">
        <w:rPr>
          <w:szCs w:val="22"/>
        </w:rPr>
        <w:t>claims in line with the terms and conditions of policyholders</w:t>
      </w:r>
      <w:r w:rsidR="00C5357E">
        <w:rPr>
          <w:szCs w:val="22"/>
        </w:rPr>
        <w:t>’</w:t>
      </w:r>
      <w:r w:rsidR="00AB7A37" w:rsidRPr="009855BD">
        <w:rPr>
          <w:szCs w:val="22"/>
        </w:rPr>
        <w:t xml:space="preserve"> polic</w:t>
      </w:r>
      <w:r w:rsidR="00C5357E">
        <w:rPr>
          <w:szCs w:val="22"/>
        </w:rPr>
        <w:t>ies</w:t>
      </w:r>
      <w:r w:rsidR="00AB7A37" w:rsidRPr="009855BD">
        <w:rPr>
          <w:szCs w:val="22"/>
        </w:rPr>
        <w:t xml:space="preserve">. </w:t>
      </w:r>
      <w:r w:rsidR="008E7A10" w:rsidRPr="009855BD">
        <w:rPr>
          <w:szCs w:val="22"/>
        </w:rPr>
        <w:t>In</w:t>
      </w:r>
      <w:r w:rsidR="00247479" w:rsidRPr="009855BD">
        <w:rPr>
          <w:szCs w:val="22"/>
        </w:rPr>
        <w:t>surers</w:t>
      </w:r>
      <w:r w:rsidR="00D01CA9" w:rsidRPr="009855BD">
        <w:rPr>
          <w:szCs w:val="22"/>
        </w:rPr>
        <w:t xml:space="preserve"> themselves </w:t>
      </w:r>
      <w:r w:rsidR="004A03A8" w:rsidRPr="009855BD">
        <w:rPr>
          <w:szCs w:val="22"/>
        </w:rPr>
        <w:t>could make</w:t>
      </w:r>
      <w:r w:rsidR="00D01CA9" w:rsidRPr="009855BD">
        <w:rPr>
          <w:szCs w:val="22"/>
        </w:rPr>
        <w:t xml:space="preserve"> </w:t>
      </w:r>
      <w:r w:rsidR="00254C87" w:rsidRPr="009855BD">
        <w:rPr>
          <w:szCs w:val="22"/>
        </w:rPr>
        <w:t xml:space="preserve">reinsurance claims </w:t>
      </w:r>
      <w:r w:rsidR="00795D58" w:rsidRPr="009855BD">
        <w:rPr>
          <w:szCs w:val="22"/>
        </w:rPr>
        <w:t>in accordance with any private reinsurance agreements they held for losses not</w:t>
      </w:r>
      <w:r w:rsidR="00FA20F3" w:rsidRPr="009855BD">
        <w:rPr>
          <w:szCs w:val="22"/>
        </w:rPr>
        <w:t xml:space="preserve"> covered by the ARPC. </w:t>
      </w:r>
    </w:p>
    <w:p w14:paraId="7C2A69A2" w14:textId="2B26E89C" w:rsidR="00A2627C" w:rsidRPr="009855BD" w:rsidRDefault="00BF6AAD" w:rsidP="00C939EA">
      <w:pPr>
        <w:shd w:val="clear" w:color="auto" w:fill="E8F0FC" w:themeFill="accent5" w:themeFillTint="33"/>
        <w:rPr>
          <w:szCs w:val="22"/>
        </w:rPr>
      </w:pPr>
      <w:r w:rsidRPr="009855BD">
        <w:rPr>
          <w:szCs w:val="22"/>
        </w:rPr>
        <w:t xml:space="preserve">The ARPC </w:t>
      </w:r>
      <w:r w:rsidR="007C6279" w:rsidRPr="009855BD">
        <w:rPr>
          <w:szCs w:val="22"/>
        </w:rPr>
        <w:t xml:space="preserve">incurred </w:t>
      </w:r>
      <w:r w:rsidR="005C66D9" w:rsidRPr="009855BD">
        <w:rPr>
          <w:szCs w:val="22"/>
        </w:rPr>
        <w:t>$9</w:t>
      </w:r>
      <w:r w:rsidR="005C66D9" w:rsidRPr="009855BD" w:rsidDel="007C6279">
        <w:rPr>
          <w:szCs w:val="22"/>
        </w:rPr>
        <w:t>1</w:t>
      </w:r>
      <w:r w:rsidR="00423285" w:rsidRPr="009855BD">
        <w:rPr>
          <w:szCs w:val="22"/>
        </w:rPr>
        <w:t xml:space="preserve"> million</w:t>
      </w:r>
      <w:r w:rsidR="005C66D9" w:rsidRPr="009855BD">
        <w:rPr>
          <w:szCs w:val="22"/>
        </w:rPr>
        <w:t xml:space="preserve"> in reinsurance claims </w:t>
      </w:r>
      <w:r w:rsidR="00A16777" w:rsidRPr="009855BD">
        <w:rPr>
          <w:szCs w:val="22"/>
        </w:rPr>
        <w:t>related to</w:t>
      </w:r>
      <w:r w:rsidR="0052622D" w:rsidRPr="009855BD">
        <w:rPr>
          <w:szCs w:val="22"/>
        </w:rPr>
        <w:t xml:space="preserve"> </w:t>
      </w:r>
      <w:r w:rsidR="00B728EE" w:rsidRPr="009855BD">
        <w:rPr>
          <w:szCs w:val="22"/>
        </w:rPr>
        <w:t xml:space="preserve">Tropical </w:t>
      </w:r>
      <w:r w:rsidR="0052622D" w:rsidRPr="009855BD">
        <w:rPr>
          <w:szCs w:val="22"/>
        </w:rPr>
        <w:t>Cyclone</w:t>
      </w:r>
      <w:r w:rsidR="00A16777" w:rsidRPr="009855BD">
        <w:rPr>
          <w:szCs w:val="22"/>
        </w:rPr>
        <w:t xml:space="preserve"> Jasper. </w:t>
      </w:r>
      <w:r w:rsidR="00566778" w:rsidRPr="009855BD">
        <w:rPr>
          <w:szCs w:val="22"/>
        </w:rPr>
        <w:t xml:space="preserve">By contrast the total insured losses </w:t>
      </w:r>
      <w:r w:rsidR="00993C0F" w:rsidRPr="009855BD">
        <w:rPr>
          <w:szCs w:val="22"/>
        </w:rPr>
        <w:t>associated with</w:t>
      </w:r>
      <w:r w:rsidR="00F430A6" w:rsidRPr="009855BD">
        <w:rPr>
          <w:szCs w:val="22"/>
        </w:rPr>
        <w:t xml:space="preserve"> </w:t>
      </w:r>
      <w:r w:rsidR="00A26DEA" w:rsidRPr="009855BD">
        <w:rPr>
          <w:szCs w:val="22"/>
        </w:rPr>
        <w:t>Tropical</w:t>
      </w:r>
      <w:r w:rsidR="00F430A6" w:rsidRPr="009855BD">
        <w:rPr>
          <w:szCs w:val="22"/>
        </w:rPr>
        <w:t xml:space="preserve"> Cyclone Jasp</w:t>
      </w:r>
      <w:r w:rsidR="00252EF7" w:rsidRPr="009855BD">
        <w:rPr>
          <w:szCs w:val="22"/>
        </w:rPr>
        <w:t xml:space="preserve">er </w:t>
      </w:r>
      <w:r w:rsidR="002500FC" w:rsidRPr="009855BD">
        <w:rPr>
          <w:szCs w:val="22"/>
        </w:rPr>
        <w:t>w</w:t>
      </w:r>
      <w:r w:rsidR="00E8373A" w:rsidRPr="009855BD">
        <w:rPr>
          <w:szCs w:val="22"/>
        </w:rPr>
        <w:t>as</w:t>
      </w:r>
      <w:r w:rsidR="006C5D0C" w:rsidRPr="009855BD">
        <w:rPr>
          <w:szCs w:val="22"/>
        </w:rPr>
        <w:t xml:space="preserve"> $</w:t>
      </w:r>
      <w:r w:rsidR="00557D9E" w:rsidRPr="009855BD">
        <w:rPr>
          <w:szCs w:val="22"/>
        </w:rPr>
        <w:t>4</w:t>
      </w:r>
      <w:r w:rsidR="00F52453" w:rsidRPr="009855BD">
        <w:rPr>
          <w:szCs w:val="22"/>
        </w:rPr>
        <w:t>20</w:t>
      </w:r>
      <w:r w:rsidR="00557D9E" w:rsidRPr="009855BD">
        <w:rPr>
          <w:szCs w:val="22"/>
        </w:rPr>
        <w:t xml:space="preserve"> million according to </w:t>
      </w:r>
      <w:r w:rsidR="00423285" w:rsidRPr="009855BD">
        <w:rPr>
          <w:szCs w:val="22"/>
        </w:rPr>
        <w:t xml:space="preserve">Insurance Council of Australia </w:t>
      </w:r>
      <w:r w:rsidR="008100DD" w:rsidRPr="009855BD">
        <w:rPr>
          <w:szCs w:val="22"/>
        </w:rPr>
        <w:t xml:space="preserve">(ICA) </w:t>
      </w:r>
      <w:r w:rsidR="00423285" w:rsidRPr="009855BD">
        <w:rPr>
          <w:szCs w:val="22"/>
        </w:rPr>
        <w:t>data.</w:t>
      </w:r>
      <w:r w:rsidR="008100DD" w:rsidRPr="00FD15CB">
        <w:rPr>
          <w:rStyle w:val="FootnoteReference"/>
          <w:sz w:val="22"/>
          <w:szCs w:val="22"/>
        </w:rPr>
        <w:footnoteReference w:id="30"/>
      </w:r>
      <w:r w:rsidR="00423285" w:rsidRPr="009855BD">
        <w:rPr>
          <w:szCs w:val="22"/>
        </w:rPr>
        <w:t xml:space="preserve"> </w:t>
      </w:r>
    </w:p>
    <w:p w14:paraId="6B37B846" w14:textId="25D84398" w:rsidR="00BF6AAD" w:rsidRPr="009855BD" w:rsidRDefault="00906315" w:rsidP="00C939EA">
      <w:pPr>
        <w:shd w:val="clear" w:color="auto" w:fill="E8F0FC" w:themeFill="accent5" w:themeFillTint="33"/>
        <w:rPr>
          <w:szCs w:val="22"/>
        </w:rPr>
      </w:pPr>
      <w:r w:rsidRPr="009855BD">
        <w:rPr>
          <w:szCs w:val="22"/>
        </w:rPr>
        <w:t xml:space="preserve">However, </w:t>
      </w:r>
      <w:r w:rsidR="00B81204" w:rsidRPr="009855BD">
        <w:rPr>
          <w:szCs w:val="22"/>
        </w:rPr>
        <w:t xml:space="preserve">some </w:t>
      </w:r>
      <w:r w:rsidR="004A0488" w:rsidRPr="009855BD">
        <w:rPr>
          <w:szCs w:val="22"/>
        </w:rPr>
        <w:t xml:space="preserve">insurers had </w:t>
      </w:r>
      <w:r w:rsidR="00B81204" w:rsidRPr="009855BD">
        <w:rPr>
          <w:szCs w:val="22"/>
        </w:rPr>
        <w:t xml:space="preserve">not </w:t>
      </w:r>
      <w:r w:rsidR="004A0488" w:rsidRPr="009855BD">
        <w:rPr>
          <w:szCs w:val="22"/>
        </w:rPr>
        <w:t>joined the cyclone pool before Tropical Cyclone Jasper</w:t>
      </w:r>
      <w:r w:rsidR="00990F8F" w:rsidRPr="009855BD">
        <w:rPr>
          <w:szCs w:val="22"/>
        </w:rPr>
        <w:t>, as small insurers</w:t>
      </w:r>
      <w:r w:rsidR="00A73A8F" w:rsidRPr="009855BD">
        <w:rPr>
          <w:szCs w:val="22"/>
        </w:rPr>
        <w:t xml:space="preserve"> had until </w:t>
      </w:r>
      <w:r w:rsidR="00433CEA" w:rsidRPr="009855BD">
        <w:rPr>
          <w:szCs w:val="22"/>
        </w:rPr>
        <w:t xml:space="preserve">31 December 2024 to join. </w:t>
      </w:r>
      <w:r w:rsidR="000E4849">
        <w:rPr>
          <w:szCs w:val="22"/>
        </w:rPr>
        <w:t>Further,</w:t>
      </w:r>
      <w:r w:rsidR="00BA5DD6" w:rsidRPr="009855BD">
        <w:rPr>
          <w:szCs w:val="22"/>
        </w:rPr>
        <w:t xml:space="preserve"> the difference between</w:t>
      </w:r>
      <w:r w:rsidR="00CB42CF" w:rsidRPr="009855BD">
        <w:rPr>
          <w:szCs w:val="22"/>
        </w:rPr>
        <w:t xml:space="preserve"> the ICA’s estimate </w:t>
      </w:r>
      <w:r w:rsidR="004C183E" w:rsidRPr="009855BD">
        <w:rPr>
          <w:szCs w:val="22"/>
        </w:rPr>
        <w:t>and ARPC’s paid claims</w:t>
      </w:r>
      <w:r w:rsidR="004B12B1" w:rsidRPr="009855BD">
        <w:rPr>
          <w:szCs w:val="22"/>
        </w:rPr>
        <w:t xml:space="preserve"> </w:t>
      </w:r>
      <w:r w:rsidR="000037A0">
        <w:rPr>
          <w:szCs w:val="22"/>
        </w:rPr>
        <w:t>is not directly comparable</w:t>
      </w:r>
      <w:r w:rsidR="00367712">
        <w:rPr>
          <w:szCs w:val="22"/>
        </w:rPr>
        <w:t>. The ACCC</w:t>
      </w:r>
      <w:r w:rsidR="00825DB4">
        <w:rPr>
          <w:szCs w:val="22"/>
        </w:rPr>
        <w:t>’s 2024 price monitoring report</w:t>
      </w:r>
      <w:r w:rsidR="00367712">
        <w:rPr>
          <w:szCs w:val="22"/>
        </w:rPr>
        <w:t xml:space="preserve"> notes that the ICA estimate includes</w:t>
      </w:r>
      <w:r w:rsidR="00341F33" w:rsidRPr="009855BD">
        <w:rPr>
          <w:szCs w:val="22"/>
        </w:rPr>
        <w:t xml:space="preserve"> clas</w:t>
      </w:r>
      <w:r w:rsidR="008D18F0" w:rsidRPr="009855BD">
        <w:rPr>
          <w:szCs w:val="22"/>
        </w:rPr>
        <w:t xml:space="preserve">ses of </w:t>
      </w:r>
      <w:r w:rsidR="00356A32" w:rsidRPr="009855BD">
        <w:rPr>
          <w:szCs w:val="22"/>
        </w:rPr>
        <w:t>business the cyclone pool does</w:t>
      </w:r>
      <w:r w:rsidR="00A00CAC" w:rsidRPr="009855BD">
        <w:rPr>
          <w:szCs w:val="22"/>
        </w:rPr>
        <w:t xml:space="preserve"> </w:t>
      </w:r>
      <w:r w:rsidR="00356A32" w:rsidRPr="009855BD">
        <w:rPr>
          <w:szCs w:val="22"/>
        </w:rPr>
        <w:t>n</w:t>
      </w:r>
      <w:r w:rsidR="00A00CAC" w:rsidRPr="009855BD">
        <w:rPr>
          <w:szCs w:val="22"/>
        </w:rPr>
        <w:t>o</w:t>
      </w:r>
      <w:r w:rsidR="00356A32" w:rsidRPr="009855BD">
        <w:rPr>
          <w:szCs w:val="22"/>
        </w:rPr>
        <w:t xml:space="preserve">t cover such as motor vehicle </w:t>
      </w:r>
      <w:r w:rsidR="00327008" w:rsidRPr="009855BD">
        <w:rPr>
          <w:szCs w:val="22"/>
        </w:rPr>
        <w:t>and commercial property claims</w:t>
      </w:r>
      <w:r w:rsidR="009A6DA1" w:rsidRPr="009855BD">
        <w:rPr>
          <w:szCs w:val="22"/>
        </w:rPr>
        <w:t>. The ACCC also point</w:t>
      </w:r>
      <w:r w:rsidR="00A00CAC" w:rsidRPr="009855BD">
        <w:rPr>
          <w:szCs w:val="22"/>
        </w:rPr>
        <w:t>ed</w:t>
      </w:r>
      <w:r w:rsidR="009A6DA1" w:rsidRPr="009855BD">
        <w:rPr>
          <w:szCs w:val="22"/>
        </w:rPr>
        <w:t xml:space="preserve"> to damage not covered by the </w:t>
      </w:r>
      <w:r w:rsidR="00B00291" w:rsidRPr="009855BD">
        <w:rPr>
          <w:szCs w:val="22"/>
        </w:rPr>
        <w:t xml:space="preserve">cyclone </w:t>
      </w:r>
      <w:r w:rsidR="009A6DA1" w:rsidRPr="009855BD">
        <w:rPr>
          <w:szCs w:val="22"/>
        </w:rPr>
        <w:t>pool such as the flooding outside of the coverage period.</w:t>
      </w:r>
      <w:r w:rsidR="009A6DA1" w:rsidRPr="00FD15CB">
        <w:rPr>
          <w:rStyle w:val="FootnoteReference"/>
          <w:sz w:val="22"/>
          <w:szCs w:val="22"/>
        </w:rPr>
        <w:footnoteReference w:id="31"/>
      </w:r>
    </w:p>
    <w:p w14:paraId="4B8A58BD" w14:textId="1870484B" w:rsidR="004F27FD" w:rsidRDefault="004F27FD" w:rsidP="004F27FD">
      <w:r w:rsidRPr="009855BD">
        <w:rPr>
          <w:szCs w:val="22"/>
        </w:rPr>
        <w:t>The Joint Select Committee</w:t>
      </w:r>
      <w:r w:rsidR="0023527B" w:rsidRPr="009855BD">
        <w:rPr>
          <w:szCs w:val="22"/>
        </w:rPr>
        <w:t xml:space="preserve"> on Northern Australia (Joint Select Committee)</w:t>
      </w:r>
      <w:r w:rsidR="00A14D32" w:rsidRPr="009855BD">
        <w:rPr>
          <w:szCs w:val="22"/>
        </w:rPr>
        <w:t xml:space="preserve"> </w:t>
      </w:r>
      <w:r w:rsidR="008A2C11" w:rsidRPr="009855BD">
        <w:rPr>
          <w:szCs w:val="22"/>
        </w:rPr>
        <w:t>p</w:t>
      </w:r>
      <w:r w:rsidR="00AB6185" w:rsidRPr="009855BD">
        <w:rPr>
          <w:szCs w:val="22"/>
        </w:rPr>
        <w:t xml:space="preserve">ublished its first report on the cyclone pool in 2023. </w:t>
      </w:r>
      <w:r w:rsidR="00F317F7">
        <w:rPr>
          <w:szCs w:val="22"/>
        </w:rPr>
        <w:t>Among other recommendations, t</w:t>
      </w:r>
      <w:r w:rsidR="008A2C11" w:rsidRPr="009855BD">
        <w:rPr>
          <w:szCs w:val="22"/>
        </w:rPr>
        <w:t>he</w:t>
      </w:r>
      <w:r w:rsidRPr="009855BD" w:rsidDel="008A2C11">
        <w:rPr>
          <w:szCs w:val="22"/>
        </w:rPr>
        <w:t xml:space="preserve"> </w:t>
      </w:r>
      <w:r w:rsidRPr="009855BD">
        <w:rPr>
          <w:szCs w:val="22"/>
        </w:rPr>
        <w:t>report recommended the Australian Government review the impact of</w:t>
      </w:r>
      <w:r>
        <w:t xml:space="preserve"> the 48-hour clause on the cost of insurance premiums for northern Australians, and the availability of insurance in the region as part of the 2025</w:t>
      </w:r>
      <w:r w:rsidR="0047148B">
        <w:t xml:space="preserve"> </w:t>
      </w:r>
      <w:r>
        <w:t>review, and to adjust this clause if necessary.</w:t>
      </w:r>
      <w:r w:rsidRPr="00FD15CB">
        <w:rPr>
          <w:rStyle w:val="FootnoteReference"/>
          <w:sz w:val="22"/>
          <w:szCs w:val="22"/>
        </w:rPr>
        <w:footnoteReference w:id="32"/>
      </w:r>
    </w:p>
    <w:p w14:paraId="7E801AD3" w14:textId="7D4C5EC7" w:rsidR="00AF7C9E" w:rsidRDefault="00B85D90" w:rsidP="009D4521">
      <w:r>
        <w:t xml:space="preserve">In September 2024, the ARPC published modelling </w:t>
      </w:r>
      <w:r w:rsidR="0023252A">
        <w:t xml:space="preserve">on the </w:t>
      </w:r>
      <w:r w:rsidR="007774DD">
        <w:t xml:space="preserve">potential </w:t>
      </w:r>
      <w:r w:rsidR="0023252A">
        <w:t xml:space="preserve">impacts </w:t>
      </w:r>
      <w:r w:rsidR="009761A6">
        <w:t xml:space="preserve">of increasing the coverage period </w:t>
      </w:r>
      <w:r w:rsidR="0053469B">
        <w:t xml:space="preserve">to </w:t>
      </w:r>
      <w:r w:rsidR="001A0595">
        <w:t xml:space="preserve">168 hours after a </w:t>
      </w:r>
      <w:r w:rsidR="008B7C90">
        <w:t>DCE</w:t>
      </w:r>
      <w:r w:rsidR="001A0595">
        <w:t>.</w:t>
      </w:r>
      <w:r w:rsidR="0093689F">
        <w:t xml:space="preserve"> </w:t>
      </w:r>
      <w:r w:rsidR="00B04AF3">
        <w:t xml:space="preserve">The modelling </w:t>
      </w:r>
      <w:r w:rsidR="00307B54">
        <w:t>indicated that extending the coverage period would increase the</w:t>
      </w:r>
      <w:r w:rsidR="00544F2A">
        <w:t xml:space="preserve"> expected</w:t>
      </w:r>
      <w:r w:rsidR="00307B54">
        <w:t xml:space="preserve"> average annual loss </w:t>
      </w:r>
      <w:r w:rsidR="007E4EE6">
        <w:t>of</w:t>
      </w:r>
      <w:r w:rsidR="00122C2A">
        <w:t xml:space="preserve"> the cyclone</w:t>
      </w:r>
      <w:r w:rsidR="00C33EF9">
        <w:t xml:space="preserve"> pool</w:t>
      </w:r>
      <w:r w:rsidR="00122C2A">
        <w:t xml:space="preserve"> </w:t>
      </w:r>
      <w:r w:rsidR="00307B54">
        <w:t>by $20</w:t>
      </w:r>
      <w:r w:rsidR="004828A5">
        <w:t xml:space="preserve"> million</w:t>
      </w:r>
      <w:r w:rsidR="00930A78">
        <w:t xml:space="preserve"> to </w:t>
      </w:r>
      <w:r w:rsidR="000548DF">
        <w:t>$</w:t>
      </w:r>
      <w:r w:rsidR="00C475EA">
        <w:t>3</w:t>
      </w:r>
      <w:r w:rsidR="00307B54">
        <w:t>5 million</w:t>
      </w:r>
      <w:r w:rsidR="007E4EE6" w:rsidRPr="00051313">
        <w:t>.</w:t>
      </w:r>
      <w:r w:rsidR="008F75BB" w:rsidRPr="00051313">
        <w:t xml:space="preserve"> As the cyc</w:t>
      </w:r>
      <w:r w:rsidR="00544F2A" w:rsidRPr="00051313">
        <w:t>lone pool is required to be cost neutral over the long term,</w:t>
      </w:r>
      <w:r w:rsidR="00C8078D" w:rsidRPr="00051313">
        <w:t xml:space="preserve"> these additional expected losses would need to be covered by </w:t>
      </w:r>
      <w:r w:rsidR="004D3EAF" w:rsidRPr="00051313">
        <w:t>an equivalent increase in aggregate premiums</w:t>
      </w:r>
      <w:r w:rsidR="00D16CC9" w:rsidRPr="00051313">
        <w:t>, such as by increasing</w:t>
      </w:r>
      <w:r w:rsidR="00924D98" w:rsidRPr="00051313">
        <w:t xml:space="preserve"> premiums or by </w:t>
      </w:r>
      <w:r w:rsidR="0087399A" w:rsidRPr="00051313">
        <w:t>charg</w:t>
      </w:r>
      <w:r w:rsidR="00CF5F39" w:rsidRPr="00051313">
        <w:t xml:space="preserve">ing </w:t>
      </w:r>
      <w:r w:rsidR="00923414" w:rsidRPr="00051313">
        <w:t xml:space="preserve">premiums to </w:t>
      </w:r>
      <w:r w:rsidR="00892A8E" w:rsidRPr="00051313">
        <w:t xml:space="preserve">policies in postcodes </w:t>
      </w:r>
      <w:r w:rsidR="00923414" w:rsidRPr="00051313">
        <w:t>currently not levied</w:t>
      </w:r>
      <w:r w:rsidR="00AC3EF0" w:rsidRPr="00051313">
        <w:t>.</w:t>
      </w:r>
      <w:r w:rsidR="007C1D5C" w:rsidRPr="00051313">
        <w:rPr>
          <w:rStyle w:val="FootnoteReference"/>
          <w:sz w:val="22"/>
          <w:szCs w:val="22"/>
        </w:rPr>
        <w:footnoteReference w:id="33"/>
      </w:r>
      <w:r w:rsidR="00AF58A2">
        <w:t xml:space="preserve"> </w:t>
      </w:r>
    </w:p>
    <w:p w14:paraId="29A6C1F2" w14:textId="607E7364" w:rsidR="004F3CDB" w:rsidRDefault="006C5198" w:rsidP="009D4521">
      <w:r>
        <w:t xml:space="preserve">The impact of increasing the coverage period on </w:t>
      </w:r>
      <w:r w:rsidR="0010239B">
        <w:t xml:space="preserve">aggregate savings is uncertain, as it would depend largely on how </w:t>
      </w:r>
      <w:r w:rsidR="00444F5D">
        <w:t xml:space="preserve">insurers and </w:t>
      </w:r>
      <w:r w:rsidR="0010239B">
        <w:t xml:space="preserve">reinsurers respond. </w:t>
      </w:r>
      <w:r w:rsidR="006113FF">
        <w:t xml:space="preserve">Currently, the risk of damage from </w:t>
      </w:r>
      <w:r w:rsidR="00B655BA">
        <w:t xml:space="preserve">an ex-tropical cyclone that occurs more than 48 hours after the cyclone is downgraded is either retained by the insurer or privately reinsured. </w:t>
      </w:r>
      <w:r w:rsidR="004F3CDB">
        <w:t xml:space="preserve">Extending the coverage period would </w:t>
      </w:r>
      <w:r w:rsidR="001160B2">
        <w:t xml:space="preserve">transfer </w:t>
      </w:r>
      <w:r w:rsidR="004F3CDB">
        <w:t>this risk to the ARPC.</w:t>
      </w:r>
    </w:p>
    <w:p w14:paraId="73D0E867" w14:textId="02D7D161" w:rsidR="00474945" w:rsidRDefault="0010239B" w:rsidP="009D4521">
      <w:r>
        <w:t>If</w:t>
      </w:r>
      <w:r w:rsidR="001A0FD6">
        <w:t xml:space="preserve"> reinsurers </w:t>
      </w:r>
      <w:r w:rsidR="00742975">
        <w:t>share the ARPC’s view of the redistribution of risk</w:t>
      </w:r>
      <w:r w:rsidR="00484DE6">
        <w:t>,</w:t>
      </w:r>
      <w:r w:rsidR="00C7091D">
        <w:t xml:space="preserve"> </w:t>
      </w:r>
      <w:r w:rsidR="006326C6">
        <w:t>t</w:t>
      </w:r>
      <w:r w:rsidR="004923B6">
        <w:t>hen</w:t>
      </w:r>
      <w:r w:rsidR="006326C6">
        <w:t xml:space="preserve"> </w:t>
      </w:r>
      <w:r w:rsidR="00D7774E">
        <w:t xml:space="preserve">a small increase in the </w:t>
      </w:r>
      <w:r w:rsidR="00484DE6">
        <w:t xml:space="preserve">cyclone </w:t>
      </w:r>
      <w:r w:rsidR="00D7774E">
        <w:t xml:space="preserve">pool’s aggregate savings could be expected. </w:t>
      </w:r>
      <w:r w:rsidR="00720B4A">
        <w:t>However</w:t>
      </w:r>
      <w:r w:rsidR="009D3F94">
        <w:t xml:space="preserve">, </w:t>
      </w:r>
      <w:r w:rsidR="000B0E98">
        <w:t>if reinsurers</w:t>
      </w:r>
      <w:r w:rsidR="000B4C09">
        <w:t xml:space="preserve"> </w:t>
      </w:r>
      <w:r w:rsidR="00C62397">
        <w:t xml:space="preserve">form a different view of risk coverage to the ARPC, they may not adjust </w:t>
      </w:r>
      <w:r w:rsidR="002327B6">
        <w:t>their reinsurance premium rates</w:t>
      </w:r>
      <w:r w:rsidR="00297260">
        <w:t>. For example, reinsurers may</w:t>
      </w:r>
      <w:r w:rsidR="006409CA">
        <w:t xml:space="preserve"> </w:t>
      </w:r>
      <w:r w:rsidR="00654B7D">
        <w:t xml:space="preserve">view the amount of risk being taken by the ARPC as </w:t>
      </w:r>
      <w:r w:rsidR="002A4965">
        <w:t>insignificant in the context of</w:t>
      </w:r>
      <w:r w:rsidR="000522A2">
        <w:t xml:space="preserve"> their</w:t>
      </w:r>
      <w:r w:rsidR="002A4965">
        <w:t xml:space="preserve"> overall flood risk, or that there remains significant</w:t>
      </w:r>
      <w:r w:rsidR="001C6349">
        <w:t xml:space="preserve"> uncertainty </w:t>
      </w:r>
      <w:r w:rsidR="008227E4">
        <w:t>around risk at</w:t>
      </w:r>
      <w:r w:rsidR="001C6349">
        <w:t xml:space="preserve"> the </w:t>
      </w:r>
      <w:r w:rsidR="003025D9">
        <w:t xml:space="preserve">revised </w:t>
      </w:r>
      <w:r w:rsidR="001C6349">
        <w:t>boundar</w:t>
      </w:r>
      <w:r w:rsidR="008227E4">
        <w:t>y</w:t>
      </w:r>
      <w:r w:rsidR="001C6349">
        <w:t xml:space="preserve"> of the ARPC’s coverage. Either scenario could</w:t>
      </w:r>
      <w:r w:rsidR="00B71E7D">
        <w:t xml:space="preserve"> result in </w:t>
      </w:r>
      <w:r w:rsidR="00B67F4F">
        <w:t>insurers pay</w:t>
      </w:r>
      <w:r w:rsidR="00B71E7D">
        <w:t>ing</w:t>
      </w:r>
      <w:r w:rsidR="00B67F4F">
        <w:t xml:space="preserve"> more in aggregate </w:t>
      </w:r>
      <w:r w:rsidR="00B71E7D">
        <w:t>for reinsurance.</w:t>
      </w:r>
      <w:r w:rsidR="00B67F4F">
        <w:t xml:space="preserve"> </w:t>
      </w:r>
      <w:r w:rsidR="00B71E7D">
        <w:t>U</w:t>
      </w:r>
      <w:r w:rsidR="00B67F4F">
        <w:t>ltimately</w:t>
      </w:r>
      <w:r w:rsidR="00094921">
        <w:t>,</w:t>
      </w:r>
      <w:r w:rsidR="00B71E7D">
        <w:t xml:space="preserve"> </w:t>
      </w:r>
      <w:r w:rsidR="00094921">
        <w:t>insurers</w:t>
      </w:r>
      <w:r w:rsidR="00B71E7D">
        <w:t xml:space="preserve"> are likely to</w:t>
      </w:r>
      <w:r w:rsidR="00B67F4F">
        <w:t xml:space="preserve"> pass these costs to customers.</w:t>
      </w:r>
    </w:p>
    <w:p w14:paraId="3839A371" w14:textId="4CAFDD34" w:rsidR="00F9484E" w:rsidRDefault="00094921" w:rsidP="00A600AB">
      <w:r>
        <w:t>In addition, t</w:t>
      </w:r>
      <w:r w:rsidR="00A8458F">
        <w:t xml:space="preserve">he distribution of aggregate </w:t>
      </w:r>
      <w:r w:rsidR="00670CA3">
        <w:t xml:space="preserve">cyclone </w:t>
      </w:r>
      <w:r w:rsidR="00A8458F">
        <w:t>pool savings may be affected.</w:t>
      </w:r>
      <w:r w:rsidR="00235055">
        <w:t xml:space="preserve"> T</w:t>
      </w:r>
      <w:r w:rsidR="003C2847">
        <w:t>he introduction of more flood risk</w:t>
      </w:r>
      <w:r w:rsidR="00723205">
        <w:t xml:space="preserve"> </w:t>
      </w:r>
      <w:r w:rsidR="000B5BF1">
        <w:t>may</w:t>
      </w:r>
      <w:r w:rsidR="00723205">
        <w:t xml:space="preserve"> see more properties move into higher risk bands</w:t>
      </w:r>
      <w:r w:rsidR="00FC396C">
        <w:t xml:space="preserve"> and receive greater discounts.</w:t>
      </w:r>
      <w:r w:rsidR="00882D81">
        <w:t xml:space="preserve"> These discounts w</w:t>
      </w:r>
      <w:r w:rsidR="00220F4E">
        <w:t>ould</w:t>
      </w:r>
      <w:r w:rsidR="00882D81">
        <w:t xml:space="preserve"> need to be achieved by</w:t>
      </w:r>
      <w:r w:rsidR="00431A42">
        <w:t xml:space="preserve"> </w:t>
      </w:r>
      <w:r w:rsidR="00882D81">
        <w:t>redistributi</w:t>
      </w:r>
      <w:r w:rsidR="00431A42">
        <w:t>on</w:t>
      </w:r>
      <w:r w:rsidR="00882D81">
        <w:t xml:space="preserve"> </w:t>
      </w:r>
      <w:r w:rsidR="00954F43">
        <w:t>of savings</w:t>
      </w:r>
      <w:r w:rsidR="00882D81">
        <w:t xml:space="preserve"> </w:t>
      </w:r>
      <w:r w:rsidR="00357020">
        <w:t xml:space="preserve">from lower risk </w:t>
      </w:r>
      <w:r w:rsidR="001B4623">
        <w:t>properties</w:t>
      </w:r>
      <w:r w:rsidR="00357020">
        <w:t xml:space="preserve">. </w:t>
      </w:r>
      <w:r w:rsidR="00355101">
        <w:t>The</w:t>
      </w:r>
      <w:r w:rsidR="00D45CDD">
        <w:t xml:space="preserve"> </w:t>
      </w:r>
      <w:r w:rsidR="0048570D">
        <w:t xml:space="preserve">ARPC commissioned </w:t>
      </w:r>
      <w:r w:rsidR="00D45CDD">
        <w:t xml:space="preserve">modelling </w:t>
      </w:r>
      <w:r w:rsidR="0049142E">
        <w:t>for</w:t>
      </w:r>
      <w:r w:rsidR="00250025">
        <w:t xml:space="preserve"> a</w:t>
      </w:r>
      <w:r w:rsidR="00BF0E7F">
        <w:t xml:space="preserve"> scenario where insurers do adjust pricing to reflect</w:t>
      </w:r>
      <w:r w:rsidR="00565639">
        <w:t xml:space="preserve"> the</w:t>
      </w:r>
      <w:r w:rsidR="00BF0E7F">
        <w:t xml:space="preserve"> </w:t>
      </w:r>
      <w:r w:rsidR="00510D18">
        <w:t xml:space="preserve">additional </w:t>
      </w:r>
      <w:r w:rsidR="00BF0E7F">
        <w:t>risk taken by the ARPC</w:t>
      </w:r>
      <w:r w:rsidR="0049142E">
        <w:t xml:space="preserve"> in comparison to current savings from the cyclone pool. The modelling showed</w:t>
      </w:r>
      <w:r w:rsidR="00BF0E7F">
        <w:t xml:space="preserve"> </w:t>
      </w:r>
      <w:r w:rsidR="000147D3">
        <w:t xml:space="preserve">96.1 per cent of properties could expect an average $4 increase to premiums, with the remaining </w:t>
      </w:r>
      <w:r w:rsidR="00542389">
        <w:t>3.9 per cent receiving a</w:t>
      </w:r>
      <w:r w:rsidR="00194276">
        <w:t>n average</w:t>
      </w:r>
      <w:r w:rsidR="00542389">
        <w:t xml:space="preserve"> $134 reduction.</w:t>
      </w:r>
      <w:r w:rsidR="00483356">
        <w:t xml:space="preserve"> Amid this redistribution</w:t>
      </w:r>
      <w:r w:rsidR="00565639">
        <w:t>,</w:t>
      </w:r>
      <w:r w:rsidR="00483356">
        <w:t xml:space="preserve"> it is</w:t>
      </w:r>
      <w:r w:rsidR="00E14B43">
        <w:t xml:space="preserve"> likely that some policyholders with high wind risk pay more to achieve reductions for those with high flood risk.</w:t>
      </w:r>
    </w:p>
    <w:p w14:paraId="7481CC46" w14:textId="4882ED95" w:rsidR="002A054D" w:rsidRDefault="00EB5832" w:rsidP="0065420B">
      <w:pPr>
        <w:pStyle w:val="Heading3"/>
      </w:pPr>
      <w:bookmarkStart w:id="73" w:name="_Toc207898470"/>
      <w:bookmarkStart w:id="74" w:name="_Toc210055992"/>
      <w:r>
        <w:t>Small business sum insured limit</w:t>
      </w:r>
      <w:bookmarkEnd w:id="73"/>
      <w:bookmarkEnd w:id="74"/>
      <w:r w:rsidR="005B7C0E">
        <w:t xml:space="preserve"> </w:t>
      </w:r>
    </w:p>
    <w:p w14:paraId="568E0130" w14:textId="34073B2B" w:rsidR="00181DEB" w:rsidRPr="009855BD" w:rsidRDefault="00E052F0" w:rsidP="00AD56F1">
      <w:pPr>
        <w:rPr>
          <w:szCs w:val="22"/>
        </w:rPr>
      </w:pPr>
      <w:r w:rsidRPr="009855BD">
        <w:rPr>
          <w:szCs w:val="22"/>
        </w:rPr>
        <w:t>The cyclone pool covers</w:t>
      </w:r>
      <w:r w:rsidR="006E0BFA" w:rsidRPr="009855BD">
        <w:rPr>
          <w:szCs w:val="22"/>
        </w:rPr>
        <w:t xml:space="preserve"> SME policies up to a maximum of $5 million sum insured. </w:t>
      </w:r>
      <w:r w:rsidR="00920FF8" w:rsidRPr="009855BD">
        <w:rPr>
          <w:szCs w:val="22"/>
        </w:rPr>
        <w:t xml:space="preserve">The </w:t>
      </w:r>
      <w:r w:rsidR="00344F89" w:rsidRPr="009855BD">
        <w:rPr>
          <w:szCs w:val="22"/>
        </w:rPr>
        <w:t>$5 million</w:t>
      </w:r>
      <w:r w:rsidR="00920FF8" w:rsidRPr="009855BD">
        <w:rPr>
          <w:szCs w:val="22"/>
        </w:rPr>
        <w:t xml:space="preserve"> threshold</w:t>
      </w:r>
      <w:r w:rsidR="00344F89" w:rsidRPr="009855BD">
        <w:rPr>
          <w:szCs w:val="22"/>
        </w:rPr>
        <w:t xml:space="preserve"> </w:t>
      </w:r>
      <w:r w:rsidR="00B726AC" w:rsidRPr="009855BD">
        <w:rPr>
          <w:szCs w:val="22"/>
        </w:rPr>
        <w:t>was</w:t>
      </w:r>
      <w:r w:rsidR="00F25C91" w:rsidRPr="009855BD">
        <w:rPr>
          <w:szCs w:val="22"/>
        </w:rPr>
        <w:t xml:space="preserve"> </w:t>
      </w:r>
      <w:r w:rsidR="000D29C4" w:rsidRPr="009855BD">
        <w:rPr>
          <w:szCs w:val="22"/>
        </w:rPr>
        <w:t>chosen as the relevant amount based on data from insurers provided during targeted consult</w:t>
      </w:r>
      <w:r w:rsidR="006A1678" w:rsidRPr="009855BD">
        <w:rPr>
          <w:szCs w:val="22"/>
        </w:rPr>
        <w:t>ation</w:t>
      </w:r>
      <w:r w:rsidR="00920FF8" w:rsidRPr="009855BD">
        <w:rPr>
          <w:szCs w:val="22"/>
        </w:rPr>
        <w:t>. The data</w:t>
      </w:r>
      <w:r w:rsidR="000D29C4" w:rsidRPr="009855BD" w:rsidDel="00920FF8">
        <w:rPr>
          <w:szCs w:val="22"/>
        </w:rPr>
        <w:t xml:space="preserve"> </w:t>
      </w:r>
      <w:r w:rsidR="000D29C4" w:rsidRPr="009855BD">
        <w:rPr>
          <w:szCs w:val="22"/>
        </w:rPr>
        <w:t xml:space="preserve">confirmed </w:t>
      </w:r>
      <w:r w:rsidR="00C85A35" w:rsidRPr="009855BD">
        <w:rPr>
          <w:szCs w:val="22"/>
        </w:rPr>
        <w:t>that a</w:t>
      </w:r>
      <w:r w:rsidR="007E56F8" w:rsidRPr="009855BD">
        <w:rPr>
          <w:szCs w:val="22"/>
        </w:rPr>
        <w:t xml:space="preserve"> $5 million </w:t>
      </w:r>
      <w:r w:rsidR="00C85A35" w:rsidRPr="009855BD">
        <w:rPr>
          <w:szCs w:val="22"/>
        </w:rPr>
        <w:t xml:space="preserve">threshold would </w:t>
      </w:r>
      <w:r w:rsidR="007E56F8" w:rsidRPr="009855BD">
        <w:rPr>
          <w:szCs w:val="22"/>
        </w:rPr>
        <w:t xml:space="preserve">capture most businesses. </w:t>
      </w:r>
      <w:r w:rsidR="00F60ACE" w:rsidRPr="009855BD">
        <w:rPr>
          <w:szCs w:val="22"/>
        </w:rPr>
        <w:t>The</w:t>
      </w:r>
      <w:r w:rsidR="00966806" w:rsidRPr="009855BD">
        <w:rPr>
          <w:szCs w:val="22"/>
        </w:rPr>
        <w:t xml:space="preserve"> Joint</w:t>
      </w:r>
      <w:r w:rsidR="00F60ACE" w:rsidRPr="009855BD">
        <w:rPr>
          <w:szCs w:val="22"/>
        </w:rPr>
        <w:t xml:space="preserve"> </w:t>
      </w:r>
      <w:r w:rsidR="00966806" w:rsidRPr="009855BD">
        <w:rPr>
          <w:szCs w:val="22"/>
        </w:rPr>
        <w:t>Select</w:t>
      </w:r>
      <w:r w:rsidR="00F60ACE" w:rsidRPr="009855BD">
        <w:rPr>
          <w:szCs w:val="22"/>
        </w:rPr>
        <w:t xml:space="preserve"> Committee</w:t>
      </w:r>
      <w:r w:rsidR="000670B1" w:rsidRPr="009855BD">
        <w:rPr>
          <w:szCs w:val="22"/>
        </w:rPr>
        <w:t xml:space="preserve">’s </w:t>
      </w:r>
      <w:r w:rsidR="00E17143" w:rsidRPr="009855BD">
        <w:rPr>
          <w:szCs w:val="22"/>
        </w:rPr>
        <w:t xml:space="preserve">first report recommended </w:t>
      </w:r>
      <w:r w:rsidR="00F768E5" w:rsidRPr="009855BD">
        <w:rPr>
          <w:szCs w:val="22"/>
        </w:rPr>
        <w:t>future reviews of the cyclone pool consider th</w:t>
      </w:r>
      <w:r w:rsidR="005D0EB7" w:rsidRPr="009855BD">
        <w:rPr>
          <w:szCs w:val="22"/>
        </w:rPr>
        <w:t>is</w:t>
      </w:r>
      <w:r w:rsidR="00F768E5" w:rsidRPr="009855BD">
        <w:rPr>
          <w:szCs w:val="22"/>
        </w:rPr>
        <w:t xml:space="preserve"> sum insured limit</w:t>
      </w:r>
      <w:r w:rsidR="007173CF" w:rsidRPr="009855BD">
        <w:rPr>
          <w:szCs w:val="22"/>
        </w:rPr>
        <w:t>.</w:t>
      </w:r>
      <w:r w:rsidR="00181DEB" w:rsidRPr="005F698B">
        <w:rPr>
          <w:rStyle w:val="FootnoteReference"/>
          <w:sz w:val="22"/>
          <w:szCs w:val="22"/>
        </w:rPr>
        <w:footnoteReference w:id="34"/>
      </w:r>
      <w:r w:rsidR="00C221FA" w:rsidRPr="009855BD">
        <w:rPr>
          <w:szCs w:val="22"/>
        </w:rPr>
        <w:t xml:space="preserve"> </w:t>
      </w:r>
    </w:p>
    <w:p w14:paraId="23A64516" w14:textId="6BD125E7" w:rsidR="00D622F7" w:rsidRDefault="000061C3" w:rsidP="0065420B">
      <w:pPr>
        <w:pStyle w:val="Heading3"/>
      </w:pPr>
      <w:bookmarkStart w:id="75" w:name="_Toc207898471"/>
      <w:bookmarkStart w:id="76" w:name="_Toc210055993"/>
      <w:r>
        <w:t>Building date eligibility</w:t>
      </w:r>
      <w:bookmarkEnd w:id="75"/>
      <w:bookmarkEnd w:id="76"/>
      <w:r>
        <w:t xml:space="preserve"> </w:t>
      </w:r>
    </w:p>
    <w:p w14:paraId="0895C668" w14:textId="4266BDBB" w:rsidR="007215FA" w:rsidRPr="009855BD" w:rsidRDefault="00C35309" w:rsidP="009D4521">
      <w:pPr>
        <w:rPr>
          <w:szCs w:val="22"/>
        </w:rPr>
      </w:pPr>
      <w:r w:rsidRPr="009855BD">
        <w:rPr>
          <w:szCs w:val="22"/>
        </w:rPr>
        <w:t>In addition, th</w:t>
      </w:r>
      <w:r w:rsidR="00755E07">
        <w:rPr>
          <w:szCs w:val="22"/>
        </w:rPr>
        <w:t>e J</w:t>
      </w:r>
      <w:r w:rsidR="008309C9">
        <w:rPr>
          <w:szCs w:val="22"/>
        </w:rPr>
        <w:t>oint Select Committee’s</w:t>
      </w:r>
      <w:r w:rsidR="00BC0BDA">
        <w:rPr>
          <w:szCs w:val="22"/>
        </w:rPr>
        <w:t xml:space="preserve"> first</w:t>
      </w:r>
      <w:r w:rsidR="00966806" w:rsidRPr="009855BD">
        <w:rPr>
          <w:szCs w:val="22"/>
        </w:rPr>
        <w:t xml:space="preserve"> </w:t>
      </w:r>
      <w:r w:rsidR="002640C4" w:rsidRPr="009855BD">
        <w:rPr>
          <w:szCs w:val="22"/>
        </w:rPr>
        <w:t>report</w:t>
      </w:r>
      <w:r w:rsidRPr="009855BD">
        <w:rPr>
          <w:szCs w:val="22"/>
        </w:rPr>
        <w:t xml:space="preserve"> recommended</w:t>
      </w:r>
      <w:r w:rsidRPr="009855BD" w:rsidDel="00940C77">
        <w:rPr>
          <w:szCs w:val="22"/>
        </w:rPr>
        <w:t xml:space="preserve"> </w:t>
      </w:r>
      <w:r w:rsidR="00B77D8C" w:rsidRPr="009855BD">
        <w:rPr>
          <w:szCs w:val="22"/>
        </w:rPr>
        <w:t>the Australian Government’s 2025 review of the cyclone pool</w:t>
      </w:r>
      <w:r w:rsidR="009302A6" w:rsidRPr="009855BD">
        <w:rPr>
          <w:szCs w:val="22"/>
        </w:rPr>
        <w:t xml:space="preserve"> should</w:t>
      </w:r>
      <w:r w:rsidR="00B77D8C" w:rsidRPr="009855BD">
        <w:rPr>
          <w:szCs w:val="22"/>
        </w:rPr>
        <w:t xml:space="preserve"> consider evidence and data on whether to ‘sunset’ the coverage of policies for new builds past a certain date. Th</w:t>
      </w:r>
      <w:r w:rsidR="0096051A" w:rsidRPr="009855BD">
        <w:rPr>
          <w:szCs w:val="22"/>
        </w:rPr>
        <w:t>e Joint Select</w:t>
      </w:r>
      <w:r w:rsidR="00B77D8C" w:rsidRPr="009855BD">
        <w:rPr>
          <w:szCs w:val="22"/>
        </w:rPr>
        <w:t xml:space="preserve"> </w:t>
      </w:r>
      <w:r w:rsidR="00515213" w:rsidRPr="009855BD">
        <w:rPr>
          <w:szCs w:val="22"/>
        </w:rPr>
        <w:t>Committee consider</w:t>
      </w:r>
      <w:r w:rsidR="008E7FD4" w:rsidRPr="009855BD">
        <w:rPr>
          <w:szCs w:val="22"/>
        </w:rPr>
        <w:t>ed</w:t>
      </w:r>
      <w:r w:rsidR="00515213" w:rsidRPr="009855BD">
        <w:rPr>
          <w:szCs w:val="22"/>
        </w:rPr>
        <w:t xml:space="preserve"> it vital that the implementation and ongoing operation of the cyclone pool avoid unintended consequences</w:t>
      </w:r>
      <w:r w:rsidR="00BA27CA" w:rsidRPr="009855BD">
        <w:rPr>
          <w:szCs w:val="22"/>
        </w:rPr>
        <w:t>. It said</w:t>
      </w:r>
      <w:r w:rsidR="00EF2C57">
        <w:rPr>
          <w:szCs w:val="22"/>
        </w:rPr>
        <w:t xml:space="preserve"> </w:t>
      </w:r>
      <w:r w:rsidR="009A556E" w:rsidRPr="009855BD">
        <w:rPr>
          <w:szCs w:val="22"/>
        </w:rPr>
        <w:t>governments should not be subsidising poor market decisions</w:t>
      </w:r>
      <w:r w:rsidR="00F51E8B" w:rsidRPr="009855BD">
        <w:rPr>
          <w:szCs w:val="22"/>
        </w:rPr>
        <w:t>, whether about</w:t>
      </w:r>
      <w:r w:rsidR="003726E9" w:rsidRPr="009855BD">
        <w:rPr>
          <w:szCs w:val="22"/>
        </w:rPr>
        <w:t xml:space="preserve"> the location of a new development or poor building design and materials</w:t>
      </w:r>
      <w:r w:rsidR="009A556E" w:rsidRPr="009855BD">
        <w:rPr>
          <w:szCs w:val="22"/>
        </w:rPr>
        <w:t>.</w:t>
      </w:r>
      <w:r w:rsidR="007173CF" w:rsidRPr="005F698B">
        <w:rPr>
          <w:rStyle w:val="FootnoteReference"/>
          <w:sz w:val="22"/>
          <w:szCs w:val="22"/>
        </w:rPr>
        <w:footnoteReference w:id="35"/>
      </w:r>
      <w:r w:rsidR="002D188C" w:rsidRPr="009855BD">
        <w:rPr>
          <w:szCs w:val="22"/>
        </w:rPr>
        <w:t xml:space="preserve"> </w:t>
      </w:r>
    </w:p>
    <w:p w14:paraId="391D74D2" w14:textId="7D6435E0" w:rsidR="00567967" w:rsidRPr="009855BD" w:rsidRDefault="00773CD7" w:rsidP="009D4521">
      <w:pPr>
        <w:rPr>
          <w:szCs w:val="22"/>
        </w:rPr>
      </w:pPr>
      <w:r w:rsidRPr="009855BD">
        <w:rPr>
          <w:szCs w:val="22"/>
        </w:rPr>
        <w:t>Excluding new builds</w:t>
      </w:r>
      <w:r w:rsidR="005864E6" w:rsidRPr="009855BD" w:rsidDel="009F4FF3">
        <w:rPr>
          <w:szCs w:val="22"/>
        </w:rPr>
        <w:t xml:space="preserve"> </w:t>
      </w:r>
      <w:r w:rsidR="005864E6" w:rsidRPr="009855BD">
        <w:rPr>
          <w:szCs w:val="22"/>
        </w:rPr>
        <w:t xml:space="preserve">may </w:t>
      </w:r>
      <w:r w:rsidR="001E2C46" w:rsidRPr="009855BD">
        <w:rPr>
          <w:szCs w:val="22"/>
        </w:rPr>
        <w:t xml:space="preserve">reduce the </w:t>
      </w:r>
      <w:r w:rsidR="009F4FF3">
        <w:rPr>
          <w:szCs w:val="22"/>
        </w:rPr>
        <w:t xml:space="preserve">cyclone </w:t>
      </w:r>
      <w:r w:rsidR="001E2C46" w:rsidRPr="009855BD">
        <w:rPr>
          <w:szCs w:val="22"/>
        </w:rPr>
        <w:t>pool’s exposure over time</w:t>
      </w:r>
      <w:r w:rsidR="00D94717" w:rsidRPr="009855BD">
        <w:rPr>
          <w:szCs w:val="22"/>
        </w:rPr>
        <w:t>. However</w:t>
      </w:r>
      <w:r w:rsidR="002C7165" w:rsidRPr="009855BD">
        <w:rPr>
          <w:szCs w:val="22"/>
        </w:rPr>
        <w:t>,</w:t>
      </w:r>
      <w:r w:rsidR="00DF03DA" w:rsidRPr="009855BD">
        <w:rPr>
          <w:szCs w:val="22"/>
        </w:rPr>
        <w:t xml:space="preserve"> </w:t>
      </w:r>
      <w:r w:rsidR="002C7165" w:rsidRPr="009855BD">
        <w:rPr>
          <w:szCs w:val="22"/>
        </w:rPr>
        <w:t>newe</w:t>
      </w:r>
      <w:r w:rsidR="00BF5C84" w:rsidRPr="009855BD">
        <w:rPr>
          <w:szCs w:val="22"/>
        </w:rPr>
        <w:t>r</w:t>
      </w:r>
      <w:r w:rsidR="002C7165" w:rsidRPr="009855BD">
        <w:rPr>
          <w:szCs w:val="22"/>
        </w:rPr>
        <w:t xml:space="preserve"> properties are</w:t>
      </w:r>
      <w:r w:rsidR="003B3564" w:rsidRPr="009855BD">
        <w:rPr>
          <w:szCs w:val="22"/>
        </w:rPr>
        <w:t xml:space="preserve"> generally</w:t>
      </w:r>
      <w:r w:rsidR="002C7165" w:rsidRPr="009855BD">
        <w:rPr>
          <w:szCs w:val="22"/>
        </w:rPr>
        <w:t xml:space="preserve"> buil</w:t>
      </w:r>
      <w:r w:rsidR="00BF5C84" w:rsidRPr="009855BD">
        <w:rPr>
          <w:szCs w:val="22"/>
        </w:rPr>
        <w:t>t</w:t>
      </w:r>
      <w:r w:rsidR="002C7165" w:rsidRPr="009855BD">
        <w:rPr>
          <w:szCs w:val="22"/>
        </w:rPr>
        <w:t xml:space="preserve"> to higher standards of cyclone resilience and could be expected to perform better in cyclone events. The </w:t>
      </w:r>
      <w:r w:rsidR="006168D1" w:rsidRPr="009855BD">
        <w:rPr>
          <w:szCs w:val="22"/>
        </w:rPr>
        <w:t xml:space="preserve">higher reinsurance premiums charged by the cyclone pool for </w:t>
      </w:r>
      <w:r w:rsidR="00C80BB3" w:rsidRPr="009855BD">
        <w:rPr>
          <w:szCs w:val="22"/>
        </w:rPr>
        <w:t>properties built prior to 198</w:t>
      </w:r>
      <w:r w:rsidR="004246AE" w:rsidRPr="009855BD">
        <w:rPr>
          <w:szCs w:val="22"/>
        </w:rPr>
        <w:t>2</w:t>
      </w:r>
      <w:r w:rsidR="00C80BB3" w:rsidRPr="009855BD">
        <w:rPr>
          <w:szCs w:val="22"/>
        </w:rPr>
        <w:t xml:space="preserve"> reflect this. </w:t>
      </w:r>
    </w:p>
    <w:p w14:paraId="445593DD" w14:textId="3CB4FDC3" w:rsidR="00BF5C84" w:rsidRPr="009855BD" w:rsidRDefault="003041F5" w:rsidP="009D4521">
      <w:pPr>
        <w:rPr>
          <w:szCs w:val="22"/>
        </w:rPr>
      </w:pPr>
      <w:r w:rsidRPr="009855BD">
        <w:rPr>
          <w:szCs w:val="22"/>
        </w:rPr>
        <w:t>Noting that an objective of the</w:t>
      </w:r>
      <w:r w:rsidR="00A14EBA" w:rsidRPr="009855BD">
        <w:rPr>
          <w:szCs w:val="22"/>
        </w:rPr>
        <w:t xml:space="preserve"> cyclone</w:t>
      </w:r>
      <w:r w:rsidRPr="009855BD">
        <w:rPr>
          <w:szCs w:val="22"/>
        </w:rPr>
        <w:t xml:space="preserve"> pool is to not charge low</w:t>
      </w:r>
      <w:r w:rsidR="00B61F9F">
        <w:rPr>
          <w:szCs w:val="22"/>
        </w:rPr>
        <w:t xml:space="preserve"> </w:t>
      </w:r>
      <w:r w:rsidRPr="009855BD">
        <w:rPr>
          <w:szCs w:val="22"/>
        </w:rPr>
        <w:t xml:space="preserve">risk properties more than they </w:t>
      </w:r>
      <w:r w:rsidR="008768C7" w:rsidRPr="009855BD">
        <w:rPr>
          <w:szCs w:val="22"/>
        </w:rPr>
        <w:t>would otherwise in the private market</w:t>
      </w:r>
      <w:r w:rsidR="00C6607F" w:rsidRPr="009855BD">
        <w:rPr>
          <w:szCs w:val="22"/>
        </w:rPr>
        <w:t>,</w:t>
      </w:r>
      <w:r w:rsidR="00BF5C84" w:rsidRPr="009855BD">
        <w:rPr>
          <w:szCs w:val="22"/>
        </w:rPr>
        <w:t xml:space="preserve"> the inclusion of new build properties provides</w:t>
      </w:r>
      <w:r w:rsidR="00B46F55" w:rsidRPr="009855BD">
        <w:rPr>
          <w:szCs w:val="22"/>
        </w:rPr>
        <w:t xml:space="preserve"> the pool with a </w:t>
      </w:r>
      <w:r w:rsidR="001C35A1" w:rsidRPr="009855BD">
        <w:rPr>
          <w:szCs w:val="22"/>
        </w:rPr>
        <w:t xml:space="preserve">source of lower risk policies that can be used to distribute savings to those at higher risk. </w:t>
      </w:r>
      <w:r w:rsidR="002078C0" w:rsidRPr="009855BD">
        <w:rPr>
          <w:szCs w:val="22"/>
        </w:rPr>
        <w:t xml:space="preserve">If the </w:t>
      </w:r>
      <w:r w:rsidR="004F43D3">
        <w:rPr>
          <w:szCs w:val="22"/>
        </w:rPr>
        <w:t>cyclone</w:t>
      </w:r>
      <w:r w:rsidR="002078C0" w:rsidRPr="009855BD">
        <w:rPr>
          <w:szCs w:val="22"/>
        </w:rPr>
        <w:t xml:space="preserve"> pool were to </w:t>
      </w:r>
      <w:r w:rsidR="00AB7188" w:rsidRPr="009855BD">
        <w:rPr>
          <w:szCs w:val="22"/>
        </w:rPr>
        <w:t>be concentrated with older, higher risk properties, it is not clear that savings could be distributed in the way that is intended.</w:t>
      </w:r>
    </w:p>
    <w:p w14:paraId="150BF37F" w14:textId="47D37232" w:rsidR="00677928" w:rsidRPr="009855BD" w:rsidRDefault="00677928" w:rsidP="009D4521">
      <w:pPr>
        <w:rPr>
          <w:szCs w:val="22"/>
        </w:rPr>
      </w:pPr>
      <w:r w:rsidRPr="009855BD">
        <w:rPr>
          <w:szCs w:val="22"/>
        </w:rPr>
        <w:t xml:space="preserve">Further, excluding new builds may increase complexity </w:t>
      </w:r>
      <w:r w:rsidR="009D758A" w:rsidRPr="009855BD">
        <w:rPr>
          <w:szCs w:val="22"/>
        </w:rPr>
        <w:t>and costs</w:t>
      </w:r>
      <w:r w:rsidRPr="009855BD">
        <w:rPr>
          <w:szCs w:val="22"/>
        </w:rPr>
        <w:t xml:space="preserve"> for </w:t>
      </w:r>
      <w:r w:rsidR="00225200" w:rsidRPr="009855BD">
        <w:rPr>
          <w:szCs w:val="22"/>
        </w:rPr>
        <w:t xml:space="preserve">insurers </w:t>
      </w:r>
      <w:r w:rsidR="00225200" w:rsidRPr="009855BD" w:rsidDel="008704AF">
        <w:rPr>
          <w:szCs w:val="22"/>
        </w:rPr>
        <w:t xml:space="preserve">which </w:t>
      </w:r>
      <w:r w:rsidR="00225200" w:rsidRPr="009855BD">
        <w:rPr>
          <w:szCs w:val="22"/>
        </w:rPr>
        <w:t xml:space="preserve">would then likely </w:t>
      </w:r>
      <w:r w:rsidR="00BE4752" w:rsidRPr="009855BD">
        <w:rPr>
          <w:szCs w:val="22"/>
        </w:rPr>
        <w:t>require</w:t>
      </w:r>
      <w:r w:rsidR="00225200" w:rsidRPr="009855BD">
        <w:rPr>
          <w:szCs w:val="22"/>
        </w:rPr>
        <w:t xml:space="preserve"> additional reinsurance coverage from the private market.</w:t>
      </w:r>
      <w:r w:rsidR="00422283" w:rsidRPr="009855BD">
        <w:rPr>
          <w:szCs w:val="22"/>
        </w:rPr>
        <w:t xml:space="preserve"> </w:t>
      </w:r>
      <w:r w:rsidR="00712691" w:rsidRPr="009855BD">
        <w:rPr>
          <w:szCs w:val="22"/>
        </w:rPr>
        <w:t xml:space="preserve">Insurers </w:t>
      </w:r>
      <w:r w:rsidR="00422283" w:rsidRPr="009855BD">
        <w:rPr>
          <w:szCs w:val="22"/>
        </w:rPr>
        <w:t xml:space="preserve">may also require two </w:t>
      </w:r>
      <w:r w:rsidR="004457C9" w:rsidRPr="009855BD">
        <w:rPr>
          <w:szCs w:val="22"/>
        </w:rPr>
        <w:t xml:space="preserve">processes </w:t>
      </w:r>
      <w:r w:rsidR="00422283" w:rsidRPr="009855BD">
        <w:rPr>
          <w:szCs w:val="22"/>
        </w:rPr>
        <w:t xml:space="preserve">to assess premiums for </w:t>
      </w:r>
      <w:r w:rsidR="00B47109" w:rsidRPr="009855BD">
        <w:rPr>
          <w:szCs w:val="22"/>
        </w:rPr>
        <w:t>buildings built before and after the cut</w:t>
      </w:r>
      <w:r w:rsidR="0041060E" w:rsidRPr="009855BD">
        <w:rPr>
          <w:szCs w:val="22"/>
        </w:rPr>
        <w:t>-</w:t>
      </w:r>
      <w:r w:rsidR="00B47109" w:rsidRPr="009855BD">
        <w:rPr>
          <w:szCs w:val="22"/>
        </w:rPr>
        <w:t>off date, and for assessing claims</w:t>
      </w:r>
      <w:r w:rsidR="00C72A3E" w:rsidRPr="009855BD">
        <w:rPr>
          <w:szCs w:val="22"/>
        </w:rPr>
        <w:t xml:space="preserve"> from each.</w:t>
      </w:r>
    </w:p>
    <w:p w14:paraId="044B0FF9" w14:textId="5A10DF32" w:rsidR="00A45D43" w:rsidRPr="009855BD" w:rsidRDefault="00A45D43" w:rsidP="002224BD">
      <w:pPr>
        <w:pStyle w:val="BoxHeading"/>
      </w:pPr>
      <w:r w:rsidRPr="009855BD">
        <w:t>Questions</w:t>
      </w:r>
    </w:p>
    <w:p w14:paraId="4EB0858B" w14:textId="0848ACB0" w:rsidR="00A45D43" w:rsidRPr="009855BD" w:rsidRDefault="00A330CE" w:rsidP="00A45D43">
      <w:pPr>
        <w:shd w:val="clear" w:color="auto" w:fill="E8F0FC" w:themeFill="accent5" w:themeFillTint="33"/>
        <w:rPr>
          <w:szCs w:val="22"/>
        </w:rPr>
      </w:pPr>
      <w:r>
        <w:rPr>
          <w:szCs w:val="22"/>
        </w:rPr>
        <w:t>5</w:t>
      </w:r>
      <w:r w:rsidR="00A45D43" w:rsidRPr="009855BD">
        <w:rPr>
          <w:szCs w:val="22"/>
        </w:rPr>
        <w:t>.</w:t>
      </w:r>
      <w:r w:rsidR="00344759" w:rsidRPr="009855BD">
        <w:rPr>
          <w:szCs w:val="22"/>
        </w:rPr>
        <w:t xml:space="preserve"> Should the damage period be extended</w:t>
      </w:r>
      <w:r w:rsidR="003F1092" w:rsidRPr="009855BD">
        <w:rPr>
          <w:szCs w:val="22"/>
        </w:rPr>
        <w:t>, for example,</w:t>
      </w:r>
      <w:r w:rsidR="00344759" w:rsidRPr="009855BD">
        <w:rPr>
          <w:szCs w:val="22"/>
        </w:rPr>
        <w:t xml:space="preserve"> to </w:t>
      </w:r>
      <w:r w:rsidR="00B57888" w:rsidRPr="009855BD">
        <w:rPr>
          <w:szCs w:val="22"/>
        </w:rPr>
        <w:t>seven</w:t>
      </w:r>
      <w:r w:rsidR="00344759" w:rsidRPr="009855BD">
        <w:rPr>
          <w:szCs w:val="22"/>
        </w:rPr>
        <w:t xml:space="preserve"> days</w:t>
      </w:r>
      <w:r w:rsidR="00C8764B" w:rsidRPr="009855BD">
        <w:rPr>
          <w:szCs w:val="22"/>
        </w:rPr>
        <w:t xml:space="preserve"> after a cyclone event rather than </w:t>
      </w:r>
      <w:r w:rsidR="00D93B19" w:rsidRPr="009855BD">
        <w:rPr>
          <w:szCs w:val="22"/>
        </w:rPr>
        <w:t>two</w:t>
      </w:r>
      <w:r w:rsidR="00C8764B" w:rsidRPr="009855BD">
        <w:rPr>
          <w:szCs w:val="22"/>
        </w:rPr>
        <w:t xml:space="preserve"> days after an event</w:t>
      </w:r>
      <w:r w:rsidR="00344759" w:rsidRPr="009855BD">
        <w:rPr>
          <w:szCs w:val="22"/>
        </w:rPr>
        <w:t xml:space="preserve">? </w:t>
      </w:r>
      <w:r w:rsidR="0031479E" w:rsidRPr="009855BD">
        <w:rPr>
          <w:szCs w:val="22"/>
        </w:rPr>
        <w:t xml:space="preserve">If so, why, and what steps could </w:t>
      </w:r>
      <w:r w:rsidR="00772E1F" w:rsidRPr="009855BD">
        <w:rPr>
          <w:szCs w:val="22"/>
        </w:rPr>
        <w:t>be</w:t>
      </w:r>
      <w:r w:rsidR="0031479E" w:rsidRPr="009855BD">
        <w:rPr>
          <w:szCs w:val="22"/>
        </w:rPr>
        <w:t xml:space="preserve"> take</w:t>
      </w:r>
      <w:r w:rsidR="00772E1F" w:rsidRPr="009855BD">
        <w:rPr>
          <w:szCs w:val="22"/>
        </w:rPr>
        <w:t>n</w:t>
      </w:r>
      <w:r w:rsidR="0031479E" w:rsidRPr="009855BD">
        <w:rPr>
          <w:szCs w:val="22"/>
        </w:rPr>
        <w:t xml:space="preserve"> to ensure any benefits are passed through to policyholders? </w:t>
      </w:r>
    </w:p>
    <w:p w14:paraId="0123D46E" w14:textId="60020AAE" w:rsidR="00644442" w:rsidRPr="009855BD" w:rsidRDefault="00A330CE" w:rsidP="00644442">
      <w:pPr>
        <w:shd w:val="clear" w:color="auto" w:fill="E8F0FC" w:themeFill="accent5" w:themeFillTint="33"/>
        <w:rPr>
          <w:szCs w:val="22"/>
        </w:rPr>
      </w:pPr>
      <w:r>
        <w:rPr>
          <w:szCs w:val="22"/>
        </w:rPr>
        <w:t>6</w:t>
      </w:r>
      <w:r w:rsidR="00644442" w:rsidRPr="009855BD">
        <w:rPr>
          <w:szCs w:val="22"/>
        </w:rPr>
        <w:t xml:space="preserve">. Has the private reinsurance market adjusted pricing to reflect the risks the ARPC has taken? If not, would extending the coverage period </w:t>
      </w:r>
      <w:r w:rsidR="004B35A1">
        <w:rPr>
          <w:szCs w:val="22"/>
        </w:rPr>
        <w:t>address</w:t>
      </w:r>
      <w:r w:rsidR="00644442" w:rsidRPr="009855BD">
        <w:rPr>
          <w:szCs w:val="22"/>
        </w:rPr>
        <w:t xml:space="preserve"> this issue?</w:t>
      </w:r>
    </w:p>
    <w:p w14:paraId="65000747" w14:textId="65F999B9" w:rsidR="00A45D43" w:rsidRPr="009855BD" w:rsidRDefault="00A330CE" w:rsidP="00A45D43">
      <w:pPr>
        <w:shd w:val="clear" w:color="auto" w:fill="E8F0FC" w:themeFill="accent5" w:themeFillTint="33"/>
        <w:rPr>
          <w:szCs w:val="22"/>
        </w:rPr>
      </w:pPr>
      <w:r>
        <w:rPr>
          <w:szCs w:val="22"/>
        </w:rPr>
        <w:t>7</w:t>
      </w:r>
      <w:r w:rsidR="00A45D43" w:rsidRPr="009855BD">
        <w:rPr>
          <w:szCs w:val="22"/>
        </w:rPr>
        <w:t>.</w:t>
      </w:r>
      <w:r w:rsidR="00FD1198" w:rsidRPr="009855BD">
        <w:rPr>
          <w:rFonts w:asciiTheme="minorHAnsi" w:eastAsiaTheme="minorEastAsia" w:hAnsiTheme="minorHAnsi" w:cstheme="minorBidi"/>
          <w:kern w:val="2"/>
          <w:szCs w:val="22"/>
          <w:lang w:eastAsia="en-US"/>
          <w14:ligatures w14:val="standardContextual"/>
        </w:rPr>
        <w:t xml:space="preserve"> </w:t>
      </w:r>
      <w:r w:rsidR="00FD1198" w:rsidRPr="009855BD">
        <w:rPr>
          <w:szCs w:val="22"/>
        </w:rPr>
        <w:t>Is the $5 million SME sum insured limit appropriate?</w:t>
      </w:r>
    </w:p>
    <w:p w14:paraId="0B09963A" w14:textId="6960E119" w:rsidR="001C6B5C" w:rsidRPr="009855BD" w:rsidRDefault="00A330CE" w:rsidP="001C6B5C">
      <w:pPr>
        <w:shd w:val="clear" w:color="auto" w:fill="E8F0FC" w:themeFill="accent5" w:themeFillTint="33"/>
        <w:rPr>
          <w:szCs w:val="22"/>
        </w:rPr>
      </w:pPr>
      <w:r>
        <w:rPr>
          <w:szCs w:val="22"/>
        </w:rPr>
        <w:t>8</w:t>
      </w:r>
      <w:r w:rsidR="00A45D43" w:rsidRPr="009855BD">
        <w:rPr>
          <w:szCs w:val="22"/>
        </w:rPr>
        <w:t>.</w:t>
      </w:r>
      <w:r w:rsidR="00BD2581" w:rsidRPr="009855BD">
        <w:rPr>
          <w:rFonts w:asciiTheme="minorHAnsi" w:eastAsiaTheme="minorEastAsia" w:hAnsiTheme="minorHAnsi" w:cstheme="minorBidi"/>
          <w:kern w:val="2"/>
          <w:szCs w:val="22"/>
          <w:lang w:eastAsia="en-US"/>
          <w14:ligatures w14:val="standardContextual"/>
        </w:rPr>
        <w:t xml:space="preserve"> </w:t>
      </w:r>
      <w:r w:rsidR="00BD2581" w:rsidRPr="009855BD">
        <w:rPr>
          <w:szCs w:val="22"/>
        </w:rPr>
        <w:t>Should there be changes to the eligibility for new</w:t>
      </w:r>
      <w:r w:rsidR="00A729BC" w:rsidRPr="009855BD">
        <w:rPr>
          <w:szCs w:val="22"/>
        </w:rPr>
        <w:t xml:space="preserve"> bui</w:t>
      </w:r>
      <w:r w:rsidR="00BD2581" w:rsidRPr="009855BD">
        <w:rPr>
          <w:szCs w:val="22"/>
        </w:rPr>
        <w:t>ld</w:t>
      </w:r>
      <w:r w:rsidR="00A729BC" w:rsidRPr="009855BD">
        <w:rPr>
          <w:szCs w:val="22"/>
        </w:rPr>
        <w:t xml:space="preserve">s? If </w:t>
      </w:r>
      <w:r w:rsidR="00BD2581" w:rsidRPr="009855BD">
        <w:rPr>
          <w:szCs w:val="22"/>
        </w:rPr>
        <w:t>s</w:t>
      </w:r>
      <w:r w:rsidR="005A4EEF" w:rsidRPr="009855BD">
        <w:rPr>
          <w:szCs w:val="22"/>
        </w:rPr>
        <w:t>o</w:t>
      </w:r>
      <w:r w:rsidR="00A729BC" w:rsidRPr="009855BD">
        <w:rPr>
          <w:szCs w:val="22"/>
        </w:rPr>
        <w:t>,</w:t>
      </w:r>
      <w:r w:rsidR="00DF1DA6" w:rsidRPr="009855BD">
        <w:rPr>
          <w:szCs w:val="22"/>
        </w:rPr>
        <w:t xml:space="preserve"> </w:t>
      </w:r>
      <w:r w:rsidR="00F52592" w:rsidRPr="009855BD">
        <w:rPr>
          <w:szCs w:val="22"/>
        </w:rPr>
        <w:t>how would this be achieved</w:t>
      </w:r>
      <w:r w:rsidR="00F3045B" w:rsidRPr="009855BD">
        <w:rPr>
          <w:szCs w:val="22"/>
        </w:rPr>
        <w:t xml:space="preserve">, </w:t>
      </w:r>
      <w:r w:rsidR="00DF1DA6" w:rsidRPr="009855BD">
        <w:rPr>
          <w:szCs w:val="22"/>
        </w:rPr>
        <w:t>which specific properties and</w:t>
      </w:r>
      <w:r w:rsidR="00A729BC" w:rsidRPr="009855BD">
        <w:rPr>
          <w:szCs w:val="22"/>
        </w:rPr>
        <w:t xml:space="preserve"> ho</w:t>
      </w:r>
      <w:r w:rsidR="005A4EEF" w:rsidRPr="009855BD">
        <w:rPr>
          <w:szCs w:val="22"/>
        </w:rPr>
        <w:t xml:space="preserve">w would this impact </w:t>
      </w:r>
      <w:r w:rsidR="009306BD" w:rsidRPr="009855BD">
        <w:rPr>
          <w:szCs w:val="22"/>
        </w:rPr>
        <w:t>cyclone pool</w:t>
      </w:r>
      <w:r w:rsidR="003F1A4F" w:rsidRPr="009855BD">
        <w:rPr>
          <w:szCs w:val="22"/>
        </w:rPr>
        <w:t xml:space="preserve"> pricing</w:t>
      </w:r>
      <w:r w:rsidR="0074554F" w:rsidRPr="009855BD">
        <w:rPr>
          <w:szCs w:val="22"/>
        </w:rPr>
        <w:t xml:space="preserve"> and insurer costs</w:t>
      </w:r>
      <w:r w:rsidR="005A4EEF" w:rsidRPr="009855BD">
        <w:rPr>
          <w:szCs w:val="22"/>
        </w:rPr>
        <w:t xml:space="preserve">? </w:t>
      </w:r>
    </w:p>
    <w:p w14:paraId="5C117D1C" w14:textId="7B3BDAD3" w:rsidR="00BC180C" w:rsidRPr="00BC180C" w:rsidRDefault="00BC180C" w:rsidP="00D43773">
      <w:pPr>
        <w:pStyle w:val="Heading1"/>
      </w:pPr>
      <w:bookmarkStart w:id="77" w:name="_Toc210055994"/>
      <w:r>
        <w:t>Terrorism reinsurance pool</w:t>
      </w:r>
      <w:bookmarkEnd w:id="77"/>
    </w:p>
    <w:p w14:paraId="65532212" w14:textId="55B74455" w:rsidR="00BC36D1" w:rsidRPr="009855BD" w:rsidRDefault="00BC36D1" w:rsidP="00BC36D1">
      <w:pPr>
        <w:rPr>
          <w:szCs w:val="22"/>
        </w:rPr>
      </w:pPr>
      <w:r w:rsidRPr="009855BD">
        <w:rPr>
          <w:szCs w:val="22"/>
        </w:rPr>
        <w:t xml:space="preserve">The terrorism pool was introduced in 2003 to alleviate </w:t>
      </w:r>
      <w:r w:rsidR="0067459F" w:rsidRPr="009855BD">
        <w:rPr>
          <w:szCs w:val="22"/>
        </w:rPr>
        <w:t xml:space="preserve">the </w:t>
      </w:r>
      <w:r w:rsidRPr="009855BD">
        <w:rPr>
          <w:szCs w:val="22"/>
        </w:rPr>
        <w:t>market failure</w:t>
      </w:r>
      <w:r w:rsidR="00232B5B" w:rsidRPr="009855BD">
        <w:rPr>
          <w:szCs w:val="22"/>
        </w:rPr>
        <w:t xml:space="preserve"> of global reinsurers withdrawing from </w:t>
      </w:r>
      <w:r w:rsidR="00F760CC" w:rsidRPr="009855BD">
        <w:rPr>
          <w:szCs w:val="22"/>
        </w:rPr>
        <w:t>providing</w:t>
      </w:r>
      <w:r w:rsidR="00232B5B" w:rsidRPr="009855BD">
        <w:rPr>
          <w:szCs w:val="22"/>
        </w:rPr>
        <w:t xml:space="preserve"> </w:t>
      </w:r>
      <w:r w:rsidR="00FA3A0E" w:rsidRPr="009855BD">
        <w:rPr>
          <w:szCs w:val="22"/>
        </w:rPr>
        <w:t>insurance for commercial property against terrorism events</w:t>
      </w:r>
      <w:r w:rsidRPr="009855BD">
        <w:rPr>
          <w:szCs w:val="22"/>
        </w:rPr>
        <w:t xml:space="preserve">, which occurred following the terrorist attacks in the United States on </w:t>
      </w:r>
      <w:r w:rsidR="00581A8B" w:rsidRPr="009855BD">
        <w:rPr>
          <w:szCs w:val="22"/>
        </w:rPr>
        <w:t xml:space="preserve">11 </w:t>
      </w:r>
      <w:r w:rsidRPr="009855BD">
        <w:rPr>
          <w:szCs w:val="22"/>
        </w:rPr>
        <w:t xml:space="preserve">September 2001. </w:t>
      </w:r>
    </w:p>
    <w:p w14:paraId="4E1665D0" w14:textId="12BD9A1A" w:rsidR="005076F4" w:rsidRPr="009855BD" w:rsidRDefault="00B9776E" w:rsidP="00517CEB">
      <w:pPr>
        <w:rPr>
          <w:rFonts w:eastAsia="Calibri" w:cs="Calibri"/>
          <w:szCs w:val="22"/>
        </w:rPr>
      </w:pPr>
      <w:r>
        <w:rPr>
          <w:rFonts w:eastAsia="Calibri" w:cs="Calibri"/>
          <w:szCs w:val="22"/>
        </w:rPr>
        <w:t xml:space="preserve">Once a </w:t>
      </w:r>
      <w:r w:rsidR="00EB5313">
        <w:rPr>
          <w:rFonts w:eastAsia="Calibri" w:cs="Calibri"/>
          <w:szCs w:val="22"/>
        </w:rPr>
        <w:t>D</w:t>
      </w:r>
      <w:r>
        <w:rPr>
          <w:rFonts w:eastAsia="Calibri" w:cs="Calibri"/>
          <w:szCs w:val="22"/>
        </w:rPr>
        <w:t xml:space="preserve">eclared </w:t>
      </w:r>
      <w:r w:rsidR="00EB5313">
        <w:rPr>
          <w:rFonts w:eastAsia="Calibri" w:cs="Calibri"/>
          <w:szCs w:val="22"/>
        </w:rPr>
        <w:t>T</w:t>
      </w:r>
      <w:r>
        <w:rPr>
          <w:rFonts w:eastAsia="Calibri" w:cs="Calibri"/>
          <w:szCs w:val="22"/>
        </w:rPr>
        <w:t xml:space="preserve">errorism </w:t>
      </w:r>
      <w:r w:rsidR="00EB5313">
        <w:rPr>
          <w:rFonts w:eastAsia="Calibri" w:cs="Calibri"/>
          <w:szCs w:val="22"/>
        </w:rPr>
        <w:t xml:space="preserve">Incident (DTI) is </w:t>
      </w:r>
      <w:r w:rsidR="00133B9A">
        <w:rPr>
          <w:rFonts w:eastAsia="Calibri" w:cs="Calibri"/>
          <w:szCs w:val="22"/>
        </w:rPr>
        <w:t>declared, t</w:t>
      </w:r>
      <w:r w:rsidR="005076F4" w:rsidRPr="009855BD">
        <w:rPr>
          <w:rFonts w:eastAsia="Calibri" w:cs="Calibri"/>
          <w:szCs w:val="22"/>
        </w:rPr>
        <w:t>he Act operates by overriding terrorism exclusion clauses in eligible insurance contracts.</w:t>
      </w:r>
      <w:r w:rsidR="008F50E3" w:rsidRPr="009855BD">
        <w:rPr>
          <w:rFonts w:eastAsia="Calibri" w:cs="Calibri"/>
          <w:szCs w:val="22"/>
          <w:vertAlign w:val="superscript"/>
        </w:rPr>
        <w:t xml:space="preserve"> </w:t>
      </w:r>
      <w:r w:rsidR="008F50E3" w:rsidRPr="009855BD">
        <w:rPr>
          <w:rFonts w:eastAsia="Calibri" w:cs="Calibri"/>
          <w:szCs w:val="22"/>
          <w:vertAlign w:val="superscript"/>
        </w:rPr>
        <w:footnoteReference w:id="36"/>
      </w:r>
      <w:r w:rsidR="005076F4" w:rsidRPr="009855BD">
        <w:rPr>
          <w:rFonts w:eastAsia="Calibri" w:cs="Calibri"/>
          <w:szCs w:val="22"/>
        </w:rPr>
        <w:t xml:space="preserve"> An eligible </w:t>
      </w:r>
      <w:r w:rsidR="005076F4" w:rsidRPr="009855BD">
        <w:rPr>
          <w:rFonts w:eastAsia="Calibri"/>
          <w:szCs w:val="22"/>
        </w:rPr>
        <w:t xml:space="preserve">insurance </w:t>
      </w:r>
      <w:r w:rsidR="005076F4" w:rsidRPr="009855BD">
        <w:rPr>
          <w:rFonts w:eastAsia="Calibri" w:cs="Calibri"/>
          <w:szCs w:val="22"/>
        </w:rPr>
        <w:t xml:space="preserve">contract is a contract that provides insurance coverage for: </w:t>
      </w:r>
    </w:p>
    <w:p w14:paraId="4C4CCB4E" w14:textId="54A8F1D6" w:rsidR="005076F4" w:rsidRPr="009855BD" w:rsidRDefault="005076F4" w:rsidP="00180225">
      <w:pPr>
        <w:pStyle w:val="Bullet"/>
        <w:tabs>
          <w:tab w:val="clear" w:pos="520"/>
        </w:tabs>
        <w:ind w:left="284" w:hanging="284"/>
        <w:rPr>
          <w:szCs w:val="22"/>
        </w:rPr>
      </w:pPr>
      <w:r w:rsidRPr="009855BD">
        <w:rPr>
          <w:rFonts w:eastAsia="Calibri"/>
          <w:szCs w:val="22"/>
        </w:rPr>
        <w:t xml:space="preserve">loss of, or damage to, eligible property owned by the insured </w:t>
      </w:r>
    </w:p>
    <w:p w14:paraId="1D6BF3DD" w14:textId="230C041B" w:rsidR="00681BFE" w:rsidRPr="009855BD" w:rsidRDefault="005076F4" w:rsidP="00180225">
      <w:pPr>
        <w:pStyle w:val="Bullet"/>
        <w:tabs>
          <w:tab w:val="clear" w:pos="520"/>
        </w:tabs>
        <w:ind w:left="284" w:hanging="284"/>
        <w:rPr>
          <w:szCs w:val="22"/>
        </w:rPr>
      </w:pPr>
      <w:r w:rsidRPr="009855BD">
        <w:rPr>
          <w:szCs w:val="22"/>
        </w:rPr>
        <w:t>business interruption and consequential loss arising from loss of, or damage to, eligible property that is owned or occupied by the insured or an inability to use all or part of such property or</w:t>
      </w:r>
    </w:p>
    <w:p w14:paraId="503F42A6" w14:textId="77777777" w:rsidR="005076F4" w:rsidRPr="009855BD" w:rsidRDefault="005076F4" w:rsidP="00517CEB">
      <w:pPr>
        <w:pStyle w:val="Bullet"/>
        <w:tabs>
          <w:tab w:val="clear" w:pos="520"/>
        </w:tabs>
        <w:ind w:left="284" w:hanging="284"/>
        <w:rPr>
          <w:szCs w:val="22"/>
        </w:rPr>
      </w:pPr>
      <w:r w:rsidRPr="009855BD">
        <w:rPr>
          <w:rFonts w:eastAsia="Calibri"/>
          <w:szCs w:val="22"/>
        </w:rPr>
        <w:t>liability of the insured that arises from the insured being the owner or occupier of eligible property</w:t>
      </w:r>
      <w:r w:rsidRPr="009855BD">
        <w:rPr>
          <w:rFonts w:eastAsia="Calibri" w:cs="Calibri"/>
          <w:szCs w:val="22"/>
        </w:rPr>
        <w:t>.</w:t>
      </w:r>
      <w:r w:rsidRPr="005F698B">
        <w:rPr>
          <w:rFonts w:eastAsia="Calibri" w:cs="Calibri"/>
          <w:szCs w:val="22"/>
          <w:vertAlign w:val="superscript"/>
        </w:rPr>
        <w:footnoteReference w:id="37"/>
      </w:r>
      <w:r w:rsidRPr="009855BD">
        <w:rPr>
          <w:rFonts w:eastAsia="Calibri" w:cs="Calibri"/>
          <w:szCs w:val="22"/>
        </w:rPr>
        <w:t xml:space="preserve"> </w:t>
      </w:r>
    </w:p>
    <w:p w14:paraId="053DAC30" w14:textId="3A8D0D2D" w:rsidR="005076F4" w:rsidRPr="009855BD" w:rsidRDefault="005076F4" w:rsidP="00180225">
      <w:pPr>
        <w:rPr>
          <w:rFonts w:eastAsia="Calibri" w:cs="Calibri"/>
          <w:szCs w:val="22"/>
        </w:rPr>
      </w:pPr>
      <w:r w:rsidRPr="009855BD">
        <w:rPr>
          <w:rFonts w:eastAsia="Calibri" w:cs="Calibri"/>
          <w:szCs w:val="22"/>
        </w:rPr>
        <w:t xml:space="preserve">Further, the Act defines ‘eligible property’ as the following property located in Australia: </w:t>
      </w:r>
    </w:p>
    <w:p w14:paraId="2A0361BD" w14:textId="383083FE" w:rsidR="005076F4" w:rsidRPr="009855BD" w:rsidRDefault="005076F4" w:rsidP="00517CEB">
      <w:pPr>
        <w:pStyle w:val="Bullet"/>
        <w:tabs>
          <w:tab w:val="clear" w:pos="520"/>
        </w:tabs>
        <w:ind w:left="284" w:hanging="284"/>
        <w:rPr>
          <w:szCs w:val="22"/>
        </w:rPr>
      </w:pPr>
      <w:r w:rsidRPr="009855BD">
        <w:rPr>
          <w:rFonts w:eastAsia="Calibri"/>
          <w:szCs w:val="22"/>
        </w:rPr>
        <w:t xml:space="preserve">buildings (including fixtures) or other structures or works on, in or under land </w:t>
      </w:r>
    </w:p>
    <w:p w14:paraId="5EC96141" w14:textId="46BB9DB3" w:rsidR="005076F4" w:rsidRPr="009855BD" w:rsidRDefault="005076F4" w:rsidP="00517CEB">
      <w:pPr>
        <w:pStyle w:val="Bullet"/>
        <w:tabs>
          <w:tab w:val="clear" w:pos="520"/>
        </w:tabs>
        <w:ind w:left="284" w:hanging="284"/>
        <w:rPr>
          <w:szCs w:val="22"/>
        </w:rPr>
      </w:pPr>
      <w:r w:rsidRPr="009855BD">
        <w:rPr>
          <w:rFonts w:eastAsia="Calibri"/>
          <w:szCs w:val="22"/>
        </w:rPr>
        <w:t>tangible property that is located in, or on, such property</w:t>
      </w:r>
      <w:r w:rsidR="00644B11" w:rsidRPr="009855BD">
        <w:rPr>
          <w:rFonts w:eastAsia="Calibri"/>
          <w:szCs w:val="22"/>
        </w:rPr>
        <w:t>,</w:t>
      </w:r>
      <w:r w:rsidRPr="009855BD">
        <w:rPr>
          <w:rFonts w:eastAsia="Calibri"/>
          <w:szCs w:val="22"/>
        </w:rPr>
        <w:t xml:space="preserve"> and </w:t>
      </w:r>
    </w:p>
    <w:p w14:paraId="6EA4F365" w14:textId="77777777" w:rsidR="005076F4" w:rsidRPr="009855BD" w:rsidRDefault="005076F4" w:rsidP="00517CEB">
      <w:pPr>
        <w:pStyle w:val="Bullet"/>
        <w:tabs>
          <w:tab w:val="clear" w:pos="520"/>
        </w:tabs>
        <w:ind w:left="284" w:hanging="284"/>
        <w:rPr>
          <w:szCs w:val="22"/>
        </w:rPr>
      </w:pPr>
      <w:r w:rsidRPr="009855BD">
        <w:rPr>
          <w:rFonts w:eastAsia="Calibri"/>
          <w:szCs w:val="22"/>
        </w:rPr>
        <w:t>property prescribed by regulation</w:t>
      </w:r>
      <w:r w:rsidRPr="009855BD">
        <w:rPr>
          <w:rFonts w:eastAsia="Calibri" w:cs="Calibri"/>
          <w:szCs w:val="22"/>
        </w:rPr>
        <w:t>.</w:t>
      </w:r>
      <w:r w:rsidRPr="009855BD">
        <w:rPr>
          <w:rFonts w:eastAsia="Calibri" w:cs="Calibri"/>
          <w:szCs w:val="22"/>
          <w:vertAlign w:val="superscript"/>
        </w:rPr>
        <w:footnoteReference w:id="38"/>
      </w:r>
      <w:r w:rsidRPr="009855BD">
        <w:rPr>
          <w:rFonts w:eastAsia="Calibri" w:cs="Calibri"/>
          <w:szCs w:val="22"/>
        </w:rPr>
        <w:t xml:space="preserve"> </w:t>
      </w:r>
    </w:p>
    <w:p w14:paraId="491A6267" w14:textId="7475A7B9" w:rsidR="005076F4" w:rsidRPr="009855BD" w:rsidRDefault="005076F4" w:rsidP="005C3B76">
      <w:pPr>
        <w:rPr>
          <w:rFonts w:eastAsia="Calibri"/>
          <w:szCs w:val="22"/>
        </w:rPr>
      </w:pPr>
      <w:r w:rsidRPr="009855BD">
        <w:rPr>
          <w:rFonts w:eastAsia="Calibri"/>
          <w:szCs w:val="22"/>
        </w:rPr>
        <w:t>In practice, this means that insurers have an obligation to insure for the risk of terrorism, which encourages them to seek reinsurance. Reinsurance is available through the ARPC</w:t>
      </w:r>
      <w:r w:rsidR="00FC3580" w:rsidRPr="009855BD">
        <w:rPr>
          <w:rFonts w:eastAsia="Calibri"/>
          <w:szCs w:val="22"/>
        </w:rPr>
        <w:t>.</w:t>
      </w:r>
      <w:r w:rsidR="002730FA" w:rsidRPr="009855BD">
        <w:rPr>
          <w:rFonts w:eastAsia="Calibri"/>
          <w:szCs w:val="22"/>
        </w:rPr>
        <w:t xml:space="preserve"> </w:t>
      </w:r>
      <w:r w:rsidR="00FC3580" w:rsidRPr="009855BD">
        <w:rPr>
          <w:rFonts w:eastAsia="Calibri"/>
          <w:szCs w:val="22"/>
        </w:rPr>
        <w:t>H</w:t>
      </w:r>
      <w:r w:rsidR="002730FA" w:rsidRPr="009855BD">
        <w:rPr>
          <w:rFonts w:eastAsia="Calibri"/>
          <w:szCs w:val="22"/>
        </w:rPr>
        <w:t>owever</w:t>
      </w:r>
      <w:r w:rsidR="009F2068">
        <w:rPr>
          <w:rFonts w:eastAsia="Calibri"/>
          <w:szCs w:val="22"/>
        </w:rPr>
        <w:t>,</w:t>
      </w:r>
      <w:r w:rsidRPr="009855BD">
        <w:rPr>
          <w:rFonts w:eastAsia="Calibri"/>
          <w:szCs w:val="22"/>
        </w:rPr>
        <w:t xml:space="preserve"> insurers may choose to reinsure through the scheme, through the private reinsurance market, or retain the risk. </w:t>
      </w:r>
    </w:p>
    <w:p w14:paraId="143DD4E0" w14:textId="2D1DA9D8" w:rsidR="005076F4" w:rsidRPr="009855BD" w:rsidRDefault="005076F4" w:rsidP="00CF7034">
      <w:pPr>
        <w:rPr>
          <w:szCs w:val="22"/>
        </w:rPr>
      </w:pPr>
      <w:r w:rsidRPr="009855BD">
        <w:rPr>
          <w:rFonts w:eastAsia="Calibri"/>
          <w:szCs w:val="22"/>
        </w:rPr>
        <w:t>Schedule 1 of the Regulations sets out exclusions to the definition of an ‘eligible insurance contract’, including a contract for insurance that provides cover for destruction or damage to a ‘mainly residential building’</w:t>
      </w:r>
      <w:r w:rsidRPr="009855BD">
        <w:rPr>
          <w:rFonts w:eastAsia="Calibri" w:cs="Calibri"/>
          <w:szCs w:val="22"/>
        </w:rPr>
        <w:t>.</w:t>
      </w:r>
      <w:r w:rsidRPr="009855BD">
        <w:rPr>
          <w:rFonts w:eastAsia="Calibri" w:cs="Calibri"/>
          <w:szCs w:val="22"/>
          <w:vertAlign w:val="superscript"/>
        </w:rPr>
        <w:footnoteReference w:id="39"/>
      </w:r>
      <w:r w:rsidRPr="009855BD">
        <w:rPr>
          <w:rFonts w:eastAsia="Calibri" w:cs="Calibri"/>
          <w:szCs w:val="22"/>
        </w:rPr>
        <w:t xml:space="preserve"> Accordingly, the Act primarily applies to commercial property</w:t>
      </w:r>
      <w:r w:rsidR="00FC3580" w:rsidRPr="009855BD">
        <w:rPr>
          <w:rFonts w:eastAsia="Calibri" w:cs="Calibri"/>
          <w:szCs w:val="22"/>
        </w:rPr>
        <w:t>.</w:t>
      </w:r>
      <w:r w:rsidR="00B762F2" w:rsidRPr="009855BD">
        <w:rPr>
          <w:rFonts w:eastAsia="Calibri" w:cs="Calibri"/>
          <w:szCs w:val="22"/>
        </w:rPr>
        <w:t xml:space="preserve"> </w:t>
      </w:r>
      <w:r w:rsidR="00FC3580" w:rsidRPr="009855BD">
        <w:rPr>
          <w:rFonts w:eastAsia="Calibri" w:cs="Calibri"/>
          <w:szCs w:val="22"/>
        </w:rPr>
        <w:t>H</w:t>
      </w:r>
      <w:r w:rsidRPr="009855BD">
        <w:rPr>
          <w:rFonts w:eastAsia="Calibri" w:cs="Calibri"/>
          <w:szCs w:val="22"/>
        </w:rPr>
        <w:t xml:space="preserve">owever, following a recommendation in the 2015 </w:t>
      </w:r>
      <w:r w:rsidR="00A47F7F">
        <w:rPr>
          <w:rFonts w:eastAsia="Calibri" w:cs="Calibri"/>
          <w:szCs w:val="22"/>
        </w:rPr>
        <w:t>t</w:t>
      </w:r>
      <w:r w:rsidRPr="009855BD">
        <w:rPr>
          <w:rFonts w:eastAsia="Calibri" w:cs="Calibri"/>
          <w:szCs w:val="22"/>
        </w:rPr>
        <w:t xml:space="preserve">riennial </w:t>
      </w:r>
      <w:r w:rsidR="00A47F7F">
        <w:rPr>
          <w:rFonts w:eastAsia="Calibri" w:cs="Calibri"/>
          <w:szCs w:val="22"/>
        </w:rPr>
        <w:t>r</w:t>
      </w:r>
      <w:r w:rsidRPr="009855BD">
        <w:rPr>
          <w:rFonts w:eastAsia="Calibri" w:cs="Calibri"/>
          <w:szCs w:val="22"/>
        </w:rPr>
        <w:t>eview, the</w:t>
      </w:r>
      <w:r w:rsidRPr="009855BD" w:rsidDel="001754BA">
        <w:rPr>
          <w:rFonts w:eastAsia="Calibri" w:cs="Calibri"/>
          <w:szCs w:val="22"/>
        </w:rPr>
        <w:t xml:space="preserve"> </w:t>
      </w:r>
      <w:r w:rsidR="001754BA">
        <w:rPr>
          <w:rFonts w:eastAsia="Calibri" w:cs="Calibri"/>
          <w:szCs w:val="22"/>
        </w:rPr>
        <w:t>terrorism pool</w:t>
      </w:r>
      <w:r w:rsidR="001754BA" w:rsidRPr="009855BD">
        <w:rPr>
          <w:rFonts w:eastAsia="Calibri" w:cs="Calibri"/>
          <w:szCs w:val="22"/>
        </w:rPr>
        <w:t xml:space="preserve"> </w:t>
      </w:r>
      <w:r w:rsidRPr="009855BD">
        <w:rPr>
          <w:rFonts w:eastAsia="Calibri" w:cs="Calibri"/>
          <w:szCs w:val="22"/>
        </w:rPr>
        <w:t>was extended to insurance cover for mixed-use and high value buildings.</w:t>
      </w:r>
      <w:r w:rsidRPr="005F698B">
        <w:rPr>
          <w:rFonts w:eastAsia="Calibri" w:cs="Calibri"/>
          <w:szCs w:val="22"/>
          <w:vertAlign w:val="superscript"/>
        </w:rPr>
        <w:footnoteReference w:id="40"/>
      </w:r>
      <w:r w:rsidRPr="009855BD">
        <w:rPr>
          <w:rFonts w:eastAsia="Calibri" w:cs="Calibri"/>
          <w:szCs w:val="22"/>
        </w:rPr>
        <w:t xml:space="preserve"> </w:t>
      </w:r>
    </w:p>
    <w:p w14:paraId="231C457B" w14:textId="6A55B8AF" w:rsidR="005076F4" w:rsidRPr="009855BD" w:rsidRDefault="005076F4" w:rsidP="00CF7034">
      <w:pPr>
        <w:rPr>
          <w:rFonts w:eastAsia="Calibri" w:cs="Calibri"/>
          <w:szCs w:val="22"/>
        </w:rPr>
      </w:pPr>
      <w:r w:rsidRPr="009855BD">
        <w:rPr>
          <w:rFonts w:eastAsia="Calibri" w:cs="Calibri"/>
          <w:szCs w:val="22"/>
        </w:rPr>
        <w:t>Schedule 1 also provides that a contract of insurance to the extent that it provides cover for loss arising from computer crime is not an eligible insurance contract.</w:t>
      </w:r>
      <w:r w:rsidRPr="005F698B">
        <w:rPr>
          <w:rFonts w:eastAsia="Calibri" w:cs="Calibri"/>
          <w:szCs w:val="22"/>
          <w:vertAlign w:val="superscript"/>
        </w:rPr>
        <w:footnoteReference w:id="41"/>
      </w:r>
      <w:r w:rsidRPr="009855BD">
        <w:rPr>
          <w:rFonts w:eastAsia="Calibri" w:cs="Calibri"/>
          <w:szCs w:val="22"/>
        </w:rPr>
        <w:t xml:space="preserve"> The </w:t>
      </w:r>
      <w:r w:rsidR="001754BA">
        <w:rPr>
          <w:rFonts w:eastAsia="Calibri" w:cs="Calibri"/>
          <w:szCs w:val="22"/>
        </w:rPr>
        <w:t>terrorism pool</w:t>
      </w:r>
      <w:r w:rsidR="001754BA" w:rsidRPr="009855BD">
        <w:rPr>
          <w:rFonts w:eastAsia="Calibri" w:cs="Calibri"/>
          <w:szCs w:val="22"/>
        </w:rPr>
        <w:t xml:space="preserve"> </w:t>
      </w:r>
      <w:r w:rsidRPr="009855BD">
        <w:rPr>
          <w:rFonts w:eastAsia="Calibri" w:cs="Calibri"/>
          <w:szCs w:val="22"/>
        </w:rPr>
        <w:t xml:space="preserve">does not provide cover for personal injury or death caused by a terrorist incident. </w:t>
      </w:r>
      <w:r w:rsidR="004C7F17" w:rsidRPr="009855BD">
        <w:rPr>
          <w:rFonts w:eastAsia="Calibri" w:cs="Calibri"/>
          <w:szCs w:val="22"/>
        </w:rPr>
        <w:t>Claims from conventional forms of terrorist attack and attacks involving biological and chemical materials are covered by the terrorism pool, but terrorist incidents involving nuclear or radiological material are excluded.</w:t>
      </w:r>
    </w:p>
    <w:p w14:paraId="36C549C8" w14:textId="5281F6E6" w:rsidR="004E4BB6" w:rsidRDefault="00E74F0A" w:rsidP="00CF7034">
      <w:pPr>
        <w:rPr>
          <w:rFonts w:eastAsia="Calibri" w:cs="Calibri"/>
          <w:szCs w:val="22"/>
        </w:rPr>
      </w:pPr>
      <w:r w:rsidRPr="009855BD">
        <w:rPr>
          <w:rFonts w:eastAsia="Calibri" w:cs="Calibri"/>
          <w:szCs w:val="22"/>
        </w:rPr>
        <w:t xml:space="preserve">The 2021 </w:t>
      </w:r>
      <w:r w:rsidR="00A47F7F">
        <w:rPr>
          <w:rFonts w:eastAsia="Calibri" w:cs="Calibri"/>
          <w:szCs w:val="22"/>
        </w:rPr>
        <w:t>t</w:t>
      </w:r>
      <w:r w:rsidR="007001B5">
        <w:rPr>
          <w:rFonts w:eastAsia="Calibri" w:cs="Calibri"/>
          <w:szCs w:val="22"/>
        </w:rPr>
        <w:t xml:space="preserve">riennial </w:t>
      </w:r>
      <w:r w:rsidR="00A47F7F">
        <w:rPr>
          <w:rFonts w:eastAsia="Calibri" w:cs="Calibri"/>
          <w:szCs w:val="22"/>
        </w:rPr>
        <w:t>r</w:t>
      </w:r>
      <w:r w:rsidRPr="009855BD">
        <w:rPr>
          <w:rFonts w:eastAsia="Calibri" w:cs="Calibri"/>
          <w:szCs w:val="22"/>
        </w:rPr>
        <w:t>eview</w:t>
      </w:r>
      <w:r w:rsidRPr="009855BD" w:rsidDel="00E4556F">
        <w:rPr>
          <w:rFonts w:eastAsia="Calibri" w:cs="Calibri"/>
          <w:szCs w:val="22"/>
        </w:rPr>
        <w:t xml:space="preserve"> </w:t>
      </w:r>
      <w:r w:rsidR="00656602" w:rsidRPr="009855BD">
        <w:rPr>
          <w:rFonts w:eastAsia="Calibri" w:cs="Calibri"/>
          <w:szCs w:val="22"/>
        </w:rPr>
        <w:t xml:space="preserve">estimated the global commercial market capacity available for Australian terrorism reinsurance as short of the level required to cover against large, but possible, terrorism incidents. </w:t>
      </w:r>
      <w:r w:rsidR="00482E67" w:rsidRPr="009855BD">
        <w:rPr>
          <w:rFonts w:eastAsia="Calibri" w:cs="Calibri"/>
          <w:szCs w:val="22"/>
        </w:rPr>
        <w:t xml:space="preserve">Further, stakeholders including reinsurers and brokers indicated in the 2021 </w:t>
      </w:r>
      <w:r w:rsidR="00A67584">
        <w:rPr>
          <w:rFonts w:eastAsia="Calibri" w:cs="Calibri"/>
          <w:szCs w:val="22"/>
        </w:rPr>
        <w:t>t</w:t>
      </w:r>
      <w:r w:rsidR="00E4556F">
        <w:rPr>
          <w:rFonts w:eastAsia="Calibri" w:cs="Calibri"/>
          <w:szCs w:val="22"/>
        </w:rPr>
        <w:t xml:space="preserve">riennial </w:t>
      </w:r>
      <w:r w:rsidR="00482E67" w:rsidRPr="009855BD" w:rsidDel="00E4556F">
        <w:rPr>
          <w:rFonts w:eastAsia="Calibri" w:cs="Calibri"/>
          <w:szCs w:val="22"/>
        </w:rPr>
        <w:t>r</w:t>
      </w:r>
      <w:r w:rsidR="00482E67" w:rsidRPr="009855BD">
        <w:rPr>
          <w:rFonts w:eastAsia="Calibri" w:cs="Calibri"/>
          <w:szCs w:val="22"/>
        </w:rPr>
        <w:t>eview that they would find it difficult to participate in the Australian terrorism insurance market without a mechanism like the ARPC.</w:t>
      </w:r>
      <w:r w:rsidR="00482E67" w:rsidRPr="006F53AC">
        <w:rPr>
          <w:rFonts w:eastAsia="Calibri" w:cs="Calibri"/>
          <w:szCs w:val="22"/>
          <w:vertAlign w:val="superscript"/>
        </w:rPr>
        <w:footnoteReference w:id="42"/>
      </w:r>
      <w:r w:rsidR="00482E67" w:rsidRPr="009855BD">
        <w:rPr>
          <w:rFonts w:eastAsia="Calibri" w:cs="Calibri"/>
          <w:szCs w:val="22"/>
        </w:rPr>
        <w:t xml:space="preserve"> </w:t>
      </w:r>
    </w:p>
    <w:p w14:paraId="50F25773" w14:textId="4B003FE9" w:rsidR="00924F23" w:rsidRPr="009855BD" w:rsidRDefault="000B699D" w:rsidP="00CF7034">
      <w:pPr>
        <w:rPr>
          <w:szCs w:val="22"/>
        </w:rPr>
      </w:pPr>
      <w:r w:rsidRPr="009855BD">
        <w:rPr>
          <w:rFonts w:eastAsia="Calibri" w:cs="Calibri"/>
          <w:szCs w:val="22"/>
        </w:rPr>
        <w:t>The terrorism reinsurance market remains largely unchanged</w:t>
      </w:r>
      <w:r w:rsidR="00963BEE">
        <w:rPr>
          <w:rFonts w:eastAsia="Calibri" w:cs="Calibri"/>
          <w:szCs w:val="22"/>
        </w:rPr>
        <w:t xml:space="preserve"> since 2021</w:t>
      </w:r>
      <w:r w:rsidRPr="009855BD">
        <w:rPr>
          <w:rFonts w:eastAsia="Calibri" w:cs="Calibri"/>
          <w:szCs w:val="22"/>
        </w:rPr>
        <w:t>. The</w:t>
      </w:r>
      <w:r w:rsidR="00D14E15" w:rsidRPr="009855BD">
        <w:rPr>
          <w:rFonts w:eastAsia="Calibri" w:cs="Calibri"/>
          <w:szCs w:val="22"/>
        </w:rPr>
        <w:t xml:space="preserve"> private market </w:t>
      </w:r>
      <w:r w:rsidR="00AC053F" w:rsidRPr="009855BD">
        <w:rPr>
          <w:rFonts w:eastAsia="Calibri" w:cs="Calibri"/>
          <w:szCs w:val="22"/>
        </w:rPr>
        <w:t>is providing $</w:t>
      </w:r>
      <w:r w:rsidR="00AE5C54">
        <w:rPr>
          <w:rFonts w:eastAsia="Calibri" w:cs="Calibri"/>
          <w:szCs w:val="22"/>
        </w:rPr>
        <w:t>2.15</w:t>
      </w:r>
      <w:r w:rsidR="00917188">
        <w:rPr>
          <w:rFonts w:eastAsia="Calibri" w:cs="Calibri"/>
          <w:szCs w:val="22"/>
        </w:rPr>
        <w:t xml:space="preserve"> </w:t>
      </w:r>
      <w:r w:rsidR="00AC053F" w:rsidRPr="009855BD">
        <w:rPr>
          <w:rFonts w:eastAsia="Calibri" w:cs="Calibri"/>
          <w:szCs w:val="22"/>
        </w:rPr>
        <w:t>b</w:t>
      </w:r>
      <w:r w:rsidR="00917188">
        <w:rPr>
          <w:rFonts w:eastAsia="Calibri" w:cs="Calibri"/>
          <w:szCs w:val="22"/>
        </w:rPr>
        <w:t>illion</w:t>
      </w:r>
      <w:r w:rsidR="00AC053F" w:rsidRPr="009855BD">
        <w:rPr>
          <w:rFonts w:eastAsia="Calibri" w:cs="Calibri"/>
          <w:szCs w:val="22"/>
        </w:rPr>
        <w:t xml:space="preserve"> in capacity to the terrorism reinsurance pool</w:t>
      </w:r>
      <w:r w:rsidR="0049698F">
        <w:rPr>
          <w:rFonts w:eastAsia="Calibri" w:cs="Calibri"/>
          <w:szCs w:val="22"/>
        </w:rPr>
        <w:t>.</w:t>
      </w:r>
      <w:r w:rsidR="00AC053F" w:rsidRPr="009855BD">
        <w:rPr>
          <w:rFonts w:eastAsia="Calibri" w:cs="Calibri"/>
          <w:szCs w:val="22"/>
        </w:rPr>
        <w:t xml:space="preserve"> </w:t>
      </w:r>
      <w:r w:rsidR="0049698F">
        <w:rPr>
          <w:rFonts w:eastAsia="Calibri" w:cs="Calibri"/>
          <w:szCs w:val="22"/>
        </w:rPr>
        <w:t>T</w:t>
      </w:r>
      <w:r w:rsidR="00CA358C" w:rsidRPr="009855BD">
        <w:rPr>
          <w:rFonts w:eastAsia="Calibri" w:cs="Calibri"/>
          <w:szCs w:val="22"/>
        </w:rPr>
        <w:t>h</w:t>
      </w:r>
      <w:r w:rsidR="00DF3819" w:rsidRPr="009855BD">
        <w:rPr>
          <w:rFonts w:eastAsia="Calibri" w:cs="Calibri"/>
          <w:szCs w:val="22"/>
        </w:rPr>
        <w:t xml:space="preserve">e private market </w:t>
      </w:r>
      <w:r w:rsidR="007953C2">
        <w:rPr>
          <w:rFonts w:eastAsia="Calibri" w:cs="Calibri"/>
          <w:szCs w:val="22"/>
        </w:rPr>
        <w:t xml:space="preserve">likely </w:t>
      </w:r>
      <w:r w:rsidR="0049698F">
        <w:rPr>
          <w:rFonts w:eastAsia="Calibri" w:cs="Calibri"/>
          <w:szCs w:val="22"/>
        </w:rPr>
        <w:t>could</w:t>
      </w:r>
      <w:r w:rsidR="00FB414D" w:rsidRPr="009855BD">
        <w:rPr>
          <w:rFonts w:eastAsia="Calibri" w:cs="Calibri"/>
          <w:szCs w:val="22"/>
        </w:rPr>
        <w:t xml:space="preserve"> provide </w:t>
      </w:r>
      <w:r w:rsidR="0049698F">
        <w:rPr>
          <w:rFonts w:eastAsia="Calibri" w:cs="Calibri"/>
          <w:szCs w:val="22"/>
        </w:rPr>
        <w:t>further</w:t>
      </w:r>
      <w:r w:rsidR="00FB414D" w:rsidRPr="009855BD">
        <w:rPr>
          <w:rFonts w:eastAsia="Calibri" w:cs="Calibri"/>
          <w:szCs w:val="22"/>
        </w:rPr>
        <w:t xml:space="preserve"> capacity </w:t>
      </w:r>
      <w:r w:rsidR="0049698F">
        <w:rPr>
          <w:rFonts w:eastAsia="Calibri" w:cs="Calibri"/>
          <w:szCs w:val="22"/>
        </w:rPr>
        <w:t>but</w:t>
      </w:r>
      <w:r w:rsidR="00FB414D" w:rsidRPr="009855BD">
        <w:rPr>
          <w:rFonts w:eastAsia="Calibri" w:cs="Calibri"/>
          <w:szCs w:val="22"/>
        </w:rPr>
        <w:t xml:space="preserve"> would </w:t>
      </w:r>
      <w:r w:rsidR="0049698F">
        <w:rPr>
          <w:rFonts w:eastAsia="Calibri" w:cs="Calibri"/>
          <w:szCs w:val="22"/>
        </w:rPr>
        <w:t xml:space="preserve">not be able to provide </w:t>
      </w:r>
      <w:r w:rsidR="00FB414D" w:rsidRPr="009855BD">
        <w:rPr>
          <w:rFonts w:eastAsia="Calibri" w:cs="Calibri"/>
          <w:szCs w:val="22"/>
        </w:rPr>
        <w:t>the</w:t>
      </w:r>
      <w:r w:rsidR="0049698F">
        <w:rPr>
          <w:rFonts w:eastAsia="Calibri" w:cs="Calibri"/>
          <w:szCs w:val="22"/>
        </w:rPr>
        <w:t xml:space="preserve"> aggregate</w:t>
      </w:r>
      <w:r w:rsidR="00FB414D" w:rsidRPr="009855BD">
        <w:rPr>
          <w:rFonts w:eastAsia="Calibri" w:cs="Calibri"/>
          <w:szCs w:val="22"/>
        </w:rPr>
        <w:t xml:space="preserve"> $1</w:t>
      </w:r>
      <w:r w:rsidR="00DD0D90">
        <w:rPr>
          <w:rFonts w:eastAsia="Calibri" w:cs="Calibri"/>
          <w:szCs w:val="22"/>
        </w:rPr>
        <w:t>3</w:t>
      </w:r>
      <w:r w:rsidR="00FB414D" w:rsidRPr="009855BD">
        <w:rPr>
          <w:rFonts w:eastAsia="Calibri" w:cs="Calibri"/>
          <w:szCs w:val="22"/>
        </w:rPr>
        <w:t>.7</w:t>
      </w:r>
      <w:r w:rsidR="0049698F">
        <w:rPr>
          <w:rFonts w:eastAsia="Calibri" w:cs="Calibri"/>
          <w:szCs w:val="22"/>
        </w:rPr>
        <w:t xml:space="preserve"> </w:t>
      </w:r>
      <w:r w:rsidR="00FB414D" w:rsidRPr="009855BD">
        <w:rPr>
          <w:rFonts w:eastAsia="Calibri" w:cs="Calibri"/>
          <w:szCs w:val="22"/>
        </w:rPr>
        <w:t>b</w:t>
      </w:r>
      <w:r w:rsidR="0049698F">
        <w:rPr>
          <w:rFonts w:eastAsia="Calibri" w:cs="Calibri"/>
          <w:szCs w:val="22"/>
        </w:rPr>
        <w:t>illion</w:t>
      </w:r>
      <w:r w:rsidR="00FB414D" w:rsidRPr="009855BD">
        <w:rPr>
          <w:rFonts w:eastAsia="Calibri" w:cs="Calibri"/>
          <w:szCs w:val="22"/>
        </w:rPr>
        <w:t xml:space="preserve"> in claims funding capacity the ARPC provides.</w:t>
      </w:r>
    </w:p>
    <w:p w14:paraId="2307DEBC" w14:textId="460C7879" w:rsidR="00991B71" w:rsidRPr="005F698B" w:rsidRDefault="00991B71" w:rsidP="00561999">
      <w:pPr>
        <w:pStyle w:val="Heading2"/>
      </w:pPr>
      <w:bookmarkStart w:id="78" w:name="_Toc210055995"/>
      <w:r w:rsidRPr="005F698B">
        <w:t>Claims</w:t>
      </w:r>
      <w:bookmarkEnd w:id="78"/>
      <w:r w:rsidRPr="005F698B">
        <w:t xml:space="preserve"> </w:t>
      </w:r>
    </w:p>
    <w:p w14:paraId="7FF89E58" w14:textId="7C6A0B6C" w:rsidR="00991B71" w:rsidRPr="006F53AC" w:rsidRDefault="00991B71" w:rsidP="006F53AC">
      <w:pPr>
        <w:rPr>
          <w:rFonts w:eastAsia="Calibri" w:cs="Calibri"/>
          <w:szCs w:val="22"/>
        </w:rPr>
      </w:pPr>
      <w:r w:rsidRPr="009855BD">
        <w:rPr>
          <w:rFonts w:eastAsia="Calibri" w:cs="Calibri"/>
          <w:szCs w:val="22"/>
        </w:rPr>
        <w:t xml:space="preserve">A claim on the </w:t>
      </w:r>
      <w:r w:rsidR="00925F97">
        <w:rPr>
          <w:rFonts w:eastAsia="Calibri" w:cs="Calibri"/>
          <w:szCs w:val="22"/>
        </w:rPr>
        <w:t>terrorism pool</w:t>
      </w:r>
      <w:r w:rsidR="00925F97" w:rsidRPr="009855BD">
        <w:rPr>
          <w:rFonts w:eastAsia="Calibri" w:cs="Calibri"/>
          <w:szCs w:val="22"/>
        </w:rPr>
        <w:t xml:space="preserve"> </w:t>
      </w:r>
      <w:r w:rsidRPr="009855BD">
        <w:rPr>
          <w:rFonts w:eastAsia="Calibri" w:cs="Calibri"/>
          <w:szCs w:val="22"/>
        </w:rPr>
        <w:t>may be made for eligible terrorism losses arising from any</w:t>
      </w:r>
      <w:r w:rsidR="00925F97">
        <w:rPr>
          <w:rFonts w:eastAsia="Calibri" w:cs="Calibri"/>
          <w:szCs w:val="22"/>
        </w:rPr>
        <w:t xml:space="preserve"> DTI</w:t>
      </w:r>
      <w:r w:rsidRPr="009855BD">
        <w:rPr>
          <w:rFonts w:eastAsia="Calibri" w:cs="Calibri"/>
          <w:szCs w:val="22"/>
        </w:rPr>
        <w:t xml:space="preserve"> covered by an eligible insurance contract where the insurer has a reinsurance agreement with the ARPC. The scheme will not be triggered unless the Minister</w:t>
      </w:r>
      <w:r w:rsidR="00862701" w:rsidRPr="009855BD">
        <w:rPr>
          <w:rFonts w:eastAsia="Calibri" w:cs="Calibri"/>
          <w:szCs w:val="22"/>
        </w:rPr>
        <w:t>,</w:t>
      </w:r>
      <w:r w:rsidRPr="009855BD">
        <w:rPr>
          <w:rFonts w:eastAsia="Calibri" w:cs="Calibri"/>
          <w:szCs w:val="22"/>
        </w:rPr>
        <w:t xml:space="preserve"> who has administrative responsibility for the Act</w:t>
      </w:r>
      <w:r w:rsidR="00862701" w:rsidRPr="009855BD">
        <w:rPr>
          <w:rFonts w:eastAsia="Calibri" w:cs="Calibri"/>
          <w:szCs w:val="22"/>
        </w:rPr>
        <w:t>,</w:t>
      </w:r>
      <w:r w:rsidRPr="009855BD">
        <w:rPr>
          <w:rFonts w:eastAsia="Calibri" w:cs="Calibri"/>
          <w:szCs w:val="22"/>
        </w:rPr>
        <w:t xml:space="preserve"> declares that a terrorist incident has occurred for the purpose of the Act.</w:t>
      </w:r>
    </w:p>
    <w:p w14:paraId="7FDFA42E" w14:textId="4A685D37" w:rsidR="00991B71" w:rsidRPr="006F53AC" w:rsidRDefault="00991B71" w:rsidP="006F53AC">
      <w:pPr>
        <w:rPr>
          <w:rFonts w:eastAsia="Calibri" w:cs="Calibri"/>
          <w:szCs w:val="22"/>
        </w:rPr>
      </w:pPr>
      <w:r w:rsidRPr="009855BD">
        <w:rPr>
          <w:rFonts w:eastAsia="Calibri" w:cs="Calibri"/>
          <w:szCs w:val="22"/>
        </w:rPr>
        <w:t xml:space="preserve">There has been one declared terrorist incident in the history of the </w:t>
      </w:r>
      <w:r w:rsidR="006809AE">
        <w:rPr>
          <w:rFonts w:eastAsia="Calibri" w:cs="Calibri"/>
          <w:szCs w:val="22"/>
        </w:rPr>
        <w:t>terrorism pool</w:t>
      </w:r>
      <w:r w:rsidR="00E75A08" w:rsidRPr="009855BD">
        <w:rPr>
          <w:rFonts w:eastAsia="Calibri" w:cs="Calibri"/>
          <w:szCs w:val="22"/>
        </w:rPr>
        <w:t>,</w:t>
      </w:r>
      <w:r w:rsidRPr="009855BD">
        <w:rPr>
          <w:rFonts w:eastAsia="Calibri" w:cs="Calibri"/>
          <w:szCs w:val="22"/>
        </w:rPr>
        <w:t xml:space="preserve"> with 92 claims recorded </w:t>
      </w:r>
      <w:r w:rsidR="00C5662A" w:rsidRPr="009855BD">
        <w:rPr>
          <w:rFonts w:eastAsia="Calibri" w:cs="Calibri"/>
          <w:szCs w:val="22"/>
        </w:rPr>
        <w:t>for</w:t>
      </w:r>
      <w:r w:rsidRPr="009855BD">
        <w:rPr>
          <w:rFonts w:eastAsia="Calibri" w:cs="Calibri"/>
          <w:szCs w:val="22"/>
        </w:rPr>
        <w:t xml:space="preserve"> the Lindt Café siege</w:t>
      </w:r>
      <w:r w:rsidR="00B60343" w:rsidRPr="009855BD">
        <w:rPr>
          <w:rFonts w:eastAsia="Calibri" w:cs="Calibri"/>
          <w:szCs w:val="22"/>
        </w:rPr>
        <w:t xml:space="preserve"> in </w:t>
      </w:r>
      <w:r w:rsidR="00233664" w:rsidRPr="009855BD">
        <w:rPr>
          <w:rFonts w:eastAsia="Calibri" w:cs="Calibri"/>
          <w:szCs w:val="22"/>
        </w:rPr>
        <w:t>2014</w:t>
      </w:r>
      <w:r w:rsidRPr="009855BD">
        <w:rPr>
          <w:rFonts w:eastAsia="Calibri" w:cs="Calibri"/>
          <w:szCs w:val="22"/>
        </w:rPr>
        <w:t xml:space="preserve">, totalling $2.3 million from 20 </w:t>
      </w:r>
      <w:r w:rsidR="00365469" w:rsidRPr="009855BD">
        <w:rPr>
          <w:rFonts w:eastAsia="Calibri" w:cs="Calibri"/>
          <w:szCs w:val="22"/>
        </w:rPr>
        <w:t>insurers</w:t>
      </w:r>
      <w:r w:rsidR="00365469" w:rsidRPr="006F53AC">
        <w:rPr>
          <w:rFonts w:eastAsia="Calibri" w:cs="Calibri"/>
        </w:rPr>
        <w:t>.</w:t>
      </w:r>
      <w:r w:rsidR="00365469" w:rsidRPr="009855BD">
        <w:rPr>
          <w:rFonts w:eastAsia="Calibri" w:cs="Calibri"/>
          <w:szCs w:val="22"/>
        </w:rPr>
        <w:t xml:space="preserve"> This was within the insurer retentions under the terrorism pool, explained further below.</w:t>
      </w:r>
      <w:r w:rsidRPr="009855BD">
        <w:rPr>
          <w:rFonts w:eastAsia="Calibri" w:cs="Calibri"/>
          <w:szCs w:val="22"/>
        </w:rPr>
        <w:t xml:space="preserve"> As such, there has </w:t>
      </w:r>
      <w:r w:rsidR="00233664" w:rsidRPr="009855BD">
        <w:rPr>
          <w:rFonts w:eastAsia="Calibri" w:cs="Calibri"/>
          <w:szCs w:val="22"/>
        </w:rPr>
        <w:t xml:space="preserve">never </w:t>
      </w:r>
      <w:r w:rsidRPr="009855BD">
        <w:rPr>
          <w:rFonts w:eastAsia="Calibri" w:cs="Calibri"/>
          <w:szCs w:val="22"/>
        </w:rPr>
        <w:t xml:space="preserve">been </w:t>
      </w:r>
      <w:r w:rsidR="00233664" w:rsidRPr="009855BD">
        <w:rPr>
          <w:rFonts w:eastAsia="Calibri" w:cs="Calibri"/>
          <w:szCs w:val="22"/>
        </w:rPr>
        <w:t>a</w:t>
      </w:r>
      <w:r w:rsidRPr="009855BD">
        <w:rPr>
          <w:rFonts w:eastAsia="Calibri" w:cs="Calibri"/>
          <w:szCs w:val="22"/>
        </w:rPr>
        <w:t xml:space="preserve"> call on the Commonwealth guarantee</w:t>
      </w:r>
      <w:r w:rsidR="00457D02">
        <w:rPr>
          <w:rFonts w:eastAsia="Calibri" w:cs="Calibri"/>
          <w:szCs w:val="22"/>
        </w:rPr>
        <w:t>.</w:t>
      </w:r>
    </w:p>
    <w:p w14:paraId="06BDA119" w14:textId="77777777" w:rsidR="00D11A95" w:rsidRPr="006D0DF3" w:rsidRDefault="00D11A95" w:rsidP="00561999">
      <w:pPr>
        <w:pStyle w:val="Heading3"/>
      </w:pPr>
      <w:bookmarkStart w:id="79" w:name="_Toc81844184"/>
      <w:bookmarkStart w:id="80" w:name="_Toc89070020"/>
      <w:bookmarkStart w:id="81" w:name="_Toc207898474"/>
      <w:bookmarkStart w:id="82" w:name="_Toc210055996"/>
      <w:bookmarkStart w:id="83" w:name="_Toc121828"/>
      <w:r w:rsidRPr="006D0DF3">
        <w:t>How a claim is funded</w:t>
      </w:r>
      <w:bookmarkEnd w:id="79"/>
      <w:bookmarkEnd w:id="80"/>
      <w:bookmarkEnd w:id="81"/>
      <w:bookmarkEnd w:id="82"/>
      <w:r w:rsidRPr="006D0DF3">
        <w:t xml:space="preserve"> </w:t>
      </w:r>
      <w:bookmarkEnd w:id="83"/>
    </w:p>
    <w:p w14:paraId="3F0F0C76" w14:textId="3009AE1C" w:rsidR="002D790D" w:rsidRPr="009855BD" w:rsidRDefault="002D790D" w:rsidP="002D790D">
      <w:pPr>
        <w:spacing w:after="232" w:line="238" w:lineRule="auto"/>
        <w:ind w:left="-3" w:hanging="9"/>
        <w:rPr>
          <w:szCs w:val="22"/>
        </w:rPr>
      </w:pPr>
      <w:r w:rsidRPr="009855BD">
        <w:rPr>
          <w:rFonts w:eastAsia="Calibri" w:cs="Calibri"/>
          <w:szCs w:val="22"/>
        </w:rPr>
        <w:t xml:space="preserve">Insurers that reinsure their terrorism risks with the ARPC retain part of the cost from a terrorist incident. The retention, similar to an excess or deductible, requires the insurer to pay the first part of any claim. </w:t>
      </w:r>
      <w:r w:rsidR="00BC5D39" w:rsidRPr="009855BD">
        <w:rPr>
          <w:rFonts w:eastAsia="Calibri" w:cs="Calibri"/>
          <w:szCs w:val="22"/>
        </w:rPr>
        <w:t xml:space="preserve">Annual aggregate retentions </w:t>
      </w:r>
      <w:r w:rsidRPr="009855BD">
        <w:rPr>
          <w:rFonts w:eastAsia="Calibri" w:cs="Calibri"/>
          <w:szCs w:val="22"/>
        </w:rPr>
        <w:t>for individual insurers are calculated as 5 per cent of fire and industrial special risk premiums collected by the insurer, with a minimum retention of $100,000 and a maximum retention of $12.5 million</w:t>
      </w:r>
      <w:r w:rsidR="00287049">
        <w:rPr>
          <w:rFonts w:eastAsia="Calibri" w:cs="Calibri"/>
          <w:szCs w:val="22"/>
        </w:rPr>
        <w:t>.</w:t>
      </w:r>
      <w:r w:rsidR="0025540A" w:rsidRPr="009855BD">
        <w:rPr>
          <w:rFonts w:eastAsia="Calibri" w:cs="Calibri"/>
          <w:szCs w:val="22"/>
        </w:rPr>
        <w:t xml:space="preserve"> </w:t>
      </w:r>
      <w:r w:rsidR="00287049">
        <w:rPr>
          <w:rFonts w:eastAsia="Calibri" w:cs="Calibri"/>
          <w:szCs w:val="22"/>
        </w:rPr>
        <w:t>These amounts have been in place since</w:t>
      </w:r>
      <w:r w:rsidR="002929B0" w:rsidRPr="009855BD">
        <w:rPr>
          <w:rFonts w:eastAsia="Calibri" w:cs="Calibri"/>
          <w:szCs w:val="22"/>
        </w:rPr>
        <w:t xml:space="preserve"> 2017</w:t>
      </w:r>
      <w:r w:rsidRPr="009855BD">
        <w:rPr>
          <w:rFonts w:eastAsia="Calibri" w:cs="Calibri"/>
          <w:szCs w:val="22"/>
        </w:rPr>
        <w:t>.</w:t>
      </w:r>
      <w:r w:rsidRPr="009855BD">
        <w:rPr>
          <w:rStyle w:val="FootnoteReference"/>
          <w:rFonts w:eastAsia="Calibri" w:cs="Calibri"/>
          <w:sz w:val="22"/>
          <w:szCs w:val="22"/>
        </w:rPr>
        <w:footnoteReference w:id="43"/>
      </w:r>
    </w:p>
    <w:p w14:paraId="3F5DD8B8" w14:textId="31D86A3C" w:rsidR="002D790D" w:rsidRPr="009855BD" w:rsidRDefault="002D790D" w:rsidP="002D790D">
      <w:pPr>
        <w:rPr>
          <w:szCs w:val="22"/>
        </w:rPr>
      </w:pPr>
      <w:r w:rsidRPr="009855BD">
        <w:rPr>
          <w:rFonts w:eastAsia="Calibri" w:cs="Calibri"/>
          <w:szCs w:val="22"/>
        </w:rPr>
        <w:t>The ARPC’s reinsurance agreement also provides for a maximum industry wide retention of $200 million. If the sum of the retentions of maximum individual insurers in respect of all eligible terrorism losses caused by a single terrorist incident exceeds the maximum industry wide retention of $200 million, then each insurer’s retention is reduced proportionately to meet the industry wide retention.</w:t>
      </w:r>
      <w:r w:rsidRPr="009855BD">
        <w:rPr>
          <w:rStyle w:val="FootnoteReference"/>
          <w:rFonts w:eastAsia="Calibri" w:cs="Calibri"/>
          <w:sz w:val="22"/>
          <w:szCs w:val="22"/>
        </w:rPr>
        <w:footnoteReference w:id="44"/>
      </w:r>
    </w:p>
    <w:p w14:paraId="33D9F195" w14:textId="06D7084C" w:rsidR="00D11A95" w:rsidRPr="009855BD" w:rsidRDefault="00D11A95" w:rsidP="00D11A95">
      <w:pPr>
        <w:spacing w:after="292" w:line="238" w:lineRule="auto"/>
        <w:ind w:left="-3" w:hanging="9"/>
        <w:rPr>
          <w:szCs w:val="22"/>
        </w:rPr>
      </w:pPr>
      <w:r w:rsidRPr="009855BD">
        <w:rPr>
          <w:rFonts w:eastAsia="Calibri" w:cs="Calibri"/>
          <w:szCs w:val="22"/>
        </w:rPr>
        <w:t xml:space="preserve">In the event of a declared terrorist incident for the purposes of the Act, claims would progress along </w:t>
      </w:r>
      <w:r w:rsidR="00FF367B">
        <w:rPr>
          <w:rFonts w:eastAsia="Calibri" w:cs="Calibri"/>
          <w:szCs w:val="22"/>
        </w:rPr>
        <w:t xml:space="preserve"> </w:t>
      </w:r>
      <w:r w:rsidRPr="009855BD">
        <w:rPr>
          <w:rFonts w:eastAsia="Calibri" w:cs="Calibri"/>
          <w:szCs w:val="22"/>
        </w:rPr>
        <w:t xml:space="preserve">the following sequence </w:t>
      </w:r>
      <w:r w:rsidR="00EF4126" w:rsidRPr="009855BD">
        <w:rPr>
          <w:rFonts w:eastAsia="Calibri" w:cs="Calibri"/>
          <w:szCs w:val="22"/>
        </w:rPr>
        <w:t xml:space="preserve">as demonstrated in </w:t>
      </w:r>
      <w:r w:rsidRPr="009855BD">
        <w:rPr>
          <w:rFonts w:eastAsia="Calibri" w:cs="Calibri"/>
          <w:szCs w:val="22"/>
        </w:rPr>
        <w:t xml:space="preserve">Figure </w:t>
      </w:r>
      <w:r w:rsidR="007C458A">
        <w:rPr>
          <w:rFonts w:eastAsia="Calibri" w:cs="Calibri"/>
          <w:szCs w:val="22"/>
        </w:rPr>
        <w:t>3</w:t>
      </w:r>
      <w:r w:rsidRPr="009855BD">
        <w:rPr>
          <w:rFonts w:eastAsia="Calibri" w:cs="Calibri"/>
          <w:szCs w:val="22"/>
        </w:rPr>
        <w:t xml:space="preserve">: </w:t>
      </w:r>
    </w:p>
    <w:p w14:paraId="4B15AF21" w14:textId="6BBA5F8B" w:rsidR="00D11A95" w:rsidRPr="009855BD" w:rsidRDefault="006174D7" w:rsidP="00D11A95">
      <w:pPr>
        <w:pStyle w:val="AlphaParagraph"/>
        <w:numPr>
          <w:ilvl w:val="1"/>
          <w:numId w:val="10"/>
        </w:numPr>
        <w:rPr>
          <w:szCs w:val="22"/>
        </w:rPr>
      </w:pPr>
      <w:bookmarkStart w:id="84" w:name="_Ref82008881"/>
      <w:r w:rsidRPr="009855BD">
        <w:rPr>
          <w:rFonts w:eastAsia="Calibri"/>
          <w:szCs w:val="22"/>
        </w:rPr>
        <w:t>l</w:t>
      </w:r>
      <w:r w:rsidR="00D11A95" w:rsidRPr="009855BD">
        <w:rPr>
          <w:rFonts w:eastAsia="Calibri"/>
          <w:szCs w:val="22"/>
        </w:rPr>
        <w:t>osses would be met first by industry up to the level of each insurer’s retention</w:t>
      </w:r>
      <w:r w:rsidR="00AB475C" w:rsidRPr="009855BD">
        <w:rPr>
          <w:rFonts w:eastAsia="Calibri"/>
          <w:szCs w:val="22"/>
        </w:rPr>
        <w:t>,</w:t>
      </w:r>
      <w:r w:rsidR="00D11A95" w:rsidRPr="009855BD">
        <w:rPr>
          <w:rFonts w:eastAsia="Calibri"/>
          <w:szCs w:val="22"/>
        </w:rPr>
        <w:t xml:space="preserve"> then</w:t>
      </w:r>
      <w:bookmarkEnd w:id="84"/>
      <w:r w:rsidR="00D11A95" w:rsidRPr="009855BD">
        <w:rPr>
          <w:rFonts w:eastAsia="Calibri"/>
          <w:szCs w:val="22"/>
        </w:rPr>
        <w:t xml:space="preserve"> </w:t>
      </w:r>
    </w:p>
    <w:p w14:paraId="19EC6234" w14:textId="04813C9A" w:rsidR="00D11A95" w:rsidRPr="009855BD" w:rsidRDefault="006174D7" w:rsidP="00D11A95">
      <w:pPr>
        <w:pStyle w:val="AlphaParagraph"/>
        <w:numPr>
          <w:ilvl w:val="1"/>
          <w:numId w:val="10"/>
        </w:numPr>
        <w:rPr>
          <w:szCs w:val="22"/>
        </w:rPr>
      </w:pPr>
      <w:r w:rsidRPr="009855BD">
        <w:rPr>
          <w:rFonts w:eastAsia="Calibri"/>
          <w:szCs w:val="22"/>
        </w:rPr>
        <w:t>f</w:t>
      </w:r>
      <w:r w:rsidR="00D11A95" w:rsidRPr="009855BD">
        <w:rPr>
          <w:rFonts w:eastAsia="Calibri"/>
          <w:szCs w:val="22"/>
        </w:rPr>
        <w:t xml:space="preserve">rom the ARPC </w:t>
      </w:r>
      <w:r w:rsidR="00102D7B" w:rsidRPr="009855BD">
        <w:rPr>
          <w:rFonts w:eastAsia="Calibri"/>
          <w:szCs w:val="22"/>
        </w:rPr>
        <w:t xml:space="preserve">assets </w:t>
      </w:r>
      <w:r w:rsidR="00D11A95" w:rsidRPr="009855BD">
        <w:rPr>
          <w:rFonts w:eastAsia="Calibri"/>
          <w:szCs w:val="22"/>
        </w:rPr>
        <w:t>up to the value of the deductible on the retrocession cover</w:t>
      </w:r>
      <w:r w:rsidR="00AB475C" w:rsidRPr="009855BD">
        <w:rPr>
          <w:rFonts w:eastAsia="Calibri"/>
          <w:szCs w:val="22"/>
        </w:rPr>
        <w:t>,</w:t>
      </w:r>
      <w:r w:rsidR="00D11A95" w:rsidRPr="009855BD">
        <w:rPr>
          <w:rFonts w:eastAsia="Calibri"/>
          <w:szCs w:val="22"/>
        </w:rPr>
        <w:t xml:space="preserve"> then </w:t>
      </w:r>
    </w:p>
    <w:p w14:paraId="1C8016DF" w14:textId="52FBB4AB" w:rsidR="00D11A95" w:rsidRPr="009855BD" w:rsidRDefault="00102D7B" w:rsidP="00D11A95">
      <w:pPr>
        <w:pStyle w:val="AlphaParagraph"/>
        <w:numPr>
          <w:ilvl w:val="1"/>
          <w:numId w:val="10"/>
        </w:numPr>
        <w:rPr>
          <w:szCs w:val="22"/>
        </w:rPr>
      </w:pPr>
      <w:r w:rsidRPr="009855BD">
        <w:rPr>
          <w:rFonts w:eastAsia="Calibri"/>
          <w:szCs w:val="22"/>
        </w:rPr>
        <w:t>f</w:t>
      </w:r>
      <w:r w:rsidR="00D11A95" w:rsidRPr="009855BD">
        <w:rPr>
          <w:rFonts w:eastAsia="Calibri"/>
          <w:szCs w:val="22"/>
        </w:rPr>
        <w:t>rom the retrocession program (with any ARPC co-contribution being made from the ARPC capital and then through the Commonwealth guarantee)</w:t>
      </w:r>
      <w:r w:rsidR="00AB475C" w:rsidRPr="009855BD">
        <w:rPr>
          <w:rFonts w:eastAsia="Calibri"/>
          <w:szCs w:val="22"/>
        </w:rPr>
        <w:t>,</w:t>
      </w:r>
      <w:r w:rsidR="00D11A95" w:rsidRPr="009855BD">
        <w:rPr>
          <w:rFonts w:eastAsia="Calibri"/>
          <w:szCs w:val="22"/>
        </w:rPr>
        <w:t xml:space="preserve"> </w:t>
      </w:r>
    </w:p>
    <w:p w14:paraId="50645876" w14:textId="6B8FC310" w:rsidR="00102D7B" w:rsidRPr="009855BD" w:rsidRDefault="00102D7B" w:rsidP="00D11A95">
      <w:pPr>
        <w:pStyle w:val="AlphaParagraph"/>
        <w:numPr>
          <w:ilvl w:val="1"/>
          <w:numId w:val="10"/>
        </w:numPr>
        <w:rPr>
          <w:szCs w:val="22"/>
        </w:rPr>
      </w:pPr>
      <w:r w:rsidRPr="009855BD">
        <w:rPr>
          <w:rFonts w:eastAsia="Calibri"/>
          <w:szCs w:val="22"/>
        </w:rPr>
        <w:t>from remaining ARPC assets and finally,</w:t>
      </w:r>
    </w:p>
    <w:p w14:paraId="78FA2267" w14:textId="4A9A8C75" w:rsidR="00D11A95" w:rsidRPr="009855BD" w:rsidRDefault="00102D7B" w:rsidP="00D11A95">
      <w:pPr>
        <w:pStyle w:val="AlphaParagraph"/>
        <w:numPr>
          <w:ilvl w:val="1"/>
          <w:numId w:val="10"/>
        </w:numPr>
        <w:rPr>
          <w:szCs w:val="22"/>
        </w:rPr>
      </w:pPr>
      <w:r w:rsidRPr="009855BD">
        <w:rPr>
          <w:rFonts w:eastAsia="Calibri"/>
          <w:szCs w:val="22"/>
        </w:rPr>
        <w:t>th</w:t>
      </w:r>
      <w:r w:rsidR="00D11A95" w:rsidRPr="009855BD">
        <w:rPr>
          <w:rFonts w:eastAsia="Calibri"/>
          <w:szCs w:val="22"/>
        </w:rPr>
        <w:t xml:space="preserve">rough the Commonwealth guarantee. </w:t>
      </w:r>
    </w:p>
    <w:p w14:paraId="0F38424F" w14:textId="73188ABA" w:rsidR="00FE5761" w:rsidRPr="00E17088" w:rsidRDefault="00FE5761" w:rsidP="00FE5761">
      <w:pPr>
        <w:spacing w:after="0"/>
        <w:ind w:left="48" w:right="-42"/>
        <w:rPr>
          <w:rFonts w:eastAsia="Calibri"/>
          <w:b/>
          <w:szCs w:val="22"/>
        </w:rPr>
      </w:pPr>
      <w:r w:rsidRPr="00E17088">
        <w:rPr>
          <w:rFonts w:eastAsia="Calibri"/>
          <w:b/>
          <w:szCs w:val="22"/>
        </w:rPr>
        <w:t xml:space="preserve">Figure </w:t>
      </w:r>
      <w:r w:rsidR="007C458A">
        <w:rPr>
          <w:rFonts w:eastAsia="Calibri"/>
          <w:b/>
          <w:szCs w:val="22"/>
        </w:rPr>
        <w:t>3</w:t>
      </w:r>
      <w:r w:rsidRPr="00E17088">
        <w:rPr>
          <w:rFonts w:eastAsia="Calibri"/>
          <w:b/>
          <w:szCs w:val="22"/>
        </w:rPr>
        <w:t xml:space="preserve">: Funding layers for terrorism claims as at </w:t>
      </w:r>
      <w:r w:rsidR="00263115">
        <w:rPr>
          <w:rFonts w:eastAsia="Calibri"/>
          <w:b/>
          <w:szCs w:val="22"/>
        </w:rPr>
        <w:t>September</w:t>
      </w:r>
      <w:r w:rsidR="00263115" w:rsidRPr="00E17088">
        <w:rPr>
          <w:rFonts w:eastAsia="Calibri"/>
          <w:b/>
          <w:szCs w:val="22"/>
        </w:rPr>
        <w:t xml:space="preserve"> </w:t>
      </w:r>
      <w:r w:rsidRPr="00E17088">
        <w:rPr>
          <w:rFonts w:eastAsia="Calibri"/>
          <w:b/>
          <w:szCs w:val="22"/>
        </w:rPr>
        <w:t>2025.</w:t>
      </w:r>
    </w:p>
    <w:p w14:paraId="09D82205" w14:textId="7DC1BD6D" w:rsidR="00FE5761" w:rsidRDefault="00FF367B" w:rsidP="00FE5761">
      <w:pPr>
        <w:spacing w:after="0"/>
        <w:ind w:left="48" w:right="-42"/>
        <w:rPr>
          <w:rFonts w:eastAsia="Calibri"/>
        </w:rPr>
      </w:pPr>
      <w:r>
        <w:rPr>
          <w:noProof/>
        </w:rPr>
        <mc:AlternateContent>
          <mc:Choice Requires="wps">
            <w:drawing>
              <wp:anchor distT="0" distB="0" distL="114300" distR="114300" simplePos="0" relativeHeight="251658267" behindDoc="0" locked="0" layoutInCell="1" allowOverlap="1" wp14:anchorId="4DF9ACF6" wp14:editId="4F9F6C35">
                <wp:simplePos x="0" y="0"/>
                <wp:positionH relativeFrom="margin">
                  <wp:align>right</wp:align>
                </wp:positionH>
                <wp:positionV relativeFrom="paragraph">
                  <wp:posOffset>3585134</wp:posOffset>
                </wp:positionV>
                <wp:extent cx="2903855" cy="453542"/>
                <wp:effectExtent l="0" t="0" r="0" b="0"/>
                <wp:wrapNone/>
                <wp:docPr id="32" name="TextBox 31">
                  <a:extLst xmlns:a="http://schemas.openxmlformats.org/drawingml/2006/main">
                    <a:ext uri="{FF2B5EF4-FFF2-40B4-BE49-F238E27FC236}">
                      <a16:creationId xmlns:a16="http://schemas.microsoft.com/office/drawing/2014/main" id="{3E03B5EC-FFA3-8CE0-E8C4-27431C7DC9BC}"/>
                    </a:ext>
                  </a:extLst>
                </wp:docPr>
                <wp:cNvGraphicFramePr/>
                <a:graphic xmlns:a="http://schemas.openxmlformats.org/drawingml/2006/main">
                  <a:graphicData uri="http://schemas.microsoft.com/office/word/2010/wordprocessingShape">
                    <wps:wsp>
                      <wps:cNvSpPr txBox="1"/>
                      <wps:spPr>
                        <a:xfrm>
                          <a:off x="0" y="0"/>
                          <a:ext cx="2903855" cy="453542"/>
                        </a:xfrm>
                        <a:prstGeom prst="rect">
                          <a:avLst/>
                        </a:prstGeom>
                        <a:noFill/>
                      </wps:spPr>
                      <wps:txbx>
                        <w:txbxContent>
                          <w:p w14:paraId="28B52EB2" w14:textId="77777777" w:rsidR="005D6DA5" w:rsidRDefault="005D6DA5" w:rsidP="005D6DA5">
                            <w:pPr>
                              <w:rPr>
                                <w:rFonts w:asciiTheme="minorHAnsi" w:hAnsi="Calibri" w:cstheme="minorBidi"/>
                                <w:b/>
                                <w:color w:val="58585A"/>
                                <w:kern w:val="24"/>
                                <w:sz w:val="18"/>
                                <w:szCs w:val="18"/>
                              </w:rPr>
                            </w:pPr>
                            <w:r>
                              <w:rPr>
                                <w:rFonts w:asciiTheme="minorHAnsi" w:hAnsi="Calibri" w:cstheme="minorBidi"/>
                                <w:b/>
                                <w:color w:val="58585A"/>
                                <w:kern w:val="24"/>
                                <w:sz w:val="18"/>
                                <w:szCs w:val="18"/>
                              </w:rPr>
                              <w:t xml:space="preserve">Policy deductible: </w:t>
                            </w:r>
                            <w:r>
                              <w:rPr>
                                <w:rFonts w:asciiTheme="minorHAnsi" w:hAnsi="Calibri" w:cstheme="minorBidi"/>
                                <w:b/>
                                <w:color w:val="000000" w:themeColor="text1"/>
                                <w:kern w:val="24"/>
                                <w:sz w:val="18"/>
                                <w:szCs w:val="18"/>
                                <w:lang w:val="en-US"/>
                              </w:rPr>
                              <w:t>This is the excess or deductible in the underlying insurance policies.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DF9ACF6" id="_x0000_t202" coordsize="21600,21600" o:spt="202" path="m,l,21600r21600,l21600,xe">
                <v:stroke joinstyle="miter"/>
                <v:path gradientshapeok="t" o:connecttype="rect"/>
              </v:shapetype>
              <v:shape id="TextBox 31" o:spid="_x0000_s1026" type="#_x0000_t202" style="position:absolute;left:0;text-align:left;margin-left:177.45pt;margin-top:282.3pt;width:228.65pt;height:35.7pt;z-index:25165826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" filled="f" stroked="f">
                <v:textbox>
                  <w:txbxContent>
                    <w:p w14:paraId="28B52EB2" w14:textId="77777777" w:rsidR="005D6DA5" w:rsidRDefault="005D6DA5" w:rsidP="005D6DA5">
                      <w:pPr>
                        <w:rPr>
                          <w:rFonts w:asciiTheme="minorHAnsi" w:hAnsi="Calibri" w:cstheme="minorBidi"/>
                          <w:b/>
                          <w:color w:val="58585A"/>
                          <w:kern w:val="24"/>
                          <w:sz w:val="18"/>
                          <w:szCs w:val="18"/>
                        </w:rPr>
                      </w:pPr>
                      <w:r>
                        <w:rPr>
                          <w:rFonts w:asciiTheme="minorHAnsi" w:hAnsi="Calibri" w:cstheme="minorBidi"/>
                          <w:b/>
                          <w:color w:val="58585A"/>
                          <w:kern w:val="24"/>
                          <w:sz w:val="18"/>
                          <w:szCs w:val="18"/>
                        </w:rPr>
                        <w:t xml:space="preserve">Policy deductible: </w:t>
                      </w:r>
                      <w:r>
                        <w:rPr>
                          <w:rFonts w:asciiTheme="minorHAnsi" w:hAnsi="Calibri" w:cstheme="minorBidi"/>
                          <w:b/>
                          <w:color w:val="000000" w:themeColor="text1"/>
                          <w:kern w:val="24"/>
                          <w:sz w:val="18"/>
                          <w:szCs w:val="18"/>
                          <w:lang w:val="en-US"/>
                        </w:rPr>
                        <w:t>This is the excess or deductible in the underlying insurance policies.</w:t>
                      </w:r>
                    </w:p>
                  </w:txbxContent>
                </v:textbox>
                <w10:wrap anchorx="margin"/>
              </v:shape>
            </w:pict>
          </mc:Fallback>
        </mc:AlternateContent>
      </w:r>
      <w:r>
        <w:rPr>
          <w:noProof/>
        </w:rPr>
        <mc:AlternateContent>
          <mc:Choice Requires="wps">
            <w:drawing>
              <wp:anchor distT="0" distB="0" distL="114300" distR="114300" simplePos="0" relativeHeight="251658266" behindDoc="0" locked="0" layoutInCell="1" allowOverlap="1" wp14:anchorId="53CFF55B" wp14:editId="7628D223">
                <wp:simplePos x="0" y="0"/>
                <wp:positionH relativeFrom="margin">
                  <wp:align>right</wp:align>
                </wp:positionH>
                <wp:positionV relativeFrom="paragraph">
                  <wp:posOffset>2912135</wp:posOffset>
                </wp:positionV>
                <wp:extent cx="2903855" cy="519380"/>
                <wp:effectExtent l="0" t="0" r="0" b="0"/>
                <wp:wrapNone/>
                <wp:docPr id="31" name="TextBox 30">
                  <a:extLst xmlns:a="http://schemas.openxmlformats.org/drawingml/2006/main">
                    <a:ext uri="{FF2B5EF4-FFF2-40B4-BE49-F238E27FC236}">
                      <a16:creationId xmlns:a16="http://schemas.microsoft.com/office/drawing/2014/main" id="{338FB400-465D-22AC-9984-7470156748D5}"/>
                    </a:ext>
                  </a:extLst>
                </wp:docPr>
                <wp:cNvGraphicFramePr/>
                <a:graphic xmlns:a="http://schemas.openxmlformats.org/drawingml/2006/main">
                  <a:graphicData uri="http://schemas.microsoft.com/office/word/2010/wordprocessingShape">
                    <wps:wsp>
                      <wps:cNvSpPr txBox="1"/>
                      <wps:spPr>
                        <a:xfrm>
                          <a:off x="0" y="0"/>
                          <a:ext cx="2903855" cy="519380"/>
                        </a:xfrm>
                        <a:prstGeom prst="rect">
                          <a:avLst/>
                        </a:prstGeom>
                        <a:noFill/>
                      </wps:spPr>
                      <wps:txbx>
                        <w:txbxContent>
                          <w:p w14:paraId="51E16DD2" w14:textId="77777777" w:rsidR="005D6DA5" w:rsidRDefault="005D6DA5" w:rsidP="005D6DA5">
                            <w:pPr>
                              <w:rPr>
                                <w:rFonts w:asciiTheme="minorHAnsi" w:hAnsi="Calibri" w:cstheme="minorBidi"/>
                                <w:b/>
                                <w:color w:val="1D3363"/>
                                <w:kern w:val="24"/>
                                <w:sz w:val="18"/>
                                <w:szCs w:val="18"/>
                              </w:rPr>
                            </w:pPr>
                            <w:r>
                              <w:rPr>
                                <w:rFonts w:asciiTheme="minorHAnsi" w:hAnsi="Calibri" w:cstheme="minorBidi"/>
                                <w:b/>
                                <w:color w:val="1D3363"/>
                                <w:kern w:val="24"/>
                                <w:sz w:val="18"/>
                                <w:szCs w:val="18"/>
                              </w:rPr>
                              <w:t xml:space="preserve">Industry retention: </w:t>
                            </w:r>
                            <w:r>
                              <w:rPr>
                                <w:rFonts w:asciiTheme="minorHAnsi" w:hAnsi="Calibri" w:cstheme="minorBidi"/>
                                <w:b/>
                                <w:color w:val="000000" w:themeColor="text1"/>
                                <w:kern w:val="24"/>
                                <w:sz w:val="18"/>
                                <w:szCs w:val="18"/>
                                <w:lang w:val="en-US"/>
                              </w:rPr>
                              <w:t>This is the aggregate of the treaty retentions of all insurers involved in a calendar year.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3CFF55B" id="TextBox 30" o:spid="_x0000_s1027" type="#_x0000_t202" style="position:absolute;left:0;text-align:left;margin-left:177.45pt;margin-top:229.3pt;width:228.65pt;height:40.9pt;z-index:25165826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" filled="f" stroked="f">
                <v:textbox>
                  <w:txbxContent>
                    <w:p w14:paraId="51E16DD2" w14:textId="77777777" w:rsidR="005D6DA5" w:rsidRDefault="005D6DA5" w:rsidP="005D6DA5">
                      <w:pPr>
                        <w:rPr>
                          <w:rFonts w:asciiTheme="minorHAnsi" w:hAnsi="Calibri" w:cstheme="minorBidi"/>
                          <w:b/>
                          <w:color w:val="1D3363"/>
                          <w:kern w:val="24"/>
                          <w:sz w:val="18"/>
                          <w:szCs w:val="18"/>
                        </w:rPr>
                      </w:pPr>
                      <w:r>
                        <w:rPr>
                          <w:rFonts w:asciiTheme="minorHAnsi" w:hAnsi="Calibri" w:cstheme="minorBidi"/>
                          <w:b/>
                          <w:color w:val="1D3363"/>
                          <w:kern w:val="24"/>
                          <w:sz w:val="18"/>
                          <w:szCs w:val="18"/>
                        </w:rPr>
                        <w:t xml:space="preserve">Industry retention: </w:t>
                      </w:r>
                      <w:r>
                        <w:rPr>
                          <w:rFonts w:asciiTheme="minorHAnsi" w:hAnsi="Calibri" w:cstheme="minorBidi"/>
                          <w:b/>
                          <w:color w:val="000000" w:themeColor="text1"/>
                          <w:kern w:val="24"/>
                          <w:sz w:val="18"/>
                          <w:szCs w:val="18"/>
                          <w:lang w:val="en-US"/>
                        </w:rPr>
                        <w:t>This is the aggregate of the treaty retentions of all insurers involved in a calendar year.</w:t>
                      </w:r>
                    </w:p>
                  </w:txbxContent>
                </v:textbox>
                <w10:wrap anchorx="margin"/>
              </v:shape>
            </w:pict>
          </mc:Fallback>
        </mc:AlternateContent>
      </w:r>
      <w:r>
        <w:rPr>
          <w:noProof/>
        </w:rPr>
        <mc:AlternateContent>
          <mc:Choice Requires="wps">
            <w:drawing>
              <wp:anchor distT="0" distB="0" distL="114300" distR="114300" simplePos="0" relativeHeight="251658265" behindDoc="0" locked="0" layoutInCell="1" allowOverlap="1" wp14:anchorId="29A0609A" wp14:editId="55BCB1C1">
                <wp:simplePos x="0" y="0"/>
                <wp:positionH relativeFrom="margin">
                  <wp:align>right</wp:align>
                </wp:positionH>
                <wp:positionV relativeFrom="paragraph">
                  <wp:posOffset>2356180</wp:posOffset>
                </wp:positionV>
                <wp:extent cx="2903855" cy="460858"/>
                <wp:effectExtent l="0" t="0" r="0" b="0"/>
                <wp:wrapNone/>
                <wp:docPr id="28" name="TextBox 27">
                  <a:extLst xmlns:a="http://schemas.openxmlformats.org/drawingml/2006/main">
                    <a:ext uri="{FF2B5EF4-FFF2-40B4-BE49-F238E27FC236}">
                      <a16:creationId xmlns:a16="http://schemas.microsoft.com/office/drawing/2014/main" id="{570FA840-6EDB-47B6-3354-3B9FC36A654F}"/>
                    </a:ext>
                  </a:extLst>
                </wp:docPr>
                <wp:cNvGraphicFramePr/>
                <a:graphic xmlns:a="http://schemas.openxmlformats.org/drawingml/2006/main">
                  <a:graphicData uri="http://schemas.microsoft.com/office/word/2010/wordprocessingShape">
                    <wps:wsp>
                      <wps:cNvSpPr txBox="1"/>
                      <wps:spPr>
                        <a:xfrm>
                          <a:off x="0" y="0"/>
                          <a:ext cx="2903855" cy="460858"/>
                        </a:xfrm>
                        <a:prstGeom prst="rect">
                          <a:avLst/>
                        </a:prstGeom>
                        <a:noFill/>
                      </wps:spPr>
                      <wps:txbx>
                        <w:txbxContent>
                          <w:p w14:paraId="1B92CBD9" w14:textId="77777777" w:rsidR="005D6DA5" w:rsidRDefault="005D6DA5" w:rsidP="005D6DA5">
                            <w:pPr>
                              <w:rPr>
                                <w:rFonts w:asciiTheme="minorHAnsi" w:hAnsi="Calibri" w:cstheme="minorBidi"/>
                                <w:b/>
                                <w:color w:val="6C276A"/>
                                <w:kern w:val="24"/>
                                <w:sz w:val="18"/>
                                <w:szCs w:val="18"/>
                              </w:rPr>
                            </w:pPr>
                            <w:r>
                              <w:rPr>
                                <w:rFonts w:asciiTheme="minorHAnsi" w:hAnsi="Calibri" w:cstheme="minorBidi"/>
                                <w:b/>
                                <w:color w:val="6C276A"/>
                                <w:kern w:val="24"/>
                                <w:sz w:val="18"/>
                                <w:szCs w:val="18"/>
                              </w:rPr>
                              <w:t xml:space="preserve">ARPC deductible: </w:t>
                            </w:r>
                            <w:r>
                              <w:rPr>
                                <w:rFonts w:asciiTheme="minorHAnsi" w:hAnsi="Calibri" w:cstheme="minorBidi"/>
                                <w:b/>
                                <w:color w:val="000000" w:themeColor="text1"/>
                                <w:kern w:val="24"/>
                                <w:sz w:val="18"/>
                                <w:szCs w:val="18"/>
                                <w:lang w:val="en-US"/>
                              </w:rPr>
                              <w:t>This is funded from ARPC accumulated surplus.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9A0609A" id="TextBox 27" o:spid="_x0000_s1028" type="#_x0000_t202" style="position:absolute;left:0;text-align:left;margin-left:177.45pt;margin-top:185.55pt;width:228.65pt;height:36.3pt;z-index:25165826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" filled="f" stroked="f">
                <v:textbox>
                  <w:txbxContent>
                    <w:p w14:paraId="1B92CBD9" w14:textId="77777777" w:rsidR="005D6DA5" w:rsidRDefault="005D6DA5" w:rsidP="005D6DA5">
                      <w:pPr>
                        <w:rPr>
                          <w:rFonts w:asciiTheme="minorHAnsi" w:hAnsi="Calibri" w:cstheme="minorBidi"/>
                          <w:b/>
                          <w:color w:val="6C276A"/>
                          <w:kern w:val="24"/>
                          <w:sz w:val="18"/>
                          <w:szCs w:val="18"/>
                        </w:rPr>
                      </w:pPr>
                      <w:r>
                        <w:rPr>
                          <w:rFonts w:asciiTheme="minorHAnsi" w:hAnsi="Calibri" w:cstheme="minorBidi"/>
                          <w:b/>
                          <w:color w:val="6C276A"/>
                          <w:kern w:val="24"/>
                          <w:sz w:val="18"/>
                          <w:szCs w:val="18"/>
                        </w:rPr>
                        <w:t xml:space="preserve">ARPC deductible: </w:t>
                      </w:r>
                      <w:r>
                        <w:rPr>
                          <w:rFonts w:asciiTheme="minorHAnsi" w:hAnsi="Calibri" w:cstheme="minorBidi"/>
                          <w:b/>
                          <w:color w:val="000000" w:themeColor="text1"/>
                          <w:kern w:val="24"/>
                          <w:sz w:val="18"/>
                          <w:szCs w:val="18"/>
                          <w:lang w:val="en-US"/>
                        </w:rPr>
                        <w:t>This is funded from ARPC accumulated surplus.</w:t>
                      </w:r>
                    </w:p>
                  </w:txbxContent>
                </v:textbox>
                <w10:wrap anchorx="margin"/>
              </v:shape>
            </w:pict>
          </mc:Fallback>
        </mc:AlternateContent>
      </w:r>
      <w:r>
        <w:rPr>
          <w:noProof/>
        </w:rPr>
        <mc:AlternateContent>
          <mc:Choice Requires="wps">
            <w:drawing>
              <wp:anchor distT="0" distB="0" distL="114300" distR="114300" simplePos="0" relativeHeight="251658264" behindDoc="0" locked="0" layoutInCell="1" allowOverlap="1" wp14:anchorId="12A75324" wp14:editId="1FFDBAAC">
                <wp:simplePos x="0" y="0"/>
                <wp:positionH relativeFrom="margin">
                  <wp:align>right</wp:align>
                </wp:positionH>
                <wp:positionV relativeFrom="paragraph">
                  <wp:posOffset>1661236</wp:posOffset>
                </wp:positionV>
                <wp:extent cx="2911449" cy="599847"/>
                <wp:effectExtent l="0" t="0" r="0" b="0"/>
                <wp:wrapNone/>
                <wp:docPr id="27" name="TextBox 26">
                  <a:extLst xmlns:a="http://schemas.openxmlformats.org/drawingml/2006/main">
                    <a:ext uri="{FF2B5EF4-FFF2-40B4-BE49-F238E27FC236}">
                      <a16:creationId xmlns:a16="http://schemas.microsoft.com/office/drawing/2014/main" id="{92FD57B6-48E1-3CA8-E076-F8F88BED3F9A}"/>
                    </a:ext>
                  </a:extLst>
                </wp:docPr>
                <wp:cNvGraphicFramePr/>
                <a:graphic xmlns:a="http://schemas.openxmlformats.org/drawingml/2006/main">
                  <a:graphicData uri="http://schemas.microsoft.com/office/word/2010/wordprocessingShape">
                    <wps:wsp>
                      <wps:cNvSpPr txBox="1"/>
                      <wps:spPr>
                        <a:xfrm>
                          <a:off x="0" y="0"/>
                          <a:ext cx="2911449" cy="599847"/>
                        </a:xfrm>
                        <a:prstGeom prst="rect">
                          <a:avLst/>
                        </a:prstGeom>
                        <a:noFill/>
                      </wps:spPr>
                      <wps:txbx>
                        <w:txbxContent>
                          <w:p w14:paraId="733132E3" w14:textId="77777777" w:rsidR="005D6DA5" w:rsidRDefault="005D6DA5" w:rsidP="005D6DA5">
                            <w:pPr>
                              <w:rPr>
                                <w:rFonts w:asciiTheme="minorHAnsi" w:hAnsi="Calibri" w:cstheme="minorBidi"/>
                                <w:b/>
                                <w:color w:val="D9531E"/>
                                <w:kern w:val="24"/>
                                <w:sz w:val="18"/>
                                <w:szCs w:val="18"/>
                              </w:rPr>
                            </w:pPr>
                            <w:r>
                              <w:rPr>
                                <w:rFonts w:asciiTheme="minorHAnsi" w:hAnsi="Calibri" w:cstheme="minorBidi"/>
                                <w:b/>
                                <w:color w:val="D9531E"/>
                                <w:kern w:val="24"/>
                                <w:sz w:val="18"/>
                                <w:szCs w:val="18"/>
                              </w:rPr>
                              <w:t xml:space="preserve">Retrocession program: </w:t>
                            </w:r>
                            <w:r>
                              <w:rPr>
                                <w:rFonts w:asciiTheme="minorHAnsi" w:hAnsi="Calibri" w:cstheme="minorBidi"/>
                                <w:b/>
                                <w:color w:val="000000" w:themeColor="text1"/>
                                <w:kern w:val="24"/>
                                <w:sz w:val="18"/>
                                <w:szCs w:val="18"/>
                                <w:lang w:val="en-US"/>
                              </w:rPr>
                              <w:t>This layer of funding is sourced from the commercial reinsurance market. It is mostly placed as multi-year covers.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2A75324" id="TextBox 26" o:spid="_x0000_s1029" type="#_x0000_t202" style="position:absolute;left:0;text-align:left;margin-left:178.05pt;margin-top:130.8pt;width:229.25pt;height:47.25pt;z-index:251658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" filled="f" stroked="f">
                <v:textbox>
                  <w:txbxContent>
                    <w:p w14:paraId="733132E3" w14:textId="77777777" w:rsidR="005D6DA5" w:rsidRDefault="005D6DA5" w:rsidP="005D6DA5">
                      <w:pPr>
                        <w:rPr>
                          <w:rFonts w:asciiTheme="minorHAnsi" w:hAnsi="Calibri" w:cstheme="minorBidi"/>
                          <w:b/>
                          <w:color w:val="D9531E"/>
                          <w:kern w:val="24"/>
                          <w:sz w:val="18"/>
                          <w:szCs w:val="18"/>
                        </w:rPr>
                      </w:pPr>
                      <w:r>
                        <w:rPr>
                          <w:rFonts w:asciiTheme="minorHAnsi" w:hAnsi="Calibri" w:cstheme="minorBidi"/>
                          <w:b/>
                          <w:color w:val="D9531E"/>
                          <w:kern w:val="24"/>
                          <w:sz w:val="18"/>
                          <w:szCs w:val="18"/>
                        </w:rPr>
                        <w:t xml:space="preserve">Retrocession program: </w:t>
                      </w:r>
                      <w:r>
                        <w:rPr>
                          <w:rFonts w:asciiTheme="minorHAnsi" w:hAnsi="Calibri" w:cstheme="minorBidi"/>
                          <w:b/>
                          <w:color w:val="000000" w:themeColor="text1"/>
                          <w:kern w:val="24"/>
                          <w:sz w:val="18"/>
                          <w:szCs w:val="18"/>
                          <w:lang w:val="en-US"/>
                        </w:rPr>
                        <w:t>This layer of funding is sourced from the commercial reinsurance market. It is mostly placed as multi-year covers.</w:t>
                      </w:r>
                    </w:p>
                  </w:txbxContent>
                </v:textbox>
                <w10:wrap anchorx="margin"/>
              </v:shape>
            </w:pict>
          </mc:Fallback>
        </mc:AlternateContent>
      </w:r>
      <w:r>
        <w:rPr>
          <w:noProof/>
        </w:rPr>
        <mc:AlternateContent>
          <mc:Choice Requires="wps">
            <w:drawing>
              <wp:anchor distT="0" distB="0" distL="114300" distR="114300" simplePos="0" relativeHeight="251658263" behindDoc="0" locked="0" layoutInCell="1" allowOverlap="1" wp14:anchorId="298462C9" wp14:editId="0F0D2017">
                <wp:simplePos x="0" y="0"/>
                <wp:positionH relativeFrom="margin">
                  <wp:align>right</wp:align>
                </wp:positionH>
                <wp:positionV relativeFrom="paragraph">
                  <wp:posOffset>1083335</wp:posOffset>
                </wp:positionV>
                <wp:extent cx="2903855" cy="533400"/>
                <wp:effectExtent l="0" t="0" r="0" b="0"/>
                <wp:wrapNone/>
                <wp:docPr id="26" name="TextBox 25">
                  <a:extLst xmlns:a="http://schemas.openxmlformats.org/drawingml/2006/main">
                    <a:ext uri="{FF2B5EF4-FFF2-40B4-BE49-F238E27FC236}">
                      <a16:creationId xmlns:a16="http://schemas.microsoft.com/office/drawing/2014/main" id="{80F16846-5B76-1650-462C-DFDD84E69A9C}"/>
                    </a:ext>
                  </a:extLst>
                </wp:docPr>
                <wp:cNvGraphicFramePr/>
                <a:graphic xmlns:a="http://schemas.openxmlformats.org/drawingml/2006/main">
                  <a:graphicData uri="http://schemas.microsoft.com/office/word/2010/wordprocessingShape">
                    <wps:wsp>
                      <wps:cNvSpPr txBox="1"/>
                      <wps:spPr>
                        <a:xfrm>
                          <a:off x="0" y="0"/>
                          <a:ext cx="2903855" cy="533400"/>
                        </a:xfrm>
                        <a:prstGeom prst="rect">
                          <a:avLst/>
                        </a:prstGeom>
                        <a:noFill/>
                      </wps:spPr>
                      <wps:txbx>
                        <w:txbxContent>
                          <w:p w14:paraId="52852D34" w14:textId="77777777" w:rsidR="000359F2" w:rsidRDefault="000359F2" w:rsidP="000359F2">
                            <w:pPr>
                              <w:rPr>
                                <w:rFonts w:asciiTheme="minorHAnsi" w:hAnsi="Calibri" w:cstheme="minorBidi"/>
                                <w:b/>
                                <w:color w:val="0F6DB6"/>
                                <w:kern w:val="24"/>
                                <w:sz w:val="18"/>
                                <w:szCs w:val="18"/>
                              </w:rPr>
                            </w:pPr>
                            <w:r>
                              <w:rPr>
                                <w:rFonts w:asciiTheme="minorHAnsi" w:hAnsi="Calibri" w:cstheme="minorBidi"/>
                                <w:b/>
                                <w:color w:val="0F6DB6"/>
                                <w:kern w:val="24"/>
                                <w:sz w:val="18"/>
                                <w:szCs w:val="18"/>
                              </w:rPr>
                              <w:t xml:space="preserve">Net assets post deductible: </w:t>
                            </w:r>
                            <w:r>
                              <w:rPr>
                                <w:rFonts w:asciiTheme="minorHAnsi" w:hAnsi="Calibri" w:cstheme="minorBidi"/>
                                <w:b/>
                                <w:color w:val="000000" w:themeColor="text1"/>
                                <w:kern w:val="24"/>
                                <w:sz w:val="18"/>
                                <w:szCs w:val="18"/>
                                <w:lang w:val="en-US"/>
                              </w:rPr>
                              <w:t>The net assets position available for claims after the $350M deductible is paid.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98462C9" id="TextBox 25" o:spid="_x0000_s1030" type="#_x0000_t202" style="position:absolute;left:0;text-align:left;margin-left:177.45pt;margin-top:85.3pt;width:228.65pt;height:42pt;z-index:25165826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" filled="f" stroked="f">
                <v:textbox>
                  <w:txbxContent>
                    <w:p w14:paraId="52852D34" w14:textId="77777777" w:rsidR="000359F2" w:rsidRDefault="000359F2" w:rsidP="000359F2">
                      <w:pPr>
                        <w:rPr>
                          <w:rFonts w:asciiTheme="minorHAnsi" w:hAnsi="Calibri" w:cstheme="minorBidi"/>
                          <w:b/>
                          <w:color w:val="0F6DB6"/>
                          <w:kern w:val="24"/>
                          <w:sz w:val="18"/>
                          <w:szCs w:val="18"/>
                        </w:rPr>
                      </w:pPr>
                      <w:r>
                        <w:rPr>
                          <w:rFonts w:asciiTheme="minorHAnsi" w:hAnsi="Calibri" w:cstheme="minorBidi"/>
                          <w:b/>
                          <w:color w:val="0F6DB6"/>
                          <w:kern w:val="24"/>
                          <w:sz w:val="18"/>
                          <w:szCs w:val="18"/>
                        </w:rPr>
                        <w:t xml:space="preserve">Net assets post deductible: </w:t>
                      </w:r>
                      <w:r>
                        <w:rPr>
                          <w:rFonts w:asciiTheme="minorHAnsi" w:hAnsi="Calibri" w:cstheme="minorBidi"/>
                          <w:b/>
                          <w:color w:val="000000" w:themeColor="text1"/>
                          <w:kern w:val="24"/>
                          <w:sz w:val="18"/>
                          <w:szCs w:val="18"/>
                          <w:lang w:val="en-US"/>
                        </w:rPr>
                        <w:t>The net assets position available for claims after the $350M deductible is paid.</w:t>
                      </w:r>
                    </w:p>
                  </w:txbxContent>
                </v:textbox>
                <w10:wrap anchorx="margin"/>
              </v:shape>
            </w:pict>
          </mc:Fallback>
        </mc:AlternateContent>
      </w:r>
      <w:r>
        <w:rPr>
          <w:noProof/>
        </w:rPr>
        <mc:AlternateContent>
          <mc:Choice Requires="wps">
            <w:drawing>
              <wp:anchor distT="0" distB="0" distL="114300" distR="114300" simplePos="0" relativeHeight="251658262" behindDoc="0" locked="0" layoutInCell="1" allowOverlap="1" wp14:anchorId="0DCC17C7" wp14:editId="5D90300D">
                <wp:simplePos x="0" y="0"/>
                <wp:positionH relativeFrom="margin">
                  <wp:align>right</wp:align>
                </wp:positionH>
                <wp:positionV relativeFrom="paragraph">
                  <wp:posOffset>366446</wp:posOffset>
                </wp:positionV>
                <wp:extent cx="2904134" cy="715645"/>
                <wp:effectExtent l="0" t="0" r="0" b="0"/>
                <wp:wrapNone/>
                <wp:docPr id="25" name="TextBox 24">
                  <a:extLst xmlns:a="http://schemas.openxmlformats.org/drawingml/2006/main">
                    <a:ext uri="{FF2B5EF4-FFF2-40B4-BE49-F238E27FC236}">
                      <a16:creationId xmlns:a16="http://schemas.microsoft.com/office/drawing/2014/main" id="{A0278DCF-6895-099A-3F56-C89276325445}"/>
                    </a:ext>
                  </a:extLst>
                </wp:docPr>
                <wp:cNvGraphicFramePr/>
                <a:graphic xmlns:a="http://schemas.openxmlformats.org/drawingml/2006/main">
                  <a:graphicData uri="http://schemas.microsoft.com/office/word/2010/wordprocessingShape">
                    <wps:wsp>
                      <wps:cNvSpPr txBox="1"/>
                      <wps:spPr>
                        <a:xfrm>
                          <a:off x="0" y="0"/>
                          <a:ext cx="2904134" cy="715645"/>
                        </a:xfrm>
                        <a:prstGeom prst="rect">
                          <a:avLst/>
                        </a:prstGeom>
                        <a:noFill/>
                      </wps:spPr>
                      <wps:txbx>
                        <w:txbxContent>
                          <w:p w14:paraId="7E3E1989" w14:textId="77777777" w:rsidR="009631AE" w:rsidRDefault="009631AE" w:rsidP="009631AE">
                            <w:pPr>
                              <w:rPr>
                                <w:rFonts w:asciiTheme="minorHAnsi" w:hAnsi="Calibri" w:cstheme="minorBidi"/>
                                <w:b/>
                                <w:color w:val="00573D"/>
                                <w:kern w:val="24"/>
                                <w:sz w:val="18"/>
                                <w:szCs w:val="18"/>
                              </w:rPr>
                            </w:pPr>
                            <w:r>
                              <w:rPr>
                                <w:rFonts w:asciiTheme="minorHAnsi" w:hAnsi="Calibri" w:cstheme="minorBidi"/>
                                <w:b/>
                                <w:color w:val="00573D"/>
                                <w:kern w:val="24"/>
                                <w:sz w:val="18"/>
                                <w:szCs w:val="18"/>
                              </w:rPr>
                              <w:t xml:space="preserve">Commonwealth guarantee: </w:t>
                            </w:r>
                            <w:r>
                              <w:rPr>
                                <w:rFonts w:asciiTheme="minorHAnsi" w:hAnsi="Calibri" w:cstheme="minorBidi"/>
                                <w:b/>
                                <w:color w:val="000000" w:themeColor="text1"/>
                                <w:kern w:val="24"/>
                                <w:sz w:val="18"/>
                                <w:szCs w:val="18"/>
                                <w:lang w:val="en-US"/>
                              </w:rPr>
                              <w:t xml:space="preserve">This is a solvency guarantee for ARPC, which is limited to $10 billion as per the </w:t>
                            </w:r>
                            <w:r>
                              <w:rPr>
                                <w:rFonts w:asciiTheme="minorHAnsi" w:hAnsi="Calibri" w:cstheme="minorBidi"/>
                                <w:b/>
                                <w:i/>
                                <w:color w:val="000000" w:themeColor="text1"/>
                                <w:kern w:val="24"/>
                                <w:sz w:val="18"/>
                                <w:szCs w:val="18"/>
                                <w:lang w:val="en-US"/>
                              </w:rPr>
                              <w:t>Terrorism and Cyclone Insurance Act 2003</w:t>
                            </w:r>
                            <w:r>
                              <w:rPr>
                                <w:rFonts w:asciiTheme="minorHAnsi" w:hAnsi="Calibri" w:cstheme="minorBidi"/>
                                <w:b/>
                                <w:color w:val="000000" w:themeColor="text1"/>
                                <w:kern w:val="24"/>
                                <w:sz w:val="18"/>
                                <w:szCs w:val="18"/>
                                <w:lang w:val="en-US"/>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DCC17C7" id="TextBox 24" o:spid="_x0000_s1031" type="#_x0000_t202" style="position:absolute;left:0;text-align:left;margin-left:177.45pt;margin-top:28.85pt;width:228.65pt;height:56.35pt;z-index:25165826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" filled="f" stroked="f">
                <v:textbox>
                  <w:txbxContent>
                    <w:p w14:paraId="7E3E1989" w14:textId="77777777" w:rsidR="009631AE" w:rsidRDefault="009631AE" w:rsidP="009631AE">
                      <w:pPr>
                        <w:rPr>
                          <w:rFonts w:asciiTheme="minorHAnsi" w:hAnsi="Calibri" w:cstheme="minorBidi"/>
                          <w:b/>
                          <w:color w:val="00573D"/>
                          <w:kern w:val="24"/>
                          <w:sz w:val="18"/>
                          <w:szCs w:val="18"/>
                        </w:rPr>
                      </w:pPr>
                      <w:r>
                        <w:rPr>
                          <w:rFonts w:asciiTheme="minorHAnsi" w:hAnsi="Calibri" w:cstheme="minorBidi"/>
                          <w:b/>
                          <w:color w:val="00573D"/>
                          <w:kern w:val="24"/>
                          <w:sz w:val="18"/>
                          <w:szCs w:val="18"/>
                        </w:rPr>
                        <w:t xml:space="preserve">Commonwealth guarantee: </w:t>
                      </w:r>
                      <w:r>
                        <w:rPr>
                          <w:rFonts w:asciiTheme="minorHAnsi" w:hAnsi="Calibri" w:cstheme="minorBidi"/>
                          <w:b/>
                          <w:color w:val="000000" w:themeColor="text1"/>
                          <w:kern w:val="24"/>
                          <w:sz w:val="18"/>
                          <w:szCs w:val="18"/>
                          <w:lang w:val="en-US"/>
                        </w:rPr>
                        <w:t xml:space="preserve">This is a solvency guarantee for ARPC, which is limited to $10 billion as per the </w:t>
                      </w:r>
                      <w:r>
                        <w:rPr>
                          <w:rFonts w:asciiTheme="minorHAnsi" w:hAnsi="Calibri" w:cstheme="minorBidi"/>
                          <w:b/>
                          <w:i/>
                          <w:color w:val="000000" w:themeColor="text1"/>
                          <w:kern w:val="24"/>
                          <w:sz w:val="18"/>
                          <w:szCs w:val="18"/>
                          <w:lang w:val="en-US"/>
                        </w:rPr>
                        <w:t>Terrorism and Cyclone Insurance Act 2003</w:t>
                      </w:r>
                      <w:r>
                        <w:rPr>
                          <w:rFonts w:asciiTheme="minorHAnsi" w:hAnsi="Calibri" w:cstheme="minorBidi"/>
                          <w:b/>
                          <w:color w:val="000000" w:themeColor="text1"/>
                          <w:kern w:val="24"/>
                          <w:sz w:val="18"/>
                          <w:szCs w:val="18"/>
                          <w:lang w:val="en-US"/>
                        </w:rPr>
                        <w:t>.</w:t>
                      </w:r>
                    </w:p>
                  </w:txbxContent>
                </v:textbox>
                <w10:wrap anchorx="margin"/>
              </v:shape>
            </w:pict>
          </mc:Fallback>
        </mc:AlternateContent>
      </w:r>
      <w:r w:rsidR="00356103">
        <w:rPr>
          <w:noProof/>
        </w:rPr>
        <mc:AlternateContent>
          <mc:Choice Requires="wps">
            <w:drawing>
              <wp:anchor distT="0" distB="0" distL="114300" distR="114300" simplePos="0" relativeHeight="251658261" behindDoc="0" locked="0" layoutInCell="1" allowOverlap="1" wp14:anchorId="53672B79" wp14:editId="0BDD037C">
                <wp:simplePos x="0" y="0"/>
                <wp:positionH relativeFrom="column">
                  <wp:posOffset>935228</wp:posOffset>
                </wp:positionH>
                <wp:positionV relativeFrom="paragraph">
                  <wp:posOffset>3526434</wp:posOffset>
                </wp:positionV>
                <wp:extent cx="1701800" cy="276999"/>
                <wp:effectExtent l="0" t="0" r="0" b="0"/>
                <wp:wrapNone/>
                <wp:docPr id="24" name="TextBox 23">
                  <a:extLst xmlns:a="http://schemas.openxmlformats.org/drawingml/2006/main">
                    <a:ext uri="{FF2B5EF4-FFF2-40B4-BE49-F238E27FC236}">
                      <a16:creationId xmlns:a16="http://schemas.microsoft.com/office/drawing/2014/main" id="{C74E640A-159A-1DFC-2AD6-2AEDA7C31BE9}"/>
                    </a:ext>
                  </a:extLst>
                </wp:docPr>
                <wp:cNvGraphicFramePr/>
                <a:graphic xmlns:a="http://schemas.openxmlformats.org/drawingml/2006/main">
                  <a:graphicData uri="http://schemas.microsoft.com/office/word/2010/wordprocessingShape">
                    <wps:wsp>
                      <wps:cNvSpPr txBox="1"/>
                      <wps:spPr>
                        <a:xfrm>
                          <a:off x="0" y="0"/>
                          <a:ext cx="1701800" cy="276999"/>
                        </a:xfrm>
                        <a:prstGeom prst="rect">
                          <a:avLst/>
                        </a:prstGeom>
                        <a:noFill/>
                      </wps:spPr>
                      <wps:txbx>
                        <w:txbxContent>
                          <w:p w14:paraId="18FBFEEA" w14:textId="77777777" w:rsidR="00356103" w:rsidRDefault="00356103" w:rsidP="00356103">
                            <w:pPr>
                              <w:rPr>
                                <w:rFonts w:asciiTheme="minorHAnsi" w:hAnsi="Calibri" w:cstheme="minorBidi"/>
                                <w:b/>
                                <w:color w:val="FFFFFF" w:themeColor="background1"/>
                                <w:kern w:val="24"/>
                                <w:sz w:val="24"/>
                                <w:szCs w:val="24"/>
                              </w:rPr>
                            </w:pPr>
                            <w:r>
                              <w:rPr>
                                <w:rFonts w:asciiTheme="minorHAnsi" w:hAnsi="Calibri" w:cstheme="minorBidi"/>
                                <w:b/>
                                <w:color w:val="FFFFFF" w:themeColor="background1"/>
                                <w:kern w:val="24"/>
                              </w:rPr>
                              <w:t>Policy deductible</w:t>
                            </w:r>
                          </w:p>
                        </w:txbxContent>
                      </wps:txbx>
                      <wps:bodyPr wrap="square" rtlCol="0">
                        <a:spAutoFit/>
                      </wps:bodyPr>
                    </wps:wsp>
                  </a:graphicData>
                </a:graphic>
              </wp:anchor>
            </w:drawing>
          </mc:Choice>
          <mc:Fallback>
            <w:pict>
              <v:shape w14:anchorId="53672B79" id="TextBox 23" o:spid="_x0000_s1032" type="#_x0000_t202" style="position:absolute;left:0;text-align:left;margin-left:73.65pt;margin-top:277.65pt;width:134pt;height:21.8pt;z-index:2516582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" filled="f" stroked="f">
                <v:textbox style="mso-fit-shape-to-text:t">
                  <w:txbxContent>
                    <w:p w14:paraId="18FBFEEA" w14:textId="77777777" w:rsidR="00356103" w:rsidRDefault="00356103" w:rsidP="00356103">
                      <w:pPr>
                        <w:rPr>
                          <w:rFonts w:asciiTheme="minorHAnsi" w:hAnsi="Calibri" w:cstheme="minorBidi"/>
                          <w:b/>
                          <w:color w:val="FFFFFF" w:themeColor="background1"/>
                          <w:kern w:val="24"/>
                          <w:sz w:val="24"/>
                          <w:szCs w:val="24"/>
                        </w:rPr>
                      </w:pPr>
                      <w:r>
                        <w:rPr>
                          <w:rFonts w:asciiTheme="minorHAnsi" w:hAnsi="Calibri" w:cstheme="minorBidi"/>
                          <w:b/>
                          <w:color w:val="FFFFFF" w:themeColor="background1"/>
                          <w:kern w:val="24"/>
                        </w:rPr>
                        <w:t>Policy deductible</w:t>
                      </w:r>
                    </w:p>
                  </w:txbxContent>
                </v:textbox>
              </v:shape>
            </w:pict>
          </mc:Fallback>
        </mc:AlternateContent>
      </w:r>
      <w:r w:rsidR="00356103">
        <w:rPr>
          <w:noProof/>
        </w:rPr>
        <mc:AlternateContent>
          <mc:Choice Requires="wps">
            <w:drawing>
              <wp:anchor distT="0" distB="0" distL="114300" distR="114300" simplePos="0" relativeHeight="251658260" behindDoc="0" locked="0" layoutInCell="1" allowOverlap="1" wp14:anchorId="37289A97" wp14:editId="19529A88">
                <wp:simplePos x="0" y="0"/>
                <wp:positionH relativeFrom="column">
                  <wp:posOffset>898652</wp:posOffset>
                </wp:positionH>
                <wp:positionV relativeFrom="paragraph">
                  <wp:posOffset>3072892</wp:posOffset>
                </wp:positionV>
                <wp:extent cx="1701800" cy="230832"/>
                <wp:effectExtent l="0" t="0" r="0" b="0"/>
                <wp:wrapNone/>
                <wp:docPr id="21" name="TextBox 20">
                  <a:extLst xmlns:a="http://schemas.openxmlformats.org/drawingml/2006/main">
                    <a:ext uri="{FF2B5EF4-FFF2-40B4-BE49-F238E27FC236}">
                      <a16:creationId xmlns:a16="http://schemas.microsoft.com/office/drawing/2014/main" id="{ED9E08DB-3041-5670-8472-951C340675AE}"/>
                    </a:ext>
                  </a:extLst>
                </wp:docPr>
                <wp:cNvGraphicFramePr/>
                <a:graphic xmlns:a="http://schemas.openxmlformats.org/drawingml/2006/main">
                  <a:graphicData uri="http://schemas.microsoft.com/office/word/2010/wordprocessingShape">
                    <wps:wsp>
                      <wps:cNvSpPr txBox="1"/>
                      <wps:spPr>
                        <a:xfrm>
                          <a:off x="0" y="0"/>
                          <a:ext cx="1701800" cy="230832"/>
                        </a:xfrm>
                        <a:prstGeom prst="rect">
                          <a:avLst/>
                        </a:prstGeom>
                        <a:noFill/>
                      </wps:spPr>
                      <wps:txbx>
                        <w:txbxContent>
                          <w:p w14:paraId="15F4F5BA" w14:textId="77777777" w:rsidR="00356103" w:rsidRDefault="00356103" w:rsidP="00356103">
                            <w:pPr>
                              <w:rPr>
                                <w:rFonts w:asciiTheme="minorHAnsi" w:hAnsi="Calibri" w:cstheme="minorBidi"/>
                                <w:b/>
                                <w:color w:val="FFFFFF" w:themeColor="background1"/>
                                <w:kern w:val="24"/>
                                <w:sz w:val="18"/>
                                <w:szCs w:val="18"/>
                              </w:rPr>
                            </w:pPr>
                            <w:r>
                              <w:rPr>
                                <w:rFonts w:asciiTheme="minorHAnsi" w:hAnsi="Calibri" w:cstheme="minorBidi"/>
                                <w:b/>
                                <w:color w:val="FFFFFF" w:themeColor="background1"/>
                                <w:kern w:val="24"/>
                                <w:sz w:val="18"/>
                                <w:szCs w:val="18"/>
                              </w:rPr>
                              <w:t>Industry retention</w:t>
                            </w:r>
                          </w:p>
                        </w:txbxContent>
                      </wps:txbx>
                      <wps:bodyPr wrap="square" rtlCol="0">
                        <a:spAutoFit/>
                      </wps:bodyPr>
                    </wps:wsp>
                  </a:graphicData>
                </a:graphic>
              </wp:anchor>
            </w:drawing>
          </mc:Choice>
          <mc:Fallback>
            <w:pict>
              <v:shape w14:anchorId="37289A97" id="TextBox 20" o:spid="_x0000_s1033" type="#_x0000_t202" style="position:absolute;left:0;text-align:left;margin-left:70.75pt;margin-top:241.95pt;width:134pt;height:18.2pt;z-index:251658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" filled="f" stroked="f">
                <v:textbox style="mso-fit-shape-to-text:t">
                  <w:txbxContent>
                    <w:p w14:paraId="15F4F5BA" w14:textId="77777777" w:rsidR="00356103" w:rsidRDefault="00356103" w:rsidP="00356103">
                      <w:pPr>
                        <w:rPr>
                          <w:rFonts w:asciiTheme="minorHAnsi" w:hAnsi="Calibri" w:cstheme="minorBidi"/>
                          <w:b/>
                          <w:color w:val="FFFFFF" w:themeColor="background1"/>
                          <w:kern w:val="24"/>
                          <w:sz w:val="18"/>
                          <w:szCs w:val="18"/>
                        </w:rPr>
                      </w:pPr>
                      <w:r>
                        <w:rPr>
                          <w:rFonts w:asciiTheme="minorHAnsi" w:hAnsi="Calibri" w:cstheme="minorBidi"/>
                          <w:b/>
                          <w:color w:val="FFFFFF" w:themeColor="background1"/>
                          <w:kern w:val="24"/>
                          <w:sz w:val="18"/>
                          <w:szCs w:val="18"/>
                        </w:rPr>
                        <w:t>Industry retention</w:t>
                      </w:r>
                    </w:p>
                  </w:txbxContent>
                </v:textbox>
              </v:shape>
            </w:pict>
          </mc:Fallback>
        </mc:AlternateContent>
      </w:r>
      <w:r w:rsidR="001F5FA3">
        <w:rPr>
          <w:noProof/>
        </w:rPr>
        <mc:AlternateContent>
          <mc:Choice Requires="wps">
            <w:drawing>
              <wp:anchor distT="0" distB="0" distL="114300" distR="114300" simplePos="0" relativeHeight="251658259" behindDoc="0" locked="0" layoutInCell="1" allowOverlap="1" wp14:anchorId="481AA6C9" wp14:editId="7565CA08">
                <wp:simplePos x="0" y="0"/>
                <wp:positionH relativeFrom="column">
                  <wp:posOffset>876706</wp:posOffset>
                </wp:positionH>
                <wp:positionV relativeFrom="paragraph">
                  <wp:posOffset>2824175</wp:posOffset>
                </wp:positionV>
                <wp:extent cx="1735667" cy="338554"/>
                <wp:effectExtent l="0" t="0" r="0" b="0"/>
                <wp:wrapNone/>
                <wp:docPr id="2011023200" name="TextBox 19"/>
                <wp:cNvGraphicFramePr/>
                <a:graphic xmlns:a="http://schemas.openxmlformats.org/drawingml/2006/main">
                  <a:graphicData uri="http://schemas.microsoft.com/office/word/2010/wordprocessingShape">
                    <wps:wsp>
                      <wps:cNvSpPr txBox="1"/>
                      <wps:spPr>
                        <a:xfrm>
                          <a:off x="0" y="0"/>
                          <a:ext cx="1735667" cy="338554"/>
                        </a:xfrm>
                        <a:prstGeom prst="rect">
                          <a:avLst/>
                        </a:prstGeom>
                        <a:noFill/>
                      </wps:spPr>
                      <wps:txbx>
                        <w:txbxContent>
                          <w:p w14:paraId="4A14AE74" w14:textId="77777777" w:rsidR="001F5FA3" w:rsidRDefault="001F5FA3" w:rsidP="001F5FA3">
                            <w:pPr>
                              <w:rPr>
                                <w:rFonts w:asciiTheme="minorHAnsi" w:hAnsi="Calibri" w:cstheme="minorBidi"/>
                                <w:b/>
                                <w:color w:val="FFFFFF" w:themeColor="background1"/>
                                <w:kern w:val="24"/>
                                <w:sz w:val="32"/>
                                <w:szCs w:val="32"/>
                              </w:rPr>
                            </w:pPr>
                            <w:r>
                              <w:rPr>
                                <w:rFonts w:asciiTheme="minorHAnsi" w:hAnsi="Calibri" w:cstheme="minorBidi"/>
                                <w:b/>
                                <w:color w:val="FFFFFF" w:themeColor="background1"/>
                                <w:kern w:val="24"/>
                                <w:sz w:val="32"/>
                                <w:szCs w:val="32"/>
                              </w:rPr>
                              <w:t>$100K</w:t>
                            </w:r>
                            <w:r>
                              <w:rPr>
                                <w:rFonts w:asciiTheme="minorHAnsi" w:hAnsi="Calibri" w:cstheme="minorBidi"/>
                                <w:b/>
                                <w:color w:val="FFFFFF" w:themeColor="background1"/>
                                <w:kern w:val="24"/>
                                <w:szCs w:val="22"/>
                              </w:rPr>
                              <w:t xml:space="preserve"> to </w:t>
                            </w:r>
                            <w:r>
                              <w:rPr>
                                <w:rFonts w:asciiTheme="minorHAnsi" w:hAnsi="Calibri" w:cstheme="minorBidi"/>
                                <w:b/>
                                <w:color w:val="FFFFFF" w:themeColor="background1"/>
                                <w:kern w:val="24"/>
                                <w:sz w:val="32"/>
                                <w:szCs w:val="32"/>
                              </w:rPr>
                              <w:t xml:space="preserve">$200m </w:t>
                            </w:r>
                          </w:p>
                        </w:txbxContent>
                      </wps:txbx>
                      <wps:bodyPr wrap="square" rtlCol="0">
                        <a:spAutoFit/>
                      </wps:bodyPr>
                    </wps:wsp>
                  </a:graphicData>
                </a:graphic>
              </wp:anchor>
            </w:drawing>
          </mc:Choice>
          <mc:Fallback>
            <w:pict>
              <v:shape w14:anchorId="481AA6C9" id="TextBox 19" o:spid="_x0000_s1034" type="#_x0000_t202" style="position:absolute;left:0;text-align:left;margin-left:69.05pt;margin-top:222.4pt;width:136.65pt;height:26.65pt;z-index:2516582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" filled="f" stroked="f">
                <v:textbox style="mso-fit-shape-to-text:t">
                  <w:txbxContent>
                    <w:p w14:paraId="4A14AE74" w14:textId="77777777" w:rsidR="001F5FA3" w:rsidRDefault="001F5FA3" w:rsidP="001F5FA3">
                      <w:pPr>
                        <w:rPr>
                          <w:rFonts w:asciiTheme="minorHAnsi" w:hAnsi="Calibri" w:cstheme="minorBidi"/>
                          <w:b/>
                          <w:color w:val="FFFFFF" w:themeColor="background1"/>
                          <w:kern w:val="24"/>
                          <w:sz w:val="32"/>
                          <w:szCs w:val="32"/>
                        </w:rPr>
                      </w:pPr>
                      <w:r>
                        <w:rPr>
                          <w:rFonts w:asciiTheme="minorHAnsi" w:hAnsi="Calibri" w:cstheme="minorBidi"/>
                          <w:b/>
                          <w:color w:val="FFFFFF" w:themeColor="background1"/>
                          <w:kern w:val="24"/>
                          <w:sz w:val="32"/>
                          <w:szCs w:val="32"/>
                        </w:rPr>
                        <w:t>$100K</w:t>
                      </w:r>
                      <w:r>
                        <w:rPr>
                          <w:rFonts w:asciiTheme="minorHAnsi" w:hAnsi="Calibri" w:cstheme="minorBidi"/>
                          <w:b/>
                          <w:color w:val="FFFFFF" w:themeColor="background1"/>
                          <w:kern w:val="24"/>
                          <w:szCs w:val="22"/>
                        </w:rPr>
                        <w:t xml:space="preserve"> to </w:t>
                      </w:r>
                      <w:r>
                        <w:rPr>
                          <w:rFonts w:asciiTheme="minorHAnsi" w:hAnsi="Calibri" w:cstheme="minorBidi"/>
                          <w:b/>
                          <w:color w:val="FFFFFF" w:themeColor="background1"/>
                          <w:kern w:val="24"/>
                          <w:sz w:val="32"/>
                          <w:szCs w:val="32"/>
                        </w:rPr>
                        <w:t xml:space="preserve">$200m </w:t>
                      </w:r>
                    </w:p>
                  </w:txbxContent>
                </v:textbox>
              </v:shape>
            </w:pict>
          </mc:Fallback>
        </mc:AlternateContent>
      </w:r>
      <w:r w:rsidR="003558EE">
        <w:rPr>
          <w:noProof/>
        </w:rPr>
        <mc:AlternateContent>
          <mc:Choice Requires="wps">
            <w:drawing>
              <wp:anchor distT="0" distB="0" distL="114300" distR="114300" simplePos="0" relativeHeight="251658258" behindDoc="0" locked="0" layoutInCell="1" allowOverlap="1" wp14:anchorId="2E5CED13" wp14:editId="31359163">
                <wp:simplePos x="0" y="0"/>
                <wp:positionH relativeFrom="column">
                  <wp:posOffset>920598</wp:posOffset>
                </wp:positionH>
                <wp:positionV relativeFrom="paragraph">
                  <wp:posOffset>2465730</wp:posOffset>
                </wp:positionV>
                <wp:extent cx="1701800" cy="230832"/>
                <wp:effectExtent l="0" t="0" r="0" b="0"/>
                <wp:wrapNone/>
                <wp:docPr id="76743166" name="TextBox 17"/>
                <wp:cNvGraphicFramePr/>
                <a:graphic xmlns:a="http://schemas.openxmlformats.org/drawingml/2006/main">
                  <a:graphicData uri="http://schemas.microsoft.com/office/word/2010/wordprocessingShape">
                    <wps:wsp>
                      <wps:cNvSpPr txBox="1"/>
                      <wps:spPr>
                        <a:xfrm>
                          <a:off x="0" y="0"/>
                          <a:ext cx="1701800" cy="230832"/>
                        </a:xfrm>
                        <a:prstGeom prst="rect">
                          <a:avLst/>
                        </a:prstGeom>
                        <a:noFill/>
                      </wps:spPr>
                      <wps:txbx>
                        <w:txbxContent>
                          <w:p w14:paraId="5DF7943C" w14:textId="77777777" w:rsidR="003558EE" w:rsidRDefault="003558EE" w:rsidP="003558EE">
                            <w:pPr>
                              <w:rPr>
                                <w:rFonts w:asciiTheme="minorHAnsi" w:hAnsi="Calibri" w:cstheme="minorBidi"/>
                                <w:b/>
                                <w:color w:val="FFFFFF" w:themeColor="background1"/>
                                <w:kern w:val="24"/>
                                <w:sz w:val="18"/>
                                <w:szCs w:val="18"/>
                              </w:rPr>
                            </w:pPr>
                            <w:r>
                              <w:rPr>
                                <w:rFonts w:asciiTheme="minorHAnsi" w:hAnsi="Calibri" w:cstheme="minorBidi"/>
                                <w:b/>
                                <w:color w:val="FFFFFF" w:themeColor="background1"/>
                                <w:kern w:val="24"/>
                                <w:sz w:val="18"/>
                                <w:szCs w:val="18"/>
                              </w:rPr>
                              <w:t>ARPC deductable</w:t>
                            </w:r>
                          </w:p>
                        </w:txbxContent>
                      </wps:txbx>
                      <wps:bodyPr wrap="square" rtlCol="0">
                        <a:spAutoFit/>
                      </wps:bodyPr>
                    </wps:wsp>
                  </a:graphicData>
                </a:graphic>
              </wp:anchor>
            </w:drawing>
          </mc:Choice>
          <mc:Fallback>
            <w:pict>
              <v:shape w14:anchorId="2E5CED13" id="TextBox 17" o:spid="_x0000_s1035" type="#_x0000_t202" style="position:absolute;left:0;text-align:left;margin-left:72.5pt;margin-top:194.15pt;width:134pt;height:18.2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" filled="f" stroked="f">
                <v:textbox style="mso-fit-shape-to-text:t">
                  <w:txbxContent>
                    <w:p w14:paraId="5DF7943C" w14:textId="77777777" w:rsidR="003558EE" w:rsidRDefault="003558EE" w:rsidP="003558EE">
                      <w:pPr>
                        <w:rPr>
                          <w:rFonts w:asciiTheme="minorHAnsi" w:hAnsi="Calibri" w:cstheme="minorBidi"/>
                          <w:b/>
                          <w:color w:val="FFFFFF" w:themeColor="background1"/>
                          <w:kern w:val="24"/>
                          <w:sz w:val="18"/>
                          <w:szCs w:val="18"/>
                        </w:rPr>
                      </w:pPr>
                      <w:r>
                        <w:rPr>
                          <w:rFonts w:asciiTheme="minorHAnsi" w:hAnsi="Calibri" w:cstheme="minorBidi"/>
                          <w:b/>
                          <w:color w:val="FFFFFF" w:themeColor="background1"/>
                          <w:kern w:val="24"/>
                          <w:sz w:val="18"/>
                          <w:szCs w:val="18"/>
                        </w:rPr>
                        <w:t>ARPC deductable</w:t>
                      </w:r>
                    </w:p>
                  </w:txbxContent>
                </v:textbox>
              </v:shape>
            </w:pict>
          </mc:Fallback>
        </mc:AlternateContent>
      </w:r>
      <w:r w:rsidR="00596E24">
        <w:rPr>
          <w:noProof/>
        </w:rPr>
        <mc:AlternateContent>
          <mc:Choice Requires="wps">
            <w:drawing>
              <wp:anchor distT="0" distB="0" distL="114300" distR="114300" simplePos="0" relativeHeight="251658257" behindDoc="0" locked="0" layoutInCell="1" allowOverlap="1" wp14:anchorId="6F31F4AA" wp14:editId="1138CB16">
                <wp:simplePos x="0" y="0"/>
                <wp:positionH relativeFrom="column">
                  <wp:posOffset>905967</wp:posOffset>
                </wp:positionH>
                <wp:positionV relativeFrom="paragraph">
                  <wp:posOffset>2202383</wp:posOffset>
                </wp:positionV>
                <wp:extent cx="791633" cy="338554"/>
                <wp:effectExtent l="0" t="0" r="0" b="0"/>
                <wp:wrapNone/>
                <wp:docPr id="17" name="TextBox 16">
                  <a:extLst xmlns:a="http://schemas.openxmlformats.org/drawingml/2006/main">
                    <a:ext uri="{FF2B5EF4-FFF2-40B4-BE49-F238E27FC236}">
                      <a16:creationId xmlns:a16="http://schemas.microsoft.com/office/drawing/2014/main" id="{5B8E9E89-0BA7-3A4D-0A1F-EAADF7BB6B9A}"/>
                    </a:ext>
                  </a:extLst>
                </wp:docPr>
                <wp:cNvGraphicFramePr/>
                <a:graphic xmlns:a="http://schemas.openxmlformats.org/drawingml/2006/main">
                  <a:graphicData uri="http://schemas.microsoft.com/office/word/2010/wordprocessingShape">
                    <wps:wsp>
                      <wps:cNvSpPr txBox="1"/>
                      <wps:spPr>
                        <a:xfrm>
                          <a:off x="0" y="0"/>
                          <a:ext cx="791633" cy="338554"/>
                        </a:xfrm>
                        <a:prstGeom prst="rect">
                          <a:avLst/>
                        </a:prstGeom>
                        <a:noFill/>
                      </wps:spPr>
                      <wps:txbx>
                        <w:txbxContent>
                          <w:p w14:paraId="640FCB30" w14:textId="77777777" w:rsidR="00596E24" w:rsidRDefault="00596E24" w:rsidP="00596E24">
                            <w:pPr>
                              <w:rPr>
                                <w:rFonts w:asciiTheme="minorHAnsi" w:hAnsi="Calibri" w:cstheme="minorBidi"/>
                                <w:b/>
                                <w:color w:val="FFFFFF" w:themeColor="background1"/>
                                <w:kern w:val="24"/>
                                <w:sz w:val="32"/>
                                <w:szCs w:val="32"/>
                              </w:rPr>
                            </w:pPr>
                            <w:r>
                              <w:rPr>
                                <w:rFonts w:asciiTheme="minorHAnsi" w:hAnsi="Calibri" w:cstheme="minorBidi"/>
                                <w:b/>
                                <w:color w:val="FFFFFF" w:themeColor="background1"/>
                                <w:kern w:val="24"/>
                                <w:sz w:val="32"/>
                                <w:szCs w:val="32"/>
                              </w:rPr>
                              <w:t>$350m</w:t>
                            </w:r>
                          </w:p>
                        </w:txbxContent>
                      </wps:txbx>
                      <wps:bodyPr wrap="square" rtlCol="0">
                        <a:spAutoFit/>
                      </wps:bodyPr>
                    </wps:wsp>
                  </a:graphicData>
                </a:graphic>
              </wp:anchor>
            </w:drawing>
          </mc:Choice>
          <mc:Fallback>
            <w:pict>
              <v:shape w14:anchorId="6F31F4AA" id="TextBox 16" o:spid="_x0000_s1036" type="#_x0000_t202" style="position:absolute;left:0;text-align:left;margin-left:71.35pt;margin-top:173.4pt;width:62.35pt;height:26.65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" filled="f" stroked="f">
                <v:textbox style="mso-fit-shape-to-text:t">
                  <w:txbxContent>
                    <w:p w14:paraId="640FCB30" w14:textId="77777777" w:rsidR="00596E24" w:rsidRDefault="00596E24" w:rsidP="00596E24">
                      <w:pPr>
                        <w:rPr>
                          <w:rFonts w:asciiTheme="minorHAnsi" w:hAnsi="Calibri" w:cstheme="minorBidi"/>
                          <w:b/>
                          <w:color w:val="FFFFFF" w:themeColor="background1"/>
                          <w:kern w:val="24"/>
                          <w:sz w:val="32"/>
                          <w:szCs w:val="32"/>
                        </w:rPr>
                      </w:pPr>
                      <w:r>
                        <w:rPr>
                          <w:rFonts w:asciiTheme="minorHAnsi" w:hAnsi="Calibri" w:cstheme="minorBidi"/>
                          <w:b/>
                          <w:color w:val="FFFFFF" w:themeColor="background1"/>
                          <w:kern w:val="24"/>
                          <w:sz w:val="32"/>
                          <w:szCs w:val="32"/>
                        </w:rPr>
                        <w:t>$350m</w:t>
                      </w:r>
                    </w:p>
                  </w:txbxContent>
                </v:textbox>
              </v:shape>
            </w:pict>
          </mc:Fallback>
        </mc:AlternateContent>
      </w:r>
      <w:r w:rsidR="00BC60A1">
        <w:rPr>
          <w:noProof/>
        </w:rPr>
        <mc:AlternateContent>
          <mc:Choice Requires="wps">
            <w:drawing>
              <wp:anchor distT="0" distB="0" distL="114300" distR="114300" simplePos="0" relativeHeight="251658256" behindDoc="0" locked="0" layoutInCell="1" allowOverlap="1" wp14:anchorId="05A1D49D" wp14:editId="0817D850">
                <wp:simplePos x="0" y="0"/>
                <wp:positionH relativeFrom="column">
                  <wp:posOffset>935228</wp:posOffset>
                </wp:positionH>
                <wp:positionV relativeFrom="paragraph">
                  <wp:posOffset>1902460</wp:posOffset>
                </wp:positionV>
                <wp:extent cx="1701800" cy="230832"/>
                <wp:effectExtent l="0" t="0" r="0" b="0"/>
                <wp:wrapNone/>
                <wp:docPr id="14" name="TextBox 13">
                  <a:extLst xmlns:a="http://schemas.openxmlformats.org/drawingml/2006/main">
                    <a:ext uri="{FF2B5EF4-FFF2-40B4-BE49-F238E27FC236}">
                      <a16:creationId xmlns:a16="http://schemas.microsoft.com/office/drawing/2014/main" id="{2B725322-0271-FB91-8538-48E2C89A497A}"/>
                    </a:ext>
                  </a:extLst>
                </wp:docPr>
                <wp:cNvGraphicFramePr/>
                <a:graphic xmlns:a="http://schemas.openxmlformats.org/drawingml/2006/main">
                  <a:graphicData uri="http://schemas.microsoft.com/office/word/2010/wordprocessingShape">
                    <wps:wsp>
                      <wps:cNvSpPr txBox="1"/>
                      <wps:spPr>
                        <a:xfrm>
                          <a:off x="0" y="0"/>
                          <a:ext cx="1701800" cy="230832"/>
                        </a:xfrm>
                        <a:prstGeom prst="rect">
                          <a:avLst/>
                        </a:prstGeom>
                        <a:noFill/>
                      </wps:spPr>
                      <wps:txbx>
                        <w:txbxContent>
                          <w:p w14:paraId="4AEEDD13" w14:textId="77777777" w:rsidR="00BC60A1" w:rsidRDefault="00BC60A1" w:rsidP="00BC60A1">
                            <w:pPr>
                              <w:rPr>
                                <w:rFonts w:asciiTheme="minorHAnsi" w:hAnsi="Calibri" w:cstheme="minorBidi"/>
                                <w:b/>
                                <w:color w:val="FFFFFF" w:themeColor="background1"/>
                                <w:kern w:val="24"/>
                                <w:sz w:val="18"/>
                                <w:szCs w:val="18"/>
                              </w:rPr>
                            </w:pPr>
                            <w:r>
                              <w:rPr>
                                <w:rFonts w:asciiTheme="minorHAnsi" w:hAnsi="Calibri" w:cstheme="minorBidi"/>
                                <w:b/>
                                <w:color w:val="FFFFFF" w:themeColor="background1"/>
                                <w:kern w:val="24"/>
                                <w:sz w:val="18"/>
                                <w:szCs w:val="18"/>
                              </w:rPr>
                              <w:t>Retrocession program</w:t>
                            </w:r>
                          </w:p>
                        </w:txbxContent>
                      </wps:txbx>
                      <wps:bodyPr wrap="square" rtlCol="0">
                        <a:spAutoFit/>
                      </wps:bodyPr>
                    </wps:wsp>
                  </a:graphicData>
                </a:graphic>
              </wp:anchor>
            </w:drawing>
          </mc:Choice>
          <mc:Fallback>
            <w:pict>
              <v:shape w14:anchorId="05A1D49D" id="TextBox 13" o:spid="_x0000_s1037" type="#_x0000_t202" style="position:absolute;left:0;text-align:left;margin-left:73.65pt;margin-top:149.8pt;width:134pt;height:18.2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" filled="f" stroked="f">
                <v:textbox style="mso-fit-shape-to-text:t">
                  <w:txbxContent>
                    <w:p w14:paraId="4AEEDD13" w14:textId="77777777" w:rsidR="00BC60A1" w:rsidRDefault="00BC60A1" w:rsidP="00BC60A1">
                      <w:pPr>
                        <w:rPr>
                          <w:rFonts w:asciiTheme="minorHAnsi" w:hAnsi="Calibri" w:cstheme="minorBidi"/>
                          <w:b/>
                          <w:color w:val="FFFFFF" w:themeColor="background1"/>
                          <w:kern w:val="24"/>
                          <w:sz w:val="18"/>
                          <w:szCs w:val="18"/>
                        </w:rPr>
                      </w:pPr>
                      <w:r>
                        <w:rPr>
                          <w:rFonts w:asciiTheme="minorHAnsi" w:hAnsi="Calibri" w:cstheme="minorBidi"/>
                          <w:b/>
                          <w:color w:val="FFFFFF" w:themeColor="background1"/>
                          <w:kern w:val="24"/>
                          <w:sz w:val="18"/>
                          <w:szCs w:val="18"/>
                        </w:rPr>
                        <w:t>Retrocession program</w:t>
                      </w:r>
                    </w:p>
                  </w:txbxContent>
                </v:textbox>
              </v:shape>
            </w:pict>
          </mc:Fallback>
        </mc:AlternateContent>
      </w:r>
      <w:r w:rsidR="00BC60A1">
        <w:rPr>
          <w:noProof/>
        </w:rPr>
        <mc:AlternateContent>
          <mc:Choice Requires="wps">
            <w:drawing>
              <wp:anchor distT="0" distB="0" distL="114300" distR="114300" simplePos="0" relativeHeight="251658255" behindDoc="0" locked="0" layoutInCell="1" allowOverlap="1" wp14:anchorId="6A7B3F8A" wp14:editId="66518D5B">
                <wp:simplePos x="0" y="0"/>
                <wp:positionH relativeFrom="column">
                  <wp:posOffset>920598</wp:posOffset>
                </wp:positionH>
                <wp:positionV relativeFrom="paragraph">
                  <wp:posOffset>1653743</wp:posOffset>
                </wp:positionV>
                <wp:extent cx="791633" cy="338554"/>
                <wp:effectExtent l="0" t="0" r="0" b="0"/>
                <wp:wrapNone/>
                <wp:docPr id="13" name="TextBox 12">
                  <a:extLst xmlns:a="http://schemas.openxmlformats.org/drawingml/2006/main">
                    <a:ext uri="{FF2B5EF4-FFF2-40B4-BE49-F238E27FC236}">
                      <a16:creationId xmlns:a16="http://schemas.microsoft.com/office/drawing/2014/main" id="{B148250D-3D31-7846-62D7-29401712888D}"/>
                    </a:ext>
                  </a:extLst>
                </wp:docPr>
                <wp:cNvGraphicFramePr/>
                <a:graphic xmlns:a="http://schemas.openxmlformats.org/drawingml/2006/main">
                  <a:graphicData uri="http://schemas.microsoft.com/office/word/2010/wordprocessingShape">
                    <wps:wsp>
                      <wps:cNvSpPr txBox="1"/>
                      <wps:spPr>
                        <a:xfrm>
                          <a:off x="0" y="0"/>
                          <a:ext cx="791633" cy="338554"/>
                        </a:xfrm>
                        <a:prstGeom prst="rect">
                          <a:avLst/>
                        </a:prstGeom>
                        <a:noFill/>
                      </wps:spPr>
                      <wps:txbx>
                        <w:txbxContent>
                          <w:p w14:paraId="23B3FE66" w14:textId="77777777" w:rsidR="00BC60A1" w:rsidRDefault="00BC60A1" w:rsidP="00BC60A1">
                            <w:pPr>
                              <w:rPr>
                                <w:rFonts w:asciiTheme="minorHAnsi" w:hAnsi="Calibri" w:cstheme="minorBidi"/>
                                <w:b/>
                                <w:color w:val="FFFFFF" w:themeColor="background1"/>
                                <w:kern w:val="24"/>
                                <w:sz w:val="32"/>
                                <w:szCs w:val="32"/>
                              </w:rPr>
                            </w:pPr>
                            <w:r>
                              <w:rPr>
                                <w:rFonts w:asciiTheme="minorHAnsi" w:hAnsi="Calibri" w:cstheme="minorBidi"/>
                                <w:b/>
                                <w:color w:val="FFFFFF" w:themeColor="background1"/>
                                <w:kern w:val="24"/>
                                <w:sz w:val="32"/>
                                <w:szCs w:val="32"/>
                              </w:rPr>
                              <w:t>$2.15b</w:t>
                            </w:r>
                          </w:p>
                        </w:txbxContent>
                      </wps:txbx>
                      <wps:bodyPr wrap="square" rtlCol="0">
                        <a:spAutoFit/>
                      </wps:bodyPr>
                    </wps:wsp>
                  </a:graphicData>
                </a:graphic>
              </wp:anchor>
            </w:drawing>
          </mc:Choice>
          <mc:Fallback>
            <w:pict>
              <v:shape w14:anchorId="6A7B3F8A" id="TextBox 12" o:spid="_x0000_s1038" type="#_x0000_t202" style="position:absolute;left:0;text-align:left;margin-left:72.5pt;margin-top:130.2pt;width:62.35pt;height:26.65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" filled="f" stroked="f">
                <v:textbox style="mso-fit-shape-to-text:t">
                  <w:txbxContent>
                    <w:p w14:paraId="23B3FE66" w14:textId="77777777" w:rsidR="00BC60A1" w:rsidRDefault="00BC60A1" w:rsidP="00BC60A1">
                      <w:pPr>
                        <w:rPr>
                          <w:rFonts w:asciiTheme="minorHAnsi" w:hAnsi="Calibri" w:cstheme="minorBidi"/>
                          <w:b/>
                          <w:color w:val="FFFFFF" w:themeColor="background1"/>
                          <w:kern w:val="24"/>
                          <w:sz w:val="32"/>
                          <w:szCs w:val="32"/>
                        </w:rPr>
                      </w:pPr>
                      <w:r>
                        <w:rPr>
                          <w:rFonts w:asciiTheme="minorHAnsi" w:hAnsi="Calibri" w:cstheme="minorBidi"/>
                          <w:b/>
                          <w:color w:val="FFFFFF" w:themeColor="background1"/>
                          <w:kern w:val="24"/>
                          <w:sz w:val="32"/>
                          <w:szCs w:val="32"/>
                        </w:rPr>
                        <w:t>$2.15b</w:t>
                      </w:r>
                    </w:p>
                  </w:txbxContent>
                </v:textbox>
              </v:shape>
            </w:pict>
          </mc:Fallback>
        </mc:AlternateContent>
      </w:r>
      <w:r w:rsidR="00490F5E">
        <w:rPr>
          <w:noProof/>
        </w:rPr>
        <mc:AlternateContent>
          <mc:Choice Requires="wps">
            <w:drawing>
              <wp:anchor distT="0" distB="0" distL="114300" distR="114300" simplePos="0" relativeHeight="251658252" behindDoc="0" locked="0" layoutInCell="1" allowOverlap="1" wp14:anchorId="634B00ED" wp14:editId="3BFD33C6">
                <wp:simplePos x="0" y="0"/>
                <wp:positionH relativeFrom="column">
                  <wp:posOffset>1353215</wp:posOffset>
                </wp:positionH>
                <wp:positionV relativeFrom="paragraph">
                  <wp:posOffset>427990</wp:posOffset>
                </wp:positionV>
                <wp:extent cx="618066" cy="338554"/>
                <wp:effectExtent l="0" t="0" r="0" b="0"/>
                <wp:wrapNone/>
                <wp:docPr id="10" name="TextBox 9">
                  <a:extLst xmlns:a="http://schemas.openxmlformats.org/drawingml/2006/main">
                    <a:ext uri="{FF2B5EF4-FFF2-40B4-BE49-F238E27FC236}">
                      <a16:creationId xmlns:a16="http://schemas.microsoft.com/office/drawing/2014/main" id="{2F6384DE-D02F-AB98-7EC5-6E8B619B7594}"/>
                    </a:ext>
                  </a:extLst>
                </wp:docPr>
                <wp:cNvGraphicFramePr/>
                <a:graphic xmlns:a="http://schemas.openxmlformats.org/drawingml/2006/main">
                  <a:graphicData uri="http://schemas.microsoft.com/office/word/2010/wordprocessingShape">
                    <wps:wsp>
                      <wps:cNvSpPr txBox="1"/>
                      <wps:spPr>
                        <a:xfrm>
                          <a:off x="0" y="0"/>
                          <a:ext cx="618066" cy="338554"/>
                        </a:xfrm>
                        <a:prstGeom prst="rect">
                          <a:avLst/>
                        </a:prstGeom>
                        <a:noFill/>
                      </wps:spPr>
                      <wps:txbx>
                        <w:txbxContent>
                          <w:p w14:paraId="7041C9C6" w14:textId="77777777" w:rsidR="00576C6C" w:rsidRDefault="00576C6C" w:rsidP="00576C6C">
                            <w:pPr>
                              <w:rPr>
                                <w:rFonts w:asciiTheme="minorHAnsi" w:hAnsi="Calibri" w:cstheme="minorBidi"/>
                                <w:b/>
                                <w:color w:val="FFFFFF" w:themeColor="background1"/>
                                <w:kern w:val="24"/>
                                <w:sz w:val="32"/>
                                <w:szCs w:val="32"/>
                              </w:rPr>
                            </w:pPr>
                            <w:r>
                              <w:rPr>
                                <w:rFonts w:asciiTheme="minorHAnsi" w:hAnsi="Calibri" w:cstheme="minorBidi"/>
                                <w:b/>
                                <w:color w:val="FFFFFF" w:themeColor="background1"/>
                                <w:kern w:val="24"/>
                                <w:sz w:val="32"/>
                                <w:szCs w:val="32"/>
                              </w:rPr>
                              <w:t>$10b</w:t>
                            </w:r>
                          </w:p>
                        </w:txbxContent>
                      </wps:txbx>
                      <wps:bodyPr wrap="square" rtlCol="0">
                        <a:spAutoFit/>
                      </wps:bodyPr>
                    </wps:wsp>
                  </a:graphicData>
                </a:graphic>
              </wp:anchor>
            </w:drawing>
          </mc:Choice>
          <mc:Fallback>
            <w:pict>
              <v:shape w14:anchorId="634B00ED" id="TextBox 9" o:spid="_x0000_s1039" type="#_x0000_t202" style="position:absolute;left:0;text-align:left;margin-left:106.55pt;margin-top:33.7pt;width:48.65pt;height:26.65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" filled="f" stroked="f">
                <v:textbox style="mso-fit-shape-to-text:t">
                  <w:txbxContent>
                    <w:p w14:paraId="7041C9C6" w14:textId="77777777" w:rsidR="00576C6C" w:rsidRDefault="00576C6C" w:rsidP="00576C6C">
                      <w:pPr>
                        <w:rPr>
                          <w:rFonts w:asciiTheme="minorHAnsi" w:hAnsi="Calibri" w:cstheme="minorBidi"/>
                          <w:b/>
                          <w:color w:val="FFFFFF" w:themeColor="background1"/>
                          <w:kern w:val="24"/>
                          <w:sz w:val="32"/>
                          <w:szCs w:val="32"/>
                        </w:rPr>
                      </w:pPr>
                      <w:r>
                        <w:rPr>
                          <w:rFonts w:asciiTheme="minorHAnsi" w:hAnsi="Calibri" w:cstheme="minorBidi"/>
                          <w:b/>
                          <w:color w:val="FFFFFF" w:themeColor="background1"/>
                          <w:kern w:val="24"/>
                          <w:sz w:val="32"/>
                          <w:szCs w:val="32"/>
                        </w:rPr>
                        <w:t>$10b</w:t>
                      </w:r>
                    </w:p>
                  </w:txbxContent>
                </v:textbox>
              </v:shape>
            </w:pict>
          </mc:Fallback>
        </mc:AlternateContent>
      </w:r>
      <w:r w:rsidR="00576C6C">
        <w:rPr>
          <w:noProof/>
        </w:rPr>
        <mc:AlternateContent>
          <mc:Choice Requires="wps">
            <w:drawing>
              <wp:anchor distT="0" distB="0" distL="114300" distR="114300" simplePos="0" relativeHeight="251658254" behindDoc="0" locked="0" layoutInCell="1" allowOverlap="1" wp14:anchorId="481C5972" wp14:editId="1BFC45CE">
                <wp:simplePos x="0" y="0"/>
                <wp:positionH relativeFrom="column">
                  <wp:posOffset>956931</wp:posOffset>
                </wp:positionH>
                <wp:positionV relativeFrom="paragraph">
                  <wp:posOffset>988193</wp:posOffset>
                </wp:positionV>
                <wp:extent cx="791633" cy="338554"/>
                <wp:effectExtent l="0" t="0" r="0" b="0"/>
                <wp:wrapNone/>
                <wp:docPr id="11" name="TextBox 10">
                  <a:extLst xmlns:a="http://schemas.openxmlformats.org/drawingml/2006/main">
                    <a:ext uri="{FF2B5EF4-FFF2-40B4-BE49-F238E27FC236}">
                      <a16:creationId xmlns:a16="http://schemas.microsoft.com/office/drawing/2014/main" id="{9BACC43A-B914-DB69-F46F-23B5BE27FEC7}"/>
                    </a:ext>
                  </a:extLst>
                </wp:docPr>
                <wp:cNvGraphicFramePr/>
                <a:graphic xmlns:a="http://schemas.openxmlformats.org/drawingml/2006/main">
                  <a:graphicData uri="http://schemas.microsoft.com/office/word/2010/wordprocessingShape">
                    <wps:wsp>
                      <wps:cNvSpPr txBox="1"/>
                      <wps:spPr>
                        <a:xfrm>
                          <a:off x="0" y="0"/>
                          <a:ext cx="791633" cy="338554"/>
                        </a:xfrm>
                        <a:prstGeom prst="rect">
                          <a:avLst/>
                        </a:prstGeom>
                        <a:noFill/>
                      </wps:spPr>
                      <wps:txbx>
                        <w:txbxContent>
                          <w:p w14:paraId="34311E68" w14:textId="77777777" w:rsidR="00576C6C" w:rsidRDefault="00576C6C" w:rsidP="00576C6C">
                            <w:pPr>
                              <w:rPr>
                                <w:rFonts w:asciiTheme="minorHAnsi" w:hAnsi="Calibri" w:cstheme="minorBidi"/>
                                <w:b/>
                                <w:color w:val="FFFFFF" w:themeColor="background1"/>
                                <w:kern w:val="24"/>
                                <w:sz w:val="32"/>
                                <w:szCs w:val="32"/>
                              </w:rPr>
                            </w:pPr>
                            <w:r>
                              <w:rPr>
                                <w:rFonts w:asciiTheme="minorHAnsi" w:hAnsi="Calibri" w:cstheme="minorBidi"/>
                                <w:b/>
                                <w:color w:val="FFFFFF" w:themeColor="background1"/>
                                <w:kern w:val="24"/>
                                <w:sz w:val="32"/>
                                <w:szCs w:val="32"/>
                              </w:rPr>
                              <w:t>$1.16b</w:t>
                            </w:r>
                          </w:p>
                        </w:txbxContent>
                      </wps:txbx>
                      <wps:bodyPr wrap="square" rtlCol="0">
                        <a:spAutoFit/>
                      </wps:bodyPr>
                    </wps:wsp>
                  </a:graphicData>
                </a:graphic>
              </wp:anchor>
            </w:drawing>
          </mc:Choice>
          <mc:Fallback>
            <w:pict>
              <v:shape w14:anchorId="481C5972" id="TextBox 10" o:spid="_x0000_s1040" type="#_x0000_t202" style="position:absolute;left:0;text-align:left;margin-left:75.35pt;margin-top:77.8pt;width:62.35pt;height:26.65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" filled="f" stroked="f">
                <v:textbox style="mso-fit-shape-to-text:t">
                  <w:txbxContent>
                    <w:p w14:paraId="34311E68" w14:textId="77777777" w:rsidR="00576C6C" w:rsidRDefault="00576C6C" w:rsidP="00576C6C">
                      <w:pPr>
                        <w:rPr>
                          <w:rFonts w:asciiTheme="minorHAnsi" w:hAnsi="Calibri" w:cstheme="minorBidi"/>
                          <w:b/>
                          <w:color w:val="FFFFFF" w:themeColor="background1"/>
                          <w:kern w:val="24"/>
                          <w:sz w:val="32"/>
                          <w:szCs w:val="32"/>
                        </w:rPr>
                      </w:pPr>
                      <w:r>
                        <w:rPr>
                          <w:rFonts w:asciiTheme="minorHAnsi" w:hAnsi="Calibri" w:cstheme="minorBidi"/>
                          <w:b/>
                          <w:color w:val="FFFFFF" w:themeColor="background1"/>
                          <w:kern w:val="24"/>
                          <w:sz w:val="32"/>
                          <w:szCs w:val="32"/>
                        </w:rPr>
                        <w:t>$1.16b</w:t>
                      </w:r>
                    </w:p>
                  </w:txbxContent>
                </v:textbox>
              </v:shape>
            </w:pict>
          </mc:Fallback>
        </mc:AlternateContent>
      </w:r>
      <w:r w:rsidR="00576C6C">
        <w:rPr>
          <w:noProof/>
        </w:rPr>
        <mc:AlternateContent>
          <mc:Choice Requires="wps">
            <w:drawing>
              <wp:anchor distT="0" distB="0" distL="114300" distR="114300" simplePos="0" relativeHeight="251658253" behindDoc="0" locked="0" layoutInCell="1" allowOverlap="1" wp14:anchorId="29CB9D9A" wp14:editId="48CB6096">
                <wp:simplePos x="0" y="0"/>
                <wp:positionH relativeFrom="column">
                  <wp:posOffset>960135</wp:posOffset>
                </wp:positionH>
                <wp:positionV relativeFrom="paragraph">
                  <wp:posOffset>1247052</wp:posOffset>
                </wp:positionV>
                <wp:extent cx="1701800" cy="230832"/>
                <wp:effectExtent l="0" t="0" r="0" b="0"/>
                <wp:wrapNone/>
                <wp:docPr id="12" name="TextBox 11">
                  <a:extLst xmlns:a="http://schemas.openxmlformats.org/drawingml/2006/main">
                    <a:ext uri="{FF2B5EF4-FFF2-40B4-BE49-F238E27FC236}">
                      <a16:creationId xmlns:a16="http://schemas.microsoft.com/office/drawing/2014/main" id="{D66C477C-C975-4933-8283-D69953590518}"/>
                    </a:ext>
                  </a:extLst>
                </wp:docPr>
                <wp:cNvGraphicFramePr/>
                <a:graphic xmlns:a="http://schemas.openxmlformats.org/drawingml/2006/main">
                  <a:graphicData uri="http://schemas.microsoft.com/office/word/2010/wordprocessingShape">
                    <wps:wsp>
                      <wps:cNvSpPr txBox="1"/>
                      <wps:spPr>
                        <a:xfrm>
                          <a:off x="0" y="0"/>
                          <a:ext cx="1701800" cy="230832"/>
                        </a:xfrm>
                        <a:prstGeom prst="rect">
                          <a:avLst/>
                        </a:prstGeom>
                        <a:noFill/>
                      </wps:spPr>
                      <wps:txbx>
                        <w:txbxContent>
                          <w:p w14:paraId="2CBB979A" w14:textId="77777777" w:rsidR="00576C6C" w:rsidRDefault="00576C6C" w:rsidP="00576C6C">
                            <w:pPr>
                              <w:rPr>
                                <w:rFonts w:asciiTheme="minorHAnsi" w:hAnsi="Calibri" w:cstheme="minorBidi"/>
                                <w:b/>
                                <w:color w:val="FFFFFF" w:themeColor="background1"/>
                                <w:kern w:val="24"/>
                                <w:sz w:val="18"/>
                                <w:szCs w:val="18"/>
                              </w:rPr>
                            </w:pPr>
                            <w:r>
                              <w:rPr>
                                <w:rFonts w:asciiTheme="minorHAnsi" w:hAnsi="Calibri" w:cstheme="minorBidi"/>
                                <w:b/>
                                <w:color w:val="FFFFFF" w:themeColor="background1"/>
                                <w:kern w:val="24"/>
                                <w:sz w:val="18"/>
                                <w:szCs w:val="18"/>
                              </w:rPr>
                              <w:t>Net assets post deductible</w:t>
                            </w:r>
                          </w:p>
                        </w:txbxContent>
                      </wps:txbx>
                      <wps:bodyPr wrap="square" rtlCol="0">
                        <a:spAutoFit/>
                      </wps:bodyPr>
                    </wps:wsp>
                  </a:graphicData>
                </a:graphic>
              </wp:anchor>
            </w:drawing>
          </mc:Choice>
          <mc:Fallback>
            <w:pict>
              <v:shape w14:anchorId="29CB9D9A" id="TextBox 11" o:spid="_x0000_s1041" type="#_x0000_t202" style="position:absolute;left:0;text-align:left;margin-left:75.6pt;margin-top:98.2pt;width:134pt;height:18.2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" filled="f" stroked="f">
                <v:textbox style="mso-fit-shape-to-text:t">
                  <w:txbxContent>
                    <w:p w14:paraId="2CBB979A" w14:textId="77777777" w:rsidR="00576C6C" w:rsidRDefault="00576C6C" w:rsidP="00576C6C">
                      <w:pPr>
                        <w:rPr>
                          <w:rFonts w:asciiTheme="minorHAnsi" w:hAnsi="Calibri" w:cstheme="minorBidi"/>
                          <w:b/>
                          <w:color w:val="FFFFFF" w:themeColor="background1"/>
                          <w:kern w:val="24"/>
                          <w:sz w:val="18"/>
                          <w:szCs w:val="18"/>
                        </w:rPr>
                      </w:pPr>
                      <w:r>
                        <w:rPr>
                          <w:rFonts w:asciiTheme="minorHAnsi" w:hAnsi="Calibri" w:cstheme="minorBidi"/>
                          <w:b/>
                          <w:color w:val="FFFFFF" w:themeColor="background1"/>
                          <w:kern w:val="24"/>
                          <w:sz w:val="18"/>
                          <w:szCs w:val="18"/>
                        </w:rPr>
                        <w:t>Net assets post deductible</w:t>
                      </w:r>
                    </w:p>
                  </w:txbxContent>
                </v:textbox>
              </v:shape>
            </w:pict>
          </mc:Fallback>
        </mc:AlternateContent>
      </w:r>
      <w:r w:rsidR="00050D13">
        <w:rPr>
          <w:noProof/>
        </w:rPr>
        <mc:AlternateContent>
          <mc:Choice Requires="wps">
            <w:drawing>
              <wp:anchor distT="0" distB="0" distL="114300" distR="114300" simplePos="0" relativeHeight="251658251" behindDoc="0" locked="0" layoutInCell="1" allowOverlap="1" wp14:anchorId="795BE16F" wp14:editId="11145FC6">
                <wp:simplePos x="0" y="0"/>
                <wp:positionH relativeFrom="column">
                  <wp:posOffset>1002665</wp:posOffset>
                </wp:positionH>
                <wp:positionV relativeFrom="paragraph">
                  <wp:posOffset>481508</wp:posOffset>
                </wp:positionV>
                <wp:extent cx="1701800" cy="369332"/>
                <wp:effectExtent l="0" t="0" r="0" b="0"/>
                <wp:wrapNone/>
                <wp:docPr id="9" name="TextBox 8">
                  <a:extLst xmlns:a="http://schemas.openxmlformats.org/drawingml/2006/main">
                    <a:ext uri="{FF2B5EF4-FFF2-40B4-BE49-F238E27FC236}">
                      <a16:creationId xmlns:a16="http://schemas.microsoft.com/office/drawing/2014/main" id="{0E4E3864-349C-2966-057D-FBD4AF0850AC}"/>
                    </a:ext>
                  </a:extLst>
                </wp:docPr>
                <wp:cNvGraphicFramePr/>
                <a:graphic xmlns:a="http://schemas.openxmlformats.org/drawingml/2006/main">
                  <a:graphicData uri="http://schemas.microsoft.com/office/word/2010/wordprocessingShape">
                    <wps:wsp>
                      <wps:cNvSpPr txBox="1"/>
                      <wps:spPr>
                        <a:xfrm>
                          <a:off x="0" y="0"/>
                          <a:ext cx="1701800" cy="369332"/>
                        </a:xfrm>
                        <a:prstGeom prst="rect">
                          <a:avLst/>
                        </a:prstGeom>
                        <a:noFill/>
                      </wps:spPr>
                      <wps:txbx>
                        <w:txbxContent>
                          <w:p w14:paraId="5E580317" w14:textId="77777777" w:rsidR="00050D13" w:rsidRDefault="00050D13" w:rsidP="00050D13">
                            <w:pPr>
                              <w:rPr>
                                <w:rFonts w:asciiTheme="minorHAnsi" w:hAnsi="Calibri" w:cstheme="minorBidi"/>
                                <w:b/>
                                <w:color w:val="FFFFFF" w:themeColor="background1"/>
                                <w:kern w:val="24"/>
                                <w:sz w:val="18"/>
                                <w:szCs w:val="18"/>
                              </w:rPr>
                            </w:pPr>
                            <w:r>
                              <w:rPr>
                                <w:rFonts w:asciiTheme="minorHAnsi" w:hAnsi="Calibri" w:cstheme="minorBidi"/>
                                <w:b/>
                                <w:color w:val="FFFFFF" w:themeColor="background1"/>
                                <w:kern w:val="24"/>
                                <w:sz w:val="18"/>
                                <w:szCs w:val="18"/>
                              </w:rPr>
                              <w:t xml:space="preserve">Up to </w:t>
                            </w:r>
                          </w:p>
                          <w:p w14:paraId="717B7147" w14:textId="77777777" w:rsidR="00050D13" w:rsidRDefault="00050D13" w:rsidP="00050D13">
                            <w:pPr>
                              <w:rPr>
                                <w:rFonts w:asciiTheme="minorHAnsi" w:hAnsi="Calibri" w:cstheme="minorBidi"/>
                                <w:b/>
                                <w:color w:val="FFFFFF" w:themeColor="background1"/>
                                <w:kern w:val="24"/>
                                <w:sz w:val="18"/>
                                <w:szCs w:val="18"/>
                              </w:rPr>
                            </w:pPr>
                            <w:r>
                              <w:rPr>
                                <w:rFonts w:asciiTheme="minorHAnsi" w:hAnsi="Calibri" w:cstheme="minorBidi"/>
                                <w:b/>
                                <w:color w:val="FFFFFF" w:themeColor="background1"/>
                                <w:kern w:val="24"/>
                                <w:sz w:val="18"/>
                                <w:szCs w:val="18"/>
                              </w:rPr>
                              <w:t>Commonwealth guarantee</w:t>
                            </w:r>
                          </w:p>
                        </w:txbxContent>
                      </wps:txbx>
                      <wps:bodyPr wrap="square" rtlCol="0">
                        <a:spAutoFit/>
                      </wps:bodyPr>
                    </wps:wsp>
                  </a:graphicData>
                </a:graphic>
              </wp:anchor>
            </w:drawing>
          </mc:Choice>
          <mc:Fallback>
            <w:pict>
              <v:shape w14:anchorId="795BE16F" id="TextBox 8" o:spid="_x0000_s1042" type="#_x0000_t202" style="position:absolute;left:0;text-align:left;margin-left:78.95pt;margin-top:37.9pt;width:134pt;height:29.1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" filled="f" stroked="f">
                <v:textbox style="mso-fit-shape-to-text:t">
                  <w:txbxContent>
                    <w:p w14:paraId="5E580317" w14:textId="77777777" w:rsidR="00050D13" w:rsidRDefault="00050D13" w:rsidP="00050D13">
                      <w:pPr>
                        <w:rPr>
                          <w:rFonts w:asciiTheme="minorHAnsi" w:hAnsi="Calibri" w:cstheme="minorBidi"/>
                          <w:b/>
                          <w:color w:val="FFFFFF" w:themeColor="background1"/>
                          <w:kern w:val="24"/>
                          <w:sz w:val="18"/>
                          <w:szCs w:val="18"/>
                        </w:rPr>
                      </w:pPr>
                      <w:r>
                        <w:rPr>
                          <w:rFonts w:asciiTheme="minorHAnsi" w:hAnsi="Calibri" w:cstheme="minorBidi"/>
                          <w:b/>
                          <w:color w:val="FFFFFF" w:themeColor="background1"/>
                          <w:kern w:val="24"/>
                          <w:sz w:val="18"/>
                          <w:szCs w:val="18"/>
                        </w:rPr>
                        <w:t xml:space="preserve">Up to </w:t>
                      </w:r>
                    </w:p>
                    <w:p w14:paraId="717B7147" w14:textId="77777777" w:rsidR="00050D13" w:rsidRDefault="00050D13" w:rsidP="00050D13">
                      <w:pPr>
                        <w:rPr>
                          <w:rFonts w:asciiTheme="minorHAnsi" w:hAnsi="Calibri" w:cstheme="minorBidi"/>
                          <w:b/>
                          <w:color w:val="FFFFFF" w:themeColor="background1"/>
                          <w:kern w:val="24"/>
                          <w:sz w:val="18"/>
                          <w:szCs w:val="18"/>
                        </w:rPr>
                      </w:pPr>
                      <w:r>
                        <w:rPr>
                          <w:rFonts w:asciiTheme="minorHAnsi" w:hAnsi="Calibri" w:cstheme="minorBidi"/>
                          <w:b/>
                          <w:color w:val="FFFFFF" w:themeColor="background1"/>
                          <w:kern w:val="24"/>
                          <w:sz w:val="18"/>
                          <w:szCs w:val="18"/>
                        </w:rPr>
                        <w:t>Commonwealth guarantee</w:t>
                      </w:r>
                    </w:p>
                  </w:txbxContent>
                </v:textbox>
              </v:shape>
            </w:pict>
          </mc:Fallback>
        </mc:AlternateContent>
      </w:r>
      <w:r w:rsidR="00FE5761" w:rsidRPr="008A6DAE">
        <w:rPr>
          <w:rFonts w:eastAsia="Calibri"/>
        </w:rPr>
        <w:t xml:space="preserve"> </w:t>
      </w:r>
      <w:r w:rsidR="00751D6E" w:rsidRPr="00751D6E" w:rsidDel="00FE5761">
        <w:rPr>
          <w:rFonts w:eastAsia="Calibri"/>
        </w:rPr>
        <w:t xml:space="preserve"> </w:t>
      </w:r>
      <w:r w:rsidR="00050D13">
        <w:rPr>
          <w:noProof/>
        </w:rPr>
        <w:drawing>
          <wp:inline distT="0" distB="0" distL="0" distR="0" wp14:anchorId="70A45985" wp14:editId="6BBB597A">
            <wp:extent cx="2895601" cy="4290758"/>
            <wp:effectExtent l="0" t="0" r="0" b="0"/>
            <wp:docPr id="4" name="Picture 3" descr="This image shows the ARPC's funding layers available to pay terrorism claims. The first layer is the policy deductible, followed by an industry retention of $100,000 to $200 million. After this is the ARPC deductable of $350 million. A $2.15 billion retrocession program is the next layer, with net assets of $1.16 billion sitting above the retrocession program to fund claims if needed. At the top of the layers is the Commonwealth guarantee of $10 billion.">
              <a:extLst xmlns:a="http://schemas.openxmlformats.org/drawingml/2006/main">
                <a:ext uri="{FF2B5EF4-FFF2-40B4-BE49-F238E27FC236}">
                  <a16:creationId xmlns:a16="http://schemas.microsoft.com/office/drawing/2014/main" id="{4512A7F2-2AC7-C75D-875F-6669FD6815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his image shows the ARPC's funding layers available to pay terrorism claims. The first layer is the policy deductible, followed by an industry retention of $100,000 to $200 million. After this is the ARPC deductable of $350 million. A $2.15 billion retrocession program is the next layer, with net assets of $1.16 billion sitting above the retrocession program to fund claims if needed. At the top of the layers is the Commonwealth guarantee of $10 billion.">
                      <a:extLst>
                        <a:ext uri="{FF2B5EF4-FFF2-40B4-BE49-F238E27FC236}">
                          <a16:creationId xmlns:a16="http://schemas.microsoft.com/office/drawing/2014/main" id="{4512A7F2-2AC7-C75D-875F-6669FD6815B6}"/>
                        </a:ext>
                      </a:extLst>
                    </pic:cNvPr>
                    <pic:cNvPicPr>
                      <a:picLocks noChangeAspect="1"/>
                    </pic:cNvPicPr>
                  </pic:nvPicPr>
                  <pic:blipFill>
                    <a:blip r:embed="rId36"/>
                    <a:srcRect r="48779"/>
                    <a:stretch>
                      <a:fillRect/>
                    </a:stretch>
                  </pic:blipFill>
                  <pic:spPr>
                    <a:xfrm>
                      <a:off x="0" y="0"/>
                      <a:ext cx="2895601" cy="4290758"/>
                    </a:xfrm>
                    <a:prstGeom prst="rect">
                      <a:avLst/>
                    </a:prstGeom>
                  </pic:spPr>
                </pic:pic>
              </a:graphicData>
            </a:graphic>
          </wp:inline>
        </w:drawing>
      </w:r>
    </w:p>
    <w:p w14:paraId="0CB2BC28" w14:textId="2A3B088B" w:rsidR="002B0767" w:rsidRPr="008A6DAE" w:rsidRDefault="002B0767" w:rsidP="00FE5761">
      <w:pPr>
        <w:spacing w:after="0"/>
        <w:ind w:left="48" w:right="-42"/>
        <w:rPr>
          <w:rFonts w:eastAsia="Calibri"/>
        </w:rPr>
      </w:pPr>
      <w:r w:rsidRPr="5BA0F4DB">
        <w:rPr>
          <w:rFonts w:eastAsia="Calibri"/>
        </w:rPr>
        <w:t xml:space="preserve">Source: </w:t>
      </w:r>
      <w:r w:rsidR="001D11BF">
        <w:rPr>
          <w:rFonts w:eastAsia="Calibri"/>
        </w:rPr>
        <w:t xml:space="preserve">The </w:t>
      </w:r>
      <w:r w:rsidRPr="5BA0F4DB">
        <w:rPr>
          <w:rFonts w:eastAsia="Calibri"/>
        </w:rPr>
        <w:t xml:space="preserve">ARPC. </w:t>
      </w:r>
    </w:p>
    <w:p w14:paraId="5DDD9C32" w14:textId="64166297" w:rsidR="006C4D75" w:rsidRPr="002B0767" w:rsidRDefault="006C4D75" w:rsidP="00DA2CD9">
      <w:pPr>
        <w:pStyle w:val="Heading3"/>
      </w:pPr>
      <w:bookmarkStart w:id="85" w:name="_Toc207898475"/>
      <w:bookmarkStart w:id="86" w:name="_Toc210055997"/>
      <w:r w:rsidRPr="002B0767">
        <w:t>The need for the terrorism reinsurance pool to continue</w:t>
      </w:r>
      <w:bookmarkEnd w:id="85"/>
      <w:bookmarkEnd w:id="86"/>
    </w:p>
    <w:p w14:paraId="79CAB132" w14:textId="77E73C90" w:rsidR="00014BED" w:rsidRPr="009855BD" w:rsidRDefault="00014BED" w:rsidP="00014BED">
      <w:pPr>
        <w:rPr>
          <w:szCs w:val="22"/>
        </w:rPr>
      </w:pPr>
      <w:r w:rsidRPr="009855BD">
        <w:rPr>
          <w:szCs w:val="22"/>
        </w:rPr>
        <w:t xml:space="preserve">The terrorism pool was established as an interim measure to address a specific market failure in the private provision of terrorism insurance and was originally intended to only operate while terrorism cover is unavailable commercially on reasonable terms. Previously the Act required that at least once every three years the Minister was to prepare a report that reviews the need for the Act to continue. Previous reviews of the terrorism pool were completed in 2006, 2009, 2012, 2015, 2018 and 2021, which all concluded the terrorism pool should continue. </w:t>
      </w:r>
    </w:p>
    <w:p w14:paraId="079737EC" w14:textId="53A11FA3" w:rsidR="00014BED" w:rsidRPr="009855BD" w:rsidRDefault="00875CFD" w:rsidP="00BC36D1">
      <w:pPr>
        <w:rPr>
          <w:szCs w:val="22"/>
        </w:rPr>
      </w:pPr>
      <w:r w:rsidRPr="009855BD">
        <w:rPr>
          <w:szCs w:val="22"/>
        </w:rPr>
        <w:t>Despite</w:t>
      </w:r>
      <w:r w:rsidR="00BE715D" w:rsidRPr="009855BD">
        <w:rPr>
          <w:szCs w:val="22"/>
        </w:rPr>
        <w:t xml:space="preserve"> the terro</w:t>
      </w:r>
      <w:r w:rsidR="00880CEB" w:rsidRPr="009855BD">
        <w:rPr>
          <w:szCs w:val="22"/>
        </w:rPr>
        <w:t xml:space="preserve">rism </w:t>
      </w:r>
      <w:r w:rsidR="00D16B44" w:rsidRPr="009855BD">
        <w:rPr>
          <w:szCs w:val="22"/>
        </w:rPr>
        <w:t xml:space="preserve">reinsurance </w:t>
      </w:r>
      <w:r w:rsidR="00880CEB" w:rsidRPr="009855BD">
        <w:rPr>
          <w:szCs w:val="22"/>
        </w:rPr>
        <w:t xml:space="preserve">pool </w:t>
      </w:r>
      <w:r w:rsidRPr="009855BD">
        <w:rPr>
          <w:szCs w:val="22"/>
        </w:rPr>
        <w:t xml:space="preserve">being </w:t>
      </w:r>
      <w:r w:rsidR="00880CEB" w:rsidRPr="009855BD">
        <w:rPr>
          <w:szCs w:val="22"/>
        </w:rPr>
        <w:t xml:space="preserve">called on </w:t>
      </w:r>
      <w:r w:rsidR="002064C3">
        <w:rPr>
          <w:szCs w:val="22"/>
        </w:rPr>
        <w:t xml:space="preserve">only </w:t>
      </w:r>
      <w:r w:rsidR="00880CEB" w:rsidRPr="009855BD">
        <w:rPr>
          <w:szCs w:val="22"/>
        </w:rPr>
        <w:t xml:space="preserve">once, </w:t>
      </w:r>
      <w:r w:rsidRPr="009855BD">
        <w:rPr>
          <w:szCs w:val="22"/>
        </w:rPr>
        <w:t>several</w:t>
      </w:r>
      <w:r w:rsidR="00880CEB" w:rsidRPr="009855BD">
        <w:rPr>
          <w:szCs w:val="22"/>
        </w:rPr>
        <w:t xml:space="preserve"> factors </w:t>
      </w:r>
      <w:r w:rsidR="008E44F3" w:rsidRPr="009855BD">
        <w:rPr>
          <w:szCs w:val="22"/>
        </w:rPr>
        <w:t>suggest</w:t>
      </w:r>
      <w:r w:rsidR="00E92FD1" w:rsidRPr="009855BD">
        <w:rPr>
          <w:szCs w:val="22"/>
        </w:rPr>
        <w:t xml:space="preserve"> </w:t>
      </w:r>
      <w:r w:rsidR="00D16B44" w:rsidRPr="009855BD">
        <w:rPr>
          <w:szCs w:val="22"/>
        </w:rPr>
        <w:t>it is</w:t>
      </w:r>
      <w:r w:rsidR="003E2F09" w:rsidRPr="009855BD">
        <w:rPr>
          <w:szCs w:val="22"/>
        </w:rPr>
        <w:t xml:space="preserve"> still required</w:t>
      </w:r>
      <w:r w:rsidR="00171F1C" w:rsidRPr="009855BD">
        <w:rPr>
          <w:szCs w:val="22"/>
        </w:rPr>
        <w:t>.</w:t>
      </w:r>
    </w:p>
    <w:p w14:paraId="629F3F42" w14:textId="3AAF8FB3" w:rsidR="00B84DBE" w:rsidRPr="009855BD" w:rsidRDefault="00B84DBE" w:rsidP="009855BD">
      <w:pPr>
        <w:pStyle w:val="Bullet"/>
        <w:tabs>
          <w:tab w:val="clear" w:pos="520"/>
        </w:tabs>
        <w:ind w:left="284" w:hanging="284"/>
        <w:rPr>
          <w:szCs w:val="22"/>
        </w:rPr>
      </w:pPr>
      <w:r w:rsidRPr="009855BD">
        <w:rPr>
          <w:szCs w:val="22"/>
        </w:rPr>
        <w:t xml:space="preserve">The scheme greatly improves access to </w:t>
      </w:r>
      <w:r w:rsidR="00A84181" w:rsidRPr="009855BD">
        <w:rPr>
          <w:szCs w:val="22"/>
        </w:rPr>
        <w:t xml:space="preserve">terrorism reinsurance for commercial property </w:t>
      </w:r>
      <w:r w:rsidR="00436AB8" w:rsidRPr="009855BD">
        <w:rPr>
          <w:szCs w:val="22"/>
        </w:rPr>
        <w:t xml:space="preserve">and the rates charged by the ARPC are likely lower than would be charged by the private reinsurance market in the absence of the </w:t>
      </w:r>
      <w:r w:rsidR="0051537D">
        <w:rPr>
          <w:szCs w:val="22"/>
        </w:rPr>
        <w:t>terrorism pool</w:t>
      </w:r>
      <w:r w:rsidR="00436AB8" w:rsidRPr="009855BD">
        <w:rPr>
          <w:szCs w:val="22"/>
        </w:rPr>
        <w:t>.</w:t>
      </w:r>
    </w:p>
    <w:p w14:paraId="61C0983D" w14:textId="5E15A41D" w:rsidR="00CA2EF9" w:rsidRPr="009855BD" w:rsidRDefault="00CA2EF9" w:rsidP="009855BD">
      <w:pPr>
        <w:pStyle w:val="Bullet"/>
        <w:tabs>
          <w:tab w:val="clear" w:pos="520"/>
        </w:tabs>
        <w:ind w:left="284" w:hanging="284"/>
        <w:rPr>
          <w:szCs w:val="22"/>
        </w:rPr>
      </w:pPr>
      <w:r w:rsidRPr="009855BD">
        <w:rPr>
          <w:szCs w:val="22"/>
        </w:rPr>
        <w:t>Previous reviews have noted there is limited private market</w:t>
      </w:r>
      <w:r w:rsidR="00DF5134" w:rsidRPr="009855BD">
        <w:rPr>
          <w:szCs w:val="22"/>
        </w:rPr>
        <w:t xml:space="preserve"> capacity, </w:t>
      </w:r>
      <w:r w:rsidR="00FB08B5" w:rsidRPr="009855BD">
        <w:rPr>
          <w:szCs w:val="22"/>
        </w:rPr>
        <w:t>and that</w:t>
      </w:r>
      <w:r w:rsidR="00DF5134" w:rsidRPr="009855BD" w:rsidDel="004A4CCB">
        <w:rPr>
          <w:szCs w:val="22"/>
        </w:rPr>
        <w:t xml:space="preserve"> </w:t>
      </w:r>
      <w:r w:rsidR="00DF5134" w:rsidRPr="009855BD">
        <w:rPr>
          <w:szCs w:val="22"/>
        </w:rPr>
        <w:t>capacity is less than the ARPC provides</w:t>
      </w:r>
      <w:r w:rsidR="00FB08B5" w:rsidRPr="009855BD">
        <w:rPr>
          <w:szCs w:val="22"/>
        </w:rPr>
        <w:t>,</w:t>
      </w:r>
      <w:r w:rsidR="00407DBA" w:rsidRPr="009855BD">
        <w:rPr>
          <w:szCs w:val="22"/>
        </w:rPr>
        <w:t xml:space="preserve"> meaning not all currently covered </w:t>
      </w:r>
      <w:r w:rsidR="006E6B46" w:rsidRPr="009855BD">
        <w:rPr>
          <w:szCs w:val="22"/>
        </w:rPr>
        <w:t xml:space="preserve">properties could access terrorism </w:t>
      </w:r>
      <w:r w:rsidR="004A4CCB" w:rsidRPr="009855BD">
        <w:rPr>
          <w:szCs w:val="22"/>
        </w:rPr>
        <w:t>re</w:t>
      </w:r>
      <w:r w:rsidR="006E6B46" w:rsidRPr="009855BD">
        <w:rPr>
          <w:szCs w:val="22"/>
        </w:rPr>
        <w:t>insurance</w:t>
      </w:r>
      <w:r w:rsidR="00DF5134" w:rsidRPr="009855BD">
        <w:rPr>
          <w:szCs w:val="22"/>
        </w:rPr>
        <w:t xml:space="preserve">. </w:t>
      </w:r>
    </w:p>
    <w:p w14:paraId="008A0432" w14:textId="47F0CD3E" w:rsidR="00CB2501" w:rsidRPr="009855BD" w:rsidRDefault="00B26F3B" w:rsidP="009855BD">
      <w:pPr>
        <w:pStyle w:val="Bullet"/>
        <w:tabs>
          <w:tab w:val="clear" w:pos="520"/>
        </w:tabs>
        <w:ind w:left="284" w:hanging="284"/>
        <w:rPr>
          <w:szCs w:val="22"/>
        </w:rPr>
      </w:pPr>
      <w:r w:rsidRPr="009855BD">
        <w:rPr>
          <w:szCs w:val="22"/>
        </w:rPr>
        <w:t>Successive</w:t>
      </w:r>
      <w:r w:rsidR="000A4387" w:rsidRPr="009855BD">
        <w:rPr>
          <w:szCs w:val="22"/>
        </w:rPr>
        <w:t xml:space="preserve"> reviews have found there would like</w:t>
      </w:r>
      <w:r w:rsidR="00273D7F" w:rsidRPr="009855BD">
        <w:rPr>
          <w:szCs w:val="22"/>
        </w:rPr>
        <w:t>ly</w:t>
      </w:r>
      <w:r w:rsidR="000A4387" w:rsidRPr="009855BD">
        <w:rPr>
          <w:szCs w:val="22"/>
        </w:rPr>
        <w:t xml:space="preserve"> be market failure if </w:t>
      </w:r>
      <w:r w:rsidRPr="009855BD">
        <w:rPr>
          <w:szCs w:val="22"/>
        </w:rPr>
        <w:t>the</w:t>
      </w:r>
      <w:r w:rsidR="00B07AAC">
        <w:rPr>
          <w:szCs w:val="22"/>
        </w:rPr>
        <w:t xml:space="preserve"> terrorism</w:t>
      </w:r>
      <w:r w:rsidRPr="009855BD">
        <w:rPr>
          <w:szCs w:val="22"/>
        </w:rPr>
        <w:t xml:space="preserve"> pool did not continue</w:t>
      </w:r>
      <w:r w:rsidR="005F2848" w:rsidRPr="009855BD">
        <w:rPr>
          <w:szCs w:val="22"/>
        </w:rPr>
        <w:t>.</w:t>
      </w:r>
    </w:p>
    <w:p w14:paraId="402A7559" w14:textId="00DBE62D" w:rsidR="00B26F3B" w:rsidRDefault="006D661C" w:rsidP="009855BD">
      <w:pPr>
        <w:pStyle w:val="Bullet"/>
        <w:tabs>
          <w:tab w:val="clear" w:pos="520"/>
        </w:tabs>
        <w:ind w:left="284" w:hanging="284"/>
      </w:pPr>
      <w:r>
        <w:rPr>
          <w:szCs w:val="22"/>
        </w:rPr>
        <w:t>Recent market estimates suggest</w:t>
      </w:r>
      <w:r w:rsidR="006C2D99" w:rsidRPr="009855BD">
        <w:rPr>
          <w:szCs w:val="22"/>
        </w:rPr>
        <w:t xml:space="preserve"> that </w:t>
      </w:r>
      <w:r>
        <w:rPr>
          <w:szCs w:val="22"/>
        </w:rPr>
        <w:t>around $6.5 billion in</w:t>
      </w:r>
      <w:r w:rsidR="006C2D99" w:rsidRPr="009855BD">
        <w:rPr>
          <w:szCs w:val="22"/>
        </w:rPr>
        <w:t xml:space="preserve"> capacity </w:t>
      </w:r>
      <w:r>
        <w:rPr>
          <w:szCs w:val="22"/>
        </w:rPr>
        <w:t xml:space="preserve">is available </w:t>
      </w:r>
      <w:r w:rsidR="006C2D99" w:rsidRPr="009855BD">
        <w:rPr>
          <w:szCs w:val="22"/>
        </w:rPr>
        <w:t xml:space="preserve">for terrorism reinsurance </w:t>
      </w:r>
      <w:r w:rsidR="00DF6294">
        <w:rPr>
          <w:szCs w:val="22"/>
        </w:rPr>
        <w:t>from the private market</w:t>
      </w:r>
      <w:r w:rsidR="00731C72">
        <w:rPr>
          <w:szCs w:val="22"/>
        </w:rPr>
        <w:t>.</w:t>
      </w:r>
      <w:r w:rsidR="006C2D99" w:rsidRPr="009855BD">
        <w:rPr>
          <w:szCs w:val="22"/>
        </w:rPr>
        <w:t xml:space="preserve"> $</w:t>
      </w:r>
      <w:r w:rsidR="00D03AC1" w:rsidRPr="009855BD">
        <w:rPr>
          <w:szCs w:val="22"/>
        </w:rPr>
        <w:t>2.1</w:t>
      </w:r>
      <w:r w:rsidR="006C2D99" w:rsidRPr="009855BD">
        <w:rPr>
          <w:szCs w:val="22"/>
        </w:rPr>
        <w:t>5</w:t>
      </w:r>
      <w:r w:rsidR="00586DE9" w:rsidRPr="009855BD">
        <w:rPr>
          <w:szCs w:val="22"/>
        </w:rPr>
        <w:t xml:space="preserve"> </w:t>
      </w:r>
      <w:r w:rsidR="006C2D99" w:rsidRPr="009855BD">
        <w:rPr>
          <w:szCs w:val="22"/>
        </w:rPr>
        <w:t>b</w:t>
      </w:r>
      <w:r w:rsidR="00586DE9" w:rsidRPr="009855BD">
        <w:rPr>
          <w:szCs w:val="22"/>
        </w:rPr>
        <w:t>illion</w:t>
      </w:r>
      <w:r w:rsidR="00701D18" w:rsidRPr="009855BD">
        <w:rPr>
          <w:szCs w:val="22"/>
        </w:rPr>
        <w:t xml:space="preserve"> of this</w:t>
      </w:r>
      <w:r w:rsidR="006C2D99" w:rsidRPr="009855BD">
        <w:rPr>
          <w:szCs w:val="22"/>
        </w:rPr>
        <w:t xml:space="preserve"> is deployed through the</w:t>
      </w:r>
      <w:r w:rsidR="006C2D99">
        <w:t xml:space="preserve"> ARPC. </w:t>
      </w:r>
      <w:r w:rsidR="00F5017D">
        <w:t>Industry ha</w:t>
      </w:r>
      <w:r w:rsidR="00586DE9">
        <w:t>s</w:t>
      </w:r>
      <w:r w:rsidR="00F5017D">
        <w:t xml:space="preserve"> told previous reviews</w:t>
      </w:r>
      <w:r w:rsidR="00F5017D" w:rsidDel="00586DE9">
        <w:t xml:space="preserve"> </w:t>
      </w:r>
      <w:r w:rsidR="00F5017D">
        <w:t xml:space="preserve">there is scarce terrorism cover available outside the ARPC </w:t>
      </w:r>
      <w:r w:rsidR="00314E4F">
        <w:t xml:space="preserve">and </w:t>
      </w:r>
      <w:r w:rsidR="00684904">
        <w:t>the</w:t>
      </w:r>
      <w:r w:rsidR="00314E4F">
        <w:t xml:space="preserve"> cover </w:t>
      </w:r>
      <w:r w:rsidR="00684904">
        <w:t>that</w:t>
      </w:r>
      <w:r w:rsidR="00314E4F">
        <w:t xml:space="preserve"> is available is often unaffordable.</w:t>
      </w:r>
    </w:p>
    <w:p w14:paraId="728D5DB8" w14:textId="241A77F8" w:rsidR="00436AB8" w:rsidRDefault="00436AB8" w:rsidP="009855BD">
      <w:pPr>
        <w:pStyle w:val="Bullet"/>
        <w:tabs>
          <w:tab w:val="clear" w:pos="520"/>
        </w:tabs>
        <w:ind w:left="284" w:hanging="284"/>
      </w:pPr>
      <w:r>
        <w:t xml:space="preserve">The </w:t>
      </w:r>
      <w:r w:rsidR="004B371D">
        <w:t>removal</w:t>
      </w:r>
      <w:r>
        <w:t xml:space="preserve"> of the</w:t>
      </w:r>
      <w:r w:rsidDel="00472687">
        <w:t xml:space="preserve"> </w:t>
      </w:r>
      <w:r w:rsidR="00472687">
        <w:t xml:space="preserve">terrorism pool </w:t>
      </w:r>
      <w:r w:rsidR="004B371D">
        <w:t xml:space="preserve">would likely cause significant disruption to the Australian commercial property insurance market, which has the potential to impact the commercial property sector and </w:t>
      </w:r>
      <w:r w:rsidR="00D72334">
        <w:t>negatively impact construction activity.</w:t>
      </w:r>
    </w:p>
    <w:p w14:paraId="0563CAD0" w14:textId="33F97DC6" w:rsidR="00995F5B" w:rsidRDefault="00995F5B" w:rsidP="00995F5B">
      <w:r>
        <w:t xml:space="preserve">Given </w:t>
      </w:r>
      <w:r w:rsidR="009C6D0D">
        <w:t>these reasons</w:t>
      </w:r>
      <w:r w:rsidR="00B6000B">
        <w:t xml:space="preserve"> and the </w:t>
      </w:r>
      <w:r w:rsidR="0027612A">
        <w:t>time the</w:t>
      </w:r>
      <w:r w:rsidR="00B6000B">
        <w:t xml:space="preserve"> </w:t>
      </w:r>
      <w:r w:rsidR="008559AC">
        <w:t xml:space="preserve">terrorism pool </w:t>
      </w:r>
      <w:r w:rsidR="00823CCA">
        <w:t>has been in operation,</w:t>
      </w:r>
      <w:r>
        <w:t xml:space="preserve"> </w:t>
      </w:r>
      <w:r w:rsidR="00A0126C">
        <w:t xml:space="preserve">there </w:t>
      </w:r>
      <w:r w:rsidR="00FD1274">
        <w:t xml:space="preserve">is a case </w:t>
      </w:r>
      <w:r w:rsidR="003B5319">
        <w:t xml:space="preserve">to </w:t>
      </w:r>
      <w:r>
        <w:t xml:space="preserve">consider the </w:t>
      </w:r>
      <w:r w:rsidR="00C124A5">
        <w:t xml:space="preserve">terrorism reinsurance pool </w:t>
      </w:r>
      <w:r w:rsidR="003B5319">
        <w:t>a</w:t>
      </w:r>
      <w:r w:rsidR="009D29F4">
        <w:t>s no longer</w:t>
      </w:r>
      <w:r w:rsidR="00C124A5">
        <w:t xml:space="preserve"> a </w:t>
      </w:r>
      <w:r w:rsidR="00823CCA">
        <w:t xml:space="preserve">temporary intervention, but rather a permanent feature of the market. </w:t>
      </w:r>
    </w:p>
    <w:p w14:paraId="7CE0DE45" w14:textId="2E1DD5B7" w:rsidR="00653FA2" w:rsidRDefault="00653FA2" w:rsidP="00995F5B">
      <w:r>
        <w:t xml:space="preserve">As part of the 2015 </w:t>
      </w:r>
      <w:r w:rsidR="00A47F7F">
        <w:t>t</w:t>
      </w:r>
      <w:r w:rsidR="003B5319">
        <w:t>riennial</w:t>
      </w:r>
      <w:r w:rsidR="00CE4B0B">
        <w:t xml:space="preserve"> </w:t>
      </w:r>
      <w:r w:rsidR="00A47F7F">
        <w:t>r</w:t>
      </w:r>
      <w:r w:rsidR="00CE4B0B">
        <w:t>eview,</w:t>
      </w:r>
      <w:r w:rsidR="00D261CB">
        <w:t xml:space="preserve"> Treasury engaged </w:t>
      </w:r>
      <w:r w:rsidR="00FF16C0">
        <w:t xml:space="preserve">Pottinger, </w:t>
      </w:r>
      <w:r w:rsidR="00D261CB">
        <w:t>an external consultant,</w:t>
      </w:r>
      <w:r w:rsidR="00CE4B0B">
        <w:t xml:space="preserve"> </w:t>
      </w:r>
      <w:r w:rsidR="00FF16C0">
        <w:t xml:space="preserve">that </w:t>
      </w:r>
      <w:r w:rsidR="00CE4B0B">
        <w:t xml:space="preserve">recommended making the terrorism pool permanent given the apparent ongoing need for the </w:t>
      </w:r>
      <w:r w:rsidR="00EA3860">
        <w:t>Act</w:t>
      </w:r>
      <w:r w:rsidR="006338F4">
        <w:t xml:space="preserve"> and </w:t>
      </w:r>
      <w:r w:rsidR="00407D84">
        <w:t>suggested the</w:t>
      </w:r>
      <w:r w:rsidR="00AD1756">
        <w:t xml:space="preserve"> reviews </w:t>
      </w:r>
      <w:r w:rsidR="00407D84">
        <w:t xml:space="preserve">happen </w:t>
      </w:r>
      <w:r w:rsidR="00AD1756">
        <w:t>once every five years</w:t>
      </w:r>
      <w:r w:rsidR="00EA3860">
        <w:t>.</w:t>
      </w:r>
      <w:r w:rsidR="00F9749B">
        <w:t xml:space="preserve"> However, the 2015 review</w:t>
      </w:r>
      <w:r w:rsidR="006338F4">
        <w:t xml:space="preserve"> considered that triennial reviews should remain in place </w:t>
      </w:r>
      <w:r w:rsidR="00407D84">
        <w:t xml:space="preserve">to ensure that the ongoing need for the </w:t>
      </w:r>
      <w:r w:rsidR="0002348D">
        <w:t>terrorism</w:t>
      </w:r>
      <w:r w:rsidR="00407D84">
        <w:t xml:space="preserve"> pool is closely moni</w:t>
      </w:r>
      <w:r w:rsidR="0002348D">
        <w:t xml:space="preserve">tored. </w:t>
      </w:r>
      <w:r w:rsidR="00D84740">
        <w:t xml:space="preserve"> </w:t>
      </w:r>
    </w:p>
    <w:p w14:paraId="6EABD5CB" w14:textId="06E7A6D0" w:rsidR="008B07FB" w:rsidRDefault="008B07FB" w:rsidP="00DA2CD9">
      <w:pPr>
        <w:pStyle w:val="Heading3"/>
      </w:pPr>
      <w:bookmarkStart w:id="87" w:name="_Toc207898476"/>
      <w:bookmarkStart w:id="88" w:name="_Toc210055998"/>
      <w:r>
        <w:t>Retrocession program</w:t>
      </w:r>
      <w:bookmarkEnd w:id="87"/>
      <w:bookmarkEnd w:id="88"/>
    </w:p>
    <w:p w14:paraId="732F50CF" w14:textId="1BCA4109" w:rsidR="00267830" w:rsidRPr="009855BD" w:rsidRDefault="00AC570E" w:rsidP="009D4521">
      <w:pPr>
        <w:rPr>
          <w:szCs w:val="22"/>
        </w:rPr>
      </w:pPr>
      <w:r w:rsidRPr="009855BD">
        <w:rPr>
          <w:szCs w:val="22"/>
        </w:rPr>
        <w:t xml:space="preserve">The 2006 </w:t>
      </w:r>
      <w:r w:rsidR="00A47F7F">
        <w:rPr>
          <w:szCs w:val="22"/>
        </w:rPr>
        <w:t>t</w:t>
      </w:r>
      <w:r w:rsidR="002A26A8">
        <w:rPr>
          <w:szCs w:val="22"/>
        </w:rPr>
        <w:t xml:space="preserve">riennial </w:t>
      </w:r>
      <w:r w:rsidR="00A47F7F">
        <w:rPr>
          <w:szCs w:val="22"/>
        </w:rPr>
        <w:t>r</w:t>
      </w:r>
      <w:r w:rsidRPr="009855BD">
        <w:rPr>
          <w:szCs w:val="22"/>
        </w:rPr>
        <w:t xml:space="preserve">eview sought </w:t>
      </w:r>
      <w:r w:rsidR="000F0602" w:rsidRPr="009855BD">
        <w:rPr>
          <w:szCs w:val="22"/>
        </w:rPr>
        <w:t xml:space="preserve">a staged reintroduction of private market capacity </w:t>
      </w:r>
      <w:r w:rsidR="004778AA" w:rsidRPr="009855BD">
        <w:rPr>
          <w:szCs w:val="22"/>
        </w:rPr>
        <w:t xml:space="preserve">and </w:t>
      </w:r>
      <w:r w:rsidR="00F266E0" w:rsidRPr="009855BD">
        <w:rPr>
          <w:szCs w:val="22"/>
        </w:rPr>
        <w:t>to encourage private sector involvement to the greatest extent possible</w:t>
      </w:r>
      <w:r w:rsidR="00FF16C0" w:rsidRPr="009855BD">
        <w:rPr>
          <w:szCs w:val="22"/>
        </w:rPr>
        <w:t>. This is consistent</w:t>
      </w:r>
      <w:r w:rsidR="00523A8F" w:rsidRPr="009855BD">
        <w:rPr>
          <w:szCs w:val="22"/>
        </w:rPr>
        <w:t xml:space="preserve"> with the </w:t>
      </w:r>
      <w:r w:rsidR="001D5663" w:rsidRPr="009855BD">
        <w:rPr>
          <w:szCs w:val="22"/>
        </w:rPr>
        <w:t>E</w:t>
      </w:r>
      <w:r w:rsidR="007B3E04" w:rsidRPr="009855BD">
        <w:rPr>
          <w:szCs w:val="22"/>
        </w:rPr>
        <w:t xml:space="preserve">xplanatory </w:t>
      </w:r>
      <w:r w:rsidR="001D5663" w:rsidRPr="009855BD">
        <w:rPr>
          <w:szCs w:val="22"/>
        </w:rPr>
        <w:t>M</w:t>
      </w:r>
      <w:r w:rsidR="00BA4C3C" w:rsidRPr="009855BD">
        <w:rPr>
          <w:szCs w:val="22"/>
        </w:rPr>
        <w:t>emorandum</w:t>
      </w:r>
      <w:r w:rsidR="007B3E04" w:rsidRPr="009855BD">
        <w:rPr>
          <w:szCs w:val="22"/>
        </w:rPr>
        <w:t xml:space="preserve"> to the</w:t>
      </w:r>
      <w:r w:rsidR="006271BB">
        <w:rPr>
          <w:szCs w:val="22"/>
        </w:rPr>
        <w:t xml:space="preserve"> Terrorism Insurance</w:t>
      </w:r>
      <w:r w:rsidR="007B3E04" w:rsidRPr="009855BD">
        <w:rPr>
          <w:szCs w:val="22"/>
        </w:rPr>
        <w:t xml:space="preserve"> Bill</w:t>
      </w:r>
      <w:r w:rsidR="006271BB">
        <w:rPr>
          <w:szCs w:val="22"/>
        </w:rPr>
        <w:t xml:space="preserve"> 2003</w:t>
      </w:r>
      <w:r w:rsidR="007B3E04" w:rsidRPr="009855BD">
        <w:rPr>
          <w:szCs w:val="22"/>
        </w:rPr>
        <w:t xml:space="preserve"> </w:t>
      </w:r>
      <w:r w:rsidR="00523A8F" w:rsidRPr="009855BD">
        <w:rPr>
          <w:szCs w:val="22"/>
        </w:rPr>
        <w:t xml:space="preserve">which </w:t>
      </w:r>
      <w:r w:rsidR="007B3E04" w:rsidRPr="009855BD">
        <w:rPr>
          <w:szCs w:val="22"/>
        </w:rPr>
        <w:t xml:space="preserve">reinforces the </w:t>
      </w:r>
      <w:r w:rsidR="00BA4C3C" w:rsidRPr="009855BD">
        <w:rPr>
          <w:szCs w:val="22"/>
        </w:rPr>
        <w:t>desire for private sector involvement.</w:t>
      </w:r>
      <w:r w:rsidR="00FF771D" w:rsidRPr="009855BD">
        <w:rPr>
          <w:szCs w:val="22"/>
        </w:rPr>
        <w:t xml:space="preserve"> </w:t>
      </w:r>
      <w:r w:rsidR="006E0B21" w:rsidRPr="009855BD">
        <w:rPr>
          <w:szCs w:val="22"/>
        </w:rPr>
        <w:t xml:space="preserve">Retrocession, </w:t>
      </w:r>
      <w:r w:rsidR="00AC23B5" w:rsidRPr="009855BD">
        <w:rPr>
          <w:szCs w:val="22"/>
        </w:rPr>
        <w:t>which is reinsurance for reinsurers, is a</w:t>
      </w:r>
      <w:r w:rsidR="00B253A7" w:rsidRPr="009855BD">
        <w:rPr>
          <w:szCs w:val="22"/>
        </w:rPr>
        <w:t xml:space="preserve"> way to </w:t>
      </w:r>
      <w:r w:rsidR="00AC23B5" w:rsidRPr="009855BD">
        <w:rPr>
          <w:szCs w:val="22"/>
        </w:rPr>
        <w:t xml:space="preserve">encourage </w:t>
      </w:r>
      <w:r w:rsidR="001E7716" w:rsidRPr="009855BD">
        <w:rPr>
          <w:szCs w:val="22"/>
        </w:rPr>
        <w:t xml:space="preserve">the private market </w:t>
      </w:r>
      <w:r w:rsidR="00AC23B5" w:rsidRPr="009855BD">
        <w:rPr>
          <w:szCs w:val="22"/>
        </w:rPr>
        <w:t>to provide</w:t>
      </w:r>
      <w:r w:rsidR="001E7716" w:rsidRPr="009855BD">
        <w:rPr>
          <w:szCs w:val="22"/>
        </w:rPr>
        <w:t xml:space="preserve"> terrorism reinsurance</w:t>
      </w:r>
      <w:r w:rsidR="00AC23B5" w:rsidRPr="009855BD">
        <w:rPr>
          <w:szCs w:val="22"/>
        </w:rPr>
        <w:t>.</w:t>
      </w:r>
    </w:p>
    <w:p w14:paraId="2B1CE043" w14:textId="75F1DBA2" w:rsidR="00873BB8" w:rsidRPr="009855BD" w:rsidRDefault="00A11C2E" w:rsidP="009D4521">
      <w:pPr>
        <w:rPr>
          <w:szCs w:val="22"/>
        </w:rPr>
      </w:pPr>
      <w:r w:rsidRPr="009855BD">
        <w:rPr>
          <w:szCs w:val="22"/>
        </w:rPr>
        <w:t>T</w:t>
      </w:r>
      <w:r w:rsidR="00267830" w:rsidRPr="009855BD">
        <w:rPr>
          <w:szCs w:val="22"/>
        </w:rPr>
        <w:t xml:space="preserve">he 2006 </w:t>
      </w:r>
      <w:r w:rsidR="00A47F7F">
        <w:rPr>
          <w:szCs w:val="22"/>
        </w:rPr>
        <w:t>t</w:t>
      </w:r>
      <w:r w:rsidR="00CF1D82">
        <w:rPr>
          <w:szCs w:val="22"/>
        </w:rPr>
        <w:t xml:space="preserve">riennial </w:t>
      </w:r>
      <w:r w:rsidR="00267830" w:rsidRPr="009855BD" w:rsidDel="00CF1D82">
        <w:rPr>
          <w:szCs w:val="22"/>
        </w:rPr>
        <w:t>r</w:t>
      </w:r>
      <w:r w:rsidR="00267830" w:rsidRPr="009855BD">
        <w:rPr>
          <w:szCs w:val="22"/>
        </w:rPr>
        <w:t xml:space="preserve">eview </w:t>
      </w:r>
      <w:r w:rsidR="002268AD" w:rsidRPr="009855BD">
        <w:rPr>
          <w:szCs w:val="22"/>
        </w:rPr>
        <w:t xml:space="preserve">suggested </w:t>
      </w:r>
      <w:r w:rsidR="00267830" w:rsidRPr="009855BD" w:rsidDel="002268AD">
        <w:rPr>
          <w:szCs w:val="22"/>
        </w:rPr>
        <w:t>that</w:t>
      </w:r>
      <w:r w:rsidR="00267830" w:rsidRPr="009855BD">
        <w:rPr>
          <w:szCs w:val="22"/>
        </w:rPr>
        <w:t xml:space="preserve"> once the terrorism pool reaches $300 million in assets, the ARPC should have discretion to determine whether to use premiums to build the pool further, purchase reinsurance or a combination of the two. Following the 2006</w:t>
      </w:r>
      <w:r w:rsidR="00A47F7F">
        <w:rPr>
          <w:szCs w:val="22"/>
        </w:rPr>
        <w:t xml:space="preserve"> triennial</w:t>
      </w:r>
      <w:r w:rsidR="00267830" w:rsidRPr="009855BD">
        <w:rPr>
          <w:szCs w:val="22"/>
        </w:rPr>
        <w:t xml:space="preserve"> </w:t>
      </w:r>
      <w:r w:rsidR="00267830" w:rsidRPr="009855BD" w:rsidDel="00A47F7F">
        <w:rPr>
          <w:szCs w:val="22"/>
        </w:rPr>
        <w:t>r</w:t>
      </w:r>
      <w:r w:rsidR="00267830" w:rsidRPr="009855BD">
        <w:rPr>
          <w:szCs w:val="22"/>
        </w:rPr>
        <w:t xml:space="preserve">eview, the ARPC commenced </w:t>
      </w:r>
      <w:r w:rsidR="00E22B58" w:rsidRPr="009855BD">
        <w:rPr>
          <w:szCs w:val="22"/>
        </w:rPr>
        <w:t>its</w:t>
      </w:r>
      <w:r w:rsidR="00267830" w:rsidRPr="009855BD">
        <w:rPr>
          <w:szCs w:val="22"/>
        </w:rPr>
        <w:t xml:space="preserve"> first retrocession contract on 31 December 2008. </w:t>
      </w:r>
    </w:p>
    <w:p w14:paraId="6FB6E5BA" w14:textId="739E92AC" w:rsidR="001E18F3" w:rsidRPr="009855BD" w:rsidRDefault="005E6A87" w:rsidP="009D4521">
      <w:pPr>
        <w:rPr>
          <w:szCs w:val="22"/>
        </w:rPr>
      </w:pPr>
      <w:r w:rsidRPr="009855BD">
        <w:rPr>
          <w:szCs w:val="22"/>
        </w:rPr>
        <w:t>T</w:t>
      </w:r>
      <w:r w:rsidR="00E3734B" w:rsidRPr="009855BD">
        <w:rPr>
          <w:szCs w:val="22"/>
        </w:rPr>
        <w:t>he terrorism pool provides a geographically diverse</w:t>
      </w:r>
      <w:r w:rsidR="00ED71E0" w:rsidRPr="009855BD">
        <w:rPr>
          <w:szCs w:val="22"/>
        </w:rPr>
        <w:t xml:space="preserve"> </w:t>
      </w:r>
      <w:r w:rsidR="00D6764E" w:rsidRPr="009855BD">
        <w:rPr>
          <w:szCs w:val="22"/>
        </w:rPr>
        <w:t>pool</w:t>
      </w:r>
      <w:r w:rsidR="00ED71E0" w:rsidRPr="009855BD">
        <w:rPr>
          <w:szCs w:val="22"/>
        </w:rPr>
        <w:t xml:space="preserve"> </w:t>
      </w:r>
      <w:r w:rsidR="009606B0" w:rsidRPr="009855BD">
        <w:rPr>
          <w:szCs w:val="22"/>
        </w:rPr>
        <w:t>and can provide nationwide data on performance</w:t>
      </w:r>
      <w:r w:rsidRPr="009855BD">
        <w:rPr>
          <w:szCs w:val="22"/>
        </w:rPr>
        <w:t>.</w:t>
      </w:r>
      <w:r w:rsidR="00ED71E0" w:rsidRPr="009855BD">
        <w:rPr>
          <w:szCs w:val="22"/>
        </w:rPr>
        <w:t xml:space="preserve"> </w:t>
      </w:r>
      <w:r w:rsidR="005B5AD6" w:rsidRPr="009855BD">
        <w:rPr>
          <w:szCs w:val="22"/>
        </w:rPr>
        <w:t>Private reinsurers can al</w:t>
      </w:r>
      <w:r w:rsidR="004724A2" w:rsidRPr="009855BD">
        <w:rPr>
          <w:szCs w:val="22"/>
        </w:rPr>
        <w:t>so provide re</w:t>
      </w:r>
      <w:r w:rsidR="00030725" w:rsidRPr="009855BD">
        <w:rPr>
          <w:szCs w:val="22"/>
        </w:rPr>
        <w:t>trocession</w:t>
      </w:r>
      <w:r w:rsidR="004724A2" w:rsidRPr="009855BD">
        <w:rPr>
          <w:szCs w:val="22"/>
        </w:rPr>
        <w:t xml:space="preserve"> </w:t>
      </w:r>
      <w:r w:rsidR="009A73D5" w:rsidRPr="009855BD">
        <w:rPr>
          <w:szCs w:val="22"/>
        </w:rPr>
        <w:t xml:space="preserve">for the ARPC </w:t>
      </w:r>
      <w:r w:rsidR="004724A2" w:rsidRPr="009855BD">
        <w:rPr>
          <w:szCs w:val="22"/>
        </w:rPr>
        <w:t xml:space="preserve">at a higher attachment point – that is </w:t>
      </w:r>
      <w:r w:rsidR="007B451F" w:rsidRPr="009855BD">
        <w:rPr>
          <w:szCs w:val="22"/>
        </w:rPr>
        <w:t>the ARPC retains more risk – than may be desirable</w:t>
      </w:r>
      <w:r w:rsidR="00ED71E0" w:rsidRPr="009855BD">
        <w:rPr>
          <w:szCs w:val="22"/>
        </w:rPr>
        <w:t xml:space="preserve"> </w:t>
      </w:r>
      <w:r w:rsidR="009843B5" w:rsidRPr="009855BD">
        <w:rPr>
          <w:szCs w:val="22"/>
        </w:rPr>
        <w:t>among private market insurers. These factors mean</w:t>
      </w:r>
      <w:r w:rsidR="00091684" w:rsidRPr="009855BD">
        <w:rPr>
          <w:szCs w:val="22"/>
        </w:rPr>
        <w:t xml:space="preserve"> </w:t>
      </w:r>
      <w:r w:rsidR="001A2DE0" w:rsidRPr="009855BD">
        <w:rPr>
          <w:szCs w:val="22"/>
        </w:rPr>
        <w:t>the rate and availability of terrorism retrocession is likely more favourable for the ARPC than the private market.</w:t>
      </w:r>
      <w:r w:rsidR="00ED71E0" w:rsidRPr="009855BD">
        <w:rPr>
          <w:szCs w:val="22"/>
        </w:rPr>
        <w:t xml:space="preserve"> </w:t>
      </w:r>
    </w:p>
    <w:p w14:paraId="330453E0" w14:textId="1624C376" w:rsidR="00A17308" w:rsidRDefault="00B241D5" w:rsidP="009D4521">
      <w:pPr>
        <w:rPr>
          <w:szCs w:val="22"/>
        </w:rPr>
      </w:pPr>
      <w:r w:rsidRPr="009855BD">
        <w:rPr>
          <w:szCs w:val="22"/>
        </w:rPr>
        <w:t xml:space="preserve">The ARPC has been supported by </w:t>
      </w:r>
      <w:r w:rsidR="00F119D5" w:rsidRPr="009855BD">
        <w:rPr>
          <w:szCs w:val="22"/>
        </w:rPr>
        <w:t xml:space="preserve">a large number of reinsurers throughout its history of retrocession, with </w:t>
      </w:r>
      <w:r w:rsidR="001E18F3" w:rsidRPr="009855BD">
        <w:rPr>
          <w:szCs w:val="22"/>
        </w:rPr>
        <w:t xml:space="preserve">45 reinsurers providing support for their 2025 retrocession program. </w:t>
      </w:r>
      <w:r w:rsidR="00AA78D3" w:rsidRPr="009855BD">
        <w:rPr>
          <w:szCs w:val="22"/>
        </w:rPr>
        <w:t>Retro</w:t>
      </w:r>
      <w:r w:rsidR="00A257AB" w:rsidRPr="009855BD">
        <w:rPr>
          <w:szCs w:val="22"/>
        </w:rPr>
        <w:t xml:space="preserve">cession cost the ARPC </w:t>
      </w:r>
      <w:r w:rsidR="009F3295" w:rsidRPr="009855BD">
        <w:rPr>
          <w:szCs w:val="22"/>
        </w:rPr>
        <w:t>$</w:t>
      </w:r>
      <w:r w:rsidR="008A515A" w:rsidRPr="009855BD">
        <w:rPr>
          <w:szCs w:val="22"/>
        </w:rPr>
        <w:t>65</w:t>
      </w:r>
      <w:r w:rsidR="005861E7" w:rsidRPr="009855BD">
        <w:rPr>
          <w:szCs w:val="22"/>
        </w:rPr>
        <w:t>.6</w:t>
      </w:r>
      <w:r w:rsidR="009F3295" w:rsidRPr="009855BD">
        <w:rPr>
          <w:szCs w:val="22"/>
        </w:rPr>
        <w:t xml:space="preserve"> million </w:t>
      </w:r>
      <w:r w:rsidR="00F74FFC" w:rsidRPr="009855BD">
        <w:rPr>
          <w:szCs w:val="22"/>
        </w:rPr>
        <w:t xml:space="preserve">in each of </w:t>
      </w:r>
      <w:r w:rsidR="009F3295" w:rsidRPr="009855BD">
        <w:rPr>
          <w:szCs w:val="22"/>
        </w:rPr>
        <w:t xml:space="preserve">the </w:t>
      </w:r>
      <w:r w:rsidR="00F74FFC" w:rsidRPr="009855BD">
        <w:rPr>
          <w:szCs w:val="22"/>
        </w:rPr>
        <w:t>2022</w:t>
      </w:r>
      <w:r w:rsidR="00296BC1" w:rsidRPr="009855BD">
        <w:rPr>
          <w:szCs w:val="22"/>
        </w:rPr>
        <w:t>–</w:t>
      </w:r>
      <w:r w:rsidR="009F3295" w:rsidRPr="009855BD">
        <w:rPr>
          <w:szCs w:val="22"/>
        </w:rPr>
        <w:t>23</w:t>
      </w:r>
      <w:r w:rsidR="00F74FFC" w:rsidRPr="009855BD">
        <w:rPr>
          <w:szCs w:val="22"/>
        </w:rPr>
        <w:t xml:space="preserve"> and</w:t>
      </w:r>
      <w:r w:rsidR="009F3295" w:rsidRPr="009855BD">
        <w:rPr>
          <w:szCs w:val="22"/>
        </w:rPr>
        <w:t xml:space="preserve"> </w:t>
      </w:r>
      <w:r w:rsidR="00F74FFC" w:rsidRPr="009855BD">
        <w:rPr>
          <w:szCs w:val="22"/>
        </w:rPr>
        <w:t>20</w:t>
      </w:r>
      <w:r w:rsidR="009F3295" w:rsidRPr="009855BD">
        <w:rPr>
          <w:szCs w:val="22"/>
        </w:rPr>
        <w:t>23</w:t>
      </w:r>
      <w:r w:rsidR="00296BC1" w:rsidRPr="009855BD">
        <w:rPr>
          <w:szCs w:val="22"/>
        </w:rPr>
        <w:t>–</w:t>
      </w:r>
      <w:r w:rsidR="009F3295" w:rsidRPr="009855BD">
        <w:rPr>
          <w:szCs w:val="22"/>
        </w:rPr>
        <w:t xml:space="preserve">24 </w:t>
      </w:r>
      <w:r w:rsidR="006772F6" w:rsidRPr="009855BD">
        <w:rPr>
          <w:szCs w:val="22"/>
        </w:rPr>
        <w:t>financial</w:t>
      </w:r>
      <w:r w:rsidR="009F3295" w:rsidRPr="009855BD">
        <w:rPr>
          <w:szCs w:val="22"/>
        </w:rPr>
        <w:t xml:space="preserve"> year</w:t>
      </w:r>
      <w:r w:rsidR="00F74FFC" w:rsidRPr="009855BD">
        <w:rPr>
          <w:szCs w:val="22"/>
        </w:rPr>
        <w:t>s</w:t>
      </w:r>
      <w:r w:rsidR="00B74CB9" w:rsidRPr="009855BD">
        <w:rPr>
          <w:szCs w:val="22"/>
        </w:rPr>
        <w:t xml:space="preserve"> for</w:t>
      </w:r>
      <w:r w:rsidR="00C73234" w:rsidRPr="009855BD">
        <w:rPr>
          <w:szCs w:val="22"/>
        </w:rPr>
        <w:t xml:space="preserve"> </w:t>
      </w:r>
      <w:r w:rsidR="00FB1C93" w:rsidRPr="009855BD">
        <w:rPr>
          <w:szCs w:val="22"/>
        </w:rPr>
        <w:t>$3.5 billion of cover with a deductible of $225 million</w:t>
      </w:r>
      <w:r w:rsidR="006772F6" w:rsidRPr="009855BD">
        <w:rPr>
          <w:szCs w:val="22"/>
        </w:rPr>
        <w:t>.</w:t>
      </w:r>
      <w:r w:rsidR="00DE2517" w:rsidRPr="009855BD">
        <w:rPr>
          <w:rStyle w:val="FootnoteReference"/>
          <w:sz w:val="22"/>
          <w:szCs w:val="22"/>
        </w:rPr>
        <w:footnoteReference w:id="45"/>
      </w:r>
      <w:r w:rsidR="005025AD" w:rsidRPr="009855BD">
        <w:rPr>
          <w:szCs w:val="22"/>
        </w:rPr>
        <w:t xml:space="preserve"> </w:t>
      </w:r>
      <w:r w:rsidR="008B5E2D" w:rsidRPr="009855BD">
        <w:rPr>
          <w:szCs w:val="22"/>
        </w:rPr>
        <w:t>For the 2025 calendar year, the</w:t>
      </w:r>
      <w:r w:rsidR="00E00491" w:rsidRPr="009855BD">
        <w:rPr>
          <w:szCs w:val="22"/>
        </w:rPr>
        <w:t xml:space="preserve"> ARPC purchased a smalle</w:t>
      </w:r>
      <w:r w:rsidR="00927ED5" w:rsidRPr="009855BD">
        <w:rPr>
          <w:szCs w:val="22"/>
        </w:rPr>
        <w:t xml:space="preserve">r limit with an increased deductible to reflect ARPC’s current view of risk for the portfolio and value for money in the risk transfer. </w:t>
      </w:r>
      <w:r w:rsidR="003404C6" w:rsidRPr="009855BD">
        <w:rPr>
          <w:szCs w:val="22"/>
        </w:rPr>
        <w:t xml:space="preserve">As such, the ARPC paid $53.6 million for approximately $2.15 billion </w:t>
      </w:r>
      <w:r w:rsidR="009A076F" w:rsidRPr="009855BD">
        <w:rPr>
          <w:szCs w:val="22"/>
        </w:rPr>
        <w:t>of retrocession with a deductible of $350 million.</w:t>
      </w:r>
      <w:r w:rsidR="009A076F" w:rsidRPr="009855BD">
        <w:rPr>
          <w:rStyle w:val="FootnoteReference"/>
          <w:sz w:val="22"/>
          <w:szCs w:val="22"/>
        </w:rPr>
        <w:footnoteReference w:id="46"/>
      </w:r>
      <w:r w:rsidR="008B5E2D" w:rsidRPr="009855BD">
        <w:rPr>
          <w:szCs w:val="22"/>
        </w:rPr>
        <w:t xml:space="preserve"> </w:t>
      </w:r>
    </w:p>
    <w:p w14:paraId="7CC8DECA" w14:textId="04A11737" w:rsidR="00715DB0" w:rsidRPr="009855BD" w:rsidRDefault="001E18F3" w:rsidP="009D4521">
      <w:pPr>
        <w:rPr>
          <w:szCs w:val="22"/>
        </w:rPr>
      </w:pPr>
      <w:r w:rsidRPr="009855BD">
        <w:rPr>
          <w:szCs w:val="22"/>
        </w:rPr>
        <w:t>Despite th</w:t>
      </w:r>
      <w:r w:rsidR="000E39B5" w:rsidRPr="009855BD">
        <w:rPr>
          <w:szCs w:val="22"/>
        </w:rPr>
        <w:t>e</w:t>
      </w:r>
      <w:r w:rsidRPr="009855BD">
        <w:rPr>
          <w:szCs w:val="22"/>
        </w:rPr>
        <w:t xml:space="preserve"> long history of retrocession, successive reviews have found that there is insufficient </w:t>
      </w:r>
      <w:r w:rsidR="00745D8A" w:rsidRPr="009855BD">
        <w:rPr>
          <w:szCs w:val="22"/>
        </w:rPr>
        <w:t>terrorism reinsurance available commercially on reasonable terms</w:t>
      </w:r>
      <w:r w:rsidR="00715DB0" w:rsidRPr="009855BD">
        <w:rPr>
          <w:szCs w:val="22"/>
        </w:rPr>
        <w:t xml:space="preserve"> </w:t>
      </w:r>
      <w:r w:rsidR="000E39B5" w:rsidRPr="009855BD">
        <w:rPr>
          <w:szCs w:val="22"/>
        </w:rPr>
        <w:t xml:space="preserve">suggesting </w:t>
      </w:r>
      <w:r w:rsidR="0077494E" w:rsidRPr="009855BD">
        <w:rPr>
          <w:szCs w:val="22"/>
        </w:rPr>
        <w:t>a need for</w:t>
      </w:r>
      <w:r w:rsidR="00715DB0" w:rsidRPr="009855BD">
        <w:rPr>
          <w:szCs w:val="22"/>
        </w:rPr>
        <w:t xml:space="preserve"> the terrorism reinsurance pool</w:t>
      </w:r>
      <w:r w:rsidR="0077494E" w:rsidRPr="009855BD">
        <w:rPr>
          <w:szCs w:val="22"/>
        </w:rPr>
        <w:t xml:space="preserve"> to </w:t>
      </w:r>
      <w:r w:rsidR="00EC6054" w:rsidRPr="009855BD">
        <w:rPr>
          <w:szCs w:val="22"/>
        </w:rPr>
        <w:t>continue</w:t>
      </w:r>
      <w:r w:rsidR="00715DB0" w:rsidRPr="009855BD">
        <w:rPr>
          <w:szCs w:val="22"/>
        </w:rPr>
        <w:t>.</w:t>
      </w:r>
    </w:p>
    <w:p w14:paraId="1A450BD7" w14:textId="789EBAC1" w:rsidR="00BF500A" w:rsidRPr="009855BD" w:rsidRDefault="00BF500A" w:rsidP="009D4521">
      <w:pPr>
        <w:rPr>
          <w:szCs w:val="22"/>
        </w:rPr>
      </w:pPr>
      <w:r w:rsidRPr="009855BD">
        <w:rPr>
          <w:szCs w:val="22"/>
        </w:rPr>
        <w:t>The retrocession program also reduces the likelihood of the terrorism pool reporting an accumulated deficit after a moderate sized claim over $1.5 billion</w:t>
      </w:r>
      <w:r w:rsidR="00E1771C" w:rsidRPr="009855BD">
        <w:rPr>
          <w:szCs w:val="22"/>
        </w:rPr>
        <w:t xml:space="preserve">. Retrocession </w:t>
      </w:r>
      <w:r w:rsidRPr="009855BD">
        <w:rPr>
          <w:szCs w:val="22"/>
        </w:rPr>
        <w:t xml:space="preserve">provides some protection for the </w:t>
      </w:r>
      <w:r w:rsidR="00A17308">
        <w:rPr>
          <w:szCs w:val="22"/>
        </w:rPr>
        <w:t>Commonwealth</w:t>
      </w:r>
      <w:r w:rsidRPr="009855BD">
        <w:rPr>
          <w:szCs w:val="22"/>
        </w:rPr>
        <w:t xml:space="preserve"> guarantee</w:t>
      </w:r>
      <w:r w:rsidR="0064338A" w:rsidRPr="009855BD">
        <w:rPr>
          <w:szCs w:val="22"/>
        </w:rPr>
        <w:t xml:space="preserve">. </w:t>
      </w:r>
    </w:p>
    <w:p w14:paraId="4B43AB0D" w14:textId="6B555EB7" w:rsidR="001A4E3A" w:rsidRDefault="006421C0" w:rsidP="009D4521">
      <w:r>
        <w:t>However</w:t>
      </w:r>
      <w:r w:rsidR="00B36F19">
        <w:t>, absent a</w:t>
      </w:r>
      <w:r w:rsidR="00546A16">
        <w:t xml:space="preserve">rguments for </w:t>
      </w:r>
      <w:r w:rsidR="00651872">
        <w:t>encouraging private market participation,</w:t>
      </w:r>
      <w:r w:rsidR="00DD1AFE">
        <w:t xml:space="preserve"> </w:t>
      </w:r>
      <w:r>
        <w:t xml:space="preserve">the Commonwealth Guarantee </w:t>
      </w:r>
      <w:r w:rsidR="00606EBD">
        <w:t>reduces</w:t>
      </w:r>
      <w:r w:rsidR="00DD1AFE">
        <w:t xml:space="preserve"> the need for retrocession</w:t>
      </w:r>
      <w:r w:rsidR="007C7588">
        <w:t xml:space="preserve"> because it</w:t>
      </w:r>
      <w:r w:rsidR="0028031E">
        <w:t xml:space="preserve"> </w:t>
      </w:r>
      <w:r w:rsidR="00DD1AFE">
        <w:t>ensure</w:t>
      </w:r>
      <w:r w:rsidR="004B5CAF">
        <w:t>s</w:t>
      </w:r>
      <w:r w:rsidR="00DD1AFE">
        <w:t xml:space="preserve"> the ARPC can meet its liabilities</w:t>
      </w:r>
      <w:r w:rsidR="009F0B6D">
        <w:t xml:space="preserve">. Further, </w:t>
      </w:r>
      <w:r w:rsidR="002D2871">
        <w:t xml:space="preserve">the annual fee </w:t>
      </w:r>
      <w:r w:rsidR="00C37D34">
        <w:t xml:space="preserve">that is currently used to pay for retrocession, could be used instead to further build terrorism pool </w:t>
      </w:r>
      <w:r w:rsidR="004B6700">
        <w:t>assets</w:t>
      </w:r>
      <w:r w:rsidR="00C37D34">
        <w:t xml:space="preserve">, thus providing </w:t>
      </w:r>
      <w:r w:rsidR="00B20174">
        <w:t xml:space="preserve">funds that could be used to pay </w:t>
      </w:r>
      <w:r w:rsidR="0034102B">
        <w:t xml:space="preserve">any claims except in </w:t>
      </w:r>
      <w:r w:rsidR="001A4E3A">
        <w:t>the case of a severe event</w:t>
      </w:r>
      <w:r w:rsidR="00DD1AFE">
        <w:t>.</w:t>
      </w:r>
      <w:r w:rsidR="005025AD">
        <w:t xml:space="preserve"> </w:t>
      </w:r>
    </w:p>
    <w:p w14:paraId="1A645AF2" w14:textId="3E6B8FEB" w:rsidR="006876DC" w:rsidRDefault="00C05428" w:rsidP="009D4521">
      <w:r>
        <w:t xml:space="preserve">Further, </w:t>
      </w:r>
      <w:r w:rsidR="005A6633">
        <w:t xml:space="preserve">the </w:t>
      </w:r>
      <w:r w:rsidR="0068196E">
        <w:t xml:space="preserve">establishment of the </w:t>
      </w:r>
      <w:r w:rsidR="005A6633">
        <w:t xml:space="preserve">cyclone pool </w:t>
      </w:r>
      <w:r w:rsidR="008C256B">
        <w:t>increases the reserves available for the ARPC to meet claims and expenses</w:t>
      </w:r>
      <w:r w:rsidR="008C256B" w:rsidDel="00324761">
        <w:t xml:space="preserve"> </w:t>
      </w:r>
      <w:r w:rsidR="0068196E">
        <w:t>in the event that the assets of the terrorism pool are exhausted</w:t>
      </w:r>
      <w:r w:rsidR="00B02165">
        <w:t>,</w:t>
      </w:r>
      <w:r w:rsidR="008C256B" w:rsidDel="00324761">
        <w:t xml:space="preserve"> </w:t>
      </w:r>
      <w:r w:rsidR="008C256B">
        <w:t>and</w:t>
      </w:r>
      <w:r w:rsidR="00B02165">
        <w:t xml:space="preserve"> therefore further</w:t>
      </w:r>
      <w:r w:rsidR="008C256B">
        <w:t xml:space="preserve"> reduces the</w:t>
      </w:r>
      <w:r w:rsidR="008C256B" w:rsidRPr="00932A0E">
        <w:t xml:space="preserve"> </w:t>
      </w:r>
      <w:r w:rsidR="008C256B">
        <w:t>likelihood</w:t>
      </w:r>
      <w:r w:rsidR="008C256B" w:rsidRPr="00932A0E">
        <w:t xml:space="preserve"> of </w:t>
      </w:r>
      <w:r w:rsidR="008C256B">
        <w:t xml:space="preserve">the ARPC </w:t>
      </w:r>
      <w:r w:rsidR="00B02165">
        <w:t>call</w:t>
      </w:r>
      <w:r w:rsidR="008C256B" w:rsidRPr="00932A0E">
        <w:t xml:space="preserve">ing on the </w:t>
      </w:r>
      <w:r w:rsidR="004E7F9C">
        <w:t>Commonwealth</w:t>
      </w:r>
      <w:r w:rsidR="008C256B" w:rsidRPr="00932A0E">
        <w:t xml:space="preserve"> guarantee.</w:t>
      </w:r>
      <w:r w:rsidR="00AB4AB3">
        <w:t xml:space="preserve"> </w:t>
      </w:r>
    </w:p>
    <w:p w14:paraId="722FD15A" w14:textId="7F9878FA" w:rsidR="00BA4C3C" w:rsidRDefault="00F43274" w:rsidP="009D4521">
      <w:r>
        <w:t>I</w:t>
      </w:r>
      <w:r w:rsidR="00EE0251">
        <w:t xml:space="preserve">f the terrorism pool </w:t>
      </w:r>
      <w:r w:rsidR="00E928D3">
        <w:t>becomes</w:t>
      </w:r>
      <w:r w:rsidR="00EE0251">
        <w:t xml:space="preserve"> a permanent fixture,</w:t>
      </w:r>
      <w:r w:rsidR="00EE0251" w:rsidDel="00D91A8D">
        <w:t xml:space="preserve"> </w:t>
      </w:r>
      <w:r w:rsidR="00EE0251">
        <w:t>r</w:t>
      </w:r>
      <w:r w:rsidR="009F1273">
        <w:t xml:space="preserve">etrocession </w:t>
      </w:r>
      <w:r w:rsidR="00D91A8D">
        <w:t xml:space="preserve">may </w:t>
      </w:r>
      <w:r w:rsidR="009F1273">
        <w:t xml:space="preserve">serve </w:t>
      </w:r>
      <w:r w:rsidR="00976DCA">
        <w:t>a</w:t>
      </w:r>
      <w:r w:rsidR="009F1273">
        <w:t xml:space="preserve"> limited purpose </w:t>
      </w:r>
      <w:r>
        <w:t>in</w:t>
      </w:r>
      <w:r w:rsidR="00976DCA">
        <w:t xml:space="preserve"> </w:t>
      </w:r>
      <w:r w:rsidR="005E64B7">
        <w:t xml:space="preserve">seeking </w:t>
      </w:r>
      <w:r w:rsidR="00F5191C">
        <w:t xml:space="preserve">to rebuild a market </w:t>
      </w:r>
      <w:r w:rsidR="000F7A8B">
        <w:t xml:space="preserve">for which </w:t>
      </w:r>
      <w:r w:rsidR="00F5191C">
        <w:t xml:space="preserve">the ARPC </w:t>
      </w:r>
      <w:r w:rsidR="00C95AB1">
        <w:t>is</w:t>
      </w:r>
      <w:r w:rsidR="00994338">
        <w:t xml:space="preserve"> permanently</w:t>
      </w:r>
      <w:r w:rsidR="005E64B7">
        <w:t xml:space="preserve"> </w:t>
      </w:r>
      <w:r w:rsidR="00A02850">
        <w:t>providing reinsurance.</w:t>
      </w:r>
      <w:r w:rsidR="00F5191C">
        <w:t xml:space="preserve"> </w:t>
      </w:r>
      <w:r w:rsidR="004B6700">
        <w:t xml:space="preserve"> </w:t>
      </w:r>
    </w:p>
    <w:p w14:paraId="13934C92" w14:textId="02F062DD" w:rsidR="00B97501" w:rsidRDefault="007472D2" w:rsidP="009D4521">
      <w:r>
        <w:t>In previous reviews</w:t>
      </w:r>
      <w:r w:rsidR="001D4B0D">
        <w:t>,</w:t>
      </w:r>
      <w:r>
        <w:t xml:space="preserve"> t</w:t>
      </w:r>
      <w:r w:rsidR="003E2B29">
        <w:t>he private market ha</w:t>
      </w:r>
      <w:r>
        <w:t>s consistently</w:t>
      </w:r>
      <w:r w:rsidR="003E2B29">
        <w:t xml:space="preserve"> stated </w:t>
      </w:r>
      <w:r>
        <w:t>its</w:t>
      </w:r>
      <w:r w:rsidR="003E2B29">
        <w:t xml:space="preserve"> preference for the </w:t>
      </w:r>
      <w:r w:rsidR="001C4D86">
        <w:t xml:space="preserve">terrorism </w:t>
      </w:r>
      <w:r w:rsidR="003E2B29">
        <w:t>pool to continue</w:t>
      </w:r>
      <w:r>
        <w:t>.</w:t>
      </w:r>
      <w:r w:rsidR="003E2B29">
        <w:t xml:space="preserve"> </w:t>
      </w:r>
      <w:r w:rsidR="000D567F">
        <w:t>The purchase of</w:t>
      </w:r>
      <w:r w:rsidR="003E2B29">
        <w:t xml:space="preserve"> retrocession does not </w:t>
      </w:r>
      <w:r w:rsidR="000D567F">
        <w:t xml:space="preserve">appear </w:t>
      </w:r>
      <w:r w:rsidR="003E2B29">
        <w:t xml:space="preserve">to have developed </w:t>
      </w:r>
      <w:r w:rsidR="000D567F">
        <w:t xml:space="preserve">the market </w:t>
      </w:r>
      <w:r w:rsidR="009F1B0D">
        <w:t xml:space="preserve">sufficiently </w:t>
      </w:r>
      <w:r w:rsidR="0037721D">
        <w:t>to</w:t>
      </w:r>
      <w:r w:rsidR="003E2B29">
        <w:t xml:space="preserve"> replace the </w:t>
      </w:r>
      <w:r w:rsidR="00A20646">
        <w:t xml:space="preserve">terrorism pool. </w:t>
      </w:r>
      <w:r w:rsidR="003C2E2F">
        <w:t xml:space="preserve">Given the ongoing cost of purchasing retrocession and the </w:t>
      </w:r>
      <w:r w:rsidR="00F95EF0">
        <w:t xml:space="preserve">implied permanence of the terrorism pool, it should be considered whether the ARPC should continue </w:t>
      </w:r>
      <w:r w:rsidR="004B5CAF">
        <w:t>to purchase terrorism</w:t>
      </w:r>
      <w:r w:rsidR="005D6CD8">
        <w:t xml:space="preserve"> retrocession.</w:t>
      </w:r>
    </w:p>
    <w:p w14:paraId="3BB02590" w14:textId="77777777" w:rsidR="00BD2581" w:rsidRDefault="00BD2581" w:rsidP="001030C3">
      <w:pPr>
        <w:pStyle w:val="BoxHeading"/>
      </w:pPr>
      <w:r>
        <w:t>Questions</w:t>
      </w:r>
    </w:p>
    <w:p w14:paraId="71656526" w14:textId="11A163C6" w:rsidR="00993FD6" w:rsidRPr="00993FD6" w:rsidRDefault="00A330CE" w:rsidP="00BD661D">
      <w:pPr>
        <w:shd w:val="clear" w:color="auto" w:fill="E8F0FC" w:themeFill="accent5" w:themeFillTint="33"/>
      </w:pPr>
      <w:r>
        <w:t>9</w:t>
      </w:r>
      <w:r w:rsidR="00BD2581">
        <w:t>.</w:t>
      </w:r>
      <w:r w:rsidR="0096159D" w:rsidRPr="0096159D">
        <w:rPr>
          <w:rFonts w:asciiTheme="minorHAnsi" w:eastAsiaTheme="minorHAnsi" w:hAnsiTheme="minorHAnsi" w:cstheme="minorBidi"/>
          <w:kern w:val="2"/>
          <w:szCs w:val="22"/>
          <w:lang w:eastAsia="en-US"/>
          <w14:ligatures w14:val="standardContextual"/>
        </w:rPr>
        <w:t xml:space="preserve"> </w:t>
      </w:r>
      <w:r w:rsidR="00BD661D">
        <w:t>Should the terrorism pool continue to exist</w:t>
      </w:r>
      <w:r w:rsidR="005E4528">
        <w:t xml:space="preserve"> and </w:t>
      </w:r>
      <w:r w:rsidR="00FA7155">
        <w:t>if so,</w:t>
      </w:r>
      <w:r w:rsidR="005E4528">
        <w:t xml:space="preserve"> should it be considered a permanent feature of the Australian insurance market</w:t>
      </w:r>
      <w:r w:rsidR="00BD661D">
        <w:t xml:space="preserve">? </w:t>
      </w:r>
    </w:p>
    <w:p w14:paraId="485F1945" w14:textId="2AFE968D" w:rsidR="00F15560" w:rsidRDefault="00A330CE" w:rsidP="009D4521">
      <w:pPr>
        <w:shd w:val="clear" w:color="auto" w:fill="E8F0FC" w:themeFill="accent5" w:themeFillTint="33"/>
      </w:pPr>
      <w:r>
        <w:t>10</w:t>
      </w:r>
      <w:r w:rsidR="009D4521">
        <w:t xml:space="preserve">. </w:t>
      </w:r>
      <w:r w:rsidR="0004475C">
        <w:t>Is there still a ne</w:t>
      </w:r>
      <w:r w:rsidR="00852F8B">
        <w:t>ed to encourage greater involvement of the commercial sector in providing terrorism risk cover?</w:t>
      </w:r>
    </w:p>
    <w:p w14:paraId="6827DF7E" w14:textId="601B72D3" w:rsidR="00BD2581" w:rsidRPr="00BD2581" w:rsidRDefault="00F15560" w:rsidP="009D4521">
      <w:pPr>
        <w:shd w:val="clear" w:color="auto" w:fill="E8F0FC" w:themeFill="accent5" w:themeFillTint="33"/>
      </w:pPr>
      <w:r>
        <w:t>1</w:t>
      </w:r>
      <w:r w:rsidR="00A330CE">
        <w:t>1</w:t>
      </w:r>
      <w:r>
        <w:t>.</w:t>
      </w:r>
      <w:r w:rsidR="00852F8B">
        <w:t xml:space="preserve"> </w:t>
      </w:r>
      <w:r w:rsidR="00F9073C">
        <w:t>S</w:t>
      </w:r>
      <w:r w:rsidR="009D4521" w:rsidRPr="009D4521">
        <w:t>hould the ARPC continue to purchase retrocession</w:t>
      </w:r>
      <w:r w:rsidR="00167AAD">
        <w:t xml:space="preserve"> with a view to encouraging the growth of the private market</w:t>
      </w:r>
      <w:r w:rsidR="009D4521" w:rsidRPr="009D4521">
        <w:t>?</w:t>
      </w:r>
      <w:r w:rsidR="005D62DB">
        <w:t xml:space="preserve"> </w:t>
      </w:r>
      <w:r w:rsidR="00C6641C">
        <w:t xml:space="preserve">Does the existence of the cyclone pool and its diversification benefit </w:t>
      </w:r>
      <w:r w:rsidR="00606C23">
        <w:t xml:space="preserve">impact the need for the retrocession program? </w:t>
      </w:r>
      <w:r w:rsidR="005D62DB">
        <w:t>Are there any other reasons for the ARPC to continue purchasing retrocession?</w:t>
      </w:r>
    </w:p>
    <w:p w14:paraId="10DB1207" w14:textId="0ADD239D" w:rsidR="001A6DEC" w:rsidRDefault="001A6DEC" w:rsidP="001A6DEC">
      <w:pPr>
        <w:pStyle w:val="Heading1"/>
      </w:pPr>
      <w:bookmarkStart w:id="89" w:name="_Toc210055999"/>
      <w:r>
        <w:t>ARPC operations</w:t>
      </w:r>
      <w:bookmarkEnd w:id="89"/>
    </w:p>
    <w:p w14:paraId="36BE4200" w14:textId="49E4D5B9" w:rsidR="00C16C33" w:rsidRDefault="00BE34AD" w:rsidP="00E4122A">
      <w:pPr>
        <w:pStyle w:val="Heading2"/>
      </w:pPr>
      <w:bookmarkStart w:id="90" w:name="_Toc210056000"/>
      <w:r>
        <w:t>Cyclone pool c</w:t>
      </w:r>
      <w:r w:rsidR="00C16C33">
        <w:t>laims process</w:t>
      </w:r>
      <w:bookmarkEnd w:id="90"/>
    </w:p>
    <w:p w14:paraId="3BF6BAE3" w14:textId="1FE3E42D" w:rsidR="00C16C33" w:rsidRDefault="00C16C33" w:rsidP="00C16C33">
      <w:r>
        <w:t xml:space="preserve">The ARPC cyclone claims process </w:t>
      </w:r>
      <w:r w:rsidR="00776762">
        <w:t xml:space="preserve">has </w:t>
      </w:r>
      <w:r w:rsidR="00FE37CF">
        <w:t xml:space="preserve">seven </w:t>
      </w:r>
      <w:r>
        <w:t>steps: cyclone declaration</w:t>
      </w:r>
      <w:r w:rsidR="00E124C0">
        <w:t>,</w:t>
      </w:r>
      <w:r>
        <w:t xml:space="preserve"> claims submission</w:t>
      </w:r>
      <w:r w:rsidR="00E124C0">
        <w:t>,</w:t>
      </w:r>
      <w:r>
        <w:t xml:space="preserve"> claims data validation</w:t>
      </w:r>
      <w:r w:rsidR="00E124C0">
        <w:t>,</w:t>
      </w:r>
      <w:r>
        <w:t xml:space="preserve"> claims processing</w:t>
      </w:r>
      <w:r w:rsidR="00E124C0">
        <w:t>,</w:t>
      </w:r>
      <w:r>
        <w:t xml:space="preserve"> claims approval</w:t>
      </w:r>
      <w:r w:rsidR="00E124C0">
        <w:t>,</w:t>
      </w:r>
      <w:r w:rsidDel="00B679CF">
        <w:t xml:space="preserve"> </w:t>
      </w:r>
      <w:r>
        <w:t>claims payment</w:t>
      </w:r>
      <w:r w:rsidR="00B679CF">
        <w:t xml:space="preserve"> and claim files audits</w:t>
      </w:r>
      <w:r>
        <w:t>.</w:t>
      </w:r>
      <w:r w:rsidR="002855E3">
        <w:t xml:space="preserve"> </w:t>
      </w:r>
    </w:p>
    <w:p w14:paraId="036C7BD9" w14:textId="0303AEFC" w:rsidR="00C16C33" w:rsidRDefault="00C16C33" w:rsidP="00C16C33">
      <w:r>
        <w:t>Following an event, insurers submit policy level claims reports, unallocated expenses</w:t>
      </w:r>
      <w:r w:rsidR="00307E3B">
        <w:t xml:space="preserve"> (which are eligible claims handling expenses)</w:t>
      </w:r>
      <w:r>
        <w:t xml:space="preserve"> reports and summary event reports into the ARPC’s </w:t>
      </w:r>
      <w:r w:rsidR="00B2710E">
        <w:t>reinsurance</w:t>
      </w:r>
      <w:r w:rsidR="00616756">
        <w:t xml:space="preserve"> </w:t>
      </w:r>
      <w:r>
        <w:t>system</w:t>
      </w:r>
      <w:r w:rsidR="008E593E">
        <w:t>, known as Protecting Australians for Catastrophic Events (PACE)</w:t>
      </w:r>
      <w:r>
        <w:t xml:space="preserve">. PACE then performs a data integrity validation process to ensure mandatory data is provided and in the correct format. </w:t>
      </w:r>
      <w:r w:rsidR="00B2710E">
        <w:t xml:space="preserve">If validations are not passed, the file is not processed. </w:t>
      </w:r>
    </w:p>
    <w:p w14:paraId="32BBE0FC" w14:textId="4BDA8127" w:rsidR="00EE6AA1" w:rsidRDefault="00C16C33" w:rsidP="00EE6AA1">
      <w:r>
        <w:t xml:space="preserve">Claims processing then takes place, with PACE checking </w:t>
      </w:r>
      <w:r w:rsidR="00B2710E">
        <w:t xml:space="preserve">various fields such as </w:t>
      </w:r>
      <w:r>
        <w:t>postcodes, sums insured and claims data against records maintained in the system. An ARPC claims officer completes off system checks and resolves any errors generated in the automated processing. A policy level claims report checklist and claim approval template is then prepared for claims approval. Claims approval is then undertaken by the Executive Manager of Claims</w:t>
      </w:r>
      <w:r w:rsidR="005969B4">
        <w:t xml:space="preserve"> </w:t>
      </w:r>
      <w:r w:rsidR="00D30C89">
        <w:t>and</w:t>
      </w:r>
      <w:r w:rsidR="005969B4">
        <w:t xml:space="preserve"> the</w:t>
      </w:r>
      <w:r>
        <w:t xml:space="preserve"> Chief Claims Officer </w:t>
      </w:r>
      <w:r w:rsidR="0029662B">
        <w:t>(CCO)</w:t>
      </w:r>
      <w:r w:rsidR="008E054F">
        <w:t xml:space="preserve">. </w:t>
      </w:r>
      <w:r w:rsidR="00EE6AA1">
        <w:t>Once the CCO has approved payment of the claim in PACE, the payment is then released to insurers.</w:t>
      </w:r>
    </w:p>
    <w:p w14:paraId="477FA245" w14:textId="08E2292F" w:rsidR="00346CCA" w:rsidRPr="009855BD" w:rsidRDefault="0090226C" w:rsidP="00C16C33">
      <w:pPr>
        <w:rPr>
          <w:szCs w:val="22"/>
        </w:rPr>
      </w:pPr>
      <w:r w:rsidRPr="009855BD">
        <w:rPr>
          <w:szCs w:val="22"/>
        </w:rPr>
        <w:t xml:space="preserve">The </w:t>
      </w:r>
      <w:r w:rsidR="00C16C33" w:rsidRPr="009855BD">
        <w:rPr>
          <w:szCs w:val="22"/>
        </w:rPr>
        <w:t>ARPC has a process in place to recover monies from insurers for any over payment, or to rectify any underpayment.</w:t>
      </w:r>
    </w:p>
    <w:p w14:paraId="791B3B31" w14:textId="21B11F82" w:rsidR="001F7103" w:rsidRDefault="001F7103" w:rsidP="00E4122A">
      <w:pPr>
        <w:pStyle w:val="Heading2"/>
      </w:pPr>
      <w:bookmarkStart w:id="91" w:name="_Toc210056001"/>
      <w:r>
        <w:t>Guarantee and capital holding fees</w:t>
      </w:r>
      <w:bookmarkEnd w:id="91"/>
    </w:p>
    <w:p w14:paraId="24BACC40" w14:textId="64CEEA96" w:rsidR="001F7103" w:rsidRPr="009855BD" w:rsidRDefault="004A5488" w:rsidP="001F7103">
      <w:pPr>
        <w:rPr>
          <w:szCs w:val="22"/>
        </w:rPr>
      </w:pPr>
      <w:r w:rsidRPr="009855BD">
        <w:rPr>
          <w:szCs w:val="22"/>
        </w:rPr>
        <w:t>O</w:t>
      </w:r>
      <w:r w:rsidR="00DD13A0" w:rsidRPr="009855BD">
        <w:rPr>
          <w:szCs w:val="22"/>
        </w:rPr>
        <w:t>n 3 June 2025</w:t>
      </w:r>
      <w:r w:rsidRPr="009855BD">
        <w:rPr>
          <w:szCs w:val="22"/>
        </w:rPr>
        <w:t xml:space="preserve">, </w:t>
      </w:r>
      <w:r w:rsidR="006D2BC6" w:rsidRPr="009855BD">
        <w:rPr>
          <w:szCs w:val="22"/>
        </w:rPr>
        <w:t xml:space="preserve">the Hon Dr Daniel Mulino MP, Assistant Treasurer and Minister for Financial Services, </w:t>
      </w:r>
      <w:r w:rsidRPr="009855BD">
        <w:rPr>
          <w:szCs w:val="22"/>
        </w:rPr>
        <w:t xml:space="preserve">directed </w:t>
      </w:r>
      <w:r w:rsidR="006D2BC6" w:rsidRPr="009855BD">
        <w:rPr>
          <w:szCs w:val="22"/>
        </w:rPr>
        <w:t>t</w:t>
      </w:r>
      <w:r w:rsidR="001F7103" w:rsidRPr="009855BD">
        <w:rPr>
          <w:szCs w:val="22"/>
        </w:rPr>
        <w:t xml:space="preserve">he ARPC to pay the </w:t>
      </w:r>
      <w:r w:rsidR="001F7103" w:rsidRPr="009855BD" w:rsidDel="00EE40A1">
        <w:rPr>
          <w:szCs w:val="22"/>
        </w:rPr>
        <w:t xml:space="preserve">Commonwealth </w:t>
      </w:r>
      <w:r w:rsidR="001F7103" w:rsidRPr="009855BD">
        <w:rPr>
          <w:szCs w:val="22"/>
        </w:rPr>
        <w:t>a</w:t>
      </w:r>
      <w:r w:rsidR="00864892" w:rsidRPr="009855BD">
        <w:rPr>
          <w:szCs w:val="22"/>
        </w:rPr>
        <w:t>n annual</w:t>
      </w:r>
      <w:r w:rsidR="001F7103" w:rsidRPr="009855BD">
        <w:rPr>
          <w:szCs w:val="22"/>
        </w:rPr>
        <w:t xml:space="preserve"> $55 million guarantee fee and a $35 million capital holding fee.</w:t>
      </w:r>
      <w:r w:rsidR="006D2BC6" w:rsidRPr="009855BD">
        <w:rPr>
          <w:rStyle w:val="FootnoteReference"/>
          <w:sz w:val="22"/>
          <w:szCs w:val="22"/>
        </w:rPr>
        <w:footnoteReference w:id="47"/>
      </w:r>
      <w:r w:rsidR="001F7103" w:rsidRPr="009855BD">
        <w:rPr>
          <w:szCs w:val="22"/>
        </w:rPr>
        <w:t xml:space="preserve"> These </w:t>
      </w:r>
      <w:r w:rsidR="00A51941">
        <w:rPr>
          <w:szCs w:val="22"/>
        </w:rPr>
        <w:t xml:space="preserve">annual </w:t>
      </w:r>
      <w:r w:rsidR="001F7103" w:rsidRPr="009855BD">
        <w:rPr>
          <w:szCs w:val="22"/>
        </w:rPr>
        <w:t xml:space="preserve">fees </w:t>
      </w:r>
      <w:r w:rsidR="00F2241F" w:rsidRPr="009855BD">
        <w:rPr>
          <w:szCs w:val="22"/>
        </w:rPr>
        <w:t xml:space="preserve">compensate </w:t>
      </w:r>
      <w:r w:rsidR="001F7103" w:rsidRPr="009855BD">
        <w:rPr>
          <w:szCs w:val="22"/>
        </w:rPr>
        <w:t xml:space="preserve">the </w:t>
      </w:r>
      <w:r w:rsidR="001F7103" w:rsidRPr="009855BD" w:rsidDel="00EE40A1">
        <w:rPr>
          <w:szCs w:val="22"/>
        </w:rPr>
        <w:t xml:space="preserve">Commonwealth </w:t>
      </w:r>
      <w:r w:rsidR="001F7103" w:rsidRPr="009855BD">
        <w:rPr>
          <w:szCs w:val="22"/>
        </w:rPr>
        <w:t xml:space="preserve">for </w:t>
      </w:r>
      <w:r w:rsidR="008C5B5F" w:rsidRPr="009855BD">
        <w:rPr>
          <w:szCs w:val="22"/>
        </w:rPr>
        <w:t xml:space="preserve">the </w:t>
      </w:r>
      <w:r w:rsidR="000F503B" w:rsidRPr="009855BD">
        <w:rPr>
          <w:szCs w:val="22"/>
        </w:rPr>
        <w:t xml:space="preserve">terrorism </w:t>
      </w:r>
      <w:r w:rsidR="008C5B5F" w:rsidRPr="009855BD">
        <w:rPr>
          <w:szCs w:val="22"/>
        </w:rPr>
        <w:t xml:space="preserve">guarantee and </w:t>
      </w:r>
      <w:r w:rsidR="001F7103" w:rsidRPr="009855BD">
        <w:rPr>
          <w:szCs w:val="22"/>
        </w:rPr>
        <w:t xml:space="preserve">allow the ARPC to retain capital to fund potential claims from the terrorism pool. Consideration should be given as to whether these </w:t>
      </w:r>
      <w:r w:rsidR="00250C3C" w:rsidRPr="009855BD">
        <w:rPr>
          <w:szCs w:val="22"/>
        </w:rPr>
        <w:t>arrangements</w:t>
      </w:r>
      <w:r w:rsidR="001F7103" w:rsidRPr="009855BD">
        <w:rPr>
          <w:szCs w:val="22"/>
        </w:rPr>
        <w:t xml:space="preserve"> continue to be appropriate.</w:t>
      </w:r>
    </w:p>
    <w:p w14:paraId="52797513" w14:textId="4DE66DAE" w:rsidR="00024A86" w:rsidRPr="009855BD" w:rsidRDefault="0042496F" w:rsidP="001F7103">
      <w:pPr>
        <w:rPr>
          <w:szCs w:val="22"/>
        </w:rPr>
      </w:pPr>
      <w:r w:rsidRPr="009855BD">
        <w:rPr>
          <w:szCs w:val="22"/>
        </w:rPr>
        <w:t xml:space="preserve">The </w:t>
      </w:r>
      <w:r w:rsidR="009957C5" w:rsidRPr="009855BD">
        <w:rPr>
          <w:szCs w:val="22"/>
        </w:rPr>
        <w:t xml:space="preserve">2015 </w:t>
      </w:r>
      <w:r w:rsidR="00194DC6">
        <w:rPr>
          <w:szCs w:val="22"/>
        </w:rPr>
        <w:t>t</w:t>
      </w:r>
      <w:r w:rsidR="00CB50E2">
        <w:rPr>
          <w:szCs w:val="22"/>
        </w:rPr>
        <w:t>riennial</w:t>
      </w:r>
      <w:r w:rsidR="009957C5" w:rsidRPr="009855BD">
        <w:rPr>
          <w:szCs w:val="22"/>
        </w:rPr>
        <w:t xml:space="preserve"> </w:t>
      </w:r>
      <w:r w:rsidR="00194DC6">
        <w:rPr>
          <w:szCs w:val="22"/>
        </w:rPr>
        <w:t>r</w:t>
      </w:r>
      <w:r w:rsidR="009957C5" w:rsidRPr="009855BD">
        <w:rPr>
          <w:szCs w:val="22"/>
        </w:rPr>
        <w:t xml:space="preserve">eview </w:t>
      </w:r>
      <w:r w:rsidRPr="009855BD">
        <w:rPr>
          <w:szCs w:val="22"/>
        </w:rPr>
        <w:t xml:space="preserve">considered whether and to what extent </w:t>
      </w:r>
      <w:r w:rsidR="006E18C6" w:rsidRPr="009855BD">
        <w:rPr>
          <w:szCs w:val="22"/>
        </w:rPr>
        <w:t xml:space="preserve">the </w:t>
      </w:r>
      <w:r w:rsidR="00EA06ED">
        <w:rPr>
          <w:szCs w:val="22"/>
        </w:rPr>
        <w:t>C</w:t>
      </w:r>
      <w:r w:rsidR="00667C46">
        <w:rPr>
          <w:szCs w:val="22"/>
        </w:rPr>
        <w:t>ommonwealth</w:t>
      </w:r>
      <w:r w:rsidR="006E18C6" w:rsidRPr="009855BD">
        <w:rPr>
          <w:szCs w:val="22"/>
        </w:rPr>
        <w:t xml:space="preserve"> should be compensated for the financial benefits it provides</w:t>
      </w:r>
      <w:r w:rsidR="0030666F" w:rsidRPr="009855BD">
        <w:rPr>
          <w:szCs w:val="22"/>
        </w:rPr>
        <w:t xml:space="preserve"> to the ARPC. </w:t>
      </w:r>
      <w:r w:rsidR="00A4159D" w:rsidRPr="009855BD">
        <w:rPr>
          <w:szCs w:val="22"/>
        </w:rPr>
        <w:t xml:space="preserve">At the time of the </w:t>
      </w:r>
      <w:r w:rsidR="00A63163" w:rsidRPr="009855BD">
        <w:rPr>
          <w:szCs w:val="22"/>
        </w:rPr>
        <w:t>2015</w:t>
      </w:r>
      <w:r w:rsidR="00A4159D" w:rsidRPr="009855BD">
        <w:rPr>
          <w:szCs w:val="22"/>
        </w:rPr>
        <w:t xml:space="preserve"> </w:t>
      </w:r>
      <w:r w:rsidR="00FE3204">
        <w:rPr>
          <w:szCs w:val="22"/>
        </w:rPr>
        <w:t xml:space="preserve">triennial </w:t>
      </w:r>
      <w:r w:rsidR="00A4159D" w:rsidRPr="009855BD">
        <w:rPr>
          <w:szCs w:val="22"/>
        </w:rPr>
        <w:t>review</w:t>
      </w:r>
      <w:r w:rsidR="00F97457" w:rsidRPr="009855BD">
        <w:rPr>
          <w:szCs w:val="22"/>
        </w:rPr>
        <w:t>,</w:t>
      </w:r>
      <w:r w:rsidR="00A4159D" w:rsidRPr="009855BD">
        <w:rPr>
          <w:szCs w:val="22"/>
        </w:rPr>
        <w:t xml:space="preserve"> </w:t>
      </w:r>
      <w:r w:rsidR="00D56454" w:rsidRPr="009855BD">
        <w:rPr>
          <w:szCs w:val="22"/>
        </w:rPr>
        <w:t>the ARPC had been paying</w:t>
      </w:r>
      <w:r w:rsidR="00A4159D" w:rsidRPr="009855BD">
        <w:rPr>
          <w:szCs w:val="22"/>
        </w:rPr>
        <w:t xml:space="preserve"> </w:t>
      </w:r>
      <w:r w:rsidR="00E67F3C" w:rsidRPr="009855BD">
        <w:rPr>
          <w:szCs w:val="22"/>
        </w:rPr>
        <w:t xml:space="preserve">a $55 million </w:t>
      </w:r>
      <w:r w:rsidR="00895EAE" w:rsidRPr="009855BD">
        <w:rPr>
          <w:szCs w:val="22"/>
        </w:rPr>
        <w:t xml:space="preserve">annual </w:t>
      </w:r>
      <w:r w:rsidR="00C32009" w:rsidRPr="009855BD">
        <w:rPr>
          <w:szCs w:val="22"/>
        </w:rPr>
        <w:t xml:space="preserve">fee for </w:t>
      </w:r>
      <w:r w:rsidR="00711569" w:rsidRPr="009855BD">
        <w:rPr>
          <w:szCs w:val="22"/>
        </w:rPr>
        <w:t xml:space="preserve">the guarantee and $57.5 million </w:t>
      </w:r>
      <w:r w:rsidR="000B0677" w:rsidRPr="009855BD">
        <w:rPr>
          <w:szCs w:val="22"/>
        </w:rPr>
        <w:t xml:space="preserve">dividend </w:t>
      </w:r>
      <w:r w:rsidR="00A71083" w:rsidRPr="009855BD">
        <w:rPr>
          <w:szCs w:val="22"/>
        </w:rPr>
        <w:t xml:space="preserve">as retrospective compensation </w:t>
      </w:r>
      <w:r w:rsidR="002474B6" w:rsidRPr="009855BD">
        <w:rPr>
          <w:szCs w:val="22"/>
        </w:rPr>
        <w:t>for the years prior to the 2012</w:t>
      </w:r>
      <w:r w:rsidR="00821080" w:rsidRPr="009855BD">
        <w:rPr>
          <w:szCs w:val="22"/>
        </w:rPr>
        <w:t>–</w:t>
      </w:r>
      <w:r w:rsidR="002474B6" w:rsidRPr="009855BD">
        <w:rPr>
          <w:szCs w:val="22"/>
        </w:rPr>
        <w:t xml:space="preserve">13 financial year </w:t>
      </w:r>
      <w:r w:rsidR="00024A86" w:rsidRPr="009855BD">
        <w:rPr>
          <w:szCs w:val="22"/>
        </w:rPr>
        <w:t xml:space="preserve">when </w:t>
      </w:r>
      <w:r w:rsidR="00824125" w:rsidRPr="009855BD">
        <w:rPr>
          <w:szCs w:val="22"/>
        </w:rPr>
        <w:t xml:space="preserve">the ARPC was </w:t>
      </w:r>
      <w:r w:rsidR="00024A86" w:rsidRPr="009855BD">
        <w:rPr>
          <w:szCs w:val="22"/>
        </w:rPr>
        <w:t xml:space="preserve">not </w:t>
      </w:r>
      <w:r w:rsidR="00824125" w:rsidRPr="009855BD">
        <w:rPr>
          <w:szCs w:val="22"/>
        </w:rPr>
        <w:t>required to</w:t>
      </w:r>
      <w:r w:rsidR="00064784" w:rsidRPr="009855BD">
        <w:rPr>
          <w:szCs w:val="22"/>
        </w:rPr>
        <w:t xml:space="preserve"> </w:t>
      </w:r>
      <w:r w:rsidR="00E449C5" w:rsidRPr="009855BD">
        <w:rPr>
          <w:szCs w:val="22"/>
        </w:rPr>
        <w:t xml:space="preserve">compensate the </w:t>
      </w:r>
      <w:r w:rsidR="00D17913">
        <w:rPr>
          <w:szCs w:val="22"/>
        </w:rPr>
        <w:t>Commonwealth</w:t>
      </w:r>
      <w:r w:rsidR="00E449C5" w:rsidRPr="009855BD">
        <w:rPr>
          <w:szCs w:val="22"/>
        </w:rPr>
        <w:t xml:space="preserve"> for the guarantee</w:t>
      </w:r>
      <w:r w:rsidR="00024A86" w:rsidRPr="009855BD">
        <w:rPr>
          <w:szCs w:val="22"/>
        </w:rPr>
        <w:t>.</w:t>
      </w:r>
      <w:r w:rsidR="007B4DCF" w:rsidRPr="009855BD">
        <w:rPr>
          <w:rStyle w:val="FootnoteReference"/>
          <w:sz w:val="22"/>
          <w:szCs w:val="22"/>
        </w:rPr>
        <w:t xml:space="preserve"> </w:t>
      </w:r>
      <w:r w:rsidR="00466077" w:rsidRPr="009855BD">
        <w:rPr>
          <w:rStyle w:val="FootnoteReference"/>
          <w:sz w:val="22"/>
          <w:szCs w:val="22"/>
        </w:rPr>
        <w:footnoteReference w:id="48"/>
      </w:r>
      <w:r w:rsidR="007B4DCF" w:rsidRPr="009855BD">
        <w:rPr>
          <w:szCs w:val="22"/>
        </w:rPr>
        <w:t xml:space="preserve"> </w:t>
      </w:r>
      <w:r w:rsidR="00CA251D" w:rsidRPr="009855BD">
        <w:rPr>
          <w:szCs w:val="22"/>
        </w:rPr>
        <w:t>The dividend was initially set to cease after 2017</w:t>
      </w:r>
      <w:r w:rsidR="00821080" w:rsidRPr="009855BD">
        <w:rPr>
          <w:szCs w:val="22"/>
        </w:rPr>
        <w:t>–</w:t>
      </w:r>
      <w:r w:rsidR="003D0F3A" w:rsidRPr="009855BD">
        <w:rPr>
          <w:szCs w:val="22"/>
        </w:rPr>
        <w:t>18.</w:t>
      </w:r>
      <w:r w:rsidR="00A63163" w:rsidRPr="009855BD">
        <w:rPr>
          <w:rStyle w:val="FootnoteReference"/>
          <w:sz w:val="22"/>
          <w:szCs w:val="22"/>
        </w:rPr>
        <w:footnoteReference w:id="49"/>
      </w:r>
      <w:r w:rsidR="003D0F3A" w:rsidRPr="009855BD">
        <w:rPr>
          <w:szCs w:val="22"/>
        </w:rPr>
        <w:t xml:space="preserve"> </w:t>
      </w:r>
    </w:p>
    <w:p w14:paraId="01578033" w14:textId="57598534" w:rsidR="008406EC" w:rsidRPr="009855BD" w:rsidRDefault="00E72E08" w:rsidP="001F7103">
      <w:pPr>
        <w:rPr>
          <w:szCs w:val="22"/>
        </w:rPr>
      </w:pPr>
      <w:r w:rsidRPr="009855BD">
        <w:rPr>
          <w:szCs w:val="22"/>
        </w:rPr>
        <w:t xml:space="preserve">The 2015 </w:t>
      </w:r>
      <w:r w:rsidR="008E331D">
        <w:rPr>
          <w:szCs w:val="22"/>
        </w:rPr>
        <w:t xml:space="preserve">triennial </w:t>
      </w:r>
      <w:r w:rsidR="00B60933">
        <w:rPr>
          <w:szCs w:val="22"/>
        </w:rPr>
        <w:t>r</w:t>
      </w:r>
      <w:r w:rsidR="0049233F" w:rsidRPr="009855BD">
        <w:rPr>
          <w:szCs w:val="22"/>
        </w:rPr>
        <w:t>eview</w:t>
      </w:r>
      <w:r w:rsidR="00EC3687" w:rsidRPr="009855BD">
        <w:rPr>
          <w:szCs w:val="22"/>
        </w:rPr>
        <w:t xml:space="preserve"> </w:t>
      </w:r>
      <w:r w:rsidR="006C47B8" w:rsidRPr="009855BD">
        <w:rPr>
          <w:szCs w:val="22"/>
        </w:rPr>
        <w:t>recommended</w:t>
      </w:r>
      <w:r w:rsidR="0095648A" w:rsidRPr="009855BD">
        <w:rPr>
          <w:szCs w:val="22"/>
        </w:rPr>
        <w:t xml:space="preserve"> that the ARPC pay </w:t>
      </w:r>
      <w:r w:rsidR="0009597B" w:rsidRPr="009855BD">
        <w:rPr>
          <w:szCs w:val="22"/>
        </w:rPr>
        <w:t>the Commonwealth a</w:t>
      </w:r>
      <w:r w:rsidR="0095648A" w:rsidRPr="009855BD">
        <w:rPr>
          <w:szCs w:val="22"/>
        </w:rPr>
        <w:t xml:space="preserve"> $55</w:t>
      </w:r>
      <w:r w:rsidR="00EC43E3" w:rsidRPr="009855BD">
        <w:rPr>
          <w:szCs w:val="22"/>
        </w:rPr>
        <w:t> </w:t>
      </w:r>
      <w:r w:rsidR="0095648A" w:rsidRPr="009855BD">
        <w:rPr>
          <w:szCs w:val="22"/>
        </w:rPr>
        <w:t>million guarantee fee</w:t>
      </w:r>
      <w:r w:rsidR="0009597B" w:rsidRPr="009855BD">
        <w:rPr>
          <w:szCs w:val="22"/>
        </w:rPr>
        <w:t xml:space="preserve"> </w:t>
      </w:r>
      <w:r w:rsidR="0095648A" w:rsidRPr="009855BD">
        <w:rPr>
          <w:szCs w:val="22"/>
        </w:rPr>
        <w:t>and a $35 million capital holding fee</w:t>
      </w:r>
      <w:r w:rsidR="0009597B" w:rsidRPr="009855BD">
        <w:rPr>
          <w:szCs w:val="22"/>
        </w:rPr>
        <w:t xml:space="preserve"> </w:t>
      </w:r>
      <w:r w:rsidR="0095648A" w:rsidRPr="009855BD">
        <w:rPr>
          <w:szCs w:val="22"/>
        </w:rPr>
        <w:t>each year</w:t>
      </w:r>
      <w:r w:rsidR="0009597B" w:rsidRPr="009855BD">
        <w:rPr>
          <w:szCs w:val="22"/>
        </w:rPr>
        <w:t>.</w:t>
      </w:r>
      <w:r w:rsidR="00466077" w:rsidRPr="009855BD">
        <w:rPr>
          <w:rStyle w:val="FootnoteReference"/>
          <w:sz w:val="22"/>
          <w:szCs w:val="22"/>
        </w:rPr>
        <w:t xml:space="preserve"> </w:t>
      </w:r>
      <w:r w:rsidR="00466077" w:rsidRPr="009855BD">
        <w:rPr>
          <w:rStyle w:val="FootnoteReference"/>
          <w:sz w:val="22"/>
          <w:szCs w:val="22"/>
        </w:rPr>
        <w:footnoteReference w:id="50"/>
      </w:r>
      <w:r w:rsidR="0009597B" w:rsidRPr="009855BD">
        <w:rPr>
          <w:szCs w:val="22"/>
        </w:rPr>
        <w:t xml:space="preserve"> These amounts were recommended </w:t>
      </w:r>
      <w:r w:rsidR="001928F1" w:rsidRPr="009855BD">
        <w:rPr>
          <w:szCs w:val="22"/>
        </w:rPr>
        <w:t xml:space="preserve">by the </w:t>
      </w:r>
      <w:r w:rsidR="006B79B7" w:rsidRPr="009855BD">
        <w:rPr>
          <w:szCs w:val="22"/>
        </w:rPr>
        <w:t xml:space="preserve">2015 </w:t>
      </w:r>
      <w:r w:rsidR="00072250">
        <w:rPr>
          <w:szCs w:val="22"/>
        </w:rPr>
        <w:t xml:space="preserve">triennial </w:t>
      </w:r>
      <w:r w:rsidR="003715CC">
        <w:rPr>
          <w:szCs w:val="22"/>
        </w:rPr>
        <w:t>r</w:t>
      </w:r>
      <w:r w:rsidR="001928F1" w:rsidRPr="009855BD">
        <w:rPr>
          <w:szCs w:val="22"/>
        </w:rPr>
        <w:t xml:space="preserve">eview after </w:t>
      </w:r>
      <w:r w:rsidR="00C3424B" w:rsidRPr="009855BD">
        <w:rPr>
          <w:szCs w:val="22"/>
        </w:rPr>
        <w:t>considering</w:t>
      </w:r>
      <w:r w:rsidR="00EC3687" w:rsidRPr="009855BD">
        <w:rPr>
          <w:szCs w:val="22"/>
        </w:rPr>
        <w:t xml:space="preserve"> estimate</w:t>
      </w:r>
      <w:r w:rsidR="00826BB1" w:rsidRPr="009855BD">
        <w:rPr>
          <w:szCs w:val="22"/>
        </w:rPr>
        <w:t>s</w:t>
      </w:r>
      <w:r w:rsidR="00EC3687" w:rsidRPr="009855BD">
        <w:rPr>
          <w:szCs w:val="22"/>
        </w:rPr>
        <w:t xml:space="preserve"> provided by</w:t>
      </w:r>
      <w:r w:rsidR="0030666F" w:rsidRPr="009855BD">
        <w:rPr>
          <w:szCs w:val="22"/>
        </w:rPr>
        <w:t xml:space="preserve"> </w:t>
      </w:r>
      <w:r w:rsidR="009957C5" w:rsidRPr="009855BD">
        <w:rPr>
          <w:szCs w:val="22"/>
        </w:rPr>
        <w:t xml:space="preserve">Pottinger </w:t>
      </w:r>
      <w:r w:rsidR="00826BB1" w:rsidRPr="009855BD">
        <w:rPr>
          <w:szCs w:val="22"/>
        </w:rPr>
        <w:t xml:space="preserve">and the Australian Government Actuary </w:t>
      </w:r>
      <w:r w:rsidR="006B79B7" w:rsidRPr="009855BD">
        <w:rPr>
          <w:szCs w:val="22"/>
        </w:rPr>
        <w:t>(A</w:t>
      </w:r>
      <w:r w:rsidR="001928F1" w:rsidRPr="009855BD">
        <w:rPr>
          <w:szCs w:val="22"/>
        </w:rPr>
        <w:t>GA</w:t>
      </w:r>
      <w:r w:rsidR="006B79B7" w:rsidRPr="009855BD">
        <w:rPr>
          <w:szCs w:val="22"/>
        </w:rPr>
        <w:t>)</w:t>
      </w:r>
      <w:r w:rsidR="001928F1" w:rsidRPr="009855BD">
        <w:rPr>
          <w:szCs w:val="22"/>
        </w:rPr>
        <w:t xml:space="preserve"> </w:t>
      </w:r>
      <w:r w:rsidR="007428C6" w:rsidRPr="009855BD">
        <w:rPr>
          <w:szCs w:val="22"/>
        </w:rPr>
        <w:t xml:space="preserve">of what the ARPC would </w:t>
      </w:r>
      <w:r w:rsidR="008153DF" w:rsidRPr="009855BD">
        <w:rPr>
          <w:szCs w:val="22"/>
        </w:rPr>
        <w:t>pay</w:t>
      </w:r>
      <w:r w:rsidR="007428C6" w:rsidRPr="009855BD">
        <w:rPr>
          <w:szCs w:val="22"/>
        </w:rPr>
        <w:t xml:space="preserve"> for retrocession </w:t>
      </w:r>
      <w:r w:rsidR="001966A0" w:rsidRPr="009855BD">
        <w:rPr>
          <w:szCs w:val="22"/>
        </w:rPr>
        <w:t xml:space="preserve">in the </w:t>
      </w:r>
      <w:r w:rsidR="008153DF" w:rsidRPr="009855BD">
        <w:rPr>
          <w:szCs w:val="22"/>
        </w:rPr>
        <w:t xml:space="preserve">private </w:t>
      </w:r>
      <w:r w:rsidR="001966A0" w:rsidRPr="009855BD">
        <w:rPr>
          <w:szCs w:val="22"/>
        </w:rPr>
        <w:t>market</w:t>
      </w:r>
      <w:r w:rsidR="000B08CA" w:rsidRPr="009855BD">
        <w:rPr>
          <w:szCs w:val="22"/>
        </w:rPr>
        <w:t xml:space="preserve">. </w:t>
      </w:r>
    </w:p>
    <w:p w14:paraId="20255E9D" w14:textId="22DC6A56" w:rsidR="008406EC" w:rsidRPr="009855BD" w:rsidRDefault="004960A0" w:rsidP="001F7103">
      <w:pPr>
        <w:rPr>
          <w:szCs w:val="22"/>
        </w:rPr>
      </w:pPr>
      <w:r w:rsidRPr="009855BD">
        <w:rPr>
          <w:szCs w:val="22"/>
        </w:rPr>
        <w:t xml:space="preserve">Pottinger estimated that, if the ARPC was to replace the </w:t>
      </w:r>
      <w:r w:rsidR="00284002">
        <w:rPr>
          <w:szCs w:val="22"/>
        </w:rPr>
        <w:t>Commonwealth</w:t>
      </w:r>
      <w:r w:rsidRPr="009855BD">
        <w:rPr>
          <w:szCs w:val="22"/>
        </w:rPr>
        <w:t xml:space="preserve"> guarantee with private retrocession of $10 billion (if it was available), this would cost around $200 million annually. This estimate </w:t>
      </w:r>
      <w:r w:rsidR="008864C4" w:rsidRPr="009855BD">
        <w:rPr>
          <w:szCs w:val="22"/>
        </w:rPr>
        <w:t>assumed</w:t>
      </w:r>
      <w:r w:rsidRPr="009855BD">
        <w:rPr>
          <w:szCs w:val="22"/>
        </w:rPr>
        <w:t xml:space="preserve"> the premium paid by the ARPC would be equal to the marginal rate </w:t>
      </w:r>
      <w:r w:rsidR="00405077" w:rsidRPr="009855BD">
        <w:rPr>
          <w:szCs w:val="22"/>
        </w:rPr>
        <w:t>online</w:t>
      </w:r>
      <w:r w:rsidRPr="009855BD">
        <w:rPr>
          <w:szCs w:val="22"/>
        </w:rPr>
        <w:t xml:space="preserve"> for the ARPC’s retrocession program in 2014. </w:t>
      </w:r>
    </w:p>
    <w:p w14:paraId="42F52A10" w14:textId="6E492DA4" w:rsidR="004960A0" w:rsidRPr="009855BD" w:rsidRDefault="004960A0" w:rsidP="001F7103">
      <w:pPr>
        <w:rPr>
          <w:szCs w:val="22"/>
        </w:rPr>
      </w:pPr>
      <w:r w:rsidRPr="009855BD">
        <w:rPr>
          <w:szCs w:val="22"/>
        </w:rPr>
        <w:t>The AGA provide</w:t>
      </w:r>
      <w:r w:rsidR="009F71C4" w:rsidRPr="009855BD">
        <w:rPr>
          <w:szCs w:val="22"/>
        </w:rPr>
        <w:t>d</w:t>
      </w:r>
      <w:r w:rsidRPr="009855BD">
        <w:rPr>
          <w:szCs w:val="22"/>
        </w:rPr>
        <w:t xml:space="preserve"> </w:t>
      </w:r>
      <w:r w:rsidR="00F3313B" w:rsidRPr="009855BD">
        <w:rPr>
          <w:szCs w:val="22"/>
        </w:rPr>
        <w:t>a</w:t>
      </w:r>
      <w:r w:rsidRPr="009855BD">
        <w:rPr>
          <w:szCs w:val="22"/>
        </w:rPr>
        <w:t xml:space="preserve"> more conservative estimate of the value of the guarantee to the ARPC of around $55 million. </w:t>
      </w:r>
      <w:r w:rsidR="008864C4" w:rsidRPr="009855BD">
        <w:rPr>
          <w:szCs w:val="22"/>
        </w:rPr>
        <w:t>The AGA’s</w:t>
      </w:r>
      <w:r w:rsidRPr="009855BD">
        <w:rPr>
          <w:szCs w:val="22"/>
        </w:rPr>
        <w:t xml:space="preserve"> estimate assume</w:t>
      </w:r>
      <w:r w:rsidR="008864C4" w:rsidRPr="009855BD">
        <w:rPr>
          <w:szCs w:val="22"/>
        </w:rPr>
        <w:t>d</w:t>
      </w:r>
      <w:r w:rsidRPr="009855BD">
        <w:rPr>
          <w:szCs w:val="22"/>
        </w:rPr>
        <w:t xml:space="preserve"> the first dollar of cover provided under the guarantee could be priced at the marginal rate online of the retrocession program, but that reasonable fee falls for each additional dollar of the guarantee provided. </w:t>
      </w:r>
      <w:r w:rsidR="001B4424" w:rsidRPr="009855BD">
        <w:rPr>
          <w:szCs w:val="22"/>
        </w:rPr>
        <w:t>The</w:t>
      </w:r>
      <w:r w:rsidRPr="009855BD">
        <w:rPr>
          <w:szCs w:val="22"/>
        </w:rPr>
        <w:t xml:space="preserve"> AGA’s valuation implie</w:t>
      </w:r>
      <w:r w:rsidR="008864C4" w:rsidRPr="009855BD">
        <w:rPr>
          <w:szCs w:val="22"/>
        </w:rPr>
        <w:t>d</w:t>
      </w:r>
      <w:r w:rsidRPr="009855BD">
        <w:rPr>
          <w:szCs w:val="22"/>
        </w:rPr>
        <w:t xml:space="preserve"> zero charge for the last $3 billion of the guarantee. </w:t>
      </w:r>
      <w:r w:rsidR="00E6443C" w:rsidRPr="009855BD">
        <w:rPr>
          <w:szCs w:val="22"/>
        </w:rPr>
        <w:t>The result</w:t>
      </w:r>
      <w:r w:rsidRPr="009855BD">
        <w:rPr>
          <w:szCs w:val="22"/>
        </w:rPr>
        <w:t xml:space="preserve"> </w:t>
      </w:r>
      <w:r w:rsidR="009F71C4" w:rsidRPr="009855BD">
        <w:rPr>
          <w:szCs w:val="22"/>
        </w:rPr>
        <w:t>was</w:t>
      </w:r>
      <w:r w:rsidRPr="009855BD">
        <w:rPr>
          <w:szCs w:val="22"/>
        </w:rPr>
        <w:t xml:space="preserve"> a fee below the private sector charge as the government does not have to achieve ‘market returns’.</w:t>
      </w:r>
      <w:r w:rsidR="00F12DD0" w:rsidRPr="009855BD">
        <w:rPr>
          <w:rStyle w:val="FootnoteReference"/>
          <w:sz w:val="22"/>
          <w:szCs w:val="22"/>
        </w:rPr>
        <w:footnoteReference w:id="51"/>
      </w:r>
    </w:p>
    <w:p w14:paraId="52CC95F7" w14:textId="586CA48F" w:rsidR="008864C4" w:rsidRPr="009855BD" w:rsidRDefault="00365DA5" w:rsidP="001F7103">
      <w:pPr>
        <w:rPr>
          <w:szCs w:val="22"/>
        </w:rPr>
      </w:pPr>
      <w:r w:rsidRPr="009855BD">
        <w:rPr>
          <w:szCs w:val="22"/>
        </w:rPr>
        <w:t>Pottinger estimate</w:t>
      </w:r>
      <w:r w:rsidR="006E769D" w:rsidRPr="009855BD">
        <w:rPr>
          <w:szCs w:val="22"/>
        </w:rPr>
        <w:t>d</w:t>
      </w:r>
      <w:r w:rsidRPr="009855BD">
        <w:rPr>
          <w:szCs w:val="22"/>
        </w:rPr>
        <w:t xml:space="preserve"> that the cost to the ARPC to reinsure the first $360 million of losses in the private market</w:t>
      </w:r>
      <w:r w:rsidR="00CF55AC" w:rsidRPr="009855BD">
        <w:rPr>
          <w:szCs w:val="22"/>
        </w:rPr>
        <w:t xml:space="preserve"> would be between $30 million and $70 million.</w:t>
      </w:r>
      <w:r w:rsidRPr="009855BD">
        <w:rPr>
          <w:szCs w:val="22"/>
        </w:rPr>
        <w:t xml:space="preserve"> </w:t>
      </w:r>
      <w:r w:rsidR="00822F2D" w:rsidRPr="009855BD">
        <w:rPr>
          <w:szCs w:val="22"/>
        </w:rPr>
        <w:t>At</w:t>
      </w:r>
      <w:r w:rsidR="00E5446C" w:rsidRPr="009855BD">
        <w:rPr>
          <w:szCs w:val="22"/>
        </w:rPr>
        <w:t xml:space="preserve"> the time of the 2015 review</w:t>
      </w:r>
      <w:r w:rsidR="008F6102" w:rsidRPr="009855BD">
        <w:rPr>
          <w:szCs w:val="22"/>
        </w:rPr>
        <w:t>,</w:t>
      </w:r>
      <w:r w:rsidR="00E5446C" w:rsidRPr="009855BD">
        <w:rPr>
          <w:szCs w:val="22"/>
        </w:rPr>
        <w:t xml:space="preserve"> </w:t>
      </w:r>
      <w:r w:rsidR="00822F2D" w:rsidRPr="009855BD">
        <w:rPr>
          <w:szCs w:val="22"/>
        </w:rPr>
        <w:t xml:space="preserve">this </w:t>
      </w:r>
      <w:r w:rsidRPr="009855BD">
        <w:rPr>
          <w:szCs w:val="22"/>
        </w:rPr>
        <w:t xml:space="preserve">would </w:t>
      </w:r>
      <w:r w:rsidR="00E5446C" w:rsidRPr="009855BD">
        <w:rPr>
          <w:szCs w:val="22"/>
        </w:rPr>
        <w:t>have</w:t>
      </w:r>
      <w:r w:rsidRPr="009855BD">
        <w:rPr>
          <w:szCs w:val="22"/>
        </w:rPr>
        <w:t xml:space="preserve"> be</w:t>
      </w:r>
      <w:r w:rsidR="00E5446C" w:rsidRPr="009855BD">
        <w:rPr>
          <w:szCs w:val="22"/>
        </w:rPr>
        <w:t>en</w:t>
      </w:r>
      <w:r w:rsidRPr="009855BD">
        <w:rPr>
          <w:szCs w:val="22"/>
        </w:rPr>
        <w:t xml:space="preserve"> funded using the capital retained by the ARPC</w:t>
      </w:r>
      <w:r w:rsidR="00822F2D" w:rsidRPr="009855BD">
        <w:rPr>
          <w:szCs w:val="22"/>
        </w:rPr>
        <w:t>.</w:t>
      </w:r>
      <w:r w:rsidR="008F6102" w:rsidRPr="009855BD">
        <w:rPr>
          <w:szCs w:val="22"/>
        </w:rPr>
        <w:t xml:space="preserve"> </w:t>
      </w:r>
      <w:r w:rsidRPr="009855BD">
        <w:rPr>
          <w:szCs w:val="22"/>
        </w:rPr>
        <w:t xml:space="preserve">A similar value of $35 million </w:t>
      </w:r>
      <w:r w:rsidR="00E5446C" w:rsidRPr="009855BD">
        <w:rPr>
          <w:szCs w:val="22"/>
        </w:rPr>
        <w:t>was</w:t>
      </w:r>
      <w:r w:rsidRPr="009855BD">
        <w:rPr>
          <w:szCs w:val="22"/>
        </w:rPr>
        <w:t xml:space="preserve"> obtained by the AGA based on the ARPC holding a capital pool of $500 million. </w:t>
      </w:r>
      <w:r w:rsidR="00822F2D" w:rsidRPr="009855BD">
        <w:rPr>
          <w:szCs w:val="22"/>
        </w:rPr>
        <w:t>Both</w:t>
      </w:r>
      <w:r w:rsidRPr="009855BD">
        <w:rPr>
          <w:szCs w:val="22"/>
        </w:rPr>
        <w:t xml:space="preserve"> calculations </w:t>
      </w:r>
      <w:r w:rsidR="00287EE5" w:rsidRPr="009855BD">
        <w:rPr>
          <w:szCs w:val="22"/>
        </w:rPr>
        <w:t>drew</w:t>
      </w:r>
      <w:r w:rsidRPr="009855BD">
        <w:rPr>
          <w:szCs w:val="22"/>
        </w:rPr>
        <w:t xml:space="preserve"> on actual premiums paid by the ARPC for retrocession. </w:t>
      </w:r>
      <w:r w:rsidR="0085356E" w:rsidRPr="009855BD">
        <w:rPr>
          <w:szCs w:val="22"/>
        </w:rPr>
        <w:t xml:space="preserve">The </w:t>
      </w:r>
      <w:r w:rsidR="00E5446C" w:rsidRPr="009855BD">
        <w:rPr>
          <w:szCs w:val="22"/>
        </w:rPr>
        <w:t>2015</w:t>
      </w:r>
      <w:r w:rsidR="0085356E" w:rsidRPr="009855BD">
        <w:rPr>
          <w:szCs w:val="22"/>
        </w:rPr>
        <w:t xml:space="preserve"> review considered</w:t>
      </w:r>
      <w:r w:rsidR="00710054" w:rsidRPr="009855BD">
        <w:rPr>
          <w:szCs w:val="22"/>
        </w:rPr>
        <w:t xml:space="preserve"> </w:t>
      </w:r>
      <w:r w:rsidRPr="009855BD">
        <w:rPr>
          <w:szCs w:val="22"/>
        </w:rPr>
        <w:t xml:space="preserve">a fee or dividend consistent with the AGA’s more conservative estimate of $35 million </w:t>
      </w:r>
      <w:r w:rsidR="0085356E" w:rsidRPr="009855BD">
        <w:rPr>
          <w:szCs w:val="22"/>
        </w:rPr>
        <w:t>was</w:t>
      </w:r>
      <w:r w:rsidRPr="009855BD">
        <w:rPr>
          <w:szCs w:val="22"/>
        </w:rPr>
        <w:t xml:space="preserve"> more appropriate than a full commercial rate</w:t>
      </w:r>
      <w:r w:rsidR="00710054" w:rsidRPr="009855BD">
        <w:rPr>
          <w:szCs w:val="22"/>
        </w:rPr>
        <w:t xml:space="preserve"> given the principle that the government should be fairly compensated for taking on the risk</w:t>
      </w:r>
      <w:r w:rsidRPr="009855BD">
        <w:rPr>
          <w:szCs w:val="22"/>
        </w:rPr>
        <w:t>.</w:t>
      </w:r>
    </w:p>
    <w:p w14:paraId="37695DE0" w14:textId="0C7F93DE" w:rsidR="001F7103" w:rsidRDefault="001F7103" w:rsidP="00E4122A">
      <w:pPr>
        <w:pStyle w:val="Heading2"/>
      </w:pPr>
      <w:bookmarkStart w:id="92" w:name="_Toc210056002"/>
      <w:r>
        <w:t>Data sharing</w:t>
      </w:r>
      <w:bookmarkEnd w:id="92"/>
    </w:p>
    <w:p w14:paraId="60433EB4" w14:textId="46B6EC0B" w:rsidR="001F7103" w:rsidRDefault="001F7103" w:rsidP="001F7103">
      <w:r>
        <w:t xml:space="preserve">The ARPC collects data in its course of business that is valuable to government and other stakeholders in planning for resilience investment and other policy development. </w:t>
      </w:r>
    </w:p>
    <w:p w14:paraId="5844C581" w14:textId="06D44C32" w:rsidR="004E6F48" w:rsidRDefault="00F913EC" w:rsidP="004E6F48">
      <w:r>
        <w:t xml:space="preserve">The </w:t>
      </w:r>
      <w:r w:rsidR="004E6F48" w:rsidRPr="00A60D21">
        <w:t xml:space="preserve">ARPC’s ability to share data with other </w:t>
      </w:r>
      <w:r w:rsidR="00FD3112">
        <w:t>Australian G</w:t>
      </w:r>
      <w:r w:rsidR="004E6F48" w:rsidRPr="00A60D21">
        <w:t>overnment agencies and departments relies on the reinsurance agreement</w:t>
      </w:r>
      <w:r w:rsidR="004E6F48">
        <w:t xml:space="preserve"> which reflects the policy intent of the cyclone pool. </w:t>
      </w:r>
    </w:p>
    <w:p w14:paraId="0EC9618D" w14:textId="46D94DEE" w:rsidR="001F7103" w:rsidRDefault="00583266" w:rsidP="001F7103">
      <w:r>
        <w:t xml:space="preserve">The </w:t>
      </w:r>
      <w:r w:rsidR="004E6F48">
        <w:t xml:space="preserve">APRC only shares data provided by insurers on a de-identified and aggregated basis for the specific purpose of supporting services, policies, programs, analysis and research that relate to natural hazard management (including emergency management) and resilience. </w:t>
      </w:r>
    </w:p>
    <w:p w14:paraId="14AC9AD3" w14:textId="77777777" w:rsidR="005D10D7" w:rsidRDefault="005D10D7" w:rsidP="00E4122A">
      <w:pPr>
        <w:pStyle w:val="Heading2"/>
      </w:pPr>
      <w:bookmarkStart w:id="93" w:name="_Toc210056003"/>
      <w:r>
        <w:t>Scheme actuary</w:t>
      </w:r>
      <w:bookmarkEnd w:id="93"/>
    </w:p>
    <w:p w14:paraId="3CBC4999" w14:textId="43ACD6E2" w:rsidR="005D10D7" w:rsidRPr="009855BD" w:rsidRDefault="005D10D7" w:rsidP="005D10D7">
      <w:pPr>
        <w:rPr>
          <w:szCs w:val="22"/>
        </w:rPr>
      </w:pPr>
      <w:r w:rsidRPr="009855BD">
        <w:rPr>
          <w:szCs w:val="22"/>
        </w:rPr>
        <w:t xml:space="preserve">The ARPC </w:t>
      </w:r>
      <w:r w:rsidR="003441B3" w:rsidRPr="009855BD">
        <w:rPr>
          <w:szCs w:val="22"/>
        </w:rPr>
        <w:t>utilises</w:t>
      </w:r>
      <w:r w:rsidRPr="009855BD">
        <w:rPr>
          <w:szCs w:val="22"/>
        </w:rPr>
        <w:t xml:space="preserve"> actuarial staff </w:t>
      </w:r>
      <w:r w:rsidR="004660AF" w:rsidRPr="009855BD">
        <w:rPr>
          <w:szCs w:val="22"/>
        </w:rPr>
        <w:t>for</w:t>
      </w:r>
      <w:r w:rsidRPr="009855BD">
        <w:rPr>
          <w:szCs w:val="22"/>
        </w:rPr>
        <w:t xml:space="preserve"> </w:t>
      </w:r>
      <w:r w:rsidRPr="009855BD" w:rsidDel="00C2139E">
        <w:rPr>
          <w:szCs w:val="22"/>
        </w:rPr>
        <w:t>day</w:t>
      </w:r>
      <w:r w:rsidR="00C2139E" w:rsidRPr="009855BD">
        <w:rPr>
          <w:szCs w:val="22"/>
        </w:rPr>
        <w:t>-to-day</w:t>
      </w:r>
      <w:r w:rsidRPr="009855BD">
        <w:rPr>
          <w:szCs w:val="22"/>
        </w:rPr>
        <w:t xml:space="preserve"> work of the </w:t>
      </w:r>
      <w:r w:rsidR="00583266">
        <w:rPr>
          <w:szCs w:val="22"/>
        </w:rPr>
        <w:t xml:space="preserve">reinsurance </w:t>
      </w:r>
      <w:r w:rsidRPr="009855BD">
        <w:rPr>
          <w:szCs w:val="22"/>
        </w:rPr>
        <w:t xml:space="preserve">pools. However, the head of actuarial is not a </w:t>
      </w:r>
      <w:r w:rsidR="00354067" w:rsidRPr="009855BD">
        <w:rPr>
          <w:szCs w:val="22"/>
        </w:rPr>
        <w:t xml:space="preserve">statutory </w:t>
      </w:r>
      <w:r w:rsidRPr="009855BD">
        <w:rPr>
          <w:szCs w:val="22"/>
        </w:rPr>
        <w:t>position. A dedicated scheme actuary could have more independence to help ensure scheme integrity. </w:t>
      </w:r>
    </w:p>
    <w:p w14:paraId="1E604E39" w14:textId="48CBD800" w:rsidR="005D10D7" w:rsidRPr="009855BD" w:rsidRDefault="005D10D7" w:rsidP="005D10D7">
      <w:pPr>
        <w:rPr>
          <w:szCs w:val="22"/>
        </w:rPr>
      </w:pPr>
      <w:r w:rsidRPr="009855BD">
        <w:rPr>
          <w:szCs w:val="22"/>
        </w:rPr>
        <w:t xml:space="preserve">Agencies </w:t>
      </w:r>
      <w:r w:rsidR="00734D71" w:rsidRPr="009855BD">
        <w:rPr>
          <w:szCs w:val="22"/>
        </w:rPr>
        <w:t>with</w:t>
      </w:r>
      <w:r w:rsidRPr="009855BD">
        <w:rPr>
          <w:szCs w:val="22"/>
        </w:rPr>
        <w:t xml:space="preserve"> similar actuarial complexity, such as the National Disability Insurance </w:t>
      </w:r>
      <w:r w:rsidR="007B5390" w:rsidRPr="009855BD">
        <w:rPr>
          <w:szCs w:val="22"/>
        </w:rPr>
        <w:t>Agency</w:t>
      </w:r>
      <w:r w:rsidR="00846F04" w:rsidRPr="009855BD">
        <w:rPr>
          <w:szCs w:val="22"/>
        </w:rPr>
        <w:t xml:space="preserve"> (NDIA</w:t>
      </w:r>
      <w:r w:rsidR="00924ADA" w:rsidRPr="009855BD">
        <w:rPr>
          <w:szCs w:val="22"/>
        </w:rPr>
        <w:t>)</w:t>
      </w:r>
      <w:r w:rsidRPr="009855BD">
        <w:rPr>
          <w:szCs w:val="22"/>
        </w:rPr>
        <w:t xml:space="preserve">, have a scheme actuary. The </w:t>
      </w:r>
      <w:r w:rsidRPr="009855BD">
        <w:rPr>
          <w:i/>
          <w:iCs/>
          <w:szCs w:val="22"/>
        </w:rPr>
        <w:t>N</w:t>
      </w:r>
      <w:r w:rsidR="00D21CF9" w:rsidRPr="009855BD">
        <w:rPr>
          <w:i/>
          <w:iCs/>
          <w:szCs w:val="22"/>
        </w:rPr>
        <w:t xml:space="preserve">ational </w:t>
      </w:r>
      <w:r w:rsidRPr="009855BD">
        <w:rPr>
          <w:i/>
          <w:iCs/>
          <w:szCs w:val="22"/>
        </w:rPr>
        <w:t>D</w:t>
      </w:r>
      <w:r w:rsidR="00D21CF9" w:rsidRPr="009855BD">
        <w:rPr>
          <w:i/>
          <w:iCs/>
          <w:szCs w:val="22"/>
        </w:rPr>
        <w:t xml:space="preserve">isability </w:t>
      </w:r>
      <w:r w:rsidRPr="009855BD">
        <w:rPr>
          <w:i/>
          <w:iCs/>
          <w:szCs w:val="22"/>
        </w:rPr>
        <w:t>I</w:t>
      </w:r>
      <w:r w:rsidR="00D21CF9" w:rsidRPr="009855BD">
        <w:rPr>
          <w:i/>
          <w:iCs/>
          <w:szCs w:val="22"/>
        </w:rPr>
        <w:t xml:space="preserve">nsurance </w:t>
      </w:r>
      <w:r w:rsidRPr="009855BD">
        <w:rPr>
          <w:i/>
          <w:iCs/>
          <w:szCs w:val="22"/>
        </w:rPr>
        <w:t>S</w:t>
      </w:r>
      <w:r w:rsidR="00D21CF9" w:rsidRPr="009855BD">
        <w:rPr>
          <w:i/>
          <w:iCs/>
          <w:szCs w:val="22"/>
        </w:rPr>
        <w:t>cheme</w:t>
      </w:r>
      <w:r w:rsidRPr="009855BD">
        <w:rPr>
          <w:i/>
          <w:iCs/>
          <w:szCs w:val="22"/>
        </w:rPr>
        <w:t xml:space="preserve"> Act</w:t>
      </w:r>
      <w:r w:rsidR="00846F04" w:rsidRPr="009855BD">
        <w:rPr>
          <w:i/>
          <w:iCs/>
          <w:szCs w:val="22"/>
        </w:rPr>
        <w:t xml:space="preserve"> 2013</w:t>
      </w:r>
      <w:r w:rsidRPr="009855BD">
        <w:rPr>
          <w:szCs w:val="22"/>
        </w:rPr>
        <w:t xml:space="preserve"> includes provisions that the NDI</w:t>
      </w:r>
      <w:r w:rsidR="00924ADA" w:rsidRPr="009855BD">
        <w:rPr>
          <w:szCs w:val="22"/>
        </w:rPr>
        <w:t xml:space="preserve">A </w:t>
      </w:r>
      <w:r w:rsidRPr="009855BD">
        <w:rPr>
          <w:szCs w:val="22"/>
        </w:rPr>
        <w:t xml:space="preserve">has to consider actuarial advice from the scheme </w:t>
      </w:r>
      <w:r w:rsidRPr="009855BD" w:rsidDel="00601EC2">
        <w:rPr>
          <w:szCs w:val="22"/>
        </w:rPr>
        <w:t>a</w:t>
      </w:r>
      <w:r w:rsidRPr="009855BD">
        <w:rPr>
          <w:szCs w:val="22"/>
        </w:rPr>
        <w:t xml:space="preserve">ctuary and reviewing </w:t>
      </w:r>
      <w:r w:rsidRPr="009855BD" w:rsidDel="00601EC2">
        <w:rPr>
          <w:szCs w:val="22"/>
        </w:rPr>
        <w:t>a</w:t>
      </w:r>
      <w:r w:rsidRPr="009855BD">
        <w:rPr>
          <w:szCs w:val="22"/>
        </w:rPr>
        <w:t>ctuary.  </w:t>
      </w:r>
    </w:p>
    <w:p w14:paraId="6FA599CD" w14:textId="7E37103C" w:rsidR="005D10D7" w:rsidRPr="009855BD" w:rsidRDefault="005D10D7" w:rsidP="005D10D7">
      <w:pPr>
        <w:rPr>
          <w:szCs w:val="22"/>
        </w:rPr>
      </w:pPr>
      <w:r w:rsidRPr="009855BD">
        <w:rPr>
          <w:szCs w:val="22"/>
        </w:rPr>
        <w:t xml:space="preserve">The </w:t>
      </w:r>
      <w:r w:rsidRPr="009855BD" w:rsidDel="00C355D4">
        <w:rPr>
          <w:szCs w:val="22"/>
        </w:rPr>
        <w:t>N</w:t>
      </w:r>
      <w:r w:rsidR="00947C76" w:rsidRPr="009855BD" w:rsidDel="00C355D4">
        <w:rPr>
          <w:szCs w:val="22"/>
        </w:rPr>
        <w:t xml:space="preserve">ational </w:t>
      </w:r>
      <w:r w:rsidRPr="009855BD" w:rsidDel="00C355D4">
        <w:rPr>
          <w:szCs w:val="22"/>
        </w:rPr>
        <w:t>D</w:t>
      </w:r>
      <w:r w:rsidR="00947C76" w:rsidRPr="009855BD" w:rsidDel="00C355D4">
        <w:rPr>
          <w:szCs w:val="22"/>
        </w:rPr>
        <w:t xml:space="preserve">isability </w:t>
      </w:r>
      <w:r w:rsidRPr="009855BD" w:rsidDel="00C355D4">
        <w:rPr>
          <w:szCs w:val="22"/>
        </w:rPr>
        <w:t>I</w:t>
      </w:r>
      <w:r w:rsidR="00947C76" w:rsidRPr="009855BD" w:rsidDel="00C355D4">
        <w:rPr>
          <w:szCs w:val="22"/>
        </w:rPr>
        <w:t>nsurance</w:t>
      </w:r>
      <w:r w:rsidRPr="009855BD" w:rsidDel="00C355D4">
        <w:rPr>
          <w:szCs w:val="22"/>
        </w:rPr>
        <w:t xml:space="preserve"> </w:t>
      </w:r>
      <w:r w:rsidR="007317AB" w:rsidRPr="009855BD">
        <w:rPr>
          <w:szCs w:val="22"/>
        </w:rPr>
        <w:t>S</w:t>
      </w:r>
      <w:r w:rsidRPr="009855BD">
        <w:rPr>
          <w:szCs w:val="22"/>
        </w:rPr>
        <w:t>cheme actuary is nominated by the Board and has its responsibilities specified in legislation. The scheme actuary must be separate to the reviewing actuary. </w:t>
      </w:r>
    </w:p>
    <w:p w14:paraId="3D5F1AE1" w14:textId="062BD641" w:rsidR="005D10D7" w:rsidRPr="009855BD" w:rsidRDefault="005D10D7" w:rsidP="0008036B">
      <w:pPr>
        <w:rPr>
          <w:szCs w:val="22"/>
        </w:rPr>
      </w:pPr>
      <w:r w:rsidRPr="009855BD">
        <w:rPr>
          <w:szCs w:val="22"/>
        </w:rPr>
        <w:t xml:space="preserve">A </w:t>
      </w:r>
      <w:r w:rsidR="008D7DBD" w:rsidRPr="009855BD">
        <w:rPr>
          <w:szCs w:val="22"/>
        </w:rPr>
        <w:t xml:space="preserve">dedicated </w:t>
      </w:r>
      <w:r w:rsidRPr="009855BD">
        <w:rPr>
          <w:szCs w:val="22"/>
        </w:rPr>
        <w:t xml:space="preserve">scheme actuary for the ARPC </w:t>
      </w:r>
      <w:r w:rsidR="001E4745" w:rsidRPr="009855BD">
        <w:rPr>
          <w:szCs w:val="22"/>
        </w:rPr>
        <w:t>c</w:t>
      </w:r>
      <w:r w:rsidRPr="009855BD">
        <w:rPr>
          <w:szCs w:val="22"/>
        </w:rPr>
        <w:t>ould help administer the reinsurance pool</w:t>
      </w:r>
      <w:r w:rsidR="00AE6AAE" w:rsidRPr="009855BD">
        <w:rPr>
          <w:szCs w:val="22"/>
        </w:rPr>
        <w:t>s</w:t>
      </w:r>
      <w:r w:rsidR="00A35248" w:rsidRPr="009855BD">
        <w:rPr>
          <w:szCs w:val="22"/>
        </w:rPr>
        <w:t>, incl</w:t>
      </w:r>
      <w:r w:rsidR="00C64A34" w:rsidRPr="009855BD">
        <w:rPr>
          <w:szCs w:val="22"/>
        </w:rPr>
        <w:t>uding</w:t>
      </w:r>
      <w:r w:rsidRPr="009855BD">
        <w:rPr>
          <w:szCs w:val="22"/>
        </w:rPr>
        <w:t xml:space="preserve"> by providing independent pricing recommendations </w:t>
      </w:r>
      <w:r w:rsidR="0017784C" w:rsidRPr="009855BD">
        <w:rPr>
          <w:szCs w:val="22"/>
        </w:rPr>
        <w:t>and</w:t>
      </w:r>
      <w:r w:rsidRPr="009855BD">
        <w:rPr>
          <w:szCs w:val="22"/>
        </w:rPr>
        <w:t xml:space="preserve"> managing the ongoing financial viability of the scheme</w:t>
      </w:r>
      <w:r w:rsidR="00AE6AAE" w:rsidRPr="009855BD">
        <w:rPr>
          <w:szCs w:val="22"/>
        </w:rPr>
        <w:t>s</w:t>
      </w:r>
      <w:r w:rsidRPr="009855BD">
        <w:rPr>
          <w:szCs w:val="22"/>
        </w:rPr>
        <w:t xml:space="preserve">. </w:t>
      </w:r>
    </w:p>
    <w:p w14:paraId="076CEC75" w14:textId="77777777" w:rsidR="007A12E3" w:rsidRDefault="007A12E3">
      <w:pPr>
        <w:spacing w:before="0" w:after="160" w:line="259" w:lineRule="auto"/>
        <w:rPr>
          <w:b/>
          <w:color w:val="2C384A" w:themeColor="accent1"/>
          <w:sz w:val="28"/>
          <w:szCs w:val="26"/>
        </w:rPr>
      </w:pPr>
      <w:r>
        <w:br w:type="page"/>
      </w:r>
    </w:p>
    <w:p w14:paraId="3EAAED11" w14:textId="6EF9FD07" w:rsidR="00A96268" w:rsidRPr="009855BD" w:rsidRDefault="00A96268" w:rsidP="001030C3">
      <w:pPr>
        <w:pStyle w:val="BoxHeading"/>
      </w:pPr>
      <w:r w:rsidRPr="009855BD">
        <w:t>Questions</w:t>
      </w:r>
    </w:p>
    <w:p w14:paraId="59E09C81" w14:textId="797BA7CB" w:rsidR="00BE6C44" w:rsidRPr="009855BD" w:rsidRDefault="00BE6C44" w:rsidP="00DE0B40">
      <w:pPr>
        <w:shd w:val="clear" w:color="auto" w:fill="E8F0FC" w:themeFill="accent5" w:themeFillTint="33"/>
        <w:rPr>
          <w:szCs w:val="22"/>
        </w:rPr>
      </w:pPr>
      <w:r w:rsidRPr="009855BD">
        <w:rPr>
          <w:szCs w:val="22"/>
        </w:rPr>
        <w:t>1</w:t>
      </w:r>
      <w:r w:rsidR="00265B3A">
        <w:rPr>
          <w:szCs w:val="22"/>
        </w:rPr>
        <w:t>2</w:t>
      </w:r>
      <w:r w:rsidRPr="009855BD">
        <w:rPr>
          <w:szCs w:val="22"/>
        </w:rPr>
        <w:t>. Is the ARPC’s claims process fit for purpose?</w:t>
      </w:r>
    </w:p>
    <w:p w14:paraId="3DAE32E7" w14:textId="486FAEDC" w:rsidR="00DE0B40" w:rsidRPr="009855BD" w:rsidRDefault="00D6527E" w:rsidP="00DE0B40">
      <w:pPr>
        <w:shd w:val="clear" w:color="auto" w:fill="E8F0FC" w:themeFill="accent5" w:themeFillTint="33"/>
        <w:rPr>
          <w:szCs w:val="22"/>
        </w:rPr>
      </w:pPr>
      <w:r w:rsidRPr="009855BD">
        <w:rPr>
          <w:szCs w:val="22"/>
        </w:rPr>
        <w:t>1</w:t>
      </w:r>
      <w:r w:rsidR="00265B3A">
        <w:rPr>
          <w:szCs w:val="22"/>
        </w:rPr>
        <w:t>3</w:t>
      </w:r>
      <w:r w:rsidR="00DE0B40" w:rsidRPr="009855BD">
        <w:rPr>
          <w:szCs w:val="22"/>
        </w:rPr>
        <w:t>.</w:t>
      </w:r>
      <w:r w:rsidR="00DE0B40" w:rsidRPr="009855BD">
        <w:rPr>
          <w:rFonts w:asciiTheme="minorHAnsi" w:eastAsiaTheme="minorHAnsi" w:hAnsiTheme="minorHAnsi" w:cstheme="minorBidi"/>
          <w:kern w:val="2"/>
          <w:szCs w:val="22"/>
          <w:lang w:eastAsia="en-US"/>
          <w14:ligatures w14:val="standardContextual"/>
        </w:rPr>
        <w:t xml:space="preserve"> </w:t>
      </w:r>
      <w:r w:rsidR="00DE0B40" w:rsidRPr="009855BD">
        <w:rPr>
          <w:szCs w:val="22"/>
        </w:rPr>
        <w:t xml:space="preserve">Should the </w:t>
      </w:r>
      <w:r w:rsidR="00A51C19" w:rsidRPr="009855BD">
        <w:rPr>
          <w:szCs w:val="22"/>
        </w:rPr>
        <w:t xml:space="preserve">annual </w:t>
      </w:r>
      <w:r w:rsidR="00AA3BA0" w:rsidRPr="009855BD">
        <w:rPr>
          <w:szCs w:val="22"/>
        </w:rPr>
        <w:t>guarantee and capital holding fees</w:t>
      </w:r>
      <w:r w:rsidR="00DE0B40" w:rsidRPr="009855BD">
        <w:rPr>
          <w:szCs w:val="22"/>
        </w:rPr>
        <w:t xml:space="preserve"> continue and at what level? </w:t>
      </w:r>
    </w:p>
    <w:p w14:paraId="5EC6F561" w14:textId="56D9D6DA" w:rsidR="00DE0B40" w:rsidRPr="009855BD" w:rsidRDefault="00D6527E" w:rsidP="00DE0B40">
      <w:pPr>
        <w:shd w:val="clear" w:color="auto" w:fill="E8F0FC" w:themeFill="accent5" w:themeFillTint="33"/>
        <w:rPr>
          <w:szCs w:val="22"/>
        </w:rPr>
      </w:pPr>
      <w:r w:rsidRPr="009855BD">
        <w:rPr>
          <w:szCs w:val="22"/>
        </w:rPr>
        <w:t>1</w:t>
      </w:r>
      <w:r w:rsidR="00265B3A">
        <w:rPr>
          <w:szCs w:val="22"/>
        </w:rPr>
        <w:t>4</w:t>
      </w:r>
      <w:r w:rsidR="00DE0B40" w:rsidRPr="009855BD">
        <w:rPr>
          <w:szCs w:val="22"/>
        </w:rPr>
        <w:t>. Should the ARPC be able to share additional data with stakeholders, in and out of government</w:t>
      </w:r>
      <w:r w:rsidR="00AC4CE8" w:rsidRPr="009855BD">
        <w:rPr>
          <w:szCs w:val="22"/>
        </w:rPr>
        <w:t>,</w:t>
      </w:r>
      <w:r w:rsidR="00B6393F" w:rsidRPr="009855BD">
        <w:rPr>
          <w:szCs w:val="22"/>
        </w:rPr>
        <w:t xml:space="preserve"> and why</w:t>
      </w:r>
      <w:r w:rsidR="00DE0B40" w:rsidRPr="009855BD">
        <w:rPr>
          <w:szCs w:val="22"/>
        </w:rPr>
        <w:t>?</w:t>
      </w:r>
    </w:p>
    <w:p w14:paraId="1D348B37" w14:textId="24B884A2" w:rsidR="001A6DEC" w:rsidRDefault="00D6527E" w:rsidP="001A6DEC">
      <w:pPr>
        <w:shd w:val="clear" w:color="auto" w:fill="E8F0FC" w:themeFill="accent5" w:themeFillTint="33"/>
        <w:rPr>
          <w:szCs w:val="22"/>
        </w:rPr>
      </w:pPr>
      <w:r w:rsidRPr="009855BD">
        <w:rPr>
          <w:szCs w:val="22"/>
        </w:rPr>
        <w:t>1</w:t>
      </w:r>
      <w:r w:rsidR="00265B3A">
        <w:rPr>
          <w:szCs w:val="22"/>
        </w:rPr>
        <w:t>5</w:t>
      </w:r>
      <w:r w:rsidR="001F7103" w:rsidRPr="009855BD">
        <w:rPr>
          <w:szCs w:val="22"/>
        </w:rPr>
        <w:t>.</w:t>
      </w:r>
      <w:r w:rsidR="001F7103" w:rsidRPr="009855BD">
        <w:rPr>
          <w:rFonts w:asciiTheme="minorHAnsi" w:eastAsiaTheme="minorHAnsi" w:hAnsiTheme="minorHAnsi" w:cstheme="minorBidi"/>
          <w:kern w:val="2"/>
          <w:szCs w:val="22"/>
          <w:lang w:eastAsia="en-US"/>
          <w14:ligatures w14:val="standardContextual"/>
        </w:rPr>
        <w:t xml:space="preserve"> </w:t>
      </w:r>
      <w:r w:rsidR="001F7103" w:rsidRPr="009855BD">
        <w:rPr>
          <w:szCs w:val="22"/>
        </w:rPr>
        <w:t>Should the</w:t>
      </w:r>
      <w:r w:rsidR="001E4745" w:rsidRPr="009855BD">
        <w:rPr>
          <w:szCs w:val="22"/>
        </w:rPr>
        <w:t xml:space="preserve"> ARPC have</w:t>
      </w:r>
      <w:r w:rsidR="001F7103" w:rsidRPr="009855BD">
        <w:rPr>
          <w:szCs w:val="22"/>
        </w:rPr>
        <w:t xml:space="preserve"> a dedicated scheme actuary?</w:t>
      </w:r>
    </w:p>
    <w:p w14:paraId="77F9EF9C" w14:textId="371D732D" w:rsidR="004C32CA" w:rsidRDefault="004C32CA">
      <w:pPr>
        <w:spacing w:before="0" w:after="160" w:line="259" w:lineRule="auto"/>
        <w:rPr>
          <w:szCs w:val="22"/>
        </w:rPr>
      </w:pPr>
      <w:r>
        <w:rPr>
          <w:szCs w:val="22"/>
        </w:rPr>
        <w:br w:type="page"/>
      </w:r>
    </w:p>
    <w:p w14:paraId="17B23AF0" w14:textId="669257DA" w:rsidR="00467859" w:rsidRDefault="00467859" w:rsidP="00467859">
      <w:pPr>
        <w:pStyle w:val="Heading1"/>
      </w:pPr>
      <w:bookmarkStart w:id="94" w:name="_Toc210056004"/>
      <w:r>
        <w:t>Consultation questions</w:t>
      </w:r>
      <w:bookmarkEnd w:id="94"/>
      <w:r>
        <w:t xml:space="preserve"> </w:t>
      </w:r>
    </w:p>
    <w:p w14:paraId="2EC2316F" w14:textId="2D0742BA" w:rsidR="00B2318C" w:rsidRPr="002806F6" w:rsidRDefault="00B2318C" w:rsidP="001030C3">
      <w:pPr>
        <w:pStyle w:val="BoxHeading"/>
      </w:pPr>
      <w:r w:rsidRPr="002806F6">
        <w:t xml:space="preserve">Cyclone Reinsurance Pool </w:t>
      </w:r>
    </w:p>
    <w:p w14:paraId="383F3883" w14:textId="77777777" w:rsidR="00D309F1" w:rsidRDefault="00D309F1" w:rsidP="00D309F1">
      <w:pPr>
        <w:shd w:val="clear" w:color="auto" w:fill="E8F0FC" w:themeFill="accent5" w:themeFillTint="33"/>
      </w:pPr>
      <w:r>
        <w:t>1. Is the cyclone pool helping to reduce</w:t>
      </w:r>
      <w:r w:rsidRPr="00FC4894">
        <w:t xml:space="preserve"> insurance premiums for</w:t>
      </w:r>
      <w:r w:rsidRPr="003F50A5">
        <w:rPr>
          <w:szCs w:val="22"/>
        </w:rPr>
        <w:t xml:space="preserve"> </w:t>
      </w:r>
      <w:r w:rsidRPr="00C04193">
        <w:rPr>
          <w:szCs w:val="22"/>
        </w:rPr>
        <w:t>households</w:t>
      </w:r>
      <w:r>
        <w:rPr>
          <w:szCs w:val="22"/>
        </w:rPr>
        <w:t>, small businesses, and residential and commercial strata with medium to high cyclone and related flood damage risk,</w:t>
      </w:r>
      <w:r w:rsidRPr="00FC4894" w:rsidDel="003F50A5">
        <w:t xml:space="preserve"> </w:t>
      </w:r>
      <w:r>
        <w:t>when compared to what they would be in the absence of the cyclone pool, while maintaining premiums at comparable levels to the private market for those with lower risk</w:t>
      </w:r>
      <w:r w:rsidRPr="00FC4894">
        <w:t xml:space="preserve">? </w:t>
      </w:r>
    </w:p>
    <w:p w14:paraId="6C67C7E3" w14:textId="77777777" w:rsidR="00D309F1" w:rsidRDefault="00D309F1" w:rsidP="00D309F1">
      <w:pPr>
        <w:shd w:val="clear" w:color="auto" w:fill="E8F0FC" w:themeFill="accent5" w:themeFillTint="33"/>
      </w:pPr>
      <w:r>
        <w:t>2.</w:t>
      </w:r>
      <w:r>
        <w:rPr>
          <w:rFonts w:eastAsiaTheme="minorEastAsia"/>
        </w:rPr>
        <w:t xml:space="preserve"> </w:t>
      </w:r>
      <w:r>
        <w:t>Are the ARPC’s discounts for mitigation effective? Is pricing the only way the ARPC has encouraged risk mitigation?</w:t>
      </w:r>
    </w:p>
    <w:p w14:paraId="646C488C" w14:textId="77777777" w:rsidR="00D309F1" w:rsidRDefault="00D309F1" w:rsidP="00D309F1">
      <w:pPr>
        <w:shd w:val="clear" w:color="auto" w:fill="E8F0FC" w:themeFill="accent5" w:themeFillTint="33"/>
      </w:pPr>
      <w:r>
        <w:t xml:space="preserve">3. Are there any other matters that should be considered when assessing whether the cyclone pool should continue? </w:t>
      </w:r>
    </w:p>
    <w:p w14:paraId="29281115" w14:textId="77777777" w:rsidR="00D309F1" w:rsidRDefault="00D309F1" w:rsidP="00D309F1">
      <w:pPr>
        <w:shd w:val="clear" w:color="auto" w:fill="E8F0FC" w:themeFill="accent5" w:themeFillTint="33"/>
      </w:pPr>
      <w:r>
        <w:t>4. Should the cyclone pool continue to exist? What would be the consequences of ending the cyclone pool?</w:t>
      </w:r>
    </w:p>
    <w:p w14:paraId="52929ABE" w14:textId="77777777" w:rsidR="00252B6B" w:rsidRPr="009855BD" w:rsidRDefault="00252B6B" w:rsidP="00252B6B">
      <w:pPr>
        <w:shd w:val="clear" w:color="auto" w:fill="E8F0FC" w:themeFill="accent5" w:themeFillTint="33"/>
        <w:rPr>
          <w:szCs w:val="22"/>
        </w:rPr>
      </w:pPr>
      <w:r>
        <w:rPr>
          <w:szCs w:val="22"/>
        </w:rPr>
        <w:t>5</w:t>
      </w:r>
      <w:r w:rsidRPr="009855BD">
        <w:rPr>
          <w:szCs w:val="22"/>
        </w:rPr>
        <w:t xml:space="preserve">. Should the damage period be extended, for example, to seven days after a cyclone event rather than two days after an event? If so, why, and what steps could be taken to ensure any benefits are passed through to policyholders? </w:t>
      </w:r>
    </w:p>
    <w:p w14:paraId="5D475771" w14:textId="77777777" w:rsidR="00252B6B" w:rsidRPr="009855BD" w:rsidRDefault="00252B6B" w:rsidP="00252B6B">
      <w:pPr>
        <w:shd w:val="clear" w:color="auto" w:fill="E8F0FC" w:themeFill="accent5" w:themeFillTint="33"/>
        <w:rPr>
          <w:szCs w:val="22"/>
        </w:rPr>
      </w:pPr>
      <w:r>
        <w:rPr>
          <w:szCs w:val="22"/>
        </w:rPr>
        <w:t>6</w:t>
      </w:r>
      <w:r w:rsidRPr="009855BD">
        <w:rPr>
          <w:szCs w:val="22"/>
        </w:rPr>
        <w:t xml:space="preserve">. Has the private reinsurance market adjusted pricing to reflect the risks the ARPC has taken? If not, would extending the coverage period </w:t>
      </w:r>
      <w:r>
        <w:rPr>
          <w:szCs w:val="22"/>
        </w:rPr>
        <w:t>address</w:t>
      </w:r>
      <w:r w:rsidRPr="009855BD">
        <w:rPr>
          <w:szCs w:val="22"/>
        </w:rPr>
        <w:t xml:space="preserve"> this issue?</w:t>
      </w:r>
    </w:p>
    <w:p w14:paraId="14F283E3" w14:textId="77777777" w:rsidR="00252B6B" w:rsidRPr="009855BD" w:rsidRDefault="00252B6B" w:rsidP="00252B6B">
      <w:pPr>
        <w:shd w:val="clear" w:color="auto" w:fill="E8F0FC" w:themeFill="accent5" w:themeFillTint="33"/>
        <w:rPr>
          <w:szCs w:val="22"/>
        </w:rPr>
      </w:pPr>
      <w:r>
        <w:rPr>
          <w:szCs w:val="22"/>
        </w:rPr>
        <w:t>7</w:t>
      </w:r>
      <w:r w:rsidRPr="009855BD">
        <w:rPr>
          <w:szCs w:val="22"/>
        </w:rPr>
        <w:t>.</w:t>
      </w:r>
      <w:r w:rsidRPr="009855BD">
        <w:rPr>
          <w:rFonts w:asciiTheme="minorHAnsi" w:eastAsiaTheme="minorEastAsia" w:hAnsiTheme="minorHAnsi" w:cstheme="minorBidi"/>
          <w:kern w:val="2"/>
          <w:szCs w:val="22"/>
          <w:lang w:eastAsia="en-US"/>
          <w14:ligatures w14:val="standardContextual"/>
        </w:rPr>
        <w:t xml:space="preserve"> </w:t>
      </w:r>
      <w:r w:rsidRPr="009855BD">
        <w:rPr>
          <w:szCs w:val="22"/>
        </w:rPr>
        <w:t>Is the $5 million SME sum insured limit appropriate?</w:t>
      </w:r>
    </w:p>
    <w:p w14:paraId="36BA5C47" w14:textId="77777777" w:rsidR="00252B6B" w:rsidRDefault="00252B6B" w:rsidP="00252B6B">
      <w:pPr>
        <w:shd w:val="clear" w:color="auto" w:fill="E8F0FC" w:themeFill="accent5" w:themeFillTint="33"/>
        <w:rPr>
          <w:szCs w:val="22"/>
        </w:rPr>
      </w:pPr>
      <w:r>
        <w:rPr>
          <w:szCs w:val="22"/>
        </w:rPr>
        <w:t>8</w:t>
      </w:r>
      <w:r w:rsidRPr="009855BD">
        <w:rPr>
          <w:szCs w:val="22"/>
        </w:rPr>
        <w:t>.</w:t>
      </w:r>
      <w:r w:rsidRPr="009855BD">
        <w:rPr>
          <w:rFonts w:asciiTheme="minorHAnsi" w:eastAsiaTheme="minorEastAsia" w:hAnsiTheme="minorHAnsi" w:cstheme="minorBidi"/>
          <w:kern w:val="2"/>
          <w:szCs w:val="22"/>
          <w:lang w:eastAsia="en-US"/>
          <w14:ligatures w14:val="standardContextual"/>
        </w:rPr>
        <w:t xml:space="preserve"> </w:t>
      </w:r>
      <w:r w:rsidRPr="009855BD">
        <w:rPr>
          <w:szCs w:val="22"/>
        </w:rPr>
        <w:t xml:space="preserve">Should there be changes to the eligibility for new builds? If so, how would this be achieved, which specific properties and how would this impact cyclone pool pricing and insurer costs? </w:t>
      </w:r>
    </w:p>
    <w:p w14:paraId="6EBB82D5" w14:textId="333FF1EA" w:rsidR="00B2318C" w:rsidRPr="002806F6" w:rsidRDefault="00B2318C" w:rsidP="001030C3">
      <w:pPr>
        <w:pStyle w:val="BoxHeading"/>
      </w:pPr>
      <w:r w:rsidRPr="002806F6">
        <w:t>Terrorism Reinsurance Pool</w:t>
      </w:r>
    </w:p>
    <w:p w14:paraId="6D60A2F9" w14:textId="77777777" w:rsidR="00252B6B" w:rsidRPr="00993FD6" w:rsidRDefault="00252B6B" w:rsidP="00252B6B">
      <w:pPr>
        <w:shd w:val="clear" w:color="auto" w:fill="E8F0FC" w:themeFill="accent5" w:themeFillTint="33"/>
      </w:pPr>
      <w:r>
        <w:t>9.</w:t>
      </w:r>
      <w:r w:rsidRPr="0096159D">
        <w:rPr>
          <w:rFonts w:asciiTheme="minorHAnsi" w:eastAsiaTheme="minorHAnsi" w:hAnsiTheme="minorHAnsi" w:cstheme="minorBidi"/>
          <w:kern w:val="2"/>
          <w:szCs w:val="22"/>
          <w:lang w:eastAsia="en-US"/>
          <w14:ligatures w14:val="standardContextual"/>
        </w:rPr>
        <w:t xml:space="preserve"> </w:t>
      </w:r>
      <w:r>
        <w:t xml:space="preserve">Should the terrorism pool continue to exist and if so, should it be considered a permanent feature of the Australian insurance market? </w:t>
      </w:r>
    </w:p>
    <w:p w14:paraId="2F590B7E" w14:textId="77777777" w:rsidR="00252B6B" w:rsidRDefault="00252B6B" w:rsidP="00252B6B">
      <w:pPr>
        <w:shd w:val="clear" w:color="auto" w:fill="E8F0FC" w:themeFill="accent5" w:themeFillTint="33"/>
      </w:pPr>
      <w:r>
        <w:t>10. Is there still a need to encourage greater involvement of the commercial sector in providing terrorism risk cover?</w:t>
      </w:r>
    </w:p>
    <w:p w14:paraId="061A9CF2" w14:textId="77777777" w:rsidR="00252B6B" w:rsidRDefault="00252B6B" w:rsidP="00252B6B">
      <w:pPr>
        <w:shd w:val="clear" w:color="auto" w:fill="E8F0FC" w:themeFill="accent5" w:themeFillTint="33"/>
      </w:pPr>
      <w:r>
        <w:t>11. S</w:t>
      </w:r>
      <w:r w:rsidRPr="009D4521">
        <w:t>hould the ARPC continue to purchase retrocession</w:t>
      </w:r>
      <w:r>
        <w:t xml:space="preserve"> with a view to encouraging the growth of the private market</w:t>
      </w:r>
      <w:r w:rsidRPr="009D4521">
        <w:t>?</w:t>
      </w:r>
      <w:r>
        <w:t xml:space="preserve"> Does the existence of the cyclone pool and its diversification benefit impact the need for the retrocession program? Are there any other reasons for the ARPC to continue purchasing retrocession?</w:t>
      </w:r>
    </w:p>
    <w:p w14:paraId="040E74CB" w14:textId="1F6713E9" w:rsidR="00B2318C" w:rsidRPr="002806F6" w:rsidRDefault="00B2318C" w:rsidP="001030C3">
      <w:pPr>
        <w:pStyle w:val="BoxHeading"/>
      </w:pPr>
      <w:r w:rsidRPr="002806F6">
        <w:t>ARPC operations</w:t>
      </w:r>
    </w:p>
    <w:p w14:paraId="30D15FE9" w14:textId="77777777" w:rsidR="00252B6B" w:rsidRPr="009855BD" w:rsidRDefault="00252B6B" w:rsidP="00252B6B">
      <w:pPr>
        <w:shd w:val="clear" w:color="auto" w:fill="E8F0FC" w:themeFill="accent5" w:themeFillTint="33"/>
        <w:rPr>
          <w:szCs w:val="22"/>
        </w:rPr>
      </w:pPr>
      <w:r w:rsidRPr="009855BD">
        <w:rPr>
          <w:szCs w:val="22"/>
        </w:rPr>
        <w:t>1</w:t>
      </w:r>
      <w:r>
        <w:rPr>
          <w:szCs w:val="22"/>
        </w:rPr>
        <w:t>2</w:t>
      </w:r>
      <w:r w:rsidRPr="009855BD">
        <w:rPr>
          <w:szCs w:val="22"/>
        </w:rPr>
        <w:t>. Is the ARPC’s claims process fit for purpose?</w:t>
      </w:r>
    </w:p>
    <w:p w14:paraId="6B5949BB" w14:textId="77777777" w:rsidR="00252B6B" w:rsidRPr="009855BD" w:rsidRDefault="00252B6B" w:rsidP="00252B6B">
      <w:pPr>
        <w:shd w:val="clear" w:color="auto" w:fill="E8F0FC" w:themeFill="accent5" w:themeFillTint="33"/>
        <w:rPr>
          <w:szCs w:val="22"/>
        </w:rPr>
      </w:pPr>
      <w:r w:rsidRPr="009855BD">
        <w:rPr>
          <w:szCs w:val="22"/>
        </w:rPr>
        <w:t>1</w:t>
      </w:r>
      <w:r>
        <w:rPr>
          <w:szCs w:val="22"/>
        </w:rPr>
        <w:t>3</w:t>
      </w:r>
      <w:r w:rsidRPr="009855BD">
        <w:rPr>
          <w:szCs w:val="22"/>
        </w:rPr>
        <w:t>.</w:t>
      </w:r>
      <w:r w:rsidRPr="009855BD">
        <w:rPr>
          <w:rFonts w:asciiTheme="minorHAnsi" w:eastAsiaTheme="minorHAnsi" w:hAnsiTheme="minorHAnsi" w:cstheme="minorBidi"/>
          <w:kern w:val="2"/>
          <w:szCs w:val="22"/>
          <w:lang w:eastAsia="en-US"/>
          <w14:ligatures w14:val="standardContextual"/>
        </w:rPr>
        <w:t xml:space="preserve"> </w:t>
      </w:r>
      <w:r w:rsidRPr="009855BD">
        <w:rPr>
          <w:szCs w:val="22"/>
        </w:rPr>
        <w:t xml:space="preserve">Should the annual guarantee and capital holding fees continue and at what level? </w:t>
      </w:r>
    </w:p>
    <w:p w14:paraId="5B6E6DD6" w14:textId="77777777" w:rsidR="00252B6B" w:rsidRPr="009855BD" w:rsidRDefault="00252B6B" w:rsidP="00252B6B">
      <w:pPr>
        <w:shd w:val="clear" w:color="auto" w:fill="E8F0FC" w:themeFill="accent5" w:themeFillTint="33"/>
        <w:rPr>
          <w:szCs w:val="22"/>
        </w:rPr>
      </w:pPr>
      <w:r w:rsidRPr="009855BD">
        <w:rPr>
          <w:szCs w:val="22"/>
        </w:rPr>
        <w:t>1</w:t>
      </w:r>
      <w:r>
        <w:rPr>
          <w:szCs w:val="22"/>
        </w:rPr>
        <w:t>4</w:t>
      </w:r>
      <w:r w:rsidRPr="009855BD">
        <w:rPr>
          <w:szCs w:val="22"/>
        </w:rPr>
        <w:t>. Should the ARPC be able to share additional data with stakeholders, in and out of government, and why?</w:t>
      </w:r>
    </w:p>
    <w:p w14:paraId="4E8A13C4" w14:textId="6C50D318" w:rsidR="00D309F1" w:rsidRPr="00221376" w:rsidRDefault="00252B6B" w:rsidP="00D309F1">
      <w:pPr>
        <w:shd w:val="clear" w:color="auto" w:fill="E8F0FC" w:themeFill="accent5" w:themeFillTint="33"/>
      </w:pPr>
      <w:r w:rsidRPr="009855BD">
        <w:rPr>
          <w:szCs w:val="22"/>
        </w:rPr>
        <w:t>1</w:t>
      </w:r>
      <w:r>
        <w:rPr>
          <w:szCs w:val="22"/>
        </w:rPr>
        <w:t>5</w:t>
      </w:r>
      <w:r w:rsidRPr="009855BD">
        <w:rPr>
          <w:szCs w:val="22"/>
        </w:rPr>
        <w:t>.</w:t>
      </w:r>
      <w:r w:rsidRPr="009855BD">
        <w:rPr>
          <w:rFonts w:asciiTheme="minorHAnsi" w:eastAsiaTheme="minorHAnsi" w:hAnsiTheme="minorHAnsi" w:cstheme="minorBidi"/>
          <w:kern w:val="2"/>
          <w:szCs w:val="22"/>
          <w:lang w:eastAsia="en-US"/>
          <w14:ligatures w14:val="standardContextual"/>
        </w:rPr>
        <w:t xml:space="preserve"> </w:t>
      </w:r>
      <w:r w:rsidRPr="009855BD">
        <w:rPr>
          <w:szCs w:val="22"/>
        </w:rPr>
        <w:t>Should the ARPC have a dedicated scheme actuary?</w:t>
      </w:r>
    </w:p>
    <w:p w14:paraId="24D8232E" w14:textId="77777777" w:rsidR="001A6DEC" w:rsidRPr="00467859" w:rsidRDefault="001A6DEC" w:rsidP="002806F6"/>
    <w:sectPr w:rsidR="001A6DEC" w:rsidRPr="00467859" w:rsidSect="002C2082">
      <w:headerReference w:type="even" r:id="rId37"/>
      <w:headerReference w:type="default" r:id="rId38"/>
      <w:footerReference w:type="even" r:id="rId39"/>
      <w:footerReference w:type="default" r:id="rId40"/>
      <w:headerReference w:type="first" r:id="rId41"/>
      <w:footerReference w:type="first" r:id="rId42"/>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5DE74" w14:textId="77777777" w:rsidR="00A467CE" w:rsidRDefault="00A467CE">
      <w:pPr>
        <w:spacing w:before="0" w:after="0"/>
      </w:pPr>
      <w:r>
        <w:separator/>
      </w:r>
    </w:p>
  </w:endnote>
  <w:endnote w:type="continuationSeparator" w:id="0">
    <w:p w14:paraId="17F42172" w14:textId="77777777" w:rsidR="00A467CE" w:rsidRDefault="00A467CE">
      <w:pPr>
        <w:spacing w:before="0" w:after="0"/>
      </w:pPr>
      <w:r>
        <w:continuationSeparator/>
      </w:r>
    </w:p>
  </w:endnote>
  <w:endnote w:type="continuationNotice" w:id="1">
    <w:p w14:paraId="0E02E7BD" w14:textId="77777777" w:rsidR="00A467CE" w:rsidRDefault="00A467C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525A"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1552" w14:textId="330E333A" w:rsidR="009927E5" w:rsidRPr="008043EA" w:rsidRDefault="009927E5" w:rsidP="0009151A">
    <w:r w:rsidRPr="00742366">
      <w:rPr>
        <w:noProof/>
      </w:rPr>
      <w:drawing>
        <wp:anchor distT="0" distB="0" distL="114300" distR="114300" simplePos="0" relativeHeight="251658242" behindDoc="1" locked="1" layoutInCell="1" allowOverlap="1" wp14:anchorId="2913262C" wp14:editId="14309ED1">
          <wp:simplePos x="0" y="0"/>
          <wp:positionH relativeFrom="margin">
            <wp:posOffset>5459095</wp:posOffset>
          </wp:positionH>
          <wp:positionV relativeFrom="page">
            <wp:posOffset>3280410</wp:posOffset>
          </wp:positionV>
          <wp:extent cx="7574280" cy="1043940"/>
          <wp:effectExtent l="7620" t="0" r="0" b="0"/>
          <wp:wrapNone/>
          <wp:docPr id="766922874" name="Picture 766922874" descr="This figure demonstrates the change in average premiums per $100,000 sum insured by wind risk band, pre and post pool for combined home building and contents insur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922874" name="Picture 766922874" descr="This figure demonstrates the change in average premiums per $100,000 sum insured by wind risk band, pre and post pool for combined home building and contents insurance. "/>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0C39CB75" wp14:editId="62E99264">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1017138533" name="Picture 10171385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38533" name="Picture 101713853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STYLEREF  &quot;Heading 1&quot;  \* MERGEFORMAT">
      <w:r w:rsidR="00F623DC">
        <w:rPr>
          <w:noProof/>
        </w:rPr>
        <w:t>Contents</w:t>
      </w:r>
    </w:fldSimple>
    <w:r>
      <w:t xml:space="preserve"> | </w:t>
    </w:r>
    <w:r>
      <w:fldChar w:fldCharType="begin"/>
    </w:r>
    <w:r>
      <w:instrText xml:space="preserve"> PAGE   \* MERGEFORMAT </w:instrText>
    </w:r>
    <w:r>
      <w:fldChar w:fldCharType="separate"/>
    </w:r>
    <w:r>
      <w:t>1</w:t>
    </w:r>
    <w:r>
      <w:fldChar w:fldCharType="end"/>
    </w:r>
  </w:p>
  <w:p w14:paraId="718FBA0F"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0DB5"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481E" w14:textId="1CFE463A" w:rsidR="00E81A40" w:rsidRPr="00E13E90" w:rsidRDefault="00E81A40" w:rsidP="00E13E90">
    <w:pPr>
      <w:pStyle w:val="Footer"/>
    </w:pPr>
    <w:r w:rsidRPr="00742366">
      <w:drawing>
        <wp:anchor distT="0" distB="0" distL="114300" distR="114300" simplePos="0" relativeHeight="251658243" behindDoc="1" locked="1" layoutInCell="1" allowOverlap="1" wp14:anchorId="38BE91F3" wp14:editId="6036A731">
          <wp:simplePos x="0" y="0"/>
          <wp:positionH relativeFrom="margin">
            <wp:posOffset>5459095</wp:posOffset>
          </wp:positionH>
          <wp:positionV relativeFrom="page">
            <wp:posOffset>3280410</wp:posOffset>
          </wp:positionV>
          <wp:extent cx="7574280" cy="1043940"/>
          <wp:effectExtent l="762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39B05E17" wp14:editId="1BA6FE5A">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7B584F">
        <w:t>Terrorism reinsurance pool</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55B"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73F0A" w14:textId="77777777" w:rsidR="00A467CE" w:rsidRDefault="00A467CE">
      <w:pPr>
        <w:spacing w:before="0" w:after="0"/>
      </w:pPr>
      <w:r>
        <w:separator/>
      </w:r>
    </w:p>
  </w:footnote>
  <w:footnote w:type="continuationSeparator" w:id="0">
    <w:p w14:paraId="6796050F" w14:textId="77777777" w:rsidR="00A467CE" w:rsidRDefault="00A467CE">
      <w:pPr>
        <w:spacing w:before="0" w:after="0"/>
      </w:pPr>
      <w:r>
        <w:continuationSeparator/>
      </w:r>
    </w:p>
  </w:footnote>
  <w:footnote w:type="continuationNotice" w:id="1">
    <w:p w14:paraId="01A4C974" w14:textId="77777777" w:rsidR="00A467CE" w:rsidRDefault="00A467CE">
      <w:pPr>
        <w:spacing w:before="0" w:after="0"/>
      </w:pPr>
    </w:p>
  </w:footnote>
  <w:footnote w:id="2">
    <w:p w14:paraId="5EAC59A7" w14:textId="5242E521" w:rsidR="00E047BE" w:rsidRPr="00D90548" w:rsidRDefault="00E047BE">
      <w:pPr>
        <w:pStyle w:val="FootnoteText"/>
      </w:pPr>
      <w:r w:rsidRPr="009855BD">
        <w:rPr>
          <w:rStyle w:val="FootnoteReference"/>
          <w:sz w:val="20"/>
        </w:rPr>
        <w:footnoteRef/>
      </w:r>
      <w:r w:rsidRPr="00D90548">
        <w:t xml:space="preserve"> </w:t>
      </w:r>
      <w:r w:rsidR="007E39C7" w:rsidRPr="00D90548">
        <w:t xml:space="preserve">ARPC, </w:t>
      </w:r>
      <w:r w:rsidR="007E39C7" w:rsidRPr="009855BD">
        <w:rPr>
          <w:i/>
          <w:iCs/>
        </w:rPr>
        <w:t>Cyclone Pool Consumers</w:t>
      </w:r>
      <w:r w:rsidR="007E39C7" w:rsidRPr="00D90548">
        <w:t xml:space="preserve">. </w:t>
      </w:r>
      <w:hyperlink r:id="rId1" w:anchor=":~:text=As%20a%20reinsurer%2C%20ARPC%27s,and%20cyclone%20risk%20to%20us." w:history="1">
        <w:r w:rsidR="007E39C7" w:rsidRPr="00D90548">
          <w:rPr>
            <w:rStyle w:val="Hyperlink"/>
          </w:rPr>
          <w:t>ARPC website.</w:t>
        </w:r>
      </w:hyperlink>
      <w:r w:rsidR="007E39C7" w:rsidRPr="00D90548">
        <w:t xml:space="preserve"> </w:t>
      </w:r>
    </w:p>
  </w:footnote>
  <w:footnote w:id="3">
    <w:p w14:paraId="756AC9C8" w14:textId="1E769C04" w:rsidR="006A1BA0" w:rsidRPr="00D90548" w:rsidRDefault="006A1BA0">
      <w:pPr>
        <w:pStyle w:val="FootnoteText"/>
      </w:pPr>
      <w:r>
        <w:rPr>
          <w:rStyle w:val="FootnoteReference"/>
        </w:rPr>
        <w:footnoteRef/>
      </w:r>
      <w:r>
        <w:t xml:space="preserve"> </w:t>
      </w:r>
      <w:bookmarkStart w:id="24" w:name="_Hlk200636456"/>
      <w:r w:rsidR="00295F14" w:rsidRPr="00D90548">
        <w:t>Parliament of Australia</w:t>
      </w:r>
      <w:r w:rsidR="006D5FE7" w:rsidRPr="00D90548">
        <w:t xml:space="preserve"> (APH)</w:t>
      </w:r>
      <w:r w:rsidR="00375752" w:rsidRPr="00D90548">
        <w:t xml:space="preserve">, </w:t>
      </w:r>
      <w:r w:rsidR="00230424" w:rsidRPr="00D90548">
        <w:t>Tr</w:t>
      </w:r>
      <w:r w:rsidR="00230424" w:rsidRPr="00191466">
        <w:rPr>
          <w:i/>
          <w:iCs/>
        </w:rPr>
        <w:t xml:space="preserve">easury Laws Amendment (Cyclone and Flood Damage Reinsurance Pool) Bill 2022 </w:t>
      </w:r>
      <w:r w:rsidR="00663353" w:rsidRPr="00191466">
        <w:rPr>
          <w:i/>
          <w:iCs/>
        </w:rPr>
        <w:t>Explanatory Memorandum</w:t>
      </w:r>
      <w:r w:rsidR="00230424" w:rsidRPr="00D90548">
        <w:t xml:space="preserve">, </w:t>
      </w:r>
      <w:r w:rsidR="002A4C7D" w:rsidRPr="00D90548">
        <w:t>page 4</w:t>
      </w:r>
      <w:r w:rsidR="005E7F24" w:rsidRPr="00D90548">
        <w:t>.</w:t>
      </w:r>
      <w:r w:rsidR="002A4C7D" w:rsidRPr="00D90548">
        <w:t xml:space="preserve"> </w:t>
      </w:r>
      <w:hyperlink r:id="rId2" w:history="1">
        <w:r w:rsidR="006D5FE7" w:rsidRPr="00A84EA8">
          <w:rPr>
            <w:rStyle w:val="Hyperlink"/>
          </w:rPr>
          <w:t>APH website</w:t>
        </w:r>
      </w:hyperlink>
      <w:r w:rsidR="006D5FE7" w:rsidRPr="00D90548">
        <w:t xml:space="preserve">. </w:t>
      </w:r>
      <w:bookmarkEnd w:id="24"/>
    </w:p>
  </w:footnote>
  <w:footnote w:id="4">
    <w:p w14:paraId="2E008B5D" w14:textId="745AA04A" w:rsidR="005A7A15" w:rsidRPr="00D90548" w:rsidRDefault="005A7A15">
      <w:pPr>
        <w:pStyle w:val="FootnoteText"/>
      </w:pPr>
      <w:r w:rsidRPr="00191466">
        <w:rPr>
          <w:rStyle w:val="FootnoteReference"/>
          <w:sz w:val="20"/>
        </w:rPr>
        <w:footnoteRef/>
      </w:r>
      <w:r w:rsidRPr="00D90548">
        <w:t xml:space="preserve"> </w:t>
      </w:r>
      <w:r w:rsidR="002911AD" w:rsidRPr="00D90548">
        <w:t>Feder</w:t>
      </w:r>
      <w:r w:rsidR="00FD627C" w:rsidRPr="00D90548">
        <w:t>al Register of Legislation</w:t>
      </w:r>
      <w:r w:rsidR="00B07BD1" w:rsidRPr="00D90548">
        <w:t xml:space="preserve"> (FRL)</w:t>
      </w:r>
      <w:r w:rsidR="00FD627C" w:rsidRPr="00D90548">
        <w:t xml:space="preserve">, </w:t>
      </w:r>
      <w:r w:rsidR="00FD627C" w:rsidRPr="00D90548">
        <w:rPr>
          <w:i/>
        </w:rPr>
        <w:t>Terrorism and Cyclone Insurance Act 2003</w:t>
      </w:r>
      <w:r w:rsidR="00CE02D0" w:rsidRPr="00D90548">
        <w:rPr>
          <w:i/>
        </w:rPr>
        <w:t>, S</w:t>
      </w:r>
      <w:r w:rsidR="00547BD0" w:rsidRPr="00D90548">
        <w:rPr>
          <w:i/>
        </w:rPr>
        <w:t>ection 8</w:t>
      </w:r>
      <w:r w:rsidR="00DA46A0" w:rsidRPr="00D90548">
        <w:rPr>
          <w:i/>
        </w:rPr>
        <w:t>D</w:t>
      </w:r>
      <w:r w:rsidR="00FD627C" w:rsidRPr="00D90548">
        <w:t>.</w:t>
      </w:r>
      <w:r w:rsidR="00B07BD1" w:rsidRPr="00D90548">
        <w:t xml:space="preserve"> </w:t>
      </w:r>
      <w:hyperlink r:id="rId3" w:history="1">
        <w:r w:rsidR="00B07BD1" w:rsidRPr="00D90548">
          <w:rPr>
            <w:rStyle w:val="Hyperlink"/>
          </w:rPr>
          <w:t>FRL website.</w:t>
        </w:r>
      </w:hyperlink>
    </w:p>
  </w:footnote>
  <w:footnote w:id="5">
    <w:p w14:paraId="6FFFFA2B" w14:textId="09D89D4D" w:rsidR="007A7F90" w:rsidRPr="00D90548" w:rsidRDefault="007A7F90">
      <w:pPr>
        <w:pStyle w:val="FootnoteText"/>
      </w:pPr>
      <w:r w:rsidRPr="00191466">
        <w:rPr>
          <w:rStyle w:val="FootnoteReference"/>
          <w:sz w:val="20"/>
        </w:rPr>
        <w:footnoteRef/>
      </w:r>
      <w:r w:rsidRPr="00D90548">
        <w:t xml:space="preserve"> </w:t>
      </w:r>
      <w:r w:rsidR="00436480" w:rsidRPr="00D90548">
        <w:t xml:space="preserve">ARPC, </w:t>
      </w:r>
      <w:r w:rsidR="00436480" w:rsidRPr="00191466">
        <w:rPr>
          <w:i/>
          <w:iCs/>
        </w:rPr>
        <w:t>Cyclone Pool</w:t>
      </w:r>
      <w:r w:rsidR="007F186E">
        <w:rPr>
          <w:i/>
          <w:iCs/>
        </w:rPr>
        <w:t xml:space="preserve"> - Consumers</w:t>
      </w:r>
      <w:r w:rsidR="00CA18D7" w:rsidRPr="00D90548">
        <w:t>.</w:t>
      </w:r>
      <w:r w:rsidR="00436480" w:rsidRPr="00D90548">
        <w:t xml:space="preserve"> </w:t>
      </w:r>
      <w:hyperlink r:id="rId4" w:history="1">
        <w:r w:rsidR="00436480" w:rsidRPr="007F186E">
          <w:rPr>
            <w:rStyle w:val="Hyperlink"/>
          </w:rPr>
          <w:t>ARPC website</w:t>
        </w:r>
      </w:hyperlink>
      <w:r w:rsidR="00436480" w:rsidRPr="007F186E">
        <w:t>.</w:t>
      </w:r>
      <w:r w:rsidR="00436480" w:rsidRPr="00D90548">
        <w:t xml:space="preserve"> </w:t>
      </w:r>
    </w:p>
  </w:footnote>
  <w:footnote w:id="6">
    <w:p w14:paraId="0BB252EC" w14:textId="3D4A845D" w:rsidR="00443240" w:rsidRPr="00D90548" w:rsidRDefault="00443240">
      <w:pPr>
        <w:pStyle w:val="FootnoteText"/>
      </w:pPr>
      <w:r w:rsidRPr="00191466">
        <w:rPr>
          <w:rStyle w:val="FootnoteReference"/>
          <w:sz w:val="20"/>
        </w:rPr>
        <w:footnoteRef/>
      </w:r>
      <w:r w:rsidRPr="00D90548">
        <w:t xml:space="preserve"> ARPC, </w:t>
      </w:r>
      <w:r w:rsidRPr="00191466">
        <w:rPr>
          <w:i/>
          <w:iCs/>
        </w:rPr>
        <w:t>Insurer onboarding</w:t>
      </w:r>
      <w:r w:rsidRPr="00D90548">
        <w:t xml:space="preserve">. </w:t>
      </w:r>
      <w:hyperlink r:id="rId5" w:history="1">
        <w:r w:rsidRPr="00D90548">
          <w:rPr>
            <w:rStyle w:val="Hyperlink"/>
          </w:rPr>
          <w:t>APRC website.</w:t>
        </w:r>
      </w:hyperlink>
      <w:r w:rsidRPr="00D90548">
        <w:t xml:space="preserve"> </w:t>
      </w:r>
    </w:p>
  </w:footnote>
  <w:footnote w:id="7">
    <w:p w14:paraId="0B098D27" w14:textId="2400A130" w:rsidR="004638A9" w:rsidRDefault="004638A9">
      <w:pPr>
        <w:pStyle w:val="FootnoteText"/>
      </w:pPr>
      <w:r w:rsidRPr="00191466">
        <w:rPr>
          <w:rStyle w:val="FootnoteReference"/>
          <w:sz w:val="20"/>
        </w:rPr>
        <w:footnoteRef/>
      </w:r>
      <w:r w:rsidRPr="00D90548">
        <w:t xml:space="preserve"> </w:t>
      </w:r>
      <w:r w:rsidR="0002396A" w:rsidRPr="00D90548">
        <w:t xml:space="preserve">ARPC, </w:t>
      </w:r>
      <w:r w:rsidR="005E7F24" w:rsidRPr="00191466">
        <w:rPr>
          <w:i/>
          <w:iCs/>
        </w:rPr>
        <w:t>ARPC announces full participation of mandated insurers in cyclone pool</w:t>
      </w:r>
      <w:r w:rsidR="005E7F24" w:rsidRPr="00D90548">
        <w:t xml:space="preserve">, 2025. </w:t>
      </w:r>
      <w:hyperlink r:id="rId6" w:history="1">
        <w:r w:rsidR="005E7F24" w:rsidRPr="00D90548">
          <w:rPr>
            <w:rStyle w:val="Hyperlink"/>
          </w:rPr>
          <w:t>ARPC website.</w:t>
        </w:r>
      </w:hyperlink>
    </w:p>
  </w:footnote>
  <w:footnote w:id="8">
    <w:p w14:paraId="61183DDB" w14:textId="77777777" w:rsidR="00B77921" w:rsidRPr="00D90548" w:rsidRDefault="00B77921" w:rsidP="00B77921">
      <w:pPr>
        <w:pStyle w:val="FootnoteText"/>
      </w:pPr>
      <w:r w:rsidRPr="00FD15CB">
        <w:rPr>
          <w:rStyle w:val="FootnoteReference"/>
          <w:sz w:val="20"/>
        </w:rPr>
        <w:footnoteRef/>
      </w:r>
      <w:r w:rsidRPr="00D90548">
        <w:t xml:space="preserve"> ARPC, </w:t>
      </w:r>
      <w:r w:rsidRPr="00FD15CB">
        <w:rPr>
          <w:i/>
          <w:iCs/>
        </w:rPr>
        <w:t>Cyclone pool – Consumers</w:t>
      </w:r>
      <w:r w:rsidRPr="00D90548">
        <w:t xml:space="preserve">. </w:t>
      </w:r>
      <w:hyperlink r:id="rId7" w:history="1">
        <w:r w:rsidRPr="00D90548">
          <w:rPr>
            <w:rStyle w:val="Hyperlink"/>
          </w:rPr>
          <w:t>ARPC website.</w:t>
        </w:r>
      </w:hyperlink>
      <w:r w:rsidRPr="00D90548">
        <w:t xml:space="preserve"> </w:t>
      </w:r>
    </w:p>
  </w:footnote>
  <w:footnote w:id="9">
    <w:p w14:paraId="2A682576" w14:textId="120F6EF7" w:rsidR="003E7704" w:rsidRPr="00D90548" w:rsidRDefault="003E7704" w:rsidP="008C028E">
      <w:pPr>
        <w:pStyle w:val="FootnoteText"/>
        <w:ind w:left="113" w:hanging="113"/>
      </w:pPr>
      <w:r w:rsidRPr="00FD15CB">
        <w:rPr>
          <w:rStyle w:val="FootnoteReference"/>
        </w:rPr>
        <w:footnoteRef/>
      </w:r>
      <w:r w:rsidRPr="00D90548">
        <w:t xml:space="preserve"> </w:t>
      </w:r>
      <w:r w:rsidR="00CA18D7" w:rsidRPr="00D90548">
        <w:t>APH,</w:t>
      </w:r>
      <w:r w:rsidRPr="00D90548">
        <w:t xml:space="preserve"> </w:t>
      </w:r>
      <w:r w:rsidRPr="00FD15CB">
        <w:rPr>
          <w:i/>
          <w:iCs/>
        </w:rPr>
        <w:t>Treasury Laws Amendment (Cyclone and Flood Damage Reinsurance Pool) Bill 2022 Explanatory Memorandum</w:t>
      </w:r>
      <w:r w:rsidRPr="00D90548">
        <w:t xml:space="preserve">, page 4. </w:t>
      </w:r>
      <w:hyperlink r:id="rId8" w:history="1">
        <w:r w:rsidRPr="00D34A20">
          <w:rPr>
            <w:rStyle w:val="Hyperlink"/>
          </w:rPr>
          <w:t>APH website</w:t>
        </w:r>
      </w:hyperlink>
      <w:r w:rsidRPr="00D90548">
        <w:t xml:space="preserve">. </w:t>
      </w:r>
    </w:p>
  </w:footnote>
  <w:footnote w:id="10">
    <w:p w14:paraId="57DC7E8C" w14:textId="773ED671" w:rsidR="005E71FF" w:rsidRDefault="005E71FF">
      <w:pPr>
        <w:pStyle w:val="FootnoteText"/>
      </w:pPr>
      <w:r w:rsidRPr="00FD15CB">
        <w:rPr>
          <w:rStyle w:val="FootnoteReference"/>
          <w:sz w:val="20"/>
        </w:rPr>
        <w:footnoteRef/>
      </w:r>
      <w:r w:rsidRPr="00D90548">
        <w:t xml:space="preserve"> </w:t>
      </w:r>
      <w:r w:rsidR="006A3425" w:rsidRPr="00D90548">
        <w:t xml:space="preserve">FRL, </w:t>
      </w:r>
      <w:r w:rsidR="0010020A" w:rsidRPr="00FD15CB">
        <w:rPr>
          <w:i/>
          <w:iCs/>
        </w:rPr>
        <w:t>Terrorism and Cyclone Insurance (Areas of Negli</w:t>
      </w:r>
      <w:r w:rsidR="00EA6CF0" w:rsidRPr="00FD15CB">
        <w:rPr>
          <w:i/>
          <w:iCs/>
        </w:rPr>
        <w:t>gi</w:t>
      </w:r>
      <w:r w:rsidR="0010020A" w:rsidRPr="00FD15CB">
        <w:rPr>
          <w:i/>
          <w:iCs/>
        </w:rPr>
        <w:t>ble Cyclone Risk) Determination 202</w:t>
      </w:r>
      <w:r w:rsidR="00EA6CF0" w:rsidRPr="00FD15CB">
        <w:rPr>
          <w:i/>
          <w:iCs/>
        </w:rPr>
        <w:t>3</w:t>
      </w:r>
      <w:r w:rsidR="00EA6CF0" w:rsidRPr="00D90548">
        <w:t xml:space="preserve">. </w:t>
      </w:r>
      <w:hyperlink r:id="rId9" w:history="1">
        <w:r w:rsidR="00EA6CF0" w:rsidRPr="00D90548">
          <w:rPr>
            <w:rStyle w:val="Hyperlink"/>
          </w:rPr>
          <w:t>FRL website.</w:t>
        </w:r>
      </w:hyperlink>
    </w:p>
  </w:footnote>
  <w:footnote w:id="11">
    <w:p w14:paraId="1289ACFF" w14:textId="23352984" w:rsidR="005775FB" w:rsidRPr="00D90548" w:rsidRDefault="005775FB">
      <w:pPr>
        <w:pStyle w:val="FootnoteText"/>
      </w:pPr>
      <w:r w:rsidRPr="00FD15CB">
        <w:rPr>
          <w:rStyle w:val="FootnoteReference"/>
          <w:sz w:val="20"/>
        </w:rPr>
        <w:footnoteRef/>
      </w:r>
      <w:r w:rsidRPr="00D90548">
        <w:t xml:space="preserve"> Finity Consulting</w:t>
      </w:r>
      <w:r w:rsidR="00143427" w:rsidRPr="00D90548">
        <w:t xml:space="preserve">, </w:t>
      </w:r>
      <w:r w:rsidR="0070339B" w:rsidRPr="00FD15CB">
        <w:rPr>
          <w:i/>
          <w:iCs/>
        </w:rPr>
        <w:t>Cyclone Pool – Premium determination</w:t>
      </w:r>
      <w:r w:rsidR="006B2584" w:rsidRPr="00FD15CB">
        <w:rPr>
          <w:i/>
          <w:iCs/>
        </w:rPr>
        <w:t xml:space="preserve"> applying from 1 April 202</w:t>
      </w:r>
      <w:r w:rsidR="004771C6">
        <w:rPr>
          <w:i/>
          <w:iCs/>
        </w:rPr>
        <w:t>6</w:t>
      </w:r>
      <w:r w:rsidR="006B2584" w:rsidRPr="00D90548">
        <w:t xml:space="preserve">, page </w:t>
      </w:r>
      <w:r w:rsidR="004771C6">
        <w:t>6</w:t>
      </w:r>
      <w:r w:rsidR="00E45F31" w:rsidRPr="00D90548">
        <w:t xml:space="preserve">. </w:t>
      </w:r>
      <w:hyperlink r:id="rId10" w:history="1">
        <w:r w:rsidR="004771C6" w:rsidRPr="004771C6">
          <w:rPr>
            <w:rStyle w:val="Hyperlink"/>
          </w:rPr>
          <w:t>ARPC website.</w:t>
        </w:r>
      </w:hyperlink>
    </w:p>
  </w:footnote>
  <w:footnote w:id="12">
    <w:p w14:paraId="27206DE5" w14:textId="5BDF3F4D" w:rsidR="003B01CF" w:rsidRPr="00D90548" w:rsidRDefault="003B01CF">
      <w:pPr>
        <w:pStyle w:val="FootnoteText"/>
      </w:pPr>
      <w:r w:rsidRPr="00FD15CB">
        <w:rPr>
          <w:rStyle w:val="FootnoteReference"/>
          <w:sz w:val="20"/>
        </w:rPr>
        <w:footnoteRef/>
      </w:r>
      <w:r w:rsidRPr="00D90548">
        <w:t xml:space="preserve"> </w:t>
      </w:r>
      <w:r w:rsidR="009D353F" w:rsidRPr="00D90548">
        <w:t xml:space="preserve">ACCC, </w:t>
      </w:r>
      <w:r w:rsidR="009D353F" w:rsidRPr="00FD15CB">
        <w:rPr>
          <w:i/>
          <w:iCs/>
        </w:rPr>
        <w:t>Insurance Monitoring</w:t>
      </w:r>
      <w:r w:rsidR="009D353F" w:rsidRPr="00D90548">
        <w:t xml:space="preserve">, 2024, page 10. </w:t>
      </w:r>
      <w:hyperlink r:id="rId11" w:history="1">
        <w:r w:rsidR="009D353F" w:rsidRPr="006806FC">
          <w:rPr>
            <w:rStyle w:val="Hyperlink"/>
          </w:rPr>
          <w:t>ACCC website</w:t>
        </w:r>
      </w:hyperlink>
      <w:r w:rsidR="009D353F" w:rsidRPr="006806FC">
        <w:t>.</w:t>
      </w:r>
    </w:p>
  </w:footnote>
  <w:footnote w:id="13">
    <w:p w14:paraId="50322105" w14:textId="12084B43" w:rsidR="00702272" w:rsidRPr="00D90548" w:rsidRDefault="00702272" w:rsidP="00702272">
      <w:pPr>
        <w:pStyle w:val="FootnoteText"/>
      </w:pPr>
      <w:r w:rsidRPr="00FD15CB">
        <w:rPr>
          <w:rStyle w:val="FootnoteReference"/>
          <w:sz w:val="20"/>
        </w:rPr>
        <w:footnoteRef/>
      </w:r>
      <w:r w:rsidRPr="00D90548">
        <w:t xml:space="preserve"> </w:t>
      </w:r>
      <w:r w:rsidR="00E113EB">
        <w:t>FRL</w:t>
      </w:r>
      <w:r w:rsidRPr="00D90548">
        <w:t xml:space="preserve">, </w:t>
      </w:r>
      <w:r w:rsidR="0062702A">
        <w:rPr>
          <w:i/>
          <w:iCs/>
        </w:rPr>
        <w:t>Competition and Consumer (Price Monitoring – General Insurance Policies) Direction 2022</w:t>
      </w:r>
      <w:r w:rsidRPr="00D90548">
        <w:t>, 2</w:t>
      </w:r>
      <w:r w:rsidR="003C4260">
        <w:t xml:space="preserve">022. </w:t>
      </w:r>
      <w:hyperlink r:id="rId12" w:history="1">
        <w:r w:rsidR="003C4260" w:rsidRPr="003C4260">
          <w:rPr>
            <w:rStyle w:val="Hyperlink"/>
          </w:rPr>
          <w:t>FRL website</w:t>
        </w:r>
      </w:hyperlink>
      <w:r w:rsidR="003C4260">
        <w:t xml:space="preserve">. </w:t>
      </w:r>
    </w:p>
  </w:footnote>
  <w:footnote w:id="14">
    <w:p w14:paraId="2E29A33F" w14:textId="79D256FF" w:rsidR="00702272" w:rsidRDefault="00702272" w:rsidP="00702272">
      <w:pPr>
        <w:pStyle w:val="FootnoteText"/>
      </w:pPr>
      <w:r>
        <w:rPr>
          <w:rStyle w:val="FootnoteReference"/>
        </w:rPr>
        <w:footnoteRef/>
      </w:r>
      <w:r>
        <w:t xml:space="preserve"> ACCC, </w:t>
      </w:r>
      <w:r w:rsidRPr="00CD300B">
        <w:rPr>
          <w:i/>
        </w:rPr>
        <w:t>Insurance monitoring</w:t>
      </w:r>
      <w:r>
        <w:t xml:space="preserve">, 2025, page 29. </w:t>
      </w:r>
      <w:hyperlink r:id="rId13" w:history="1">
        <w:r w:rsidRPr="006806FC">
          <w:rPr>
            <w:rStyle w:val="Hyperlink"/>
          </w:rPr>
          <w:t>ACCC website</w:t>
        </w:r>
      </w:hyperlink>
      <w:r w:rsidRPr="001E6156">
        <w:t>.</w:t>
      </w:r>
      <w:r>
        <w:t xml:space="preserve"> </w:t>
      </w:r>
    </w:p>
  </w:footnote>
  <w:footnote w:id="15">
    <w:p w14:paraId="06AE2DFD" w14:textId="3C2FAB56" w:rsidR="001A2FAA" w:rsidRDefault="001A2FAA">
      <w:pPr>
        <w:pStyle w:val="FootnoteText"/>
      </w:pPr>
      <w:r>
        <w:rPr>
          <w:rStyle w:val="FootnoteReference"/>
        </w:rPr>
        <w:footnoteRef/>
      </w:r>
      <w:r>
        <w:t xml:space="preserve"> ACCC, </w:t>
      </w:r>
      <w:r w:rsidR="00BC2F28" w:rsidRPr="006F53AC">
        <w:rPr>
          <w:i/>
        </w:rPr>
        <w:t>Insurance monitoring</w:t>
      </w:r>
      <w:r w:rsidR="00BC2F28">
        <w:t xml:space="preserve">, 2025, page 1. </w:t>
      </w:r>
      <w:hyperlink r:id="rId14" w:history="1">
        <w:r w:rsidR="00BC2F28" w:rsidRPr="006806FC">
          <w:rPr>
            <w:rStyle w:val="Hyperlink"/>
          </w:rPr>
          <w:t>ACCC website</w:t>
        </w:r>
      </w:hyperlink>
      <w:r w:rsidR="00BC2F28">
        <w:t xml:space="preserve">. </w:t>
      </w:r>
    </w:p>
  </w:footnote>
  <w:footnote w:id="16">
    <w:p w14:paraId="7346956F" w14:textId="140B917A" w:rsidR="00410725" w:rsidRDefault="00410725">
      <w:pPr>
        <w:pStyle w:val="FootnoteText"/>
      </w:pPr>
      <w:r>
        <w:rPr>
          <w:rStyle w:val="FootnoteReference"/>
        </w:rPr>
        <w:footnoteRef/>
      </w:r>
      <w:r>
        <w:t xml:space="preserve"> ACCC, </w:t>
      </w:r>
      <w:r w:rsidRPr="006F53AC">
        <w:rPr>
          <w:i/>
        </w:rPr>
        <w:t>Insurance monitoring</w:t>
      </w:r>
      <w:r>
        <w:t xml:space="preserve">, 2025, page 3. </w:t>
      </w:r>
      <w:hyperlink r:id="rId15" w:history="1">
        <w:r w:rsidRPr="00AD33EE">
          <w:rPr>
            <w:rStyle w:val="Hyperlink"/>
          </w:rPr>
          <w:t>ACCC website</w:t>
        </w:r>
      </w:hyperlink>
      <w:r>
        <w:t xml:space="preserve">. </w:t>
      </w:r>
    </w:p>
  </w:footnote>
  <w:footnote w:id="17">
    <w:p w14:paraId="772D265D" w14:textId="3F9CE1AA" w:rsidR="006E3102" w:rsidRDefault="006E3102">
      <w:pPr>
        <w:pStyle w:val="FootnoteText"/>
      </w:pPr>
      <w:r>
        <w:rPr>
          <w:rStyle w:val="FootnoteReference"/>
        </w:rPr>
        <w:footnoteRef/>
      </w:r>
      <w:r>
        <w:t xml:space="preserve"> ACCC, </w:t>
      </w:r>
      <w:r w:rsidRPr="006F53AC">
        <w:rPr>
          <w:i/>
        </w:rPr>
        <w:t>Insurance monitoring</w:t>
      </w:r>
      <w:r>
        <w:t xml:space="preserve">, 2025, page 4. </w:t>
      </w:r>
      <w:hyperlink r:id="rId16" w:history="1">
        <w:r w:rsidRPr="00EE339A">
          <w:rPr>
            <w:rStyle w:val="Hyperlink"/>
          </w:rPr>
          <w:t>ACCC website</w:t>
        </w:r>
      </w:hyperlink>
      <w:r>
        <w:t xml:space="preserve">. </w:t>
      </w:r>
    </w:p>
  </w:footnote>
  <w:footnote w:id="18">
    <w:p w14:paraId="5CA5CB20" w14:textId="65B4AE99" w:rsidR="00A6396A" w:rsidRDefault="00A6396A">
      <w:pPr>
        <w:pStyle w:val="FootnoteText"/>
      </w:pPr>
      <w:r>
        <w:rPr>
          <w:rStyle w:val="FootnoteReference"/>
        </w:rPr>
        <w:footnoteRef/>
      </w:r>
      <w:r>
        <w:t xml:space="preserve"> ACCC, </w:t>
      </w:r>
      <w:r w:rsidRPr="006F53AC">
        <w:rPr>
          <w:i/>
        </w:rPr>
        <w:t>Insurance monitoring</w:t>
      </w:r>
      <w:r>
        <w:t xml:space="preserve">, 2025, page 5. </w:t>
      </w:r>
      <w:hyperlink r:id="rId17" w:history="1">
        <w:r w:rsidRPr="00A6396A">
          <w:rPr>
            <w:rStyle w:val="Hyperlink"/>
          </w:rPr>
          <w:t>ACCC website</w:t>
        </w:r>
      </w:hyperlink>
      <w:r>
        <w:t>.</w:t>
      </w:r>
    </w:p>
  </w:footnote>
  <w:footnote w:id="19">
    <w:p w14:paraId="56435C69" w14:textId="1D572805" w:rsidR="00702272" w:rsidRDefault="00702272" w:rsidP="00702272">
      <w:pPr>
        <w:pStyle w:val="FootnoteText"/>
      </w:pPr>
      <w:r w:rsidRPr="290743DB">
        <w:rPr>
          <w:rStyle w:val="FootnoteReference"/>
        </w:rPr>
        <w:footnoteRef/>
      </w:r>
      <w:r>
        <w:t xml:space="preserve"> ACCC, </w:t>
      </w:r>
      <w:r w:rsidRPr="00051313">
        <w:rPr>
          <w:i/>
          <w:iCs/>
        </w:rPr>
        <w:t>Insurance monitoring</w:t>
      </w:r>
      <w:r>
        <w:t xml:space="preserve">, 2025, page 28. </w:t>
      </w:r>
      <w:hyperlink r:id="rId18" w:history="1">
        <w:r w:rsidRPr="002A67CA">
          <w:rPr>
            <w:rStyle w:val="Hyperlink"/>
          </w:rPr>
          <w:t>ACCC website</w:t>
        </w:r>
      </w:hyperlink>
      <w:r>
        <w:t>.</w:t>
      </w:r>
    </w:p>
  </w:footnote>
  <w:footnote w:id="20">
    <w:p w14:paraId="0273B8D3" w14:textId="307E5C27" w:rsidR="00C10BC4" w:rsidRPr="00D90548" w:rsidRDefault="00C10BC4">
      <w:pPr>
        <w:pStyle w:val="FootnoteText"/>
      </w:pPr>
      <w:r w:rsidRPr="00FD15CB">
        <w:rPr>
          <w:rStyle w:val="FootnoteReference"/>
          <w:sz w:val="20"/>
        </w:rPr>
        <w:footnoteRef/>
      </w:r>
      <w:r w:rsidRPr="00D90548">
        <w:t xml:space="preserve"> </w:t>
      </w:r>
      <w:r w:rsidR="00A744FD" w:rsidRPr="00D90548">
        <w:t xml:space="preserve">Adam Solomon, </w:t>
      </w:r>
      <w:r w:rsidR="007075EB" w:rsidRPr="00FD15CB">
        <w:rPr>
          <w:i/>
          <w:iCs/>
        </w:rPr>
        <w:t>Insuring Correlated Climate Risk: Evidence from Public Reinsurance</w:t>
      </w:r>
      <w:r w:rsidR="007075EB" w:rsidRPr="00D90548">
        <w:t xml:space="preserve">, 2024, page 4. </w:t>
      </w:r>
    </w:p>
  </w:footnote>
  <w:footnote w:id="21">
    <w:p w14:paraId="0FE3F37E" w14:textId="327E3042" w:rsidR="00692DEE" w:rsidRPr="00D90548" w:rsidRDefault="00692DEE">
      <w:pPr>
        <w:pStyle w:val="FootnoteText"/>
      </w:pPr>
      <w:r w:rsidRPr="00FD15CB">
        <w:rPr>
          <w:rStyle w:val="FootnoteReference"/>
          <w:sz w:val="20"/>
        </w:rPr>
        <w:footnoteRef/>
      </w:r>
      <w:r w:rsidRPr="00D90548">
        <w:t xml:space="preserve"> ARPC, </w:t>
      </w:r>
      <w:r w:rsidR="00670CAF" w:rsidRPr="00FD15CB">
        <w:rPr>
          <w:i/>
          <w:iCs/>
        </w:rPr>
        <w:t>Cyclone Reinsurance Pool Premium Assessment</w:t>
      </w:r>
      <w:r w:rsidR="00670CAF" w:rsidRPr="00D90548">
        <w:t xml:space="preserve">, 2025, page 5. </w:t>
      </w:r>
      <w:hyperlink r:id="rId19" w:history="1">
        <w:r w:rsidR="00670CAF" w:rsidRPr="00D90548">
          <w:rPr>
            <w:rStyle w:val="Hyperlink"/>
          </w:rPr>
          <w:t>ARPC website</w:t>
        </w:r>
      </w:hyperlink>
      <w:r w:rsidR="00670CAF" w:rsidRPr="00D90548">
        <w:t xml:space="preserve">. </w:t>
      </w:r>
    </w:p>
  </w:footnote>
  <w:footnote w:id="22">
    <w:p w14:paraId="38211E6D" w14:textId="78C36BEB" w:rsidR="00D510E3" w:rsidRPr="00D90548" w:rsidRDefault="00D510E3" w:rsidP="00D510E3">
      <w:pPr>
        <w:pStyle w:val="FootnoteText"/>
      </w:pPr>
      <w:r w:rsidRPr="00FD15CB">
        <w:rPr>
          <w:rStyle w:val="FootnoteReference"/>
          <w:sz w:val="20"/>
        </w:rPr>
        <w:footnoteRef/>
      </w:r>
      <w:r w:rsidRPr="00D90548">
        <w:t xml:space="preserve"> ARPC, </w:t>
      </w:r>
      <w:r w:rsidRPr="00FD15CB">
        <w:rPr>
          <w:i/>
          <w:iCs/>
        </w:rPr>
        <w:t>Cyclone Reinsurance Pool Premium Assessment</w:t>
      </w:r>
      <w:r w:rsidRPr="00D90548">
        <w:t xml:space="preserve">, 2025, page 7. </w:t>
      </w:r>
      <w:hyperlink r:id="rId20" w:history="1">
        <w:r w:rsidRPr="00D90548">
          <w:rPr>
            <w:rStyle w:val="Hyperlink"/>
          </w:rPr>
          <w:t>ARPC website</w:t>
        </w:r>
      </w:hyperlink>
      <w:r w:rsidRPr="00D90548">
        <w:t>.</w:t>
      </w:r>
    </w:p>
  </w:footnote>
  <w:footnote w:id="23">
    <w:p w14:paraId="10B3C528" w14:textId="6FC37D00" w:rsidR="00AB2257" w:rsidRPr="00D90548" w:rsidRDefault="00AB2257" w:rsidP="00AB2257">
      <w:pPr>
        <w:pStyle w:val="FootnoteText"/>
      </w:pPr>
      <w:r w:rsidRPr="00FD15CB">
        <w:rPr>
          <w:rStyle w:val="FootnoteReference"/>
          <w:sz w:val="20"/>
        </w:rPr>
        <w:footnoteRef/>
      </w:r>
      <w:r w:rsidRPr="00D90548">
        <w:t xml:space="preserve"> ARPC, </w:t>
      </w:r>
      <w:r w:rsidRPr="00FD15CB">
        <w:rPr>
          <w:i/>
          <w:iCs/>
        </w:rPr>
        <w:t>Cyclone Reinsurance Pool Premium Assessment</w:t>
      </w:r>
      <w:r w:rsidRPr="00D90548">
        <w:t xml:space="preserve">, 2025, page 8. </w:t>
      </w:r>
      <w:hyperlink r:id="rId21" w:history="1">
        <w:r w:rsidRPr="00D90548">
          <w:rPr>
            <w:rStyle w:val="Hyperlink"/>
          </w:rPr>
          <w:t>ARPC website</w:t>
        </w:r>
      </w:hyperlink>
      <w:r w:rsidRPr="00D90548">
        <w:t>.</w:t>
      </w:r>
    </w:p>
  </w:footnote>
  <w:footnote w:id="24">
    <w:p w14:paraId="53585B42" w14:textId="16DAFFC7" w:rsidR="000B0CB7" w:rsidRPr="00D90548" w:rsidRDefault="000B0CB7">
      <w:pPr>
        <w:pStyle w:val="FootnoteText"/>
      </w:pPr>
      <w:r w:rsidRPr="00FD15CB">
        <w:rPr>
          <w:rStyle w:val="FootnoteReference"/>
          <w:sz w:val="20"/>
        </w:rPr>
        <w:footnoteRef/>
      </w:r>
      <w:r w:rsidRPr="00D90548">
        <w:t xml:space="preserve"> ARPC, </w:t>
      </w:r>
      <w:r w:rsidRPr="00FD15CB">
        <w:rPr>
          <w:i/>
          <w:iCs/>
        </w:rPr>
        <w:t>Cyclone Reinsurance Pool Premium Assessment</w:t>
      </w:r>
      <w:r w:rsidRPr="00D90548">
        <w:t xml:space="preserve">, 2025, page 9. </w:t>
      </w:r>
      <w:hyperlink r:id="rId22" w:history="1">
        <w:r w:rsidR="00133C28" w:rsidRPr="00D90548">
          <w:rPr>
            <w:rStyle w:val="Hyperlink"/>
          </w:rPr>
          <w:t>ARPC website</w:t>
        </w:r>
      </w:hyperlink>
      <w:r w:rsidR="00133C28" w:rsidRPr="00D90548">
        <w:t>.</w:t>
      </w:r>
    </w:p>
  </w:footnote>
  <w:footnote w:id="25">
    <w:p w14:paraId="0B45C8B3" w14:textId="561ACE1D" w:rsidR="00C82540" w:rsidRPr="00B07994" w:rsidRDefault="00C82540">
      <w:pPr>
        <w:pStyle w:val="FootnoteText"/>
      </w:pPr>
      <w:r>
        <w:rPr>
          <w:rStyle w:val="FootnoteReference"/>
        </w:rPr>
        <w:footnoteRef/>
      </w:r>
      <w:r>
        <w:t xml:space="preserve"> FRL, </w:t>
      </w:r>
      <w:r>
        <w:rPr>
          <w:i/>
          <w:iCs/>
        </w:rPr>
        <w:t>Terrorism and Cyclone Insurance Act 2003</w:t>
      </w:r>
      <w:r w:rsidR="00B07994">
        <w:rPr>
          <w:i/>
          <w:iCs/>
        </w:rPr>
        <w:t xml:space="preserve">, </w:t>
      </w:r>
      <w:r w:rsidR="00B07994">
        <w:t>Section 8D(b)</w:t>
      </w:r>
      <w:r w:rsidR="000C5FEB">
        <w:t xml:space="preserve">. </w:t>
      </w:r>
      <w:hyperlink r:id="rId23" w:history="1">
        <w:r w:rsidR="000C5FEB" w:rsidRPr="000246B0">
          <w:rPr>
            <w:rStyle w:val="Hyperlink"/>
          </w:rPr>
          <w:t>FRL website</w:t>
        </w:r>
      </w:hyperlink>
      <w:r w:rsidR="000C5FEB">
        <w:t>.</w:t>
      </w:r>
    </w:p>
  </w:footnote>
  <w:footnote w:id="26">
    <w:p w14:paraId="0BC825B6" w14:textId="49946E7A" w:rsidR="00040B93" w:rsidRDefault="00040B93">
      <w:pPr>
        <w:pStyle w:val="FootnoteText"/>
      </w:pPr>
      <w:r>
        <w:rPr>
          <w:rStyle w:val="FootnoteReference"/>
        </w:rPr>
        <w:footnoteRef/>
      </w:r>
      <w:r>
        <w:t xml:space="preserve"> ARPC, </w:t>
      </w:r>
      <w:r w:rsidR="004E5B57" w:rsidRPr="008D3448">
        <w:rPr>
          <w:i/>
          <w:iCs/>
        </w:rPr>
        <w:t>ARPC publishes Cyclone Reinsurance Pool Premium Rates,</w:t>
      </w:r>
      <w:r w:rsidR="004E5B57">
        <w:t xml:space="preserve"> 2025. </w:t>
      </w:r>
      <w:hyperlink r:id="rId24" w:history="1">
        <w:r w:rsidR="004E5B57" w:rsidRPr="004E5B57">
          <w:rPr>
            <w:rStyle w:val="Hyperlink"/>
          </w:rPr>
          <w:t>ARPC website.</w:t>
        </w:r>
      </w:hyperlink>
    </w:p>
  </w:footnote>
  <w:footnote w:id="27">
    <w:p w14:paraId="04B87109" w14:textId="02E51983" w:rsidR="00F52ECE" w:rsidRDefault="00F52ECE">
      <w:pPr>
        <w:pStyle w:val="FootnoteText"/>
      </w:pPr>
      <w:r>
        <w:rPr>
          <w:rStyle w:val="FootnoteReference"/>
        </w:rPr>
        <w:footnoteRef/>
      </w:r>
      <w:r>
        <w:t xml:space="preserve"> ARPC, </w:t>
      </w:r>
      <w:r w:rsidR="0054604A" w:rsidRPr="0054604A">
        <w:rPr>
          <w:i/>
          <w:iCs/>
        </w:rPr>
        <w:t>Cyclone Reinsurance Pool Statistics Report March 2025</w:t>
      </w:r>
      <w:r w:rsidR="0054604A">
        <w:t>, 2025</w:t>
      </w:r>
      <w:r w:rsidR="00DF4F5A">
        <w:t>, page 10</w:t>
      </w:r>
      <w:r w:rsidR="0054604A">
        <w:t xml:space="preserve">. </w:t>
      </w:r>
      <w:hyperlink r:id="rId25" w:history="1">
        <w:r w:rsidR="0054604A" w:rsidRPr="00596E1A">
          <w:rPr>
            <w:rStyle w:val="Hyperlink"/>
          </w:rPr>
          <w:t>ARPC website</w:t>
        </w:r>
      </w:hyperlink>
      <w:r w:rsidR="0054604A">
        <w:t>.</w:t>
      </w:r>
    </w:p>
  </w:footnote>
  <w:footnote w:id="28">
    <w:p w14:paraId="7AC31364" w14:textId="77777777" w:rsidR="00D118CD" w:rsidRPr="00D90548" w:rsidRDefault="00D118CD">
      <w:pPr>
        <w:pStyle w:val="FootnoteText"/>
      </w:pPr>
      <w:r w:rsidRPr="00FD15CB">
        <w:rPr>
          <w:rStyle w:val="FootnoteReference"/>
          <w:sz w:val="20"/>
        </w:rPr>
        <w:footnoteRef/>
      </w:r>
      <w:r w:rsidRPr="00D90548">
        <w:t xml:space="preserve"> </w:t>
      </w:r>
      <w:r w:rsidR="00A641D3" w:rsidRPr="00D90548">
        <w:t xml:space="preserve">ARPC, </w:t>
      </w:r>
      <w:r w:rsidR="00A641D3" w:rsidRPr="00FD15CB">
        <w:rPr>
          <w:i/>
          <w:iCs/>
        </w:rPr>
        <w:t>Declarations</w:t>
      </w:r>
      <w:r w:rsidR="00A641D3" w:rsidRPr="00D90548">
        <w:t xml:space="preserve">. </w:t>
      </w:r>
      <w:hyperlink r:id="rId26" w:history="1">
        <w:r w:rsidR="00A641D3" w:rsidRPr="00D90548">
          <w:rPr>
            <w:rStyle w:val="Hyperlink"/>
          </w:rPr>
          <w:t>ARPC website.</w:t>
        </w:r>
      </w:hyperlink>
      <w:r w:rsidR="00A641D3" w:rsidRPr="00D90548">
        <w:t xml:space="preserve"> </w:t>
      </w:r>
    </w:p>
  </w:footnote>
  <w:footnote w:id="29">
    <w:p w14:paraId="0B1D0528" w14:textId="6FCC588E" w:rsidR="00454361" w:rsidRPr="00D90548" w:rsidRDefault="00454361">
      <w:pPr>
        <w:pStyle w:val="FootnoteText"/>
      </w:pPr>
      <w:r w:rsidRPr="00FD15CB">
        <w:rPr>
          <w:rStyle w:val="FootnoteReference"/>
          <w:sz w:val="20"/>
        </w:rPr>
        <w:footnoteRef/>
      </w:r>
      <w:r w:rsidRPr="00D90548">
        <w:t xml:space="preserve"> ARPC, </w:t>
      </w:r>
      <w:r w:rsidRPr="00FD15CB">
        <w:rPr>
          <w:i/>
          <w:iCs/>
        </w:rPr>
        <w:t>Tropical Cyclone Jasper Ends</w:t>
      </w:r>
      <w:r w:rsidRPr="00D90548">
        <w:t xml:space="preserve">. </w:t>
      </w:r>
      <w:hyperlink r:id="rId27" w:history="1">
        <w:r w:rsidRPr="00D90548">
          <w:rPr>
            <w:rStyle w:val="Hyperlink"/>
          </w:rPr>
          <w:t>ARPC website.</w:t>
        </w:r>
      </w:hyperlink>
      <w:r w:rsidRPr="00D90548">
        <w:t xml:space="preserve"> </w:t>
      </w:r>
    </w:p>
  </w:footnote>
  <w:footnote w:id="30">
    <w:p w14:paraId="0117739F" w14:textId="285F1E89" w:rsidR="008100DD" w:rsidRPr="00D90548" w:rsidRDefault="008100DD">
      <w:pPr>
        <w:pStyle w:val="FootnoteText"/>
      </w:pPr>
      <w:r w:rsidRPr="00FD15CB">
        <w:rPr>
          <w:rStyle w:val="FootnoteReference"/>
          <w:sz w:val="20"/>
        </w:rPr>
        <w:footnoteRef/>
      </w:r>
      <w:r w:rsidRPr="00D90548">
        <w:t xml:space="preserve"> ICA, </w:t>
      </w:r>
      <w:r w:rsidRPr="00FD15CB">
        <w:rPr>
          <w:i/>
          <w:iCs/>
        </w:rPr>
        <w:t>Catastrophe 232: Tropical Cyclone Jasper</w:t>
      </w:r>
      <w:r w:rsidRPr="00D90548">
        <w:t xml:space="preserve">. </w:t>
      </w:r>
      <w:hyperlink r:id="rId28" w:history="1">
        <w:r w:rsidRPr="00D90548">
          <w:rPr>
            <w:rStyle w:val="Hyperlink"/>
          </w:rPr>
          <w:t>ICA website.</w:t>
        </w:r>
      </w:hyperlink>
      <w:r w:rsidRPr="00D90548">
        <w:t xml:space="preserve"> </w:t>
      </w:r>
    </w:p>
  </w:footnote>
  <w:footnote w:id="31">
    <w:p w14:paraId="02A5A792" w14:textId="0111F656" w:rsidR="009A6DA1" w:rsidRPr="00D90548" w:rsidRDefault="009A6DA1">
      <w:pPr>
        <w:pStyle w:val="FootnoteText"/>
      </w:pPr>
      <w:r w:rsidRPr="00FD15CB">
        <w:rPr>
          <w:rStyle w:val="FootnoteReference"/>
          <w:sz w:val="20"/>
        </w:rPr>
        <w:footnoteRef/>
      </w:r>
      <w:r w:rsidRPr="00D90548">
        <w:t xml:space="preserve"> ACCC, </w:t>
      </w:r>
      <w:r w:rsidR="00D76ABB" w:rsidRPr="00FD15CB">
        <w:rPr>
          <w:i/>
          <w:iCs/>
        </w:rPr>
        <w:t>Insurance Monitoring</w:t>
      </w:r>
      <w:r w:rsidR="00D76ABB" w:rsidRPr="00D90548">
        <w:t xml:space="preserve">, </w:t>
      </w:r>
      <w:r w:rsidR="004B2E46">
        <w:t xml:space="preserve">2024, </w:t>
      </w:r>
      <w:r w:rsidR="00B847AA" w:rsidRPr="00D90548">
        <w:t>page 1</w:t>
      </w:r>
      <w:r w:rsidR="007C4882">
        <w:t>8</w:t>
      </w:r>
      <w:r w:rsidR="00B847AA" w:rsidRPr="00D90548">
        <w:t xml:space="preserve">. </w:t>
      </w:r>
      <w:hyperlink r:id="rId29" w:history="1">
        <w:r w:rsidR="00B847AA" w:rsidRPr="00D90548">
          <w:rPr>
            <w:rStyle w:val="Hyperlink"/>
          </w:rPr>
          <w:t>ACCC website</w:t>
        </w:r>
      </w:hyperlink>
      <w:r w:rsidR="00B847AA" w:rsidRPr="00D90548">
        <w:t xml:space="preserve">. </w:t>
      </w:r>
    </w:p>
  </w:footnote>
  <w:footnote w:id="32">
    <w:p w14:paraId="157B2F4B" w14:textId="2923EFC6" w:rsidR="004F27FD" w:rsidRPr="00D90548" w:rsidRDefault="004F27FD" w:rsidP="004F27FD">
      <w:pPr>
        <w:pStyle w:val="FootnoteText"/>
      </w:pPr>
      <w:r w:rsidRPr="00FD15CB">
        <w:rPr>
          <w:rStyle w:val="FootnoteReference"/>
          <w:sz w:val="20"/>
        </w:rPr>
        <w:footnoteRef/>
      </w:r>
      <w:r w:rsidRPr="00D90548">
        <w:t xml:space="preserve"> Joint Select Committee on Northern Australia, </w:t>
      </w:r>
      <w:r w:rsidRPr="009855BD">
        <w:rPr>
          <w:i/>
          <w:iCs/>
        </w:rPr>
        <w:t>First Report on the Cyclone Reinsurance Pool</w:t>
      </w:r>
      <w:r w:rsidRPr="00D90548">
        <w:t xml:space="preserve">, 2025, page 59. </w:t>
      </w:r>
      <w:hyperlink r:id="rId30" w:history="1">
        <w:r w:rsidRPr="00D90548">
          <w:rPr>
            <w:rStyle w:val="Hyperlink"/>
          </w:rPr>
          <w:t>APH website.</w:t>
        </w:r>
      </w:hyperlink>
    </w:p>
  </w:footnote>
  <w:footnote w:id="33">
    <w:p w14:paraId="29B69AE7" w14:textId="37CA6E0F" w:rsidR="007C1D5C" w:rsidRPr="00D90548" w:rsidRDefault="007C1D5C">
      <w:pPr>
        <w:pStyle w:val="FootnoteText"/>
      </w:pPr>
      <w:r w:rsidRPr="005F698B">
        <w:rPr>
          <w:rStyle w:val="FootnoteReference"/>
          <w:sz w:val="20"/>
        </w:rPr>
        <w:footnoteRef/>
      </w:r>
      <w:r w:rsidRPr="00D90548">
        <w:t xml:space="preserve"> ARPC, </w:t>
      </w:r>
      <w:r w:rsidR="00C85B8F" w:rsidRPr="005F698B">
        <w:rPr>
          <w:i/>
          <w:iCs/>
        </w:rPr>
        <w:t>ARPC publishes modelling of Cyclone Pool coverage period</w:t>
      </w:r>
      <w:r w:rsidR="00C85B8F" w:rsidRPr="00D90548">
        <w:t xml:space="preserve">, 2024. </w:t>
      </w:r>
      <w:hyperlink r:id="rId31" w:anchor=":~:text=The%20actuarial%20modelling%20indicates%20that,million%2C%20or%20approximately%205%25." w:history="1">
        <w:r w:rsidR="00C85B8F" w:rsidRPr="00D90548">
          <w:rPr>
            <w:rStyle w:val="Hyperlink"/>
          </w:rPr>
          <w:t>ARPC website.</w:t>
        </w:r>
      </w:hyperlink>
      <w:r w:rsidR="00C85B8F" w:rsidRPr="00D90548">
        <w:t xml:space="preserve"> </w:t>
      </w:r>
    </w:p>
  </w:footnote>
  <w:footnote w:id="34">
    <w:p w14:paraId="541A8CD3" w14:textId="62B2510D" w:rsidR="00181DEB" w:rsidRPr="00D90548" w:rsidRDefault="00181DEB">
      <w:pPr>
        <w:pStyle w:val="FootnoteText"/>
      </w:pPr>
      <w:r w:rsidRPr="005F698B">
        <w:rPr>
          <w:rStyle w:val="FootnoteReference"/>
          <w:sz w:val="20"/>
        </w:rPr>
        <w:footnoteRef/>
      </w:r>
      <w:r w:rsidRPr="00D90548">
        <w:t xml:space="preserve"> Joint Select Committee on Northern Australia, </w:t>
      </w:r>
      <w:r w:rsidRPr="005F698B">
        <w:rPr>
          <w:i/>
          <w:iCs/>
        </w:rPr>
        <w:t>First Report on the Cyclone Reinsurance Pool</w:t>
      </w:r>
      <w:r w:rsidRPr="00D90548">
        <w:t xml:space="preserve">, 2025, page 63. </w:t>
      </w:r>
      <w:hyperlink r:id="rId32" w:history="1">
        <w:r w:rsidRPr="00D90548">
          <w:rPr>
            <w:rStyle w:val="Hyperlink"/>
          </w:rPr>
          <w:t>APH website.</w:t>
        </w:r>
      </w:hyperlink>
    </w:p>
  </w:footnote>
  <w:footnote w:id="35">
    <w:p w14:paraId="48F52015" w14:textId="6DDC480F" w:rsidR="007173CF" w:rsidRPr="00D90548" w:rsidRDefault="007173CF">
      <w:pPr>
        <w:pStyle w:val="FootnoteText"/>
      </w:pPr>
      <w:r w:rsidRPr="005F698B">
        <w:rPr>
          <w:rStyle w:val="FootnoteReference"/>
          <w:sz w:val="20"/>
        </w:rPr>
        <w:footnoteRef/>
      </w:r>
      <w:r w:rsidRPr="00D90548">
        <w:t xml:space="preserve"> Joint Select Committee on Northern Australia, </w:t>
      </w:r>
      <w:r w:rsidRPr="00FD15CB">
        <w:rPr>
          <w:i/>
          <w:iCs/>
        </w:rPr>
        <w:t>First Report on the Cyclone Reinsurance Pool</w:t>
      </w:r>
      <w:r w:rsidRPr="00D90548">
        <w:t xml:space="preserve">, 2025, page </w:t>
      </w:r>
      <w:r w:rsidR="00CA3138" w:rsidRPr="00D90548">
        <w:t>6</w:t>
      </w:r>
      <w:r w:rsidR="007003A2" w:rsidRPr="00D90548">
        <w:t>1 and 6</w:t>
      </w:r>
      <w:r w:rsidR="00C35309" w:rsidRPr="00D90548">
        <w:t>2</w:t>
      </w:r>
      <w:r w:rsidR="00181DEB" w:rsidRPr="00D90548">
        <w:t xml:space="preserve">. </w:t>
      </w:r>
      <w:hyperlink r:id="rId33" w:history="1">
        <w:r w:rsidRPr="00D90548">
          <w:rPr>
            <w:rStyle w:val="Hyperlink"/>
          </w:rPr>
          <w:t>APH website.</w:t>
        </w:r>
      </w:hyperlink>
    </w:p>
  </w:footnote>
  <w:footnote w:id="36">
    <w:p w14:paraId="3EC38615" w14:textId="1B1DB5D4" w:rsidR="008F50E3" w:rsidRPr="009855BD" w:rsidRDefault="008F50E3" w:rsidP="008F50E3">
      <w:pPr>
        <w:pStyle w:val="footnotedescription"/>
        <w:tabs>
          <w:tab w:val="center" w:pos="1861"/>
        </w:tabs>
        <w:ind w:left="0"/>
        <w:rPr>
          <w:rFonts w:ascii="Calibri Light" w:hAnsi="Calibri Light" w:cs="Calibri Light"/>
          <w:sz w:val="20"/>
          <w:szCs w:val="20"/>
        </w:rPr>
      </w:pPr>
      <w:r w:rsidRPr="005F698B">
        <w:rPr>
          <w:rStyle w:val="footnotemark"/>
          <w:rFonts w:ascii="Calibri Light" w:hAnsi="Calibri Light" w:cs="Calibri Light"/>
          <w:sz w:val="20"/>
          <w:szCs w:val="20"/>
        </w:rPr>
        <w:footnoteRef/>
      </w:r>
      <w:r w:rsidRPr="005F698B">
        <w:rPr>
          <w:rFonts w:ascii="Calibri Light" w:hAnsi="Calibri Light" w:cs="Calibri Light"/>
          <w:sz w:val="20"/>
          <w:szCs w:val="20"/>
        </w:rPr>
        <w:t xml:space="preserve"> </w:t>
      </w:r>
      <w:r w:rsidR="00A2220E" w:rsidRPr="005F698B">
        <w:rPr>
          <w:rFonts w:ascii="Calibri Light" w:hAnsi="Calibri Light" w:cs="Calibri Light"/>
          <w:sz w:val="20"/>
          <w:szCs w:val="20"/>
        </w:rPr>
        <w:t>FRL,</w:t>
      </w:r>
      <w:r w:rsidRPr="005F698B">
        <w:rPr>
          <w:rFonts w:ascii="Calibri Light" w:hAnsi="Calibri Light" w:cs="Calibri Light"/>
          <w:sz w:val="20"/>
          <w:szCs w:val="20"/>
        </w:rPr>
        <w:t xml:space="preserve"> </w:t>
      </w:r>
      <w:r w:rsidRPr="005F698B">
        <w:rPr>
          <w:rFonts w:ascii="Calibri Light" w:hAnsi="Calibri Light" w:cs="Calibri Light"/>
          <w:i/>
          <w:sz w:val="20"/>
          <w:szCs w:val="20"/>
        </w:rPr>
        <w:t xml:space="preserve">Terrorism </w:t>
      </w:r>
      <w:r w:rsidR="00A2220E" w:rsidRPr="005F698B">
        <w:rPr>
          <w:rFonts w:ascii="Calibri Light" w:hAnsi="Calibri Light" w:cs="Calibri Light"/>
          <w:i/>
          <w:sz w:val="20"/>
          <w:szCs w:val="20"/>
        </w:rPr>
        <w:t xml:space="preserve">and Cyclone </w:t>
      </w:r>
      <w:r w:rsidRPr="005F698B">
        <w:rPr>
          <w:rFonts w:ascii="Calibri Light" w:hAnsi="Calibri Light" w:cs="Calibri Light"/>
          <w:i/>
          <w:sz w:val="20"/>
          <w:szCs w:val="20"/>
        </w:rPr>
        <w:t>Insurance Act 2003</w:t>
      </w:r>
      <w:r w:rsidR="00A2220E" w:rsidRPr="005F698B">
        <w:rPr>
          <w:rFonts w:ascii="Calibri Light" w:hAnsi="Calibri Light" w:cs="Calibri Light"/>
          <w:i/>
          <w:sz w:val="20"/>
          <w:szCs w:val="20"/>
        </w:rPr>
        <w:t xml:space="preserve">, </w:t>
      </w:r>
      <w:r w:rsidR="00A2220E" w:rsidRPr="005F698B">
        <w:rPr>
          <w:rFonts w:ascii="Calibri Light" w:hAnsi="Calibri Light" w:cs="Calibri Light"/>
          <w:sz w:val="20"/>
          <w:szCs w:val="20"/>
        </w:rPr>
        <w:t>Section</w:t>
      </w:r>
      <w:r w:rsidR="00DA46A0" w:rsidRPr="005F698B">
        <w:rPr>
          <w:rFonts w:ascii="Calibri Light" w:hAnsi="Calibri Light" w:cs="Calibri Light"/>
          <w:sz w:val="20"/>
          <w:szCs w:val="20"/>
        </w:rPr>
        <w:t xml:space="preserve"> 8</w:t>
      </w:r>
      <w:r w:rsidR="00A2220E" w:rsidRPr="005F698B">
        <w:rPr>
          <w:rFonts w:ascii="Calibri Light" w:hAnsi="Calibri Light" w:cs="Calibri Light"/>
          <w:sz w:val="20"/>
          <w:szCs w:val="20"/>
        </w:rPr>
        <w:t xml:space="preserve">. </w:t>
      </w:r>
      <w:hyperlink r:id="rId34" w:history="1">
        <w:r w:rsidR="00A2220E" w:rsidRPr="005F698B">
          <w:rPr>
            <w:rStyle w:val="Hyperlink"/>
            <w:rFonts w:ascii="Calibri Light" w:hAnsi="Calibri Light" w:cs="Calibri Light"/>
            <w:sz w:val="20"/>
            <w:szCs w:val="20"/>
          </w:rPr>
          <w:t>FRL website.</w:t>
        </w:r>
      </w:hyperlink>
    </w:p>
  </w:footnote>
  <w:footnote w:id="37">
    <w:p w14:paraId="031814F6" w14:textId="7BC43E08" w:rsidR="005076F4" w:rsidRPr="009855BD" w:rsidRDefault="005076F4" w:rsidP="005076F4">
      <w:pPr>
        <w:pStyle w:val="footnotedescription"/>
        <w:tabs>
          <w:tab w:val="center" w:pos="1861"/>
        </w:tabs>
        <w:ind w:left="0"/>
        <w:rPr>
          <w:rFonts w:ascii="Calibri Light" w:hAnsi="Calibri Light" w:cs="Calibri Light"/>
          <w:sz w:val="20"/>
          <w:szCs w:val="20"/>
        </w:rPr>
      </w:pPr>
      <w:r w:rsidRPr="009855BD">
        <w:rPr>
          <w:rStyle w:val="footnotemark"/>
          <w:rFonts w:ascii="Calibri Light" w:hAnsi="Calibri Light" w:cs="Calibri Light"/>
          <w:sz w:val="20"/>
          <w:szCs w:val="20"/>
        </w:rPr>
        <w:footnoteRef/>
      </w:r>
      <w:r w:rsidRPr="009855BD">
        <w:rPr>
          <w:rFonts w:ascii="Calibri Light" w:hAnsi="Calibri Light" w:cs="Calibri Light"/>
          <w:sz w:val="20"/>
          <w:szCs w:val="20"/>
        </w:rPr>
        <w:t xml:space="preserve"> </w:t>
      </w:r>
      <w:r w:rsidR="00342A34" w:rsidRPr="009855BD">
        <w:rPr>
          <w:rFonts w:ascii="Calibri Light" w:hAnsi="Calibri Light" w:cs="Calibri Light"/>
          <w:sz w:val="20"/>
          <w:szCs w:val="20"/>
        </w:rPr>
        <w:t>FRL,</w:t>
      </w:r>
      <w:r w:rsidRPr="009855BD">
        <w:rPr>
          <w:rFonts w:ascii="Calibri Light" w:hAnsi="Calibri Light" w:cs="Calibri Light"/>
          <w:sz w:val="20"/>
          <w:szCs w:val="20"/>
        </w:rPr>
        <w:t xml:space="preserve"> </w:t>
      </w:r>
      <w:r w:rsidRPr="009855BD">
        <w:rPr>
          <w:rFonts w:ascii="Calibri Light" w:hAnsi="Calibri Light" w:cs="Calibri Light"/>
          <w:i/>
          <w:sz w:val="20"/>
          <w:szCs w:val="20"/>
        </w:rPr>
        <w:t xml:space="preserve">Terrorism </w:t>
      </w:r>
      <w:r w:rsidR="00342A34" w:rsidRPr="009855BD">
        <w:rPr>
          <w:rFonts w:ascii="Calibri Light" w:hAnsi="Calibri Light" w:cs="Calibri Light"/>
          <w:i/>
          <w:sz w:val="20"/>
          <w:szCs w:val="20"/>
        </w:rPr>
        <w:t xml:space="preserve">and Cyclone </w:t>
      </w:r>
      <w:r w:rsidRPr="009855BD">
        <w:rPr>
          <w:rFonts w:ascii="Calibri Light" w:hAnsi="Calibri Light" w:cs="Calibri Light"/>
          <w:i/>
          <w:sz w:val="20"/>
          <w:szCs w:val="20"/>
        </w:rPr>
        <w:t>Insurance Act 2003</w:t>
      </w:r>
      <w:r w:rsidR="00342A34" w:rsidRPr="009855BD">
        <w:rPr>
          <w:rFonts w:ascii="Calibri Light" w:hAnsi="Calibri Light" w:cs="Calibri Light"/>
          <w:i/>
          <w:sz w:val="20"/>
          <w:szCs w:val="20"/>
        </w:rPr>
        <w:t xml:space="preserve">, </w:t>
      </w:r>
      <w:r w:rsidR="00342A34" w:rsidRPr="009855BD">
        <w:rPr>
          <w:rFonts w:ascii="Calibri Light" w:hAnsi="Calibri Light" w:cs="Calibri Light"/>
          <w:sz w:val="20"/>
          <w:szCs w:val="20"/>
        </w:rPr>
        <w:t>Section 7</w:t>
      </w:r>
      <w:r w:rsidRPr="009855BD">
        <w:rPr>
          <w:rFonts w:ascii="Calibri Light" w:hAnsi="Calibri Light" w:cs="Calibri Light"/>
          <w:sz w:val="20"/>
          <w:szCs w:val="20"/>
        </w:rPr>
        <w:t xml:space="preserve">(1). </w:t>
      </w:r>
      <w:hyperlink r:id="rId35" w:history="1">
        <w:r w:rsidR="00342A34" w:rsidRPr="009855BD">
          <w:rPr>
            <w:rStyle w:val="Hyperlink"/>
            <w:rFonts w:ascii="Calibri Light" w:hAnsi="Calibri Light" w:cs="Calibri Light"/>
            <w:sz w:val="20"/>
            <w:szCs w:val="20"/>
          </w:rPr>
          <w:t>FRL website.</w:t>
        </w:r>
      </w:hyperlink>
    </w:p>
  </w:footnote>
  <w:footnote w:id="38">
    <w:p w14:paraId="4DE8DEBC" w14:textId="27C59023" w:rsidR="005076F4" w:rsidRPr="005F698B" w:rsidRDefault="005076F4" w:rsidP="005076F4">
      <w:pPr>
        <w:pStyle w:val="footnotedescription"/>
        <w:tabs>
          <w:tab w:val="center" w:pos="2168"/>
        </w:tabs>
        <w:ind w:left="0"/>
        <w:rPr>
          <w:rFonts w:ascii="Calibri Light" w:hAnsi="Calibri Light" w:cs="Calibri Light"/>
          <w:sz w:val="20"/>
          <w:szCs w:val="20"/>
        </w:rPr>
      </w:pPr>
      <w:r w:rsidRPr="005F698B">
        <w:rPr>
          <w:rStyle w:val="footnotemark"/>
          <w:rFonts w:ascii="Calibri Light" w:hAnsi="Calibri Light" w:cs="Calibri Light"/>
          <w:sz w:val="20"/>
          <w:szCs w:val="20"/>
        </w:rPr>
        <w:footnoteRef/>
      </w:r>
      <w:r w:rsidRPr="005F698B">
        <w:rPr>
          <w:rFonts w:ascii="Calibri Light" w:hAnsi="Calibri Light" w:cs="Calibri Light"/>
          <w:sz w:val="20"/>
          <w:szCs w:val="20"/>
        </w:rPr>
        <w:t xml:space="preserve"> </w:t>
      </w:r>
      <w:r w:rsidR="0080419B" w:rsidRPr="005F698B">
        <w:rPr>
          <w:rFonts w:ascii="Calibri Light" w:hAnsi="Calibri Light" w:cs="Calibri Light"/>
          <w:sz w:val="20"/>
          <w:szCs w:val="20"/>
        </w:rPr>
        <w:t>FRL,</w:t>
      </w:r>
      <w:r w:rsidRPr="005F698B">
        <w:rPr>
          <w:rFonts w:ascii="Calibri Light" w:hAnsi="Calibri Light" w:cs="Calibri Light"/>
          <w:sz w:val="20"/>
          <w:szCs w:val="20"/>
        </w:rPr>
        <w:t xml:space="preserve"> </w:t>
      </w:r>
      <w:r w:rsidRPr="005F698B">
        <w:rPr>
          <w:rFonts w:ascii="Calibri Light" w:hAnsi="Calibri Light" w:cs="Calibri Light"/>
          <w:i/>
          <w:sz w:val="20"/>
          <w:szCs w:val="20"/>
        </w:rPr>
        <w:t xml:space="preserve">Terrorism </w:t>
      </w:r>
      <w:r w:rsidR="0080419B" w:rsidRPr="005F698B">
        <w:rPr>
          <w:rFonts w:ascii="Calibri Light" w:hAnsi="Calibri Light" w:cs="Calibri Light"/>
          <w:i/>
          <w:sz w:val="20"/>
          <w:szCs w:val="20"/>
        </w:rPr>
        <w:t xml:space="preserve">and Cyclone </w:t>
      </w:r>
      <w:r w:rsidRPr="005F698B">
        <w:rPr>
          <w:rFonts w:ascii="Calibri Light" w:hAnsi="Calibri Light" w:cs="Calibri Light"/>
          <w:i/>
          <w:sz w:val="20"/>
          <w:szCs w:val="20"/>
        </w:rPr>
        <w:t>Insurance Act 2003</w:t>
      </w:r>
      <w:r w:rsidR="0080419B" w:rsidRPr="005F698B">
        <w:rPr>
          <w:rFonts w:ascii="Calibri Light" w:hAnsi="Calibri Light" w:cs="Calibri Light"/>
          <w:i/>
          <w:sz w:val="20"/>
          <w:szCs w:val="20"/>
        </w:rPr>
        <w:t xml:space="preserve">, </w:t>
      </w:r>
      <w:r w:rsidR="0080419B" w:rsidRPr="005F698B">
        <w:rPr>
          <w:rFonts w:ascii="Calibri Light" w:hAnsi="Calibri Light" w:cs="Calibri Light"/>
          <w:sz w:val="20"/>
          <w:szCs w:val="20"/>
        </w:rPr>
        <w:t xml:space="preserve">Section 3. </w:t>
      </w:r>
      <w:hyperlink r:id="rId36" w:history="1">
        <w:r w:rsidR="0080419B" w:rsidRPr="005F698B">
          <w:rPr>
            <w:rStyle w:val="Hyperlink"/>
            <w:rFonts w:ascii="Calibri Light" w:hAnsi="Calibri Light" w:cs="Calibri Light"/>
            <w:sz w:val="20"/>
            <w:szCs w:val="20"/>
          </w:rPr>
          <w:t>FRL website.</w:t>
        </w:r>
      </w:hyperlink>
    </w:p>
  </w:footnote>
  <w:footnote w:id="39">
    <w:p w14:paraId="79B5A312" w14:textId="38942948" w:rsidR="005076F4" w:rsidRPr="005F698B" w:rsidRDefault="005076F4" w:rsidP="005076F4">
      <w:pPr>
        <w:pStyle w:val="footnotedescription"/>
        <w:tabs>
          <w:tab w:val="center" w:pos="2156"/>
        </w:tabs>
        <w:ind w:left="0"/>
        <w:rPr>
          <w:rFonts w:ascii="Calibri Light" w:hAnsi="Calibri Light" w:cs="Calibri Light"/>
          <w:sz w:val="20"/>
          <w:szCs w:val="20"/>
        </w:rPr>
      </w:pPr>
      <w:r w:rsidRPr="005F698B">
        <w:rPr>
          <w:rStyle w:val="footnotemark"/>
          <w:rFonts w:ascii="Calibri Light" w:hAnsi="Calibri Light" w:cs="Calibri Light"/>
          <w:sz w:val="20"/>
          <w:szCs w:val="20"/>
        </w:rPr>
        <w:footnoteRef/>
      </w:r>
      <w:r w:rsidRPr="005F698B">
        <w:rPr>
          <w:rFonts w:ascii="Calibri Light" w:hAnsi="Calibri Light" w:cs="Calibri Light"/>
          <w:sz w:val="20"/>
          <w:szCs w:val="20"/>
        </w:rPr>
        <w:t xml:space="preserve"> </w:t>
      </w:r>
      <w:r w:rsidR="00FA1C34" w:rsidRPr="005F698B">
        <w:rPr>
          <w:rFonts w:ascii="Calibri Light" w:hAnsi="Calibri Light" w:cs="Calibri Light"/>
          <w:sz w:val="20"/>
          <w:szCs w:val="20"/>
        </w:rPr>
        <w:t>FRL,</w:t>
      </w:r>
      <w:r w:rsidRPr="005F698B">
        <w:rPr>
          <w:rFonts w:ascii="Calibri Light" w:hAnsi="Calibri Light" w:cs="Calibri Light"/>
          <w:sz w:val="20"/>
          <w:szCs w:val="20"/>
        </w:rPr>
        <w:t xml:space="preserve"> </w:t>
      </w:r>
      <w:r w:rsidRPr="005F698B">
        <w:rPr>
          <w:rFonts w:ascii="Calibri Light" w:hAnsi="Calibri Light" w:cs="Calibri Light"/>
          <w:i/>
          <w:sz w:val="20"/>
          <w:szCs w:val="20"/>
        </w:rPr>
        <w:t xml:space="preserve">Terrorism </w:t>
      </w:r>
      <w:r w:rsidR="00D63FEF" w:rsidRPr="005F698B">
        <w:rPr>
          <w:rFonts w:ascii="Calibri Light" w:hAnsi="Calibri Light" w:cs="Calibri Light"/>
          <w:i/>
          <w:sz w:val="20"/>
          <w:szCs w:val="20"/>
        </w:rPr>
        <w:t>and Cyclone</w:t>
      </w:r>
      <w:r w:rsidRPr="005F698B">
        <w:rPr>
          <w:rFonts w:ascii="Calibri Light" w:hAnsi="Calibri Light" w:cs="Calibri Light"/>
          <w:i/>
          <w:sz w:val="20"/>
          <w:szCs w:val="20"/>
        </w:rPr>
        <w:t xml:space="preserve"> Insurance Regulations 2003</w:t>
      </w:r>
      <w:r w:rsidRPr="005F698B">
        <w:rPr>
          <w:rFonts w:ascii="Calibri Light" w:hAnsi="Calibri Light" w:cs="Calibri Light"/>
          <w:sz w:val="20"/>
          <w:szCs w:val="20"/>
        </w:rPr>
        <w:t>,</w:t>
      </w:r>
      <w:r w:rsidR="00D63FEF" w:rsidRPr="005F698B">
        <w:rPr>
          <w:rFonts w:ascii="Calibri Light" w:hAnsi="Calibri Light" w:cs="Calibri Light"/>
          <w:sz w:val="20"/>
          <w:szCs w:val="20"/>
        </w:rPr>
        <w:t xml:space="preserve"> </w:t>
      </w:r>
      <w:r w:rsidR="000C5CEC" w:rsidRPr="005F698B">
        <w:rPr>
          <w:rFonts w:ascii="Calibri Light" w:hAnsi="Calibri Light" w:cs="Calibri Light"/>
          <w:sz w:val="20"/>
          <w:szCs w:val="20"/>
        </w:rPr>
        <w:t>Schedule 1</w:t>
      </w:r>
      <w:r w:rsidR="001E673E" w:rsidRPr="005F698B">
        <w:rPr>
          <w:rFonts w:ascii="Calibri Light" w:hAnsi="Calibri Light" w:cs="Calibri Light"/>
          <w:sz w:val="20"/>
          <w:szCs w:val="20"/>
        </w:rPr>
        <w:t xml:space="preserve">. </w:t>
      </w:r>
      <w:hyperlink r:id="rId37" w:history="1">
        <w:r w:rsidR="001E673E" w:rsidRPr="005F698B">
          <w:rPr>
            <w:rStyle w:val="Hyperlink"/>
            <w:rFonts w:ascii="Calibri Light" w:hAnsi="Calibri Light" w:cs="Calibri Light"/>
            <w:sz w:val="20"/>
            <w:szCs w:val="20"/>
          </w:rPr>
          <w:t xml:space="preserve">FRL website. </w:t>
        </w:r>
      </w:hyperlink>
      <w:r w:rsidRPr="005F698B">
        <w:rPr>
          <w:rFonts w:ascii="Calibri Light" w:hAnsi="Calibri Light" w:cs="Calibri Light"/>
          <w:sz w:val="20"/>
          <w:szCs w:val="20"/>
        </w:rPr>
        <w:t xml:space="preserve"> </w:t>
      </w:r>
    </w:p>
  </w:footnote>
  <w:footnote w:id="40">
    <w:p w14:paraId="483DD30A" w14:textId="36C55200" w:rsidR="005076F4" w:rsidRPr="005F698B" w:rsidRDefault="005076F4" w:rsidP="005076F4">
      <w:pPr>
        <w:pStyle w:val="footnotedescription"/>
        <w:tabs>
          <w:tab w:val="center" w:pos="4550"/>
        </w:tabs>
        <w:ind w:left="0"/>
        <w:rPr>
          <w:rFonts w:ascii="Calibri Light" w:hAnsi="Calibri Light" w:cs="Calibri Light"/>
          <w:sz w:val="20"/>
          <w:szCs w:val="20"/>
        </w:rPr>
      </w:pPr>
      <w:r w:rsidRPr="005F698B">
        <w:rPr>
          <w:rStyle w:val="footnotemark"/>
          <w:rFonts w:ascii="Calibri Light" w:hAnsi="Calibri Light" w:cs="Calibri Light"/>
          <w:sz w:val="20"/>
          <w:szCs w:val="20"/>
        </w:rPr>
        <w:footnoteRef/>
      </w:r>
      <w:r w:rsidRPr="005F698B">
        <w:rPr>
          <w:rFonts w:ascii="Calibri Light" w:hAnsi="Calibri Light" w:cs="Calibri Light"/>
          <w:sz w:val="20"/>
          <w:szCs w:val="20"/>
        </w:rPr>
        <w:t xml:space="preserve"> Treasury</w:t>
      </w:r>
      <w:r w:rsidR="004E2F3D" w:rsidRPr="005F698B">
        <w:rPr>
          <w:rFonts w:ascii="Calibri Light" w:hAnsi="Calibri Light" w:cs="Calibri Light"/>
          <w:sz w:val="20"/>
          <w:szCs w:val="20"/>
        </w:rPr>
        <w:t xml:space="preserve">, </w:t>
      </w:r>
      <w:r w:rsidRPr="00856E81">
        <w:rPr>
          <w:rFonts w:ascii="Calibri Light" w:hAnsi="Calibri Light" w:cs="Calibri Light"/>
          <w:i/>
          <w:iCs/>
          <w:sz w:val="20"/>
          <w:szCs w:val="20"/>
        </w:rPr>
        <w:t>Terrorism Insurance Act Review</w:t>
      </w:r>
      <w:r w:rsidR="00D225B8" w:rsidRPr="005F698B">
        <w:rPr>
          <w:rFonts w:ascii="Calibri Light" w:hAnsi="Calibri Light" w:cs="Calibri Light"/>
          <w:sz w:val="20"/>
          <w:szCs w:val="20"/>
        </w:rPr>
        <w:t>, 2015</w:t>
      </w:r>
      <w:r w:rsidRPr="005F698B">
        <w:rPr>
          <w:rFonts w:ascii="Calibri Light" w:hAnsi="Calibri Light" w:cs="Calibri Light"/>
          <w:sz w:val="20"/>
          <w:szCs w:val="20"/>
        </w:rPr>
        <w:t xml:space="preserve">, page 25. </w:t>
      </w:r>
      <w:hyperlink r:id="rId38" w:history="1">
        <w:r w:rsidR="00D225B8" w:rsidRPr="005F698B">
          <w:rPr>
            <w:rStyle w:val="Hyperlink"/>
            <w:rFonts w:ascii="Calibri Light" w:hAnsi="Calibri Light" w:cs="Calibri Light"/>
            <w:sz w:val="20"/>
            <w:szCs w:val="20"/>
          </w:rPr>
          <w:t>Treasury website.</w:t>
        </w:r>
      </w:hyperlink>
      <w:r w:rsidR="00D225B8" w:rsidRPr="005F698B">
        <w:rPr>
          <w:rFonts w:ascii="Calibri Light" w:hAnsi="Calibri Light" w:cs="Calibri Light"/>
          <w:sz w:val="20"/>
          <w:szCs w:val="20"/>
        </w:rPr>
        <w:t xml:space="preserve"> </w:t>
      </w:r>
    </w:p>
  </w:footnote>
  <w:footnote w:id="41">
    <w:p w14:paraId="06D5F6E3" w14:textId="6B55E5CD" w:rsidR="005076F4" w:rsidRPr="005F698B" w:rsidRDefault="005076F4" w:rsidP="005076F4">
      <w:pPr>
        <w:pStyle w:val="footnotedescription"/>
        <w:tabs>
          <w:tab w:val="center" w:pos="2201"/>
        </w:tabs>
        <w:ind w:left="0"/>
        <w:rPr>
          <w:rFonts w:ascii="Calibri Light" w:hAnsi="Calibri Light" w:cs="Calibri Light"/>
          <w:sz w:val="20"/>
          <w:szCs w:val="20"/>
        </w:rPr>
      </w:pPr>
      <w:r w:rsidRPr="005F698B">
        <w:rPr>
          <w:rStyle w:val="footnotemark"/>
          <w:rFonts w:ascii="Calibri Light" w:hAnsi="Calibri Light" w:cs="Calibri Light"/>
          <w:sz w:val="20"/>
          <w:szCs w:val="20"/>
        </w:rPr>
        <w:footnoteRef/>
      </w:r>
      <w:r w:rsidRPr="005F698B">
        <w:rPr>
          <w:rFonts w:ascii="Calibri Light" w:hAnsi="Calibri Light" w:cs="Calibri Light"/>
          <w:sz w:val="20"/>
          <w:szCs w:val="20"/>
        </w:rPr>
        <w:t xml:space="preserve"> </w:t>
      </w:r>
      <w:r w:rsidR="0040155C" w:rsidRPr="005F698B">
        <w:rPr>
          <w:rFonts w:ascii="Calibri Light" w:hAnsi="Calibri Light" w:cs="Calibri Light"/>
          <w:sz w:val="20"/>
          <w:szCs w:val="20"/>
        </w:rPr>
        <w:t>FRL,</w:t>
      </w:r>
      <w:r w:rsidRPr="005F698B">
        <w:rPr>
          <w:rFonts w:ascii="Calibri Light" w:hAnsi="Calibri Light" w:cs="Calibri Light"/>
          <w:sz w:val="20"/>
          <w:szCs w:val="20"/>
        </w:rPr>
        <w:t xml:space="preserve"> </w:t>
      </w:r>
      <w:r w:rsidRPr="005F698B">
        <w:rPr>
          <w:rFonts w:ascii="Calibri Light" w:hAnsi="Calibri Light" w:cs="Calibri Light"/>
          <w:i/>
          <w:sz w:val="20"/>
          <w:szCs w:val="20"/>
        </w:rPr>
        <w:t xml:space="preserve">Terrorism </w:t>
      </w:r>
      <w:r w:rsidR="0040155C" w:rsidRPr="005F698B">
        <w:rPr>
          <w:rFonts w:ascii="Calibri Light" w:hAnsi="Calibri Light" w:cs="Calibri Light"/>
          <w:i/>
          <w:sz w:val="20"/>
          <w:szCs w:val="20"/>
        </w:rPr>
        <w:t xml:space="preserve">and Cyclone </w:t>
      </w:r>
      <w:r w:rsidRPr="005F698B">
        <w:rPr>
          <w:rFonts w:ascii="Calibri Light" w:hAnsi="Calibri Light" w:cs="Calibri Light"/>
          <w:i/>
          <w:sz w:val="20"/>
          <w:szCs w:val="20"/>
        </w:rPr>
        <w:t>Insurance Regulations 2003</w:t>
      </w:r>
      <w:r w:rsidR="0040155C" w:rsidRPr="005F698B">
        <w:rPr>
          <w:rFonts w:ascii="Calibri Light" w:hAnsi="Calibri Light" w:cs="Calibri Light"/>
          <w:sz w:val="20"/>
          <w:szCs w:val="20"/>
        </w:rPr>
        <w:t xml:space="preserve">, Schedule 1. </w:t>
      </w:r>
      <w:hyperlink r:id="rId39" w:history="1">
        <w:r w:rsidR="0040155C" w:rsidRPr="005F698B">
          <w:rPr>
            <w:rStyle w:val="Hyperlink"/>
            <w:rFonts w:ascii="Calibri Light" w:hAnsi="Calibri Light" w:cs="Calibri Light"/>
            <w:sz w:val="20"/>
            <w:szCs w:val="20"/>
          </w:rPr>
          <w:t xml:space="preserve">FRL website. </w:t>
        </w:r>
      </w:hyperlink>
    </w:p>
  </w:footnote>
  <w:footnote w:id="42">
    <w:p w14:paraId="7D8479EB" w14:textId="4AE788DD" w:rsidR="00482E67" w:rsidRPr="00D90548" w:rsidRDefault="00482E67">
      <w:pPr>
        <w:pStyle w:val="FootnoteText"/>
        <w:rPr>
          <w:rFonts w:cs="Calibri Light"/>
        </w:rPr>
      </w:pPr>
      <w:r w:rsidRPr="005F698B">
        <w:rPr>
          <w:rStyle w:val="FootnoteReference"/>
          <w:rFonts w:cs="Calibri Light"/>
          <w:sz w:val="20"/>
        </w:rPr>
        <w:footnoteRef/>
      </w:r>
      <w:r w:rsidRPr="00D90548">
        <w:rPr>
          <w:rFonts w:cs="Calibri Light"/>
        </w:rPr>
        <w:t xml:space="preserve"> </w:t>
      </w:r>
      <w:r w:rsidR="001C7423" w:rsidRPr="00D90548">
        <w:rPr>
          <w:rFonts w:cs="Calibri Light"/>
        </w:rPr>
        <w:t xml:space="preserve">Treasury, </w:t>
      </w:r>
      <w:r w:rsidR="001C7423" w:rsidRPr="005F698B">
        <w:rPr>
          <w:rFonts w:cs="Calibri Light"/>
          <w:i/>
          <w:iCs/>
        </w:rPr>
        <w:t>Terrorism Insurance Act Review</w:t>
      </w:r>
      <w:r w:rsidR="001C7423" w:rsidRPr="00D90548">
        <w:rPr>
          <w:rFonts w:cs="Calibri Light"/>
        </w:rPr>
        <w:t xml:space="preserve">, 2021, page </w:t>
      </w:r>
      <w:r w:rsidR="00480792" w:rsidRPr="00D90548">
        <w:rPr>
          <w:rFonts w:cs="Calibri Light"/>
        </w:rPr>
        <w:t xml:space="preserve">5 and </w:t>
      </w:r>
      <w:r w:rsidR="00AE2913" w:rsidRPr="00D90548">
        <w:rPr>
          <w:rFonts w:cs="Calibri Light"/>
        </w:rPr>
        <w:t xml:space="preserve">6. </w:t>
      </w:r>
      <w:hyperlink r:id="rId40" w:history="1">
        <w:r w:rsidR="00AE2913" w:rsidRPr="00D90548">
          <w:rPr>
            <w:rStyle w:val="Hyperlink"/>
            <w:rFonts w:cs="Calibri Light"/>
          </w:rPr>
          <w:t>Treasury website</w:t>
        </w:r>
      </w:hyperlink>
      <w:r w:rsidR="00AE2913" w:rsidRPr="00D90548">
        <w:rPr>
          <w:rFonts w:cs="Calibri Light"/>
        </w:rPr>
        <w:t xml:space="preserve">. </w:t>
      </w:r>
    </w:p>
  </w:footnote>
  <w:footnote w:id="43">
    <w:p w14:paraId="5B2CFAB1" w14:textId="3F979DCE" w:rsidR="002D790D" w:rsidRPr="006F4B0A" w:rsidRDefault="002D790D" w:rsidP="002D790D">
      <w:pPr>
        <w:pStyle w:val="FootnoteText"/>
      </w:pPr>
      <w:r w:rsidRPr="009855BD">
        <w:rPr>
          <w:rStyle w:val="FootnoteReference"/>
          <w:sz w:val="20"/>
        </w:rPr>
        <w:footnoteRef/>
      </w:r>
      <w:r w:rsidRPr="006F4B0A">
        <w:t xml:space="preserve"> Treasury, </w:t>
      </w:r>
      <w:r w:rsidRPr="009855BD">
        <w:rPr>
          <w:i/>
          <w:iCs/>
        </w:rPr>
        <w:t>Terrorism Insurance Act Review</w:t>
      </w:r>
      <w:r w:rsidRPr="006F4B0A">
        <w:t>, 201</w:t>
      </w:r>
      <w:r w:rsidR="008535E4">
        <w:t>8</w:t>
      </w:r>
      <w:r w:rsidRPr="006F4B0A">
        <w:t xml:space="preserve">, page 3, </w:t>
      </w:r>
      <w:hyperlink r:id="rId41" w:history="1">
        <w:r w:rsidRPr="006F4B0A">
          <w:rPr>
            <w:rStyle w:val="Hyperlink"/>
          </w:rPr>
          <w:t>Treasury website</w:t>
        </w:r>
      </w:hyperlink>
      <w:r w:rsidR="00421E53">
        <w:t xml:space="preserve"> and </w:t>
      </w:r>
      <w:r w:rsidR="00D37007">
        <w:t xml:space="preserve">ARPC, </w:t>
      </w:r>
      <w:r w:rsidR="00124EF6">
        <w:t xml:space="preserve">Annual Report 2016-17, page 6. </w:t>
      </w:r>
      <w:hyperlink r:id="rId42" w:history="1">
        <w:r w:rsidR="00124EF6" w:rsidRPr="00851E5E">
          <w:rPr>
            <w:rStyle w:val="Hyperlink"/>
          </w:rPr>
          <w:t>ARPC website</w:t>
        </w:r>
      </w:hyperlink>
      <w:r w:rsidR="00124EF6">
        <w:t>.</w:t>
      </w:r>
    </w:p>
  </w:footnote>
  <w:footnote w:id="44">
    <w:p w14:paraId="679A3E6D" w14:textId="757470BA" w:rsidR="002D790D" w:rsidRDefault="002D790D" w:rsidP="002D790D">
      <w:pPr>
        <w:pStyle w:val="FootnoteText"/>
      </w:pPr>
      <w:r w:rsidRPr="009855BD">
        <w:rPr>
          <w:rStyle w:val="FootnoteReference"/>
          <w:sz w:val="20"/>
        </w:rPr>
        <w:footnoteRef/>
      </w:r>
      <w:r w:rsidRPr="006F4B0A">
        <w:t xml:space="preserve"> Treasury, </w:t>
      </w:r>
      <w:r w:rsidRPr="009855BD">
        <w:rPr>
          <w:i/>
          <w:iCs/>
        </w:rPr>
        <w:t>Terrorism Insurance Act Review</w:t>
      </w:r>
      <w:r w:rsidRPr="006F4B0A">
        <w:t>, 201</w:t>
      </w:r>
      <w:r w:rsidR="002B6032">
        <w:t>8</w:t>
      </w:r>
      <w:r w:rsidRPr="006F4B0A">
        <w:t xml:space="preserve">, page 3, </w:t>
      </w:r>
      <w:hyperlink r:id="rId43" w:history="1">
        <w:r w:rsidRPr="006F4B0A">
          <w:rPr>
            <w:rStyle w:val="Hyperlink"/>
          </w:rPr>
          <w:t>Treasury website</w:t>
        </w:r>
      </w:hyperlink>
    </w:p>
  </w:footnote>
  <w:footnote w:id="45">
    <w:p w14:paraId="06303808" w14:textId="0F1580A4" w:rsidR="00DE2517" w:rsidRPr="00D90548" w:rsidRDefault="00DE2517">
      <w:pPr>
        <w:pStyle w:val="FootnoteText"/>
      </w:pPr>
      <w:r w:rsidRPr="009855BD">
        <w:rPr>
          <w:rStyle w:val="FootnoteReference"/>
          <w:sz w:val="20"/>
        </w:rPr>
        <w:footnoteRef/>
      </w:r>
      <w:r w:rsidRPr="00D90548">
        <w:t xml:space="preserve"> ARPC, </w:t>
      </w:r>
      <w:r w:rsidR="00BA2359" w:rsidRPr="009855BD">
        <w:rPr>
          <w:i/>
          <w:iCs/>
        </w:rPr>
        <w:t>ARPC Annual Report 2023</w:t>
      </w:r>
      <w:r w:rsidR="00010AF4" w:rsidRPr="009855BD">
        <w:rPr>
          <w:szCs w:val="22"/>
        </w:rPr>
        <w:t>–</w:t>
      </w:r>
      <w:r w:rsidR="00BA2359" w:rsidRPr="009855BD">
        <w:rPr>
          <w:i/>
          <w:iCs/>
        </w:rPr>
        <w:t>24</w:t>
      </w:r>
      <w:r w:rsidR="00BA2359" w:rsidRPr="00D90548">
        <w:t xml:space="preserve">, page </w:t>
      </w:r>
      <w:r w:rsidR="00CB4A44" w:rsidRPr="00D90548">
        <w:t xml:space="preserve">28 and </w:t>
      </w:r>
      <w:r w:rsidR="00BA2359" w:rsidRPr="00D90548">
        <w:t>31</w:t>
      </w:r>
      <w:r w:rsidR="00C55575" w:rsidRPr="00D90548">
        <w:t>.</w:t>
      </w:r>
      <w:r w:rsidR="00B60494" w:rsidRPr="00D90548">
        <w:t xml:space="preserve"> </w:t>
      </w:r>
      <w:hyperlink r:id="rId44" w:history="1">
        <w:r w:rsidR="00B60494" w:rsidRPr="00D90548">
          <w:rPr>
            <w:rStyle w:val="Hyperlink"/>
          </w:rPr>
          <w:t xml:space="preserve">ARPC website. </w:t>
        </w:r>
      </w:hyperlink>
      <w:r w:rsidR="00B60494" w:rsidRPr="00D90548">
        <w:t xml:space="preserve"> </w:t>
      </w:r>
    </w:p>
  </w:footnote>
  <w:footnote w:id="46">
    <w:p w14:paraId="5F5E75C7" w14:textId="35A6B259" w:rsidR="009A076F" w:rsidRPr="00D90548" w:rsidRDefault="009A076F">
      <w:pPr>
        <w:pStyle w:val="FootnoteText"/>
      </w:pPr>
      <w:r w:rsidRPr="009855BD">
        <w:rPr>
          <w:rStyle w:val="FootnoteReference"/>
          <w:sz w:val="20"/>
        </w:rPr>
        <w:footnoteRef/>
      </w:r>
      <w:r w:rsidRPr="00D90548">
        <w:t xml:space="preserve"> ARPC, </w:t>
      </w:r>
      <w:r w:rsidRPr="009855BD">
        <w:rPr>
          <w:i/>
          <w:iCs/>
        </w:rPr>
        <w:t>ARPC finalises 2025 terrorism retrocession program</w:t>
      </w:r>
      <w:r w:rsidRPr="00D90548">
        <w:t xml:space="preserve">, 2025. </w:t>
      </w:r>
      <w:hyperlink r:id="rId45" w:anchor=":~:text=The%20retrocession%2C%20of%20%242.15%20billion,and%20other%20eligible%20property%20assets." w:history="1">
        <w:r w:rsidRPr="00D90548">
          <w:rPr>
            <w:rStyle w:val="Hyperlink"/>
          </w:rPr>
          <w:t>APRC website</w:t>
        </w:r>
      </w:hyperlink>
      <w:r w:rsidRPr="00D90548">
        <w:t xml:space="preserve">. </w:t>
      </w:r>
    </w:p>
  </w:footnote>
  <w:footnote w:id="47">
    <w:p w14:paraId="61F20D92" w14:textId="570D302D" w:rsidR="006D2BC6" w:rsidRPr="00D90548" w:rsidRDefault="006D2BC6">
      <w:pPr>
        <w:pStyle w:val="FootnoteText"/>
      </w:pPr>
      <w:r w:rsidRPr="009855BD">
        <w:rPr>
          <w:rStyle w:val="FootnoteReference"/>
          <w:sz w:val="20"/>
        </w:rPr>
        <w:footnoteRef/>
      </w:r>
      <w:r w:rsidRPr="00D90548">
        <w:t xml:space="preserve"> </w:t>
      </w:r>
      <w:r w:rsidR="006E0BC1" w:rsidRPr="00D90548">
        <w:t xml:space="preserve">FRL, </w:t>
      </w:r>
      <w:r w:rsidR="006E0BC1" w:rsidRPr="009855BD">
        <w:rPr>
          <w:i/>
          <w:iCs/>
        </w:rPr>
        <w:t>Terrorism and Cyclone Insurance (Payments) Direction 2025</w:t>
      </w:r>
      <w:r w:rsidR="006E0BC1" w:rsidRPr="00D90548">
        <w:t xml:space="preserve">, </w:t>
      </w:r>
      <w:r w:rsidR="00363B17" w:rsidRPr="00D90548">
        <w:t xml:space="preserve">2025. </w:t>
      </w:r>
      <w:hyperlink r:id="rId46" w:history="1">
        <w:r w:rsidR="00363B17" w:rsidRPr="00D90548">
          <w:rPr>
            <w:rStyle w:val="Hyperlink"/>
          </w:rPr>
          <w:t>FRL website.</w:t>
        </w:r>
      </w:hyperlink>
      <w:r w:rsidR="00363B17" w:rsidRPr="00D90548">
        <w:t xml:space="preserve"> </w:t>
      </w:r>
    </w:p>
  </w:footnote>
  <w:footnote w:id="48">
    <w:p w14:paraId="10DE225F" w14:textId="46F4CACD" w:rsidR="00466077" w:rsidRPr="00D90548" w:rsidRDefault="00466077" w:rsidP="00466077">
      <w:pPr>
        <w:pStyle w:val="FootnoteText"/>
      </w:pPr>
      <w:r w:rsidRPr="009855BD">
        <w:rPr>
          <w:rStyle w:val="FootnoteReference"/>
          <w:sz w:val="20"/>
        </w:rPr>
        <w:footnoteRef/>
      </w:r>
      <w:r w:rsidRPr="00D90548">
        <w:t xml:space="preserve"> Treasury, </w:t>
      </w:r>
      <w:r w:rsidRPr="009855BD">
        <w:rPr>
          <w:i/>
          <w:iCs/>
        </w:rPr>
        <w:t>Terrorism Insurance Act Review</w:t>
      </w:r>
      <w:r w:rsidRPr="00D90548">
        <w:t xml:space="preserve">, 2015, page 19, </w:t>
      </w:r>
      <w:hyperlink r:id="rId47" w:history="1">
        <w:r w:rsidRPr="00D90548">
          <w:rPr>
            <w:rStyle w:val="Hyperlink"/>
          </w:rPr>
          <w:t>Treasury website</w:t>
        </w:r>
      </w:hyperlink>
      <w:r w:rsidR="00624221" w:rsidRPr="00D90548">
        <w:t>.</w:t>
      </w:r>
    </w:p>
  </w:footnote>
  <w:footnote w:id="49">
    <w:p w14:paraId="6AE635D6" w14:textId="3814EF4B" w:rsidR="00A63163" w:rsidRPr="00D90548" w:rsidRDefault="00A63163">
      <w:pPr>
        <w:pStyle w:val="FootnoteText"/>
      </w:pPr>
      <w:r w:rsidRPr="009855BD">
        <w:rPr>
          <w:rStyle w:val="FootnoteReference"/>
          <w:sz w:val="20"/>
        </w:rPr>
        <w:footnoteRef/>
      </w:r>
      <w:r w:rsidRPr="00D90548">
        <w:t xml:space="preserve"> </w:t>
      </w:r>
      <w:r w:rsidR="00C60977" w:rsidRPr="00D90548">
        <w:t xml:space="preserve">Treasury, </w:t>
      </w:r>
      <w:r w:rsidR="00C60977" w:rsidRPr="009855BD">
        <w:rPr>
          <w:i/>
          <w:iCs/>
        </w:rPr>
        <w:t>Terrorism Insurance Act Review</w:t>
      </w:r>
      <w:r w:rsidR="00C60977" w:rsidRPr="00D90548">
        <w:t xml:space="preserve">, 2015, page 20, </w:t>
      </w:r>
      <w:hyperlink r:id="rId48" w:history="1">
        <w:r w:rsidR="00C60977" w:rsidRPr="00D90548">
          <w:rPr>
            <w:rStyle w:val="Hyperlink"/>
          </w:rPr>
          <w:t>Treasury website</w:t>
        </w:r>
      </w:hyperlink>
      <w:r w:rsidR="00624221" w:rsidRPr="00D90548">
        <w:t>.</w:t>
      </w:r>
    </w:p>
  </w:footnote>
  <w:footnote w:id="50">
    <w:p w14:paraId="2F6A43B6" w14:textId="162CDB67" w:rsidR="00466077" w:rsidRPr="00D90548" w:rsidRDefault="00466077" w:rsidP="00466077">
      <w:pPr>
        <w:pStyle w:val="FootnoteText"/>
      </w:pPr>
      <w:r w:rsidRPr="009855BD">
        <w:rPr>
          <w:rStyle w:val="FootnoteReference"/>
          <w:sz w:val="20"/>
        </w:rPr>
        <w:footnoteRef/>
      </w:r>
      <w:r w:rsidRPr="00D90548">
        <w:t xml:space="preserve"> Treasury, </w:t>
      </w:r>
      <w:r w:rsidRPr="009855BD">
        <w:rPr>
          <w:i/>
          <w:iCs/>
        </w:rPr>
        <w:t>Terrorism Insurance Act Review</w:t>
      </w:r>
      <w:r w:rsidRPr="00D90548">
        <w:t xml:space="preserve">, 2015, page 20, </w:t>
      </w:r>
      <w:hyperlink r:id="rId49" w:history="1">
        <w:r w:rsidRPr="00D90548">
          <w:rPr>
            <w:rStyle w:val="Hyperlink"/>
          </w:rPr>
          <w:t>Treasury website</w:t>
        </w:r>
      </w:hyperlink>
      <w:r w:rsidR="00624221" w:rsidRPr="00D90548">
        <w:t>.</w:t>
      </w:r>
    </w:p>
  </w:footnote>
  <w:footnote w:id="51">
    <w:p w14:paraId="7A38F3AA" w14:textId="51E9B903" w:rsidR="00F12DD0" w:rsidRPr="00D90548" w:rsidRDefault="00F12DD0">
      <w:pPr>
        <w:pStyle w:val="FootnoteText"/>
      </w:pPr>
      <w:r w:rsidRPr="009855BD">
        <w:rPr>
          <w:rStyle w:val="FootnoteReference"/>
          <w:sz w:val="20"/>
        </w:rPr>
        <w:footnoteRef/>
      </w:r>
      <w:r w:rsidRPr="00D90548">
        <w:t xml:space="preserve"> Treasury, </w:t>
      </w:r>
      <w:r w:rsidRPr="009855BD">
        <w:rPr>
          <w:i/>
          <w:iCs/>
        </w:rPr>
        <w:t>Terrorism Insurance Act Review</w:t>
      </w:r>
      <w:r w:rsidRPr="00D90548">
        <w:t xml:space="preserve">, 2015, page 21, </w:t>
      </w:r>
      <w:hyperlink r:id="rId50" w:history="1">
        <w:r w:rsidRPr="00D90548">
          <w:rPr>
            <w:rStyle w:val="Hyperlink"/>
          </w:rPr>
          <w:t>Treasury website</w:t>
        </w:r>
      </w:hyperlink>
      <w:r w:rsidR="00624221" w:rsidRPr="00D9054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BCE1"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19C69"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79C7"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6800" w14:textId="77777777" w:rsidR="00E81A40" w:rsidRPr="00963E8D" w:rsidRDefault="00E81A40" w:rsidP="00963E8D">
    <w:pPr>
      <w:pStyle w:val="Header"/>
    </w:pPr>
    <w:r>
      <w:rPr>
        <w:noProof/>
      </w:rPr>
      <w:drawing>
        <wp:anchor distT="0" distB="0" distL="114300" distR="114300" simplePos="0" relativeHeight="251658241" behindDoc="1" locked="1" layoutInCell="1" allowOverlap="1" wp14:anchorId="28F05AB9" wp14:editId="4ED890BF">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E528B"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974596B"/>
    <w:multiLevelType w:val="multilevel"/>
    <w:tmpl w:val="6588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C4E5D"/>
    <w:multiLevelType w:val="multilevel"/>
    <w:tmpl w:val="D10E9CF6"/>
    <w:numStyleLink w:val="OneLevelList"/>
  </w:abstractNum>
  <w:abstractNum w:abstractNumId="5"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6" w15:restartNumberingAfterBreak="0">
    <w:nsid w:val="18FE7E98"/>
    <w:multiLevelType w:val="multilevel"/>
    <w:tmpl w:val="D5D8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5F6671"/>
    <w:multiLevelType w:val="hybridMultilevel"/>
    <w:tmpl w:val="9788D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D0226F"/>
    <w:multiLevelType w:val="hybridMultilevel"/>
    <w:tmpl w:val="7F3EEEDA"/>
    <w:lvl w:ilvl="0" w:tplc="C01200A2">
      <w:start w:val="1"/>
      <w:numFmt w:val="decimal"/>
      <w:lvlText w:val="%1)"/>
      <w:lvlJc w:val="left"/>
      <w:pPr>
        <w:ind w:left="1020" w:hanging="360"/>
      </w:pPr>
    </w:lvl>
    <w:lvl w:ilvl="1" w:tplc="9E62968A">
      <w:start w:val="1"/>
      <w:numFmt w:val="decimal"/>
      <w:lvlText w:val="%2)"/>
      <w:lvlJc w:val="left"/>
      <w:pPr>
        <w:ind w:left="1020" w:hanging="360"/>
      </w:pPr>
    </w:lvl>
    <w:lvl w:ilvl="2" w:tplc="B08208D2">
      <w:start w:val="1"/>
      <w:numFmt w:val="decimal"/>
      <w:lvlText w:val="%3)"/>
      <w:lvlJc w:val="left"/>
      <w:pPr>
        <w:ind w:left="1020" w:hanging="360"/>
      </w:pPr>
    </w:lvl>
    <w:lvl w:ilvl="3" w:tplc="DC66CD32">
      <w:start w:val="1"/>
      <w:numFmt w:val="decimal"/>
      <w:lvlText w:val="%4)"/>
      <w:lvlJc w:val="left"/>
      <w:pPr>
        <w:ind w:left="1020" w:hanging="360"/>
      </w:pPr>
    </w:lvl>
    <w:lvl w:ilvl="4" w:tplc="716A641E">
      <w:start w:val="1"/>
      <w:numFmt w:val="decimal"/>
      <w:lvlText w:val="%5)"/>
      <w:lvlJc w:val="left"/>
      <w:pPr>
        <w:ind w:left="1020" w:hanging="360"/>
      </w:pPr>
    </w:lvl>
    <w:lvl w:ilvl="5" w:tplc="5D5A9A9E">
      <w:start w:val="1"/>
      <w:numFmt w:val="decimal"/>
      <w:lvlText w:val="%6)"/>
      <w:lvlJc w:val="left"/>
      <w:pPr>
        <w:ind w:left="1020" w:hanging="360"/>
      </w:pPr>
    </w:lvl>
    <w:lvl w:ilvl="6" w:tplc="1690D97E">
      <w:start w:val="1"/>
      <w:numFmt w:val="decimal"/>
      <w:lvlText w:val="%7)"/>
      <w:lvlJc w:val="left"/>
      <w:pPr>
        <w:ind w:left="1020" w:hanging="360"/>
      </w:pPr>
    </w:lvl>
    <w:lvl w:ilvl="7" w:tplc="577A6B0C">
      <w:start w:val="1"/>
      <w:numFmt w:val="decimal"/>
      <w:lvlText w:val="%8)"/>
      <w:lvlJc w:val="left"/>
      <w:pPr>
        <w:ind w:left="1020" w:hanging="360"/>
      </w:pPr>
    </w:lvl>
    <w:lvl w:ilvl="8" w:tplc="0D40CD98">
      <w:start w:val="1"/>
      <w:numFmt w:val="decimal"/>
      <w:lvlText w:val="%9)"/>
      <w:lvlJc w:val="left"/>
      <w:pPr>
        <w:ind w:left="1020" w:hanging="360"/>
      </w:pPr>
    </w:lvl>
  </w:abstractNum>
  <w:abstractNum w:abstractNumId="9"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321E6A89"/>
    <w:multiLevelType w:val="hybridMultilevel"/>
    <w:tmpl w:val="9DCAD1E4"/>
    <w:lvl w:ilvl="0" w:tplc="9A08CBDE">
      <w:start w:val="15"/>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2E56D7"/>
    <w:multiLevelType w:val="hybridMultilevel"/>
    <w:tmpl w:val="8508284C"/>
    <w:lvl w:ilvl="0" w:tplc="988EF94C">
      <w:start w:val="2025"/>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0D2021"/>
    <w:multiLevelType w:val="multilevel"/>
    <w:tmpl w:val="72F8140E"/>
    <w:numStyleLink w:val="OutlineList"/>
  </w:abstractNum>
  <w:abstractNum w:abstractNumId="16" w15:restartNumberingAfterBreak="0">
    <w:nsid w:val="65DC6EDA"/>
    <w:multiLevelType w:val="multilevel"/>
    <w:tmpl w:val="E4F0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B41868"/>
    <w:multiLevelType w:val="hybridMultilevel"/>
    <w:tmpl w:val="2A1A8F30"/>
    <w:lvl w:ilvl="0" w:tplc="9278AF2E">
      <w:start w:val="1"/>
      <w:numFmt w:val="bullet"/>
      <w:lvlText w:val="•"/>
      <w:lvlJc w:val="left"/>
      <w:pPr>
        <w:ind w:left="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20980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6E419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FEF41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34F1F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361FB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641F6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62605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285F3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74E4B9C"/>
    <w:multiLevelType w:val="hybridMultilevel"/>
    <w:tmpl w:val="CFAEE3FC"/>
    <w:lvl w:ilvl="0" w:tplc="587C20F6">
      <w:start w:val="30"/>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AF1FDD"/>
    <w:multiLevelType w:val="multilevel"/>
    <w:tmpl w:val="3118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16cid:durableId="1220290535">
    <w:abstractNumId w:val="10"/>
  </w:num>
  <w:num w:numId="2" w16cid:durableId="1706755449">
    <w:abstractNumId w:val="0"/>
  </w:num>
  <w:num w:numId="3" w16cid:durableId="1834367553">
    <w:abstractNumId w:val="13"/>
  </w:num>
  <w:num w:numId="4" w16cid:durableId="223613474">
    <w:abstractNumId w:val="3"/>
  </w:num>
  <w:num w:numId="5" w16cid:durableId="1304890948">
    <w:abstractNumId w:val="4"/>
  </w:num>
  <w:num w:numId="6" w16cid:durableId="1304693621">
    <w:abstractNumId w:val="15"/>
  </w:num>
  <w:num w:numId="7" w16cid:durableId="729502405">
    <w:abstractNumId w:val="12"/>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454401156">
    <w:abstractNumId w:val="5"/>
  </w:num>
  <w:num w:numId="9" w16cid:durableId="285694570">
    <w:abstractNumId w:val="2"/>
  </w:num>
  <w:num w:numId="10" w16cid:durableId="1054505672">
    <w:abstractNumId w:val="9"/>
  </w:num>
  <w:num w:numId="11" w16cid:durableId="77561056">
    <w:abstractNumId w:val="21"/>
  </w:num>
  <w:num w:numId="12" w16cid:durableId="137580172">
    <w:abstractNumId w:val="15"/>
  </w:num>
  <w:num w:numId="13" w16cid:durableId="563218727">
    <w:abstractNumId w:val="9"/>
  </w:num>
  <w:num w:numId="14" w16cid:durableId="1777865357">
    <w:abstractNumId w:val="12"/>
  </w:num>
  <w:num w:numId="15" w16cid:durableId="2092387614">
    <w:abstractNumId w:val="9"/>
  </w:num>
  <w:num w:numId="16" w16cid:durableId="916288654">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0302802">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2433121">
    <w:abstractNumId w:val="0"/>
  </w:num>
  <w:num w:numId="19" w16cid:durableId="1000036491">
    <w:abstractNumId w:val="10"/>
  </w:num>
  <w:num w:numId="20" w16cid:durableId="1614626827">
    <w:abstractNumId w:val="10"/>
  </w:num>
  <w:num w:numId="21" w16cid:durableId="1256090870">
    <w:abstractNumId w:val="10"/>
  </w:num>
  <w:num w:numId="22" w16cid:durableId="1351105441">
    <w:abstractNumId w:val="10"/>
  </w:num>
  <w:num w:numId="23" w16cid:durableId="512577066">
    <w:abstractNumId w:val="10"/>
  </w:num>
  <w:num w:numId="24" w16cid:durableId="1491097783">
    <w:abstractNumId w:val="12"/>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16cid:durableId="1133983262">
    <w:abstractNumId w:val="12"/>
  </w:num>
  <w:num w:numId="26" w16cid:durableId="423962289">
    <w:abstractNumId w:val="5"/>
  </w:num>
  <w:num w:numId="27" w16cid:durableId="124931374">
    <w:abstractNumId w:val="5"/>
  </w:num>
  <w:num w:numId="28" w16cid:durableId="1558320821">
    <w:abstractNumId w:val="5"/>
  </w:num>
  <w:num w:numId="29" w16cid:durableId="818570052">
    <w:abstractNumId w:val="4"/>
  </w:num>
  <w:num w:numId="30" w16cid:durableId="1594774963">
    <w:abstractNumId w:val="13"/>
  </w:num>
  <w:num w:numId="31" w16cid:durableId="860164240">
    <w:abstractNumId w:val="15"/>
  </w:num>
  <w:num w:numId="32" w16cid:durableId="1146824810">
    <w:abstractNumId w:val="15"/>
  </w:num>
  <w:num w:numId="33" w16cid:durableId="144929880">
    <w:abstractNumId w:val="15"/>
  </w:num>
  <w:num w:numId="34" w16cid:durableId="114908659">
    <w:abstractNumId w:val="3"/>
  </w:num>
  <w:num w:numId="35" w16cid:durableId="536553998">
    <w:abstractNumId w:val="9"/>
  </w:num>
  <w:num w:numId="36" w16cid:durableId="512183115">
    <w:abstractNumId w:val="14"/>
  </w:num>
  <w:num w:numId="37" w16cid:durableId="225727003">
    <w:abstractNumId w:val="17"/>
  </w:num>
  <w:num w:numId="38" w16cid:durableId="2110076825">
    <w:abstractNumId w:val="7"/>
  </w:num>
  <w:num w:numId="39" w16cid:durableId="1460760843">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21337913">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18994">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70210010">
    <w:abstractNumId w:val="11"/>
  </w:num>
  <w:num w:numId="43" w16cid:durableId="860436899">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66299721">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91961650">
    <w:abstractNumId w:val="8"/>
  </w:num>
  <w:num w:numId="46" w16cid:durableId="1789160082">
    <w:abstractNumId w:val="18"/>
  </w:num>
  <w:num w:numId="47" w16cid:durableId="744257514">
    <w:abstractNumId w:val="19"/>
  </w:num>
  <w:num w:numId="48" w16cid:durableId="1689793826">
    <w:abstractNumId w:val="1"/>
  </w:num>
  <w:num w:numId="49" w16cid:durableId="162862427">
    <w:abstractNumId w:val="6"/>
  </w:num>
  <w:num w:numId="50" w16cid:durableId="10541612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0C"/>
    <w:rsid w:val="00000285"/>
    <w:rsid w:val="00000319"/>
    <w:rsid w:val="000004DA"/>
    <w:rsid w:val="00000595"/>
    <w:rsid w:val="000005E6"/>
    <w:rsid w:val="000006E8"/>
    <w:rsid w:val="00000852"/>
    <w:rsid w:val="00000885"/>
    <w:rsid w:val="00000AB8"/>
    <w:rsid w:val="00000AD4"/>
    <w:rsid w:val="00000BD3"/>
    <w:rsid w:val="0000103C"/>
    <w:rsid w:val="000012A9"/>
    <w:rsid w:val="00001373"/>
    <w:rsid w:val="00001537"/>
    <w:rsid w:val="000015BE"/>
    <w:rsid w:val="00001791"/>
    <w:rsid w:val="00001950"/>
    <w:rsid w:val="000019FA"/>
    <w:rsid w:val="0000214A"/>
    <w:rsid w:val="000026A9"/>
    <w:rsid w:val="00002744"/>
    <w:rsid w:val="00002792"/>
    <w:rsid w:val="0000294C"/>
    <w:rsid w:val="00002A06"/>
    <w:rsid w:val="00002BC4"/>
    <w:rsid w:val="00002BD8"/>
    <w:rsid w:val="00002BF5"/>
    <w:rsid w:val="00002D6E"/>
    <w:rsid w:val="00002E0D"/>
    <w:rsid w:val="0000308D"/>
    <w:rsid w:val="00003171"/>
    <w:rsid w:val="0000329F"/>
    <w:rsid w:val="00003660"/>
    <w:rsid w:val="000037A0"/>
    <w:rsid w:val="00003A1E"/>
    <w:rsid w:val="00003A26"/>
    <w:rsid w:val="00003B69"/>
    <w:rsid w:val="00003C77"/>
    <w:rsid w:val="00004025"/>
    <w:rsid w:val="00004174"/>
    <w:rsid w:val="000042C9"/>
    <w:rsid w:val="000042F9"/>
    <w:rsid w:val="000043A4"/>
    <w:rsid w:val="00004656"/>
    <w:rsid w:val="000047E9"/>
    <w:rsid w:val="00004806"/>
    <w:rsid w:val="00004A87"/>
    <w:rsid w:val="00004AE9"/>
    <w:rsid w:val="00004B9F"/>
    <w:rsid w:val="00004C8A"/>
    <w:rsid w:val="00004CA6"/>
    <w:rsid w:val="00004D8D"/>
    <w:rsid w:val="00005038"/>
    <w:rsid w:val="000053F0"/>
    <w:rsid w:val="00005553"/>
    <w:rsid w:val="000057F0"/>
    <w:rsid w:val="0000598A"/>
    <w:rsid w:val="00005AB2"/>
    <w:rsid w:val="00005CF6"/>
    <w:rsid w:val="00005EA1"/>
    <w:rsid w:val="00005F45"/>
    <w:rsid w:val="00005F68"/>
    <w:rsid w:val="00006063"/>
    <w:rsid w:val="0000610C"/>
    <w:rsid w:val="000061C3"/>
    <w:rsid w:val="0000645C"/>
    <w:rsid w:val="00006495"/>
    <w:rsid w:val="00006517"/>
    <w:rsid w:val="000066BD"/>
    <w:rsid w:val="000066C6"/>
    <w:rsid w:val="0000691F"/>
    <w:rsid w:val="00006AA1"/>
    <w:rsid w:val="00006AF0"/>
    <w:rsid w:val="00006D7E"/>
    <w:rsid w:val="00006F3F"/>
    <w:rsid w:val="00006F42"/>
    <w:rsid w:val="00006FD7"/>
    <w:rsid w:val="0000700B"/>
    <w:rsid w:val="0000702F"/>
    <w:rsid w:val="000070AF"/>
    <w:rsid w:val="00007300"/>
    <w:rsid w:val="000073D2"/>
    <w:rsid w:val="000076BA"/>
    <w:rsid w:val="000076E9"/>
    <w:rsid w:val="00007B49"/>
    <w:rsid w:val="00007B5F"/>
    <w:rsid w:val="00007D10"/>
    <w:rsid w:val="00010237"/>
    <w:rsid w:val="0001031E"/>
    <w:rsid w:val="0001041B"/>
    <w:rsid w:val="000104DE"/>
    <w:rsid w:val="000105A7"/>
    <w:rsid w:val="0001061B"/>
    <w:rsid w:val="0001077F"/>
    <w:rsid w:val="000107E1"/>
    <w:rsid w:val="00010AD8"/>
    <w:rsid w:val="00010AF4"/>
    <w:rsid w:val="00010B78"/>
    <w:rsid w:val="00010BA1"/>
    <w:rsid w:val="00010C77"/>
    <w:rsid w:val="00010E4F"/>
    <w:rsid w:val="000110E7"/>
    <w:rsid w:val="00011111"/>
    <w:rsid w:val="00011179"/>
    <w:rsid w:val="0001144D"/>
    <w:rsid w:val="00011473"/>
    <w:rsid w:val="000115B4"/>
    <w:rsid w:val="00011725"/>
    <w:rsid w:val="000117F9"/>
    <w:rsid w:val="0001183A"/>
    <w:rsid w:val="00011A37"/>
    <w:rsid w:val="00011B92"/>
    <w:rsid w:val="00011ED5"/>
    <w:rsid w:val="000121EC"/>
    <w:rsid w:val="000125B6"/>
    <w:rsid w:val="00012600"/>
    <w:rsid w:val="000126D8"/>
    <w:rsid w:val="000127F4"/>
    <w:rsid w:val="0001294E"/>
    <w:rsid w:val="00012A88"/>
    <w:rsid w:val="00012C60"/>
    <w:rsid w:val="00012C62"/>
    <w:rsid w:val="00012D70"/>
    <w:rsid w:val="00012E1B"/>
    <w:rsid w:val="000134DA"/>
    <w:rsid w:val="000135EC"/>
    <w:rsid w:val="000136B9"/>
    <w:rsid w:val="0001371A"/>
    <w:rsid w:val="00013740"/>
    <w:rsid w:val="000137DB"/>
    <w:rsid w:val="00013A57"/>
    <w:rsid w:val="00013ACD"/>
    <w:rsid w:val="00013B75"/>
    <w:rsid w:val="00013C63"/>
    <w:rsid w:val="00013E25"/>
    <w:rsid w:val="00013F16"/>
    <w:rsid w:val="00013F37"/>
    <w:rsid w:val="00013F8F"/>
    <w:rsid w:val="00013FB9"/>
    <w:rsid w:val="0001410B"/>
    <w:rsid w:val="000143F8"/>
    <w:rsid w:val="000143FD"/>
    <w:rsid w:val="00014428"/>
    <w:rsid w:val="000147D3"/>
    <w:rsid w:val="0001483E"/>
    <w:rsid w:val="000149D7"/>
    <w:rsid w:val="00014A87"/>
    <w:rsid w:val="00014BED"/>
    <w:rsid w:val="00014ECA"/>
    <w:rsid w:val="0001504F"/>
    <w:rsid w:val="00015157"/>
    <w:rsid w:val="0001557F"/>
    <w:rsid w:val="000155EF"/>
    <w:rsid w:val="0001568B"/>
    <w:rsid w:val="00015A36"/>
    <w:rsid w:val="00015A5C"/>
    <w:rsid w:val="00015A7F"/>
    <w:rsid w:val="00015D7B"/>
    <w:rsid w:val="00015E4E"/>
    <w:rsid w:val="00015F18"/>
    <w:rsid w:val="00016160"/>
    <w:rsid w:val="00016512"/>
    <w:rsid w:val="000167BA"/>
    <w:rsid w:val="000169FB"/>
    <w:rsid w:val="00016AA9"/>
    <w:rsid w:val="00016AB7"/>
    <w:rsid w:val="00016CA8"/>
    <w:rsid w:val="00016CBC"/>
    <w:rsid w:val="00016ECA"/>
    <w:rsid w:val="00016EED"/>
    <w:rsid w:val="00016F80"/>
    <w:rsid w:val="00017075"/>
    <w:rsid w:val="0001707D"/>
    <w:rsid w:val="000170C5"/>
    <w:rsid w:val="000171EE"/>
    <w:rsid w:val="00017411"/>
    <w:rsid w:val="00017846"/>
    <w:rsid w:val="0001794A"/>
    <w:rsid w:val="000179F4"/>
    <w:rsid w:val="00017A61"/>
    <w:rsid w:val="00017C19"/>
    <w:rsid w:val="00017F95"/>
    <w:rsid w:val="00017FDD"/>
    <w:rsid w:val="00020042"/>
    <w:rsid w:val="00020112"/>
    <w:rsid w:val="00020197"/>
    <w:rsid w:val="00020207"/>
    <w:rsid w:val="0002026F"/>
    <w:rsid w:val="0002032D"/>
    <w:rsid w:val="00020432"/>
    <w:rsid w:val="00020516"/>
    <w:rsid w:val="00020905"/>
    <w:rsid w:val="00020909"/>
    <w:rsid w:val="00020A47"/>
    <w:rsid w:val="00020AAF"/>
    <w:rsid w:val="00020C86"/>
    <w:rsid w:val="00020F4B"/>
    <w:rsid w:val="00020FBD"/>
    <w:rsid w:val="00021092"/>
    <w:rsid w:val="000210BC"/>
    <w:rsid w:val="0002140E"/>
    <w:rsid w:val="0002180F"/>
    <w:rsid w:val="00021876"/>
    <w:rsid w:val="000218C0"/>
    <w:rsid w:val="00021951"/>
    <w:rsid w:val="00021CC7"/>
    <w:rsid w:val="00021CE2"/>
    <w:rsid w:val="00021F0F"/>
    <w:rsid w:val="00022238"/>
    <w:rsid w:val="0002245B"/>
    <w:rsid w:val="000227E9"/>
    <w:rsid w:val="000228C2"/>
    <w:rsid w:val="000228DA"/>
    <w:rsid w:val="00022933"/>
    <w:rsid w:val="000229D3"/>
    <w:rsid w:val="00022A6A"/>
    <w:rsid w:val="00022A87"/>
    <w:rsid w:val="00022B3F"/>
    <w:rsid w:val="00022F8F"/>
    <w:rsid w:val="00023383"/>
    <w:rsid w:val="0002348D"/>
    <w:rsid w:val="000237CB"/>
    <w:rsid w:val="0002396A"/>
    <w:rsid w:val="00023A7D"/>
    <w:rsid w:val="00023B3A"/>
    <w:rsid w:val="00023C41"/>
    <w:rsid w:val="0002400E"/>
    <w:rsid w:val="00024281"/>
    <w:rsid w:val="000243D5"/>
    <w:rsid w:val="000243EE"/>
    <w:rsid w:val="0002458E"/>
    <w:rsid w:val="000246B0"/>
    <w:rsid w:val="000246D6"/>
    <w:rsid w:val="0002482D"/>
    <w:rsid w:val="000248AC"/>
    <w:rsid w:val="000249C7"/>
    <w:rsid w:val="00024A86"/>
    <w:rsid w:val="00024CAF"/>
    <w:rsid w:val="00024CFE"/>
    <w:rsid w:val="00024E7F"/>
    <w:rsid w:val="00025357"/>
    <w:rsid w:val="0002544C"/>
    <w:rsid w:val="0002544D"/>
    <w:rsid w:val="00025712"/>
    <w:rsid w:val="00025AC1"/>
    <w:rsid w:val="0002607E"/>
    <w:rsid w:val="00026373"/>
    <w:rsid w:val="00026400"/>
    <w:rsid w:val="00026476"/>
    <w:rsid w:val="0002648A"/>
    <w:rsid w:val="00026572"/>
    <w:rsid w:val="00026720"/>
    <w:rsid w:val="000267D9"/>
    <w:rsid w:val="000268DE"/>
    <w:rsid w:val="00026995"/>
    <w:rsid w:val="00026B66"/>
    <w:rsid w:val="00026BF8"/>
    <w:rsid w:val="00026E3F"/>
    <w:rsid w:val="00026EC4"/>
    <w:rsid w:val="00027152"/>
    <w:rsid w:val="00027400"/>
    <w:rsid w:val="00027416"/>
    <w:rsid w:val="000274DE"/>
    <w:rsid w:val="000275DD"/>
    <w:rsid w:val="000276E8"/>
    <w:rsid w:val="00027966"/>
    <w:rsid w:val="00027A87"/>
    <w:rsid w:val="00027B9C"/>
    <w:rsid w:val="00027C6D"/>
    <w:rsid w:val="00027C85"/>
    <w:rsid w:val="00027D30"/>
    <w:rsid w:val="00027EDD"/>
    <w:rsid w:val="00027F6A"/>
    <w:rsid w:val="00027F94"/>
    <w:rsid w:val="00030066"/>
    <w:rsid w:val="000300FE"/>
    <w:rsid w:val="000301C7"/>
    <w:rsid w:val="000304A6"/>
    <w:rsid w:val="000305CD"/>
    <w:rsid w:val="00030725"/>
    <w:rsid w:val="00030BFC"/>
    <w:rsid w:val="00030DD1"/>
    <w:rsid w:val="00030DF3"/>
    <w:rsid w:val="0003112B"/>
    <w:rsid w:val="000312EE"/>
    <w:rsid w:val="00031439"/>
    <w:rsid w:val="000317CF"/>
    <w:rsid w:val="000318F3"/>
    <w:rsid w:val="000319A6"/>
    <w:rsid w:val="00031ABA"/>
    <w:rsid w:val="00031BF2"/>
    <w:rsid w:val="00031CE6"/>
    <w:rsid w:val="00031D64"/>
    <w:rsid w:val="00031E3A"/>
    <w:rsid w:val="0003229F"/>
    <w:rsid w:val="0003250F"/>
    <w:rsid w:val="00032948"/>
    <w:rsid w:val="00032C10"/>
    <w:rsid w:val="00032D98"/>
    <w:rsid w:val="00032EBC"/>
    <w:rsid w:val="00032ED0"/>
    <w:rsid w:val="00033284"/>
    <w:rsid w:val="0003332B"/>
    <w:rsid w:val="00033586"/>
    <w:rsid w:val="000335CD"/>
    <w:rsid w:val="00033718"/>
    <w:rsid w:val="000337C7"/>
    <w:rsid w:val="0003385D"/>
    <w:rsid w:val="0003387C"/>
    <w:rsid w:val="00033906"/>
    <w:rsid w:val="00033A53"/>
    <w:rsid w:val="00033CC1"/>
    <w:rsid w:val="00033D36"/>
    <w:rsid w:val="00033D61"/>
    <w:rsid w:val="00033EC5"/>
    <w:rsid w:val="00033EFA"/>
    <w:rsid w:val="0003427C"/>
    <w:rsid w:val="000346AF"/>
    <w:rsid w:val="000348A3"/>
    <w:rsid w:val="00034C96"/>
    <w:rsid w:val="00034C97"/>
    <w:rsid w:val="00034D3F"/>
    <w:rsid w:val="000350C9"/>
    <w:rsid w:val="0003528B"/>
    <w:rsid w:val="000355F8"/>
    <w:rsid w:val="0003565D"/>
    <w:rsid w:val="000357CA"/>
    <w:rsid w:val="00035828"/>
    <w:rsid w:val="00035839"/>
    <w:rsid w:val="00035997"/>
    <w:rsid w:val="000359F2"/>
    <w:rsid w:val="00035C46"/>
    <w:rsid w:val="00035D64"/>
    <w:rsid w:val="00035DBA"/>
    <w:rsid w:val="0003601D"/>
    <w:rsid w:val="000360B7"/>
    <w:rsid w:val="00036530"/>
    <w:rsid w:val="000365C5"/>
    <w:rsid w:val="000365F3"/>
    <w:rsid w:val="000368EF"/>
    <w:rsid w:val="00036941"/>
    <w:rsid w:val="00036995"/>
    <w:rsid w:val="00036B53"/>
    <w:rsid w:val="00036DCA"/>
    <w:rsid w:val="00036E87"/>
    <w:rsid w:val="000371B4"/>
    <w:rsid w:val="000372D9"/>
    <w:rsid w:val="00037497"/>
    <w:rsid w:val="000374F1"/>
    <w:rsid w:val="000376EB"/>
    <w:rsid w:val="0003798B"/>
    <w:rsid w:val="00037C66"/>
    <w:rsid w:val="00037CA8"/>
    <w:rsid w:val="00037D46"/>
    <w:rsid w:val="00037FEA"/>
    <w:rsid w:val="00040092"/>
    <w:rsid w:val="00040127"/>
    <w:rsid w:val="000404BE"/>
    <w:rsid w:val="0004077D"/>
    <w:rsid w:val="000407CC"/>
    <w:rsid w:val="0004081B"/>
    <w:rsid w:val="000408F8"/>
    <w:rsid w:val="00040B93"/>
    <w:rsid w:val="00040DA4"/>
    <w:rsid w:val="00040DC7"/>
    <w:rsid w:val="00040DDC"/>
    <w:rsid w:val="00040E5B"/>
    <w:rsid w:val="00040F12"/>
    <w:rsid w:val="00040F99"/>
    <w:rsid w:val="000410DE"/>
    <w:rsid w:val="00041523"/>
    <w:rsid w:val="00041696"/>
    <w:rsid w:val="0004188C"/>
    <w:rsid w:val="00041944"/>
    <w:rsid w:val="0004196C"/>
    <w:rsid w:val="00041996"/>
    <w:rsid w:val="00041A13"/>
    <w:rsid w:val="00041A53"/>
    <w:rsid w:val="00041A8B"/>
    <w:rsid w:val="00041B79"/>
    <w:rsid w:val="00041C07"/>
    <w:rsid w:val="00041C12"/>
    <w:rsid w:val="00041EBB"/>
    <w:rsid w:val="0004213D"/>
    <w:rsid w:val="00042554"/>
    <w:rsid w:val="000425B0"/>
    <w:rsid w:val="00042722"/>
    <w:rsid w:val="0004274D"/>
    <w:rsid w:val="00042ADD"/>
    <w:rsid w:val="00042CFB"/>
    <w:rsid w:val="00042D90"/>
    <w:rsid w:val="00042DFA"/>
    <w:rsid w:val="00042F97"/>
    <w:rsid w:val="0004329A"/>
    <w:rsid w:val="000438B1"/>
    <w:rsid w:val="00043956"/>
    <w:rsid w:val="000439D1"/>
    <w:rsid w:val="00043AB0"/>
    <w:rsid w:val="00043F39"/>
    <w:rsid w:val="00044189"/>
    <w:rsid w:val="000441A2"/>
    <w:rsid w:val="0004430E"/>
    <w:rsid w:val="00044412"/>
    <w:rsid w:val="00044456"/>
    <w:rsid w:val="00044674"/>
    <w:rsid w:val="0004475C"/>
    <w:rsid w:val="00044BEC"/>
    <w:rsid w:val="00044C0A"/>
    <w:rsid w:val="00044CC8"/>
    <w:rsid w:val="00044CF1"/>
    <w:rsid w:val="00044CFD"/>
    <w:rsid w:val="00044D97"/>
    <w:rsid w:val="00044D9A"/>
    <w:rsid w:val="00044E0C"/>
    <w:rsid w:val="0004518E"/>
    <w:rsid w:val="000451AC"/>
    <w:rsid w:val="000453FF"/>
    <w:rsid w:val="00045966"/>
    <w:rsid w:val="00045A3F"/>
    <w:rsid w:val="00045B2E"/>
    <w:rsid w:val="00045E06"/>
    <w:rsid w:val="00046066"/>
    <w:rsid w:val="0004624D"/>
    <w:rsid w:val="000465AB"/>
    <w:rsid w:val="000465EB"/>
    <w:rsid w:val="0004684E"/>
    <w:rsid w:val="00046ACD"/>
    <w:rsid w:val="00046CB2"/>
    <w:rsid w:val="00046E48"/>
    <w:rsid w:val="000470BB"/>
    <w:rsid w:val="000470BD"/>
    <w:rsid w:val="000471ED"/>
    <w:rsid w:val="000474D7"/>
    <w:rsid w:val="00047602"/>
    <w:rsid w:val="000476DB"/>
    <w:rsid w:val="00047BED"/>
    <w:rsid w:val="00047F1E"/>
    <w:rsid w:val="00050219"/>
    <w:rsid w:val="00050357"/>
    <w:rsid w:val="00050454"/>
    <w:rsid w:val="000504B3"/>
    <w:rsid w:val="000506ED"/>
    <w:rsid w:val="0005074C"/>
    <w:rsid w:val="00050836"/>
    <w:rsid w:val="00050C52"/>
    <w:rsid w:val="00050D13"/>
    <w:rsid w:val="0005102A"/>
    <w:rsid w:val="00051313"/>
    <w:rsid w:val="00051359"/>
    <w:rsid w:val="0005170A"/>
    <w:rsid w:val="00051722"/>
    <w:rsid w:val="000519B9"/>
    <w:rsid w:val="00051A49"/>
    <w:rsid w:val="00051B2F"/>
    <w:rsid w:val="00051C75"/>
    <w:rsid w:val="00051D60"/>
    <w:rsid w:val="00051E4F"/>
    <w:rsid w:val="00051EDD"/>
    <w:rsid w:val="0005209D"/>
    <w:rsid w:val="00052200"/>
    <w:rsid w:val="000522A2"/>
    <w:rsid w:val="000523C5"/>
    <w:rsid w:val="0005241A"/>
    <w:rsid w:val="00052A38"/>
    <w:rsid w:val="00052BFB"/>
    <w:rsid w:val="00052E35"/>
    <w:rsid w:val="00052ED2"/>
    <w:rsid w:val="00052EDC"/>
    <w:rsid w:val="00052EF3"/>
    <w:rsid w:val="0005312F"/>
    <w:rsid w:val="000533BB"/>
    <w:rsid w:val="00053A8C"/>
    <w:rsid w:val="00053AAA"/>
    <w:rsid w:val="00053AFF"/>
    <w:rsid w:val="00053BD6"/>
    <w:rsid w:val="00053D44"/>
    <w:rsid w:val="00053D95"/>
    <w:rsid w:val="000540DF"/>
    <w:rsid w:val="00054140"/>
    <w:rsid w:val="000543D4"/>
    <w:rsid w:val="000547FD"/>
    <w:rsid w:val="000548DF"/>
    <w:rsid w:val="00054977"/>
    <w:rsid w:val="00054A87"/>
    <w:rsid w:val="00054AE2"/>
    <w:rsid w:val="00054CB9"/>
    <w:rsid w:val="00054E9D"/>
    <w:rsid w:val="00054EDD"/>
    <w:rsid w:val="00054FDE"/>
    <w:rsid w:val="00055352"/>
    <w:rsid w:val="0005538F"/>
    <w:rsid w:val="000554BD"/>
    <w:rsid w:val="000555EB"/>
    <w:rsid w:val="000556F7"/>
    <w:rsid w:val="00055737"/>
    <w:rsid w:val="00055981"/>
    <w:rsid w:val="00055B39"/>
    <w:rsid w:val="00055D69"/>
    <w:rsid w:val="00055FC7"/>
    <w:rsid w:val="00056505"/>
    <w:rsid w:val="00056563"/>
    <w:rsid w:val="00056880"/>
    <w:rsid w:val="00056A66"/>
    <w:rsid w:val="00056C87"/>
    <w:rsid w:val="00056E30"/>
    <w:rsid w:val="00057116"/>
    <w:rsid w:val="00057179"/>
    <w:rsid w:val="0005718B"/>
    <w:rsid w:val="000571BD"/>
    <w:rsid w:val="000571E6"/>
    <w:rsid w:val="000572DB"/>
    <w:rsid w:val="00057380"/>
    <w:rsid w:val="0005745E"/>
    <w:rsid w:val="000574E5"/>
    <w:rsid w:val="000577C4"/>
    <w:rsid w:val="000577EA"/>
    <w:rsid w:val="000578E4"/>
    <w:rsid w:val="00057A35"/>
    <w:rsid w:val="00057CF2"/>
    <w:rsid w:val="00057E06"/>
    <w:rsid w:val="00057FE0"/>
    <w:rsid w:val="00057FE1"/>
    <w:rsid w:val="00057FF8"/>
    <w:rsid w:val="0006048A"/>
    <w:rsid w:val="000604C2"/>
    <w:rsid w:val="00060639"/>
    <w:rsid w:val="0006085C"/>
    <w:rsid w:val="000608AE"/>
    <w:rsid w:val="00060B33"/>
    <w:rsid w:val="0006122A"/>
    <w:rsid w:val="000612A9"/>
    <w:rsid w:val="0006190D"/>
    <w:rsid w:val="00061C7F"/>
    <w:rsid w:val="00061EF4"/>
    <w:rsid w:val="00061FBB"/>
    <w:rsid w:val="000622C8"/>
    <w:rsid w:val="0006230B"/>
    <w:rsid w:val="0006270D"/>
    <w:rsid w:val="000627B7"/>
    <w:rsid w:val="000628AE"/>
    <w:rsid w:val="000628B2"/>
    <w:rsid w:val="00062A0E"/>
    <w:rsid w:val="00062A1C"/>
    <w:rsid w:val="00062B80"/>
    <w:rsid w:val="00062F43"/>
    <w:rsid w:val="00063135"/>
    <w:rsid w:val="00063828"/>
    <w:rsid w:val="00063865"/>
    <w:rsid w:val="00063882"/>
    <w:rsid w:val="00063964"/>
    <w:rsid w:val="00063A62"/>
    <w:rsid w:val="00063B6B"/>
    <w:rsid w:val="00063B82"/>
    <w:rsid w:val="00063C81"/>
    <w:rsid w:val="00063DDA"/>
    <w:rsid w:val="00063EA8"/>
    <w:rsid w:val="00063FE1"/>
    <w:rsid w:val="00064219"/>
    <w:rsid w:val="00064285"/>
    <w:rsid w:val="00064417"/>
    <w:rsid w:val="0006444B"/>
    <w:rsid w:val="000644AB"/>
    <w:rsid w:val="000644E7"/>
    <w:rsid w:val="000645AF"/>
    <w:rsid w:val="00064784"/>
    <w:rsid w:val="00064860"/>
    <w:rsid w:val="000649B7"/>
    <w:rsid w:val="00064A8A"/>
    <w:rsid w:val="00064ABA"/>
    <w:rsid w:val="00064B30"/>
    <w:rsid w:val="00064E7F"/>
    <w:rsid w:val="00064EDF"/>
    <w:rsid w:val="00064F5E"/>
    <w:rsid w:val="00065214"/>
    <w:rsid w:val="000656C1"/>
    <w:rsid w:val="0006596D"/>
    <w:rsid w:val="000659D5"/>
    <w:rsid w:val="00065A88"/>
    <w:rsid w:val="00065EF7"/>
    <w:rsid w:val="00065F10"/>
    <w:rsid w:val="000661AE"/>
    <w:rsid w:val="00066214"/>
    <w:rsid w:val="0006654B"/>
    <w:rsid w:val="00066612"/>
    <w:rsid w:val="000667C6"/>
    <w:rsid w:val="00066825"/>
    <w:rsid w:val="00066900"/>
    <w:rsid w:val="00066A51"/>
    <w:rsid w:val="00066C12"/>
    <w:rsid w:val="000670B1"/>
    <w:rsid w:val="00067191"/>
    <w:rsid w:val="000671A9"/>
    <w:rsid w:val="00067296"/>
    <w:rsid w:val="0006730C"/>
    <w:rsid w:val="00067389"/>
    <w:rsid w:val="0006750A"/>
    <w:rsid w:val="000675D1"/>
    <w:rsid w:val="00067697"/>
    <w:rsid w:val="000677C2"/>
    <w:rsid w:val="000678A0"/>
    <w:rsid w:val="00067AA3"/>
    <w:rsid w:val="00067AD1"/>
    <w:rsid w:val="00067C41"/>
    <w:rsid w:val="00067C94"/>
    <w:rsid w:val="00067D2A"/>
    <w:rsid w:val="00067D65"/>
    <w:rsid w:val="000700BD"/>
    <w:rsid w:val="000700C2"/>
    <w:rsid w:val="0007015E"/>
    <w:rsid w:val="000702B0"/>
    <w:rsid w:val="0007033E"/>
    <w:rsid w:val="000704DC"/>
    <w:rsid w:val="0007072D"/>
    <w:rsid w:val="00070795"/>
    <w:rsid w:val="000709D2"/>
    <w:rsid w:val="00070A0D"/>
    <w:rsid w:val="00070D0A"/>
    <w:rsid w:val="0007102C"/>
    <w:rsid w:val="00071070"/>
    <w:rsid w:val="00071218"/>
    <w:rsid w:val="00071241"/>
    <w:rsid w:val="000718EA"/>
    <w:rsid w:val="00071910"/>
    <w:rsid w:val="00071A5C"/>
    <w:rsid w:val="00071AD8"/>
    <w:rsid w:val="00071B63"/>
    <w:rsid w:val="00071D29"/>
    <w:rsid w:val="00071E44"/>
    <w:rsid w:val="000720BB"/>
    <w:rsid w:val="0007211B"/>
    <w:rsid w:val="00072250"/>
    <w:rsid w:val="000722BE"/>
    <w:rsid w:val="000722CC"/>
    <w:rsid w:val="00072352"/>
    <w:rsid w:val="0007236C"/>
    <w:rsid w:val="000723C0"/>
    <w:rsid w:val="0007278D"/>
    <w:rsid w:val="00072A85"/>
    <w:rsid w:val="00072B32"/>
    <w:rsid w:val="00072B66"/>
    <w:rsid w:val="00072B97"/>
    <w:rsid w:val="00072BC2"/>
    <w:rsid w:val="00072C74"/>
    <w:rsid w:val="00072EC0"/>
    <w:rsid w:val="00072EC8"/>
    <w:rsid w:val="00072ED7"/>
    <w:rsid w:val="0007326F"/>
    <w:rsid w:val="0007329F"/>
    <w:rsid w:val="0007333C"/>
    <w:rsid w:val="00073521"/>
    <w:rsid w:val="00073553"/>
    <w:rsid w:val="000735EF"/>
    <w:rsid w:val="0007372A"/>
    <w:rsid w:val="000737B7"/>
    <w:rsid w:val="00073A38"/>
    <w:rsid w:val="00073C10"/>
    <w:rsid w:val="00073EB3"/>
    <w:rsid w:val="00073F94"/>
    <w:rsid w:val="000740CF"/>
    <w:rsid w:val="0007410A"/>
    <w:rsid w:val="0007418B"/>
    <w:rsid w:val="000741CE"/>
    <w:rsid w:val="000742D9"/>
    <w:rsid w:val="00074481"/>
    <w:rsid w:val="00074961"/>
    <w:rsid w:val="00074C12"/>
    <w:rsid w:val="00074D5A"/>
    <w:rsid w:val="00074D92"/>
    <w:rsid w:val="00075421"/>
    <w:rsid w:val="0007594C"/>
    <w:rsid w:val="00075E0E"/>
    <w:rsid w:val="00075EFC"/>
    <w:rsid w:val="00076156"/>
    <w:rsid w:val="00076162"/>
    <w:rsid w:val="000761E1"/>
    <w:rsid w:val="00076317"/>
    <w:rsid w:val="0007633A"/>
    <w:rsid w:val="0007657B"/>
    <w:rsid w:val="000765AA"/>
    <w:rsid w:val="00076633"/>
    <w:rsid w:val="00076780"/>
    <w:rsid w:val="00076812"/>
    <w:rsid w:val="00076B2B"/>
    <w:rsid w:val="00076C3F"/>
    <w:rsid w:val="00076CC4"/>
    <w:rsid w:val="00076D3B"/>
    <w:rsid w:val="000770A6"/>
    <w:rsid w:val="000775DE"/>
    <w:rsid w:val="000777D6"/>
    <w:rsid w:val="0007781E"/>
    <w:rsid w:val="00077911"/>
    <w:rsid w:val="00077B2E"/>
    <w:rsid w:val="00077D25"/>
    <w:rsid w:val="00077D4B"/>
    <w:rsid w:val="00077DD6"/>
    <w:rsid w:val="00077E5D"/>
    <w:rsid w:val="00077EC3"/>
    <w:rsid w:val="00077F08"/>
    <w:rsid w:val="000800B9"/>
    <w:rsid w:val="000801CE"/>
    <w:rsid w:val="0008035D"/>
    <w:rsid w:val="0008036B"/>
    <w:rsid w:val="000805D9"/>
    <w:rsid w:val="00080A42"/>
    <w:rsid w:val="00080E3B"/>
    <w:rsid w:val="00080FCF"/>
    <w:rsid w:val="00081188"/>
    <w:rsid w:val="000811CB"/>
    <w:rsid w:val="0008137F"/>
    <w:rsid w:val="0008139E"/>
    <w:rsid w:val="00081A69"/>
    <w:rsid w:val="00081A6A"/>
    <w:rsid w:val="00081E49"/>
    <w:rsid w:val="00081F3E"/>
    <w:rsid w:val="00081FA5"/>
    <w:rsid w:val="000822D3"/>
    <w:rsid w:val="000822F2"/>
    <w:rsid w:val="00082623"/>
    <w:rsid w:val="000826E4"/>
    <w:rsid w:val="00082758"/>
    <w:rsid w:val="00082BDC"/>
    <w:rsid w:val="00082E12"/>
    <w:rsid w:val="00082EC5"/>
    <w:rsid w:val="00082FC2"/>
    <w:rsid w:val="0008337A"/>
    <w:rsid w:val="000833F2"/>
    <w:rsid w:val="000833F8"/>
    <w:rsid w:val="0008369F"/>
    <w:rsid w:val="00083844"/>
    <w:rsid w:val="00083B59"/>
    <w:rsid w:val="00083CFF"/>
    <w:rsid w:val="00083D83"/>
    <w:rsid w:val="00083D8A"/>
    <w:rsid w:val="00083E66"/>
    <w:rsid w:val="00083F34"/>
    <w:rsid w:val="00084195"/>
    <w:rsid w:val="000842A4"/>
    <w:rsid w:val="000847C5"/>
    <w:rsid w:val="000848FF"/>
    <w:rsid w:val="00084A2A"/>
    <w:rsid w:val="00084FC2"/>
    <w:rsid w:val="0008519D"/>
    <w:rsid w:val="000851CE"/>
    <w:rsid w:val="000854FE"/>
    <w:rsid w:val="00085537"/>
    <w:rsid w:val="000857A0"/>
    <w:rsid w:val="000858CF"/>
    <w:rsid w:val="000858F2"/>
    <w:rsid w:val="000859C7"/>
    <w:rsid w:val="00085B34"/>
    <w:rsid w:val="00085F8A"/>
    <w:rsid w:val="0008618F"/>
    <w:rsid w:val="000862F7"/>
    <w:rsid w:val="00086316"/>
    <w:rsid w:val="00086582"/>
    <w:rsid w:val="0008679F"/>
    <w:rsid w:val="00086895"/>
    <w:rsid w:val="00086A69"/>
    <w:rsid w:val="00086AFA"/>
    <w:rsid w:val="00086D29"/>
    <w:rsid w:val="00086DBA"/>
    <w:rsid w:val="00087170"/>
    <w:rsid w:val="00087519"/>
    <w:rsid w:val="0008793F"/>
    <w:rsid w:val="00087A2B"/>
    <w:rsid w:val="00087B14"/>
    <w:rsid w:val="00087E79"/>
    <w:rsid w:val="00087F3E"/>
    <w:rsid w:val="00087FAF"/>
    <w:rsid w:val="000900D7"/>
    <w:rsid w:val="00090183"/>
    <w:rsid w:val="000902C2"/>
    <w:rsid w:val="000905AE"/>
    <w:rsid w:val="00090897"/>
    <w:rsid w:val="00090977"/>
    <w:rsid w:val="00090984"/>
    <w:rsid w:val="00090AC0"/>
    <w:rsid w:val="00090B3B"/>
    <w:rsid w:val="00090C88"/>
    <w:rsid w:val="00090DFF"/>
    <w:rsid w:val="00090EC0"/>
    <w:rsid w:val="000910FB"/>
    <w:rsid w:val="0009122F"/>
    <w:rsid w:val="000912D7"/>
    <w:rsid w:val="00091519"/>
    <w:rsid w:val="0009151A"/>
    <w:rsid w:val="00091684"/>
    <w:rsid w:val="0009168B"/>
    <w:rsid w:val="0009170D"/>
    <w:rsid w:val="00091826"/>
    <w:rsid w:val="00091904"/>
    <w:rsid w:val="0009192B"/>
    <w:rsid w:val="00091A29"/>
    <w:rsid w:val="00091C1B"/>
    <w:rsid w:val="00091D9F"/>
    <w:rsid w:val="00091DBE"/>
    <w:rsid w:val="0009201F"/>
    <w:rsid w:val="000920D1"/>
    <w:rsid w:val="00092372"/>
    <w:rsid w:val="0009239B"/>
    <w:rsid w:val="000923A5"/>
    <w:rsid w:val="000923B5"/>
    <w:rsid w:val="00092503"/>
    <w:rsid w:val="00092532"/>
    <w:rsid w:val="00092698"/>
    <w:rsid w:val="0009269C"/>
    <w:rsid w:val="000926F2"/>
    <w:rsid w:val="00092B49"/>
    <w:rsid w:val="00092BC5"/>
    <w:rsid w:val="00092D8C"/>
    <w:rsid w:val="00092F56"/>
    <w:rsid w:val="00092F71"/>
    <w:rsid w:val="00092FED"/>
    <w:rsid w:val="00093104"/>
    <w:rsid w:val="000931FE"/>
    <w:rsid w:val="00093559"/>
    <w:rsid w:val="00093925"/>
    <w:rsid w:val="00093935"/>
    <w:rsid w:val="000939F8"/>
    <w:rsid w:val="00093AF5"/>
    <w:rsid w:val="00093CC9"/>
    <w:rsid w:val="00093E18"/>
    <w:rsid w:val="00093ECB"/>
    <w:rsid w:val="0009406D"/>
    <w:rsid w:val="00094496"/>
    <w:rsid w:val="00094603"/>
    <w:rsid w:val="000946BC"/>
    <w:rsid w:val="00094921"/>
    <w:rsid w:val="00094946"/>
    <w:rsid w:val="0009495F"/>
    <w:rsid w:val="00094A29"/>
    <w:rsid w:val="00094AA5"/>
    <w:rsid w:val="00094C0F"/>
    <w:rsid w:val="0009512F"/>
    <w:rsid w:val="000951DF"/>
    <w:rsid w:val="000952CA"/>
    <w:rsid w:val="000952E3"/>
    <w:rsid w:val="000954FC"/>
    <w:rsid w:val="0009555D"/>
    <w:rsid w:val="0009558A"/>
    <w:rsid w:val="000955EC"/>
    <w:rsid w:val="0009574E"/>
    <w:rsid w:val="0009597B"/>
    <w:rsid w:val="00095FFF"/>
    <w:rsid w:val="00096278"/>
    <w:rsid w:val="0009647D"/>
    <w:rsid w:val="00096687"/>
    <w:rsid w:val="0009669C"/>
    <w:rsid w:val="00096938"/>
    <w:rsid w:val="00096945"/>
    <w:rsid w:val="000969BA"/>
    <w:rsid w:val="00096B69"/>
    <w:rsid w:val="00096C3D"/>
    <w:rsid w:val="00096CDA"/>
    <w:rsid w:val="00096CF0"/>
    <w:rsid w:val="00096DA1"/>
    <w:rsid w:val="00096E0C"/>
    <w:rsid w:val="0009704C"/>
    <w:rsid w:val="0009712D"/>
    <w:rsid w:val="0009748C"/>
    <w:rsid w:val="000976F9"/>
    <w:rsid w:val="0009795C"/>
    <w:rsid w:val="00097A8A"/>
    <w:rsid w:val="00097BAC"/>
    <w:rsid w:val="00097C00"/>
    <w:rsid w:val="00097D11"/>
    <w:rsid w:val="00097F69"/>
    <w:rsid w:val="000A004D"/>
    <w:rsid w:val="000A0452"/>
    <w:rsid w:val="000A04B9"/>
    <w:rsid w:val="000A052C"/>
    <w:rsid w:val="000A053A"/>
    <w:rsid w:val="000A0833"/>
    <w:rsid w:val="000A08D8"/>
    <w:rsid w:val="000A09A5"/>
    <w:rsid w:val="000A0AC7"/>
    <w:rsid w:val="000A0B51"/>
    <w:rsid w:val="000A0E8D"/>
    <w:rsid w:val="000A0F17"/>
    <w:rsid w:val="000A107C"/>
    <w:rsid w:val="000A11AF"/>
    <w:rsid w:val="000A11DC"/>
    <w:rsid w:val="000A12AA"/>
    <w:rsid w:val="000A14B1"/>
    <w:rsid w:val="000A1658"/>
    <w:rsid w:val="000A1788"/>
    <w:rsid w:val="000A1A1D"/>
    <w:rsid w:val="000A1B69"/>
    <w:rsid w:val="000A1C4A"/>
    <w:rsid w:val="000A1C5A"/>
    <w:rsid w:val="000A1C83"/>
    <w:rsid w:val="000A1CA3"/>
    <w:rsid w:val="000A1E63"/>
    <w:rsid w:val="000A1F4F"/>
    <w:rsid w:val="000A2158"/>
    <w:rsid w:val="000A22B6"/>
    <w:rsid w:val="000A22F1"/>
    <w:rsid w:val="000A236B"/>
    <w:rsid w:val="000A27AC"/>
    <w:rsid w:val="000A2B61"/>
    <w:rsid w:val="000A2C88"/>
    <w:rsid w:val="000A2CF4"/>
    <w:rsid w:val="000A2D48"/>
    <w:rsid w:val="000A2DA2"/>
    <w:rsid w:val="000A2EFA"/>
    <w:rsid w:val="000A2FD5"/>
    <w:rsid w:val="000A3720"/>
    <w:rsid w:val="000A3792"/>
    <w:rsid w:val="000A3855"/>
    <w:rsid w:val="000A3AE1"/>
    <w:rsid w:val="000A3B8E"/>
    <w:rsid w:val="000A3C7B"/>
    <w:rsid w:val="000A3E24"/>
    <w:rsid w:val="000A3F14"/>
    <w:rsid w:val="000A413B"/>
    <w:rsid w:val="000A433E"/>
    <w:rsid w:val="000A4387"/>
    <w:rsid w:val="000A4441"/>
    <w:rsid w:val="000A4539"/>
    <w:rsid w:val="000A4630"/>
    <w:rsid w:val="000A4714"/>
    <w:rsid w:val="000A47BE"/>
    <w:rsid w:val="000A4866"/>
    <w:rsid w:val="000A49E8"/>
    <w:rsid w:val="000A4B56"/>
    <w:rsid w:val="000A4B6A"/>
    <w:rsid w:val="000A4C8E"/>
    <w:rsid w:val="000A4D0B"/>
    <w:rsid w:val="000A4D5F"/>
    <w:rsid w:val="000A4DF7"/>
    <w:rsid w:val="000A4E26"/>
    <w:rsid w:val="000A4FD6"/>
    <w:rsid w:val="000A509F"/>
    <w:rsid w:val="000A540B"/>
    <w:rsid w:val="000A54F4"/>
    <w:rsid w:val="000A551D"/>
    <w:rsid w:val="000A554A"/>
    <w:rsid w:val="000A55EC"/>
    <w:rsid w:val="000A5794"/>
    <w:rsid w:val="000A57F1"/>
    <w:rsid w:val="000A5A8D"/>
    <w:rsid w:val="000A5AC8"/>
    <w:rsid w:val="000A5BA5"/>
    <w:rsid w:val="000A5BC1"/>
    <w:rsid w:val="000A5CA0"/>
    <w:rsid w:val="000A5CDE"/>
    <w:rsid w:val="000A5F14"/>
    <w:rsid w:val="000A5FC7"/>
    <w:rsid w:val="000A6027"/>
    <w:rsid w:val="000A6408"/>
    <w:rsid w:val="000A64CA"/>
    <w:rsid w:val="000A651F"/>
    <w:rsid w:val="000A6773"/>
    <w:rsid w:val="000A6F0B"/>
    <w:rsid w:val="000A7027"/>
    <w:rsid w:val="000A70A8"/>
    <w:rsid w:val="000A7631"/>
    <w:rsid w:val="000A7854"/>
    <w:rsid w:val="000A786C"/>
    <w:rsid w:val="000A79BA"/>
    <w:rsid w:val="000A7BDE"/>
    <w:rsid w:val="000A7CA5"/>
    <w:rsid w:val="000A7CD5"/>
    <w:rsid w:val="000A7E03"/>
    <w:rsid w:val="000B0219"/>
    <w:rsid w:val="000B0287"/>
    <w:rsid w:val="000B0677"/>
    <w:rsid w:val="000B0717"/>
    <w:rsid w:val="000B08CA"/>
    <w:rsid w:val="000B0C61"/>
    <w:rsid w:val="000B0CB7"/>
    <w:rsid w:val="000B0E98"/>
    <w:rsid w:val="000B11A5"/>
    <w:rsid w:val="000B135C"/>
    <w:rsid w:val="000B15FC"/>
    <w:rsid w:val="000B16C1"/>
    <w:rsid w:val="000B17C2"/>
    <w:rsid w:val="000B1C89"/>
    <w:rsid w:val="000B1F75"/>
    <w:rsid w:val="000B1FFA"/>
    <w:rsid w:val="000B2055"/>
    <w:rsid w:val="000B211B"/>
    <w:rsid w:val="000B216D"/>
    <w:rsid w:val="000B26A0"/>
    <w:rsid w:val="000B2A01"/>
    <w:rsid w:val="000B2A9B"/>
    <w:rsid w:val="000B2C4C"/>
    <w:rsid w:val="000B2D54"/>
    <w:rsid w:val="000B2DE5"/>
    <w:rsid w:val="000B2FA7"/>
    <w:rsid w:val="000B31A5"/>
    <w:rsid w:val="000B3308"/>
    <w:rsid w:val="000B355F"/>
    <w:rsid w:val="000B370C"/>
    <w:rsid w:val="000B3795"/>
    <w:rsid w:val="000B388E"/>
    <w:rsid w:val="000B3917"/>
    <w:rsid w:val="000B3A94"/>
    <w:rsid w:val="000B3CA2"/>
    <w:rsid w:val="000B3D40"/>
    <w:rsid w:val="000B3DF5"/>
    <w:rsid w:val="000B3E62"/>
    <w:rsid w:val="000B4424"/>
    <w:rsid w:val="000B460C"/>
    <w:rsid w:val="000B46C4"/>
    <w:rsid w:val="000B4709"/>
    <w:rsid w:val="000B486F"/>
    <w:rsid w:val="000B4A99"/>
    <w:rsid w:val="000B4C09"/>
    <w:rsid w:val="000B4CC3"/>
    <w:rsid w:val="000B4F35"/>
    <w:rsid w:val="000B50D2"/>
    <w:rsid w:val="000B52B5"/>
    <w:rsid w:val="000B5392"/>
    <w:rsid w:val="000B5554"/>
    <w:rsid w:val="000B55E2"/>
    <w:rsid w:val="000B5648"/>
    <w:rsid w:val="000B575A"/>
    <w:rsid w:val="000B59CA"/>
    <w:rsid w:val="000B5BF1"/>
    <w:rsid w:val="000B5C06"/>
    <w:rsid w:val="000B5C24"/>
    <w:rsid w:val="000B5D6E"/>
    <w:rsid w:val="000B5FE4"/>
    <w:rsid w:val="000B62D1"/>
    <w:rsid w:val="000B653F"/>
    <w:rsid w:val="000B66DE"/>
    <w:rsid w:val="000B6727"/>
    <w:rsid w:val="000B699D"/>
    <w:rsid w:val="000B6CA6"/>
    <w:rsid w:val="000B6D56"/>
    <w:rsid w:val="000B7023"/>
    <w:rsid w:val="000B72C9"/>
    <w:rsid w:val="000B734E"/>
    <w:rsid w:val="000B7492"/>
    <w:rsid w:val="000B767B"/>
    <w:rsid w:val="000B79BB"/>
    <w:rsid w:val="000B7BEF"/>
    <w:rsid w:val="000B7BF2"/>
    <w:rsid w:val="000B7C0B"/>
    <w:rsid w:val="000B7D1F"/>
    <w:rsid w:val="000B7DE4"/>
    <w:rsid w:val="000B7F9C"/>
    <w:rsid w:val="000C0183"/>
    <w:rsid w:val="000C023E"/>
    <w:rsid w:val="000C03B4"/>
    <w:rsid w:val="000C0680"/>
    <w:rsid w:val="000C0AA0"/>
    <w:rsid w:val="000C0F10"/>
    <w:rsid w:val="000C1121"/>
    <w:rsid w:val="000C1CDF"/>
    <w:rsid w:val="000C1ED1"/>
    <w:rsid w:val="000C2279"/>
    <w:rsid w:val="000C2408"/>
    <w:rsid w:val="000C2613"/>
    <w:rsid w:val="000C296D"/>
    <w:rsid w:val="000C2ADF"/>
    <w:rsid w:val="000C2EEC"/>
    <w:rsid w:val="000C3224"/>
    <w:rsid w:val="000C32D9"/>
    <w:rsid w:val="000C32F7"/>
    <w:rsid w:val="000C3485"/>
    <w:rsid w:val="000C35DA"/>
    <w:rsid w:val="000C37A9"/>
    <w:rsid w:val="000C383F"/>
    <w:rsid w:val="000C3A6F"/>
    <w:rsid w:val="000C3B42"/>
    <w:rsid w:val="000C3CDF"/>
    <w:rsid w:val="000C3EFF"/>
    <w:rsid w:val="000C3F19"/>
    <w:rsid w:val="000C3FA9"/>
    <w:rsid w:val="000C43BC"/>
    <w:rsid w:val="000C4425"/>
    <w:rsid w:val="000C442E"/>
    <w:rsid w:val="000C45A4"/>
    <w:rsid w:val="000C4690"/>
    <w:rsid w:val="000C4819"/>
    <w:rsid w:val="000C48F7"/>
    <w:rsid w:val="000C4C56"/>
    <w:rsid w:val="000C537A"/>
    <w:rsid w:val="000C53E2"/>
    <w:rsid w:val="000C56E5"/>
    <w:rsid w:val="000C57BD"/>
    <w:rsid w:val="000C5CEC"/>
    <w:rsid w:val="000C5F40"/>
    <w:rsid w:val="000C5FEB"/>
    <w:rsid w:val="000C6169"/>
    <w:rsid w:val="000C61F4"/>
    <w:rsid w:val="000C6262"/>
    <w:rsid w:val="000C66A7"/>
    <w:rsid w:val="000C69C2"/>
    <w:rsid w:val="000C6A34"/>
    <w:rsid w:val="000C6B24"/>
    <w:rsid w:val="000C6D32"/>
    <w:rsid w:val="000C6D53"/>
    <w:rsid w:val="000C6DDA"/>
    <w:rsid w:val="000C70AD"/>
    <w:rsid w:val="000C7253"/>
    <w:rsid w:val="000C73BB"/>
    <w:rsid w:val="000C7499"/>
    <w:rsid w:val="000C7530"/>
    <w:rsid w:val="000C7743"/>
    <w:rsid w:val="000C7A05"/>
    <w:rsid w:val="000C7AE7"/>
    <w:rsid w:val="000C7AE8"/>
    <w:rsid w:val="000C7B24"/>
    <w:rsid w:val="000C7D1E"/>
    <w:rsid w:val="000D0162"/>
    <w:rsid w:val="000D01FF"/>
    <w:rsid w:val="000D037F"/>
    <w:rsid w:val="000D03C4"/>
    <w:rsid w:val="000D044D"/>
    <w:rsid w:val="000D0682"/>
    <w:rsid w:val="000D07C1"/>
    <w:rsid w:val="000D07E0"/>
    <w:rsid w:val="000D07E9"/>
    <w:rsid w:val="000D0A9B"/>
    <w:rsid w:val="000D0C12"/>
    <w:rsid w:val="000D0CDD"/>
    <w:rsid w:val="000D0D77"/>
    <w:rsid w:val="000D11A7"/>
    <w:rsid w:val="000D1284"/>
    <w:rsid w:val="000D12AA"/>
    <w:rsid w:val="000D12C9"/>
    <w:rsid w:val="000D1537"/>
    <w:rsid w:val="000D153C"/>
    <w:rsid w:val="000D1676"/>
    <w:rsid w:val="000D16AD"/>
    <w:rsid w:val="000D18BE"/>
    <w:rsid w:val="000D1A9A"/>
    <w:rsid w:val="000D1AC0"/>
    <w:rsid w:val="000D1DCE"/>
    <w:rsid w:val="000D1DD4"/>
    <w:rsid w:val="000D1E9D"/>
    <w:rsid w:val="000D1FFD"/>
    <w:rsid w:val="000D20FF"/>
    <w:rsid w:val="000D2141"/>
    <w:rsid w:val="000D22DB"/>
    <w:rsid w:val="000D23A8"/>
    <w:rsid w:val="000D271F"/>
    <w:rsid w:val="000D2845"/>
    <w:rsid w:val="000D29C4"/>
    <w:rsid w:val="000D2BB7"/>
    <w:rsid w:val="000D2BBB"/>
    <w:rsid w:val="000D2C91"/>
    <w:rsid w:val="000D2DE8"/>
    <w:rsid w:val="000D301A"/>
    <w:rsid w:val="000D3198"/>
    <w:rsid w:val="000D3461"/>
    <w:rsid w:val="000D351A"/>
    <w:rsid w:val="000D364C"/>
    <w:rsid w:val="000D3944"/>
    <w:rsid w:val="000D3B10"/>
    <w:rsid w:val="000D3BD2"/>
    <w:rsid w:val="000D3D3E"/>
    <w:rsid w:val="000D3E7F"/>
    <w:rsid w:val="000D3EAF"/>
    <w:rsid w:val="000D3FA5"/>
    <w:rsid w:val="000D4054"/>
    <w:rsid w:val="000D4084"/>
    <w:rsid w:val="000D415C"/>
    <w:rsid w:val="000D4493"/>
    <w:rsid w:val="000D4602"/>
    <w:rsid w:val="000D46FD"/>
    <w:rsid w:val="000D4755"/>
    <w:rsid w:val="000D47AA"/>
    <w:rsid w:val="000D4CAD"/>
    <w:rsid w:val="000D4D32"/>
    <w:rsid w:val="000D4DD8"/>
    <w:rsid w:val="000D4F0E"/>
    <w:rsid w:val="000D52A5"/>
    <w:rsid w:val="000D53F8"/>
    <w:rsid w:val="000D5442"/>
    <w:rsid w:val="000D5461"/>
    <w:rsid w:val="000D55EF"/>
    <w:rsid w:val="000D567F"/>
    <w:rsid w:val="000D5797"/>
    <w:rsid w:val="000D58EE"/>
    <w:rsid w:val="000D5952"/>
    <w:rsid w:val="000D5954"/>
    <w:rsid w:val="000D5A6A"/>
    <w:rsid w:val="000D5AF9"/>
    <w:rsid w:val="000D5B0A"/>
    <w:rsid w:val="000D5B8B"/>
    <w:rsid w:val="000D5EEA"/>
    <w:rsid w:val="000D604A"/>
    <w:rsid w:val="000D6279"/>
    <w:rsid w:val="000D62F2"/>
    <w:rsid w:val="000D6386"/>
    <w:rsid w:val="000D6415"/>
    <w:rsid w:val="000D6591"/>
    <w:rsid w:val="000D6730"/>
    <w:rsid w:val="000D68DF"/>
    <w:rsid w:val="000D6A6E"/>
    <w:rsid w:val="000D6D08"/>
    <w:rsid w:val="000D6E2A"/>
    <w:rsid w:val="000D6E9E"/>
    <w:rsid w:val="000D70DF"/>
    <w:rsid w:val="000D7258"/>
    <w:rsid w:val="000D77ED"/>
    <w:rsid w:val="000D78D2"/>
    <w:rsid w:val="000D7B1F"/>
    <w:rsid w:val="000D7C9B"/>
    <w:rsid w:val="000D7C9D"/>
    <w:rsid w:val="000D7CE9"/>
    <w:rsid w:val="000D7E90"/>
    <w:rsid w:val="000D7F20"/>
    <w:rsid w:val="000E0690"/>
    <w:rsid w:val="000E06ED"/>
    <w:rsid w:val="000E0800"/>
    <w:rsid w:val="000E09A9"/>
    <w:rsid w:val="000E0B74"/>
    <w:rsid w:val="000E0D81"/>
    <w:rsid w:val="000E0E2A"/>
    <w:rsid w:val="000E0ED1"/>
    <w:rsid w:val="000E130F"/>
    <w:rsid w:val="000E135A"/>
    <w:rsid w:val="000E142F"/>
    <w:rsid w:val="000E1549"/>
    <w:rsid w:val="000E15DE"/>
    <w:rsid w:val="000E17B9"/>
    <w:rsid w:val="000E180C"/>
    <w:rsid w:val="000E1848"/>
    <w:rsid w:val="000E1B59"/>
    <w:rsid w:val="000E1E44"/>
    <w:rsid w:val="000E1EE6"/>
    <w:rsid w:val="000E1F18"/>
    <w:rsid w:val="000E212F"/>
    <w:rsid w:val="000E23A6"/>
    <w:rsid w:val="000E241E"/>
    <w:rsid w:val="000E24FE"/>
    <w:rsid w:val="000E2662"/>
    <w:rsid w:val="000E26F3"/>
    <w:rsid w:val="000E280C"/>
    <w:rsid w:val="000E2AEF"/>
    <w:rsid w:val="000E2C0B"/>
    <w:rsid w:val="000E2C23"/>
    <w:rsid w:val="000E2D2A"/>
    <w:rsid w:val="000E2D8F"/>
    <w:rsid w:val="000E2F66"/>
    <w:rsid w:val="000E304C"/>
    <w:rsid w:val="000E30A6"/>
    <w:rsid w:val="000E33E3"/>
    <w:rsid w:val="000E3706"/>
    <w:rsid w:val="000E3760"/>
    <w:rsid w:val="000E37E7"/>
    <w:rsid w:val="000E37FF"/>
    <w:rsid w:val="000E391E"/>
    <w:rsid w:val="000E39B5"/>
    <w:rsid w:val="000E39E5"/>
    <w:rsid w:val="000E3FA9"/>
    <w:rsid w:val="000E40EE"/>
    <w:rsid w:val="000E40F9"/>
    <w:rsid w:val="000E420A"/>
    <w:rsid w:val="000E42DC"/>
    <w:rsid w:val="000E42FE"/>
    <w:rsid w:val="000E45A0"/>
    <w:rsid w:val="000E4601"/>
    <w:rsid w:val="000E4726"/>
    <w:rsid w:val="000E4849"/>
    <w:rsid w:val="000E4A75"/>
    <w:rsid w:val="000E4D3E"/>
    <w:rsid w:val="000E4E4E"/>
    <w:rsid w:val="000E4F73"/>
    <w:rsid w:val="000E507E"/>
    <w:rsid w:val="000E5201"/>
    <w:rsid w:val="000E528F"/>
    <w:rsid w:val="000E5744"/>
    <w:rsid w:val="000E5939"/>
    <w:rsid w:val="000E5942"/>
    <w:rsid w:val="000E5D6B"/>
    <w:rsid w:val="000E5F80"/>
    <w:rsid w:val="000E602C"/>
    <w:rsid w:val="000E6342"/>
    <w:rsid w:val="000E6370"/>
    <w:rsid w:val="000E65F1"/>
    <w:rsid w:val="000E6AB1"/>
    <w:rsid w:val="000E6E33"/>
    <w:rsid w:val="000E6F87"/>
    <w:rsid w:val="000E70B9"/>
    <w:rsid w:val="000E72F7"/>
    <w:rsid w:val="000E73B4"/>
    <w:rsid w:val="000E7491"/>
    <w:rsid w:val="000E74C1"/>
    <w:rsid w:val="000E74C2"/>
    <w:rsid w:val="000E75E9"/>
    <w:rsid w:val="000E7A27"/>
    <w:rsid w:val="000E7ACE"/>
    <w:rsid w:val="000E7B64"/>
    <w:rsid w:val="000E7EA0"/>
    <w:rsid w:val="000E7FCE"/>
    <w:rsid w:val="000F0039"/>
    <w:rsid w:val="000F012E"/>
    <w:rsid w:val="000F057C"/>
    <w:rsid w:val="000F0602"/>
    <w:rsid w:val="000F06B4"/>
    <w:rsid w:val="000F0A11"/>
    <w:rsid w:val="000F0A63"/>
    <w:rsid w:val="000F0BF8"/>
    <w:rsid w:val="000F0D68"/>
    <w:rsid w:val="000F0DB4"/>
    <w:rsid w:val="000F0E20"/>
    <w:rsid w:val="000F0FD5"/>
    <w:rsid w:val="000F106C"/>
    <w:rsid w:val="000F1077"/>
    <w:rsid w:val="000F10FA"/>
    <w:rsid w:val="000F124F"/>
    <w:rsid w:val="000F13CF"/>
    <w:rsid w:val="000F1530"/>
    <w:rsid w:val="000F172A"/>
    <w:rsid w:val="000F17CC"/>
    <w:rsid w:val="000F1842"/>
    <w:rsid w:val="000F18D2"/>
    <w:rsid w:val="000F1B9B"/>
    <w:rsid w:val="000F1BD8"/>
    <w:rsid w:val="000F1CA6"/>
    <w:rsid w:val="000F1DD4"/>
    <w:rsid w:val="000F1F9F"/>
    <w:rsid w:val="000F237F"/>
    <w:rsid w:val="000F23CB"/>
    <w:rsid w:val="000F23F0"/>
    <w:rsid w:val="000F244F"/>
    <w:rsid w:val="000F2628"/>
    <w:rsid w:val="000F2A18"/>
    <w:rsid w:val="000F2D58"/>
    <w:rsid w:val="000F319B"/>
    <w:rsid w:val="000F32C3"/>
    <w:rsid w:val="000F337E"/>
    <w:rsid w:val="000F339F"/>
    <w:rsid w:val="000F3709"/>
    <w:rsid w:val="000F3900"/>
    <w:rsid w:val="000F3C44"/>
    <w:rsid w:val="000F3D3E"/>
    <w:rsid w:val="000F3FCD"/>
    <w:rsid w:val="000F4261"/>
    <w:rsid w:val="000F44A8"/>
    <w:rsid w:val="000F4A1E"/>
    <w:rsid w:val="000F4B95"/>
    <w:rsid w:val="000F4CB4"/>
    <w:rsid w:val="000F4DE2"/>
    <w:rsid w:val="000F503B"/>
    <w:rsid w:val="000F50C4"/>
    <w:rsid w:val="000F5293"/>
    <w:rsid w:val="000F531E"/>
    <w:rsid w:val="000F536F"/>
    <w:rsid w:val="000F53A2"/>
    <w:rsid w:val="000F53D7"/>
    <w:rsid w:val="000F55E0"/>
    <w:rsid w:val="000F56B3"/>
    <w:rsid w:val="000F580A"/>
    <w:rsid w:val="000F5892"/>
    <w:rsid w:val="000F5BED"/>
    <w:rsid w:val="000F5D27"/>
    <w:rsid w:val="000F5D7F"/>
    <w:rsid w:val="000F5E94"/>
    <w:rsid w:val="000F621A"/>
    <w:rsid w:val="000F6320"/>
    <w:rsid w:val="000F6322"/>
    <w:rsid w:val="000F6557"/>
    <w:rsid w:val="000F66B2"/>
    <w:rsid w:val="000F66EF"/>
    <w:rsid w:val="000F66FE"/>
    <w:rsid w:val="000F674D"/>
    <w:rsid w:val="000F69E7"/>
    <w:rsid w:val="000F69EF"/>
    <w:rsid w:val="000F6C40"/>
    <w:rsid w:val="000F6C9A"/>
    <w:rsid w:val="000F6C9F"/>
    <w:rsid w:val="000F7179"/>
    <w:rsid w:val="000F719D"/>
    <w:rsid w:val="000F721A"/>
    <w:rsid w:val="000F7512"/>
    <w:rsid w:val="000F7517"/>
    <w:rsid w:val="000F7538"/>
    <w:rsid w:val="000F7612"/>
    <w:rsid w:val="000F79E1"/>
    <w:rsid w:val="000F7A00"/>
    <w:rsid w:val="000F7A8B"/>
    <w:rsid w:val="000F7B71"/>
    <w:rsid w:val="000F7CCE"/>
    <w:rsid w:val="000F7E92"/>
    <w:rsid w:val="000F7F3A"/>
    <w:rsid w:val="0010007A"/>
    <w:rsid w:val="00100106"/>
    <w:rsid w:val="0010020A"/>
    <w:rsid w:val="0010055C"/>
    <w:rsid w:val="00100980"/>
    <w:rsid w:val="001009F4"/>
    <w:rsid w:val="00100ABC"/>
    <w:rsid w:val="00100AC3"/>
    <w:rsid w:val="00100C18"/>
    <w:rsid w:val="00100E1C"/>
    <w:rsid w:val="0010108A"/>
    <w:rsid w:val="00101161"/>
    <w:rsid w:val="001011BA"/>
    <w:rsid w:val="00101604"/>
    <w:rsid w:val="00101816"/>
    <w:rsid w:val="001019AC"/>
    <w:rsid w:val="00101A30"/>
    <w:rsid w:val="00101A84"/>
    <w:rsid w:val="00101CF8"/>
    <w:rsid w:val="00101E37"/>
    <w:rsid w:val="00101E67"/>
    <w:rsid w:val="001021CE"/>
    <w:rsid w:val="001021F2"/>
    <w:rsid w:val="0010239B"/>
    <w:rsid w:val="0010285D"/>
    <w:rsid w:val="001028BC"/>
    <w:rsid w:val="00102CE9"/>
    <w:rsid w:val="00102D7B"/>
    <w:rsid w:val="00102DB0"/>
    <w:rsid w:val="00102E41"/>
    <w:rsid w:val="00102E4A"/>
    <w:rsid w:val="0010302D"/>
    <w:rsid w:val="001030C3"/>
    <w:rsid w:val="00103393"/>
    <w:rsid w:val="00103610"/>
    <w:rsid w:val="001037B2"/>
    <w:rsid w:val="00103808"/>
    <w:rsid w:val="001039B0"/>
    <w:rsid w:val="00103CAE"/>
    <w:rsid w:val="00103E2F"/>
    <w:rsid w:val="00103FB1"/>
    <w:rsid w:val="001040E0"/>
    <w:rsid w:val="0010432C"/>
    <w:rsid w:val="00104661"/>
    <w:rsid w:val="001047F1"/>
    <w:rsid w:val="00104B9B"/>
    <w:rsid w:val="00104CA2"/>
    <w:rsid w:val="00104D3A"/>
    <w:rsid w:val="00104DEE"/>
    <w:rsid w:val="001052EF"/>
    <w:rsid w:val="0010568A"/>
    <w:rsid w:val="001057DF"/>
    <w:rsid w:val="0010599E"/>
    <w:rsid w:val="00105AA3"/>
    <w:rsid w:val="00105C30"/>
    <w:rsid w:val="00105C4B"/>
    <w:rsid w:val="00105E1D"/>
    <w:rsid w:val="00105EF6"/>
    <w:rsid w:val="00105FA8"/>
    <w:rsid w:val="00105FEE"/>
    <w:rsid w:val="00105FF4"/>
    <w:rsid w:val="0010600E"/>
    <w:rsid w:val="0010640E"/>
    <w:rsid w:val="00106411"/>
    <w:rsid w:val="00106493"/>
    <w:rsid w:val="001067AA"/>
    <w:rsid w:val="00106C18"/>
    <w:rsid w:val="00106C2E"/>
    <w:rsid w:val="00106D6A"/>
    <w:rsid w:val="00106E41"/>
    <w:rsid w:val="00106F30"/>
    <w:rsid w:val="001070F6"/>
    <w:rsid w:val="00107208"/>
    <w:rsid w:val="00107470"/>
    <w:rsid w:val="00107527"/>
    <w:rsid w:val="001075AA"/>
    <w:rsid w:val="00107691"/>
    <w:rsid w:val="0010783F"/>
    <w:rsid w:val="00107B0C"/>
    <w:rsid w:val="00107B2A"/>
    <w:rsid w:val="00107C63"/>
    <w:rsid w:val="00107D2F"/>
    <w:rsid w:val="00107E66"/>
    <w:rsid w:val="00107E93"/>
    <w:rsid w:val="00107E9D"/>
    <w:rsid w:val="00110215"/>
    <w:rsid w:val="00110396"/>
    <w:rsid w:val="00110433"/>
    <w:rsid w:val="00110466"/>
    <w:rsid w:val="0011071C"/>
    <w:rsid w:val="00110A23"/>
    <w:rsid w:val="00111166"/>
    <w:rsid w:val="00111251"/>
    <w:rsid w:val="001112A1"/>
    <w:rsid w:val="00111417"/>
    <w:rsid w:val="00111834"/>
    <w:rsid w:val="0011189B"/>
    <w:rsid w:val="001119EA"/>
    <w:rsid w:val="00111BFA"/>
    <w:rsid w:val="00111FAF"/>
    <w:rsid w:val="0011200F"/>
    <w:rsid w:val="0011215F"/>
    <w:rsid w:val="0011225F"/>
    <w:rsid w:val="001124DA"/>
    <w:rsid w:val="00112D0B"/>
    <w:rsid w:val="00112D61"/>
    <w:rsid w:val="00113297"/>
    <w:rsid w:val="001137E4"/>
    <w:rsid w:val="00113851"/>
    <w:rsid w:val="00113867"/>
    <w:rsid w:val="00113985"/>
    <w:rsid w:val="00113C1B"/>
    <w:rsid w:val="00113CFA"/>
    <w:rsid w:val="00113DF8"/>
    <w:rsid w:val="00113FD0"/>
    <w:rsid w:val="0011402D"/>
    <w:rsid w:val="001141A9"/>
    <w:rsid w:val="001144A2"/>
    <w:rsid w:val="00114743"/>
    <w:rsid w:val="0011482C"/>
    <w:rsid w:val="00114A7E"/>
    <w:rsid w:val="00114AF5"/>
    <w:rsid w:val="00114D51"/>
    <w:rsid w:val="00114E5D"/>
    <w:rsid w:val="00114F07"/>
    <w:rsid w:val="00115018"/>
    <w:rsid w:val="00115246"/>
    <w:rsid w:val="0011539F"/>
    <w:rsid w:val="001153E6"/>
    <w:rsid w:val="001155E9"/>
    <w:rsid w:val="0011562E"/>
    <w:rsid w:val="00115682"/>
    <w:rsid w:val="0011574A"/>
    <w:rsid w:val="001157C5"/>
    <w:rsid w:val="0011584F"/>
    <w:rsid w:val="001159DC"/>
    <w:rsid w:val="001159FF"/>
    <w:rsid w:val="00115A7B"/>
    <w:rsid w:val="00115B58"/>
    <w:rsid w:val="001160AD"/>
    <w:rsid w:val="001160B2"/>
    <w:rsid w:val="00116210"/>
    <w:rsid w:val="001163AF"/>
    <w:rsid w:val="00116461"/>
    <w:rsid w:val="00116772"/>
    <w:rsid w:val="001167E2"/>
    <w:rsid w:val="00116AD4"/>
    <w:rsid w:val="00116B13"/>
    <w:rsid w:val="0011705D"/>
    <w:rsid w:val="0011716C"/>
    <w:rsid w:val="001174C3"/>
    <w:rsid w:val="00117863"/>
    <w:rsid w:val="00117938"/>
    <w:rsid w:val="00117BBB"/>
    <w:rsid w:val="00117C8A"/>
    <w:rsid w:val="00117E3E"/>
    <w:rsid w:val="00120293"/>
    <w:rsid w:val="001206BD"/>
    <w:rsid w:val="00120828"/>
    <w:rsid w:val="00120892"/>
    <w:rsid w:val="001208CF"/>
    <w:rsid w:val="0012093F"/>
    <w:rsid w:val="00120A2F"/>
    <w:rsid w:val="00120A99"/>
    <w:rsid w:val="00120B3F"/>
    <w:rsid w:val="00120C4F"/>
    <w:rsid w:val="00120C81"/>
    <w:rsid w:val="00120E05"/>
    <w:rsid w:val="00120F36"/>
    <w:rsid w:val="00121084"/>
    <w:rsid w:val="00121092"/>
    <w:rsid w:val="00121209"/>
    <w:rsid w:val="001215DB"/>
    <w:rsid w:val="001218A5"/>
    <w:rsid w:val="00121CCF"/>
    <w:rsid w:val="00121CEF"/>
    <w:rsid w:val="00121E71"/>
    <w:rsid w:val="00121F0C"/>
    <w:rsid w:val="0012209A"/>
    <w:rsid w:val="00122226"/>
    <w:rsid w:val="00122401"/>
    <w:rsid w:val="0012253F"/>
    <w:rsid w:val="00122561"/>
    <w:rsid w:val="001227FA"/>
    <w:rsid w:val="001228BA"/>
    <w:rsid w:val="00122C2A"/>
    <w:rsid w:val="00122C47"/>
    <w:rsid w:val="00122D3A"/>
    <w:rsid w:val="00122EA1"/>
    <w:rsid w:val="00123010"/>
    <w:rsid w:val="001231AC"/>
    <w:rsid w:val="001233A4"/>
    <w:rsid w:val="001234B2"/>
    <w:rsid w:val="00123609"/>
    <w:rsid w:val="001236C7"/>
    <w:rsid w:val="001236D6"/>
    <w:rsid w:val="00123A8C"/>
    <w:rsid w:val="00123B35"/>
    <w:rsid w:val="00123B37"/>
    <w:rsid w:val="00123DD5"/>
    <w:rsid w:val="00123FBA"/>
    <w:rsid w:val="00123FBF"/>
    <w:rsid w:val="0012414C"/>
    <w:rsid w:val="001242BF"/>
    <w:rsid w:val="00124469"/>
    <w:rsid w:val="001245FB"/>
    <w:rsid w:val="001247C7"/>
    <w:rsid w:val="001247FE"/>
    <w:rsid w:val="00124894"/>
    <w:rsid w:val="0012495B"/>
    <w:rsid w:val="00124ADF"/>
    <w:rsid w:val="00124D71"/>
    <w:rsid w:val="00124D92"/>
    <w:rsid w:val="00124DB5"/>
    <w:rsid w:val="00124EF6"/>
    <w:rsid w:val="00124F24"/>
    <w:rsid w:val="001250CC"/>
    <w:rsid w:val="001253AF"/>
    <w:rsid w:val="00125421"/>
    <w:rsid w:val="00125487"/>
    <w:rsid w:val="0012553A"/>
    <w:rsid w:val="00125794"/>
    <w:rsid w:val="00125BCB"/>
    <w:rsid w:val="00125C8C"/>
    <w:rsid w:val="00125CDD"/>
    <w:rsid w:val="00126037"/>
    <w:rsid w:val="00126270"/>
    <w:rsid w:val="001262D5"/>
    <w:rsid w:val="001262DA"/>
    <w:rsid w:val="0012646C"/>
    <w:rsid w:val="00126593"/>
    <w:rsid w:val="0012697B"/>
    <w:rsid w:val="00126ABB"/>
    <w:rsid w:val="00126C95"/>
    <w:rsid w:val="00126CCC"/>
    <w:rsid w:val="00126E7F"/>
    <w:rsid w:val="00127066"/>
    <w:rsid w:val="0012709D"/>
    <w:rsid w:val="001273B2"/>
    <w:rsid w:val="00127446"/>
    <w:rsid w:val="001275F1"/>
    <w:rsid w:val="00127647"/>
    <w:rsid w:val="001277DD"/>
    <w:rsid w:val="0012795E"/>
    <w:rsid w:val="001279A1"/>
    <w:rsid w:val="00127D42"/>
    <w:rsid w:val="00127E61"/>
    <w:rsid w:val="00127F02"/>
    <w:rsid w:val="001300DC"/>
    <w:rsid w:val="00130177"/>
    <w:rsid w:val="001304EB"/>
    <w:rsid w:val="001305EF"/>
    <w:rsid w:val="0013065D"/>
    <w:rsid w:val="00130A4B"/>
    <w:rsid w:val="00130A62"/>
    <w:rsid w:val="00130B85"/>
    <w:rsid w:val="00130CC4"/>
    <w:rsid w:val="00130EA6"/>
    <w:rsid w:val="00130FB0"/>
    <w:rsid w:val="00130FB5"/>
    <w:rsid w:val="00130FDE"/>
    <w:rsid w:val="00131103"/>
    <w:rsid w:val="00131145"/>
    <w:rsid w:val="00131212"/>
    <w:rsid w:val="0013122C"/>
    <w:rsid w:val="001313D7"/>
    <w:rsid w:val="0013142C"/>
    <w:rsid w:val="00131486"/>
    <w:rsid w:val="001317FA"/>
    <w:rsid w:val="0013180E"/>
    <w:rsid w:val="0013190A"/>
    <w:rsid w:val="0013197C"/>
    <w:rsid w:val="00131B96"/>
    <w:rsid w:val="00131C52"/>
    <w:rsid w:val="00131D6D"/>
    <w:rsid w:val="00131DED"/>
    <w:rsid w:val="0013203F"/>
    <w:rsid w:val="0013214D"/>
    <w:rsid w:val="00132278"/>
    <w:rsid w:val="00132DBE"/>
    <w:rsid w:val="00132FC0"/>
    <w:rsid w:val="00133245"/>
    <w:rsid w:val="001332AF"/>
    <w:rsid w:val="001332DF"/>
    <w:rsid w:val="00133304"/>
    <w:rsid w:val="00133356"/>
    <w:rsid w:val="0013345A"/>
    <w:rsid w:val="00133775"/>
    <w:rsid w:val="0013387E"/>
    <w:rsid w:val="001339D3"/>
    <w:rsid w:val="00133A42"/>
    <w:rsid w:val="00133B9A"/>
    <w:rsid w:val="00133C28"/>
    <w:rsid w:val="00133F5F"/>
    <w:rsid w:val="00134054"/>
    <w:rsid w:val="001340F3"/>
    <w:rsid w:val="0013414C"/>
    <w:rsid w:val="0013420E"/>
    <w:rsid w:val="00134397"/>
    <w:rsid w:val="00134468"/>
    <w:rsid w:val="001344D2"/>
    <w:rsid w:val="001346C4"/>
    <w:rsid w:val="0013472E"/>
    <w:rsid w:val="0013481A"/>
    <w:rsid w:val="00134836"/>
    <w:rsid w:val="00134894"/>
    <w:rsid w:val="0013490B"/>
    <w:rsid w:val="0013499D"/>
    <w:rsid w:val="001349D6"/>
    <w:rsid w:val="00134B11"/>
    <w:rsid w:val="00134B64"/>
    <w:rsid w:val="00134C0D"/>
    <w:rsid w:val="001350F4"/>
    <w:rsid w:val="0013527E"/>
    <w:rsid w:val="0013535C"/>
    <w:rsid w:val="001355F1"/>
    <w:rsid w:val="00135996"/>
    <w:rsid w:val="00135D82"/>
    <w:rsid w:val="00135EC3"/>
    <w:rsid w:val="00136023"/>
    <w:rsid w:val="001360B2"/>
    <w:rsid w:val="001360C5"/>
    <w:rsid w:val="00136118"/>
    <w:rsid w:val="00136196"/>
    <w:rsid w:val="00136332"/>
    <w:rsid w:val="00136707"/>
    <w:rsid w:val="00136827"/>
    <w:rsid w:val="00136A38"/>
    <w:rsid w:val="00136BBE"/>
    <w:rsid w:val="00136C52"/>
    <w:rsid w:val="00136DBF"/>
    <w:rsid w:val="00136EDB"/>
    <w:rsid w:val="00136EFA"/>
    <w:rsid w:val="001374FD"/>
    <w:rsid w:val="0013779E"/>
    <w:rsid w:val="0013783C"/>
    <w:rsid w:val="00137996"/>
    <w:rsid w:val="00137B8A"/>
    <w:rsid w:val="00137BDA"/>
    <w:rsid w:val="00137D6F"/>
    <w:rsid w:val="001401BC"/>
    <w:rsid w:val="00140723"/>
    <w:rsid w:val="00140740"/>
    <w:rsid w:val="00140763"/>
    <w:rsid w:val="0014085C"/>
    <w:rsid w:val="0014091C"/>
    <w:rsid w:val="00140946"/>
    <w:rsid w:val="00140948"/>
    <w:rsid w:val="00140972"/>
    <w:rsid w:val="001409BD"/>
    <w:rsid w:val="00140B81"/>
    <w:rsid w:val="00140E43"/>
    <w:rsid w:val="00140F16"/>
    <w:rsid w:val="00141005"/>
    <w:rsid w:val="001410EB"/>
    <w:rsid w:val="001411B2"/>
    <w:rsid w:val="00141216"/>
    <w:rsid w:val="00141306"/>
    <w:rsid w:val="001413FA"/>
    <w:rsid w:val="00141B02"/>
    <w:rsid w:val="00141B50"/>
    <w:rsid w:val="00141D22"/>
    <w:rsid w:val="00141D63"/>
    <w:rsid w:val="00141D9C"/>
    <w:rsid w:val="00141E4A"/>
    <w:rsid w:val="00141ED1"/>
    <w:rsid w:val="0014200C"/>
    <w:rsid w:val="001420BB"/>
    <w:rsid w:val="0014245A"/>
    <w:rsid w:val="00142759"/>
    <w:rsid w:val="00142916"/>
    <w:rsid w:val="00142BD9"/>
    <w:rsid w:val="00142D6D"/>
    <w:rsid w:val="00142FE9"/>
    <w:rsid w:val="00143053"/>
    <w:rsid w:val="001430C3"/>
    <w:rsid w:val="0014314F"/>
    <w:rsid w:val="0014331E"/>
    <w:rsid w:val="00143427"/>
    <w:rsid w:val="001434DE"/>
    <w:rsid w:val="00143619"/>
    <w:rsid w:val="001436E3"/>
    <w:rsid w:val="00143819"/>
    <w:rsid w:val="00143EED"/>
    <w:rsid w:val="00143F96"/>
    <w:rsid w:val="001440DC"/>
    <w:rsid w:val="001440EA"/>
    <w:rsid w:val="0014411B"/>
    <w:rsid w:val="001441D1"/>
    <w:rsid w:val="00144367"/>
    <w:rsid w:val="00144396"/>
    <w:rsid w:val="00144416"/>
    <w:rsid w:val="001445E0"/>
    <w:rsid w:val="00144727"/>
    <w:rsid w:val="00144917"/>
    <w:rsid w:val="0014497F"/>
    <w:rsid w:val="00144BE4"/>
    <w:rsid w:val="00144C1B"/>
    <w:rsid w:val="0014514C"/>
    <w:rsid w:val="0014520A"/>
    <w:rsid w:val="001453A9"/>
    <w:rsid w:val="0014548D"/>
    <w:rsid w:val="001454B4"/>
    <w:rsid w:val="0014566F"/>
    <w:rsid w:val="001456C2"/>
    <w:rsid w:val="00145764"/>
    <w:rsid w:val="001457A3"/>
    <w:rsid w:val="001457DE"/>
    <w:rsid w:val="00145895"/>
    <w:rsid w:val="001458B5"/>
    <w:rsid w:val="001458EB"/>
    <w:rsid w:val="00145999"/>
    <w:rsid w:val="001459BD"/>
    <w:rsid w:val="00145A11"/>
    <w:rsid w:val="00145C4B"/>
    <w:rsid w:val="00145D4D"/>
    <w:rsid w:val="00145E38"/>
    <w:rsid w:val="00145E5A"/>
    <w:rsid w:val="00146249"/>
    <w:rsid w:val="001462B9"/>
    <w:rsid w:val="00146335"/>
    <w:rsid w:val="00146566"/>
    <w:rsid w:val="00146A43"/>
    <w:rsid w:val="00146BB7"/>
    <w:rsid w:val="00146DEB"/>
    <w:rsid w:val="00146EA2"/>
    <w:rsid w:val="00146F05"/>
    <w:rsid w:val="00146FDD"/>
    <w:rsid w:val="00147048"/>
    <w:rsid w:val="00147175"/>
    <w:rsid w:val="00147314"/>
    <w:rsid w:val="00147361"/>
    <w:rsid w:val="00147430"/>
    <w:rsid w:val="001476D3"/>
    <w:rsid w:val="0014793C"/>
    <w:rsid w:val="001479E0"/>
    <w:rsid w:val="00147E5B"/>
    <w:rsid w:val="0015014F"/>
    <w:rsid w:val="00150275"/>
    <w:rsid w:val="001504F5"/>
    <w:rsid w:val="0015057B"/>
    <w:rsid w:val="001507FD"/>
    <w:rsid w:val="00150861"/>
    <w:rsid w:val="00150E1D"/>
    <w:rsid w:val="00150E3F"/>
    <w:rsid w:val="00150EA3"/>
    <w:rsid w:val="00150EC0"/>
    <w:rsid w:val="00150F8E"/>
    <w:rsid w:val="0015124A"/>
    <w:rsid w:val="001514D4"/>
    <w:rsid w:val="001514FA"/>
    <w:rsid w:val="001516FF"/>
    <w:rsid w:val="001517A8"/>
    <w:rsid w:val="0015181D"/>
    <w:rsid w:val="001519B4"/>
    <w:rsid w:val="00151A1B"/>
    <w:rsid w:val="00151CA1"/>
    <w:rsid w:val="00151D03"/>
    <w:rsid w:val="00151D28"/>
    <w:rsid w:val="0015220B"/>
    <w:rsid w:val="0015289C"/>
    <w:rsid w:val="00152943"/>
    <w:rsid w:val="0015299B"/>
    <w:rsid w:val="00152A45"/>
    <w:rsid w:val="00152FBD"/>
    <w:rsid w:val="001530B8"/>
    <w:rsid w:val="00153129"/>
    <w:rsid w:val="00153215"/>
    <w:rsid w:val="0015330A"/>
    <w:rsid w:val="001537ED"/>
    <w:rsid w:val="00153984"/>
    <w:rsid w:val="00153F3B"/>
    <w:rsid w:val="0015405E"/>
    <w:rsid w:val="001542B6"/>
    <w:rsid w:val="00154939"/>
    <w:rsid w:val="00154A2A"/>
    <w:rsid w:val="00154CDF"/>
    <w:rsid w:val="00155096"/>
    <w:rsid w:val="00155153"/>
    <w:rsid w:val="00155464"/>
    <w:rsid w:val="001554AB"/>
    <w:rsid w:val="001556A9"/>
    <w:rsid w:val="00155997"/>
    <w:rsid w:val="00155A1A"/>
    <w:rsid w:val="00155A8B"/>
    <w:rsid w:val="00155BF8"/>
    <w:rsid w:val="00155C8E"/>
    <w:rsid w:val="00156068"/>
    <w:rsid w:val="00156210"/>
    <w:rsid w:val="00156381"/>
    <w:rsid w:val="001565AC"/>
    <w:rsid w:val="00156603"/>
    <w:rsid w:val="0015683B"/>
    <w:rsid w:val="0015697F"/>
    <w:rsid w:val="00156985"/>
    <w:rsid w:val="00156C09"/>
    <w:rsid w:val="00156C66"/>
    <w:rsid w:val="00156EC7"/>
    <w:rsid w:val="00156ECC"/>
    <w:rsid w:val="001571D9"/>
    <w:rsid w:val="00157205"/>
    <w:rsid w:val="0015741E"/>
    <w:rsid w:val="00157450"/>
    <w:rsid w:val="0015765A"/>
    <w:rsid w:val="00157788"/>
    <w:rsid w:val="00157838"/>
    <w:rsid w:val="00157B5B"/>
    <w:rsid w:val="00157B87"/>
    <w:rsid w:val="0016007A"/>
    <w:rsid w:val="00160332"/>
    <w:rsid w:val="00160339"/>
    <w:rsid w:val="001606CF"/>
    <w:rsid w:val="00160817"/>
    <w:rsid w:val="00160A71"/>
    <w:rsid w:val="00160F99"/>
    <w:rsid w:val="001610F8"/>
    <w:rsid w:val="0016113C"/>
    <w:rsid w:val="001611B7"/>
    <w:rsid w:val="00161273"/>
    <w:rsid w:val="0016128D"/>
    <w:rsid w:val="00161412"/>
    <w:rsid w:val="00161413"/>
    <w:rsid w:val="00161480"/>
    <w:rsid w:val="001614DE"/>
    <w:rsid w:val="001615E5"/>
    <w:rsid w:val="00161736"/>
    <w:rsid w:val="00161777"/>
    <w:rsid w:val="0016177D"/>
    <w:rsid w:val="001618B6"/>
    <w:rsid w:val="00161A90"/>
    <w:rsid w:val="00161AE1"/>
    <w:rsid w:val="00161C4C"/>
    <w:rsid w:val="00161C7F"/>
    <w:rsid w:val="00162302"/>
    <w:rsid w:val="001624A9"/>
    <w:rsid w:val="00162917"/>
    <w:rsid w:val="00162953"/>
    <w:rsid w:val="00162A5A"/>
    <w:rsid w:val="00162B0F"/>
    <w:rsid w:val="00162BD5"/>
    <w:rsid w:val="00162FB2"/>
    <w:rsid w:val="001630DB"/>
    <w:rsid w:val="00163222"/>
    <w:rsid w:val="00163435"/>
    <w:rsid w:val="0016363B"/>
    <w:rsid w:val="001638D2"/>
    <w:rsid w:val="00163D42"/>
    <w:rsid w:val="00163EE1"/>
    <w:rsid w:val="001641B1"/>
    <w:rsid w:val="0016428A"/>
    <w:rsid w:val="0016435D"/>
    <w:rsid w:val="00164678"/>
    <w:rsid w:val="0016467B"/>
    <w:rsid w:val="00164721"/>
    <w:rsid w:val="00164AD9"/>
    <w:rsid w:val="00164CC3"/>
    <w:rsid w:val="00164DE4"/>
    <w:rsid w:val="00164E9E"/>
    <w:rsid w:val="00164F19"/>
    <w:rsid w:val="00165029"/>
    <w:rsid w:val="001657CA"/>
    <w:rsid w:val="00165860"/>
    <w:rsid w:val="00165C21"/>
    <w:rsid w:val="00165D94"/>
    <w:rsid w:val="00165F1A"/>
    <w:rsid w:val="0016644F"/>
    <w:rsid w:val="001664BE"/>
    <w:rsid w:val="0016652E"/>
    <w:rsid w:val="0016685E"/>
    <w:rsid w:val="001668C2"/>
    <w:rsid w:val="001669C4"/>
    <w:rsid w:val="00166A72"/>
    <w:rsid w:val="00166B58"/>
    <w:rsid w:val="00166CA5"/>
    <w:rsid w:val="00166F00"/>
    <w:rsid w:val="00166FF9"/>
    <w:rsid w:val="00167186"/>
    <w:rsid w:val="00167248"/>
    <w:rsid w:val="001676BF"/>
    <w:rsid w:val="00167A48"/>
    <w:rsid w:val="00167AAD"/>
    <w:rsid w:val="00167AC5"/>
    <w:rsid w:val="00167B70"/>
    <w:rsid w:val="00167B7D"/>
    <w:rsid w:val="00167DBF"/>
    <w:rsid w:val="00167DF0"/>
    <w:rsid w:val="0017057F"/>
    <w:rsid w:val="0017061F"/>
    <w:rsid w:val="0017076F"/>
    <w:rsid w:val="0017078A"/>
    <w:rsid w:val="00170810"/>
    <w:rsid w:val="0017089D"/>
    <w:rsid w:val="00170945"/>
    <w:rsid w:val="00170A57"/>
    <w:rsid w:val="00170CC5"/>
    <w:rsid w:val="00170D0E"/>
    <w:rsid w:val="00170F2C"/>
    <w:rsid w:val="00170F40"/>
    <w:rsid w:val="00170FBB"/>
    <w:rsid w:val="0017113E"/>
    <w:rsid w:val="001712AD"/>
    <w:rsid w:val="001713EF"/>
    <w:rsid w:val="0017144D"/>
    <w:rsid w:val="00171911"/>
    <w:rsid w:val="00171951"/>
    <w:rsid w:val="00171C8D"/>
    <w:rsid w:val="00171E2B"/>
    <w:rsid w:val="00171F1C"/>
    <w:rsid w:val="00172078"/>
    <w:rsid w:val="0017219A"/>
    <w:rsid w:val="00172217"/>
    <w:rsid w:val="00172223"/>
    <w:rsid w:val="00172275"/>
    <w:rsid w:val="001724A3"/>
    <w:rsid w:val="001725E5"/>
    <w:rsid w:val="001726A1"/>
    <w:rsid w:val="001726AA"/>
    <w:rsid w:val="00172EF8"/>
    <w:rsid w:val="00172F8F"/>
    <w:rsid w:val="00172FFC"/>
    <w:rsid w:val="001730D4"/>
    <w:rsid w:val="00173268"/>
    <w:rsid w:val="0017328F"/>
    <w:rsid w:val="001732F2"/>
    <w:rsid w:val="001733A2"/>
    <w:rsid w:val="001736E3"/>
    <w:rsid w:val="0017385A"/>
    <w:rsid w:val="00173A2A"/>
    <w:rsid w:val="00173A65"/>
    <w:rsid w:val="00173C3D"/>
    <w:rsid w:val="00173EB8"/>
    <w:rsid w:val="00174055"/>
    <w:rsid w:val="0017423B"/>
    <w:rsid w:val="00174247"/>
    <w:rsid w:val="001743D7"/>
    <w:rsid w:val="00174A8D"/>
    <w:rsid w:val="00174B19"/>
    <w:rsid w:val="001752A7"/>
    <w:rsid w:val="0017533E"/>
    <w:rsid w:val="001754BA"/>
    <w:rsid w:val="001754FB"/>
    <w:rsid w:val="0017558C"/>
    <w:rsid w:val="0017575E"/>
    <w:rsid w:val="001757A4"/>
    <w:rsid w:val="001757E0"/>
    <w:rsid w:val="00175CF2"/>
    <w:rsid w:val="00175E39"/>
    <w:rsid w:val="00175EC7"/>
    <w:rsid w:val="00175F3A"/>
    <w:rsid w:val="00176078"/>
    <w:rsid w:val="001761D9"/>
    <w:rsid w:val="001763F9"/>
    <w:rsid w:val="001764FE"/>
    <w:rsid w:val="001765CD"/>
    <w:rsid w:val="001769D0"/>
    <w:rsid w:val="00176BB5"/>
    <w:rsid w:val="00176D0B"/>
    <w:rsid w:val="0017731F"/>
    <w:rsid w:val="001773D9"/>
    <w:rsid w:val="0017784C"/>
    <w:rsid w:val="001778F6"/>
    <w:rsid w:val="00177C0A"/>
    <w:rsid w:val="00177C9C"/>
    <w:rsid w:val="00177D1E"/>
    <w:rsid w:val="00177FB6"/>
    <w:rsid w:val="0018013C"/>
    <w:rsid w:val="001801C4"/>
    <w:rsid w:val="001801D1"/>
    <w:rsid w:val="00180225"/>
    <w:rsid w:val="00180361"/>
    <w:rsid w:val="0018058B"/>
    <w:rsid w:val="00180645"/>
    <w:rsid w:val="001806CE"/>
    <w:rsid w:val="001809F6"/>
    <w:rsid w:val="00180A94"/>
    <w:rsid w:val="00180AAC"/>
    <w:rsid w:val="00180B5A"/>
    <w:rsid w:val="00180C92"/>
    <w:rsid w:val="00180D29"/>
    <w:rsid w:val="00180E08"/>
    <w:rsid w:val="00181151"/>
    <w:rsid w:val="00181A34"/>
    <w:rsid w:val="00181A9B"/>
    <w:rsid w:val="00181BDB"/>
    <w:rsid w:val="00181D2D"/>
    <w:rsid w:val="00181D31"/>
    <w:rsid w:val="00181DEB"/>
    <w:rsid w:val="00181FBD"/>
    <w:rsid w:val="001822D6"/>
    <w:rsid w:val="001828D0"/>
    <w:rsid w:val="00182955"/>
    <w:rsid w:val="00182AB7"/>
    <w:rsid w:val="00182BC3"/>
    <w:rsid w:val="00182EC0"/>
    <w:rsid w:val="00183086"/>
    <w:rsid w:val="00183237"/>
    <w:rsid w:val="0018349D"/>
    <w:rsid w:val="001834C2"/>
    <w:rsid w:val="00183563"/>
    <w:rsid w:val="001835D5"/>
    <w:rsid w:val="00183640"/>
    <w:rsid w:val="001838A2"/>
    <w:rsid w:val="001839FB"/>
    <w:rsid w:val="00183A2A"/>
    <w:rsid w:val="00183A9E"/>
    <w:rsid w:val="00183AF1"/>
    <w:rsid w:val="00183D22"/>
    <w:rsid w:val="00183D52"/>
    <w:rsid w:val="00184050"/>
    <w:rsid w:val="0018443F"/>
    <w:rsid w:val="0018469A"/>
    <w:rsid w:val="00184700"/>
    <w:rsid w:val="00185012"/>
    <w:rsid w:val="0018509D"/>
    <w:rsid w:val="001850BF"/>
    <w:rsid w:val="00185246"/>
    <w:rsid w:val="0018530F"/>
    <w:rsid w:val="001853D3"/>
    <w:rsid w:val="001854C3"/>
    <w:rsid w:val="001856EE"/>
    <w:rsid w:val="00185750"/>
    <w:rsid w:val="001857A4"/>
    <w:rsid w:val="001858C9"/>
    <w:rsid w:val="00185926"/>
    <w:rsid w:val="00185955"/>
    <w:rsid w:val="0018597F"/>
    <w:rsid w:val="001859C1"/>
    <w:rsid w:val="00185B40"/>
    <w:rsid w:val="00185B63"/>
    <w:rsid w:val="00185C67"/>
    <w:rsid w:val="00185C86"/>
    <w:rsid w:val="00185E98"/>
    <w:rsid w:val="00185F17"/>
    <w:rsid w:val="00185F4F"/>
    <w:rsid w:val="00186262"/>
    <w:rsid w:val="001863A0"/>
    <w:rsid w:val="001863B8"/>
    <w:rsid w:val="001863E1"/>
    <w:rsid w:val="0018647E"/>
    <w:rsid w:val="001867C9"/>
    <w:rsid w:val="00186973"/>
    <w:rsid w:val="00186A50"/>
    <w:rsid w:val="00186B72"/>
    <w:rsid w:val="00186BC8"/>
    <w:rsid w:val="00186C48"/>
    <w:rsid w:val="00186ED0"/>
    <w:rsid w:val="00186ED7"/>
    <w:rsid w:val="00186FD9"/>
    <w:rsid w:val="00186FF7"/>
    <w:rsid w:val="00187069"/>
    <w:rsid w:val="001875DB"/>
    <w:rsid w:val="00187631"/>
    <w:rsid w:val="00187673"/>
    <w:rsid w:val="00187B46"/>
    <w:rsid w:val="001902D7"/>
    <w:rsid w:val="0019033E"/>
    <w:rsid w:val="00190A91"/>
    <w:rsid w:val="00190D1F"/>
    <w:rsid w:val="00190F73"/>
    <w:rsid w:val="0019101A"/>
    <w:rsid w:val="001912FB"/>
    <w:rsid w:val="001913B9"/>
    <w:rsid w:val="001913D7"/>
    <w:rsid w:val="00191466"/>
    <w:rsid w:val="0019178F"/>
    <w:rsid w:val="00191934"/>
    <w:rsid w:val="00191B2D"/>
    <w:rsid w:val="001923C3"/>
    <w:rsid w:val="00192746"/>
    <w:rsid w:val="001927DE"/>
    <w:rsid w:val="00192853"/>
    <w:rsid w:val="001928F1"/>
    <w:rsid w:val="00192A38"/>
    <w:rsid w:val="00192A7E"/>
    <w:rsid w:val="00192D3B"/>
    <w:rsid w:val="001930F8"/>
    <w:rsid w:val="00193398"/>
    <w:rsid w:val="001933B8"/>
    <w:rsid w:val="001936D6"/>
    <w:rsid w:val="001937AD"/>
    <w:rsid w:val="00193A56"/>
    <w:rsid w:val="00193B32"/>
    <w:rsid w:val="00194121"/>
    <w:rsid w:val="00194276"/>
    <w:rsid w:val="001942A9"/>
    <w:rsid w:val="001942C5"/>
    <w:rsid w:val="00194302"/>
    <w:rsid w:val="00194320"/>
    <w:rsid w:val="0019444E"/>
    <w:rsid w:val="001945CD"/>
    <w:rsid w:val="001948EC"/>
    <w:rsid w:val="001949AC"/>
    <w:rsid w:val="00194A9F"/>
    <w:rsid w:val="00194B05"/>
    <w:rsid w:val="00194CBA"/>
    <w:rsid w:val="00194DC6"/>
    <w:rsid w:val="00194FB7"/>
    <w:rsid w:val="001951D3"/>
    <w:rsid w:val="00195247"/>
    <w:rsid w:val="0019527E"/>
    <w:rsid w:val="00195461"/>
    <w:rsid w:val="001958C7"/>
    <w:rsid w:val="00195A7A"/>
    <w:rsid w:val="00195A98"/>
    <w:rsid w:val="00195B8F"/>
    <w:rsid w:val="00195B9C"/>
    <w:rsid w:val="00195BCA"/>
    <w:rsid w:val="00195BF1"/>
    <w:rsid w:val="00195C73"/>
    <w:rsid w:val="00195DD6"/>
    <w:rsid w:val="00195E50"/>
    <w:rsid w:val="001960A6"/>
    <w:rsid w:val="00196199"/>
    <w:rsid w:val="0019620B"/>
    <w:rsid w:val="001964F5"/>
    <w:rsid w:val="001966A0"/>
    <w:rsid w:val="00196909"/>
    <w:rsid w:val="00196943"/>
    <w:rsid w:val="00196B83"/>
    <w:rsid w:val="00197525"/>
    <w:rsid w:val="00197674"/>
    <w:rsid w:val="001976C4"/>
    <w:rsid w:val="001978D7"/>
    <w:rsid w:val="00197910"/>
    <w:rsid w:val="00197A34"/>
    <w:rsid w:val="00197E47"/>
    <w:rsid w:val="001A0067"/>
    <w:rsid w:val="001A0101"/>
    <w:rsid w:val="001A0180"/>
    <w:rsid w:val="001A03E7"/>
    <w:rsid w:val="001A03FD"/>
    <w:rsid w:val="001A04B1"/>
    <w:rsid w:val="001A0595"/>
    <w:rsid w:val="001A0870"/>
    <w:rsid w:val="001A0A39"/>
    <w:rsid w:val="001A0C3F"/>
    <w:rsid w:val="001A0CE7"/>
    <w:rsid w:val="001A0D99"/>
    <w:rsid w:val="001A0EEA"/>
    <w:rsid w:val="001A0FD6"/>
    <w:rsid w:val="001A1031"/>
    <w:rsid w:val="001A10CE"/>
    <w:rsid w:val="001A121F"/>
    <w:rsid w:val="001A131F"/>
    <w:rsid w:val="001A1424"/>
    <w:rsid w:val="001A15F2"/>
    <w:rsid w:val="001A1629"/>
    <w:rsid w:val="001A1693"/>
    <w:rsid w:val="001A175F"/>
    <w:rsid w:val="001A19C5"/>
    <w:rsid w:val="001A1B58"/>
    <w:rsid w:val="001A1BF3"/>
    <w:rsid w:val="001A1CD7"/>
    <w:rsid w:val="001A1CD9"/>
    <w:rsid w:val="001A1D88"/>
    <w:rsid w:val="001A1FF1"/>
    <w:rsid w:val="001A270C"/>
    <w:rsid w:val="001A289F"/>
    <w:rsid w:val="001A29A5"/>
    <w:rsid w:val="001A29BC"/>
    <w:rsid w:val="001A2C52"/>
    <w:rsid w:val="001A2DE0"/>
    <w:rsid w:val="001A2DF0"/>
    <w:rsid w:val="001A2E46"/>
    <w:rsid w:val="001A2EBE"/>
    <w:rsid w:val="001A2FAA"/>
    <w:rsid w:val="001A2FD6"/>
    <w:rsid w:val="001A3505"/>
    <w:rsid w:val="001A359B"/>
    <w:rsid w:val="001A383B"/>
    <w:rsid w:val="001A387E"/>
    <w:rsid w:val="001A3A3C"/>
    <w:rsid w:val="001A3AC6"/>
    <w:rsid w:val="001A3AF0"/>
    <w:rsid w:val="001A3D6D"/>
    <w:rsid w:val="001A4078"/>
    <w:rsid w:val="001A4185"/>
    <w:rsid w:val="001A425D"/>
    <w:rsid w:val="001A42A8"/>
    <w:rsid w:val="001A43B9"/>
    <w:rsid w:val="001A44CE"/>
    <w:rsid w:val="001A45D2"/>
    <w:rsid w:val="001A4682"/>
    <w:rsid w:val="001A4730"/>
    <w:rsid w:val="001A4847"/>
    <w:rsid w:val="001A4861"/>
    <w:rsid w:val="001A4A06"/>
    <w:rsid w:val="001A4BF0"/>
    <w:rsid w:val="001A4E3A"/>
    <w:rsid w:val="001A4F5D"/>
    <w:rsid w:val="001A50A5"/>
    <w:rsid w:val="001A50B6"/>
    <w:rsid w:val="001A50BE"/>
    <w:rsid w:val="001A50CE"/>
    <w:rsid w:val="001A5132"/>
    <w:rsid w:val="001A51B9"/>
    <w:rsid w:val="001A51F4"/>
    <w:rsid w:val="001A5225"/>
    <w:rsid w:val="001A5354"/>
    <w:rsid w:val="001A540B"/>
    <w:rsid w:val="001A5421"/>
    <w:rsid w:val="001A545F"/>
    <w:rsid w:val="001A54E9"/>
    <w:rsid w:val="001A5502"/>
    <w:rsid w:val="001A57CB"/>
    <w:rsid w:val="001A5B43"/>
    <w:rsid w:val="001A5DFA"/>
    <w:rsid w:val="001A5F1C"/>
    <w:rsid w:val="001A5F89"/>
    <w:rsid w:val="001A6091"/>
    <w:rsid w:val="001A66F9"/>
    <w:rsid w:val="001A6792"/>
    <w:rsid w:val="001A67FE"/>
    <w:rsid w:val="001A69E6"/>
    <w:rsid w:val="001A6A06"/>
    <w:rsid w:val="001A6A7E"/>
    <w:rsid w:val="001A6BFA"/>
    <w:rsid w:val="001A6D92"/>
    <w:rsid w:val="001A6DEC"/>
    <w:rsid w:val="001A6F1F"/>
    <w:rsid w:val="001A7052"/>
    <w:rsid w:val="001A71D8"/>
    <w:rsid w:val="001A750E"/>
    <w:rsid w:val="001A751A"/>
    <w:rsid w:val="001A7A1A"/>
    <w:rsid w:val="001A7A1B"/>
    <w:rsid w:val="001A7B2C"/>
    <w:rsid w:val="001A7C47"/>
    <w:rsid w:val="001A7C6B"/>
    <w:rsid w:val="001A7CC3"/>
    <w:rsid w:val="001A7D54"/>
    <w:rsid w:val="001A7E90"/>
    <w:rsid w:val="001A7F76"/>
    <w:rsid w:val="001B007E"/>
    <w:rsid w:val="001B0274"/>
    <w:rsid w:val="001B0C6F"/>
    <w:rsid w:val="001B0CA1"/>
    <w:rsid w:val="001B103B"/>
    <w:rsid w:val="001B10FB"/>
    <w:rsid w:val="001B1410"/>
    <w:rsid w:val="001B14A6"/>
    <w:rsid w:val="001B14DE"/>
    <w:rsid w:val="001B16F9"/>
    <w:rsid w:val="001B17F2"/>
    <w:rsid w:val="001B1B29"/>
    <w:rsid w:val="001B1C9B"/>
    <w:rsid w:val="001B1D2A"/>
    <w:rsid w:val="001B1EB0"/>
    <w:rsid w:val="001B1F28"/>
    <w:rsid w:val="001B20D5"/>
    <w:rsid w:val="001B241A"/>
    <w:rsid w:val="001B24BA"/>
    <w:rsid w:val="001B258A"/>
    <w:rsid w:val="001B25A1"/>
    <w:rsid w:val="001B27C9"/>
    <w:rsid w:val="001B2B4B"/>
    <w:rsid w:val="001B2B92"/>
    <w:rsid w:val="001B2BD6"/>
    <w:rsid w:val="001B2BFD"/>
    <w:rsid w:val="001B2E48"/>
    <w:rsid w:val="001B2EC8"/>
    <w:rsid w:val="001B3167"/>
    <w:rsid w:val="001B3444"/>
    <w:rsid w:val="001B3794"/>
    <w:rsid w:val="001B3D7A"/>
    <w:rsid w:val="001B3E70"/>
    <w:rsid w:val="001B4097"/>
    <w:rsid w:val="001B4127"/>
    <w:rsid w:val="001B413D"/>
    <w:rsid w:val="001B4201"/>
    <w:rsid w:val="001B43A5"/>
    <w:rsid w:val="001B4424"/>
    <w:rsid w:val="001B4623"/>
    <w:rsid w:val="001B490D"/>
    <w:rsid w:val="001B4C16"/>
    <w:rsid w:val="001B4C18"/>
    <w:rsid w:val="001B4D64"/>
    <w:rsid w:val="001B4D7E"/>
    <w:rsid w:val="001B4ED4"/>
    <w:rsid w:val="001B4FFC"/>
    <w:rsid w:val="001B5478"/>
    <w:rsid w:val="001B5596"/>
    <w:rsid w:val="001B59B0"/>
    <w:rsid w:val="001B5AED"/>
    <w:rsid w:val="001B5B05"/>
    <w:rsid w:val="001B5BF8"/>
    <w:rsid w:val="001B5D10"/>
    <w:rsid w:val="001B5F18"/>
    <w:rsid w:val="001B61CF"/>
    <w:rsid w:val="001B6642"/>
    <w:rsid w:val="001B66C7"/>
    <w:rsid w:val="001B672D"/>
    <w:rsid w:val="001B6741"/>
    <w:rsid w:val="001B67C5"/>
    <w:rsid w:val="001B68F6"/>
    <w:rsid w:val="001B6997"/>
    <w:rsid w:val="001B6AD1"/>
    <w:rsid w:val="001B6BCE"/>
    <w:rsid w:val="001B6C23"/>
    <w:rsid w:val="001B6CA9"/>
    <w:rsid w:val="001B6F66"/>
    <w:rsid w:val="001B7077"/>
    <w:rsid w:val="001B7151"/>
    <w:rsid w:val="001B7245"/>
    <w:rsid w:val="001B747B"/>
    <w:rsid w:val="001B7FC1"/>
    <w:rsid w:val="001C00B4"/>
    <w:rsid w:val="001C01C6"/>
    <w:rsid w:val="001C033E"/>
    <w:rsid w:val="001C04E0"/>
    <w:rsid w:val="001C052F"/>
    <w:rsid w:val="001C07FA"/>
    <w:rsid w:val="001C0866"/>
    <w:rsid w:val="001C09CC"/>
    <w:rsid w:val="001C09E8"/>
    <w:rsid w:val="001C09F5"/>
    <w:rsid w:val="001C1216"/>
    <w:rsid w:val="001C145C"/>
    <w:rsid w:val="001C1555"/>
    <w:rsid w:val="001C169D"/>
    <w:rsid w:val="001C18F7"/>
    <w:rsid w:val="001C1913"/>
    <w:rsid w:val="001C1CC7"/>
    <w:rsid w:val="001C1DF9"/>
    <w:rsid w:val="001C220A"/>
    <w:rsid w:val="001C22F0"/>
    <w:rsid w:val="001C237B"/>
    <w:rsid w:val="001C25B7"/>
    <w:rsid w:val="001C27AE"/>
    <w:rsid w:val="001C2800"/>
    <w:rsid w:val="001C2F53"/>
    <w:rsid w:val="001C3275"/>
    <w:rsid w:val="001C32F1"/>
    <w:rsid w:val="001C3373"/>
    <w:rsid w:val="001C34C0"/>
    <w:rsid w:val="001C351E"/>
    <w:rsid w:val="001C358D"/>
    <w:rsid w:val="001C35A1"/>
    <w:rsid w:val="001C3644"/>
    <w:rsid w:val="001C38CA"/>
    <w:rsid w:val="001C3AC5"/>
    <w:rsid w:val="001C3BB3"/>
    <w:rsid w:val="001C3D88"/>
    <w:rsid w:val="001C3E80"/>
    <w:rsid w:val="001C3F94"/>
    <w:rsid w:val="001C4068"/>
    <w:rsid w:val="001C408F"/>
    <w:rsid w:val="001C40F1"/>
    <w:rsid w:val="001C4262"/>
    <w:rsid w:val="001C4264"/>
    <w:rsid w:val="001C4335"/>
    <w:rsid w:val="001C4797"/>
    <w:rsid w:val="001C4881"/>
    <w:rsid w:val="001C4890"/>
    <w:rsid w:val="001C4A79"/>
    <w:rsid w:val="001C4BFE"/>
    <w:rsid w:val="001C4C03"/>
    <w:rsid w:val="001C4D86"/>
    <w:rsid w:val="001C4E0C"/>
    <w:rsid w:val="001C4E98"/>
    <w:rsid w:val="001C4EF7"/>
    <w:rsid w:val="001C5282"/>
    <w:rsid w:val="001C53E0"/>
    <w:rsid w:val="001C569D"/>
    <w:rsid w:val="001C5751"/>
    <w:rsid w:val="001C57CE"/>
    <w:rsid w:val="001C57D2"/>
    <w:rsid w:val="001C57EA"/>
    <w:rsid w:val="001C5AEC"/>
    <w:rsid w:val="001C5CB7"/>
    <w:rsid w:val="001C5DAE"/>
    <w:rsid w:val="001C5E7E"/>
    <w:rsid w:val="001C5FC4"/>
    <w:rsid w:val="001C619C"/>
    <w:rsid w:val="001C61B7"/>
    <w:rsid w:val="001C62C9"/>
    <w:rsid w:val="001C6349"/>
    <w:rsid w:val="001C6371"/>
    <w:rsid w:val="001C650C"/>
    <w:rsid w:val="001C6632"/>
    <w:rsid w:val="001C669B"/>
    <w:rsid w:val="001C66AF"/>
    <w:rsid w:val="001C66CD"/>
    <w:rsid w:val="001C6B5C"/>
    <w:rsid w:val="001C71A9"/>
    <w:rsid w:val="001C71F8"/>
    <w:rsid w:val="001C7423"/>
    <w:rsid w:val="001C750A"/>
    <w:rsid w:val="001C753F"/>
    <w:rsid w:val="001C7639"/>
    <w:rsid w:val="001C780F"/>
    <w:rsid w:val="001C7C74"/>
    <w:rsid w:val="001C7C92"/>
    <w:rsid w:val="001C7CD8"/>
    <w:rsid w:val="001D00D7"/>
    <w:rsid w:val="001D015F"/>
    <w:rsid w:val="001D01FA"/>
    <w:rsid w:val="001D040C"/>
    <w:rsid w:val="001D07A0"/>
    <w:rsid w:val="001D0833"/>
    <w:rsid w:val="001D09D2"/>
    <w:rsid w:val="001D09F9"/>
    <w:rsid w:val="001D0A37"/>
    <w:rsid w:val="001D0B84"/>
    <w:rsid w:val="001D0D53"/>
    <w:rsid w:val="001D11BF"/>
    <w:rsid w:val="001D1651"/>
    <w:rsid w:val="001D1EB1"/>
    <w:rsid w:val="001D2270"/>
    <w:rsid w:val="001D245B"/>
    <w:rsid w:val="001D245E"/>
    <w:rsid w:val="001D2716"/>
    <w:rsid w:val="001D2761"/>
    <w:rsid w:val="001D27F2"/>
    <w:rsid w:val="001D29F3"/>
    <w:rsid w:val="001D2A33"/>
    <w:rsid w:val="001D2B63"/>
    <w:rsid w:val="001D2C45"/>
    <w:rsid w:val="001D2F6B"/>
    <w:rsid w:val="001D2F85"/>
    <w:rsid w:val="001D2FB0"/>
    <w:rsid w:val="001D30BE"/>
    <w:rsid w:val="001D3408"/>
    <w:rsid w:val="001D3612"/>
    <w:rsid w:val="001D3FE9"/>
    <w:rsid w:val="001D40B3"/>
    <w:rsid w:val="001D452B"/>
    <w:rsid w:val="001D471F"/>
    <w:rsid w:val="001D47BA"/>
    <w:rsid w:val="001D487C"/>
    <w:rsid w:val="001D4898"/>
    <w:rsid w:val="001D4AD2"/>
    <w:rsid w:val="001D4B0D"/>
    <w:rsid w:val="001D4EAA"/>
    <w:rsid w:val="001D508D"/>
    <w:rsid w:val="001D536C"/>
    <w:rsid w:val="001D5504"/>
    <w:rsid w:val="001D5663"/>
    <w:rsid w:val="001D56F8"/>
    <w:rsid w:val="001D575B"/>
    <w:rsid w:val="001D5EB2"/>
    <w:rsid w:val="001D5EC4"/>
    <w:rsid w:val="001D5ED6"/>
    <w:rsid w:val="001D6313"/>
    <w:rsid w:val="001D6315"/>
    <w:rsid w:val="001D661D"/>
    <w:rsid w:val="001D6AE9"/>
    <w:rsid w:val="001D6CE4"/>
    <w:rsid w:val="001D6D02"/>
    <w:rsid w:val="001D6F39"/>
    <w:rsid w:val="001D7147"/>
    <w:rsid w:val="001D7368"/>
    <w:rsid w:val="001D7522"/>
    <w:rsid w:val="001D7652"/>
    <w:rsid w:val="001D76B7"/>
    <w:rsid w:val="001D7962"/>
    <w:rsid w:val="001D7B2D"/>
    <w:rsid w:val="001D7B6C"/>
    <w:rsid w:val="001D7BEC"/>
    <w:rsid w:val="001D7CAF"/>
    <w:rsid w:val="001D7FC7"/>
    <w:rsid w:val="001E007B"/>
    <w:rsid w:val="001E00D9"/>
    <w:rsid w:val="001E0313"/>
    <w:rsid w:val="001E05D6"/>
    <w:rsid w:val="001E08B5"/>
    <w:rsid w:val="001E09B8"/>
    <w:rsid w:val="001E09FC"/>
    <w:rsid w:val="001E0A99"/>
    <w:rsid w:val="001E0BD5"/>
    <w:rsid w:val="001E0F6E"/>
    <w:rsid w:val="001E104F"/>
    <w:rsid w:val="001E154D"/>
    <w:rsid w:val="001E1568"/>
    <w:rsid w:val="001E178F"/>
    <w:rsid w:val="001E18F3"/>
    <w:rsid w:val="001E1C66"/>
    <w:rsid w:val="001E1D44"/>
    <w:rsid w:val="001E1D4E"/>
    <w:rsid w:val="001E233B"/>
    <w:rsid w:val="001E237C"/>
    <w:rsid w:val="001E259B"/>
    <w:rsid w:val="001E259E"/>
    <w:rsid w:val="001E2B2D"/>
    <w:rsid w:val="001E2C46"/>
    <w:rsid w:val="001E2FCE"/>
    <w:rsid w:val="001E30F8"/>
    <w:rsid w:val="001E3230"/>
    <w:rsid w:val="001E3729"/>
    <w:rsid w:val="001E3807"/>
    <w:rsid w:val="001E38D3"/>
    <w:rsid w:val="001E3933"/>
    <w:rsid w:val="001E3964"/>
    <w:rsid w:val="001E399A"/>
    <w:rsid w:val="001E39A7"/>
    <w:rsid w:val="001E40BB"/>
    <w:rsid w:val="001E4135"/>
    <w:rsid w:val="001E42BA"/>
    <w:rsid w:val="001E4745"/>
    <w:rsid w:val="001E4ABF"/>
    <w:rsid w:val="001E4D84"/>
    <w:rsid w:val="001E4F4F"/>
    <w:rsid w:val="001E4FC5"/>
    <w:rsid w:val="001E50BA"/>
    <w:rsid w:val="001E541E"/>
    <w:rsid w:val="001E5595"/>
    <w:rsid w:val="001E5783"/>
    <w:rsid w:val="001E57BE"/>
    <w:rsid w:val="001E595C"/>
    <w:rsid w:val="001E5A01"/>
    <w:rsid w:val="001E5B22"/>
    <w:rsid w:val="001E5C62"/>
    <w:rsid w:val="001E6072"/>
    <w:rsid w:val="001E6156"/>
    <w:rsid w:val="001E6239"/>
    <w:rsid w:val="001E62D5"/>
    <w:rsid w:val="001E632B"/>
    <w:rsid w:val="001E6492"/>
    <w:rsid w:val="001E64C0"/>
    <w:rsid w:val="001E65A3"/>
    <w:rsid w:val="001E6716"/>
    <w:rsid w:val="001E673E"/>
    <w:rsid w:val="001E67DF"/>
    <w:rsid w:val="001E67FE"/>
    <w:rsid w:val="001E687E"/>
    <w:rsid w:val="001E6CFB"/>
    <w:rsid w:val="001E6D5E"/>
    <w:rsid w:val="001E7335"/>
    <w:rsid w:val="001E746E"/>
    <w:rsid w:val="001E7716"/>
    <w:rsid w:val="001E78AF"/>
    <w:rsid w:val="001E7AD4"/>
    <w:rsid w:val="001E7B63"/>
    <w:rsid w:val="001E7BA1"/>
    <w:rsid w:val="001E7BB7"/>
    <w:rsid w:val="001E7BD6"/>
    <w:rsid w:val="001E7CA9"/>
    <w:rsid w:val="001E7CBD"/>
    <w:rsid w:val="001E7DA2"/>
    <w:rsid w:val="001E7E04"/>
    <w:rsid w:val="001F0010"/>
    <w:rsid w:val="001F0281"/>
    <w:rsid w:val="001F05F0"/>
    <w:rsid w:val="001F09F9"/>
    <w:rsid w:val="001F0A58"/>
    <w:rsid w:val="001F0AB4"/>
    <w:rsid w:val="001F0B5D"/>
    <w:rsid w:val="001F0C00"/>
    <w:rsid w:val="001F0C06"/>
    <w:rsid w:val="001F1896"/>
    <w:rsid w:val="001F1BE4"/>
    <w:rsid w:val="001F1E53"/>
    <w:rsid w:val="001F1FBA"/>
    <w:rsid w:val="001F232C"/>
    <w:rsid w:val="001F24B0"/>
    <w:rsid w:val="001F2515"/>
    <w:rsid w:val="001F2595"/>
    <w:rsid w:val="001F26AA"/>
    <w:rsid w:val="001F26D4"/>
    <w:rsid w:val="001F299D"/>
    <w:rsid w:val="001F29F6"/>
    <w:rsid w:val="001F2A6C"/>
    <w:rsid w:val="001F2B1E"/>
    <w:rsid w:val="001F2C42"/>
    <w:rsid w:val="001F2CF3"/>
    <w:rsid w:val="001F2DC6"/>
    <w:rsid w:val="001F3065"/>
    <w:rsid w:val="001F3168"/>
    <w:rsid w:val="001F3244"/>
    <w:rsid w:val="001F3302"/>
    <w:rsid w:val="001F3353"/>
    <w:rsid w:val="001F3525"/>
    <w:rsid w:val="001F3572"/>
    <w:rsid w:val="001F36B5"/>
    <w:rsid w:val="001F375A"/>
    <w:rsid w:val="001F3ABE"/>
    <w:rsid w:val="001F3AD0"/>
    <w:rsid w:val="001F3B6B"/>
    <w:rsid w:val="001F3DC7"/>
    <w:rsid w:val="001F3E6D"/>
    <w:rsid w:val="001F3FA9"/>
    <w:rsid w:val="001F4072"/>
    <w:rsid w:val="001F42E8"/>
    <w:rsid w:val="001F4301"/>
    <w:rsid w:val="001F45C2"/>
    <w:rsid w:val="001F490A"/>
    <w:rsid w:val="001F4D99"/>
    <w:rsid w:val="001F4EFA"/>
    <w:rsid w:val="001F52B0"/>
    <w:rsid w:val="001F5385"/>
    <w:rsid w:val="001F5426"/>
    <w:rsid w:val="001F56B7"/>
    <w:rsid w:val="001F594F"/>
    <w:rsid w:val="001F59A8"/>
    <w:rsid w:val="001F5A5C"/>
    <w:rsid w:val="001F5E17"/>
    <w:rsid w:val="001F5E3A"/>
    <w:rsid w:val="001F5E9D"/>
    <w:rsid w:val="001F5FA3"/>
    <w:rsid w:val="001F6028"/>
    <w:rsid w:val="001F6082"/>
    <w:rsid w:val="001F6103"/>
    <w:rsid w:val="001F6257"/>
    <w:rsid w:val="001F6552"/>
    <w:rsid w:val="001F67B6"/>
    <w:rsid w:val="001F6886"/>
    <w:rsid w:val="001F6962"/>
    <w:rsid w:val="001F69A5"/>
    <w:rsid w:val="001F6FBC"/>
    <w:rsid w:val="001F6FF6"/>
    <w:rsid w:val="001F7103"/>
    <w:rsid w:val="001F724F"/>
    <w:rsid w:val="001F72C9"/>
    <w:rsid w:val="001F7391"/>
    <w:rsid w:val="001F75DE"/>
    <w:rsid w:val="001F75EF"/>
    <w:rsid w:val="001F76D4"/>
    <w:rsid w:val="001F77B1"/>
    <w:rsid w:val="001F7895"/>
    <w:rsid w:val="001F7D6E"/>
    <w:rsid w:val="0020038E"/>
    <w:rsid w:val="002005F5"/>
    <w:rsid w:val="002006C7"/>
    <w:rsid w:val="00200703"/>
    <w:rsid w:val="00200ADC"/>
    <w:rsid w:val="002012C5"/>
    <w:rsid w:val="002012C8"/>
    <w:rsid w:val="002012D9"/>
    <w:rsid w:val="0020132F"/>
    <w:rsid w:val="002013EB"/>
    <w:rsid w:val="00201455"/>
    <w:rsid w:val="00201616"/>
    <w:rsid w:val="002017DB"/>
    <w:rsid w:val="00201937"/>
    <w:rsid w:val="00201A12"/>
    <w:rsid w:val="00201A58"/>
    <w:rsid w:val="00201D6E"/>
    <w:rsid w:val="0020200E"/>
    <w:rsid w:val="002022FA"/>
    <w:rsid w:val="002023F3"/>
    <w:rsid w:val="0020247C"/>
    <w:rsid w:val="0020296E"/>
    <w:rsid w:val="00202A1F"/>
    <w:rsid w:val="00202B8A"/>
    <w:rsid w:val="00202BCF"/>
    <w:rsid w:val="00202BD5"/>
    <w:rsid w:val="00202D4F"/>
    <w:rsid w:val="0020322B"/>
    <w:rsid w:val="002032A6"/>
    <w:rsid w:val="002033C6"/>
    <w:rsid w:val="00203921"/>
    <w:rsid w:val="00203B01"/>
    <w:rsid w:val="00204208"/>
    <w:rsid w:val="002044BD"/>
    <w:rsid w:val="0020464B"/>
    <w:rsid w:val="00204707"/>
    <w:rsid w:val="002048D9"/>
    <w:rsid w:val="00204A1E"/>
    <w:rsid w:val="00204BF9"/>
    <w:rsid w:val="00204C3E"/>
    <w:rsid w:val="00204EF7"/>
    <w:rsid w:val="002050A2"/>
    <w:rsid w:val="00205369"/>
    <w:rsid w:val="00205434"/>
    <w:rsid w:val="002059FE"/>
    <w:rsid w:val="00205A4F"/>
    <w:rsid w:val="00205AA5"/>
    <w:rsid w:val="00205C1C"/>
    <w:rsid w:val="00205D41"/>
    <w:rsid w:val="00205DEA"/>
    <w:rsid w:val="00205E90"/>
    <w:rsid w:val="00205F40"/>
    <w:rsid w:val="002062FC"/>
    <w:rsid w:val="002063A0"/>
    <w:rsid w:val="002064C3"/>
    <w:rsid w:val="00206536"/>
    <w:rsid w:val="002066E5"/>
    <w:rsid w:val="002067CF"/>
    <w:rsid w:val="0020700E"/>
    <w:rsid w:val="00207467"/>
    <w:rsid w:val="0020759A"/>
    <w:rsid w:val="00207650"/>
    <w:rsid w:val="0020775B"/>
    <w:rsid w:val="00207795"/>
    <w:rsid w:val="00207822"/>
    <w:rsid w:val="002078C0"/>
    <w:rsid w:val="0020798F"/>
    <w:rsid w:val="00207BB0"/>
    <w:rsid w:val="00207C8E"/>
    <w:rsid w:val="00207D19"/>
    <w:rsid w:val="00207EAC"/>
    <w:rsid w:val="002104A0"/>
    <w:rsid w:val="00210840"/>
    <w:rsid w:val="0021091D"/>
    <w:rsid w:val="00210A1A"/>
    <w:rsid w:val="00210A81"/>
    <w:rsid w:val="00210B9A"/>
    <w:rsid w:val="00210CF8"/>
    <w:rsid w:val="00210D7B"/>
    <w:rsid w:val="00210EBC"/>
    <w:rsid w:val="00211165"/>
    <w:rsid w:val="002112F8"/>
    <w:rsid w:val="002113AE"/>
    <w:rsid w:val="0021145F"/>
    <w:rsid w:val="002115B9"/>
    <w:rsid w:val="00211697"/>
    <w:rsid w:val="00211BDA"/>
    <w:rsid w:val="00211C03"/>
    <w:rsid w:val="00211CBD"/>
    <w:rsid w:val="00211DE4"/>
    <w:rsid w:val="00211E6A"/>
    <w:rsid w:val="002121C5"/>
    <w:rsid w:val="00212334"/>
    <w:rsid w:val="002123F0"/>
    <w:rsid w:val="002125EE"/>
    <w:rsid w:val="00212708"/>
    <w:rsid w:val="00212969"/>
    <w:rsid w:val="002129BD"/>
    <w:rsid w:val="00212AA4"/>
    <w:rsid w:val="00212AAB"/>
    <w:rsid w:val="00212C23"/>
    <w:rsid w:val="00212EEC"/>
    <w:rsid w:val="00212F78"/>
    <w:rsid w:val="002133C5"/>
    <w:rsid w:val="00213812"/>
    <w:rsid w:val="00213956"/>
    <w:rsid w:val="00213A15"/>
    <w:rsid w:val="00213A72"/>
    <w:rsid w:val="00213D62"/>
    <w:rsid w:val="00213E72"/>
    <w:rsid w:val="0021424D"/>
    <w:rsid w:val="0021442F"/>
    <w:rsid w:val="00214833"/>
    <w:rsid w:val="00214A43"/>
    <w:rsid w:val="00214C22"/>
    <w:rsid w:val="0021506D"/>
    <w:rsid w:val="00215202"/>
    <w:rsid w:val="002152AB"/>
    <w:rsid w:val="00215301"/>
    <w:rsid w:val="0021540B"/>
    <w:rsid w:val="002154FF"/>
    <w:rsid w:val="00215553"/>
    <w:rsid w:val="002155EF"/>
    <w:rsid w:val="00215619"/>
    <w:rsid w:val="0021568A"/>
    <w:rsid w:val="0021583D"/>
    <w:rsid w:val="002158E4"/>
    <w:rsid w:val="00215A3A"/>
    <w:rsid w:val="00215D01"/>
    <w:rsid w:val="00215EB3"/>
    <w:rsid w:val="00215F23"/>
    <w:rsid w:val="00215FD9"/>
    <w:rsid w:val="00216063"/>
    <w:rsid w:val="0021607E"/>
    <w:rsid w:val="0021624C"/>
    <w:rsid w:val="00216279"/>
    <w:rsid w:val="0021637F"/>
    <w:rsid w:val="002164B7"/>
    <w:rsid w:val="0021687B"/>
    <w:rsid w:val="00216986"/>
    <w:rsid w:val="002169EC"/>
    <w:rsid w:val="00216A9B"/>
    <w:rsid w:val="00216AC9"/>
    <w:rsid w:val="00216BCC"/>
    <w:rsid w:val="00216E6A"/>
    <w:rsid w:val="00216F43"/>
    <w:rsid w:val="002171A8"/>
    <w:rsid w:val="00217683"/>
    <w:rsid w:val="00217782"/>
    <w:rsid w:val="00217A05"/>
    <w:rsid w:val="00217A9E"/>
    <w:rsid w:val="00217B11"/>
    <w:rsid w:val="00217F1C"/>
    <w:rsid w:val="0022004F"/>
    <w:rsid w:val="00220277"/>
    <w:rsid w:val="002203C2"/>
    <w:rsid w:val="002204B2"/>
    <w:rsid w:val="002204E7"/>
    <w:rsid w:val="0022051F"/>
    <w:rsid w:val="00220AE7"/>
    <w:rsid w:val="00220E3A"/>
    <w:rsid w:val="00220E96"/>
    <w:rsid w:val="00220F4E"/>
    <w:rsid w:val="00221134"/>
    <w:rsid w:val="002211F5"/>
    <w:rsid w:val="0022126B"/>
    <w:rsid w:val="00221376"/>
    <w:rsid w:val="002213E0"/>
    <w:rsid w:val="00221406"/>
    <w:rsid w:val="00221454"/>
    <w:rsid w:val="0022153A"/>
    <w:rsid w:val="00221646"/>
    <w:rsid w:val="00221738"/>
    <w:rsid w:val="0022190E"/>
    <w:rsid w:val="00221A26"/>
    <w:rsid w:val="00221CB1"/>
    <w:rsid w:val="00221DD2"/>
    <w:rsid w:val="0022204E"/>
    <w:rsid w:val="00222070"/>
    <w:rsid w:val="002220C5"/>
    <w:rsid w:val="002224BD"/>
    <w:rsid w:val="00222970"/>
    <w:rsid w:val="0022298C"/>
    <w:rsid w:val="002229CD"/>
    <w:rsid w:val="00222B50"/>
    <w:rsid w:val="00222C3C"/>
    <w:rsid w:val="00222DFC"/>
    <w:rsid w:val="00222F94"/>
    <w:rsid w:val="00223181"/>
    <w:rsid w:val="0022325D"/>
    <w:rsid w:val="00223341"/>
    <w:rsid w:val="002234ED"/>
    <w:rsid w:val="002235FD"/>
    <w:rsid w:val="002236D1"/>
    <w:rsid w:val="00223A51"/>
    <w:rsid w:val="00223B11"/>
    <w:rsid w:val="00223D71"/>
    <w:rsid w:val="00223D76"/>
    <w:rsid w:val="00223DE1"/>
    <w:rsid w:val="0022406F"/>
    <w:rsid w:val="0022413B"/>
    <w:rsid w:val="00224265"/>
    <w:rsid w:val="002243A9"/>
    <w:rsid w:val="002243D7"/>
    <w:rsid w:val="00224415"/>
    <w:rsid w:val="0022446A"/>
    <w:rsid w:val="002244EF"/>
    <w:rsid w:val="0022466F"/>
    <w:rsid w:val="0022476C"/>
    <w:rsid w:val="002247FE"/>
    <w:rsid w:val="00224860"/>
    <w:rsid w:val="0022492A"/>
    <w:rsid w:val="0022499D"/>
    <w:rsid w:val="002249CB"/>
    <w:rsid w:val="00224D58"/>
    <w:rsid w:val="00224E5B"/>
    <w:rsid w:val="00225185"/>
    <w:rsid w:val="00225200"/>
    <w:rsid w:val="00225640"/>
    <w:rsid w:val="002256F0"/>
    <w:rsid w:val="00225AFC"/>
    <w:rsid w:val="00225D2C"/>
    <w:rsid w:val="002262C8"/>
    <w:rsid w:val="002262DA"/>
    <w:rsid w:val="0022630C"/>
    <w:rsid w:val="002263B9"/>
    <w:rsid w:val="002264C5"/>
    <w:rsid w:val="0022672A"/>
    <w:rsid w:val="002268AD"/>
    <w:rsid w:val="00226A78"/>
    <w:rsid w:val="00226AA9"/>
    <w:rsid w:val="00226C87"/>
    <w:rsid w:val="00227067"/>
    <w:rsid w:val="002270BA"/>
    <w:rsid w:val="00227215"/>
    <w:rsid w:val="0022742E"/>
    <w:rsid w:val="002275F6"/>
    <w:rsid w:val="0022760C"/>
    <w:rsid w:val="00227617"/>
    <w:rsid w:val="0022769D"/>
    <w:rsid w:val="002277F3"/>
    <w:rsid w:val="002279FA"/>
    <w:rsid w:val="00227B58"/>
    <w:rsid w:val="00227DD2"/>
    <w:rsid w:val="002300A3"/>
    <w:rsid w:val="00230106"/>
    <w:rsid w:val="00230342"/>
    <w:rsid w:val="00230424"/>
    <w:rsid w:val="00230426"/>
    <w:rsid w:val="0023063B"/>
    <w:rsid w:val="002308A3"/>
    <w:rsid w:val="0023098A"/>
    <w:rsid w:val="002309C8"/>
    <w:rsid w:val="00230AB2"/>
    <w:rsid w:val="00230B95"/>
    <w:rsid w:val="00230CE4"/>
    <w:rsid w:val="00230F47"/>
    <w:rsid w:val="00231049"/>
    <w:rsid w:val="0023114F"/>
    <w:rsid w:val="0023144D"/>
    <w:rsid w:val="002314D2"/>
    <w:rsid w:val="002315DC"/>
    <w:rsid w:val="00231913"/>
    <w:rsid w:val="0023198B"/>
    <w:rsid w:val="00231B76"/>
    <w:rsid w:val="00231C22"/>
    <w:rsid w:val="00231C48"/>
    <w:rsid w:val="00231CFF"/>
    <w:rsid w:val="002322AE"/>
    <w:rsid w:val="002322C7"/>
    <w:rsid w:val="002323DD"/>
    <w:rsid w:val="0023252A"/>
    <w:rsid w:val="00232560"/>
    <w:rsid w:val="002325B2"/>
    <w:rsid w:val="002326E1"/>
    <w:rsid w:val="002327B6"/>
    <w:rsid w:val="00232947"/>
    <w:rsid w:val="00232A2E"/>
    <w:rsid w:val="00232B5B"/>
    <w:rsid w:val="002330DA"/>
    <w:rsid w:val="00233135"/>
    <w:rsid w:val="0023314B"/>
    <w:rsid w:val="00233251"/>
    <w:rsid w:val="00233271"/>
    <w:rsid w:val="0023327A"/>
    <w:rsid w:val="00233333"/>
    <w:rsid w:val="00233664"/>
    <w:rsid w:val="00233791"/>
    <w:rsid w:val="00233904"/>
    <w:rsid w:val="002339A6"/>
    <w:rsid w:val="00233BE3"/>
    <w:rsid w:val="00233D05"/>
    <w:rsid w:val="00233E1D"/>
    <w:rsid w:val="00233FD2"/>
    <w:rsid w:val="0023401A"/>
    <w:rsid w:val="00234095"/>
    <w:rsid w:val="0023415F"/>
    <w:rsid w:val="0023436C"/>
    <w:rsid w:val="00234490"/>
    <w:rsid w:val="002345CD"/>
    <w:rsid w:val="00234652"/>
    <w:rsid w:val="002346E9"/>
    <w:rsid w:val="00234724"/>
    <w:rsid w:val="0023480D"/>
    <w:rsid w:val="002348ED"/>
    <w:rsid w:val="00234900"/>
    <w:rsid w:val="00234A48"/>
    <w:rsid w:val="00234BEF"/>
    <w:rsid w:val="00234D13"/>
    <w:rsid w:val="00235055"/>
    <w:rsid w:val="0023507A"/>
    <w:rsid w:val="00235274"/>
    <w:rsid w:val="0023527B"/>
    <w:rsid w:val="00235547"/>
    <w:rsid w:val="00235BC8"/>
    <w:rsid w:val="00235C5F"/>
    <w:rsid w:val="00235D4D"/>
    <w:rsid w:val="00235E53"/>
    <w:rsid w:val="00235FA3"/>
    <w:rsid w:val="002365A5"/>
    <w:rsid w:val="002365D5"/>
    <w:rsid w:val="00236844"/>
    <w:rsid w:val="00236DB7"/>
    <w:rsid w:val="00236DCB"/>
    <w:rsid w:val="002371BF"/>
    <w:rsid w:val="002372A6"/>
    <w:rsid w:val="0023736C"/>
    <w:rsid w:val="00237399"/>
    <w:rsid w:val="002373CC"/>
    <w:rsid w:val="00237561"/>
    <w:rsid w:val="002375DA"/>
    <w:rsid w:val="0023774B"/>
    <w:rsid w:val="0023776B"/>
    <w:rsid w:val="0023778F"/>
    <w:rsid w:val="0023785E"/>
    <w:rsid w:val="00240072"/>
    <w:rsid w:val="002400AC"/>
    <w:rsid w:val="002400DC"/>
    <w:rsid w:val="0024010B"/>
    <w:rsid w:val="00240801"/>
    <w:rsid w:val="0024092B"/>
    <w:rsid w:val="00240A81"/>
    <w:rsid w:val="00240AA4"/>
    <w:rsid w:val="00241256"/>
    <w:rsid w:val="00241392"/>
    <w:rsid w:val="00241444"/>
    <w:rsid w:val="0024157C"/>
    <w:rsid w:val="002418ED"/>
    <w:rsid w:val="00241B4A"/>
    <w:rsid w:val="00241B94"/>
    <w:rsid w:val="00241C48"/>
    <w:rsid w:val="00241DF3"/>
    <w:rsid w:val="00241E7B"/>
    <w:rsid w:val="00241EBE"/>
    <w:rsid w:val="002420B7"/>
    <w:rsid w:val="002421A2"/>
    <w:rsid w:val="00242483"/>
    <w:rsid w:val="002427EC"/>
    <w:rsid w:val="002429A1"/>
    <w:rsid w:val="00242A68"/>
    <w:rsid w:val="00242A76"/>
    <w:rsid w:val="00242CC0"/>
    <w:rsid w:val="00242CEE"/>
    <w:rsid w:val="00242D20"/>
    <w:rsid w:val="00242D2A"/>
    <w:rsid w:val="00242DCE"/>
    <w:rsid w:val="00242F29"/>
    <w:rsid w:val="00243035"/>
    <w:rsid w:val="0024307E"/>
    <w:rsid w:val="00243176"/>
    <w:rsid w:val="002433F4"/>
    <w:rsid w:val="0024347A"/>
    <w:rsid w:val="00243512"/>
    <w:rsid w:val="0024358F"/>
    <w:rsid w:val="002435F3"/>
    <w:rsid w:val="00243619"/>
    <w:rsid w:val="00243627"/>
    <w:rsid w:val="002436CA"/>
    <w:rsid w:val="00243A20"/>
    <w:rsid w:val="00243AED"/>
    <w:rsid w:val="00243B0A"/>
    <w:rsid w:val="00243B3B"/>
    <w:rsid w:val="00243BC8"/>
    <w:rsid w:val="00243C4F"/>
    <w:rsid w:val="00243CFF"/>
    <w:rsid w:val="00243DD9"/>
    <w:rsid w:val="00244166"/>
    <w:rsid w:val="002442A4"/>
    <w:rsid w:val="002444E7"/>
    <w:rsid w:val="00244736"/>
    <w:rsid w:val="002447C9"/>
    <w:rsid w:val="00244904"/>
    <w:rsid w:val="00244A18"/>
    <w:rsid w:val="00244E06"/>
    <w:rsid w:val="00244EDE"/>
    <w:rsid w:val="00245389"/>
    <w:rsid w:val="00245504"/>
    <w:rsid w:val="002455CB"/>
    <w:rsid w:val="002455D1"/>
    <w:rsid w:val="00245AA2"/>
    <w:rsid w:val="00245B11"/>
    <w:rsid w:val="0024602B"/>
    <w:rsid w:val="0024609F"/>
    <w:rsid w:val="002465D9"/>
    <w:rsid w:val="00246693"/>
    <w:rsid w:val="00246718"/>
    <w:rsid w:val="00246EBA"/>
    <w:rsid w:val="00246F1A"/>
    <w:rsid w:val="002470C1"/>
    <w:rsid w:val="002472E7"/>
    <w:rsid w:val="00247479"/>
    <w:rsid w:val="002474B6"/>
    <w:rsid w:val="002475E3"/>
    <w:rsid w:val="00247847"/>
    <w:rsid w:val="00247CAC"/>
    <w:rsid w:val="00247CBD"/>
    <w:rsid w:val="00247D5A"/>
    <w:rsid w:val="00247DD5"/>
    <w:rsid w:val="00247E23"/>
    <w:rsid w:val="00247FEE"/>
    <w:rsid w:val="00250025"/>
    <w:rsid w:val="002500FC"/>
    <w:rsid w:val="0025025A"/>
    <w:rsid w:val="00250461"/>
    <w:rsid w:val="002504FF"/>
    <w:rsid w:val="00250764"/>
    <w:rsid w:val="002507EF"/>
    <w:rsid w:val="0025094B"/>
    <w:rsid w:val="00250AB0"/>
    <w:rsid w:val="00250C3C"/>
    <w:rsid w:val="00250DD3"/>
    <w:rsid w:val="00250E66"/>
    <w:rsid w:val="00250F72"/>
    <w:rsid w:val="00251006"/>
    <w:rsid w:val="002510CB"/>
    <w:rsid w:val="00251159"/>
    <w:rsid w:val="002512D3"/>
    <w:rsid w:val="002514DA"/>
    <w:rsid w:val="0025168E"/>
    <w:rsid w:val="00251A9D"/>
    <w:rsid w:val="00251D32"/>
    <w:rsid w:val="00251D82"/>
    <w:rsid w:val="00251E10"/>
    <w:rsid w:val="002520A6"/>
    <w:rsid w:val="00252178"/>
    <w:rsid w:val="002522C3"/>
    <w:rsid w:val="002523CF"/>
    <w:rsid w:val="00252740"/>
    <w:rsid w:val="00252ACB"/>
    <w:rsid w:val="00252ADF"/>
    <w:rsid w:val="00252B6B"/>
    <w:rsid w:val="00252DE2"/>
    <w:rsid w:val="00252EF7"/>
    <w:rsid w:val="002530C1"/>
    <w:rsid w:val="002530D7"/>
    <w:rsid w:val="0025325B"/>
    <w:rsid w:val="00253320"/>
    <w:rsid w:val="00253433"/>
    <w:rsid w:val="00253672"/>
    <w:rsid w:val="002536BA"/>
    <w:rsid w:val="0025395E"/>
    <w:rsid w:val="00253AC5"/>
    <w:rsid w:val="00253AEC"/>
    <w:rsid w:val="00253C0C"/>
    <w:rsid w:val="00253E11"/>
    <w:rsid w:val="00253E1E"/>
    <w:rsid w:val="00253F1B"/>
    <w:rsid w:val="00253F82"/>
    <w:rsid w:val="00254289"/>
    <w:rsid w:val="0025438A"/>
    <w:rsid w:val="00254412"/>
    <w:rsid w:val="002545D5"/>
    <w:rsid w:val="00254778"/>
    <w:rsid w:val="00254C87"/>
    <w:rsid w:val="00254FDC"/>
    <w:rsid w:val="0025508F"/>
    <w:rsid w:val="002550A3"/>
    <w:rsid w:val="002550A7"/>
    <w:rsid w:val="0025540A"/>
    <w:rsid w:val="00255543"/>
    <w:rsid w:val="00255B57"/>
    <w:rsid w:val="00255D78"/>
    <w:rsid w:val="00255EB2"/>
    <w:rsid w:val="002560CD"/>
    <w:rsid w:val="002561B1"/>
    <w:rsid w:val="00256296"/>
    <w:rsid w:val="0025630F"/>
    <w:rsid w:val="0025638D"/>
    <w:rsid w:val="00256711"/>
    <w:rsid w:val="00256724"/>
    <w:rsid w:val="002567E9"/>
    <w:rsid w:val="0025691A"/>
    <w:rsid w:val="00256A4D"/>
    <w:rsid w:val="00256B63"/>
    <w:rsid w:val="00256C70"/>
    <w:rsid w:val="00256D06"/>
    <w:rsid w:val="00256D36"/>
    <w:rsid w:val="00256DD0"/>
    <w:rsid w:val="00256E66"/>
    <w:rsid w:val="00256F76"/>
    <w:rsid w:val="00257201"/>
    <w:rsid w:val="002573F4"/>
    <w:rsid w:val="00257474"/>
    <w:rsid w:val="0025750B"/>
    <w:rsid w:val="00257643"/>
    <w:rsid w:val="0025774F"/>
    <w:rsid w:val="00257967"/>
    <w:rsid w:val="00257AEE"/>
    <w:rsid w:val="00257BB0"/>
    <w:rsid w:val="00257BCD"/>
    <w:rsid w:val="0026005A"/>
    <w:rsid w:val="002600FC"/>
    <w:rsid w:val="002601BE"/>
    <w:rsid w:val="00260498"/>
    <w:rsid w:val="002605D1"/>
    <w:rsid w:val="002607F2"/>
    <w:rsid w:val="0026083A"/>
    <w:rsid w:val="002609CE"/>
    <w:rsid w:val="00260BC2"/>
    <w:rsid w:val="00260BEF"/>
    <w:rsid w:val="00260D82"/>
    <w:rsid w:val="002613EB"/>
    <w:rsid w:val="0026157F"/>
    <w:rsid w:val="00261634"/>
    <w:rsid w:val="00261661"/>
    <w:rsid w:val="00261890"/>
    <w:rsid w:val="002618D1"/>
    <w:rsid w:val="00261A01"/>
    <w:rsid w:val="00261FF3"/>
    <w:rsid w:val="002620A3"/>
    <w:rsid w:val="00262220"/>
    <w:rsid w:val="00262315"/>
    <w:rsid w:val="002623EB"/>
    <w:rsid w:val="002625BA"/>
    <w:rsid w:val="002627F8"/>
    <w:rsid w:val="002628DB"/>
    <w:rsid w:val="00262B06"/>
    <w:rsid w:val="00262CF2"/>
    <w:rsid w:val="00262F15"/>
    <w:rsid w:val="00263115"/>
    <w:rsid w:val="00263568"/>
    <w:rsid w:val="002637E8"/>
    <w:rsid w:val="002639DF"/>
    <w:rsid w:val="00263B6C"/>
    <w:rsid w:val="00263D18"/>
    <w:rsid w:val="00263D46"/>
    <w:rsid w:val="00263D98"/>
    <w:rsid w:val="00263E3A"/>
    <w:rsid w:val="00263F83"/>
    <w:rsid w:val="002640A6"/>
    <w:rsid w:val="002640B2"/>
    <w:rsid w:val="002640C4"/>
    <w:rsid w:val="002640DA"/>
    <w:rsid w:val="00264240"/>
    <w:rsid w:val="00264274"/>
    <w:rsid w:val="00264414"/>
    <w:rsid w:val="0026471B"/>
    <w:rsid w:val="002649E6"/>
    <w:rsid w:val="00264A75"/>
    <w:rsid w:val="00264ADA"/>
    <w:rsid w:val="00264B92"/>
    <w:rsid w:val="00264BB9"/>
    <w:rsid w:val="00264E1B"/>
    <w:rsid w:val="00264F4A"/>
    <w:rsid w:val="00264F75"/>
    <w:rsid w:val="002653F5"/>
    <w:rsid w:val="00265761"/>
    <w:rsid w:val="00265816"/>
    <w:rsid w:val="00265836"/>
    <w:rsid w:val="0026598D"/>
    <w:rsid w:val="00265A3A"/>
    <w:rsid w:val="00265B38"/>
    <w:rsid w:val="00265B3A"/>
    <w:rsid w:val="00265E7B"/>
    <w:rsid w:val="00265E8F"/>
    <w:rsid w:val="0026647B"/>
    <w:rsid w:val="002664DA"/>
    <w:rsid w:val="00266761"/>
    <w:rsid w:val="00266B96"/>
    <w:rsid w:val="00266CC8"/>
    <w:rsid w:val="00267058"/>
    <w:rsid w:val="00267063"/>
    <w:rsid w:val="002670B2"/>
    <w:rsid w:val="0026759B"/>
    <w:rsid w:val="0026759D"/>
    <w:rsid w:val="00267604"/>
    <w:rsid w:val="0026775C"/>
    <w:rsid w:val="002677A1"/>
    <w:rsid w:val="002677C0"/>
    <w:rsid w:val="00267819"/>
    <w:rsid w:val="00267830"/>
    <w:rsid w:val="002679E2"/>
    <w:rsid w:val="00267B19"/>
    <w:rsid w:val="00267B4E"/>
    <w:rsid w:val="00267BAC"/>
    <w:rsid w:val="00267C2B"/>
    <w:rsid w:val="00267CBD"/>
    <w:rsid w:val="00267E25"/>
    <w:rsid w:val="00267F3D"/>
    <w:rsid w:val="00267FAE"/>
    <w:rsid w:val="002700DE"/>
    <w:rsid w:val="00270780"/>
    <w:rsid w:val="00270A40"/>
    <w:rsid w:val="00270BDC"/>
    <w:rsid w:val="00270E21"/>
    <w:rsid w:val="00270ED5"/>
    <w:rsid w:val="00271058"/>
    <w:rsid w:val="0027109D"/>
    <w:rsid w:val="00271263"/>
    <w:rsid w:val="002713C3"/>
    <w:rsid w:val="0027168F"/>
    <w:rsid w:val="00271784"/>
    <w:rsid w:val="002719D7"/>
    <w:rsid w:val="00271A99"/>
    <w:rsid w:val="00271ACB"/>
    <w:rsid w:val="00271AD3"/>
    <w:rsid w:val="00271E21"/>
    <w:rsid w:val="00271E96"/>
    <w:rsid w:val="00272093"/>
    <w:rsid w:val="0027216D"/>
    <w:rsid w:val="00272381"/>
    <w:rsid w:val="0027259D"/>
    <w:rsid w:val="0027263D"/>
    <w:rsid w:val="002728E5"/>
    <w:rsid w:val="00272B6B"/>
    <w:rsid w:val="00272B87"/>
    <w:rsid w:val="00272C89"/>
    <w:rsid w:val="00272C9B"/>
    <w:rsid w:val="00272DB8"/>
    <w:rsid w:val="00272F58"/>
    <w:rsid w:val="00272FEC"/>
    <w:rsid w:val="002730A1"/>
    <w:rsid w:val="002730FA"/>
    <w:rsid w:val="0027347D"/>
    <w:rsid w:val="002739E7"/>
    <w:rsid w:val="002739F6"/>
    <w:rsid w:val="00273AC7"/>
    <w:rsid w:val="00273D7F"/>
    <w:rsid w:val="00273F27"/>
    <w:rsid w:val="00274346"/>
    <w:rsid w:val="00274449"/>
    <w:rsid w:val="00274502"/>
    <w:rsid w:val="0027470B"/>
    <w:rsid w:val="0027485B"/>
    <w:rsid w:val="002748D4"/>
    <w:rsid w:val="00274BB1"/>
    <w:rsid w:val="00274E5C"/>
    <w:rsid w:val="00275331"/>
    <w:rsid w:val="0027565E"/>
    <w:rsid w:val="00275867"/>
    <w:rsid w:val="0027590B"/>
    <w:rsid w:val="00275A11"/>
    <w:rsid w:val="00275D29"/>
    <w:rsid w:val="00275E56"/>
    <w:rsid w:val="00275E8E"/>
    <w:rsid w:val="0027612A"/>
    <w:rsid w:val="002762E1"/>
    <w:rsid w:val="0027633E"/>
    <w:rsid w:val="002767B8"/>
    <w:rsid w:val="002767DA"/>
    <w:rsid w:val="00276EEE"/>
    <w:rsid w:val="00277183"/>
    <w:rsid w:val="00277278"/>
    <w:rsid w:val="00277440"/>
    <w:rsid w:val="00277603"/>
    <w:rsid w:val="00277995"/>
    <w:rsid w:val="00277C5B"/>
    <w:rsid w:val="00277D61"/>
    <w:rsid w:val="00280233"/>
    <w:rsid w:val="00280304"/>
    <w:rsid w:val="0028031E"/>
    <w:rsid w:val="002805B6"/>
    <w:rsid w:val="002805D5"/>
    <w:rsid w:val="002806F6"/>
    <w:rsid w:val="00280746"/>
    <w:rsid w:val="0028088E"/>
    <w:rsid w:val="002808B7"/>
    <w:rsid w:val="00280C8D"/>
    <w:rsid w:val="00280D4D"/>
    <w:rsid w:val="00281705"/>
    <w:rsid w:val="002817E0"/>
    <w:rsid w:val="0028186F"/>
    <w:rsid w:val="00281B96"/>
    <w:rsid w:val="00281BAE"/>
    <w:rsid w:val="00281E2A"/>
    <w:rsid w:val="0028205F"/>
    <w:rsid w:val="002820B2"/>
    <w:rsid w:val="002821F5"/>
    <w:rsid w:val="002823EC"/>
    <w:rsid w:val="002825BF"/>
    <w:rsid w:val="0028284D"/>
    <w:rsid w:val="00282888"/>
    <w:rsid w:val="0028288E"/>
    <w:rsid w:val="00282A0F"/>
    <w:rsid w:val="00282ACC"/>
    <w:rsid w:val="00282B35"/>
    <w:rsid w:val="00282D5A"/>
    <w:rsid w:val="00283021"/>
    <w:rsid w:val="00283816"/>
    <w:rsid w:val="00283917"/>
    <w:rsid w:val="00283995"/>
    <w:rsid w:val="00283D2C"/>
    <w:rsid w:val="00283D74"/>
    <w:rsid w:val="00283DD7"/>
    <w:rsid w:val="00283DD9"/>
    <w:rsid w:val="00283EEA"/>
    <w:rsid w:val="00283F6F"/>
    <w:rsid w:val="00283FC6"/>
    <w:rsid w:val="00284002"/>
    <w:rsid w:val="00284672"/>
    <w:rsid w:val="002847FD"/>
    <w:rsid w:val="00284A8F"/>
    <w:rsid w:val="00284AE8"/>
    <w:rsid w:val="00284B0B"/>
    <w:rsid w:val="00284CF4"/>
    <w:rsid w:val="00284E6B"/>
    <w:rsid w:val="00284EE5"/>
    <w:rsid w:val="00285483"/>
    <w:rsid w:val="002855E3"/>
    <w:rsid w:val="00285693"/>
    <w:rsid w:val="00285866"/>
    <w:rsid w:val="00285969"/>
    <w:rsid w:val="002859A9"/>
    <w:rsid w:val="002859C4"/>
    <w:rsid w:val="00285C85"/>
    <w:rsid w:val="00285ECC"/>
    <w:rsid w:val="00285F2F"/>
    <w:rsid w:val="00285F69"/>
    <w:rsid w:val="002861C4"/>
    <w:rsid w:val="002861F1"/>
    <w:rsid w:val="002864A9"/>
    <w:rsid w:val="002864F6"/>
    <w:rsid w:val="002864F9"/>
    <w:rsid w:val="00286749"/>
    <w:rsid w:val="002868BE"/>
    <w:rsid w:val="00286981"/>
    <w:rsid w:val="00286C29"/>
    <w:rsid w:val="00286D3B"/>
    <w:rsid w:val="00286D3F"/>
    <w:rsid w:val="00286DA3"/>
    <w:rsid w:val="00286E2B"/>
    <w:rsid w:val="00287049"/>
    <w:rsid w:val="002871BC"/>
    <w:rsid w:val="00287417"/>
    <w:rsid w:val="00287558"/>
    <w:rsid w:val="00287567"/>
    <w:rsid w:val="0028776B"/>
    <w:rsid w:val="002879F1"/>
    <w:rsid w:val="00287A05"/>
    <w:rsid w:val="00287C44"/>
    <w:rsid w:val="00287C66"/>
    <w:rsid w:val="00287D91"/>
    <w:rsid w:val="00287EB3"/>
    <w:rsid w:val="00287EE5"/>
    <w:rsid w:val="00287FE7"/>
    <w:rsid w:val="0029017D"/>
    <w:rsid w:val="00290545"/>
    <w:rsid w:val="002909ED"/>
    <w:rsid w:val="00290A8A"/>
    <w:rsid w:val="00290B72"/>
    <w:rsid w:val="00290C79"/>
    <w:rsid w:val="00290D02"/>
    <w:rsid w:val="00290D9D"/>
    <w:rsid w:val="00290F82"/>
    <w:rsid w:val="002911AD"/>
    <w:rsid w:val="002913BA"/>
    <w:rsid w:val="0029140A"/>
    <w:rsid w:val="00291527"/>
    <w:rsid w:val="00291559"/>
    <w:rsid w:val="00291684"/>
    <w:rsid w:val="00291CAF"/>
    <w:rsid w:val="00291DC1"/>
    <w:rsid w:val="00292241"/>
    <w:rsid w:val="002922BD"/>
    <w:rsid w:val="002922ED"/>
    <w:rsid w:val="00292519"/>
    <w:rsid w:val="002926D7"/>
    <w:rsid w:val="002929B0"/>
    <w:rsid w:val="00292BD1"/>
    <w:rsid w:val="00292D32"/>
    <w:rsid w:val="00292E63"/>
    <w:rsid w:val="00292E9C"/>
    <w:rsid w:val="00292EFB"/>
    <w:rsid w:val="00293437"/>
    <w:rsid w:val="0029343F"/>
    <w:rsid w:val="0029394B"/>
    <w:rsid w:val="0029399E"/>
    <w:rsid w:val="00293A36"/>
    <w:rsid w:val="00293C89"/>
    <w:rsid w:val="002940EC"/>
    <w:rsid w:val="002941F7"/>
    <w:rsid w:val="00294367"/>
    <w:rsid w:val="00294B8E"/>
    <w:rsid w:val="00294E52"/>
    <w:rsid w:val="00294EF9"/>
    <w:rsid w:val="0029503B"/>
    <w:rsid w:val="00295442"/>
    <w:rsid w:val="002954E5"/>
    <w:rsid w:val="00295669"/>
    <w:rsid w:val="0029569C"/>
    <w:rsid w:val="002956EC"/>
    <w:rsid w:val="00295875"/>
    <w:rsid w:val="00295896"/>
    <w:rsid w:val="00295BDF"/>
    <w:rsid w:val="00295F14"/>
    <w:rsid w:val="00295FFB"/>
    <w:rsid w:val="00296027"/>
    <w:rsid w:val="00296208"/>
    <w:rsid w:val="0029662B"/>
    <w:rsid w:val="002967F9"/>
    <w:rsid w:val="0029686E"/>
    <w:rsid w:val="00296B7E"/>
    <w:rsid w:val="00296BC1"/>
    <w:rsid w:val="00296F17"/>
    <w:rsid w:val="002970C4"/>
    <w:rsid w:val="00297260"/>
    <w:rsid w:val="0029728C"/>
    <w:rsid w:val="00297607"/>
    <w:rsid w:val="00297669"/>
    <w:rsid w:val="00297703"/>
    <w:rsid w:val="002977B5"/>
    <w:rsid w:val="00297BC4"/>
    <w:rsid w:val="00297C74"/>
    <w:rsid w:val="002A0059"/>
    <w:rsid w:val="002A00AF"/>
    <w:rsid w:val="002A01E7"/>
    <w:rsid w:val="002A0294"/>
    <w:rsid w:val="002A03F5"/>
    <w:rsid w:val="002A0517"/>
    <w:rsid w:val="002A052A"/>
    <w:rsid w:val="002A054D"/>
    <w:rsid w:val="002A0601"/>
    <w:rsid w:val="002A06F4"/>
    <w:rsid w:val="002A09CF"/>
    <w:rsid w:val="002A0BB2"/>
    <w:rsid w:val="002A0CA6"/>
    <w:rsid w:val="002A0D84"/>
    <w:rsid w:val="002A12CA"/>
    <w:rsid w:val="002A1843"/>
    <w:rsid w:val="002A19E1"/>
    <w:rsid w:val="002A1A29"/>
    <w:rsid w:val="002A1C44"/>
    <w:rsid w:val="002A1C67"/>
    <w:rsid w:val="002A1C7A"/>
    <w:rsid w:val="002A1EAA"/>
    <w:rsid w:val="002A1F7F"/>
    <w:rsid w:val="002A20D1"/>
    <w:rsid w:val="002A21AF"/>
    <w:rsid w:val="002A2240"/>
    <w:rsid w:val="002A259A"/>
    <w:rsid w:val="002A26A8"/>
    <w:rsid w:val="002A27D2"/>
    <w:rsid w:val="002A2A25"/>
    <w:rsid w:val="002A2AC1"/>
    <w:rsid w:val="002A2AC2"/>
    <w:rsid w:val="002A2B41"/>
    <w:rsid w:val="002A2D9D"/>
    <w:rsid w:val="002A2E56"/>
    <w:rsid w:val="002A32F1"/>
    <w:rsid w:val="002A337C"/>
    <w:rsid w:val="002A33AF"/>
    <w:rsid w:val="002A3522"/>
    <w:rsid w:val="002A352F"/>
    <w:rsid w:val="002A355E"/>
    <w:rsid w:val="002A3775"/>
    <w:rsid w:val="002A39A1"/>
    <w:rsid w:val="002A39EA"/>
    <w:rsid w:val="002A3D53"/>
    <w:rsid w:val="002A3F76"/>
    <w:rsid w:val="002A3FE4"/>
    <w:rsid w:val="002A4108"/>
    <w:rsid w:val="002A41A1"/>
    <w:rsid w:val="002A4552"/>
    <w:rsid w:val="002A45DB"/>
    <w:rsid w:val="002A463E"/>
    <w:rsid w:val="002A463F"/>
    <w:rsid w:val="002A4800"/>
    <w:rsid w:val="002A486C"/>
    <w:rsid w:val="002A4965"/>
    <w:rsid w:val="002A499A"/>
    <w:rsid w:val="002A4C7D"/>
    <w:rsid w:val="002A4CF1"/>
    <w:rsid w:val="002A50A1"/>
    <w:rsid w:val="002A5155"/>
    <w:rsid w:val="002A52BC"/>
    <w:rsid w:val="002A5670"/>
    <w:rsid w:val="002A5695"/>
    <w:rsid w:val="002A5782"/>
    <w:rsid w:val="002A5785"/>
    <w:rsid w:val="002A58BC"/>
    <w:rsid w:val="002A58D7"/>
    <w:rsid w:val="002A5902"/>
    <w:rsid w:val="002A5C9C"/>
    <w:rsid w:val="002A5CDB"/>
    <w:rsid w:val="002A5E2B"/>
    <w:rsid w:val="002A5E5B"/>
    <w:rsid w:val="002A5F3C"/>
    <w:rsid w:val="002A5F99"/>
    <w:rsid w:val="002A6056"/>
    <w:rsid w:val="002A6109"/>
    <w:rsid w:val="002A6188"/>
    <w:rsid w:val="002A62E5"/>
    <w:rsid w:val="002A6365"/>
    <w:rsid w:val="002A637E"/>
    <w:rsid w:val="002A63A5"/>
    <w:rsid w:val="002A64C7"/>
    <w:rsid w:val="002A651D"/>
    <w:rsid w:val="002A67B8"/>
    <w:rsid w:val="002A67CA"/>
    <w:rsid w:val="002A67EA"/>
    <w:rsid w:val="002A68CC"/>
    <w:rsid w:val="002A6A71"/>
    <w:rsid w:val="002A6EF9"/>
    <w:rsid w:val="002A6FFC"/>
    <w:rsid w:val="002A72BE"/>
    <w:rsid w:val="002A762E"/>
    <w:rsid w:val="002A769E"/>
    <w:rsid w:val="002A76F4"/>
    <w:rsid w:val="002A7775"/>
    <w:rsid w:val="002A7888"/>
    <w:rsid w:val="002A7917"/>
    <w:rsid w:val="002A7B2B"/>
    <w:rsid w:val="002A7D6D"/>
    <w:rsid w:val="002A7D98"/>
    <w:rsid w:val="002A7DDA"/>
    <w:rsid w:val="002A7E1F"/>
    <w:rsid w:val="002B020A"/>
    <w:rsid w:val="002B02F4"/>
    <w:rsid w:val="002B045F"/>
    <w:rsid w:val="002B06AD"/>
    <w:rsid w:val="002B0767"/>
    <w:rsid w:val="002B0791"/>
    <w:rsid w:val="002B07ED"/>
    <w:rsid w:val="002B0CB5"/>
    <w:rsid w:val="002B0D5B"/>
    <w:rsid w:val="002B0E94"/>
    <w:rsid w:val="002B1009"/>
    <w:rsid w:val="002B10A6"/>
    <w:rsid w:val="002B10D3"/>
    <w:rsid w:val="002B11B0"/>
    <w:rsid w:val="002B127B"/>
    <w:rsid w:val="002B1392"/>
    <w:rsid w:val="002B1510"/>
    <w:rsid w:val="002B16BF"/>
    <w:rsid w:val="002B188B"/>
    <w:rsid w:val="002B1930"/>
    <w:rsid w:val="002B1AE4"/>
    <w:rsid w:val="002B1BD3"/>
    <w:rsid w:val="002B1C1C"/>
    <w:rsid w:val="002B1C63"/>
    <w:rsid w:val="002B1CE6"/>
    <w:rsid w:val="002B1D54"/>
    <w:rsid w:val="002B1F19"/>
    <w:rsid w:val="002B21C6"/>
    <w:rsid w:val="002B21FB"/>
    <w:rsid w:val="002B2232"/>
    <w:rsid w:val="002B2295"/>
    <w:rsid w:val="002B2767"/>
    <w:rsid w:val="002B2846"/>
    <w:rsid w:val="002B2863"/>
    <w:rsid w:val="002B286B"/>
    <w:rsid w:val="002B28BB"/>
    <w:rsid w:val="002B28C0"/>
    <w:rsid w:val="002B2D14"/>
    <w:rsid w:val="002B2D28"/>
    <w:rsid w:val="002B2D6F"/>
    <w:rsid w:val="002B2FFE"/>
    <w:rsid w:val="002B30D4"/>
    <w:rsid w:val="002B3218"/>
    <w:rsid w:val="002B329A"/>
    <w:rsid w:val="002B3522"/>
    <w:rsid w:val="002B3667"/>
    <w:rsid w:val="002B36A1"/>
    <w:rsid w:val="002B36B7"/>
    <w:rsid w:val="002B3829"/>
    <w:rsid w:val="002B39BD"/>
    <w:rsid w:val="002B3A04"/>
    <w:rsid w:val="002B3A29"/>
    <w:rsid w:val="002B3A97"/>
    <w:rsid w:val="002B3E26"/>
    <w:rsid w:val="002B3FD2"/>
    <w:rsid w:val="002B406E"/>
    <w:rsid w:val="002B40B4"/>
    <w:rsid w:val="002B41F8"/>
    <w:rsid w:val="002B4326"/>
    <w:rsid w:val="002B4443"/>
    <w:rsid w:val="002B4617"/>
    <w:rsid w:val="002B4AF7"/>
    <w:rsid w:val="002B4B42"/>
    <w:rsid w:val="002B4BCC"/>
    <w:rsid w:val="002B4C3F"/>
    <w:rsid w:val="002B4D4D"/>
    <w:rsid w:val="002B4D84"/>
    <w:rsid w:val="002B4D99"/>
    <w:rsid w:val="002B522B"/>
    <w:rsid w:val="002B5357"/>
    <w:rsid w:val="002B54EE"/>
    <w:rsid w:val="002B54F6"/>
    <w:rsid w:val="002B57CB"/>
    <w:rsid w:val="002B587A"/>
    <w:rsid w:val="002B5A72"/>
    <w:rsid w:val="002B5B52"/>
    <w:rsid w:val="002B5B5A"/>
    <w:rsid w:val="002B5C39"/>
    <w:rsid w:val="002B5CC7"/>
    <w:rsid w:val="002B5DAF"/>
    <w:rsid w:val="002B6032"/>
    <w:rsid w:val="002B63EE"/>
    <w:rsid w:val="002B65CF"/>
    <w:rsid w:val="002B65DB"/>
    <w:rsid w:val="002B6838"/>
    <w:rsid w:val="002B6870"/>
    <w:rsid w:val="002B68EA"/>
    <w:rsid w:val="002B6A45"/>
    <w:rsid w:val="002B6AA5"/>
    <w:rsid w:val="002B6C0F"/>
    <w:rsid w:val="002B6CF6"/>
    <w:rsid w:val="002B6E4A"/>
    <w:rsid w:val="002B6FF1"/>
    <w:rsid w:val="002B70A8"/>
    <w:rsid w:val="002B72E0"/>
    <w:rsid w:val="002B7371"/>
    <w:rsid w:val="002B74ED"/>
    <w:rsid w:val="002B756B"/>
    <w:rsid w:val="002B7669"/>
    <w:rsid w:val="002B76E2"/>
    <w:rsid w:val="002B77B8"/>
    <w:rsid w:val="002B7905"/>
    <w:rsid w:val="002B798F"/>
    <w:rsid w:val="002B7B76"/>
    <w:rsid w:val="002B7FF3"/>
    <w:rsid w:val="002C0096"/>
    <w:rsid w:val="002C037D"/>
    <w:rsid w:val="002C04D4"/>
    <w:rsid w:val="002C05E7"/>
    <w:rsid w:val="002C0674"/>
    <w:rsid w:val="002C0A51"/>
    <w:rsid w:val="002C0ADD"/>
    <w:rsid w:val="002C0F28"/>
    <w:rsid w:val="002C0FB9"/>
    <w:rsid w:val="002C1200"/>
    <w:rsid w:val="002C19E3"/>
    <w:rsid w:val="002C1A3E"/>
    <w:rsid w:val="002C1CB1"/>
    <w:rsid w:val="002C1E2D"/>
    <w:rsid w:val="002C1F60"/>
    <w:rsid w:val="002C1FC5"/>
    <w:rsid w:val="002C2004"/>
    <w:rsid w:val="002C2082"/>
    <w:rsid w:val="002C2411"/>
    <w:rsid w:val="002C24F4"/>
    <w:rsid w:val="002C2507"/>
    <w:rsid w:val="002C254D"/>
    <w:rsid w:val="002C257C"/>
    <w:rsid w:val="002C2604"/>
    <w:rsid w:val="002C2670"/>
    <w:rsid w:val="002C2957"/>
    <w:rsid w:val="002C29E9"/>
    <w:rsid w:val="002C2CB6"/>
    <w:rsid w:val="002C2D0E"/>
    <w:rsid w:val="002C2F05"/>
    <w:rsid w:val="002C301D"/>
    <w:rsid w:val="002C3090"/>
    <w:rsid w:val="002C30CF"/>
    <w:rsid w:val="002C3296"/>
    <w:rsid w:val="002C3303"/>
    <w:rsid w:val="002C3404"/>
    <w:rsid w:val="002C34EF"/>
    <w:rsid w:val="002C35B1"/>
    <w:rsid w:val="002C3907"/>
    <w:rsid w:val="002C3959"/>
    <w:rsid w:val="002C39E2"/>
    <w:rsid w:val="002C3B60"/>
    <w:rsid w:val="002C3BBD"/>
    <w:rsid w:val="002C3D29"/>
    <w:rsid w:val="002C410A"/>
    <w:rsid w:val="002C46CC"/>
    <w:rsid w:val="002C48C7"/>
    <w:rsid w:val="002C490D"/>
    <w:rsid w:val="002C4A31"/>
    <w:rsid w:val="002C4A51"/>
    <w:rsid w:val="002C4B51"/>
    <w:rsid w:val="002C4B59"/>
    <w:rsid w:val="002C5276"/>
    <w:rsid w:val="002C571D"/>
    <w:rsid w:val="002C581C"/>
    <w:rsid w:val="002C5C93"/>
    <w:rsid w:val="002C5C9D"/>
    <w:rsid w:val="002C5CC0"/>
    <w:rsid w:val="002C61F5"/>
    <w:rsid w:val="002C6283"/>
    <w:rsid w:val="002C62EF"/>
    <w:rsid w:val="002C6665"/>
    <w:rsid w:val="002C678F"/>
    <w:rsid w:val="002C6960"/>
    <w:rsid w:val="002C6EA0"/>
    <w:rsid w:val="002C6FC8"/>
    <w:rsid w:val="002C7165"/>
    <w:rsid w:val="002C7388"/>
    <w:rsid w:val="002C7548"/>
    <w:rsid w:val="002C766A"/>
    <w:rsid w:val="002C77D6"/>
    <w:rsid w:val="002C7BD4"/>
    <w:rsid w:val="002C7D59"/>
    <w:rsid w:val="002C7DDD"/>
    <w:rsid w:val="002C7F04"/>
    <w:rsid w:val="002D00B9"/>
    <w:rsid w:val="002D0430"/>
    <w:rsid w:val="002D049E"/>
    <w:rsid w:val="002D059E"/>
    <w:rsid w:val="002D070A"/>
    <w:rsid w:val="002D0B59"/>
    <w:rsid w:val="002D0B8D"/>
    <w:rsid w:val="002D0CE8"/>
    <w:rsid w:val="002D0DFF"/>
    <w:rsid w:val="002D0F8D"/>
    <w:rsid w:val="002D1084"/>
    <w:rsid w:val="002D1160"/>
    <w:rsid w:val="002D117B"/>
    <w:rsid w:val="002D13F0"/>
    <w:rsid w:val="002D146D"/>
    <w:rsid w:val="002D188C"/>
    <w:rsid w:val="002D18B8"/>
    <w:rsid w:val="002D18F0"/>
    <w:rsid w:val="002D1905"/>
    <w:rsid w:val="002D194E"/>
    <w:rsid w:val="002D1A9B"/>
    <w:rsid w:val="002D1B56"/>
    <w:rsid w:val="002D1BC5"/>
    <w:rsid w:val="002D1C16"/>
    <w:rsid w:val="002D1CB2"/>
    <w:rsid w:val="002D1E60"/>
    <w:rsid w:val="002D1EEF"/>
    <w:rsid w:val="002D1F63"/>
    <w:rsid w:val="002D1F90"/>
    <w:rsid w:val="002D2022"/>
    <w:rsid w:val="002D20E0"/>
    <w:rsid w:val="002D21A6"/>
    <w:rsid w:val="002D23EE"/>
    <w:rsid w:val="002D248F"/>
    <w:rsid w:val="002D258A"/>
    <w:rsid w:val="002D2643"/>
    <w:rsid w:val="002D269E"/>
    <w:rsid w:val="002D2871"/>
    <w:rsid w:val="002D2975"/>
    <w:rsid w:val="002D2A2D"/>
    <w:rsid w:val="002D2C3D"/>
    <w:rsid w:val="002D2CD0"/>
    <w:rsid w:val="002D3320"/>
    <w:rsid w:val="002D35F5"/>
    <w:rsid w:val="002D37DC"/>
    <w:rsid w:val="002D3D09"/>
    <w:rsid w:val="002D425A"/>
    <w:rsid w:val="002D45CD"/>
    <w:rsid w:val="002D46F4"/>
    <w:rsid w:val="002D47EA"/>
    <w:rsid w:val="002D488F"/>
    <w:rsid w:val="002D49D0"/>
    <w:rsid w:val="002D4B41"/>
    <w:rsid w:val="002D4C3F"/>
    <w:rsid w:val="002D4EEF"/>
    <w:rsid w:val="002D4FA1"/>
    <w:rsid w:val="002D518C"/>
    <w:rsid w:val="002D51B8"/>
    <w:rsid w:val="002D5248"/>
    <w:rsid w:val="002D5506"/>
    <w:rsid w:val="002D5711"/>
    <w:rsid w:val="002D57A0"/>
    <w:rsid w:val="002D57C3"/>
    <w:rsid w:val="002D5A70"/>
    <w:rsid w:val="002D5BDF"/>
    <w:rsid w:val="002D627E"/>
    <w:rsid w:val="002D664C"/>
    <w:rsid w:val="002D6C05"/>
    <w:rsid w:val="002D6EB1"/>
    <w:rsid w:val="002D6F4A"/>
    <w:rsid w:val="002D7158"/>
    <w:rsid w:val="002D718B"/>
    <w:rsid w:val="002D729B"/>
    <w:rsid w:val="002D731D"/>
    <w:rsid w:val="002D75F4"/>
    <w:rsid w:val="002D7604"/>
    <w:rsid w:val="002D774A"/>
    <w:rsid w:val="002D777B"/>
    <w:rsid w:val="002D78F8"/>
    <w:rsid w:val="002D790D"/>
    <w:rsid w:val="002D7A36"/>
    <w:rsid w:val="002D7CD5"/>
    <w:rsid w:val="002D7DA8"/>
    <w:rsid w:val="002D7DB2"/>
    <w:rsid w:val="002D7E92"/>
    <w:rsid w:val="002E0310"/>
    <w:rsid w:val="002E034F"/>
    <w:rsid w:val="002E0520"/>
    <w:rsid w:val="002E0550"/>
    <w:rsid w:val="002E05D3"/>
    <w:rsid w:val="002E0A39"/>
    <w:rsid w:val="002E0C0E"/>
    <w:rsid w:val="002E0F69"/>
    <w:rsid w:val="002E0F92"/>
    <w:rsid w:val="002E1047"/>
    <w:rsid w:val="002E10E8"/>
    <w:rsid w:val="002E1172"/>
    <w:rsid w:val="002E1249"/>
    <w:rsid w:val="002E1263"/>
    <w:rsid w:val="002E1268"/>
    <w:rsid w:val="002E12D5"/>
    <w:rsid w:val="002E1571"/>
    <w:rsid w:val="002E1577"/>
    <w:rsid w:val="002E17E7"/>
    <w:rsid w:val="002E1A82"/>
    <w:rsid w:val="002E1CCC"/>
    <w:rsid w:val="002E1E19"/>
    <w:rsid w:val="002E2188"/>
    <w:rsid w:val="002E222D"/>
    <w:rsid w:val="002E2508"/>
    <w:rsid w:val="002E278A"/>
    <w:rsid w:val="002E2C91"/>
    <w:rsid w:val="002E2CE4"/>
    <w:rsid w:val="002E2F3B"/>
    <w:rsid w:val="002E2FF5"/>
    <w:rsid w:val="002E325D"/>
    <w:rsid w:val="002E32DE"/>
    <w:rsid w:val="002E353D"/>
    <w:rsid w:val="002E432F"/>
    <w:rsid w:val="002E442E"/>
    <w:rsid w:val="002E4519"/>
    <w:rsid w:val="002E46A1"/>
    <w:rsid w:val="002E47F8"/>
    <w:rsid w:val="002E490C"/>
    <w:rsid w:val="002E4920"/>
    <w:rsid w:val="002E4BB8"/>
    <w:rsid w:val="002E4EBD"/>
    <w:rsid w:val="002E51B3"/>
    <w:rsid w:val="002E537B"/>
    <w:rsid w:val="002E53CA"/>
    <w:rsid w:val="002E59C1"/>
    <w:rsid w:val="002E5A11"/>
    <w:rsid w:val="002E5CF3"/>
    <w:rsid w:val="002E5D47"/>
    <w:rsid w:val="002E5F7B"/>
    <w:rsid w:val="002E6185"/>
    <w:rsid w:val="002E61CE"/>
    <w:rsid w:val="002E621A"/>
    <w:rsid w:val="002E6282"/>
    <w:rsid w:val="002E62CB"/>
    <w:rsid w:val="002E64D9"/>
    <w:rsid w:val="002E6759"/>
    <w:rsid w:val="002E67AD"/>
    <w:rsid w:val="002E69BE"/>
    <w:rsid w:val="002E6CB7"/>
    <w:rsid w:val="002E6D53"/>
    <w:rsid w:val="002E7319"/>
    <w:rsid w:val="002E7327"/>
    <w:rsid w:val="002E740A"/>
    <w:rsid w:val="002E7535"/>
    <w:rsid w:val="002E75CB"/>
    <w:rsid w:val="002E761B"/>
    <w:rsid w:val="002E7664"/>
    <w:rsid w:val="002E7698"/>
    <w:rsid w:val="002E770C"/>
    <w:rsid w:val="002E7892"/>
    <w:rsid w:val="002E7A6E"/>
    <w:rsid w:val="002E7B7F"/>
    <w:rsid w:val="002E7C76"/>
    <w:rsid w:val="002E7E8E"/>
    <w:rsid w:val="002F0005"/>
    <w:rsid w:val="002F00E8"/>
    <w:rsid w:val="002F014F"/>
    <w:rsid w:val="002F015A"/>
    <w:rsid w:val="002F022C"/>
    <w:rsid w:val="002F03CF"/>
    <w:rsid w:val="002F08B5"/>
    <w:rsid w:val="002F0B53"/>
    <w:rsid w:val="002F0B83"/>
    <w:rsid w:val="002F0CFD"/>
    <w:rsid w:val="002F0EE5"/>
    <w:rsid w:val="002F0F34"/>
    <w:rsid w:val="002F1599"/>
    <w:rsid w:val="002F1872"/>
    <w:rsid w:val="002F18EC"/>
    <w:rsid w:val="002F19E1"/>
    <w:rsid w:val="002F19F4"/>
    <w:rsid w:val="002F1B69"/>
    <w:rsid w:val="002F1B9F"/>
    <w:rsid w:val="002F1C35"/>
    <w:rsid w:val="002F1CA3"/>
    <w:rsid w:val="002F1DC9"/>
    <w:rsid w:val="002F1DFC"/>
    <w:rsid w:val="002F1E36"/>
    <w:rsid w:val="002F1E6D"/>
    <w:rsid w:val="002F204B"/>
    <w:rsid w:val="002F2067"/>
    <w:rsid w:val="002F206B"/>
    <w:rsid w:val="002F210C"/>
    <w:rsid w:val="002F21A8"/>
    <w:rsid w:val="002F2261"/>
    <w:rsid w:val="002F23EA"/>
    <w:rsid w:val="002F2539"/>
    <w:rsid w:val="002F258E"/>
    <w:rsid w:val="002F26F7"/>
    <w:rsid w:val="002F2C34"/>
    <w:rsid w:val="002F2F0A"/>
    <w:rsid w:val="002F2FF5"/>
    <w:rsid w:val="002F34DC"/>
    <w:rsid w:val="002F35B7"/>
    <w:rsid w:val="002F35C0"/>
    <w:rsid w:val="002F35D5"/>
    <w:rsid w:val="002F3657"/>
    <w:rsid w:val="002F37EB"/>
    <w:rsid w:val="002F3859"/>
    <w:rsid w:val="002F3B3E"/>
    <w:rsid w:val="002F3CE0"/>
    <w:rsid w:val="002F3D51"/>
    <w:rsid w:val="002F3DF6"/>
    <w:rsid w:val="002F3FEB"/>
    <w:rsid w:val="002F41A1"/>
    <w:rsid w:val="002F41A9"/>
    <w:rsid w:val="002F41DD"/>
    <w:rsid w:val="002F420F"/>
    <w:rsid w:val="002F4222"/>
    <w:rsid w:val="002F42B3"/>
    <w:rsid w:val="002F432C"/>
    <w:rsid w:val="002F4537"/>
    <w:rsid w:val="002F4599"/>
    <w:rsid w:val="002F46C5"/>
    <w:rsid w:val="002F4BD7"/>
    <w:rsid w:val="002F4C19"/>
    <w:rsid w:val="002F4E03"/>
    <w:rsid w:val="002F4EEB"/>
    <w:rsid w:val="002F4FEC"/>
    <w:rsid w:val="002F55C6"/>
    <w:rsid w:val="002F56B6"/>
    <w:rsid w:val="002F579F"/>
    <w:rsid w:val="002F5931"/>
    <w:rsid w:val="002F5A10"/>
    <w:rsid w:val="002F5AD8"/>
    <w:rsid w:val="002F5B4C"/>
    <w:rsid w:val="002F5B4F"/>
    <w:rsid w:val="002F5C7C"/>
    <w:rsid w:val="002F6025"/>
    <w:rsid w:val="002F609B"/>
    <w:rsid w:val="002F60BA"/>
    <w:rsid w:val="002F617F"/>
    <w:rsid w:val="002F61F0"/>
    <w:rsid w:val="002F63EC"/>
    <w:rsid w:val="002F66B1"/>
    <w:rsid w:val="002F66D8"/>
    <w:rsid w:val="002F66DE"/>
    <w:rsid w:val="002F680E"/>
    <w:rsid w:val="002F6AAF"/>
    <w:rsid w:val="002F6C49"/>
    <w:rsid w:val="002F6EC5"/>
    <w:rsid w:val="002F6F13"/>
    <w:rsid w:val="002F70EB"/>
    <w:rsid w:val="002F7312"/>
    <w:rsid w:val="002F760E"/>
    <w:rsid w:val="002F7FF0"/>
    <w:rsid w:val="00300517"/>
    <w:rsid w:val="003005E3"/>
    <w:rsid w:val="003005ED"/>
    <w:rsid w:val="003008BD"/>
    <w:rsid w:val="00300D13"/>
    <w:rsid w:val="00300D4B"/>
    <w:rsid w:val="00300EC5"/>
    <w:rsid w:val="00301419"/>
    <w:rsid w:val="00301456"/>
    <w:rsid w:val="0030161B"/>
    <w:rsid w:val="00301772"/>
    <w:rsid w:val="00301B95"/>
    <w:rsid w:val="00301DFD"/>
    <w:rsid w:val="00301EB4"/>
    <w:rsid w:val="00301F08"/>
    <w:rsid w:val="003020CA"/>
    <w:rsid w:val="003021F3"/>
    <w:rsid w:val="0030245B"/>
    <w:rsid w:val="003025D9"/>
    <w:rsid w:val="003025DE"/>
    <w:rsid w:val="0030261A"/>
    <w:rsid w:val="003026C8"/>
    <w:rsid w:val="00302886"/>
    <w:rsid w:val="00302A14"/>
    <w:rsid w:val="00302B39"/>
    <w:rsid w:val="00303317"/>
    <w:rsid w:val="00303335"/>
    <w:rsid w:val="003033AD"/>
    <w:rsid w:val="00303562"/>
    <w:rsid w:val="003036CE"/>
    <w:rsid w:val="003036D6"/>
    <w:rsid w:val="00303792"/>
    <w:rsid w:val="00303953"/>
    <w:rsid w:val="003039B4"/>
    <w:rsid w:val="00303A94"/>
    <w:rsid w:val="00303FD0"/>
    <w:rsid w:val="00304141"/>
    <w:rsid w:val="003041F5"/>
    <w:rsid w:val="003042A6"/>
    <w:rsid w:val="003043D9"/>
    <w:rsid w:val="003044C3"/>
    <w:rsid w:val="003046E0"/>
    <w:rsid w:val="00304944"/>
    <w:rsid w:val="00304A17"/>
    <w:rsid w:val="00304A88"/>
    <w:rsid w:val="00304C29"/>
    <w:rsid w:val="00304D6A"/>
    <w:rsid w:val="00304DB9"/>
    <w:rsid w:val="00304E38"/>
    <w:rsid w:val="00304FB5"/>
    <w:rsid w:val="00305314"/>
    <w:rsid w:val="00305370"/>
    <w:rsid w:val="00305464"/>
    <w:rsid w:val="0030565C"/>
    <w:rsid w:val="00305681"/>
    <w:rsid w:val="003058E7"/>
    <w:rsid w:val="0030596F"/>
    <w:rsid w:val="00305997"/>
    <w:rsid w:val="003059BF"/>
    <w:rsid w:val="00305B23"/>
    <w:rsid w:val="00305C4D"/>
    <w:rsid w:val="00305F20"/>
    <w:rsid w:val="00305F75"/>
    <w:rsid w:val="003060A9"/>
    <w:rsid w:val="00306117"/>
    <w:rsid w:val="00306119"/>
    <w:rsid w:val="003063BF"/>
    <w:rsid w:val="00306466"/>
    <w:rsid w:val="00306503"/>
    <w:rsid w:val="0030666F"/>
    <w:rsid w:val="003066AA"/>
    <w:rsid w:val="003067CA"/>
    <w:rsid w:val="0030695E"/>
    <w:rsid w:val="00306A93"/>
    <w:rsid w:val="00306D07"/>
    <w:rsid w:val="00306D76"/>
    <w:rsid w:val="00306DEC"/>
    <w:rsid w:val="00306DF9"/>
    <w:rsid w:val="00306F17"/>
    <w:rsid w:val="00306FBC"/>
    <w:rsid w:val="0030701E"/>
    <w:rsid w:val="00307477"/>
    <w:rsid w:val="003075EA"/>
    <w:rsid w:val="00307B54"/>
    <w:rsid w:val="00307C83"/>
    <w:rsid w:val="00307E3B"/>
    <w:rsid w:val="00307F07"/>
    <w:rsid w:val="00307FF9"/>
    <w:rsid w:val="003102E8"/>
    <w:rsid w:val="003104CB"/>
    <w:rsid w:val="003105EB"/>
    <w:rsid w:val="003106ED"/>
    <w:rsid w:val="00310960"/>
    <w:rsid w:val="003109A1"/>
    <w:rsid w:val="00310C7B"/>
    <w:rsid w:val="00310D61"/>
    <w:rsid w:val="00310E26"/>
    <w:rsid w:val="00310E57"/>
    <w:rsid w:val="003111BA"/>
    <w:rsid w:val="0031144C"/>
    <w:rsid w:val="003114E2"/>
    <w:rsid w:val="00311590"/>
    <w:rsid w:val="003117C8"/>
    <w:rsid w:val="00311E15"/>
    <w:rsid w:val="0031218C"/>
    <w:rsid w:val="003122F4"/>
    <w:rsid w:val="003123BE"/>
    <w:rsid w:val="00312479"/>
    <w:rsid w:val="0031261B"/>
    <w:rsid w:val="00312678"/>
    <w:rsid w:val="0031268F"/>
    <w:rsid w:val="00312750"/>
    <w:rsid w:val="0031276E"/>
    <w:rsid w:val="0031279F"/>
    <w:rsid w:val="003129BA"/>
    <w:rsid w:val="00313511"/>
    <w:rsid w:val="003135F9"/>
    <w:rsid w:val="003136A4"/>
    <w:rsid w:val="003136DF"/>
    <w:rsid w:val="00313841"/>
    <w:rsid w:val="00313903"/>
    <w:rsid w:val="0031393E"/>
    <w:rsid w:val="00313A3F"/>
    <w:rsid w:val="00313AE6"/>
    <w:rsid w:val="00313C95"/>
    <w:rsid w:val="00313D74"/>
    <w:rsid w:val="00313D8C"/>
    <w:rsid w:val="003140A6"/>
    <w:rsid w:val="00314205"/>
    <w:rsid w:val="00314234"/>
    <w:rsid w:val="00314289"/>
    <w:rsid w:val="0031433C"/>
    <w:rsid w:val="00314403"/>
    <w:rsid w:val="003145AF"/>
    <w:rsid w:val="003145B2"/>
    <w:rsid w:val="0031468A"/>
    <w:rsid w:val="0031479E"/>
    <w:rsid w:val="003147B5"/>
    <w:rsid w:val="00314E4F"/>
    <w:rsid w:val="00315001"/>
    <w:rsid w:val="00315475"/>
    <w:rsid w:val="00315488"/>
    <w:rsid w:val="003159E5"/>
    <w:rsid w:val="00315D9C"/>
    <w:rsid w:val="00315F5B"/>
    <w:rsid w:val="003161A6"/>
    <w:rsid w:val="00316368"/>
    <w:rsid w:val="00316444"/>
    <w:rsid w:val="003165E3"/>
    <w:rsid w:val="00316632"/>
    <w:rsid w:val="0031692A"/>
    <w:rsid w:val="00316BC4"/>
    <w:rsid w:val="00316BE6"/>
    <w:rsid w:val="00316BEE"/>
    <w:rsid w:val="00316CB3"/>
    <w:rsid w:val="00316CC3"/>
    <w:rsid w:val="00316CD3"/>
    <w:rsid w:val="00316F89"/>
    <w:rsid w:val="0031711D"/>
    <w:rsid w:val="003171F2"/>
    <w:rsid w:val="00317319"/>
    <w:rsid w:val="003174BE"/>
    <w:rsid w:val="00317519"/>
    <w:rsid w:val="003175CA"/>
    <w:rsid w:val="0031783E"/>
    <w:rsid w:val="00317AEE"/>
    <w:rsid w:val="00317B3D"/>
    <w:rsid w:val="00317B65"/>
    <w:rsid w:val="00317BA2"/>
    <w:rsid w:val="00317CBA"/>
    <w:rsid w:val="00317E8C"/>
    <w:rsid w:val="00317F2B"/>
    <w:rsid w:val="003200C9"/>
    <w:rsid w:val="00320186"/>
    <w:rsid w:val="003201B6"/>
    <w:rsid w:val="003202BB"/>
    <w:rsid w:val="00320541"/>
    <w:rsid w:val="003205E0"/>
    <w:rsid w:val="00320628"/>
    <w:rsid w:val="003206E3"/>
    <w:rsid w:val="00320764"/>
    <w:rsid w:val="0032083F"/>
    <w:rsid w:val="00320C58"/>
    <w:rsid w:val="00320CA3"/>
    <w:rsid w:val="00320DA9"/>
    <w:rsid w:val="00320DAA"/>
    <w:rsid w:val="00320EC6"/>
    <w:rsid w:val="00320F06"/>
    <w:rsid w:val="00321605"/>
    <w:rsid w:val="00321745"/>
    <w:rsid w:val="00321932"/>
    <w:rsid w:val="00321B02"/>
    <w:rsid w:val="00321C1F"/>
    <w:rsid w:val="00321D49"/>
    <w:rsid w:val="00321E16"/>
    <w:rsid w:val="00321EAC"/>
    <w:rsid w:val="00321F6B"/>
    <w:rsid w:val="00321F86"/>
    <w:rsid w:val="00322441"/>
    <w:rsid w:val="0032270F"/>
    <w:rsid w:val="003227DB"/>
    <w:rsid w:val="00322EA8"/>
    <w:rsid w:val="00322EF6"/>
    <w:rsid w:val="00323288"/>
    <w:rsid w:val="003233CE"/>
    <w:rsid w:val="00323428"/>
    <w:rsid w:val="00323462"/>
    <w:rsid w:val="003235BB"/>
    <w:rsid w:val="003239A7"/>
    <w:rsid w:val="003239ED"/>
    <w:rsid w:val="00323B08"/>
    <w:rsid w:val="00323B83"/>
    <w:rsid w:val="00323CD1"/>
    <w:rsid w:val="00323EA4"/>
    <w:rsid w:val="00324088"/>
    <w:rsid w:val="00324174"/>
    <w:rsid w:val="003244A2"/>
    <w:rsid w:val="00324761"/>
    <w:rsid w:val="0032486C"/>
    <w:rsid w:val="00324A4B"/>
    <w:rsid w:val="00324C6D"/>
    <w:rsid w:val="00324C98"/>
    <w:rsid w:val="00324D6F"/>
    <w:rsid w:val="00324DDE"/>
    <w:rsid w:val="00324E1B"/>
    <w:rsid w:val="00324E8A"/>
    <w:rsid w:val="00324F2F"/>
    <w:rsid w:val="00325020"/>
    <w:rsid w:val="0032504A"/>
    <w:rsid w:val="00325189"/>
    <w:rsid w:val="003251D9"/>
    <w:rsid w:val="00325378"/>
    <w:rsid w:val="0032586D"/>
    <w:rsid w:val="00325891"/>
    <w:rsid w:val="0032594C"/>
    <w:rsid w:val="00325A75"/>
    <w:rsid w:val="00325B9D"/>
    <w:rsid w:val="00325D8B"/>
    <w:rsid w:val="00325FEA"/>
    <w:rsid w:val="00326355"/>
    <w:rsid w:val="003263A6"/>
    <w:rsid w:val="00326479"/>
    <w:rsid w:val="003265A5"/>
    <w:rsid w:val="003267D2"/>
    <w:rsid w:val="003268A2"/>
    <w:rsid w:val="003268D5"/>
    <w:rsid w:val="00326949"/>
    <w:rsid w:val="00326B65"/>
    <w:rsid w:val="00326BE7"/>
    <w:rsid w:val="00326D29"/>
    <w:rsid w:val="00326E8F"/>
    <w:rsid w:val="00326ED1"/>
    <w:rsid w:val="00327008"/>
    <w:rsid w:val="00327097"/>
    <w:rsid w:val="003270C5"/>
    <w:rsid w:val="00327515"/>
    <w:rsid w:val="00327624"/>
    <w:rsid w:val="0032769F"/>
    <w:rsid w:val="003276FC"/>
    <w:rsid w:val="00327767"/>
    <w:rsid w:val="00327ABF"/>
    <w:rsid w:val="00327B80"/>
    <w:rsid w:val="00327CBE"/>
    <w:rsid w:val="00327D44"/>
    <w:rsid w:val="00327DC5"/>
    <w:rsid w:val="00330047"/>
    <w:rsid w:val="003300AA"/>
    <w:rsid w:val="0033075B"/>
    <w:rsid w:val="00330789"/>
    <w:rsid w:val="003307A7"/>
    <w:rsid w:val="003307B5"/>
    <w:rsid w:val="00330C4B"/>
    <w:rsid w:val="00330DBE"/>
    <w:rsid w:val="00330E96"/>
    <w:rsid w:val="00330F26"/>
    <w:rsid w:val="00330FF5"/>
    <w:rsid w:val="00331032"/>
    <w:rsid w:val="0033152E"/>
    <w:rsid w:val="003319D8"/>
    <w:rsid w:val="00331D77"/>
    <w:rsid w:val="00331F46"/>
    <w:rsid w:val="0033206B"/>
    <w:rsid w:val="00332131"/>
    <w:rsid w:val="00332199"/>
    <w:rsid w:val="003321F9"/>
    <w:rsid w:val="00332319"/>
    <w:rsid w:val="003326A2"/>
    <w:rsid w:val="00332783"/>
    <w:rsid w:val="0033287A"/>
    <w:rsid w:val="0033290A"/>
    <w:rsid w:val="00332927"/>
    <w:rsid w:val="00332A9D"/>
    <w:rsid w:val="00332BD5"/>
    <w:rsid w:val="00332CF1"/>
    <w:rsid w:val="00332F11"/>
    <w:rsid w:val="003331B1"/>
    <w:rsid w:val="00333262"/>
    <w:rsid w:val="00333381"/>
    <w:rsid w:val="003333D0"/>
    <w:rsid w:val="003334A4"/>
    <w:rsid w:val="003335DE"/>
    <w:rsid w:val="0033362F"/>
    <w:rsid w:val="0033364D"/>
    <w:rsid w:val="003338DE"/>
    <w:rsid w:val="00333B56"/>
    <w:rsid w:val="00333C32"/>
    <w:rsid w:val="00334061"/>
    <w:rsid w:val="00334213"/>
    <w:rsid w:val="0033424F"/>
    <w:rsid w:val="0033445E"/>
    <w:rsid w:val="003344E8"/>
    <w:rsid w:val="00334828"/>
    <w:rsid w:val="00334836"/>
    <w:rsid w:val="00334966"/>
    <w:rsid w:val="00334A1D"/>
    <w:rsid w:val="00334A4C"/>
    <w:rsid w:val="00334B8D"/>
    <w:rsid w:val="00334CFC"/>
    <w:rsid w:val="00334D7C"/>
    <w:rsid w:val="00334F79"/>
    <w:rsid w:val="00334F93"/>
    <w:rsid w:val="00334F9F"/>
    <w:rsid w:val="003351FA"/>
    <w:rsid w:val="003352A0"/>
    <w:rsid w:val="00335457"/>
    <w:rsid w:val="00335771"/>
    <w:rsid w:val="00335AC5"/>
    <w:rsid w:val="00335AD3"/>
    <w:rsid w:val="00335B1E"/>
    <w:rsid w:val="00335B36"/>
    <w:rsid w:val="00335DB6"/>
    <w:rsid w:val="003360CD"/>
    <w:rsid w:val="0033614B"/>
    <w:rsid w:val="0033627A"/>
    <w:rsid w:val="003364A1"/>
    <w:rsid w:val="003364F3"/>
    <w:rsid w:val="0033668D"/>
    <w:rsid w:val="0033679C"/>
    <w:rsid w:val="00336916"/>
    <w:rsid w:val="00336B0F"/>
    <w:rsid w:val="00336BD9"/>
    <w:rsid w:val="00336ED8"/>
    <w:rsid w:val="00337090"/>
    <w:rsid w:val="003372EC"/>
    <w:rsid w:val="003374A4"/>
    <w:rsid w:val="003375B3"/>
    <w:rsid w:val="0033761B"/>
    <w:rsid w:val="00337849"/>
    <w:rsid w:val="0033793C"/>
    <w:rsid w:val="00337AC3"/>
    <w:rsid w:val="003400F9"/>
    <w:rsid w:val="003402AB"/>
    <w:rsid w:val="00340314"/>
    <w:rsid w:val="003403D0"/>
    <w:rsid w:val="003404C6"/>
    <w:rsid w:val="00340AA3"/>
    <w:rsid w:val="00340B89"/>
    <w:rsid w:val="0034102B"/>
    <w:rsid w:val="00341071"/>
    <w:rsid w:val="003411B7"/>
    <w:rsid w:val="0034122E"/>
    <w:rsid w:val="003412CD"/>
    <w:rsid w:val="003416C2"/>
    <w:rsid w:val="00341A86"/>
    <w:rsid w:val="00341BF1"/>
    <w:rsid w:val="00341D81"/>
    <w:rsid w:val="00341F33"/>
    <w:rsid w:val="00342043"/>
    <w:rsid w:val="00342134"/>
    <w:rsid w:val="003424CC"/>
    <w:rsid w:val="00342649"/>
    <w:rsid w:val="003429BF"/>
    <w:rsid w:val="00342A34"/>
    <w:rsid w:val="00342B4B"/>
    <w:rsid w:val="00342B88"/>
    <w:rsid w:val="00342E22"/>
    <w:rsid w:val="00342FA2"/>
    <w:rsid w:val="00343094"/>
    <w:rsid w:val="003430DD"/>
    <w:rsid w:val="00343382"/>
    <w:rsid w:val="0034343D"/>
    <w:rsid w:val="0034347D"/>
    <w:rsid w:val="0034399E"/>
    <w:rsid w:val="00343E44"/>
    <w:rsid w:val="003441B3"/>
    <w:rsid w:val="0034436B"/>
    <w:rsid w:val="00344445"/>
    <w:rsid w:val="003444D6"/>
    <w:rsid w:val="00344759"/>
    <w:rsid w:val="00344779"/>
    <w:rsid w:val="003447EB"/>
    <w:rsid w:val="0034483E"/>
    <w:rsid w:val="00344976"/>
    <w:rsid w:val="00344B1E"/>
    <w:rsid w:val="00344D1C"/>
    <w:rsid w:val="00344E0E"/>
    <w:rsid w:val="00344F89"/>
    <w:rsid w:val="00344FD2"/>
    <w:rsid w:val="003450E5"/>
    <w:rsid w:val="003451BD"/>
    <w:rsid w:val="0034566D"/>
    <w:rsid w:val="0034570B"/>
    <w:rsid w:val="00345910"/>
    <w:rsid w:val="00345B04"/>
    <w:rsid w:val="00345C5C"/>
    <w:rsid w:val="00345CB6"/>
    <w:rsid w:val="00345EF9"/>
    <w:rsid w:val="00345F63"/>
    <w:rsid w:val="00346363"/>
    <w:rsid w:val="00346395"/>
    <w:rsid w:val="003463F3"/>
    <w:rsid w:val="003465EE"/>
    <w:rsid w:val="00346652"/>
    <w:rsid w:val="003466D5"/>
    <w:rsid w:val="003467F9"/>
    <w:rsid w:val="00346CCA"/>
    <w:rsid w:val="00346CDC"/>
    <w:rsid w:val="00346D16"/>
    <w:rsid w:val="00346D58"/>
    <w:rsid w:val="00346FBF"/>
    <w:rsid w:val="00347044"/>
    <w:rsid w:val="003473F0"/>
    <w:rsid w:val="0034749E"/>
    <w:rsid w:val="00347829"/>
    <w:rsid w:val="003478F5"/>
    <w:rsid w:val="00347C3B"/>
    <w:rsid w:val="00347CBE"/>
    <w:rsid w:val="00347D0F"/>
    <w:rsid w:val="00347EBC"/>
    <w:rsid w:val="00347FA8"/>
    <w:rsid w:val="003502E6"/>
    <w:rsid w:val="0035032E"/>
    <w:rsid w:val="003509CB"/>
    <w:rsid w:val="00350AD0"/>
    <w:rsid w:val="00350B44"/>
    <w:rsid w:val="00350CFE"/>
    <w:rsid w:val="00350F7D"/>
    <w:rsid w:val="00350FE6"/>
    <w:rsid w:val="00351067"/>
    <w:rsid w:val="00351117"/>
    <w:rsid w:val="0035125E"/>
    <w:rsid w:val="003513B5"/>
    <w:rsid w:val="00351445"/>
    <w:rsid w:val="003515D5"/>
    <w:rsid w:val="003515E8"/>
    <w:rsid w:val="00351757"/>
    <w:rsid w:val="0035178C"/>
    <w:rsid w:val="00351A50"/>
    <w:rsid w:val="00351AD1"/>
    <w:rsid w:val="00351CBC"/>
    <w:rsid w:val="00351E79"/>
    <w:rsid w:val="00352059"/>
    <w:rsid w:val="00352172"/>
    <w:rsid w:val="00352188"/>
    <w:rsid w:val="00352437"/>
    <w:rsid w:val="003527FA"/>
    <w:rsid w:val="003528E2"/>
    <w:rsid w:val="00352945"/>
    <w:rsid w:val="00352B63"/>
    <w:rsid w:val="00352C87"/>
    <w:rsid w:val="00352EB0"/>
    <w:rsid w:val="003530B8"/>
    <w:rsid w:val="003532E9"/>
    <w:rsid w:val="00353380"/>
    <w:rsid w:val="003534F6"/>
    <w:rsid w:val="00353643"/>
    <w:rsid w:val="00353686"/>
    <w:rsid w:val="00353764"/>
    <w:rsid w:val="0035381A"/>
    <w:rsid w:val="00353C3B"/>
    <w:rsid w:val="00353CE0"/>
    <w:rsid w:val="00354067"/>
    <w:rsid w:val="003540DA"/>
    <w:rsid w:val="0035424B"/>
    <w:rsid w:val="00354792"/>
    <w:rsid w:val="003548D2"/>
    <w:rsid w:val="00354944"/>
    <w:rsid w:val="00354AC1"/>
    <w:rsid w:val="00354AE4"/>
    <w:rsid w:val="00354B96"/>
    <w:rsid w:val="00354C26"/>
    <w:rsid w:val="00354D27"/>
    <w:rsid w:val="00354D7A"/>
    <w:rsid w:val="00354E8B"/>
    <w:rsid w:val="00354EA2"/>
    <w:rsid w:val="00354FBB"/>
    <w:rsid w:val="00355101"/>
    <w:rsid w:val="00355120"/>
    <w:rsid w:val="0035515E"/>
    <w:rsid w:val="003551CC"/>
    <w:rsid w:val="00355294"/>
    <w:rsid w:val="00355454"/>
    <w:rsid w:val="003556C8"/>
    <w:rsid w:val="0035573F"/>
    <w:rsid w:val="0035575D"/>
    <w:rsid w:val="003558EE"/>
    <w:rsid w:val="00355A67"/>
    <w:rsid w:val="00355AEE"/>
    <w:rsid w:val="00355B1B"/>
    <w:rsid w:val="00355D9D"/>
    <w:rsid w:val="00355DA0"/>
    <w:rsid w:val="00356103"/>
    <w:rsid w:val="00356360"/>
    <w:rsid w:val="00356A32"/>
    <w:rsid w:val="00357020"/>
    <w:rsid w:val="00357097"/>
    <w:rsid w:val="0035713C"/>
    <w:rsid w:val="003573CE"/>
    <w:rsid w:val="0035744B"/>
    <w:rsid w:val="00357A62"/>
    <w:rsid w:val="00357D8A"/>
    <w:rsid w:val="00357E34"/>
    <w:rsid w:val="00357E36"/>
    <w:rsid w:val="00360149"/>
    <w:rsid w:val="00360AB0"/>
    <w:rsid w:val="00360B35"/>
    <w:rsid w:val="00360B8B"/>
    <w:rsid w:val="00360D48"/>
    <w:rsid w:val="00360E14"/>
    <w:rsid w:val="00360E41"/>
    <w:rsid w:val="00360FAF"/>
    <w:rsid w:val="0036107E"/>
    <w:rsid w:val="003615BB"/>
    <w:rsid w:val="00361762"/>
    <w:rsid w:val="003617E2"/>
    <w:rsid w:val="00361810"/>
    <w:rsid w:val="0036186D"/>
    <w:rsid w:val="003619B0"/>
    <w:rsid w:val="00361A83"/>
    <w:rsid w:val="00361D85"/>
    <w:rsid w:val="00362049"/>
    <w:rsid w:val="00362435"/>
    <w:rsid w:val="003624FC"/>
    <w:rsid w:val="003625CA"/>
    <w:rsid w:val="00362602"/>
    <w:rsid w:val="00362656"/>
    <w:rsid w:val="003626B2"/>
    <w:rsid w:val="00362785"/>
    <w:rsid w:val="0036286D"/>
    <w:rsid w:val="00362A47"/>
    <w:rsid w:val="00362C85"/>
    <w:rsid w:val="00362D75"/>
    <w:rsid w:val="00362DC1"/>
    <w:rsid w:val="00362DFC"/>
    <w:rsid w:val="00362E02"/>
    <w:rsid w:val="0036314C"/>
    <w:rsid w:val="0036315D"/>
    <w:rsid w:val="003631BB"/>
    <w:rsid w:val="003631E2"/>
    <w:rsid w:val="003631F4"/>
    <w:rsid w:val="003632A7"/>
    <w:rsid w:val="003633AB"/>
    <w:rsid w:val="003638C5"/>
    <w:rsid w:val="00363A39"/>
    <w:rsid w:val="00363B04"/>
    <w:rsid w:val="00363B17"/>
    <w:rsid w:val="00363C41"/>
    <w:rsid w:val="00363CBA"/>
    <w:rsid w:val="00363D2D"/>
    <w:rsid w:val="00363DAE"/>
    <w:rsid w:val="00363FDF"/>
    <w:rsid w:val="003641F0"/>
    <w:rsid w:val="0036430D"/>
    <w:rsid w:val="00364317"/>
    <w:rsid w:val="00364697"/>
    <w:rsid w:val="0036492D"/>
    <w:rsid w:val="00364976"/>
    <w:rsid w:val="00364CA7"/>
    <w:rsid w:val="00364F51"/>
    <w:rsid w:val="0036500E"/>
    <w:rsid w:val="00365086"/>
    <w:rsid w:val="003650E3"/>
    <w:rsid w:val="00365224"/>
    <w:rsid w:val="00365469"/>
    <w:rsid w:val="0036572A"/>
    <w:rsid w:val="003657D4"/>
    <w:rsid w:val="00365990"/>
    <w:rsid w:val="00365A43"/>
    <w:rsid w:val="00365AD0"/>
    <w:rsid w:val="00365DA5"/>
    <w:rsid w:val="003661FB"/>
    <w:rsid w:val="0036627B"/>
    <w:rsid w:val="003663B4"/>
    <w:rsid w:val="00366417"/>
    <w:rsid w:val="00366948"/>
    <w:rsid w:val="00366A6E"/>
    <w:rsid w:val="00366AD5"/>
    <w:rsid w:val="00367114"/>
    <w:rsid w:val="0036711D"/>
    <w:rsid w:val="00367178"/>
    <w:rsid w:val="00367519"/>
    <w:rsid w:val="00367712"/>
    <w:rsid w:val="00367AEA"/>
    <w:rsid w:val="00367D02"/>
    <w:rsid w:val="00367E7A"/>
    <w:rsid w:val="00367F5D"/>
    <w:rsid w:val="00370061"/>
    <w:rsid w:val="00370242"/>
    <w:rsid w:val="00370846"/>
    <w:rsid w:val="00370A4F"/>
    <w:rsid w:val="0037158A"/>
    <w:rsid w:val="003715CC"/>
    <w:rsid w:val="00371646"/>
    <w:rsid w:val="003716D3"/>
    <w:rsid w:val="003716FD"/>
    <w:rsid w:val="00371AF9"/>
    <w:rsid w:val="00371B38"/>
    <w:rsid w:val="00371D27"/>
    <w:rsid w:val="00372088"/>
    <w:rsid w:val="0037209B"/>
    <w:rsid w:val="00372123"/>
    <w:rsid w:val="0037213B"/>
    <w:rsid w:val="0037215D"/>
    <w:rsid w:val="00372193"/>
    <w:rsid w:val="00372305"/>
    <w:rsid w:val="00372405"/>
    <w:rsid w:val="0037267B"/>
    <w:rsid w:val="0037268B"/>
    <w:rsid w:val="003726E9"/>
    <w:rsid w:val="0037278D"/>
    <w:rsid w:val="00372B32"/>
    <w:rsid w:val="00372BD0"/>
    <w:rsid w:val="00372D56"/>
    <w:rsid w:val="00373167"/>
    <w:rsid w:val="0037319F"/>
    <w:rsid w:val="0037341E"/>
    <w:rsid w:val="00373569"/>
    <w:rsid w:val="003735C7"/>
    <w:rsid w:val="003735FD"/>
    <w:rsid w:val="00373735"/>
    <w:rsid w:val="0037376D"/>
    <w:rsid w:val="0037388B"/>
    <w:rsid w:val="00373B26"/>
    <w:rsid w:val="00373D3F"/>
    <w:rsid w:val="003740B7"/>
    <w:rsid w:val="00374223"/>
    <w:rsid w:val="00374239"/>
    <w:rsid w:val="00374464"/>
    <w:rsid w:val="003745AE"/>
    <w:rsid w:val="0037466D"/>
    <w:rsid w:val="003747CE"/>
    <w:rsid w:val="0037483C"/>
    <w:rsid w:val="003749DE"/>
    <w:rsid w:val="00374D7C"/>
    <w:rsid w:val="00375021"/>
    <w:rsid w:val="00375101"/>
    <w:rsid w:val="003751C7"/>
    <w:rsid w:val="003752CD"/>
    <w:rsid w:val="003752E7"/>
    <w:rsid w:val="0037542A"/>
    <w:rsid w:val="0037544C"/>
    <w:rsid w:val="0037548C"/>
    <w:rsid w:val="00375752"/>
    <w:rsid w:val="003759D2"/>
    <w:rsid w:val="00375B75"/>
    <w:rsid w:val="00375DED"/>
    <w:rsid w:val="00375E1A"/>
    <w:rsid w:val="00375ED2"/>
    <w:rsid w:val="00375FD3"/>
    <w:rsid w:val="00376186"/>
    <w:rsid w:val="0037619B"/>
    <w:rsid w:val="003763F3"/>
    <w:rsid w:val="0037655C"/>
    <w:rsid w:val="0037682E"/>
    <w:rsid w:val="0037683B"/>
    <w:rsid w:val="00376878"/>
    <w:rsid w:val="00376930"/>
    <w:rsid w:val="00376ABD"/>
    <w:rsid w:val="00376CED"/>
    <w:rsid w:val="00376D29"/>
    <w:rsid w:val="00376F10"/>
    <w:rsid w:val="003770EB"/>
    <w:rsid w:val="00377107"/>
    <w:rsid w:val="00377207"/>
    <w:rsid w:val="0037721D"/>
    <w:rsid w:val="003772A3"/>
    <w:rsid w:val="00377491"/>
    <w:rsid w:val="003778BB"/>
    <w:rsid w:val="003778D6"/>
    <w:rsid w:val="0037790B"/>
    <w:rsid w:val="0037793C"/>
    <w:rsid w:val="00377B31"/>
    <w:rsid w:val="00377BF3"/>
    <w:rsid w:val="00377CE8"/>
    <w:rsid w:val="00377D65"/>
    <w:rsid w:val="003800A7"/>
    <w:rsid w:val="00380278"/>
    <w:rsid w:val="00380356"/>
    <w:rsid w:val="003803D4"/>
    <w:rsid w:val="003805B3"/>
    <w:rsid w:val="00380721"/>
    <w:rsid w:val="0038096F"/>
    <w:rsid w:val="00380A87"/>
    <w:rsid w:val="00380D93"/>
    <w:rsid w:val="00380F08"/>
    <w:rsid w:val="00380F15"/>
    <w:rsid w:val="0038152A"/>
    <w:rsid w:val="00381567"/>
    <w:rsid w:val="003815F3"/>
    <w:rsid w:val="00381794"/>
    <w:rsid w:val="00381A59"/>
    <w:rsid w:val="00381ACD"/>
    <w:rsid w:val="00381AF4"/>
    <w:rsid w:val="00381C0A"/>
    <w:rsid w:val="00381DAD"/>
    <w:rsid w:val="00381E5B"/>
    <w:rsid w:val="00382234"/>
    <w:rsid w:val="003822DC"/>
    <w:rsid w:val="00382407"/>
    <w:rsid w:val="00382A1A"/>
    <w:rsid w:val="00382C0A"/>
    <w:rsid w:val="003830B9"/>
    <w:rsid w:val="003830D6"/>
    <w:rsid w:val="003831BD"/>
    <w:rsid w:val="00383270"/>
    <w:rsid w:val="0038355D"/>
    <w:rsid w:val="0038369F"/>
    <w:rsid w:val="00383930"/>
    <w:rsid w:val="003839F0"/>
    <w:rsid w:val="00383B11"/>
    <w:rsid w:val="00383BEF"/>
    <w:rsid w:val="00383DED"/>
    <w:rsid w:val="00383DEE"/>
    <w:rsid w:val="00384262"/>
    <w:rsid w:val="003842B3"/>
    <w:rsid w:val="0038435B"/>
    <w:rsid w:val="00384399"/>
    <w:rsid w:val="0038441A"/>
    <w:rsid w:val="003844EC"/>
    <w:rsid w:val="00384550"/>
    <w:rsid w:val="00384B2C"/>
    <w:rsid w:val="00384C46"/>
    <w:rsid w:val="00384E15"/>
    <w:rsid w:val="00384F48"/>
    <w:rsid w:val="00385098"/>
    <w:rsid w:val="003852CE"/>
    <w:rsid w:val="003852D5"/>
    <w:rsid w:val="00385505"/>
    <w:rsid w:val="003855E1"/>
    <w:rsid w:val="0038570C"/>
    <w:rsid w:val="003858A6"/>
    <w:rsid w:val="00385947"/>
    <w:rsid w:val="00385BEE"/>
    <w:rsid w:val="00385D0A"/>
    <w:rsid w:val="00385F6A"/>
    <w:rsid w:val="003860FE"/>
    <w:rsid w:val="003861AC"/>
    <w:rsid w:val="00386620"/>
    <w:rsid w:val="003866B3"/>
    <w:rsid w:val="003866BF"/>
    <w:rsid w:val="00386851"/>
    <w:rsid w:val="00386B93"/>
    <w:rsid w:val="00386BE1"/>
    <w:rsid w:val="00386D03"/>
    <w:rsid w:val="00386F2A"/>
    <w:rsid w:val="00387179"/>
    <w:rsid w:val="003873E3"/>
    <w:rsid w:val="0038740A"/>
    <w:rsid w:val="00387637"/>
    <w:rsid w:val="0038780F"/>
    <w:rsid w:val="003878B4"/>
    <w:rsid w:val="003879DA"/>
    <w:rsid w:val="003879E5"/>
    <w:rsid w:val="0039005C"/>
    <w:rsid w:val="00390212"/>
    <w:rsid w:val="003907EF"/>
    <w:rsid w:val="0039095B"/>
    <w:rsid w:val="00390A75"/>
    <w:rsid w:val="00390BC0"/>
    <w:rsid w:val="00390D03"/>
    <w:rsid w:val="00390F72"/>
    <w:rsid w:val="003911C6"/>
    <w:rsid w:val="00391368"/>
    <w:rsid w:val="00391950"/>
    <w:rsid w:val="00391A8E"/>
    <w:rsid w:val="00391AF8"/>
    <w:rsid w:val="00391B31"/>
    <w:rsid w:val="00391BC5"/>
    <w:rsid w:val="00391C36"/>
    <w:rsid w:val="0039211A"/>
    <w:rsid w:val="003922C4"/>
    <w:rsid w:val="003923FB"/>
    <w:rsid w:val="00392409"/>
    <w:rsid w:val="0039241D"/>
    <w:rsid w:val="00392485"/>
    <w:rsid w:val="0039276E"/>
    <w:rsid w:val="00392957"/>
    <w:rsid w:val="00392AF8"/>
    <w:rsid w:val="00392BF2"/>
    <w:rsid w:val="00392C19"/>
    <w:rsid w:val="00392DCC"/>
    <w:rsid w:val="0039321E"/>
    <w:rsid w:val="003933C5"/>
    <w:rsid w:val="003933D2"/>
    <w:rsid w:val="00393453"/>
    <w:rsid w:val="003937EE"/>
    <w:rsid w:val="00393AAB"/>
    <w:rsid w:val="00393AFA"/>
    <w:rsid w:val="00393E69"/>
    <w:rsid w:val="00393E74"/>
    <w:rsid w:val="00393F56"/>
    <w:rsid w:val="003941E2"/>
    <w:rsid w:val="0039426D"/>
    <w:rsid w:val="00394297"/>
    <w:rsid w:val="00394716"/>
    <w:rsid w:val="00394819"/>
    <w:rsid w:val="00394A20"/>
    <w:rsid w:val="00394AD1"/>
    <w:rsid w:val="00394AED"/>
    <w:rsid w:val="00394EBE"/>
    <w:rsid w:val="0039510C"/>
    <w:rsid w:val="00395654"/>
    <w:rsid w:val="00395746"/>
    <w:rsid w:val="00395770"/>
    <w:rsid w:val="003958D5"/>
    <w:rsid w:val="00395985"/>
    <w:rsid w:val="00395B1A"/>
    <w:rsid w:val="00395B5F"/>
    <w:rsid w:val="00395BBB"/>
    <w:rsid w:val="00395F25"/>
    <w:rsid w:val="0039607B"/>
    <w:rsid w:val="003962AE"/>
    <w:rsid w:val="00396828"/>
    <w:rsid w:val="003968E8"/>
    <w:rsid w:val="003969BB"/>
    <w:rsid w:val="00396A4B"/>
    <w:rsid w:val="00396BCA"/>
    <w:rsid w:val="00396C0B"/>
    <w:rsid w:val="00396C81"/>
    <w:rsid w:val="00396F60"/>
    <w:rsid w:val="003970FC"/>
    <w:rsid w:val="00397222"/>
    <w:rsid w:val="00397242"/>
    <w:rsid w:val="003972BD"/>
    <w:rsid w:val="00397363"/>
    <w:rsid w:val="00397543"/>
    <w:rsid w:val="003977D3"/>
    <w:rsid w:val="003977FC"/>
    <w:rsid w:val="00397AAE"/>
    <w:rsid w:val="00397C30"/>
    <w:rsid w:val="00397F41"/>
    <w:rsid w:val="003A00D1"/>
    <w:rsid w:val="003A02FA"/>
    <w:rsid w:val="003A041E"/>
    <w:rsid w:val="003A0458"/>
    <w:rsid w:val="003A0549"/>
    <w:rsid w:val="003A05DE"/>
    <w:rsid w:val="003A0653"/>
    <w:rsid w:val="003A09D8"/>
    <w:rsid w:val="003A0B70"/>
    <w:rsid w:val="003A0BBB"/>
    <w:rsid w:val="003A0E44"/>
    <w:rsid w:val="003A0F17"/>
    <w:rsid w:val="003A1557"/>
    <w:rsid w:val="003A1697"/>
    <w:rsid w:val="003A1759"/>
    <w:rsid w:val="003A1828"/>
    <w:rsid w:val="003A199F"/>
    <w:rsid w:val="003A1D81"/>
    <w:rsid w:val="003A1F55"/>
    <w:rsid w:val="003A1F5A"/>
    <w:rsid w:val="003A2098"/>
    <w:rsid w:val="003A2125"/>
    <w:rsid w:val="003A2146"/>
    <w:rsid w:val="003A2197"/>
    <w:rsid w:val="003A21BE"/>
    <w:rsid w:val="003A258F"/>
    <w:rsid w:val="003A272E"/>
    <w:rsid w:val="003A2777"/>
    <w:rsid w:val="003A27FC"/>
    <w:rsid w:val="003A282B"/>
    <w:rsid w:val="003A2945"/>
    <w:rsid w:val="003A2963"/>
    <w:rsid w:val="003A2B92"/>
    <w:rsid w:val="003A2CC7"/>
    <w:rsid w:val="003A2D8F"/>
    <w:rsid w:val="003A317B"/>
    <w:rsid w:val="003A31AC"/>
    <w:rsid w:val="003A323B"/>
    <w:rsid w:val="003A3286"/>
    <w:rsid w:val="003A3497"/>
    <w:rsid w:val="003A3523"/>
    <w:rsid w:val="003A3572"/>
    <w:rsid w:val="003A35BD"/>
    <w:rsid w:val="003A3637"/>
    <w:rsid w:val="003A36DE"/>
    <w:rsid w:val="003A38DE"/>
    <w:rsid w:val="003A38F2"/>
    <w:rsid w:val="003A3FD4"/>
    <w:rsid w:val="003A4036"/>
    <w:rsid w:val="003A40C0"/>
    <w:rsid w:val="003A4419"/>
    <w:rsid w:val="003A4423"/>
    <w:rsid w:val="003A4451"/>
    <w:rsid w:val="003A467B"/>
    <w:rsid w:val="003A46D6"/>
    <w:rsid w:val="003A4806"/>
    <w:rsid w:val="003A4843"/>
    <w:rsid w:val="003A48CC"/>
    <w:rsid w:val="003A4A16"/>
    <w:rsid w:val="003A4A75"/>
    <w:rsid w:val="003A4B3B"/>
    <w:rsid w:val="003A4C62"/>
    <w:rsid w:val="003A528D"/>
    <w:rsid w:val="003A52A7"/>
    <w:rsid w:val="003A5426"/>
    <w:rsid w:val="003A55D1"/>
    <w:rsid w:val="003A56B8"/>
    <w:rsid w:val="003A5954"/>
    <w:rsid w:val="003A5B1E"/>
    <w:rsid w:val="003A5BB2"/>
    <w:rsid w:val="003A5F17"/>
    <w:rsid w:val="003A5F85"/>
    <w:rsid w:val="003A5FFA"/>
    <w:rsid w:val="003A6075"/>
    <w:rsid w:val="003A612B"/>
    <w:rsid w:val="003A6829"/>
    <w:rsid w:val="003A686B"/>
    <w:rsid w:val="003A68F3"/>
    <w:rsid w:val="003A6A05"/>
    <w:rsid w:val="003A6B15"/>
    <w:rsid w:val="003A6B16"/>
    <w:rsid w:val="003A6B92"/>
    <w:rsid w:val="003A6C0B"/>
    <w:rsid w:val="003A6C35"/>
    <w:rsid w:val="003A6C6E"/>
    <w:rsid w:val="003A6DBB"/>
    <w:rsid w:val="003A6F5C"/>
    <w:rsid w:val="003A7119"/>
    <w:rsid w:val="003A7210"/>
    <w:rsid w:val="003A72FD"/>
    <w:rsid w:val="003A7540"/>
    <w:rsid w:val="003A7748"/>
    <w:rsid w:val="003A7A87"/>
    <w:rsid w:val="003A7AC5"/>
    <w:rsid w:val="003A7B10"/>
    <w:rsid w:val="003A7DF2"/>
    <w:rsid w:val="003A7E06"/>
    <w:rsid w:val="003A7E5C"/>
    <w:rsid w:val="003B017E"/>
    <w:rsid w:val="003B01CF"/>
    <w:rsid w:val="003B06CA"/>
    <w:rsid w:val="003B07DF"/>
    <w:rsid w:val="003B0DA1"/>
    <w:rsid w:val="003B0DB6"/>
    <w:rsid w:val="003B0F1C"/>
    <w:rsid w:val="003B104E"/>
    <w:rsid w:val="003B109F"/>
    <w:rsid w:val="003B1279"/>
    <w:rsid w:val="003B165E"/>
    <w:rsid w:val="003B1C1F"/>
    <w:rsid w:val="003B212E"/>
    <w:rsid w:val="003B22D4"/>
    <w:rsid w:val="003B25A6"/>
    <w:rsid w:val="003B25B0"/>
    <w:rsid w:val="003B26D5"/>
    <w:rsid w:val="003B29EA"/>
    <w:rsid w:val="003B2B72"/>
    <w:rsid w:val="003B2F5C"/>
    <w:rsid w:val="003B3202"/>
    <w:rsid w:val="003B3394"/>
    <w:rsid w:val="003B33D1"/>
    <w:rsid w:val="003B3564"/>
    <w:rsid w:val="003B3663"/>
    <w:rsid w:val="003B368A"/>
    <w:rsid w:val="003B3727"/>
    <w:rsid w:val="003B3908"/>
    <w:rsid w:val="003B3AB5"/>
    <w:rsid w:val="003B3CC0"/>
    <w:rsid w:val="003B3D71"/>
    <w:rsid w:val="003B3E4A"/>
    <w:rsid w:val="003B3E8F"/>
    <w:rsid w:val="003B3F5E"/>
    <w:rsid w:val="003B4233"/>
    <w:rsid w:val="003B4330"/>
    <w:rsid w:val="003B43E5"/>
    <w:rsid w:val="003B4707"/>
    <w:rsid w:val="003B475C"/>
    <w:rsid w:val="003B475E"/>
    <w:rsid w:val="003B4AF5"/>
    <w:rsid w:val="003B4F09"/>
    <w:rsid w:val="003B52DB"/>
    <w:rsid w:val="003B5319"/>
    <w:rsid w:val="003B53A5"/>
    <w:rsid w:val="003B5465"/>
    <w:rsid w:val="003B555E"/>
    <w:rsid w:val="003B567B"/>
    <w:rsid w:val="003B5779"/>
    <w:rsid w:val="003B58B7"/>
    <w:rsid w:val="003B5982"/>
    <w:rsid w:val="003B5A4D"/>
    <w:rsid w:val="003B5E46"/>
    <w:rsid w:val="003B5F60"/>
    <w:rsid w:val="003B607D"/>
    <w:rsid w:val="003B6122"/>
    <w:rsid w:val="003B6237"/>
    <w:rsid w:val="003B625E"/>
    <w:rsid w:val="003B6550"/>
    <w:rsid w:val="003B6915"/>
    <w:rsid w:val="003B6963"/>
    <w:rsid w:val="003B69B1"/>
    <w:rsid w:val="003B6A62"/>
    <w:rsid w:val="003B6FC5"/>
    <w:rsid w:val="003B71A4"/>
    <w:rsid w:val="003B724C"/>
    <w:rsid w:val="003B7294"/>
    <w:rsid w:val="003B7354"/>
    <w:rsid w:val="003B7678"/>
    <w:rsid w:val="003B7B15"/>
    <w:rsid w:val="003B7B4B"/>
    <w:rsid w:val="003B7FC7"/>
    <w:rsid w:val="003C01BD"/>
    <w:rsid w:val="003C0352"/>
    <w:rsid w:val="003C036C"/>
    <w:rsid w:val="003C0593"/>
    <w:rsid w:val="003C05CE"/>
    <w:rsid w:val="003C08BA"/>
    <w:rsid w:val="003C0980"/>
    <w:rsid w:val="003C0A05"/>
    <w:rsid w:val="003C0A97"/>
    <w:rsid w:val="003C0B70"/>
    <w:rsid w:val="003C0CA7"/>
    <w:rsid w:val="003C0DB4"/>
    <w:rsid w:val="003C0DE5"/>
    <w:rsid w:val="003C1062"/>
    <w:rsid w:val="003C1C26"/>
    <w:rsid w:val="003C1DBF"/>
    <w:rsid w:val="003C1E3C"/>
    <w:rsid w:val="003C1F10"/>
    <w:rsid w:val="003C2847"/>
    <w:rsid w:val="003C28C7"/>
    <w:rsid w:val="003C2A2C"/>
    <w:rsid w:val="003C2A79"/>
    <w:rsid w:val="003C2C59"/>
    <w:rsid w:val="003C2DA2"/>
    <w:rsid w:val="003C2E2F"/>
    <w:rsid w:val="003C2E8B"/>
    <w:rsid w:val="003C3009"/>
    <w:rsid w:val="003C3301"/>
    <w:rsid w:val="003C33F7"/>
    <w:rsid w:val="003C3547"/>
    <w:rsid w:val="003C3625"/>
    <w:rsid w:val="003C3C59"/>
    <w:rsid w:val="003C3CF2"/>
    <w:rsid w:val="003C3E16"/>
    <w:rsid w:val="003C4249"/>
    <w:rsid w:val="003C4260"/>
    <w:rsid w:val="003C4274"/>
    <w:rsid w:val="003C435F"/>
    <w:rsid w:val="003C4374"/>
    <w:rsid w:val="003C4560"/>
    <w:rsid w:val="003C4630"/>
    <w:rsid w:val="003C46E4"/>
    <w:rsid w:val="003C4839"/>
    <w:rsid w:val="003C4E42"/>
    <w:rsid w:val="003C50EF"/>
    <w:rsid w:val="003C5341"/>
    <w:rsid w:val="003C55B4"/>
    <w:rsid w:val="003C55DC"/>
    <w:rsid w:val="003C565D"/>
    <w:rsid w:val="003C570E"/>
    <w:rsid w:val="003C5F99"/>
    <w:rsid w:val="003C60F6"/>
    <w:rsid w:val="003C6235"/>
    <w:rsid w:val="003C6237"/>
    <w:rsid w:val="003C62E7"/>
    <w:rsid w:val="003C62F7"/>
    <w:rsid w:val="003C64D8"/>
    <w:rsid w:val="003C6724"/>
    <w:rsid w:val="003C688C"/>
    <w:rsid w:val="003C694A"/>
    <w:rsid w:val="003C74F0"/>
    <w:rsid w:val="003C75BA"/>
    <w:rsid w:val="003C78DC"/>
    <w:rsid w:val="003C79EA"/>
    <w:rsid w:val="003C7A20"/>
    <w:rsid w:val="003C7C8F"/>
    <w:rsid w:val="003C7DA6"/>
    <w:rsid w:val="003C7F90"/>
    <w:rsid w:val="003C7FF4"/>
    <w:rsid w:val="003D01D0"/>
    <w:rsid w:val="003D037B"/>
    <w:rsid w:val="003D03F8"/>
    <w:rsid w:val="003D0589"/>
    <w:rsid w:val="003D06AA"/>
    <w:rsid w:val="003D0936"/>
    <w:rsid w:val="003D0F3A"/>
    <w:rsid w:val="003D1240"/>
    <w:rsid w:val="003D12C4"/>
    <w:rsid w:val="003D139D"/>
    <w:rsid w:val="003D1665"/>
    <w:rsid w:val="003D18DE"/>
    <w:rsid w:val="003D1A23"/>
    <w:rsid w:val="003D1A9F"/>
    <w:rsid w:val="003D1BBC"/>
    <w:rsid w:val="003D1E4D"/>
    <w:rsid w:val="003D1EB6"/>
    <w:rsid w:val="003D1F13"/>
    <w:rsid w:val="003D1FDB"/>
    <w:rsid w:val="003D2071"/>
    <w:rsid w:val="003D21F3"/>
    <w:rsid w:val="003D225E"/>
    <w:rsid w:val="003D22C6"/>
    <w:rsid w:val="003D2530"/>
    <w:rsid w:val="003D25B7"/>
    <w:rsid w:val="003D25F5"/>
    <w:rsid w:val="003D26C6"/>
    <w:rsid w:val="003D2772"/>
    <w:rsid w:val="003D2825"/>
    <w:rsid w:val="003D2DE6"/>
    <w:rsid w:val="003D3118"/>
    <w:rsid w:val="003D31C1"/>
    <w:rsid w:val="003D3912"/>
    <w:rsid w:val="003D3F1F"/>
    <w:rsid w:val="003D3F5A"/>
    <w:rsid w:val="003D4072"/>
    <w:rsid w:val="003D4436"/>
    <w:rsid w:val="003D4A94"/>
    <w:rsid w:val="003D4AAC"/>
    <w:rsid w:val="003D4AEE"/>
    <w:rsid w:val="003D4B46"/>
    <w:rsid w:val="003D4B90"/>
    <w:rsid w:val="003D5038"/>
    <w:rsid w:val="003D537D"/>
    <w:rsid w:val="003D5469"/>
    <w:rsid w:val="003D54E5"/>
    <w:rsid w:val="003D56E3"/>
    <w:rsid w:val="003D56E7"/>
    <w:rsid w:val="003D5ABE"/>
    <w:rsid w:val="003D5ADC"/>
    <w:rsid w:val="003D5BEA"/>
    <w:rsid w:val="003D5D4D"/>
    <w:rsid w:val="003D5D6A"/>
    <w:rsid w:val="003D612B"/>
    <w:rsid w:val="003D61D2"/>
    <w:rsid w:val="003D6294"/>
    <w:rsid w:val="003D6466"/>
    <w:rsid w:val="003D68C6"/>
    <w:rsid w:val="003D69F7"/>
    <w:rsid w:val="003D6A64"/>
    <w:rsid w:val="003D6EE5"/>
    <w:rsid w:val="003D6FF9"/>
    <w:rsid w:val="003D703D"/>
    <w:rsid w:val="003D710F"/>
    <w:rsid w:val="003D7202"/>
    <w:rsid w:val="003D7289"/>
    <w:rsid w:val="003D7708"/>
    <w:rsid w:val="003D7BBC"/>
    <w:rsid w:val="003D7C3B"/>
    <w:rsid w:val="003E0229"/>
    <w:rsid w:val="003E0331"/>
    <w:rsid w:val="003E051F"/>
    <w:rsid w:val="003E0603"/>
    <w:rsid w:val="003E0A0D"/>
    <w:rsid w:val="003E0C5B"/>
    <w:rsid w:val="003E0DDA"/>
    <w:rsid w:val="003E1081"/>
    <w:rsid w:val="003E129C"/>
    <w:rsid w:val="003E12A4"/>
    <w:rsid w:val="003E1468"/>
    <w:rsid w:val="003E1530"/>
    <w:rsid w:val="003E16C8"/>
    <w:rsid w:val="003E1B24"/>
    <w:rsid w:val="003E1C0D"/>
    <w:rsid w:val="003E1D55"/>
    <w:rsid w:val="003E1DB6"/>
    <w:rsid w:val="003E218E"/>
    <w:rsid w:val="003E2475"/>
    <w:rsid w:val="003E25D9"/>
    <w:rsid w:val="003E2A2E"/>
    <w:rsid w:val="003E2B29"/>
    <w:rsid w:val="003E2B99"/>
    <w:rsid w:val="003E2F09"/>
    <w:rsid w:val="003E30C3"/>
    <w:rsid w:val="003E3365"/>
    <w:rsid w:val="003E33A5"/>
    <w:rsid w:val="003E33D2"/>
    <w:rsid w:val="003E38B0"/>
    <w:rsid w:val="003E3C3D"/>
    <w:rsid w:val="003E3CC1"/>
    <w:rsid w:val="003E3D45"/>
    <w:rsid w:val="003E3F01"/>
    <w:rsid w:val="003E3FFC"/>
    <w:rsid w:val="003E4653"/>
    <w:rsid w:val="003E471C"/>
    <w:rsid w:val="003E4773"/>
    <w:rsid w:val="003E4A4E"/>
    <w:rsid w:val="003E4CB2"/>
    <w:rsid w:val="003E4D87"/>
    <w:rsid w:val="003E51C9"/>
    <w:rsid w:val="003E5266"/>
    <w:rsid w:val="003E55DF"/>
    <w:rsid w:val="003E5750"/>
    <w:rsid w:val="003E5789"/>
    <w:rsid w:val="003E57FE"/>
    <w:rsid w:val="003E58D9"/>
    <w:rsid w:val="003E5BFB"/>
    <w:rsid w:val="003E5C39"/>
    <w:rsid w:val="003E5C6D"/>
    <w:rsid w:val="003E5CDE"/>
    <w:rsid w:val="003E5D30"/>
    <w:rsid w:val="003E601C"/>
    <w:rsid w:val="003E61E4"/>
    <w:rsid w:val="003E6235"/>
    <w:rsid w:val="003E626C"/>
    <w:rsid w:val="003E62E7"/>
    <w:rsid w:val="003E65E3"/>
    <w:rsid w:val="003E68D6"/>
    <w:rsid w:val="003E68E2"/>
    <w:rsid w:val="003E68FD"/>
    <w:rsid w:val="003E6AD3"/>
    <w:rsid w:val="003E6B7A"/>
    <w:rsid w:val="003E6BA2"/>
    <w:rsid w:val="003E6C2B"/>
    <w:rsid w:val="003E6F30"/>
    <w:rsid w:val="003E704E"/>
    <w:rsid w:val="003E70F9"/>
    <w:rsid w:val="003E7491"/>
    <w:rsid w:val="003E7585"/>
    <w:rsid w:val="003E764B"/>
    <w:rsid w:val="003E7704"/>
    <w:rsid w:val="003E7897"/>
    <w:rsid w:val="003E7A56"/>
    <w:rsid w:val="003E7F72"/>
    <w:rsid w:val="003F0067"/>
    <w:rsid w:val="003F0112"/>
    <w:rsid w:val="003F02CB"/>
    <w:rsid w:val="003F0593"/>
    <w:rsid w:val="003F091F"/>
    <w:rsid w:val="003F0BA8"/>
    <w:rsid w:val="003F0BAA"/>
    <w:rsid w:val="003F1092"/>
    <w:rsid w:val="003F12EF"/>
    <w:rsid w:val="003F1604"/>
    <w:rsid w:val="003F1939"/>
    <w:rsid w:val="003F194E"/>
    <w:rsid w:val="003F19B5"/>
    <w:rsid w:val="003F1A4F"/>
    <w:rsid w:val="003F1C40"/>
    <w:rsid w:val="003F1D7D"/>
    <w:rsid w:val="003F1EFB"/>
    <w:rsid w:val="003F238D"/>
    <w:rsid w:val="003F2437"/>
    <w:rsid w:val="003F24AB"/>
    <w:rsid w:val="003F2511"/>
    <w:rsid w:val="003F25BD"/>
    <w:rsid w:val="003F25C7"/>
    <w:rsid w:val="003F2744"/>
    <w:rsid w:val="003F27CD"/>
    <w:rsid w:val="003F28DC"/>
    <w:rsid w:val="003F2992"/>
    <w:rsid w:val="003F2A5A"/>
    <w:rsid w:val="003F2B9F"/>
    <w:rsid w:val="003F2F4A"/>
    <w:rsid w:val="003F2F68"/>
    <w:rsid w:val="003F3059"/>
    <w:rsid w:val="003F31A1"/>
    <w:rsid w:val="003F39F1"/>
    <w:rsid w:val="003F3B07"/>
    <w:rsid w:val="003F3C58"/>
    <w:rsid w:val="003F4268"/>
    <w:rsid w:val="003F44F5"/>
    <w:rsid w:val="003F467B"/>
    <w:rsid w:val="003F4840"/>
    <w:rsid w:val="003F4862"/>
    <w:rsid w:val="003F4A91"/>
    <w:rsid w:val="003F4B6E"/>
    <w:rsid w:val="003F4F0E"/>
    <w:rsid w:val="003F4FC9"/>
    <w:rsid w:val="003F50A5"/>
    <w:rsid w:val="003F5100"/>
    <w:rsid w:val="003F5128"/>
    <w:rsid w:val="003F565A"/>
    <w:rsid w:val="003F5694"/>
    <w:rsid w:val="003F5BA0"/>
    <w:rsid w:val="003F5D1D"/>
    <w:rsid w:val="003F5DB7"/>
    <w:rsid w:val="003F5E19"/>
    <w:rsid w:val="003F5E7B"/>
    <w:rsid w:val="003F609F"/>
    <w:rsid w:val="003F60B4"/>
    <w:rsid w:val="003F6312"/>
    <w:rsid w:val="003F65AF"/>
    <w:rsid w:val="003F673D"/>
    <w:rsid w:val="003F6BD1"/>
    <w:rsid w:val="003F6C8C"/>
    <w:rsid w:val="003F6D22"/>
    <w:rsid w:val="003F6D6F"/>
    <w:rsid w:val="003F6D91"/>
    <w:rsid w:val="003F7134"/>
    <w:rsid w:val="003F7150"/>
    <w:rsid w:val="003F71F2"/>
    <w:rsid w:val="003F722F"/>
    <w:rsid w:val="003F7520"/>
    <w:rsid w:val="003F7595"/>
    <w:rsid w:val="003F75F5"/>
    <w:rsid w:val="003F78C5"/>
    <w:rsid w:val="003F7E2A"/>
    <w:rsid w:val="003F7F15"/>
    <w:rsid w:val="003F7F3C"/>
    <w:rsid w:val="003F7F4D"/>
    <w:rsid w:val="003F7FE7"/>
    <w:rsid w:val="00400022"/>
    <w:rsid w:val="004000F7"/>
    <w:rsid w:val="00400131"/>
    <w:rsid w:val="004001A9"/>
    <w:rsid w:val="00400270"/>
    <w:rsid w:val="004002FA"/>
    <w:rsid w:val="004004B7"/>
    <w:rsid w:val="004007DE"/>
    <w:rsid w:val="004008B1"/>
    <w:rsid w:val="00400A68"/>
    <w:rsid w:val="00400C5E"/>
    <w:rsid w:val="00400E58"/>
    <w:rsid w:val="00400E64"/>
    <w:rsid w:val="00401036"/>
    <w:rsid w:val="00401074"/>
    <w:rsid w:val="004010E5"/>
    <w:rsid w:val="0040114A"/>
    <w:rsid w:val="0040115E"/>
    <w:rsid w:val="00401196"/>
    <w:rsid w:val="004013B9"/>
    <w:rsid w:val="0040155C"/>
    <w:rsid w:val="00401663"/>
    <w:rsid w:val="004016EF"/>
    <w:rsid w:val="004017EA"/>
    <w:rsid w:val="00401AC7"/>
    <w:rsid w:val="00401EBD"/>
    <w:rsid w:val="00401FDF"/>
    <w:rsid w:val="00402003"/>
    <w:rsid w:val="0040256F"/>
    <w:rsid w:val="0040289D"/>
    <w:rsid w:val="004028EC"/>
    <w:rsid w:val="00402AD6"/>
    <w:rsid w:val="00402B09"/>
    <w:rsid w:val="00402D71"/>
    <w:rsid w:val="00402F33"/>
    <w:rsid w:val="00402FB5"/>
    <w:rsid w:val="0040300B"/>
    <w:rsid w:val="00403041"/>
    <w:rsid w:val="0040304A"/>
    <w:rsid w:val="00403118"/>
    <w:rsid w:val="004032E4"/>
    <w:rsid w:val="004032E8"/>
    <w:rsid w:val="00403466"/>
    <w:rsid w:val="004035A4"/>
    <w:rsid w:val="00403708"/>
    <w:rsid w:val="004038CB"/>
    <w:rsid w:val="00403A41"/>
    <w:rsid w:val="00403A9A"/>
    <w:rsid w:val="00403B23"/>
    <w:rsid w:val="00403BF6"/>
    <w:rsid w:val="00403C02"/>
    <w:rsid w:val="00403C5E"/>
    <w:rsid w:val="00403D75"/>
    <w:rsid w:val="00403E3D"/>
    <w:rsid w:val="0040409A"/>
    <w:rsid w:val="004040CA"/>
    <w:rsid w:val="004041AA"/>
    <w:rsid w:val="00404222"/>
    <w:rsid w:val="0040422D"/>
    <w:rsid w:val="00404234"/>
    <w:rsid w:val="00404365"/>
    <w:rsid w:val="0040443A"/>
    <w:rsid w:val="004045DA"/>
    <w:rsid w:val="0040460C"/>
    <w:rsid w:val="004047CE"/>
    <w:rsid w:val="00404863"/>
    <w:rsid w:val="00404B1C"/>
    <w:rsid w:val="00404C4F"/>
    <w:rsid w:val="00404C8F"/>
    <w:rsid w:val="00404D06"/>
    <w:rsid w:val="00404E26"/>
    <w:rsid w:val="00405077"/>
    <w:rsid w:val="004050F3"/>
    <w:rsid w:val="0040522C"/>
    <w:rsid w:val="0040529D"/>
    <w:rsid w:val="0040565B"/>
    <w:rsid w:val="00405807"/>
    <w:rsid w:val="00405B09"/>
    <w:rsid w:val="00405B24"/>
    <w:rsid w:val="00405BC7"/>
    <w:rsid w:val="00405CA1"/>
    <w:rsid w:val="00405F2F"/>
    <w:rsid w:val="00405F9E"/>
    <w:rsid w:val="004061A8"/>
    <w:rsid w:val="00406695"/>
    <w:rsid w:val="004067AC"/>
    <w:rsid w:val="00406A41"/>
    <w:rsid w:val="00406A54"/>
    <w:rsid w:val="00406CF1"/>
    <w:rsid w:val="00406FBD"/>
    <w:rsid w:val="00407114"/>
    <w:rsid w:val="004072B6"/>
    <w:rsid w:val="0040758B"/>
    <w:rsid w:val="00407891"/>
    <w:rsid w:val="00407C44"/>
    <w:rsid w:val="00407D84"/>
    <w:rsid w:val="00407DBA"/>
    <w:rsid w:val="004100A8"/>
    <w:rsid w:val="00410185"/>
    <w:rsid w:val="00410415"/>
    <w:rsid w:val="0041060E"/>
    <w:rsid w:val="00410715"/>
    <w:rsid w:val="00410725"/>
    <w:rsid w:val="0041078C"/>
    <w:rsid w:val="00410871"/>
    <w:rsid w:val="004109AF"/>
    <w:rsid w:val="00410A2D"/>
    <w:rsid w:val="00410E53"/>
    <w:rsid w:val="00410E55"/>
    <w:rsid w:val="00410F92"/>
    <w:rsid w:val="004110DB"/>
    <w:rsid w:val="004116A0"/>
    <w:rsid w:val="004116E0"/>
    <w:rsid w:val="00411825"/>
    <w:rsid w:val="00411A54"/>
    <w:rsid w:val="00411B1F"/>
    <w:rsid w:val="004120BF"/>
    <w:rsid w:val="00412108"/>
    <w:rsid w:val="0041222E"/>
    <w:rsid w:val="0041235D"/>
    <w:rsid w:val="004123BA"/>
    <w:rsid w:val="004125DE"/>
    <w:rsid w:val="004126CE"/>
    <w:rsid w:val="00412726"/>
    <w:rsid w:val="00412757"/>
    <w:rsid w:val="004127FF"/>
    <w:rsid w:val="00412CF0"/>
    <w:rsid w:val="00412E21"/>
    <w:rsid w:val="004131C8"/>
    <w:rsid w:val="0041349A"/>
    <w:rsid w:val="00413538"/>
    <w:rsid w:val="004136CE"/>
    <w:rsid w:val="00413778"/>
    <w:rsid w:val="00413882"/>
    <w:rsid w:val="00413BDA"/>
    <w:rsid w:val="00413C94"/>
    <w:rsid w:val="00413CC2"/>
    <w:rsid w:val="00413DAA"/>
    <w:rsid w:val="00413E55"/>
    <w:rsid w:val="00414206"/>
    <w:rsid w:val="00414221"/>
    <w:rsid w:val="0041441E"/>
    <w:rsid w:val="0041446B"/>
    <w:rsid w:val="00414493"/>
    <w:rsid w:val="004147E9"/>
    <w:rsid w:val="004149F8"/>
    <w:rsid w:val="00414ABB"/>
    <w:rsid w:val="00414B3D"/>
    <w:rsid w:val="00414DEA"/>
    <w:rsid w:val="004150BF"/>
    <w:rsid w:val="004151D7"/>
    <w:rsid w:val="0041528D"/>
    <w:rsid w:val="00415330"/>
    <w:rsid w:val="00415665"/>
    <w:rsid w:val="004158E7"/>
    <w:rsid w:val="0041594C"/>
    <w:rsid w:val="00415B87"/>
    <w:rsid w:val="00415C5A"/>
    <w:rsid w:val="00415F6E"/>
    <w:rsid w:val="00415FB7"/>
    <w:rsid w:val="00416400"/>
    <w:rsid w:val="004166DD"/>
    <w:rsid w:val="004166EA"/>
    <w:rsid w:val="00416762"/>
    <w:rsid w:val="00416B92"/>
    <w:rsid w:val="00416C6D"/>
    <w:rsid w:val="00416C80"/>
    <w:rsid w:val="00416CFF"/>
    <w:rsid w:val="00416E0B"/>
    <w:rsid w:val="00417202"/>
    <w:rsid w:val="004172D1"/>
    <w:rsid w:val="00417488"/>
    <w:rsid w:val="004174EB"/>
    <w:rsid w:val="00417718"/>
    <w:rsid w:val="00417844"/>
    <w:rsid w:val="004178DB"/>
    <w:rsid w:val="004178E6"/>
    <w:rsid w:val="00417A3C"/>
    <w:rsid w:val="00417C18"/>
    <w:rsid w:val="00417C23"/>
    <w:rsid w:val="00417C70"/>
    <w:rsid w:val="00417D1F"/>
    <w:rsid w:val="00417D92"/>
    <w:rsid w:val="00417D9C"/>
    <w:rsid w:val="00417DBB"/>
    <w:rsid w:val="00417DDA"/>
    <w:rsid w:val="00417E1F"/>
    <w:rsid w:val="00417EDA"/>
    <w:rsid w:val="0042051C"/>
    <w:rsid w:val="0042089E"/>
    <w:rsid w:val="004208B6"/>
    <w:rsid w:val="004208FA"/>
    <w:rsid w:val="00420908"/>
    <w:rsid w:val="00420A58"/>
    <w:rsid w:val="00420ABA"/>
    <w:rsid w:val="00420B6D"/>
    <w:rsid w:val="00420CE4"/>
    <w:rsid w:val="00420EE3"/>
    <w:rsid w:val="004210C4"/>
    <w:rsid w:val="004212A3"/>
    <w:rsid w:val="00421351"/>
    <w:rsid w:val="004219A7"/>
    <w:rsid w:val="00421A00"/>
    <w:rsid w:val="00421E53"/>
    <w:rsid w:val="00421F01"/>
    <w:rsid w:val="00421FC7"/>
    <w:rsid w:val="00422283"/>
    <w:rsid w:val="004222C7"/>
    <w:rsid w:val="0042258A"/>
    <w:rsid w:val="00422640"/>
    <w:rsid w:val="00422959"/>
    <w:rsid w:val="00422989"/>
    <w:rsid w:val="004229A8"/>
    <w:rsid w:val="00422A33"/>
    <w:rsid w:val="00422DC1"/>
    <w:rsid w:val="00422EC7"/>
    <w:rsid w:val="00422EDB"/>
    <w:rsid w:val="0042304B"/>
    <w:rsid w:val="0042315F"/>
    <w:rsid w:val="004231CF"/>
    <w:rsid w:val="004231F0"/>
    <w:rsid w:val="00423285"/>
    <w:rsid w:val="0042353C"/>
    <w:rsid w:val="004238F6"/>
    <w:rsid w:val="004239A2"/>
    <w:rsid w:val="00423DB1"/>
    <w:rsid w:val="00423FE2"/>
    <w:rsid w:val="00424168"/>
    <w:rsid w:val="004241B6"/>
    <w:rsid w:val="004242FD"/>
    <w:rsid w:val="0042436E"/>
    <w:rsid w:val="0042440C"/>
    <w:rsid w:val="004246AE"/>
    <w:rsid w:val="004247ED"/>
    <w:rsid w:val="0042496F"/>
    <w:rsid w:val="004250DC"/>
    <w:rsid w:val="004252FF"/>
    <w:rsid w:val="0042532B"/>
    <w:rsid w:val="0042553F"/>
    <w:rsid w:val="0042574A"/>
    <w:rsid w:val="00425A24"/>
    <w:rsid w:val="00425ABB"/>
    <w:rsid w:val="00425C22"/>
    <w:rsid w:val="00425F18"/>
    <w:rsid w:val="0042623D"/>
    <w:rsid w:val="00426708"/>
    <w:rsid w:val="004267CB"/>
    <w:rsid w:val="00426BFD"/>
    <w:rsid w:val="00426D3E"/>
    <w:rsid w:val="00426EDD"/>
    <w:rsid w:val="004272BD"/>
    <w:rsid w:val="0042735D"/>
    <w:rsid w:val="00427401"/>
    <w:rsid w:val="00427772"/>
    <w:rsid w:val="00427888"/>
    <w:rsid w:val="00427A26"/>
    <w:rsid w:val="00427B62"/>
    <w:rsid w:val="00427BEA"/>
    <w:rsid w:val="00427CFE"/>
    <w:rsid w:val="00427DA9"/>
    <w:rsid w:val="004300DC"/>
    <w:rsid w:val="004301C7"/>
    <w:rsid w:val="004302A5"/>
    <w:rsid w:val="0043036C"/>
    <w:rsid w:val="0043062D"/>
    <w:rsid w:val="00430B4D"/>
    <w:rsid w:val="004310DF"/>
    <w:rsid w:val="004310F5"/>
    <w:rsid w:val="004311DE"/>
    <w:rsid w:val="0043136B"/>
    <w:rsid w:val="004313DE"/>
    <w:rsid w:val="00431415"/>
    <w:rsid w:val="00431798"/>
    <w:rsid w:val="004317EA"/>
    <w:rsid w:val="00431A3B"/>
    <w:rsid w:val="00431A42"/>
    <w:rsid w:val="00431A60"/>
    <w:rsid w:val="00431A85"/>
    <w:rsid w:val="00431C51"/>
    <w:rsid w:val="00431CDE"/>
    <w:rsid w:val="00431CE1"/>
    <w:rsid w:val="00431D37"/>
    <w:rsid w:val="00431DA9"/>
    <w:rsid w:val="00431F23"/>
    <w:rsid w:val="00431F83"/>
    <w:rsid w:val="0043211F"/>
    <w:rsid w:val="004322FC"/>
    <w:rsid w:val="00432307"/>
    <w:rsid w:val="00432308"/>
    <w:rsid w:val="004325E4"/>
    <w:rsid w:val="0043278E"/>
    <w:rsid w:val="004327FF"/>
    <w:rsid w:val="00432A0C"/>
    <w:rsid w:val="00432EE2"/>
    <w:rsid w:val="00433108"/>
    <w:rsid w:val="0043312D"/>
    <w:rsid w:val="00433686"/>
    <w:rsid w:val="004339A6"/>
    <w:rsid w:val="00433CEA"/>
    <w:rsid w:val="00433D04"/>
    <w:rsid w:val="00433F51"/>
    <w:rsid w:val="00434056"/>
    <w:rsid w:val="00434241"/>
    <w:rsid w:val="004346E4"/>
    <w:rsid w:val="00434882"/>
    <w:rsid w:val="00434909"/>
    <w:rsid w:val="00434963"/>
    <w:rsid w:val="00434994"/>
    <w:rsid w:val="00434F95"/>
    <w:rsid w:val="00435354"/>
    <w:rsid w:val="0043541B"/>
    <w:rsid w:val="00435587"/>
    <w:rsid w:val="0043566A"/>
    <w:rsid w:val="00435C5B"/>
    <w:rsid w:val="00435C7D"/>
    <w:rsid w:val="00435DD5"/>
    <w:rsid w:val="00435DFE"/>
    <w:rsid w:val="00435E18"/>
    <w:rsid w:val="00435F27"/>
    <w:rsid w:val="00436304"/>
    <w:rsid w:val="0043638C"/>
    <w:rsid w:val="00436480"/>
    <w:rsid w:val="0043655A"/>
    <w:rsid w:val="0043678F"/>
    <w:rsid w:val="004367BD"/>
    <w:rsid w:val="004368BE"/>
    <w:rsid w:val="0043691B"/>
    <w:rsid w:val="00436AB8"/>
    <w:rsid w:val="00436ABE"/>
    <w:rsid w:val="00436AEB"/>
    <w:rsid w:val="00436B5A"/>
    <w:rsid w:val="00436D14"/>
    <w:rsid w:val="00436D2B"/>
    <w:rsid w:val="00436D60"/>
    <w:rsid w:val="00436E34"/>
    <w:rsid w:val="00436F49"/>
    <w:rsid w:val="00436FD6"/>
    <w:rsid w:val="00437380"/>
    <w:rsid w:val="00437589"/>
    <w:rsid w:val="004377FF"/>
    <w:rsid w:val="00437943"/>
    <w:rsid w:val="00437A18"/>
    <w:rsid w:val="00437BD7"/>
    <w:rsid w:val="00437CCF"/>
    <w:rsid w:val="00437CF1"/>
    <w:rsid w:val="00437D03"/>
    <w:rsid w:val="00437D67"/>
    <w:rsid w:val="00437F4B"/>
    <w:rsid w:val="00440263"/>
    <w:rsid w:val="00440530"/>
    <w:rsid w:val="004405A2"/>
    <w:rsid w:val="0044089D"/>
    <w:rsid w:val="00440921"/>
    <w:rsid w:val="00440B5F"/>
    <w:rsid w:val="004411E6"/>
    <w:rsid w:val="0044135D"/>
    <w:rsid w:val="004413A2"/>
    <w:rsid w:val="0044141B"/>
    <w:rsid w:val="0044153F"/>
    <w:rsid w:val="00441747"/>
    <w:rsid w:val="0044177E"/>
    <w:rsid w:val="00441988"/>
    <w:rsid w:val="00441BFA"/>
    <w:rsid w:val="00441C37"/>
    <w:rsid w:val="00441EE0"/>
    <w:rsid w:val="00442017"/>
    <w:rsid w:val="004421A4"/>
    <w:rsid w:val="004421F3"/>
    <w:rsid w:val="00442393"/>
    <w:rsid w:val="004423F7"/>
    <w:rsid w:val="00442432"/>
    <w:rsid w:val="0044253D"/>
    <w:rsid w:val="00442722"/>
    <w:rsid w:val="00442A88"/>
    <w:rsid w:val="00442C30"/>
    <w:rsid w:val="00442D74"/>
    <w:rsid w:val="00442FDB"/>
    <w:rsid w:val="00443169"/>
    <w:rsid w:val="004431F0"/>
    <w:rsid w:val="0044322B"/>
    <w:rsid w:val="00443240"/>
    <w:rsid w:val="0044350C"/>
    <w:rsid w:val="004435D5"/>
    <w:rsid w:val="004436B1"/>
    <w:rsid w:val="0044376B"/>
    <w:rsid w:val="00443775"/>
    <w:rsid w:val="00443935"/>
    <w:rsid w:val="00443BD7"/>
    <w:rsid w:val="00443C47"/>
    <w:rsid w:val="00443E6C"/>
    <w:rsid w:val="00443F57"/>
    <w:rsid w:val="00444443"/>
    <w:rsid w:val="00444529"/>
    <w:rsid w:val="00444540"/>
    <w:rsid w:val="004445B2"/>
    <w:rsid w:val="004445D1"/>
    <w:rsid w:val="00444780"/>
    <w:rsid w:val="00444A74"/>
    <w:rsid w:val="00444C7D"/>
    <w:rsid w:val="00444DAC"/>
    <w:rsid w:val="00444ED6"/>
    <w:rsid w:val="00444EFA"/>
    <w:rsid w:val="00444F02"/>
    <w:rsid w:val="00444F45"/>
    <w:rsid w:val="00444F5D"/>
    <w:rsid w:val="00445265"/>
    <w:rsid w:val="00445372"/>
    <w:rsid w:val="004453CB"/>
    <w:rsid w:val="004453F0"/>
    <w:rsid w:val="004454AD"/>
    <w:rsid w:val="004454DF"/>
    <w:rsid w:val="004454F6"/>
    <w:rsid w:val="004457C9"/>
    <w:rsid w:val="004458CF"/>
    <w:rsid w:val="004459D1"/>
    <w:rsid w:val="00445A32"/>
    <w:rsid w:val="00445D62"/>
    <w:rsid w:val="00445ECF"/>
    <w:rsid w:val="00445EDC"/>
    <w:rsid w:val="004460A7"/>
    <w:rsid w:val="0044627C"/>
    <w:rsid w:val="004464E9"/>
    <w:rsid w:val="004467C5"/>
    <w:rsid w:val="004468E2"/>
    <w:rsid w:val="00446998"/>
    <w:rsid w:val="00446A39"/>
    <w:rsid w:val="00446B3F"/>
    <w:rsid w:val="00446BF5"/>
    <w:rsid w:val="00446D14"/>
    <w:rsid w:val="00446DB7"/>
    <w:rsid w:val="004471FA"/>
    <w:rsid w:val="00447210"/>
    <w:rsid w:val="00447752"/>
    <w:rsid w:val="004478BD"/>
    <w:rsid w:val="00447B73"/>
    <w:rsid w:val="00447D17"/>
    <w:rsid w:val="00447E19"/>
    <w:rsid w:val="00447E31"/>
    <w:rsid w:val="00447F40"/>
    <w:rsid w:val="00447F5B"/>
    <w:rsid w:val="00450308"/>
    <w:rsid w:val="00450696"/>
    <w:rsid w:val="00450898"/>
    <w:rsid w:val="004508D9"/>
    <w:rsid w:val="004508E0"/>
    <w:rsid w:val="004508EA"/>
    <w:rsid w:val="00450ACA"/>
    <w:rsid w:val="00450EE5"/>
    <w:rsid w:val="00451151"/>
    <w:rsid w:val="00451310"/>
    <w:rsid w:val="004514A5"/>
    <w:rsid w:val="0045156A"/>
    <w:rsid w:val="004518CF"/>
    <w:rsid w:val="00451901"/>
    <w:rsid w:val="00451BCC"/>
    <w:rsid w:val="00451C45"/>
    <w:rsid w:val="00451DDC"/>
    <w:rsid w:val="00451E1B"/>
    <w:rsid w:val="00451E4E"/>
    <w:rsid w:val="00451FE7"/>
    <w:rsid w:val="00452058"/>
    <w:rsid w:val="00452144"/>
    <w:rsid w:val="004523B5"/>
    <w:rsid w:val="0045259F"/>
    <w:rsid w:val="004528E6"/>
    <w:rsid w:val="00452A02"/>
    <w:rsid w:val="00452A36"/>
    <w:rsid w:val="00452B34"/>
    <w:rsid w:val="00452B7E"/>
    <w:rsid w:val="0045314C"/>
    <w:rsid w:val="0045375F"/>
    <w:rsid w:val="0045386A"/>
    <w:rsid w:val="004539CD"/>
    <w:rsid w:val="00453B2E"/>
    <w:rsid w:val="00453CBC"/>
    <w:rsid w:val="00453D0C"/>
    <w:rsid w:val="00453F0E"/>
    <w:rsid w:val="004542AC"/>
    <w:rsid w:val="00454361"/>
    <w:rsid w:val="00454506"/>
    <w:rsid w:val="00454583"/>
    <w:rsid w:val="00454629"/>
    <w:rsid w:val="004547C1"/>
    <w:rsid w:val="00454A49"/>
    <w:rsid w:val="00454E95"/>
    <w:rsid w:val="00454EB4"/>
    <w:rsid w:val="0045530C"/>
    <w:rsid w:val="004557E6"/>
    <w:rsid w:val="004559AB"/>
    <w:rsid w:val="004559CE"/>
    <w:rsid w:val="004559E0"/>
    <w:rsid w:val="00455A86"/>
    <w:rsid w:val="00455AFC"/>
    <w:rsid w:val="00455BA6"/>
    <w:rsid w:val="00455D5D"/>
    <w:rsid w:val="00456274"/>
    <w:rsid w:val="004563F0"/>
    <w:rsid w:val="0045657B"/>
    <w:rsid w:val="0045662F"/>
    <w:rsid w:val="00456769"/>
    <w:rsid w:val="004567B2"/>
    <w:rsid w:val="0045693C"/>
    <w:rsid w:val="00456AA7"/>
    <w:rsid w:val="00456BBB"/>
    <w:rsid w:val="00456C67"/>
    <w:rsid w:val="00456F6F"/>
    <w:rsid w:val="00456FAD"/>
    <w:rsid w:val="00456FEE"/>
    <w:rsid w:val="0045701A"/>
    <w:rsid w:val="004571F5"/>
    <w:rsid w:val="00457334"/>
    <w:rsid w:val="00457425"/>
    <w:rsid w:val="004576B7"/>
    <w:rsid w:val="004576DB"/>
    <w:rsid w:val="00457948"/>
    <w:rsid w:val="00457AB3"/>
    <w:rsid w:val="00457C74"/>
    <w:rsid w:val="00457D02"/>
    <w:rsid w:val="00457F30"/>
    <w:rsid w:val="00457FB8"/>
    <w:rsid w:val="00460084"/>
    <w:rsid w:val="004600E0"/>
    <w:rsid w:val="004600EF"/>
    <w:rsid w:val="004601CA"/>
    <w:rsid w:val="004603C9"/>
    <w:rsid w:val="00460579"/>
    <w:rsid w:val="0046068A"/>
    <w:rsid w:val="00460752"/>
    <w:rsid w:val="00460A88"/>
    <w:rsid w:val="00460B22"/>
    <w:rsid w:val="00460BFD"/>
    <w:rsid w:val="00460C94"/>
    <w:rsid w:val="00460F04"/>
    <w:rsid w:val="00461075"/>
    <w:rsid w:val="00461270"/>
    <w:rsid w:val="00461352"/>
    <w:rsid w:val="00461354"/>
    <w:rsid w:val="0046143E"/>
    <w:rsid w:val="0046178C"/>
    <w:rsid w:val="00461A4C"/>
    <w:rsid w:val="00461A62"/>
    <w:rsid w:val="00461C5E"/>
    <w:rsid w:val="00461E36"/>
    <w:rsid w:val="00461E46"/>
    <w:rsid w:val="00461E74"/>
    <w:rsid w:val="00461E99"/>
    <w:rsid w:val="00461EF8"/>
    <w:rsid w:val="004621F4"/>
    <w:rsid w:val="00462204"/>
    <w:rsid w:val="00462226"/>
    <w:rsid w:val="004622CC"/>
    <w:rsid w:val="0046233F"/>
    <w:rsid w:val="0046243E"/>
    <w:rsid w:val="004627D6"/>
    <w:rsid w:val="00462968"/>
    <w:rsid w:val="00462B80"/>
    <w:rsid w:val="00462C0D"/>
    <w:rsid w:val="00462F50"/>
    <w:rsid w:val="00462FBE"/>
    <w:rsid w:val="00463251"/>
    <w:rsid w:val="004632A3"/>
    <w:rsid w:val="004632B3"/>
    <w:rsid w:val="004634EC"/>
    <w:rsid w:val="0046350F"/>
    <w:rsid w:val="004638A9"/>
    <w:rsid w:val="00463968"/>
    <w:rsid w:val="00463B05"/>
    <w:rsid w:val="00463C26"/>
    <w:rsid w:val="00463C40"/>
    <w:rsid w:val="00463C9E"/>
    <w:rsid w:val="00463EAE"/>
    <w:rsid w:val="00463F1A"/>
    <w:rsid w:val="004645C7"/>
    <w:rsid w:val="004646CE"/>
    <w:rsid w:val="004647F4"/>
    <w:rsid w:val="004648B1"/>
    <w:rsid w:val="00464D54"/>
    <w:rsid w:val="004650D9"/>
    <w:rsid w:val="004652C1"/>
    <w:rsid w:val="004653BB"/>
    <w:rsid w:val="00465436"/>
    <w:rsid w:val="004657A3"/>
    <w:rsid w:val="004658B2"/>
    <w:rsid w:val="00465BE5"/>
    <w:rsid w:val="00465CC6"/>
    <w:rsid w:val="00465DE2"/>
    <w:rsid w:val="00466070"/>
    <w:rsid w:val="00466077"/>
    <w:rsid w:val="004660AF"/>
    <w:rsid w:val="004661AB"/>
    <w:rsid w:val="0046627F"/>
    <w:rsid w:val="0046642B"/>
    <w:rsid w:val="004664DB"/>
    <w:rsid w:val="004664E4"/>
    <w:rsid w:val="0046654F"/>
    <w:rsid w:val="004666E7"/>
    <w:rsid w:val="004668AE"/>
    <w:rsid w:val="004668E2"/>
    <w:rsid w:val="00466933"/>
    <w:rsid w:val="004669D3"/>
    <w:rsid w:val="00466A79"/>
    <w:rsid w:val="00466ADF"/>
    <w:rsid w:val="00466BEE"/>
    <w:rsid w:val="00466D68"/>
    <w:rsid w:val="00466E7D"/>
    <w:rsid w:val="00466EFC"/>
    <w:rsid w:val="00466F4A"/>
    <w:rsid w:val="004671B0"/>
    <w:rsid w:val="004671CE"/>
    <w:rsid w:val="004673FA"/>
    <w:rsid w:val="00467548"/>
    <w:rsid w:val="00467716"/>
    <w:rsid w:val="00467764"/>
    <w:rsid w:val="004677D6"/>
    <w:rsid w:val="00467859"/>
    <w:rsid w:val="00467890"/>
    <w:rsid w:val="00467AB0"/>
    <w:rsid w:val="00467FA4"/>
    <w:rsid w:val="00470405"/>
    <w:rsid w:val="004707BF"/>
    <w:rsid w:val="00470B5C"/>
    <w:rsid w:val="00470D3F"/>
    <w:rsid w:val="00470D89"/>
    <w:rsid w:val="00470DA2"/>
    <w:rsid w:val="00470E6D"/>
    <w:rsid w:val="004711BD"/>
    <w:rsid w:val="00471470"/>
    <w:rsid w:val="00471474"/>
    <w:rsid w:val="0047148B"/>
    <w:rsid w:val="00471498"/>
    <w:rsid w:val="004714D4"/>
    <w:rsid w:val="00471769"/>
    <w:rsid w:val="00471A08"/>
    <w:rsid w:val="00471A1B"/>
    <w:rsid w:val="00471ACF"/>
    <w:rsid w:val="00471B31"/>
    <w:rsid w:val="00471BA8"/>
    <w:rsid w:val="00471BCB"/>
    <w:rsid w:val="00471C60"/>
    <w:rsid w:val="00471DE3"/>
    <w:rsid w:val="00471EEF"/>
    <w:rsid w:val="00471F0A"/>
    <w:rsid w:val="00471FB8"/>
    <w:rsid w:val="0047200C"/>
    <w:rsid w:val="0047207F"/>
    <w:rsid w:val="004721B6"/>
    <w:rsid w:val="00472268"/>
    <w:rsid w:val="004722A1"/>
    <w:rsid w:val="00472321"/>
    <w:rsid w:val="004724A2"/>
    <w:rsid w:val="004725A2"/>
    <w:rsid w:val="00472687"/>
    <w:rsid w:val="004726FF"/>
    <w:rsid w:val="0047275B"/>
    <w:rsid w:val="00472A01"/>
    <w:rsid w:val="00472A3A"/>
    <w:rsid w:val="00472B24"/>
    <w:rsid w:val="00472D09"/>
    <w:rsid w:val="00472F3A"/>
    <w:rsid w:val="00473278"/>
    <w:rsid w:val="004732AE"/>
    <w:rsid w:val="00473515"/>
    <w:rsid w:val="0047363C"/>
    <w:rsid w:val="004737A3"/>
    <w:rsid w:val="004737F4"/>
    <w:rsid w:val="00473B9F"/>
    <w:rsid w:val="00473CAB"/>
    <w:rsid w:val="00473FBF"/>
    <w:rsid w:val="0047400C"/>
    <w:rsid w:val="0047420D"/>
    <w:rsid w:val="00474288"/>
    <w:rsid w:val="004743E9"/>
    <w:rsid w:val="00474434"/>
    <w:rsid w:val="004744E6"/>
    <w:rsid w:val="00474532"/>
    <w:rsid w:val="0047461E"/>
    <w:rsid w:val="00474781"/>
    <w:rsid w:val="00474945"/>
    <w:rsid w:val="0047498E"/>
    <w:rsid w:val="00474BE0"/>
    <w:rsid w:val="00474D74"/>
    <w:rsid w:val="00474E28"/>
    <w:rsid w:val="004752CA"/>
    <w:rsid w:val="0047557A"/>
    <w:rsid w:val="00475595"/>
    <w:rsid w:val="00475765"/>
    <w:rsid w:val="0047593A"/>
    <w:rsid w:val="00475B7B"/>
    <w:rsid w:val="00475BA3"/>
    <w:rsid w:val="00475E23"/>
    <w:rsid w:val="00475E75"/>
    <w:rsid w:val="00475F4D"/>
    <w:rsid w:val="00476059"/>
    <w:rsid w:val="004761D5"/>
    <w:rsid w:val="00476215"/>
    <w:rsid w:val="00476290"/>
    <w:rsid w:val="004764D0"/>
    <w:rsid w:val="00476579"/>
    <w:rsid w:val="004766DF"/>
    <w:rsid w:val="00476988"/>
    <w:rsid w:val="00476A65"/>
    <w:rsid w:val="00476BE8"/>
    <w:rsid w:val="00476E08"/>
    <w:rsid w:val="00476E1B"/>
    <w:rsid w:val="00476F21"/>
    <w:rsid w:val="004770B3"/>
    <w:rsid w:val="00477194"/>
    <w:rsid w:val="004771C6"/>
    <w:rsid w:val="0047774D"/>
    <w:rsid w:val="004777A3"/>
    <w:rsid w:val="004778A8"/>
    <w:rsid w:val="004778AA"/>
    <w:rsid w:val="00477919"/>
    <w:rsid w:val="00477923"/>
    <w:rsid w:val="00477932"/>
    <w:rsid w:val="00477E68"/>
    <w:rsid w:val="00477EE4"/>
    <w:rsid w:val="00477F12"/>
    <w:rsid w:val="0048004F"/>
    <w:rsid w:val="004800E5"/>
    <w:rsid w:val="00480792"/>
    <w:rsid w:val="00480B36"/>
    <w:rsid w:val="00480D58"/>
    <w:rsid w:val="004811FE"/>
    <w:rsid w:val="0048134F"/>
    <w:rsid w:val="00481596"/>
    <w:rsid w:val="0048175B"/>
    <w:rsid w:val="00481862"/>
    <w:rsid w:val="00481869"/>
    <w:rsid w:val="0048195D"/>
    <w:rsid w:val="00481A62"/>
    <w:rsid w:val="00481C39"/>
    <w:rsid w:val="00481C8C"/>
    <w:rsid w:val="00481CD0"/>
    <w:rsid w:val="00481E47"/>
    <w:rsid w:val="00481E6C"/>
    <w:rsid w:val="0048207B"/>
    <w:rsid w:val="0048211C"/>
    <w:rsid w:val="00482346"/>
    <w:rsid w:val="004827F9"/>
    <w:rsid w:val="004828A5"/>
    <w:rsid w:val="004829DD"/>
    <w:rsid w:val="00482AD1"/>
    <w:rsid w:val="00482CB6"/>
    <w:rsid w:val="00482CC6"/>
    <w:rsid w:val="00482E64"/>
    <w:rsid w:val="00482E67"/>
    <w:rsid w:val="00482E84"/>
    <w:rsid w:val="00482EC1"/>
    <w:rsid w:val="00482FDC"/>
    <w:rsid w:val="00482FEB"/>
    <w:rsid w:val="00483049"/>
    <w:rsid w:val="00483118"/>
    <w:rsid w:val="00483356"/>
    <w:rsid w:val="0048351A"/>
    <w:rsid w:val="0048381B"/>
    <w:rsid w:val="004838AA"/>
    <w:rsid w:val="004839A6"/>
    <w:rsid w:val="00483D6C"/>
    <w:rsid w:val="004841E8"/>
    <w:rsid w:val="00484206"/>
    <w:rsid w:val="00484230"/>
    <w:rsid w:val="00484559"/>
    <w:rsid w:val="004846F5"/>
    <w:rsid w:val="004848C8"/>
    <w:rsid w:val="004848D8"/>
    <w:rsid w:val="00484AF5"/>
    <w:rsid w:val="00484C40"/>
    <w:rsid w:val="00484CDD"/>
    <w:rsid w:val="00484DE6"/>
    <w:rsid w:val="004850DD"/>
    <w:rsid w:val="0048535A"/>
    <w:rsid w:val="004853B4"/>
    <w:rsid w:val="0048570D"/>
    <w:rsid w:val="00485B4B"/>
    <w:rsid w:val="00485B7A"/>
    <w:rsid w:val="00485C55"/>
    <w:rsid w:val="00485F0F"/>
    <w:rsid w:val="004861CC"/>
    <w:rsid w:val="004861F8"/>
    <w:rsid w:val="00486A74"/>
    <w:rsid w:val="00486A8B"/>
    <w:rsid w:val="00486C61"/>
    <w:rsid w:val="00486F69"/>
    <w:rsid w:val="00486FB4"/>
    <w:rsid w:val="0048721C"/>
    <w:rsid w:val="004872E0"/>
    <w:rsid w:val="004873C7"/>
    <w:rsid w:val="0048756B"/>
    <w:rsid w:val="00487602"/>
    <w:rsid w:val="004878EB"/>
    <w:rsid w:val="0048790E"/>
    <w:rsid w:val="00487A88"/>
    <w:rsid w:val="00487A9F"/>
    <w:rsid w:val="00487B78"/>
    <w:rsid w:val="00487CFD"/>
    <w:rsid w:val="00487DFB"/>
    <w:rsid w:val="00490052"/>
    <w:rsid w:val="004904AD"/>
    <w:rsid w:val="004906C0"/>
    <w:rsid w:val="004909B8"/>
    <w:rsid w:val="00490A05"/>
    <w:rsid w:val="00490A8D"/>
    <w:rsid w:val="00490AB2"/>
    <w:rsid w:val="00490D98"/>
    <w:rsid w:val="00490F5E"/>
    <w:rsid w:val="0049107B"/>
    <w:rsid w:val="00491370"/>
    <w:rsid w:val="0049139D"/>
    <w:rsid w:val="004913DB"/>
    <w:rsid w:val="0049142E"/>
    <w:rsid w:val="00491790"/>
    <w:rsid w:val="004919BF"/>
    <w:rsid w:val="00491AD8"/>
    <w:rsid w:val="00491ED8"/>
    <w:rsid w:val="0049201D"/>
    <w:rsid w:val="0049233F"/>
    <w:rsid w:val="004923B6"/>
    <w:rsid w:val="004923E2"/>
    <w:rsid w:val="004927B1"/>
    <w:rsid w:val="004928B3"/>
    <w:rsid w:val="00492A05"/>
    <w:rsid w:val="00492AA6"/>
    <w:rsid w:val="00492CB5"/>
    <w:rsid w:val="00492F54"/>
    <w:rsid w:val="00492FCB"/>
    <w:rsid w:val="004931BA"/>
    <w:rsid w:val="004931CB"/>
    <w:rsid w:val="0049328C"/>
    <w:rsid w:val="004933A6"/>
    <w:rsid w:val="004935E4"/>
    <w:rsid w:val="0049363E"/>
    <w:rsid w:val="004936F4"/>
    <w:rsid w:val="004938D1"/>
    <w:rsid w:val="00493B05"/>
    <w:rsid w:val="00493B24"/>
    <w:rsid w:val="00493C02"/>
    <w:rsid w:val="00493C50"/>
    <w:rsid w:val="00493FEC"/>
    <w:rsid w:val="004941C7"/>
    <w:rsid w:val="00494389"/>
    <w:rsid w:val="004944CD"/>
    <w:rsid w:val="004949CA"/>
    <w:rsid w:val="00494AE4"/>
    <w:rsid w:val="00494FF7"/>
    <w:rsid w:val="004951A8"/>
    <w:rsid w:val="004951E0"/>
    <w:rsid w:val="0049524B"/>
    <w:rsid w:val="00495424"/>
    <w:rsid w:val="0049548F"/>
    <w:rsid w:val="0049550D"/>
    <w:rsid w:val="0049579F"/>
    <w:rsid w:val="00495820"/>
    <w:rsid w:val="00495828"/>
    <w:rsid w:val="00495877"/>
    <w:rsid w:val="00495B1A"/>
    <w:rsid w:val="00495B53"/>
    <w:rsid w:val="00495B65"/>
    <w:rsid w:val="00495B78"/>
    <w:rsid w:val="00495B92"/>
    <w:rsid w:val="00495F1F"/>
    <w:rsid w:val="004960A0"/>
    <w:rsid w:val="00496177"/>
    <w:rsid w:val="004961D1"/>
    <w:rsid w:val="004961F1"/>
    <w:rsid w:val="004964E0"/>
    <w:rsid w:val="004966E2"/>
    <w:rsid w:val="00496762"/>
    <w:rsid w:val="00496810"/>
    <w:rsid w:val="004968CB"/>
    <w:rsid w:val="0049698F"/>
    <w:rsid w:val="00496994"/>
    <w:rsid w:val="00496C08"/>
    <w:rsid w:val="00496CBE"/>
    <w:rsid w:val="00496D85"/>
    <w:rsid w:val="00497070"/>
    <w:rsid w:val="00497154"/>
    <w:rsid w:val="0049739C"/>
    <w:rsid w:val="004977C1"/>
    <w:rsid w:val="00497906"/>
    <w:rsid w:val="00497B01"/>
    <w:rsid w:val="00497C26"/>
    <w:rsid w:val="00497C34"/>
    <w:rsid w:val="00497FC0"/>
    <w:rsid w:val="004A029A"/>
    <w:rsid w:val="004A03A8"/>
    <w:rsid w:val="004A0488"/>
    <w:rsid w:val="004A04FD"/>
    <w:rsid w:val="004A077D"/>
    <w:rsid w:val="004A0CE1"/>
    <w:rsid w:val="004A147C"/>
    <w:rsid w:val="004A1AAF"/>
    <w:rsid w:val="004A1B4F"/>
    <w:rsid w:val="004A1BBE"/>
    <w:rsid w:val="004A1F6D"/>
    <w:rsid w:val="004A2049"/>
    <w:rsid w:val="004A21D2"/>
    <w:rsid w:val="004A2435"/>
    <w:rsid w:val="004A24AE"/>
    <w:rsid w:val="004A272A"/>
    <w:rsid w:val="004A28F0"/>
    <w:rsid w:val="004A2FCD"/>
    <w:rsid w:val="004A30D3"/>
    <w:rsid w:val="004A318E"/>
    <w:rsid w:val="004A3427"/>
    <w:rsid w:val="004A355F"/>
    <w:rsid w:val="004A379A"/>
    <w:rsid w:val="004A38A3"/>
    <w:rsid w:val="004A3A9E"/>
    <w:rsid w:val="004A3B31"/>
    <w:rsid w:val="004A3D91"/>
    <w:rsid w:val="004A3ECD"/>
    <w:rsid w:val="004A40CC"/>
    <w:rsid w:val="004A4142"/>
    <w:rsid w:val="004A419D"/>
    <w:rsid w:val="004A41FF"/>
    <w:rsid w:val="004A4208"/>
    <w:rsid w:val="004A4297"/>
    <w:rsid w:val="004A4375"/>
    <w:rsid w:val="004A44A4"/>
    <w:rsid w:val="004A44D1"/>
    <w:rsid w:val="004A4594"/>
    <w:rsid w:val="004A45D3"/>
    <w:rsid w:val="004A45F9"/>
    <w:rsid w:val="004A48F7"/>
    <w:rsid w:val="004A4956"/>
    <w:rsid w:val="004A49B8"/>
    <w:rsid w:val="004A4CCB"/>
    <w:rsid w:val="004A4E3B"/>
    <w:rsid w:val="004A50D8"/>
    <w:rsid w:val="004A5154"/>
    <w:rsid w:val="004A52E5"/>
    <w:rsid w:val="004A5385"/>
    <w:rsid w:val="004A5400"/>
    <w:rsid w:val="004A5488"/>
    <w:rsid w:val="004A54C9"/>
    <w:rsid w:val="004A556B"/>
    <w:rsid w:val="004A583F"/>
    <w:rsid w:val="004A587F"/>
    <w:rsid w:val="004A5B9D"/>
    <w:rsid w:val="004A5F3B"/>
    <w:rsid w:val="004A6075"/>
    <w:rsid w:val="004A619D"/>
    <w:rsid w:val="004A61D7"/>
    <w:rsid w:val="004A6366"/>
    <w:rsid w:val="004A69E6"/>
    <w:rsid w:val="004A6D19"/>
    <w:rsid w:val="004A6DF5"/>
    <w:rsid w:val="004A7445"/>
    <w:rsid w:val="004A7542"/>
    <w:rsid w:val="004A7BC2"/>
    <w:rsid w:val="004A7CEC"/>
    <w:rsid w:val="004B0158"/>
    <w:rsid w:val="004B03E2"/>
    <w:rsid w:val="004B041B"/>
    <w:rsid w:val="004B0476"/>
    <w:rsid w:val="004B055A"/>
    <w:rsid w:val="004B05DF"/>
    <w:rsid w:val="004B0B52"/>
    <w:rsid w:val="004B0F27"/>
    <w:rsid w:val="004B121D"/>
    <w:rsid w:val="004B12B1"/>
    <w:rsid w:val="004B13A9"/>
    <w:rsid w:val="004B13EE"/>
    <w:rsid w:val="004B1403"/>
    <w:rsid w:val="004B14D5"/>
    <w:rsid w:val="004B16EE"/>
    <w:rsid w:val="004B173B"/>
    <w:rsid w:val="004B182D"/>
    <w:rsid w:val="004B1CC0"/>
    <w:rsid w:val="004B1D57"/>
    <w:rsid w:val="004B1D6E"/>
    <w:rsid w:val="004B1E84"/>
    <w:rsid w:val="004B1F03"/>
    <w:rsid w:val="004B1F9C"/>
    <w:rsid w:val="004B2252"/>
    <w:rsid w:val="004B2441"/>
    <w:rsid w:val="004B259A"/>
    <w:rsid w:val="004B29EF"/>
    <w:rsid w:val="004B2C8B"/>
    <w:rsid w:val="004B2E46"/>
    <w:rsid w:val="004B2F32"/>
    <w:rsid w:val="004B2F8D"/>
    <w:rsid w:val="004B30BF"/>
    <w:rsid w:val="004B33BF"/>
    <w:rsid w:val="004B352B"/>
    <w:rsid w:val="004B35A1"/>
    <w:rsid w:val="004B3638"/>
    <w:rsid w:val="004B3651"/>
    <w:rsid w:val="004B36FD"/>
    <w:rsid w:val="004B371D"/>
    <w:rsid w:val="004B37E7"/>
    <w:rsid w:val="004B3808"/>
    <w:rsid w:val="004B3972"/>
    <w:rsid w:val="004B3A96"/>
    <w:rsid w:val="004B3B9D"/>
    <w:rsid w:val="004B3CAD"/>
    <w:rsid w:val="004B3CE6"/>
    <w:rsid w:val="004B3FAF"/>
    <w:rsid w:val="004B404F"/>
    <w:rsid w:val="004B40B8"/>
    <w:rsid w:val="004B4276"/>
    <w:rsid w:val="004B4509"/>
    <w:rsid w:val="004B4932"/>
    <w:rsid w:val="004B4D75"/>
    <w:rsid w:val="004B507E"/>
    <w:rsid w:val="004B5259"/>
    <w:rsid w:val="004B539B"/>
    <w:rsid w:val="004B5586"/>
    <w:rsid w:val="004B5630"/>
    <w:rsid w:val="004B5834"/>
    <w:rsid w:val="004B5957"/>
    <w:rsid w:val="004B5AE5"/>
    <w:rsid w:val="004B5CAF"/>
    <w:rsid w:val="004B5D7B"/>
    <w:rsid w:val="004B5E5A"/>
    <w:rsid w:val="004B5EA8"/>
    <w:rsid w:val="004B5F2D"/>
    <w:rsid w:val="004B5F54"/>
    <w:rsid w:val="004B60A9"/>
    <w:rsid w:val="004B63CC"/>
    <w:rsid w:val="004B6492"/>
    <w:rsid w:val="004B659E"/>
    <w:rsid w:val="004B6681"/>
    <w:rsid w:val="004B6700"/>
    <w:rsid w:val="004B69C7"/>
    <w:rsid w:val="004B6BDF"/>
    <w:rsid w:val="004B6D0F"/>
    <w:rsid w:val="004B6D92"/>
    <w:rsid w:val="004B6F20"/>
    <w:rsid w:val="004B6F79"/>
    <w:rsid w:val="004B7014"/>
    <w:rsid w:val="004B751C"/>
    <w:rsid w:val="004B7922"/>
    <w:rsid w:val="004B7948"/>
    <w:rsid w:val="004B7AA6"/>
    <w:rsid w:val="004B7C1A"/>
    <w:rsid w:val="004B7CA9"/>
    <w:rsid w:val="004B7F26"/>
    <w:rsid w:val="004C00F2"/>
    <w:rsid w:val="004C0217"/>
    <w:rsid w:val="004C0633"/>
    <w:rsid w:val="004C06EC"/>
    <w:rsid w:val="004C07B5"/>
    <w:rsid w:val="004C0856"/>
    <w:rsid w:val="004C08CF"/>
    <w:rsid w:val="004C0A51"/>
    <w:rsid w:val="004C0D12"/>
    <w:rsid w:val="004C0DAC"/>
    <w:rsid w:val="004C1130"/>
    <w:rsid w:val="004C155E"/>
    <w:rsid w:val="004C164E"/>
    <w:rsid w:val="004C1839"/>
    <w:rsid w:val="004C183E"/>
    <w:rsid w:val="004C19BD"/>
    <w:rsid w:val="004C1AFC"/>
    <w:rsid w:val="004C1BFC"/>
    <w:rsid w:val="004C1DBC"/>
    <w:rsid w:val="004C247C"/>
    <w:rsid w:val="004C2730"/>
    <w:rsid w:val="004C2773"/>
    <w:rsid w:val="004C294C"/>
    <w:rsid w:val="004C29FE"/>
    <w:rsid w:val="004C2DA0"/>
    <w:rsid w:val="004C2DF0"/>
    <w:rsid w:val="004C2EFF"/>
    <w:rsid w:val="004C2F60"/>
    <w:rsid w:val="004C2FEA"/>
    <w:rsid w:val="004C30CB"/>
    <w:rsid w:val="004C31B9"/>
    <w:rsid w:val="004C32CA"/>
    <w:rsid w:val="004C3404"/>
    <w:rsid w:val="004C344A"/>
    <w:rsid w:val="004C349F"/>
    <w:rsid w:val="004C3511"/>
    <w:rsid w:val="004C36E4"/>
    <w:rsid w:val="004C3787"/>
    <w:rsid w:val="004C386E"/>
    <w:rsid w:val="004C389B"/>
    <w:rsid w:val="004C38A8"/>
    <w:rsid w:val="004C38F2"/>
    <w:rsid w:val="004C399D"/>
    <w:rsid w:val="004C3A54"/>
    <w:rsid w:val="004C3B23"/>
    <w:rsid w:val="004C3BB3"/>
    <w:rsid w:val="004C3C2D"/>
    <w:rsid w:val="004C3FF2"/>
    <w:rsid w:val="004C426A"/>
    <w:rsid w:val="004C448B"/>
    <w:rsid w:val="004C44B3"/>
    <w:rsid w:val="004C45DF"/>
    <w:rsid w:val="004C491A"/>
    <w:rsid w:val="004C4DAA"/>
    <w:rsid w:val="004C4DB8"/>
    <w:rsid w:val="004C4FE3"/>
    <w:rsid w:val="004C5026"/>
    <w:rsid w:val="004C53CA"/>
    <w:rsid w:val="004C54A1"/>
    <w:rsid w:val="004C57FB"/>
    <w:rsid w:val="004C57FD"/>
    <w:rsid w:val="004C5BFD"/>
    <w:rsid w:val="004C5E68"/>
    <w:rsid w:val="004C5F53"/>
    <w:rsid w:val="004C6054"/>
    <w:rsid w:val="004C6070"/>
    <w:rsid w:val="004C623B"/>
    <w:rsid w:val="004C64ED"/>
    <w:rsid w:val="004C6676"/>
    <w:rsid w:val="004C66B8"/>
    <w:rsid w:val="004C66F7"/>
    <w:rsid w:val="004C6734"/>
    <w:rsid w:val="004C69D3"/>
    <w:rsid w:val="004C6A33"/>
    <w:rsid w:val="004C6AC6"/>
    <w:rsid w:val="004C6C5D"/>
    <w:rsid w:val="004C6DFB"/>
    <w:rsid w:val="004C7312"/>
    <w:rsid w:val="004C742E"/>
    <w:rsid w:val="004C75AB"/>
    <w:rsid w:val="004C760F"/>
    <w:rsid w:val="004C7628"/>
    <w:rsid w:val="004C768D"/>
    <w:rsid w:val="004C799E"/>
    <w:rsid w:val="004C7B85"/>
    <w:rsid w:val="004C7DED"/>
    <w:rsid w:val="004C7F17"/>
    <w:rsid w:val="004D021F"/>
    <w:rsid w:val="004D032E"/>
    <w:rsid w:val="004D0703"/>
    <w:rsid w:val="004D07B3"/>
    <w:rsid w:val="004D08F1"/>
    <w:rsid w:val="004D091F"/>
    <w:rsid w:val="004D0B94"/>
    <w:rsid w:val="004D0BDD"/>
    <w:rsid w:val="004D13C3"/>
    <w:rsid w:val="004D1828"/>
    <w:rsid w:val="004D1A07"/>
    <w:rsid w:val="004D1A1E"/>
    <w:rsid w:val="004D1F2F"/>
    <w:rsid w:val="004D1F95"/>
    <w:rsid w:val="004D1F9F"/>
    <w:rsid w:val="004D20DB"/>
    <w:rsid w:val="004D2478"/>
    <w:rsid w:val="004D2637"/>
    <w:rsid w:val="004D26EA"/>
    <w:rsid w:val="004D2710"/>
    <w:rsid w:val="004D278D"/>
    <w:rsid w:val="004D2819"/>
    <w:rsid w:val="004D2925"/>
    <w:rsid w:val="004D2A7F"/>
    <w:rsid w:val="004D2B60"/>
    <w:rsid w:val="004D2B7A"/>
    <w:rsid w:val="004D2F5F"/>
    <w:rsid w:val="004D30C0"/>
    <w:rsid w:val="004D30D9"/>
    <w:rsid w:val="004D3104"/>
    <w:rsid w:val="004D33CF"/>
    <w:rsid w:val="004D3450"/>
    <w:rsid w:val="004D348C"/>
    <w:rsid w:val="004D34D3"/>
    <w:rsid w:val="004D3593"/>
    <w:rsid w:val="004D36BF"/>
    <w:rsid w:val="004D37DB"/>
    <w:rsid w:val="004D3864"/>
    <w:rsid w:val="004D39E0"/>
    <w:rsid w:val="004D3A1A"/>
    <w:rsid w:val="004D3A28"/>
    <w:rsid w:val="004D3C84"/>
    <w:rsid w:val="004D3EAF"/>
    <w:rsid w:val="004D3EDE"/>
    <w:rsid w:val="004D3FA4"/>
    <w:rsid w:val="004D400B"/>
    <w:rsid w:val="004D41CE"/>
    <w:rsid w:val="004D423C"/>
    <w:rsid w:val="004D46CB"/>
    <w:rsid w:val="004D4907"/>
    <w:rsid w:val="004D4D34"/>
    <w:rsid w:val="004D4D86"/>
    <w:rsid w:val="004D4F60"/>
    <w:rsid w:val="004D50D0"/>
    <w:rsid w:val="004D5119"/>
    <w:rsid w:val="004D5222"/>
    <w:rsid w:val="004D53CE"/>
    <w:rsid w:val="004D5488"/>
    <w:rsid w:val="004D54FE"/>
    <w:rsid w:val="004D5679"/>
    <w:rsid w:val="004D577E"/>
    <w:rsid w:val="004D5CB8"/>
    <w:rsid w:val="004D5E52"/>
    <w:rsid w:val="004D5EC4"/>
    <w:rsid w:val="004D5FCD"/>
    <w:rsid w:val="004D613C"/>
    <w:rsid w:val="004D6224"/>
    <w:rsid w:val="004D6229"/>
    <w:rsid w:val="004D6456"/>
    <w:rsid w:val="004D6848"/>
    <w:rsid w:val="004D6A86"/>
    <w:rsid w:val="004D6B18"/>
    <w:rsid w:val="004D6FCF"/>
    <w:rsid w:val="004D7090"/>
    <w:rsid w:val="004D7366"/>
    <w:rsid w:val="004D743A"/>
    <w:rsid w:val="004D747A"/>
    <w:rsid w:val="004D747B"/>
    <w:rsid w:val="004D74B3"/>
    <w:rsid w:val="004D76D9"/>
    <w:rsid w:val="004D7792"/>
    <w:rsid w:val="004D78A2"/>
    <w:rsid w:val="004D7A1A"/>
    <w:rsid w:val="004D7AA7"/>
    <w:rsid w:val="004D7C69"/>
    <w:rsid w:val="004D7C7B"/>
    <w:rsid w:val="004D7DF8"/>
    <w:rsid w:val="004D7E18"/>
    <w:rsid w:val="004E0606"/>
    <w:rsid w:val="004E070E"/>
    <w:rsid w:val="004E0781"/>
    <w:rsid w:val="004E0C1E"/>
    <w:rsid w:val="004E0ECE"/>
    <w:rsid w:val="004E10EB"/>
    <w:rsid w:val="004E126E"/>
    <w:rsid w:val="004E1487"/>
    <w:rsid w:val="004E1553"/>
    <w:rsid w:val="004E15B4"/>
    <w:rsid w:val="004E1607"/>
    <w:rsid w:val="004E1783"/>
    <w:rsid w:val="004E1801"/>
    <w:rsid w:val="004E182B"/>
    <w:rsid w:val="004E1869"/>
    <w:rsid w:val="004E1B82"/>
    <w:rsid w:val="004E1C01"/>
    <w:rsid w:val="004E1CBB"/>
    <w:rsid w:val="004E2065"/>
    <w:rsid w:val="004E21C1"/>
    <w:rsid w:val="004E2534"/>
    <w:rsid w:val="004E2591"/>
    <w:rsid w:val="004E26C6"/>
    <w:rsid w:val="004E2998"/>
    <w:rsid w:val="004E2BC6"/>
    <w:rsid w:val="004E2F3D"/>
    <w:rsid w:val="004E3071"/>
    <w:rsid w:val="004E3321"/>
    <w:rsid w:val="004E335C"/>
    <w:rsid w:val="004E3362"/>
    <w:rsid w:val="004E3389"/>
    <w:rsid w:val="004E33BA"/>
    <w:rsid w:val="004E33CB"/>
    <w:rsid w:val="004E347C"/>
    <w:rsid w:val="004E3491"/>
    <w:rsid w:val="004E34CB"/>
    <w:rsid w:val="004E3518"/>
    <w:rsid w:val="004E376E"/>
    <w:rsid w:val="004E37B6"/>
    <w:rsid w:val="004E3ADC"/>
    <w:rsid w:val="004E3CAE"/>
    <w:rsid w:val="004E3D4D"/>
    <w:rsid w:val="004E3DB8"/>
    <w:rsid w:val="004E3DC9"/>
    <w:rsid w:val="004E4360"/>
    <w:rsid w:val="004E4BAD"/>
    <w:rsid w:val="004E4BB6"/>
    <w:rsid w:val="004E4BE1"/>
    <w:rsid w:val="004E5169"/>
    <w:rsid w:val="004E51E8"/>
    <w:rsid w:val="004E5584"/>
    <w:rsid w:val="004E57E4"/>
    <w:rsid w:val="004E592F"/>
    <w:rsid w:val="004E5A4B"/>
    <w:rsid w:val="004E5B57"/>
    <w:rsid w:val="004E5ED7"/>
    <w:rsid w:val="004E5F3E"/>
    <w:rsid w:val="004E6148"/>
    <w:rsid w:val="004E630E"/>
    <w:rsid w:val="004E649C"/>
    <w:rsid w:val="004E6524"/>
    <w:rsid w:val="004E6F48"/>
    <w:rsid w:val="004E70CE"/>
    <w:rsid w:val="004E7189"/>
    <w:rsid w:val="004E7270"/>
    <w:rsid w:val="004E76AE"/>
    <w:rsid w:val="004E7791"/>
    <w:rsid w:val="004E77AE"/>
    <w:rsid w:val="004E77F1"/>
    <w:rsid w:val="004E7875"/>
    <w:rsid w:val="004E7B32"/>
    <w:rsid w:val="004E7C72"/>
    <w:rsid w:val="004E7F9C"/>
    <w:rsid w:val="004F04B4"/>
    <w:rsid w:val="004F05B6"/>
    <w:rsid w:val="004F0642"/>
    <w:rsid w:val="004F0717"/>
    <w:rsid w:val="004F07B2"/>
    <w:rsid w:val="004F07D9"/>
    <w:rsid w:val="004F07E9"/>
    <w:rsid w:val="004F0BED"/>
    <w:rsid w:val="004F0C55"/>
    <w:rsid w:val="004F0CC1"/>
    <w:rsid w:val="004F1164"/>
    <w:rsid w:val="004F12B5"/>
    <w:rsid w:val="004F13D5"/>
    <w:rsid w:val="004F14D7"/>
    <w:rsid w:val="004F1594"/>
    <w:rsid w:val="004F1839"/>
    <w:rsid w:val="004F18EE"/>
    <w:rsid w:val="004F1971"/>
    <w:rsid w:val="004F19EA"/>
    <w:rsid w:val="004F1F0C"/>
    <w:rsid w:val="004F1F35"/>
    <w:rsid w:val="004F2383"/>
    <w:rsid w:val="004F244B"/>
    <w:rsid w:val="004F24F9"/>
    <w:rsid w:val="004F2655"/>
    <w:rsid w:val="004F27CA"/>
    <w:rsid w:val="004F27FD"/>
    <w:rsid w:val="004F28CA"/>
    <w:rsid w:val="004F299D"/>
    <w:rsid w:val="004F2AAC"/>
    <w:rsid w:val="004F2B19"/>
    <w:rsid w:val="004F2B5D"/>
    <w:rsid w:val="004F2C1E"/>
    <w:rsid w:val="004F2C38"/>
    <w:rsid w:val="004F2EDB"/>
    <w:rsid w:val="004F333C"/>
    <w:rsid w:val="004F33C6"/>
    <w:rsid w:val="004F3453"/>
    <w:rsid w:val="004F354E"/>
    <w:rsid w:val="004F372F"/>
    <w:rsid w:val="004F3960"/>
    <w:rsid w:val="004F39B8"/>
    <w:rsid w:val="004F3A80"/>
    <w:rsid w:val="004F3C20"/>
    <w:rsid w:val="004F3CDB"/>
    <w:rsid w:val="004F3E48"/>
    <w:rsid w:val="004F3F9D"/>
    <w:rsid w:val="004F40CB"/>
    <w:rsid w:val="004F41CE"/>
    <w:rsid w:val="004F43D3"/>
    <w:rsid w:val="004F461A"/>
    <w:rsid w:val="004F483D"/>
    <w:rsid w:val="004F4898"/>
    <w:rsid w:val="004F4A63"/>
    <w:rsid w:val="004F4B21"/>
    <w:rsid w:val="004F4B90"/>
    <w:rsid w:val="004F4DC5"/>
    <w:rsid w:val="004F504A"/>
    <w:rsid w:val="004F53E8"/>
    <w:rsid w:val="004F5546"/>
    <w:rsid w:val="004F5684"/>
    <w:rsid w:val="004F5AE8"/>
    <w:rsid w:val="004F5C41"/>
    <w:rsid w:val="004F5D12"/>
    <w:rsid w:val="004F5D78"/>
    <w:rsid w:val="004F5FAD"/>
    <w:rsid w:val="004F6056"/>
    <w:rsid w:val="004F60EB"/>
    <w:rsid w:val="004F6646"/>
    <w:rsid w:val="004F6732"/>
    <w:rsid w:val="004F67C7"/>
    <w:rsid w:val="004F6836"/>
    <w:rsid w:val="004F6914"/>
    <w:rsid w:val="004F6A4F"/>
    <w:rsid w:val="004F6B10"/>
    <w:rsid w:val="004F6B77"/>
    <w:rsid w:val="004F6C59"/>
    <w:rsid w:val="004F6C93"/>
    <w:rsid w:val="004F6DF4"/>
    <w:rsid w:val="004F6E74"/>
    <w:rsid w:val="004F6ED4"/>
    <w:rsid w:val="004F7028"/>
    <w:rsid w:val="004F7101"/>
    <w:rsid w:val="004F7461"/>
    <w:rsid w:val="004F77A7"/>
    <w:rsid w:val="004F7801"/>
    <w:rsid w:val="004F78B3"/>
    <w:rsid w:val="004F7A11"/>
    <w:rsid w:val="004F7A9C"/>
    <w:rsid w:val="004F7B93"/>
    <w:rsid w:val="004F7CF7"/>
    <w:rsid w:val="004F7E9F"/>
    <w:rsid w:val="004F7EC4"/>
    <w:rsid w:val="0050024A"/>
    <w:rsid w:val="00500288"/>
    <w:rsid w:val="0050036C"/>
    <w:rsid w:val="005004F4"/>
    <w:rsid w:val="005005E3"/>
    <w:rsid w:val="005007B8"/>
    <w:rsid w:val="005007C0"/>
    <w:rsid w:val="005008C5"/>
    <w:rsid w:val="0050090A"/>
    <w:rsid w:val="00500AD4"/>
    <w:rsid w:val="00500EF4"/>
    <w:rsid w:val="0050100C"/>
    <w:rsid w:val="00501067"/>
    <w:rsid w:val="00501926"/>
    <w:rsid w:val="005019B3"/>
    <w:rsid w:val="00501AE9"/>
    <w:rsid w:val="00502234"/>
    <w:rsid w:val="00502282"/>
    <w:rsid w:val="005022DD"/>
    <w:rsid w:val="005025A0"/>
    <w:rsid w:val="005025AD"/>
    <w:rsid w:val="00502610"/>
    <w:rsid w:val="00502665"/>
    <w:rsid w:val="0050297C"/>
    <w:rsid w:val="005029CC"/>
    <w:rsid w:val="00502B57"/>
    <w:rsid w:val="00502F8D"/>
    <w:rsid w:val="0050308C"/>
    <w:rsid w:val="005030F7"/>
    <w:rsid w:val="005033DD"/>
    <w:rsid w:val="005034AE"/>
    <w:rsid w:val="00503521"/>
    <w:rsid w:val="00503561"/>
    <w:rsid w:val="005038D4"/>
    <w:rsid w:val="00503C4F"/>
    <w:rsid w:val="00503C52"/>
    <w:rsid w:val="00503CFC"/>
    <w:rsid w:val="00503D8A"/>
    <w:rsid w:val="00503E37"/>
    <w:rsid w:val="00503E47"/>
    <w:rsid w:val="00503EAE"/>
    <w:rsid w:val="00504088"/>
    <w:rsid w:val="005040D8"/>
    <w:rsid w:val="005046A8"/>
    <w:rsid w:val="0050476F"/>
    <w:rsid w:val="00504825"/>
    <w:rsid w:val="0050497F"/>
    <w:rsid w:val="005049C1"/>
    <w:rsid w:val="00504C26"/>
    <w:rsid w:val="00504C8C"/>
    <w:rsid w:val="005050EB"/>
    <w:rsid w:val="00505543"/>
    <w:rsid w:val="00505A9C"/>
    <w:rsid w:val="00505B56"/>
    <w:rsid w:val="00505CB9"/>
    <w:rsid w:val="00505FE2"/>
    <w:rsid w:val="00506030"/>
    <w:rsid w:val="005060BA"/>
    <w:rsid w:val="0050616B"/>
    <w:rsid w:val="0050618D"/>
    <w:rsid w:val="005064E4"/>
    <w:rsid w:val="0050650B"/>
    <w:rsid w:val="0050676E"/>
    <w:rsid w:val="00506B28"/>
    <w:rsid w:val="00506BC3"/>
    <w:rsid w:val="00506ED3"/>
    <w:rsid w:val="00506F9D"/>
    <w:rsid w:val="00506FC0"/>
    <w:rsid w:val="00507447"/>
    <w:rsid w:val="005074FA"/>
    <w:rsid w:val="005076F4"/>
    <w:rsid w:val="00507A24"/>
    <w:rsid w:val="00507DE1"/>
    <w:rsid w:val="00507EFD"/>
    <w:rsid w:val="00510019"/>
    <w:rsid w:val="0051036B"/>
    <w:rsid w:val="00510553"/>
    <w:rsid w:val="0051063C"/>
    <w:rsid w:val="0051067E"/>
    <w:rsid w:val="005106AF"/>
    <w:rsid w:val="0051075D"/>
    <w:rsid w:val="005107C2"/>
    <w:rsid w:val="005108A5"/>
    <w:rsid w:val="00510A86"/>
    <w:rsid w:val="00510BB7"/>
    <w:rsid w:val="00510BE5"/>
    <w:rsid w:val="00510D18"/>
    <w:rsid w:val="00510E5B"/>
    <w:rsid w:val="00510F29"/>
    <w:rsid w:val="00510FA1"/>
    <w:rsid w:val="00511073"/>
    <w:rsid w:val="005110D1"/>
    <w:rsid w:val="0051113F"/>
    <w:rsid w:val="005111B9"/>
    <w:rsid w:val="005112B4"/>
    <w:rsid w:val="00511331"/>
    <w:rsid w:val="0051138C"/>
    <w:rsid w:val="005114EE"/>
    <w:rsid w:val="005115D9"/>
    <w:rsid w:val="00511668"/>
    <w:rsid w:val="005117A0"/>
    <w:rsid w:val="00511A15"/>
    <w:rsid w:val="00511E99"/>
    <w:rsid w:val="00511FC6"/>
    <w:rsid w:val="0051212A"/>
    <w:rsid w:val="0051216D"/>
    <w:rsid w:val="0051226E"/>
    <w:rsid w:val="005125A2"/>
    <w:rsid w:val="0051262F"/>
    <w:rsid w:val="00512753"/>
    <w:rsid w:val="0051289B"/>
    <w:rsid w:val="005129E5"/>
    <w:rsid w:val="00512D31"/>
    <w:rsid w:val="00512E2E"/>
    <w:rsid w:val="00512E4D"/>
    <w:rsid w:val="00512EA7"/>
    <w:rsid w:val="00512ECE"/>
    <w:rsid w:val="00512F43"/>
    <w:rsid w:val="00512FA5"/>
    <w:rsid w:val="005132FD"/>
    <w:rsid w:val="00513574"/>
    <w:rsid w:val="005136EF"/>
    <w:rsid w:val="00513718"/>
    <w:rsid w:val="00513819"/>
    <w:rsid w:val="00513ACE"/>
    <w:rsid w:val="00513B5E"/>
    <w:rsid w:val="00513B62"/>
    <w:rsid w:val="00513BFF"/>
    <w:rsid w:val="00513C87"/>
    <w:rsid w:val="00513C9B"/>
    <w:rsid w:val="00513CE1"/>
    <w:rsid w:val="00513DEE"/>
    <w:rsid w:val="00514263"/>
    <w:rsid w:val="005143FC"/>
    <w:rsid w:val="0051450C"/>
    <w:rsid w:val="00514674"/>
    <w:rsid w:val="00514809"/>
    <w:rsid w:val="0051499B"/>
    <w:rsid w:val="00514C13"/>
    <w:rsid w:val="00514CB7"/>
    <w:rsid w:val="0051503B"/>
    <w:rsid w:val="00515213"/>
    <w:rsid w:val="0051529F"/>
    <w:rsid w:val="0051537D"/>
    <w:rsid w:val="00515499"/>
    <w:rsid w:val="00515938"/>
    <w:rsid w:val="00515F21"/>
    <w:rsid w:val="00516208"/>
    <w:rsid w:val="005162B9"/>
    <w:rsid w:val="0051662F"/>
    <w:rsid w:val="00516785"/>
    <w:rsid w:val="0051699A"/>
    <w:rsid w:val="00516A05"/>
    <w:rsid w:val="00516D87"/>
    <w:rsid w:val="00516E5D"/>
    <w:rsid w:val="00517077"/>
    <w:rsid w:val="005170B0"/>
    <w:rsid w:val="005170C3"/>
    <w:rsid w:val="005170F2"/>
    <w:rsid w:val="00517343"/>
    <w:rsid w:val="00517375"/>
    <w:rsid w:val="005173AB"/>
    <w:rsid w:val="0051768C"/>
    <w:rsid w:val="00517A27"/>
    <w:rsid w:val="00517B31"/>
    <w:rsid w:val="00517CCF"/>
    <w:rsid w:val="00517CD5"/>
    <w:rsid w:val="00517CEB"/>
    <w:rsid w:val="00517D05"/>
    <w:rsid w:val="00517EE7"/>
    <w:rsid w:val="00517F44"/>
    <w:rsid w:val="00517FE3"/>
    <w:rsid w:val="00520169"/>
    <w:rsid w:val="00520300"/>
    <w:rsid w:val="005204A7"/>
    <w:rsid w:val="0052059B"/>
    <w:rsid w:val="00520611"/>
    <w:rsid w:val="00520757"/>
    <w:rsid w:val="00520836"/>
    <w:rsid w:val="005208BC"/>
    <w:rsid w:val="00520CEA"/>
    <w:rsid w:val="00520D1D"/>
    <w:rsid w:val="00520F1B"/>
    <w:rsid w:val="00520F37"/>
    <w:rsid w:val="00521095"/>
    <w:rsid w:val="005212F2"/>
    <w:rsid w:val="00521494"/>
    <w:rsid w:val="0052158A"/>
    <w:rsid w:val="0052177D"/>
    <w:rsid w:val="00521E84"/>
    <w:rsid w:val="005223F1"/>
    <w:rsid w:val="005225FA"/>
    <w:rsid w:val="005228C8"/>
    <w:rsid w:val="00522C41"/>
    <w:rsid w:val="00522D3D"/>
    <w:rsid w:val="00523006"/>
    <w:rsid w:val="00523042"/>
    <w:rsid w:val="005234CD"/>
    <w:rsid w:val="00523880"/>
    <w:rsid w:val="00523994"/>
    <w:rsid w:val="00523A8F"/>
    <w:rsid w:val="00523CF6"/>
    <w:rsid w:val="00523D0B"/>
    <w:rsid w:val="00523DCA"/>
    <w:rsid w:val="0052406D"/>
    <w:rsid w:val="0052419D"/>
    <w:rsid w:val="005241C5"/>
    <w:rsid w:val="005241D1"/>
    <w:rsid w:val="005244DC"/>
    <w:rsid w:val="00524653"/>
    <w:rsid w:val="00524919"/>
    <w:rsid w:val="00524ACD"/>
    <w:rsid w:val="00524DE9"/>
    <w:rsid w:val="00525067"/>
    <w:rsid w:val="00525098"/>
    <w:rsid w:val="0052512C"/>
    <w:rsid w:val="00525483"/>
    <w:rsid w:val="00525849"/>
    <w:rsid w:val="00525A3C"/>
    <w:rsid w:val="00525C2D"/>
    <w:rsid w:val="00525D8A"/>
    <w:rsid w:val="00525E11"/>
    <w:rsid w:val="005261AE"/>
    <w:rsid w:val="0052622D"/>
    <w:rsid w:val="005262A3"/>
    <w:rsid w:val="0052662B"/>
    <w:rsid w:val="00526666"/>
    <w:rsid w:val="0052677F"/>
    <w:rsid w:val="00526844"/>
    <w:rsid w:val="005268F4"/>
    <w:rsid w:val="00526A25"/>
    <w:rsid w:val="00526A91"/>
    <w:rsid w:val="00526BF0"/>
    <w:rsid w:val="00526CF4"/>
    <w:rsid w:val="00526F02"/>
    <w:rsid w:val="00526FBA"/>
    <w:rsid w:val="0052716D"/>
    <w:rsid w:val="00527343"/>
    <w:rsid w:val="00527370"/>
    <w:rsid w:val="005274B7"/>
    <w:rsid w:val="00527632"/>
    <w:rsid w:val="005276A5"/>
    <w:rsid w:val="005278C5"/>
    <w:rsid w:val="00527A66"/>
    <w:rsid w:val="00527BAC"/>
    <w:rsid w:val="00527E5A"/>
    <w:rsid w:val="00527E68"/>
    <w:rsid w:val="00527F16"/>
    <w:rsid w:val="00530171"/>
    <w:rsid w:val="005301F8"/>
    <w:rsid w:val="00530443"/>
    <w:rsid w:val="00530534"/>
    <w:rsid w:val="00530570"/>
    <w:rsid w:val="00530594"/>
    <w:rsid w:val="00530653"/>
    <w:rsid w:val="0053076C"/>
    <w:rsid w:val="00530A0B"/>
    <w:rsid w:val="00530A4B"/>
    <w:rsid w:val="00530B3F"/>
    <w:rsid w:val="00530BB3"/>
    <w:rsid w:val="00530C47"/>
    <w:rsid w:val="00531235"/>
    <w:rsid w:val="005312AB"/>
    <w:rsid w:val="005312FB"/>
    <w:rsid w:val="005312FC"/>
    <w:rsid w:val="005314BA"/>
    <w:rsid w:val="005315FB"/>
    <w:rsid w:val="00531735"/>
    <w:rsid w:val="005317FC"/>
    <w:rsid w:val="00531F15"/>
    <w:rsid w:val="00531FDF"/>
    <w:rsid w:val="005321E2"/>
    <w:rsid w:val="005326AC"/>
    <w:rsid w:val="005327C3"/>
    <w:rsid w:val="005327E6"/>
    <w:rsid w:val="0053293F"/>
    <w:rsid w:val="005329D8"/>
    <w:rsid w:val="00532C1F"/>
    <w:rsid w:val="00532C89"/>
    <w:rsid w:val="00532D56"/>
    <w:rsid w:val="0053308E"/>
    <w:rsid w:val="0053376B"/>
    <w:rsid w:val="0053390A"/>
    <w:rsid w:val="00533B18"/>
    <w:rsid w:val="00533B83"/>
    <w:rsid w:val="00533FD0"/>
    <w:rsid w:val="00534052"/>
    <w:rsid w:val="00534056"/>
    <w:rsid w:val="0053429B"/>
    <w:rsid w:val="0053458A"/>
    <w:rsid w:val="0053469B"/>
    <w:rsid w:val="00534827"/>
    <w:rsid w:val="00535059"/>
    <w:rsid w:val="0053524A"/>
    <w:rsid w:val="00535299"/>
    <w:rsid w:val="00535713"/>
    <w:rsid w:val="0053581B"/>
    <w:rsid w:val="005358A9"/>
    <w:rsid w:val="00535A15"/>
    <w:rsid w:val="00535A33"/>
    <w:rsid w:val="00535A57"/>
    <w:rsid w:val="00535BB8"/>
    <w:rsid w:val="00535D4C"/>
    <w:rsid w:val="00535E00"/>
    <w:rsid w:val="00535F42"/>
    <w:rsid w:val="00535FD6"/>
    <w:rsid w:val="0053603D"/>
    <w:rsid w:val="005362C8"/>
    <w:rsid w:val="005362D0"/>
    <w:rsid w:val="00536411"/>
    <w:rsid w:val="0053677A"/>
    <w:rsid w:val="005368C4"/>
    <w:rsid w:val="005368C8"/>
    <w:rsid w:val="00536E58"/>
    <w:rsid w:val="00536EA1"/>
    <w:rsid w:val="00537064"/>
    <w:rsid w:val="005370C9"/>
    <w:rsid w:val="005370E3"/>
    <w:rsid w:val="00537188"/>
    <w:rsid w:val="005371E9"/>
    <w:rsid w:val="00537836"/>
    <w:rsid w:val="00537840"/>
    <w:rsid w:val="0053799F"/>
    <w:rsid w:val="00537CDE"/>
    <w:rsid w:val="00537D07"/>
    <w:rsid w:val="00537FF0"/>
    <w:rsid w:val="00540178"/>
    <w:rsid w:val="005403A9"/>
    <w:rsid w:val="0054041D"/>
    <w:rsid w:val="00540517"/>
    <w:rsid w:val="00540656"/>
    <w:rsid w:val="005406F5"/>
    <w:rsid w:val="00540747"/>
    <w:rsid w:val="0054083A"/>
    <w:rsid w:val="00540864"/>
    <w:rsid w:val="00540888"/>
    <w:rsid w:val="00540BFB"/>
    <w:rsid w:val="00541019"/>
    <w:rsid w:val="00541023"/>
    <w:rsid w:val="00541185"/>
    <w:rsid w:val="0054122A"/>
    <w:rsid w:val="0054142D"/>
    <w:rsid w:val="005415D2"/>
    <w:rsid w:val="005417C7"/>
    <w:rsid w:val="0054199B"/>
    <w:rsid w:val="00541ACA"/>
    <w:rsid w:val="00541B8D"/>
    <w:rsid w:val="00541DB3"/>
    <w:rsid w:val="00541EC6"/>
    <w:rsid w:val="005422FD"/>
    <w:rsid w:val="00542389"/>
    <w:rsid w:val="005423B4"/>
    <w:rsid w:val="0054243B"/>
    <w:rsid w:val="0054254A"/>
    <w:rsid w:val="00542850"/>
    <w:rsid w:val="005428CC"/>
    <w:rsid w:val="0054291A"/>
    <w:rsid w:val="00542AB5"/>
    <w:rsid w:val="00542C73"/>
    <w:rsid w:val="00542D62"/>
    <w:rsid w:val="0054356C"/>
    <w:rsid w:val="00543897"/>
    <w:rsid w:val="005438E2"/>
    <w:rsid w:val="005439EB"/>
    <w:rsid w:val="00543AF7"/>
    <w:rsid w:val="00543CBF"/>
    <w:rsid w:val="00543DEB"/>
    <w:rsid w:val="00544004"/>
    <w:rsid w:val="005440B7"/>
    <w:rsid w:val="0054491D"/>
    <w:rsid w:val="00544A56"/>
    <w:rsid w:val="00544AD0"/>
    <w:rsid w:val="00544BDA"/>
    <w:rsid w:val="00544BDD"/>
    <w:rsid w:val="00544F22"/>
    <w:rsid w:val="00544F2A"/>
    <w:rsid w:val="0054518F"/>
    <w:rsid w:val="00545629"/>
    <w:rsid w:val="005458A6"/>
    <w:rsid w:val="00545901"/>
    <w:rsid w:val="005459E7"/>
    <w:rsid w:val="00545BE7"/>
    <w:rsid w:val="00545EF6"/>
    <w:rsid w:val="0054600B"/>
    <w:rsid w:val="0054604A"/>
    <w:rsid w:val="005463BF"/>
    <w:rsid w:val="00546636"/>
    <w:rsid w:val="00546656"/>
    <w:rsid w:val="0054675D"/>
    <w:rsid w:val="00546900"/>
    <w:rsid w:val="00546A16"/>
    <w:rsid w:val="00546A66"/>
    <w:rsid w:val="00546C28"/>
    <w:rsid w:val="00546DC7"/>
    <w:rsid w:val="00546F0B"/>
    <w:rsid w:val="00546FC9"/>
    <w:rsid w:val="005471FF"/>
    <w:rsid w:val="005472B8"/>
    <w:rsid w:val="00547315"/>
    <w:rsid w:val="005476D5"/>
    <w:rsid w:val="005479AF"/>
    <w:rsid w:val="00547B7F"/>
    <w:rsid w:val="00547BD0"/>
    <w:rsid w:val="00547BFC"/>
    <w:rsid w:val="0055001E"/>
    <w:rsid w:val="00550223"/>
    <w:rsid w:val="00550268"/>
    <w:rsid w:val="00550393"/>
    <w:rsid w:val="00550595"/>
    <w:rsid w:val="0055061A"/>
    <w:rsid w:val="0055086C"/>
    <w:rsid w:val="0055092E"/>
    <w:rsid w:val="00550A23"/>
    <w:rsid w:val="00550BCB"/>
    <w:rsid w:val="00550C50"/>
    <w:rsid w:val="00550F8D"/>
    <w:rsid w:val="00551287"/>
    <w:rsid w:val="005512C3"/>
    <w:rsid w:val="005514B4"/>
    <w:rsid w:val="005516FA"/>
    <w:rsid w:val="00551881"/>
    <w:rsid w:val="005518D2"/>
    <w:rsid w:val="00551B38"/>
    <w:rsid w:val="00551CEF"/>
    <w:rsid w:val="00551E01"/>
    <w:rsid w:val="005520F8"/>
    <w:rsid w:val="005521E5"/>
    <w:rsid w:val="00552212"/>
    <w:rsid w:val="0055257A"/>
    <w:rsid w:val="0055283D"/>
    <w:rsid w:val="00552B81"/>
    <w:rsid w:val="005530E0"/>
    <w:rsid w:val="005532CA"/>
    <w:rsid w:val="00553436"/>
    <w:rsid w:val="00553498"/>
    <w:rsid w:val="00553559"/>
    <w:rsid w:val="005537A0"/>
    <w:rsid w:val="00553B18"/>
    <w:rsid w:val="0055412D"/>
    <w:rsid w:val="005542E4"/>
    <w:rsid w:val="005543AB"/>
    <w:rsid w:val="005543C8"/>
    <w:rsid w:val="005543DC"/>
    <w:rsid w:val="0055452C"/>
    <w:rsid w:val="00554547"/>
    <w:rsid w:val="0055457B"/>
    <w:rsid w:val="0055480A"/>
    <w:rsid w:val="005548DB"/>
    <w:rsid w:val="00554A8A"/>
    <w:rsid w:val="00554F5D"/>
    <w:rsid w:val="00554FAF"/>
    <w:rsid w:val="005551C2"/>
    <w:rsid w:val="00555612"/>
    <w:rsid w:val="0055567A"/>
    <w:rsid w:val="0055573B"/>
    <w:rsid w:val="0055593F"/>
    <w:rsid w:val="00555A08"/>
    <w:rsid w:val="00555BAA"/>
    <w:rsid w:val="00555CF2"/>
    <w:rsid w:val="00555D12"/>
    <w:rsid w:val="00555D14"/>
    <w:rsid w:val="00555EDA"/>
    <w:rsid w:val="00555FD1"/>
    <w:rsid w:val="005560C1"/>
    <w:rsid w:val="005561DA"/>
    <w:rsid w:val="005562C7"/>
    <w:rsid w:val="005562E6"/>
    <w:rsid w:val="005563D5"/>
    <w:rsid w:val="00556464"/>
    <w:rsid w:val="00556536"/>
    <w:rsid w:val="00556662"/>
    <w:rsid w:val="00556828"/>
    <w:rsid w:val="00556998"/>
    <w:rsid w:val="00556AD3"/>
    <w:rsid w:val="00556BBF"/>
    <w:rsid w:val="00556D19"/>
    <w:rsid w:val="00556DA1"/>
    <w:rsid w:val="00556F6F"/>
    <w:rsid w:val="00556FCD"/>
    <w:rsid w:val="0055709D"/>
    <w:rsid w:val="0055713F"/>
    <w:rsid w:val="00557237"/>
    <w:rsid w:val="00557643"/>
    <w:rsid w:val="005577AF"/>
    <w:rsid w:val="0055792A"/>
    <w:rsid w:val="00557C9F"/>
    <w:rsid w:val="00557D51"/>
    <w:rsid w:val="00557D9E"/>
    <w:rsid w:val="00560036"/>
    <w:rsid w:val="005600B8"/>
    <w:rsid w:val="00560107"/>
    <w:rsid w:val="005601FA"/>
    <w:rsid w:val="005604AD"/>
    <w:rsid w:val="00560694"/>
    <w:rsid w:val="005606C0"/>
    <w:rsid w:val="00560738"/>
    <w:rsid w:val="005607F4"/>
    <w:rsid w:val="00560D89"/>
    <w:rsid w:val="00560E6F"/>
    <w:rsid w:val="00560EB2"/>
    <w:rsid w:val="0056104F"/>
    <w:rsid w:val="0056113D"/>
    <w:rsid w:val="005613DA"/>
    <w:rsid w:val="00561609"/>
    <w:rsid w:val="0056162D"/>
    <w:rsid w:val="0056178D"/>
    <w:rsid w:val="00561835"/>
    <w:rsid w:val="00561854"/>
    <w:rsid w:val="0056190A"/>
    <w:rsid w:val="00561999"/>
    <w:rsid w:val="00561B63"/>
    <w:rsid w:val="00561CB0"/>
    <w:rsid w:val="00561F96"/>
    <w:rsid w:val="00562375"/>
    <w:rsid w:val="005624D0"/>
    <w:rsid w:val="00562515"/>
    <w:rsid w:val="005625AD"/>
    <w:rsid w:val="00562A8F"/>
    <w:rsid w:val="00562A97"/>
    <w:rsid w:val="00562D12"/>
    <w:rsid w:val="005631FA"/>
    <w:rsid w:val="00563296"/>
    <w:rsid w:val="00563349"/>
    <w:rsid w:val="005634F2"/>
    <w:rsid w:val="005634F7"/>
    <w:rsid w:val="0056352B"/>
    <w:rsid w:val="00563530"/>
    <w:rsid w:val="00563686"/>
    <w:rsid w:val="00563823"/>
    <w:rsid w:val="005638D9"/>
    <w:rsid w:val="00563C52"/>
    <w:rsid w:val="00563DAF"/>
    <w:rsid w:val="005640C3"/>
    <w:rsid w:val="005640FC"/>
    <w:rsid w:val="005641D1"/>
    <w:rsid w:val="0056431D"/>
    <w:rsid w:val="0056436F"/>
    <w:rsid w:val="0056460D"/>
    <w:rsid w:val="005646EA"/>
    <w:rsid w:val="0056476B"/>
    <w:rsid w:val="005647D8"/>
    <w:rsid w:val="00564967"/>
    <w:rsid w:val="00564976"/>
    <w:rsid w:val="00564F9F"/>
    <w:rsid w:val="00565001"/>
    <w:rsid w:val="00565059"/>
    <w:rsid w:val="0056525F"/>
    <w:rsid w:val="0056538A"/>
    <w:rsid w:val="00565495"/>
    <w:rsid w:val="00565639"/>
    <w:rsid w:val="005657DA"/>
    <w:rsid w:val="00565D53"/>
    <w:rsid w:val="00565D61"/>
    <w:rsid w:val="005661D7"/>
    <w:rsid w:val="00566382"/>
    <w:rsid w:val="00566528"/>
    <w:rsid w:val="0056654B"/>
    <w:rsid w:val="00566778"/>
    <w:rsid w:val="0056678F"/>
    <w:rsid w:val="005667C6"/>
    <w:rsid w:val="005669AE"/>
    <w:rsid w:val="005669CE"/>
    <w:rsid w:val="00566BA4"/>
    <w:rsid w:val="00566C4A"/>
    <w:rsid w:val="00566D7E"/>
    <w:rsid w:val="005670DB"/>
    <w:rsid w:val="0056715E"/>
    <w:rsid w:val="00567172"/>
    <w:rsid w:val="00567185"/>
    <w:rsid w:val="00567543"/>
    <w:rsid w:val="005678BE"/>
    <w:rsid w:val="00567967"/>
    <w:rsid w:val="00567E42"/>
    <w:rsid w:val="00567F1B"/>
    <w:rsid w:val="00567FA9"/>
    <w:rsid w:val="00570043"/>
    <w:rsid w:val="005700D4"/>
    <w:rsid w:val="005701FF"/>
    <w:rsid w:val="005702F9"/>
    <w:rsid w:val="005703A4"/>
    <w:rsid w:val="00570542"/>
    <w:rsid w:val="005707EB"/>
    <w:rsid w:val="005709C9"/>
    <w:rsid w:val="005709F1"/>
    <w:rsid w:val="00570BA5"/>
    <w:rsid w:val="00570C54"/>
    <w:rsid w:val="00570C68"/>
    <w:rsid w:val="00570D96"/>
    <w:rsid w:val="00570E82"/>
    <w:rsid w:val="00571076"/>
    <w:rsid w:val="00571214"/>
    <w:rsid w:val="005712D8"/>
    <w:rsid w:val="00571341"/>
    <w:rsid w:val="0057139F"/>
    <w:rsid w:val="005713FC"/>
    <w:rsid w:val="0057144A"/>
    <w:rsid w:val="00571484"/>
    <w:rsid w:val="005714FE"/>
    <w:rsid w:val="00571656"/>
    <w:rsid w:val="00571838"/>
    <w:rsid w:val="005719E5"/>
    <w:rsid w:val="005719FD"/>
    <w:rsid w:val="00571FE0"/>
    <w:rsid w:val="0057273F"/>
    <w:rsid w:val="005727BF"/>
    <w:rsid w:val="0057287B"/>
    <w:rsid w:val="00572883"/>
    <w:rsid w:val="00572928"/>
    <w:rsid w:val="00572A89"/>
    <w:rsid w:val="00572AC0"/>
    <w:rsid w:val="00572B08"/>
    <w:rsid w:val="00572BB4"/>
    <w:rsid w:val="00572D6A"/>
    <w:rsid w:val="00572D72"/>
    <w:rsid w:val="0057314E"/>
    <w:rsid w:val="005731B8"/>
    <w:rsid w:val="005734B9"/>
    <w:rsid w:val="00573709"/>
    <w:rsid w:val="005738A7"/>
    <w:rsid w:val="00573A31"/>
    <w:rsid w:val="00573E95"/>
    <w:rsid w:val="00573F56"/>
    <w:rsid w:val="00573F79"/>
    <w:rsid w:val="00573FDB"/>
    <w:rsid w:val="0057407B"/>
    <w:rsid w:val="005740A6"/>
    <w:rsid w:val="005742EB"/>
    <w:rsid w:val="00574335"/>
    <w:rsid w:val="005743B5"/>
    <w:rsid w:val="005743E7"/>
    <w:rsid w:val="00574568"/>
    <w:rsid w:val="00574655"/>
    <w:rsid w:val="0057488E"/>
    <w:rsid w:val="005748EF"/>
    <w:rsid w:val="00574B50"/>
    <w:rsid w:val="00574B64"/>
    <w:rsid w:val="00574D5C"/>
    <w:rsid w:val="00574DB7"/>
    <w:rsid w:val="00574DE4"/>
    <w:rsid w:val="00574E3D"/>
    <w:rsid w:val="00575019"/>
    <w:rsid w:val="005755DE"/>
    <w:rsid w:val="00575652"/>
    <w:rsid w:val="00575900"/>
    <w:rsid w:val="00575988"/>
    <w:rsid w:val="00575BBA"/>
    <w:rsid w:val="00575C74"/>
    <w:rsid w:val="00575CFC"/>
    <w:rsid w:val="00576053"/>
    <w:rsid w:val="00576287"/>
    <w:rsid w:val="005764C1"/>
    <w:rsid w:val="00576823"/>
    <w:rsid w:val="00576B0A"/>
    <w:rsid w:val="00576B53"/>
    <w:rsid w:val="00576B73"/>
    <w:rsid w:val="00576C6C"/>
    <w:rsid w:val="00576E38"/>
    <w:rsid w:val="00576F2C"/>
    <w:rsid w:val="00577057"/>
    <w:rsid w:val="00577069"/>
    <w:rsid w:val="00577133"/>
    <w:rsid w:val="005775FB"/>
    <w:rsid w:val="0057780F"/>
    <w:rsid w:val="00577965"/>
    <w:rsid w:val="00577ADE"/>
    <w:rsid w:val="00577C37"/>
    <w:rsid w:val="00577DEA"/>
    <w:rsid w:val="00577E8D"/>
    <w:rsid w:val="00577EE8"/>
    <w:rsid w:val="0058021D"/>
    <w:rsid w:val="00580236"/>
    <w:rsid w:val="005802B1"/>
    <w:rsid w:val="00580442"/>
    <w:rsid w:val="0058050C"/>
    <w:rsid w:val="00580668"/>
    <w:rsid w:val="00580698"/>
    <w:rsid w:val="005806F2"/>
    <w:rsid w:val="0058078A"/>
    <w:rsid w:val="00580885"/>
    <w:rsid w:val="00580AAE"/>
    <w:rsid w:val="00580FF0"/>
    <w:rsid w:val="00581028"/>
    <w:rsid w:val="005810B6"/>
    <w:rsid w:val="005812FD"/>
    <w:rsid w:val="005813CA"/>
    <w:rsid w:val="00581412"/>
    <w:rsid w:val="005815F9"/>
    <w:rsid w:val="00581A8B"/>
    <w:rsid w:val="00581B5E"/>
    <w:rsid w:val="00581C71"/>
    <w:rsid w:val="00581D74"/>
    <w:rsid w:val="00581DD2"/>
    <w:rsid w:val="00581DD4"/>
    <w:rsid w:val="00581F4E"/>
    <w:rsid w:val="00581F96"/>
    <w:rsid w:val="0058210D"/>
    <w:rsid w:val="00582316"/>
    <w:rsid w:val="00582469"/>
    <w:rsid w:val="005825C0"/>
    <w:rsid w:val="005825D0"/>
    <w:rsid w:val="00582717"/>
    <w:rsid w:val="0058298D"/>
    <w:rsid w:val="00582F8C"/>
    <w:rsid w:val="00583266"/>
    <w:rsid w:val="00583387"/>
    <w:rsid w:val="005833B4"/>
    <w:rsid w:val="00583419"/>
    <w:rsid w:val="005834C9"/>
    <w:rsid w:val="005835B1"/>
    <w:rsid w:val="00583667"/>
    <w:rsid w:val="00583EDA"/>
    <w:rsid w:val="00583F1A"/>
    <w:rsid w:val="00584159"/>
    <w:rsid w:val="00584495"/>
    <w:rsid w:val="005846BF"/>
    <w:rsid w:val="00584776"/>
    <w:rsid w:val="00584935"/>
    <w:rsid w:val="00584B5E"/>
    <w:rsid w:val="00584BA5"/>
    <w:rsid w:val="00584DC0"/>
    <w:rsid w:val="00584DF8"/>
    <w:rsid w:val="00584FF3"/>
    <w:rsid w:val="005851F2"/>
    <w:rsid w:val="005853A4"/>
    <w:rsid w:val="005855E5"/>
    <w:rsid w:val="00585734"/>
    <w:rsid w:val="005857AC"/>
    <w:rsid w:val="005857ED"/>
    <w:rsid w:val="005858DB"/>
    <w:rsid w:val="00585912"/>
    <w:rsid w:val="00585A11"/>
    <w:rsid w:val="00585ABB"/>
    <w:rsid w:val="005861E7"/>
    <w:rsid w:val="00586248"/>
    <w:rsid w:val="005862F8"/>
    <w:rsid w:val="0058631C"/>
    <w:rsid w:val="005863FF"/>
    <w:rsid w:val="005864E6"/>
    <w:rsid w:val="005868DE"/>
    <w:rsid w:val="00586963"/>
    <w:rsid w:val="00586C11"/>
    <w:rsid w:val="00586DE9"/>
    <w:rsid w:val="005870B4"/>
    <w:rsid w:val="005870F4"/>
    <w:rsid w:val="005872E7"/>
    <w:rsid w:val="005873B1"/>
    <w:rsid w:val="00587CE2"/>
    <w:rsid w:val="00587D5C"/>
    <w:rsid w:val="00590057"/>
    <w:rsid w:val="0059006B"/>
    <w:rsid w:val="00590185"/>
    <w:rsid w:val="00590206"/>
    <w:rsid w:val="0059043A"/>
    <w:rsid w:val="005905B7"/>
    <w:rsid w:val="0059062C"/>
    <w:rsid w:val="00590A3D"/>
    <w:rsid w:val="00590E49"/>
    <w:rsid w:val="00590E63"/>
    <w:rsid w:val="00591102"/>
    <w:rsid w:val="00591120"/>
    <w:rsid w:val="005914D4"/>
    <w:rsid w:val="005919A5"/>
    <w:rsid w:val="00591A4E"/>
    <w:rsid w:val="00591BE5"/>
    <w:rsid w:val="00591F72"/>
    <w:rsid w:val="00592256"/>
    <w:rsid w:val="0059238E"/>
    <w:rsid w:val="005925C4"/>
    <w:rsid w:val="00592602"/>
    <w:rsid w:val="0059274E"/>
    <w:rsid w:val="00592A43"/>
    <w:rsid w:val="00592C54"/>
    <w:rsid w:val="00592E58"/>
    <w:rsid w:val="00592EAA"/>
    <w:rsid w:val="00592ECD"/>
    <w:rsid w:val="00593218"/>
    <w:rsid w:val="00593427"/>
    <w:rsid w:val="00593617"/>
    <w:rsid w:val="00593AE1"/>
    <w:rsid w:val="00593C80"/>
    <w:rsid w:val="00593DB9"/>
    <w:rsid w:val="00593EA3"/>
    <w:rsid w:val="00593F67"/>
    <w:rsid w:val="005941A6"/>
    <w:rsid w:val="005941E4"/>
    <w:rsid w:val="005944C1"/>
    <w:rsid w:val="00594521"/>
    <w:rsid w:val="0059460E"/>
    <w:rsid w:val="0059467A"/>
    <w:rsid w:val="0059473E"/>
    <w:rsid w:val="005948F5"/>
    <w:rsid w:val="00594C6E"/>
    <w:rsid w:val="00594D73"/>
    <w:rsid w:val="005951C0"/>
    <w:rsid w:val="0059540D"/>
    <w:rsid w:val="00595545"/>
    <w:rsid w:val="0059595E"/>
    <w:rsid w:val="00595DB3"/>
    <w:rsid w:val="00595E38"/>
    <w:rsid w:val="00595F54"/>
    <w:rsid w:val="0059640B"/>
    <w:rsid w:val="00596651"/>
    <w:rsid w:val="0059665D"/>
    <w:rsid w:val="005968F8"/>
    <w:rsid w:val="00596949"/>
    <w:rsid w:val="005969B4"/>
    <w:rsid w:val="00596D03"/>
    <w:rsid w:val="00596D94"/>
    <w:rsid w:val="00596E1A"/>
    <w:rsid w:val="00596E24"/>
    <w:rsid w:val="00596E46"/>
    <w:rsid w:val="00596E4D"/>
    <w:rsid w:val="00596E6D"/>
    <w:rsid w:val="00596EB7"/>
    <w:rsid w:val="00596F3C"/>
    <w:rsid w:val="00597081"/>
    <w:rsid w:val="00597156"/>
    <w:rsid w:val="005971E3"/>
    <w:rsid w:val="0059728F"/>
    <w:rsid w:val="0059742D"/>
    <w:rsid w:val="005975A9"/>
    <w:rsid w:val="005976ED"/>
    <w:rsid w:val="005978D3"/>
    <w:rsid w:val="005979DE"/>
    <w:rsid w:val="00597A75"/>
    <w:rsid w:val="00597C64"/>
    <w:rsid w:val="00597DB3"/>
    <w:rsid w:val="005A02EA"/>
    <w:rsid w:val="005A0453"/>
    <w:rsid w:val="005A06BC"/>
    <w:rsid w:val="005A06CC"/>
    <w:rsid w:val="005A08A8"/>
    <w:rsid w:val="005A0B33"/>
    <w:rsid w:val="005A0B6F"/>
    <w:rsid w:val="005A0B70"/>
    <w:rsid w:val="005A0C10"/>
    <w:rsid w:val="005A0CC1"/>
    <w:rsid w:val="005A0D8A"/>
    <w:rsid w:val="005A0F4B"/>
    <w:rsid w:val="005A1023"/>
    <w:rsid w:val="005A10CC"/>
    <w:rsid w:val="005A1178"/>
    <w:rsid w:val="005A1716"/>
    <w:rsid w:val="005A1A37"/>
    <w:rsid w:val="005A1CA2"/>
    <w:rsid w:val="005A1CF4"/>
    <w:rsid w:val="005A1E92"/>
    <w:rsid w:val="005A2180"/>
    <w:rsid w:val="005A2408"/>
    <w:rsid w:val="005A2452"/>
    <w:rsid w:val="005A260D"/>
    <w:rsid w:val="005A2A97"/>
    <w:rsid w:val="005A2B58"/>
    <w:rsid w:val="005A2BF2"/>
    <w:rsid w:val="005A2C89"/>
    <w:rsid w:val="005A2E09"/>
    <w:rsid w:val="005A2E4E"/>
    <w:rsid w:val="005A3431"/>
    <w:rsid w:val="005A34FA"/>
    <w:rsid w:val="005A352E"/>
    <w:rsid w:val="005A38B9"/>
    <w:rsid w:val="005A3947"/>
    <w:rsid w:val="005A399A"/>
    <w:rsid w:val="005A3AA7"/>
    <w:rsid w:val="005A3B86"/>
    <w:rsid w:val="005A3D2A"/>
    <w:rsid w:val="005A3E78"/>
    <w:rsid w:val="005A3FD2"/>
    <w:rsid w:val="005A4396"/>
    <w:rsid w:val="005A45E7"/>
    <w:rsid w:val="005A4828"/>
    <w:rsid w:val="005A49A8"/>
    <w:rsid w:val="005A4A01"/>
    <w:rsid w:val="005A4AC9"/>
    <w:rsid w:val="005A4C3D"/>
    <w:rsid w:val="005A4D28"/>
    <w:rsid w:val="005A4E6A"/>
    <w:rsid w:val="005A4EEA"/>
    <w:rsid w:val="005A4EEF"/>
    <w:rsid w:val="005A4F77"/>
    <w:rsid w:val="005A5238"/>
    <w:rsid w:val="005A5368"/>
    <w:rsid w:val="005A5437"/>
    <w:rsid w:val="005A5795"/>
    <w:rsid w:val="005A583A"/>
    <w:rsid w:val="005A5843"/>
    <w:rsid w:val="005A5856"/>
    <w:rsid w:val="005A5B34"/>
    <w:rsid w:val="005A5CAA"/>
    <w:rsid w:val="005A5ED3"/>
    <w:rsid w:val="005A61C8"/>
    <w:rsid w:val="005A6238"/>
    <w:rsid w:val="005A641E"/>
    <w:rsid w:val="005A6633"/>
    <w:rsid w:val="005A68CF"/>
    <w:rsid w:val="005A6934"/>
    <w:rsid w:val="005A6DA2"/>
    <w:rsid w:val="005A6E64"/>
    <w:rsid w:val="005A6E91"/>
    <w:rsid w:val="005A6FAC"/>
    <w:rsid w:val="005A702B"/>
    <w:rsid w:val="005A7048"/>
    <w:rsid w:val="005A7086"/>
    <w:rsid w:val="005A712D"/>
    <w:rsid w:val="005A7299"/>
    <w:rsid w:val="005A73AA"/>
    <w:rsid w:val="005A74C3"/>
    <w:rsid w:val="005A74F1"/>
    <w:rsid w:val="005A778F"/>
    <w:rsid w:val="005A7A15"/>
    <w:rsid w:val="005A7D06"/>
    <w:rsid w:val="005B0476"/>
    <w:rsid w:val="005B0903"/>
    <w:rsid w:val="005B0908"/>
    <w:rsid w:val="005B0EA1"/>
    <w:rsid w:val="005B10F9"/>
    <w:rsid w:val="005B117F"/>
    <w:rsid w:val="005B11A2"/>
    <w:rsid w:val="005B1538"/>
    <w:rsid w:val="005B169D"/>
    <w:rsid w:val="005B18DA"/>
    <w:rsid w:val="005B1D67"/>
    <w:rsid w:val="005B1DA8"/>
    <w:rsid w:val="005B1DE1"/>
    <w:rsid w:val="005B1E86"/>
    <w:rsid w:val="005B2335"/>
    <w:rsid w:val="005B24D1"/>
    <w:rsid w:val="005B2564"/>
    <w:rsid w:val="005B278A"/>
    <w:rsid w:val="005B28B9"/>
    <w:rsid w:val="005B2DCD"/>
    <w:rsid w:val="005B2EED"/>
    <w:rsid w:val="005B2F13"/>
    <w:rsid w:val="005B2F9F"/>
    <w:rsid w:val="005B310B"/>
    <w:rsid w:val="005B324D"/>
    <w:rsid w:val="005B3264"/>
    <w:rsid w:val="005B38FA"/>
    <w:rsid w:val="005B3AC1"/>
    <w:rsid w:val="005B3C40"/>
    <w:rsid w:val="005B3F35"/>
    <w:rsid w:val="005B3FE2"/>
    <w:rsid w:val="005B41A3"/>
    <w:rsid w:val="005B41AA"/>
    <w:rsid w:val="005B4209"/>
    <w:rsid w:val="005B45A7"/>
    <w:rsid w:val="005B4790"/>
    <w:rsid w:val="005B4828"/>
    <w:rsid w:val="005B48A3"/>
    <w:rsid w:val="005B4943"/>
    <w:rsid w:val="005B49F1"/>
    <w:rsid w:val="005B49FB"/>
    <w:rsid w:val="005B4A16"/>
    <w:rsid w:val="005B4BF8"/>
    <w:rsid w:val="005B55AE"/>
    <w:rsid w:val="005B564F"/>
    <w:rsid w:val="005B586E"/>
    <w:rsid w:val="005B59D6"/>
    <w:rsid w:val="005B5A8A"/>
    <w:rsid w:val="005B5AD6"/>
    <w:rsid w:val="005B5AFF"/>
    <w:rsid w:val="005B5BB9"/>
    <w:rsid w:val="005B5D13"/>
    <w:rsid w:val="005B5D44"/>
    <w:rsid w:val="005B5E72"/>
    <w:rsid w:val="005B5E9D"/>
    <w:rsid w:val="005B6011"/>
    <w:rsid w:val="005B6240"/>
    <w:rsid w:val="005B62A7"/>
    <w:rsid w:val="005B64DF"/>
    <w:rsid w:val="005B6640"/>
    <w:rsid w:val="005B686B"/>
    <w:rsid w:val="005B68FA"/>
    <w:rsid w:val="005B6A09"/>
    <w:rsid w:val="005B6AD3"/>
    <w:rsid w:val="005B6DAE"/>
    <w:rsid w:val="005B6DDC"/>
    <w:rsid w:val="005B6EF7"/>
    <w:rsid w:val="005B7050"/>
    <w:rsid w:val="005B719D"/>
    <w:rsid w:val="005B71F4"/>
    <w:rsid w:val="005B740F"/>
    <w:rsid w:val="005B7473"/>
    <w:rsid w:val="005B761F"/>
    <w:rsid w:val="005B76EB"/>
    <w:rsid w:val="005B78E0"/>
    <w:rsid w:val="005B78FE"/>
    <w:rsid w:val="005B79A6"/>
    <w:rsid w:val="005B7A37"/>
    <w:rsid w:val="005B7A43"/>
    <w:rsid w:val="005B7B29"/>
    <w:rsid w:val="005B7B4C"/>
    <w:rsid w:val="005B7C0E"/>
    <w:rsid w:val="005B7E23"/>
    <w:rsid w:val="005B7F64"/>
    <w:rsid w:val="005C00A7"/>
    <w:rsid w:val="005C01FB"/>
    <w:rsid w:val="005C0219"/>
    <w:rsid w:val="005C052E"/>
    <w:rsid w:val="005C063C"/>
    <w:rsid w:val="005C0B43"/>
    <w:rsid w:val="005C0BC6"/>
    <w:rsid w:val="005C0C88"/>
    <w:rsid w:val="005C0FD7"/>
    <w:rsid w:val="005C1214"/>
    <w:rsid w:val="005C13FD"/>
    <w:rsid w:val="005C1549"/>
    <w:rsid w:val="005C1608"/>
    <w:rsid w:val="005C1954"/>
    <w:rsid w:val="005C1AA6"/>
    <w:rsid w:val="005C1E8C"/>
    <w:rsid w:val="005C1F2C"/>
    <w:rsid w:val="005C1F9D"/>
    <w:rsid w:val="005C207C"/>
    <w:rsid w:val="005C21DD"/>
    <w:rsid w:val="005C2313"/>
    <w:rsid w:val="005C2341"/>
    <w:rsid w:val="005C23FE"/>
    <w:rsid w:val="005C278F"/>
    <w:rsid w:val="005C287C"/>
    <w:rsid w:val="005C2A2C"/>
    <w:rsid w:val="005C2AEE"/>
    <w:rsid w:val="005C2B54"/>
    <w:rsid w:val="005C2C16"/>
    <w:rsid w:val="005C2F79"/>
    <w:rsid w:val="005C31D0"/>
    <w:rsid w:val="005C3923"/>
    <w:rsid w:val="005C3946"/>
    <w:rsid w:val="005C39F0"/>
    <w:rsid w:val="005C3B76"/>
    <w:rsid w:val="005C3F76"/>
    <w:rsid w:val="005C45C4"/>
    <w:rsid w:val="005C46E0"/>
    <w:rsid w:val="005C46F9"/>
    <w:rsid w:val="005C4707"/>
    <w:rsid w:val="005C47AA"/>
    <w:rsid w:val="005C49C5"/>
    <w:rsid w:val="005C4B3E"/>
    <w:rsid w:val="005C4C99"/>
    <w:rsid w:val="005C4CC8"/>
    <w:rsid w:val="005C51C6"/>
    <w:rsid w:val="005C52E0"/>
    <w:rsid w:val="005C53E1"/>
    <w:rsid w:val="005C543C"/>
    <w:rsid w:val="005C552B"/>
    <w:rsid w:val="005C55DA"/>
    <w:rsid w:val="005C5674"/>
    <w:rsid w:val="005C57EF"/>
    <w:rsid w:val="005C5C36"/>
    <w:rsid w:val="005C5E31"/>
    <w:rsid w:val="005C5E42"/>
    <w:rsid w:val="005C5F2E"/>
    <w:rsid w:val="005C5F77"/>
    <w:rsid w:val="005C5F79"/>
    <w:rsid w:val="005C60DF"/>
    <w:rsid w:val="005C6218"/>
    <w:rsid w:val="005C63A8"/>
    <w:rsid w:val="005C64AE"/>
    <w:rsid w:val="005C64E8"/>
    <w:rsid w:val="005C66D9"/>
    <w:rsid w:val="005C67F9"/>
    <w:rsid w:val="005C68C9"/>
    <w:rsid w:val="005C6913"/>
    <w:rsid w:val="005C6FEF"/>
    <w:rsid w:val="005C7128"/>
    <w:rsid w:val="005C739E"/>
    <w:rsid w:val="005C73B7"/>
    <w:rsid w:val="005C73CD"/>
    <w:rsid w:val="005C7700"/>
    <w:rsid w:val="005C7832"/>
    <w:rsid w:val="005C7963"/>
    <w:rsid w:val="005C7B52"/>
    <w:rsid w:val="005C7D6E"/>
    <w:rsid w:val="005D013A"/>
    <w:rsid w:val="005D0144"/>
    <w:rsid w:val="005D0248"/>
    <w:rsid w:val="005D0387"/>
    <w:rsid w:val="005D0493"/>
    <w:rsid w:val="005D0624"/>
    <w:rsid w:val="005D068B"/>
    <w:rsid w:val="005D0843"/>
    <w:rsid w:val="005D0956"/>
    <w:rsid w:val="005D0C53"/>
    <w:rsid w:val="005D0CC7"/>
    <w:rsid w:val="005D0EB7"/>
    <w:rsid w:val="005D1012"/>
    <w:rsid w:val="005D10D7"/>
    <w:rsid w:val="005D1134"/>
    <w:rsid w:val="005D1201"/>
    <w:rsid w:val="005D129D"/>
    <w:rsid w:val="005D1329"/>
    <w:rsid w:val="005D132A"/>
    <w:rsid w:val="005D13A3"/>
    <w:rsid w:val="005D13EE"/>
    <w:rsid w:val="005D1425"/>
    <w:rsid w:val="005D1B75"/>
    <w:rsid w:val="005D1BE1"/>
    <w:rsid w:val="005D1D85"/>
    <w:rsid w:val="005D1EF2"/>
    <w:rsid w:val="005D23AE"/>
    <w:rsid w:val="005D23CC"/>
    <w:rsid w:val="005D2411"/>
    <w:rsid w:val="005D25FB"/>
    <w:rsid w:val="005D2C9E"/>
    <w:rsid w:val="005D2D95"/>
    <w:rsid w:val="005D2E13"/>
    <w:rsid w:val="005D2E44"/>
    <w:rsid w:val="005D2E6E"/>
    <w:rsid w:val="005D2EA8"/>
    <w:rsid w:val="005D2EE6"/>
    <w:rsid w:val="005D31C3"/>
    <w:rsid w:val="005D3238"/>
    <w:rsid w:val="005D323B"/>
    <w:rsid w:val="005D3277"/>
    <w:rsid w:val="005D3465"/>
    <w:rsid w:val="005D34DC"/>
    <w:rsid w:val="005D3508"/>
    <w:rsid w:val="005D3948"/>
    <w:rsid w:val="005D3BED"/>
    <w:rsid w:val="005D3C17"/>
    <w:rsid w:val="005D3E5C"/>
    <w:rsid w:val="005D4075"/>
    <w:rsid w:val="005D4100"/>
    <w:rsid w:val="005D417B"/>
    <w:rsid w:val="005D472A"/>
    <w:rsid w:val="005D47CD"/>
    <w:rsid w:val="005D4AD9"/>
    <w:rsid w:val="005D4B9F"/>
    <w:rsid w:val="005D4BAA"/>
    <w:rsid w:val="005D506D"/>
    <w:rsid w:val="005D51D8"/>
    <w:rsid w:val="005D55DC"/>
    <w:rsid w:val="005D567D"/>
    <w:rsid w:val="005D586B"/>
    <w:rsid w:val="005D5AA7"/>
    <w:rsid w:val="005D5B39"/>
    <w:rsid w:val="005D5BDA"/>
    <w:rsid w:val="005D5C1D"/>
    <w:rsid w:val="005D5DA1"/>
    <w:rsid w:val="005D6141"/>
    <w:rsid w:val="005D62DB"/>
    <w:rsid w:val="005D62F3"/>
    <w:rsid w:val="005D63D0"/>
    <w:rsid w:val="005D693A"/>
    <w:rsid w:val="005D6986"/>
    <w:rsid w:val="005D6C35"/>
    <w:rsid w:val="005D6CD8"/>
    <w:rsid w:val="005D6DA5"/>
    <w:rsid w:val="005D6EB3"/>
    <w:rsid w:val="005D71A0"/>
    <w:rsid w:val="005D7239"/>
    <w:rsid w:val="005D73C2"/>
    <w:rsid w:val="005D7427"/>
    <w:rsid w:val="005D74C4"/>
    <w:rsid w:val="005D76E2"/>
    <w:rsid w:val="005D773C"/>
    <w:rsid w:val="005D7744"/>
    <w:rsid w:val="005D777E"/>
    <w:rsid w:val="005D78AD"/>
    <w:rsid w:val="005D7B3F"/>
    <w:rsid w:val="005D7BCD"/>
    <w:rsid w:val="005D7BE9"/>
    <w:rsid w:val="005D7D86"/>
    <w:rsid w:val="005D7FEF"/>
    <w:rsid w:val="005E01D2"/>
    <w:rsid w:val="005E01DB"/>
    <w:rsid w:val="005E02A2"/>
    <w:rsid w:val="005E02BB"/>
    <w:rsid w:val="005E03EA"/>
    <w:rsid w:val="005E0710"/>
    <w:rsid w:val="005E0741"/>
    <w:rsid w:val="005E0A9F"/>
    <w:rsid w:val="005E0AB9"/>
    <w:rsid w:val="005E0CD5"/>
    <w:rsid w:val="005E0DAF"/>
    <w:rsid w:val="005E0E5B"/>
    <w:rsid w:val="005E0EEE"/>
    <w:rsid w:val="005E11F3"/>
    <w:rsid w:val="005E12BC"/>
    <w:rsid w:val="005E15D4"/>
    <w:rsid w:val="005E185C"/>
    <w:rsid w:val="005E188E"/>
    <w:rsid w:val="005E1A4C"/>
    <w:rsid w:val="005E1DCE"/>
    <w:rsid w:val="005E1FD4"/>
    <w:rsid w:val="005E2294"/>
    <w:rsid w:val="005E22FB"/>
    <w:rsid w:val="005E2411"/>
    <w:rsid w:val="005E243F"/>
    <w:rsid w:val="005E2630"/>
    <w:rsid w:val="005E2656"/>
    <w:rsid w:val="005E2659"/>
    <w:rsid w:val="005E26F3"/>
    <w:rsid w:val="005E2720"/>
    <w:rsid w:val="005E2728"/>
    <w:rsid w:val="005E2E0A"/>
    <w:rsid w:val="005E2E2F"/>
    <w:rsid w:val="005E2F10"/>
    <w:rsid w:val="005E2F73"/>
    <w:rsid w:val="005E33DA"/>
    <w:rsid w:val="005E366D"/>
    <w:rsid w:val="005E3875"/>
    <w:rsid w:val="005E3931"/>
    <w:rsid w:val="005E397B"/>
    <w:rsid w:val="005E3D18"/>
    <w:rsid w:val="005E3D6F"/>
    <w:rsid w:val="005E3EE1"/>
    <w:rsid w:val="005E3EF5"/>
    <w:rsid w:val="005E407E"/>
    <w:rsid w:val="005E4381"/>
    <w:rsid w:val="005E439A"/>
    <w:rsid w:val="005E4528"/>
    <w:rsid w:val="005E4A7E"/>
    <w:rsid w:val="005E4B3B"/>
    <w:rsid w:val="005E4E72"/>
    <w:rsid w:val="005E4E77"/>
    <w:rsid w:val="005E50C2"/>
    <w:rsid w:val="005E5108"/>
    <w:rsid w:val="005E52B0"/>
    <w:rsid w:val="005E533E"/>
    <w:rsid w:val="005E55E5"/>
    <w:rsid w:val="005E55FD"/>
    <w:rsid w:val="005E5836"/>
    <w:rsid w:val="005E5883"/>
    <w:rsid w:val="005E5988"/>
    <w:rsid w:val="005E5A24"/>
    <w:rsid w:val="005E5B74"/>
    <w:rsid w:val="005E5CE2"/>
    <w:rsid w:val="005E5EE2"/>
    <w:rsid w:val="005E5F49"/>
    <w:rsid w:val="005E6211"/>
    <w:rsid w:val="005E633B"/>
    <w:rsid w:val="005E64AC"/>
    <w:rsid w:val="005E64B6"/>
    <w:rsid w:val="005E64B7"/>
    <w:rsid w:val="005E6797"/>
    <w:rsid w:val="005E68AE"/>
    <w:rsid w:val="005E6983"/>
    <w:rsid w:val="005E6A87"/>
    <w:rsid w:val="005E6C7F"/>
    <w:rsid w:val="005E6C9D"/>
    <w:rsid w:val="005E6D98"/>
    <w:rsid w:val="005E6E3E"/>
    <w:rsid w:val="005E71B0"/>
    <w:rsid w:val="005E71FF"/>
    <w:rsid w:val="005E7635"/>
    <w:rsid w:val="005E76B6"/>
    <w:rsid w:val="005E79E2"/>
    <w:rsid w:val="005E7B51"/>
    <w:rsid w:val="005E7B7F"/>
    <w:rsid w:val="005E7B90"/>
    <w:rsid w:val="005E7BFB"/>
    <w:rsid w:val="005E7F24"/>
    <w:rsid w:val="005F0009"/>
    <w:rsid w:val="005F02A4"/>
    <w:rsid w:val="005F0314"/>
    <w:rsid w:val="005F0364"/>
    <w:rsid w:val="005F083E"/>
    <w:rsid w:val="005F0842"/>
    <w:rsid w:val="005F087B"/>
    <w:rsid w:val="005F095E"/>
    <w:rsid w:val="005F09DD"/>
    <w:rsid w:val="005F0AFF"/>
    <w:rsid w:val="005F0B65"/>
    <w:rsid w:val="005F1226"/>
    <w:rsid w:val="005F1440"/>
    <w:rsid w:val="005F1497"/>
    <w:rsid w:val="005F15F1"/>
    <w:rsid w:val="005F1701"/>
    <w:rsid w:val="005F197E"/>
    <w:rsid w:val="005F1B2D"/>
    <w:rsid w:val="005F1B7A"/>
    <w:rsid w:val="005F1B7C"/>
    <w:rsid w:val="005F1D2C"/>
    <w:rsid w:val="005F1E75"/>
    <w:rsid w:val="005F2117"/>
    <w:rsid w:val="005F2361"/>
    <w:rsid w:val="005F2659"/>
    <w:rsid w:val="005F26A3"/>
    <w:rsid w:val="005F2702"/>
    <w:rsid w:val="005F27A3"/>
    <w:rsid w:val="005F2830"/>
    <w:rsid w:val="005F2848"/>
    <w:rsid w:val="005F288F"/>
    <w:rsid w:val="005F28B9"/>
    <w:rsid w:val="005F2959"/>
    <w:rsid w:val="005F2C57"/>
    <w:rsid w:val="005F2DB4"/>
    <w:rsid w:val="005F2EE3"/>
    <w:rsid w:val="005F2F98"/>
    <w:rsid w:val="005F3023"/>
    <w:rsid w:val="005F3080"/>
    <w:rsid w:val="005F30D7"/>
    <w:rsid w:val="005F30DF"/>
    <w:rsid w:val="005F30E6"/>
    <w:rsid w:val="005F313A"/>
    <w:rsid w:val="005F3181"/>
    <w:rsid w:val="005F31E0"/>
    <w:rsid w:val="005F32B1"/>
    <w:rsid w:val="005F3383"/>
    <w:rsid w:val="005F36C6"/>
    <w:rsid w:val="005F36E3"/>
    <w:rsid w:val="005F36F2"/>
    <w:rsid w:val="005F3803"/>
    <w:rsid w:val="005F384B"/>
    <w:rsid w:val="005F392B"/>
    <w:rsid w:val="005F3AEA"/>
    <w:rsid w:val="005F3CA9"/>
    <w:rsid w:val="005F3D14"/>
    <w:rsid w:val="005F3E5D"/>
    <w:rsid w:val="005F3EB5"/>
    <w:rsid w:val="005F3EC5"/>
    <w:rsid w:val="005F400D"/>
    <w:rsid w:val="005F4139"/>
    <w:rsid w:val="005F415F"/>
    <w:rsid w:val="005F4350"/>
    <w:rsid w:val="005F4354"/>
    <w:rsid w:val="005F44BF"/>
    <w:rsid w:val="005F4513"/>
    <w:rsid w:val="005F455A"/>
    <w:rsid w:val="005F466D"/>
    <w:rsid w:val="005F4708"/>
    <w:rsid w:val="005F478E"/>
    <w:rsid w:val="005F4994"/>
    <w:rsid w:val="005F4F24"/>
    <w:rsid w:val="005F571A"/>
    <w:rsid w:val="005F5816"/>
    <w:rsid w:val="005F5833"/>
    <w:rsid w:val="005F5878"/>
    <w:rsid w:val="005F5B9A"/>
    <w:rsid w:val="005F5C56"/>
    <w:rsid w:val="005F5E99"/>
    <w:rsid w:val="005F5EBC"/>
    <w:rsid w:val="005F5F33"/>
    <w:rsid w:val="005F61A6"/>
    <w:rsid w:val="005F6352"/>
    <w:rsid w:val="005F63CE"/>
    <w:rsid w:val="005F66CE"/>
    <w:rsid w:val="005F698B"/>
    <w:rsid w:val="005F6B41"/>
    <w:rsid w:val="005F6C5F"/>
    <w:rsid w:val="005F6CD2"/>
    <w:rsid w:val="005F6F3A"/>
    <w:rsid w:val="005F7127"/>
    <w:rsid w:val="005F72B0"/>
    <w:rsid w:val="005F733A"/>
    <w:rsid w:val="005F737B"/>
    <w:rsid w:val="005F7389"/>
    <w:rsid w:val="005F73E9"/>
    <w:rsid w:val="005F783E"/>
    <w:rsid w:val="005F7851"/>
    <w:rsid w:val="005F786D"/>
    <w:rsid w:val="005F79B3"/>
    <w:rsid w:val="005F79F3"/>
    <w:rsid w:val="005F7DEF"/>
    <w:rsid w:val="0060002A"/>
    <w:rsid w:val="00600238"/>
    <w:rsid w:val="00600370"/>
    <w:rsid w:val="00600412"/>
    <w:rsid w:val="006005E9"/>
    <w:rsid w:val="00600A11"/>
    <w:rsid w:val="00600C49"/>
    <w:rsid w:val="00600D4C"/>
    <w:rsid w:val="00601138"/>
    <w:rsid w:val="006016A6"/>
    <w:rsid w:val="00601755"/>
    <w:rsid w:val="00601847"/>
    <w:rsid w:val="00601BD6"/>
    <w:rsid w:val="00601E1B"/>
    <w:rsid w:val="00601E31"/>
    <w:rsid w:val="00601EC2"/>
    <w:rsid w:val="00601ED0"/>
    <w:rsid w:val="0060242A"/>
    <w:rsid w:val="00602481"/>
    <w:rsid w:val="0060290B"/>
    <w:rsid w:val="00602D66"/>
    <w:rsid w:val="00603233"/>
    <w:rsid w:val="00603623"/>
    <w:rsid w:val="00603705"/>
    <w:rsid w:val="00603B21"/>
    <w:rsid w:val="00603BF3"/>
    <w:rsid w:val="00603C26"/>
    <w:rsid w:val="00603FF2"/>
    <w:rsid w:val="0060409F"/>
    <w:rsid w:val="00604818"/>
    <w:rsid w:val="00604970"/>
    <w:rsid w:val="00604C40"/>
    <w:rsid w:val="00604CA6"/>
    <w:rsid w:val="00604DAB"/>
    <w:rsid w:val="00604E1B"/>
    <w:rsid w:val="00604E36"/>
    <w:rsid w:val="00604ECA"/>
    <w:rsid w:val="00604F39"/>
    <w:rsid w:val="00605217"/>
    <w:rsid w:val="00605245"/>
    <w:rsid w:val="00605381"/>
    <w:rsid w:val="006056EB"/>
    <w:rsid w:val="0060575A"/>
    <w:rsid w:val="00605845"/>
    <w:rsid w:val="0060595B"/>
    <w:rsid w:val="00605A0A"/>
    <w:rsid w:val="00605AFD"/>
    <w:rsid w:val="00605EAE"/>
    <w:rsid w:val="0060609D"/>
    <w:rsid w:val="006060BE"/>
    <w:rsid w:val="00606164"/>
    <w:rsid w:val="0060616D"/>
    <w:rsid w:val="00606252"/>
    <w:rsid w:val="00606742"/>
    <w:rsid w:val="00606821"/>
    <w:rsid w:val="0060689A"/>
    <w:rsid w:val="00606AD6"/>
    <w:rsid w:val="00606C23"/>
    <w:rsid w:val="00606CF8"/>
    <w:rsid w:val="00606E83"/>
    <w:rsid w:val="00606EBD"/>
    <w:rsid w:val="00606F39"/>
    <w:rsid w:val="0060748E"/>
    <w:rsid w:val="00607502"/>
    <w:rsid w:val="006076DF"/>
    <w:rsid w:val="00607898"/>
    <w:rsid w:val="006078E7"/>
    <w:rsid w:val="00607C7C"/>
    <w:rsid w:val="00607DDB"/>
    <w:rsid w:val="00607F91"/>
    <w:rsid w:val="00610015"/>
    <w:rsid w:val="006100DA"/>
    <w:rsid w:val="00610523"/>
    <w:rsid w:val="0061074B"/>
    <w:rsid w:val="00610880"/>
    <w:rsid w:val="006109F8"/>
    <w:rsid w:val="00610D64"/>
    <w:rsid w:val="00610E6F"/>
    <w:rsid w:val="0061113A"/>
    <w:rsid w:val="006113FF"/>
    <w:rsid w:val="0061145B"/>
    <w:rsid w:val="00611697"/>
    <w:rsid w:val="006116FB"/>
    <w:rsid w:val="006118FA"/>
    <w:rsid w:val="00611A6A"/>
    <w:rsid w:val="00611C80"/>
    <w:rsid w:val="00611CAF"/>
    <w:rsid w:val="00611CE8"/>
    <w:rsid w:val="00611E39"/>
    <w:rsid w:val="00611E6A"/>
    <w:rsid w:val="00612005"/>
    <w:rsid w:val="006123AE"/>
    <w:rsid w:val="006123D4"/>
    <w:rsid w:val="0061242A"/>
    <w:rsid w:val="006126B0"/>
    <w:rsid w:val="00612804"/>
    <w:rsid w:val="00612AC3"/>
    <w:rsid w:val="00612B57"/>
    <w:rsid w:val="00612B59"/>
    <w:rsid w:val="00612D7D"/>
    <w:rsid w:val="00612E5A"/>
    <w:rsid w:val="00612F4A"/>
    <w:rsid w:val="0061300E"/>
    <w:rsid w:val="006130FF"/>
    <w:rsid w:val="006132A5"/>
    <w:rsid w:val="00613339"/>
    <w:rsid w:val="0061350F"/>
    <w:rsid w:val="006135A8"/>
    <w:rsid w:val="0061366A"/>
    <w:rsid w:val="0061390A"/>
    <w:rsid w:val="006139CB"/>
    <w:rsid w:val="00613BFA"/>
    <w:rsid w:val="006142E5"/>
    <w:rsid w:val="00614395"/>
    <w:rsid w:val="0061450A"/>
    <w:rsid w:val="0061460F"/>
    <w:rsid w:val="00614997"/>
    <w:rsid w:val="00614C7A"/>
    <w:rsid w:val="00614D3F"/>
    <w:rsid w:val="00614E8C"/>
    <w:rsid w:val="00614F59"/>
    <w:rsid w:val="006150AD"/>
    <w:rsid w:val="00615349"/>
    <w:rsid w:val="0061547E"/>
    <w:rsid w:val="00615485"/>
    <w:rsid w:val="0061556B"/>
    <w:rsid w:val="006155E0"/>
    <w:rsid w:val="0061561D"/>
    <w:rsid w:val="00615929"/>
    <w:rsid w:val="00615A1A"/>
    <w:rsid w:val="00615AE3"/>
    <w:rsid w:val="00615B05"/>
    <w:rsid w:val="00615B59"/>
    <w:rsid w:val="00615EBF"/>
    <w:rsid w:val="00616295"/>
    <w:rsid w:val="0061661D"/>
    <w:rsid w:val="006166D5"/>
    <w:rsid w:val="00616756"/>
    <w:rsid w:val="006168A2"/>
    <w:rsid w:val="006168D1"/>
    <w:rsid w:val="00616BDC"/>
    <w:rsid w:val="00616D55"/>
    <w:rsid w:val="00616FAE"/>
    <w:rsid w:val="006174B0"/>
    <w:rsid w:val="006174D7"/>
    <w:rsid w:val="006175AA"/>
    <w:rsid w:val="006176A7"/>
    <w:rsid w:val="00617777"/>
    <w:rsid w:val="00617810"/>
    <w:rsid w:val="0061795C"/>
    <w:rsid w:val="00617967"/>
    <w:rsid w:val="00617AAB"/>
    <w:rsid w:val="00617EF0"/>
    <w:rsid w:val="00617F98"/>
    <w:rsid w:val="00617FC0"/>
    <w:rsid w:val="0062037C"/>
    <w:rsid w:val="006206AF"/>
    <w:rsid w:val="006206FC"/>
    <w:rsid w:val="0062073C"/>
    <w:rsid w:val="006208C3"/>
    <w:rsid w:val="00620AFB"/>
    <w:rsid w:val="00620C69"/>
    <w:rsid w:val="00620ED1"/>
    <w:rsid w:val="0062104C"/>
    <w:rsid w:val="00621115"/>
    <w:rsid w:val="0062124C"/>
    <w:rsid w:val="00621321"/>
    <w:rsid w:val="0062132B"/>
    <w:rsid w:val="00621756"/>
    <w:rsid w:val="00621CAD"/>
    <w:rsid w:val="00622184"/>
    <w:rsid w:val="006223BC"/>
    <w:rsid w:val="0062247B"/>
    <w:rsid w:val="006224CE"/>
    <w:rsid w:val="0062255F"/>
    <w:rsid w:val="006225F7"/>
    <w:rsid w:val="00622BC3"/>
    <w:rsid w:val="00622C7A"/>
    <w:rsid w:val="00622D82"/>
    <w:rsid w:val="00622F37"/>
    <w:rsid w:val="006230D0"/>
    <w:rsid w:val="0062330E"/>
    <w:rsid w:val="006233CB"/>
    <w:rsid w:val="006234E4"/>
    <w:rsid w:val="00623664"/>
    <w:rsid w:val="00623AE1"/>
    <w:rsid w:val="00623F5C"/>
    <w:rsid w:val="00623FEA"/>
    <w:rsid w:val="00624221"/>
    <w:rsid w:val="00624229"/>
    <w:rsid w:val="0062426D"/>
    <w:rsid w:val="00624456"/>
    <w:rsid w:val="00624476"/>
    <w:rsid w:val="00624493"/>
    <w:rsid w:val="00624952"/>
    <w:rsid w:val="00624B0A"/>
    <w:rsid w:val="00624C2A"/>
    <w:rsid w:val="00624CED"/>
    <w:rsid w:val="00624E1F"/>
    <w:rsid w:val="00624F6A"/>
    <w:rsid w:val="0062526C"/>
    <w:rsid w:val="006253A9"/>
    <w:rsid w:val="0062543F"/>
    <w:rsid w:val="0062581D"/>
    <w:rsid w:val="00625B73"/>
    <w:rsid w:val="00625BA3"/>
    <w:rsid w:val="00625C56"/>
    <w:rsid w:val="00625D5F"/>
    <w:rsid w:val="00625DB5"/>
    <w:rsid w:val="00625DD2"/>
    <w:rsid w:val="00625E5B"/>
    <w:rsid w:val="00625F04"/>
    <w:rsid w:val="00625F0B"/>
    <w:rsid w:val="00626099"/>
    <w:rsid w:val="00626133"/>
    <w:rsid w:val="00626544"/>
    <w:rsid w:val="0062659E"/>
    <w:rsid w:val="00626654"/>
    <w:rsid w:val="00626A14"/>
    <w:rsid w:val="00626A47"/>
    <w:rsid w:val="00626B67"/>
    <w:rsid w:val="00626C35"/>
    <w:rsid w:val="00626FB5"/>
    <w:rsid w:val="0062702A"/>
    <w:rsid w:val="00627098"/>
    <w:rsid w:val="006271BB"/>
    <w:rsid w:val="0062721F"/>
    <w:rsid w:val="00627483"/>
    <w:rsid w:val="0062768C"/>
    <w:rsid w:val="006278D8"/>
    <w:rsid w:val="00627B02"/>
    <w:rsid w:val="00627B7A"/>
    <w:rsid w:val="006302B7"/>
    <w:rsid w:val="006307BE"/>
    <w:rsid w:val="006309A0"/>
    <w:rsid w:val="00630CCF"/>
    <w:rsid w:val="00630DDF"/>
    <w:rsid w:val="00630DF3"/>
    <w:rsid w:val="00630E59"/>
    <w:rsid w:val="00630F7E"/>
    <w:rsid w:val="0063115D"/>
    <w:rsid w:val="00631671"/>
    <w:rsid w:val="00631774"/>
    <w:rsid w:val="006317E4"/>
    <w:rsid w:val="00631908"/>
    <w:rsid w:val="00631A8E"/>
    <w:rsid w:val="00631C87"/>
    <w:rsid w:val="00631D9B"/>
    <w:rsid w:val="00631F3C"/>
    <w:rsid w:val="00631FE9"/>
    <w:rsid w:val="00632201"/>
    <w:rsid w:val="00632472"/>
    <w:rsid w:val="006325F7"/>
    <w:rsid w:val="006326C6"/>
    <w:rsid w:val="006327A2"/>
    <w:rsid w:val="006327D9"/>
    <w:rsid w:val="006328CD"/>
    <w:rsid w:val="00632C87"/>
    <w:rsid w:val="00632C8C"/>
    <w:rsid w:val="00632E14"/>
    <w:rsid w:val="00632F5B"/>
    <w:rsid w:val="00632FCD"/>
    <w:rsid w:val="00633012"/>
    <w:rsid w:val="0063309A"/>
    <w:rsid w:val="00633297"/>
    <w:rsid w:val="00633588"/>
    <w:rsid w:val="006335AB"/>
    <w:rsid w:val="0063366E"/>
    <w:rsid w:val="006338F4"/>
    <w:rsid w:val="00633C37"/>
    <w:rsid w:val="00633EF2"/>
    <w:rsid w:val="00633FB0"/>
    <w:rsid w:val="00634121"/>
    <w:rsid w:val="0063418E"/>
    <w:rsid w:val="0063419A"/>
    <w:rsid w:val="00634240"/>
    <w:rsid w:val="006342F8"/>
    <w:rsid w:val="00634356"/>
    <w:rsid w:val="00634379"/>
    <w:rsid w:val="0063453D"/>
    <w:rsid w:val="00634586"/>
    <w:rsid w:val="00634603"/>
    <w:rsid w:val="006346E5"/>
    <w:rsid w:val="0063477C"/>
    <w:rsid w:val="00634927"/>
    <w:rsid w:val="006349A0"/>
    <w:rsid w:val="006349C9"/>
    <w:rsid w:val="00634BA4"/>
    <w:rsid w:val="00634D1F"/>
    <w:rsid w:val="00634DA2"/>
    <w:rsid w:val="00634E9A"/>
    <w:rsid w:val="006350FE"/>
    <w:rsid w:val="00635150"/>
    <w:rsid w:val="0063535E"/>
    <w:rsid w:val="006354FE"/>
    <w:rsid w:val="0063552D"/>
    <w:rsid w:val="006358CC"/>
    <w:rsid w:val="00635929"/>
    <w:rsid w:val="00635B9B"/>
    <w:rsid w:val="00635BF5"/>
    <w:rsid w:val="00635C36"/>
    <w:rsid w:val="00635D4C"/>
    <w:rsid w:val="0063601B"/>
    <w:rsid w:val="0063602D"/>
    <w:rsid w:val="006361A9"/>
    <w:rsid w:val="006363E8"/>
    <w:rsid w:val="00636468"/>
    <w:rsid w:val="00636497"/>
    <w:rsid w:val="00636914"/>
    <w:rsid w:val="00636A0A"/>
    <w:rsid w:val="00636A95"/>
    <w:rsid w:val="00636A9F"/>
    <w:rsid w:val="00636C9C"/>
    <w:rsid w:val="00636D6A"/>
    <w:rsid w:val="00636DF1"/>
    <w:rsid w:val="00636E7E"/>
    <w:rsid w:val="00637031"/>
    <w:rsid w:val="006371C5"/>
    <w:rsid w:val="0063722A"/>
    <w:rsid w:val="006372CC"/>
    <w:rsid w:val="006372EC"/>
    <w:rsid w:val="0063731A"/>
    <w:rsid w:val="006375DF"/>
    <w:rsid w:val="00637656"/>
    <w:rsid w:val="0063778D"/>
    <w:rsid w:val="006377F3"/>
    <w:rsid w:val="006379FB"/>
    <w:rsid w:val="00637BAB"/>
    <w:rsid w:val="00637C14"/>
    <w:rsid w:val="00637C5D"/>
    <w:rsid w:val="00637E8F"/>
    <w:rsid w:val="00637F57"/>
    <w:rsid w:val="00640173"/>
    <w:rsid w:val="006403E7"/>
    <w:rsid w:val="0064054E"/>
    <w:rsid w:val="006405CE"/>
    <w:rsid w:val="006406B1"/>
    <w:rsid w:val="006409CA"/>
    <w:rsid w:val="00640D2A"/>
    <w:rsid w:val="00640DC7"/>
    <w:rsid w:val="00640E20"/>
    <w:rsid w:val="006410BD"/>
    <w:rsid w:val="00641223"/>
    <w:rsid w:val="0064158B"/>
    <w:rsid w:val="0064161F"/>
    <w:rsid w:val="0064167F"/>
    <w:rsid w:val="006416CB"/>
    <w:rsid w:val="006416E4"/>
    <w:rsid w:val="0064197E"/>
    <w:rsid w:val="00641B3A"/>
    <w:rsid w:val="00641F2E"/>
    <w:rsid w:val="00641FCE"/>
    <w:rsid w:val="00642029"/>
    <w:rsid w:val="006420BC"/>
    <w:rsid w:val="006421C0"/>
    <w:rsid w:val="00642251"/>
    <w:rsid w:val="00642394"/>
    <w:rsid w:val="006423DF"/>
    <w:rsid w:val="0064243F"/>
    <w:rsid w:val="00642A4A"/>
    <w:rsid w:val="00642A7D"/>
    <w:rsid w:val="00642BA4"/>
    <w:rsid w:val="00642C00"/>
    <w:rsid w:val="00642C59"/>
    <w:rsid w:val="00642D0A"/>
    <w:rsid w:val="00642D4B"/>
    <w:rsid w:val="00642F0A"/>
    <w:rsid w:val="0064301D"/>
    <w:rsid w:val="006430F4"/>
    <w:rsid w:val="0064338A"/>
    <w:rsid w:val="00643997"/>
    <w:rsid w:val="00643EA6"/>
    <w:rsid w:val="00644442"/>
    <w:rsid w:val="006444B4"/>
    <w:rsid w:val="00644534"/>
    <w:rsid w:val="0064476E"/>
    <w:rsid w:val="006447D6"/>
    <w:rsid w:val="0064490E"/>
    <w:rsid w:val="00644B11"/>
    <w:rsid w:val="00644B2C"/>
    <w:rsid w:val="00644BFA"/>
    <w:rsid w:val="00644C11"/>
    <w:rsid w:val="00644C4F"/>
    <w:rsid w:val="00644E0E"/>
    <w:rsid w:val="0064512D"/>
    <w:rsid w:val="006452BC"/>
    <w:rsid w:val="00645553"/>
    <w:rsid w:val="0064555B"/>
    <w:rsid w:val="0064561F"/>
    <w:rsid w:val="00645785"/>
    <w:rsid w:val="00645889"/>
    <w:rsid w:val="00645903"/>
    <w:rsid w:val="006459BF"/>
    <w:rsid w:val="00645A1A"/>
    <w:rsid w:val="00645AD1"/>
    <w:rsid w:val="00645AEF"/>
    <w:rsid w:val="00645E32"/>
    <w:rsid w:val="006466E0"/>
    <w:rsid w:val="00646C9B"/>
    <w:rsid w:val="00646D06"/>
    <w:rsid w:val="00646D52"/>
    <w:rsid w:val="0064709A"/>
    <w:rsid w:val="0064724C"/>
    <w:rsid w:val="00647631"/>
    <w:rsid w:val="00647633"/>
    <w:rsid w:val="006476E6"/>
    <w:rsid w:val="00647738"/>
    <w:rsid w:val="00647798"/>
    <w:rsid w:val="006478CD"/>
    <w:rsid w:val="00647927"/>
    <w:rsid w:val="00647C90"/>
    <w:rsid w:val="00647EE7"/>
    <w:rsid w:val="0065017A"/>
    <w:rsid w:val="006506B9"/>
    <w:rsid w:val="0065093E"/>
    <w:rsid w:val="00650A4A"/>
    <w:rsid w:val="00650B96"/>
    <w:rsid w:val="006512D3"/>
    <w:rsid w:val="00651385"/>
    <w:rsid w:val="00651508"/>
    <w:rsid w:val="0065155C"/>
    <w:rsid w:val="00651872"/>
    <w:rsid w:val="006519A4"/>
    <w:rsid w:val="00651CF2"/>
    <w:rsid w:val="00651DCD"/>
    <w:rsid w:val="00652382"/>
    <w:rsid w:val="00652439"/>
    <w:rsid w:val="00652762"/>
    <w:rsid w:val="006528DE"/>
    <w:rsid w:val="0065292B"/>
    <w:rsid w:val="0065292F"/>
    <w:rsid w:val="006529AA"/>
    <w:rsid w:val="00652ADA"/>
    <w:rsid w:val="00652D05"/>
    <w:rsid w:val="00652F39"/>
    <w:rsid w:val="00652F86"/>
    <w:rsid w:val="006530E8"/>
    <w:rsid w:val="0065313C"/>
    <w:rsid w:val="0065315D"/>
    <w:rsid w:val="006531D8"/>
    <w:rsid w:val="0065349B"/>
    <w:rsid w:val="0065377E"/>
    <w:rsid w:val="00653A7B"/>
    <w:rsid w:val="00653E65"/>
    <w:rsid w:val="00653FA2"/>
    <w:rsid w:val="00653FD3"/>
    <w:rsid w:val="006540A0"/>
    <w:rsid w:val="0065413B"/>
    <w:rsid w:val="00654188"/>
    <w:rsid w:val="0065420B"/>
    <w:rsid w:val="0065467B"/>
    <w:rsid w:val="00654758"/>
    <w:rsid w:val="006548C8"/>
    <w:rsid w:val="006548DC"/>
    <w:rsid w:val="0065498D"/>
    <w:rsid w:val="00654B69"/>
    <w:rsid w:val="00654B7D"/>
    <w:rsid w:val="00654C66"/>
    <w:rsid w:val="00654F2E"/>
    <w:rsid w:val="0065509C"/>
    <w:rsid w:val="006553C5"/>
    <w:rsid w:val="00655401"/>
    <w:rsid w:val="0065540E"/>
    <w:rsid w:val="00655584"/>
    <w:rsid w:val="00655719"/>
    <w:rsid w:val="00655A22"/>
    <w:rsid w:val="00655A36"/>
    <w:rsid w:val="00655C4A"/>
    <w:rsid w:val="00655E1F"/>
    <w:rsid w:val="0065610F"/>
    <w:rsid w:val="00656146"/>
    <w:rsid w:val="0065616D"/>
    <w:rsid w:val="00656192"/>
    <w:rsid w:val="00656356"/>
    <w:rsid w:val="00656395"/>
    <w:rsid w:val="0065654F"/>
    <w:rsid w:val="00656602"/>
    <w:rsid w:val="0065662D"/>
    <w:rsid w:val="0065675A"/>
    <w:rsid w:val="006567F4"/>
    <w:rsid w:val="0065685E"/>
    <w:rsid w:val="00656887"/>
    <w:rsid w:val="00656906"/>
    <w:rsid w:val="00656A68"/>
    <w:rsid w:val="00656BD9"/>
    <w:rsid w:val="00656CEE"/>
    <w:rsid w:val="00656EF3"/>
    <w:rsid w:val="006570BA"/>
    <w:rsid w:val="00657130"/>
    <w:rsid w:val="0065713D"/>
    <w:rsid w:val="0065723C"/>
    <w:rsid w:val="006574BC"/>
    <w:rsid w:val="006575A9"/>
    <w:rsid w:val="0065768F"/>
    <w:rsid w:val="0065775B"/>
    <w:rsid w:val="00657762"/>
    <w:rsid w:val="0065780B"/>
    <w:rsid w:val="00657877"/>
    <w:rsid w:val="00657991"/>
    <w:rsid w:val="006579CE"/>
    <w:rsid w:val="00657BAD"/>
    <w:rsid w:val="00657C55"/>
    <w:rsid w:val="006601D7"/>
    <w:rsid w:val="006602CD"/>
    <w:rsid w:val="00660324"/>
    <w:rsid w:val="0066044C"/>
    <w:rsid w:val="00660885"/>
    <w:rsid w:val="00660906"/>
    <w:rsid w:val="00660D63"/>
    <w:rsid w:val="00660E0C"/>
    <w:rsid w:val="00660F65"/>
    <w:rsid w:val="0066116F"/>
    <w:rsid w:val="0066139F"/>
    <w:rsid w:val="00661550"/>
    <w:rsid w:val="006615B0"/>
    <w:rsid w:val="0066190E"/>
    <w:rsid w:val="00661E21"/>
    <w:rsid w:val="006623E2"/>
    <w:rsid w:val="00662439"/>
    <w:rsid w:val="0066245D"/>
    <w:rsid w:val="006624C0"/>
    <w:rsid w:val="00662646"/>
    <w:rsid w:val="00662871"/>
    <w:rsid w:val="0066289B"/>
    <w:rsid w:val="00662A33"/>
    <w:rsid w:val="00662D41"/>
    <w:rsid w:val="00662D80"/>
    <w:rsid w:val="00662EA6"/>
    <w:rsid w:val="00663072"/>
    <w:rsid w:val="006630BA"/>
    <w:rsid w:val="00663242"/>
    <w:rsid w:val="00663353"/>
    <w:rsid w:val="006635C0"/>
    <w:rsid w:val="0066371F"/>
    <w:rsid w:val="00663BC2"/>
    <w:rsid w:val="00663C0B"/>
    <w:rsid w:val="00663FB2"/>
    <w:rsid w:val="0066403A"/>
    <w:rsid w:val="0066409D"/>
    <w:rsid w:val="006642C5"/>
    <w:rsid w:val="006642DA"/>
    <w:rsid w:val="00664338"/>
    <w:rsid w:val="006643C7"/>
    <w:rsid w:val="006646C2"/>
    <w:rsid w:val="006649EB"/>
    <w:rsid w:val="00664B6A"/>
    <w:rsid w:val="00664CBB"/>
    <w:rsid w:val="00664EE5"/>
    <w:rsid w:val="00664F8F"/>
    <w:rsid w:val="006650CF"/>
    <w:rsid w:val="00665146"/>
    <w:rsid w:val="006652C3"/>
    <w:rsid w:val="0066537B"/>
    <w:rsid w:val="006654AB"/>
    <w:rsid w:val="00665931"/>
    <w:rsid w:val="006659F0"/>
    <w:rsid w:val="006659FD"/>
    <w:rsid w:val="00665A72"/>
    <w:rsid w:val="00665CF2"/>
    <w:rsid w:val="00665DE3"/>
    <w:rsid w:val="00665EC4"/>
    <w:rsid w:val="00665F31"/>
    <w:rsid w:val="00666082"/>
    <w:rsid w:val="00666206"/>
    <w:rsid w:val="00666216"/>
    <w:rsid w:val="00666282"/>
    <w:rsid w:val="0066640B"/>
    <w:rsid w:val="006664F4"/>
    <w:rsid w:val="0066654B"/>
    <w:rsid w:val="00666591"/>
    <w:rsid w:val="00666724"/>
    <w:rsid w:val="006668A4"/>
    <w:rsid w:val="00666BC0"/>
    <w:rsid w:val="00666E3D"/>
    <w:rsid w:val="00666F9A"/>
    <w:rsid w:val="006672A0"/>
    <w:rsid w:val="00667581"/>
    <w:rsid w:val="006676D6"/>
    <w:rsid w:val="00667882"/>
    <w:rsid w:val="0066791B"/>
    <w:rsid w:val="006679B0"/>
    <w:rsid w:val="00667AF0"/>
    <w:rsid w:val="00667C46"/>
    <w:rsid w:val="00667D0C"/>
    <w:rsid w:val="00667D27"/>
    <w:rsid w:val="00667E99"/>
    <w:rsid w:val="00667F80"/>
    <w:rsid w:val="00667FC4"/>
    <w:rsid w:val="006700D1"/>
    <w:rsid w:val="00670340"/>
    <w:rsid w:val="0067089A"/>
    <w:rsid w:val="0067089E"/>
    <w:rsid w:val="00670A71"/>
    <w:rsid w:val="00670AC4"/>
    <w:rsid w:val="00670C35"/>
    <w:rsid w:val="00670CA3"/>
    <w:rsid w:val="00670CAF"/>
    <w:rsid w:val="00670CC5"/>
    <w:rsid w:val="00670CFD"/>
    <w:rsid w:val="00670D59"/>
    <w:rsid w:val="00670DEE"/>
    <w:rsid w:val="0067125F"/>
    <w:rsid w:val="006712F9"/>
    <w:rsid w:val="006713C8"/>
    <w:rsid w:val="006716A7"/>
    <w:rsid w:val="006718C3"/>
    <w:rsid w:val="006718C6"/>
    <w:rsid w:val="0067190E"/>
    <w:rsid w:val="00671A0C"/>
    <w:rsid w:val="00671B35"/>
    <w:rsid w:val="00671DA3"/>
    <w:rsid w:val="00671DC3"/>
    <w:rsid w:val="00671E33"/>
    <w:rsid w:val="00672303"/>
    <w:rsid w:val="0067237E"/>
    <w:rsid w:val="006724B2"/>
    <w:rsid w:val="0067256F"/>
    <w:rsid w:val="0067283E"/>
    <w:rsid w:val="006729BE"/>
    <w:rsid w:val="00672A82"/>
    <w:rsid w:val="00672AE7"/>
    <w:rsid w:val="00672D66"/>
    <w:rsid w:val="00672DCA"/>
    <w:rsid w:val="00673A15"/>
    <w:rsid w:val="00673BC7"/>
    <w:rsid w:val="00673E48"/>
    <w:rsid w:val="0067459F"/>
    <w:rsid w:val="006747DE"/>
    <w:rsid w:val="006747E4"/>
    <w:rsid w:val="00674872"/>
    <w:rsid w:val="006749D1"/>
    <w:rsid w:val="00674A03"/>
    <w:rsid w:val="00674B10"/>
    <w:rsid w:val="00674B7F"/>
    <w:rsid w:val="00674FAB"/>
    <w:rsid w:val="00674FF3"/>
    <w:rsid w:val="00675468"/>
    <w:rsid w:val="006755BF"/>
    <w:rsid w:val="00675609"/>
    <w:rsid w:val="006756A7"/>
    <w:rsid w:val="0067575F"/>
    <w:rsid w:val="00675A58"/>
    <w:rsid w:val="00675BB0"/>
    <w:rsid w:val="00675E85"/>
    <w:rsid w:val="006762C8"/>
    <w:rsid w:val="00676311"/>
    <w:rsid w:val="006763AC"/>
    <w:rsid w:val="006768FC"/>
    <w:rsid w:val="00676B7E"/>
    <w:rsid w:val="00676C70"/>
    <w:rsid w:val="00676CAF"/>
    <w:rsid w:val="00676D89"/>
    <w:rsid w:val="00676DE7"/>
    <w:rsid w:val="00676E73"/>
    <w:rsid w:val="00676F5E"/>
    <w:rsid w:val="006770DD"/>
    <w:rsid w:val="006771F3"/>
    <w:rsid w:val="006772F6"/>
    <w:rsid w:val="00677333"/>
    <w:rsid w:val="0067760D"/>
    <w:rsid w:val="006776FA"/>
    <w:rsid w:val="00677895"/>
    <w:rsid w:val="006778DA"/>
    <w:rsid w:val="00677928"/>
    <w:rsid w:val="00677B56"/>
    <w:rsid w:val="00677ECA"/>
    <w:rsid w:val="00677F7A"/>
    <w:rsid w:val="00680238"/>
    <w:rsid w:val="00680263"/>
    <w:rsid w:val="006802BF"/>
    <w:rsid w:val="00680354"/>
    <w:rsid w:val="006803D7"/>
    <w:rsid w:val="006803F0"/>
    <w:rsid w:val="0068048D"/>
    <w:rsid w:val="006804A7"/>
    <w:rsid w:val="0068054C"/>
    <w:rsid w:val="006805EA"/>
    <w:rsid w:val="006806FC"/>
    <w:rsid w:val="006809AE"/>
    <w:rsid w:val="006809D7"/>
    <w:rsid w:val="00680B52"/>
    <w:rsid w:val="00680D29"/>
    <w:rsid w:val="00680EBB"/>
    <w:rsid w:val="00680F04"/>
    <w:rsid w:val="00680FBA"/>
    <w:rsid w:val="00681149"/>
    <w:rsid w:val="00681599"/>
    <w:rsid w:val="006815C1"/>
    <w:rsid w:val="006815CC"/>
    <w:rsid w:val="0068186E"/>
    <w:rsid w:val="0068188E"/>
    <w:rsid w:val="0068196E"/>
    <w:rsid w:val="006819E3"/>
    <w:rsid w:val="00681BFE"/>
    <w:rsid w:val="00681CFF"/>
    <w:rsid w:val="00681E58"/>
    <w:rsid w:val="00681F99"/>
    <w:rsid w:val="00681FD2"/>
    <w:rsid w:val="0068212B"/>
    <w:rsid w:val="006821CC"/>
    <w:rsid w:val="006821FE"/>
    <w:rsid w:val="00682207"/>
    <w:rsid w:val="00682414"/>
    <w:rsid w:val="006825FC"/>
    <w:rsid w:val="0068280A"/>
    <w:rsid w:val="00682C08"/>
    <w:rsid w:val="0068351D"/>
    <w:rsid w:val="0068370C"/>
    <w:rsid w:val="00683A9C"/>
    <w:rsid w:val="00683CDB"/>
    <w:rsid w:val="00683E1C"/>
    <w:rsid w:val="0068403E"/>
    <w:rsid w:val="006844F7"/>
    <w:rsid w:val="006846D8"/>
    <w:rsid w:val="00684904"/>
    <w:rsid w:val="006849C3"/>
    <w:rsid w:val="00684EA3"/>
    <w:rsid w:val="00685395"/>
    <w:rsid w:val="00685568"/>
    <w:rsid w:val="006855AB"/>
    <w:rsid w:val="00685685"/>
    <w:rsid w:val="006856C7"/>
    <w:rsid w:val="00685B21"/>
    <w:rsid w:val="00685CB5"/>
    <w:rsid w:val="00685E1E"/>
    <w:rsid w:val="00686032"/>
    <w:rsid w:val="00686060"/>
    <w:rsid w:val="00686165"/>
    <w:rsid w:val="00686257"/>
    <w:rsid w:val="00686272"/>
    <w:rsid w:val="0068661C"/>
    <w:rsid w:val="006869C8"/>
    <w:rsid w:val="00686FB4"/>
    <w:rsid w:val="0068716E"/>
    <w:rsid w:val="006872DF"/>
    <w:rsid w:val="0068739D"/>
    <w:rsid w:val="006876DC"/>
    <w:rsid w:val="00687789"/>
    <w:rsid w:val="006878D0"/>
    <w:rsid w:val="0068799A"/>
    <w:rsid w:val="006879C5"/>
    <w:rsid w:val="00687AC3"/>
    <w:rsid w:val="00687D7B"/>
    <w:rsid w:val="00687DF0"/>
    <w:rsid w:val="00687E52"/>
    <w:rsid w:val="00687E5D"/>
    <w:rsid w:val="00687EC6"/>
    <w:rsid w:val="0069000D"/>
    <w:rsid w:val="00690064"/>
    <w:rsid w:val="006903AA"/>
    <w:rsid w:val="00690544"/>
    <w:rsid w:val="00690548"/>
    <w:rsid w:val="006906AE"/>
    <w:rsid w:val="0069098B"/>
    <w:rsid w:val="00690ACC"/>
    <w:rsid w:val="00690ADC"/>
    <w:rsid w:val="00690DF5"/>
    <w:rsid w:val="00690E16"/>
    <w:rsid w:val="00690EDA"/>
    <w:rsid w:val="006910C4"/>
    <w:rsid w:val="0069116A"/>
    <w:rsid w:val="00691240"/>
    <w:rsid w:val="0069146D"/>
    <w:rsid w:val="006914DE"/>
    <w:rsid w:val="00691560"/>
    <w:rsid w:val="00691615"/>
    <w:rsid w:val="00691691"/>
    <w:rsid w:val="0069184B"/>
    <w:rsid w:val="00691929"/>
    <w:rsid w:val="00691CB5"/>
    <w:rsid w:val="00691D3C"/>
    <w:rsid w:val="00691E40"/>
    <w:rsid w:val="006920DD"/>
    <w:rsid w:val="00692238"/>
    <w:rsid w:val="0069237D"/>
    <w:rsid w:val="006924E1"/>
    <w:rsid w:val="0069251D"/>
    <w:rsid w:val="0069292E"/>
    <w:rsid w:val="006929F4"/>
    <w:rsid w:val="00692A71"/>
    <w:rsid w:val="00692C44"/>
    <w:rsid w:val="00692C98"/>
    <w:rsid w:val="00692DBA"/>
    <w:rsid w:val="00692DEE"/>
    <w:rsid w:val="0069304F"/>
    <w:rsid w:val="00693107"/>
    <w:rsid w:val="00693433"/>
    <w:rsid w:val="0069344E"/>
    <w:rsid w:val="00693483"/>
    <w:rsid w:val="006936D8"/>
    <w:rsid w:val="00693740"/>
    <w:rsid w:val="006937A6"/>
    <w:rsid w:val="0069390C"/>
    <w:rsid w:val="00693A62"/>
    <w:rsid w:val="00693A72"/>
    <w:rsid w:val="00693B77"/>
    <w:rsid w:val="00693C5D"/>
    <w:rsid w:val="00693D2F"/>
    <w:rsid w:val="00693D4A"/>
    <w:rsid w:val="00693DE1"/>
    <w:rsid w:val="00694002"/>
    <w:rsid w:val="006941D0"/>
    <w:rsid w:val="00694884"/>
    <w:rsid w:val="006948F5"/>
    <w:rsid w:val="00694C5B"/>
    <w:rsid w:val="006950DC"/>
    <w:rsid w:val="006950E9"/>
    <w:rsid w:val="006953AE"/>
    <w:rsid w:val="00695435"/>
    <w:rsid w:val="00695774"/>
    <w:rsid w:val="006958C4"/>
    <w:rsid w:val="00695A22"/>
    <w:rsid w:val="00695B0E"/>
    <w:rsid w:val="00695C72"/>
    <w:rsid w:val="00695E88"/>
    <w:rsid w:val="00695F91"/>
    <w:rsid w:val="00695FB7"/>
    <w:rsid w:val="0069609D"/>
    <w:rsid w:val="006961D2"/>
    <w:rsid w:val="00696384"/>
    <w:rsid w:val="006963E0"/>
    <w:rsid w:val="00696449"/>
    <w:rsid w:val="00696503"/>
    <w:rsid w:val="00696768"/>
    <w:rsid w:val="006967B7"/>
    <w:rsid w:val="0069693A"/>
    <w:rsid w:val="0069693F"/>
    <w:rsid w:val="00696D30"/>
    <w:rsid w:val="0069721D"/>
    <w:rsid w:val="0069726B"/>
    <w:rsid w:val="0069743A"/>
    <w:rsid w:val="006975F8"/>
    <w:rsid w:val="0069771A"/>
    <w:rsid w:val="00697A12"/>
    <w:rsid w:val="00697DB5"/>
    <w:rsid w:val="006A0161"/>
    <w:rsid w:val="006A027D"/>
    <w:rsid w:val="006A02F5"/>
    <w:rsid w:val="006A04F3"/>
    <w:rsid w:val="006A05E1"/>
    <w:rsid w:val="006A069D"/>
    <w:rsid w:val="006A06AF"/>
    <w:rsid w:val="006A06D4"/>
    <w:rsid w:val="006A082B"/>
    <w:rsid w:val="006A08C9"/>
    <w:rsid w:val="006A0A44"/>
    <w:rsid w:val="006A0C4D"/>
    <w:rsid w:val="006A0CB8"/>
    <w:rsid w:val="006A0CE0"/>
    <w:rsid w:val="006A0D6E"/>
    <w:rsid w:val="006A1119"/>
    <w:rsid w:val="006A1294"/>
    <w:rsid w:val="006A139E"/>
    <w:rsid w:val="006A142E"/>
    <w:rsid w:val="006A147A"/>
    <w:rsid w:val="006A1678"/>
    <w:rsid w:val="006A178F"/>
    <w:rsid w:val="006A199B"/>
    <w:rsid w:val="006A1AD4"/>
    <w:rsid w:val="006A1BA0"/>
    <w:rsid w:val="006A1C44"/>
    <w:rsid w:val="006A1C5F"/>
    <w:rsid w:val="006A1D07"/>
    <w:rsid w:val="006A1D74"/>
    <w:rsid w:val="006A1DA3"/>
    <w:rsid w:val="006A2003"/>
    <w:rsid w:val="006A212C"/>
    <w:rsid w:val="006A2185"/>
    <w:rsid w:val="006A21BB"/>
    <w:rsid w:val="006A21D6"/>
    <w:rsid w:val="006A2272"/>
    <w:rsid w:val="006A250F"/>
    <w:rsid w:val="006A27AC"/>
    <w:rsid w:val="006A280A"/>
    <w:rsid w:val="006A280B"/>
    <w:rsid w:val="006A2BE3"/>
    <w:rsid w:val="006A3034"/>
    <w:rsid w:val="006A31C8"/>
    <w:rsid w:val="006A3236"/>
    <w:rsid w:val="006A3425"/>
    <w:rsid w:val="006A357D"/>
    <w:rsid w:val="006A3608"/>
    <w:rsid w:val="006A36E6"/>
    <w:rsid w:val="006A3B44"/>
    <w:rsid w:val="006A3CA6"/>
    <w:rsid w:val="006A3DD8"/>
    <w:rsid w:val="006A3F07"/>
    <w:rsid w:val="006A40D4"/>
    <w:rsid w:val="006A4176"/>
    <w:rsid w:val="006A442D"/>
    <w:rsid w:val="006A4674"/>
    <w:rsid w:val="006A4804"/>
    <w:rsid w:val="006A4814"/>
    <w:rsid w:val="006A4A88"/>
    <w:rsid w:val="006A4C34"/>
    <w:rsid w:val="006A4DC0"/>
    <w:rsid w:val="006A4DF4"/>
    <w:rsid w:val="006A4F9B"/>
    <w:rsid w:val="006A5201"/>
    <w:rsid w:val="006A523F"/>
    <w:rsid w:val="006A526E"/>
    <w:rsid w:val="006A5373"/>
    <w:rsid w:val="006A53DF"/>
    <w:rsid w:val="006A5807"/>
    <w:rsid w:val="006A5A71"/>
    <w:rsid w:val="006A5AE9"/>
    <w:rsid w:val="006A5C45"/>
    <w:rsid w:val="006A630C"/>
    <w:rsid w:val="006A631B"/>
    <w:rsid w:val="006A647A"/>
    <w:rsid w:val="006A6489"/>
    <w:rsid w:val="006A652E"/>
    <w:rsid w:val="006A6550"/>
    <w:rsid w:val="006A6770"/>
    <w:rsid w:val="006A6971"/>
    <w:rsid w:val="006A6EE1"/>
    <w:rsid w:val="006A6F8F"/>
    <w:rsid w:val="006A70EA"/>
    <w:rsid w:val="006A77A0"/>
    <w:rsid w:val="006A77DC"/>
    <w:rsid w:val="006A7B1E"/>
    <w:rsid w:val="006A7B5E"/>
    <w:rsid w:val="006A7B96"/>
    <w:rsid w:val="006A7C73"/>
    <w:rsid w:val="006A7CBA"/>
    <w:rsid w:val="006A7F05"/>
    <w:rsid w:val="006B0158"/>
    <w:rsid w:val="006B0237"/>
    <w:rsid w:val="006B0775"/>
    <w:rsid w:val="006B089B"/>
    <w:rsid w:val="006B0985"/>
    <w:rsid w:val="006B098F"/>
    <w:rsid w:val="006B09AB"/>
    <w:rsid w:val="006B0CE5"/>
    <w:rsid w:val="006B0D52"/>
    <w:rsid w:val="006B0EA3"/>
    <w:rsid w:val="006B0F19"/>
    <w:rsid w:val="006B0F34"/>
    <w:rsid w:val="006B1102"/>
    <w:rsid w:val="006B11AF"/>
    <w:rsid w:val="006B1283"/>
    <w:rsid w:val="006B1305"/>
    <w:rsid w:val="006B1479"/>
    <w:rsid w:val="006B1584"/>
    <w:rsid w:val="006B169A"/>
    <w:rsid w:val="006B16BE"/>
    <w:rsid w:val="006B18DB"/>
    <w:rsid w:val="006B1A7B"/>
    <w:rsid w:val="006B1B02"/>
    <w:rsid w:val="006B1FF5"/>
    <w:rsid w:val="006B22F0"/>
    <w:rsid w:val="006B2404"/>
    <w:rsid w:val="006B24A0"/>
    <w:rsid w:val="006B24DC"/>
    <w:rsid w:val="006B2584"/>
    <w:rsid w:val="006B25E4"/>
    <w:rsid w:val="006B26A6"/>
    <w:rsid w:val="006B26E9"/>
    <w:rsid w:val="006B2780"/>
    <w:rsid w:val="006B286F"/>
    <w:rsid w:val="006B2B87"/>
    <w:rsid w:val="006B2EB5"/>
    <w:rsid w:val="006B3300"/>
    <w:rsid w:val="006B33FC"/>
    <w:rsid w:val="006B3563"/>
    <w:rsid w:val="006B35DE"/>
    <w:rsid w:val="006B3608"/>
    <w:rsid w:val="006B37BB"/>
    <w:rsid w:val="006B380F"/>
    <w:rsid w:val="006B3A72"/>
    <w:rsid w:val="006B3BA1"/>
    <w:rsid w:val="006B3D5F"/>
    <w:rsid w:val="006B3D74"/>
    <w:rsid w:val="006B3ED4"/>
    <w:rsid w:val="006B40D0"/>
    <w:rsid w:val="006B4283"/>
    <w:rsid w:val="006B4324"/>
    <w:rsid w:val="006B4578"/>
    <w:rsid w:val="006B4623"/>
    <w:rsid w:val="006B46AB"/>
    <w:rsid w:val="006B471A"/>
    <w:rsid w:val="006B4858"/>
    <w:rsid w:val="006B4A9D"/>
    <w:rsid w:val="006B4F10"/>
    <w:rsid w:val="006B501B"/>
    <w:rsid w:val="006B50CB"/>
    <w:rsid w:val="006B52B8"/>
    <w:rsid w:val="006B5455"/>
    <w:rsid w:val="006B5551"/>
    <w:rsid w:val="006B556B"/>
    <w:rsid w:val="006B55A1"/>
    <w:rsid w:val="006B57B7"/>
    <w:rsid w:val="006B5923"/>
    <w:rsid w:val="006B5DE5"/>
    <w:rsid w:val="006B5E7C"/>
    <w:rsid w:val="006B5F3C"/>
    <w:rsid w:val="006B60DD"/>
    <w:rsid w:val="006B6253"/>
    <w:rsid w:val="006B6292"/>
    <w:rsid w:val="006B6426"/>
    <w:rsid w:val="006B653F"/>
    <w:rsid w:val="006B6951"/>
    <w:rsid w:val="006B6B03"/>
    <w:rsid w:val="006B6CCD"/>
    <w:rsid w:val="006B6CEC"/>
    <w:rsid w:val="006B6D57"/>
    <w:rsid w:val="006B6E33"/>
    <w:rsid w:val="006B6E87"/>
    <w:rsid w:val="006B6FBF"/>
    <w:rsid w:val="006B705C"/>
    <w:rsid w:val="006B7181"/>
    <w:rsid w:val="006B71D1"/>
    <w:rsid w:val="006B74F1"/>
    <w:rsid w:val="006B759A"/>
    <w:rsid w:val="006B776F"/>
    <w:rsid w:val="006B78E4"/>
    <w:rsid w:val="006B7924"/>
    <w:rsid w:val="006B7956"/>
    <w:rsid w:val="006B79B7"/>
    <w:rsid w:val="006B7B28"/>
    <w:rsid w:val="006B7B56"/>
    <w:rsid w:val="006B7B9A"/>
    <w:rsid w:val="006B7C2D"/>
    <w:rsid w:val="006B7D48"/>
    <w:rsid w:val="006B7ED0"/>
    <w:rsid w:val="006C040E"/>
    <w:rsid w:val="006C0423"/>
    <w:rsid w:val="006C04DF"/>
    <w:rsid w:val="006C08B0"/>
    <w:rsid w:val="006C093B"/>
    <w:rsid w:val="006C0C09"/>
    <w:rsid w:val="006C0CA4"/>
    <w:rsid w:val="006C0E4C"/>
    <w:rsid w:val="006C0F2E"/>
    <w:rsid w:val="006C103B"/>
    <w:rsid w:val="006C19B5"/>
    <w:rsid w:val="006C1A98"/>
    <w:rsid w:val="006C1D02"/>
    <w:rsid w:val="006C1D16"/>
    <w:rsid w:val="006C1E14"/>
    <w:rsid w:val="006C1E5F"/>
    <w:rsid w:val="006C1EB1"/>
    <w:rsid w:val="006C21A7"/>
    <w:rsid w:val="006C2289"/>
    <w:rsid w:val="006C2411"/>
    <w:rsid w:val="006C2443"/>
    <w:rsid w:val="006C2603"/>
    <w:rsid w:val="006C26F3"/>
    <w:rsid w:val="006C2AB2"/>
    <w:rsid w:val="006C2D99"/>
    <w:rsid w:val="006C3018"/>
    <w:rsid w:val="006C30D0"/>
    <w:rsid w:val="006C31F4"/>
    <w:rsid w:val="006C33AE"/>
    <w:rsid w:val="006C33B8"/>
    <w:rsid w:val="006C34A6"/>
    <w:rsid w:val="006C36F9"/>
    <w:rsid w:val="006C3731"/>
    <w:rsid w:val="006C3759"/>
    <w:rsid w:val="006C3790"/>
    <w:rsid w:val="006C37AF"/>
    <w:rsid w:val="006C37CB"/>
    <w:rsid w:val="006C38AF"/>
    <w:rsid w:val="006C38FF"/>
    <w:rsid w:val="006C392C"/>
    <w:rsid w:val="006C3A3E"/>
    <w:rsid w:val="006C3C8B"/>
    <w:rsid w:val="006C3C9D"/>
    <w:rsid w:val="006C3CE2"/>
    <w:rsid w:val="006C3ED1"/>
    <w:rsid w:val="006C41ED"/>
    <w:rsid w:val="006C442E"/>
    <w:rsid w:val="006C44E8"/>
    <w:rsid w:val="006C44EA"/>
    <w:rsid w:val="006C4790"/>
    <w:rsid w:val="006C47B8"/>
    <w:rsid w:val="006C47F5"/>
    <w:rsid w:val="006C4829"/>
    <w:rsid w:val="006C49E8"/>
    <w:rsid w:val="006C4A63"/>
    <w:rsid w:val="006C4A83"/>
    <w:rsid w:val="006C4D75"/>
    <w:rsid w:val="006C4E11"/>
    <w:rsid w:val="006C50A9"/>
    <w:rsid w:val="006C5105"/>
    <w:rsid w:val="006C5198"/>
    <w:rsid w:val="006C52B9"/>
    <w:rsid w:val="006C5596"/>
    <w:rsid w:val="006C56BE"/>
    <w:rsid w:val="006C56E8"/>
    <w:rsid w:val="006C5937"/>
    <w:rsid w:val="006C5955"/>
    <w:rsid w:val="006C5BA8"/>
    <w:rsid w:val="006C5C88"/>
    <w:rsid w:val="006C5CF0"/>
    <w:rsid w:val="006C5D0C"/>
    <w:rsid w:val="006C5E28"/>
    <w:rsid w:val="006C5EFA"/>
    <w:rsid w:val="006C5F21"/>
    <w:rsid w:val="006C607C"/>
    <w:rsid w:val="006C628A"/>
    <w:rsid w:val="006C62D0"/>
    <w:rsid w:val="006C62D4"/>
    <w:rsid w:val="006C642A"/>
    <w:rsid w:val="006C645D"/>
    <w:rsid w:val="006C6555"/>
    <w:rsid w:val="006C6715"/>
    <w:rsid w:val="006C6A35"/>
    <w:rsid w:val="006C6B9D"/>
    <w:rsid w:val="006C6DB2"/>
    <w:rsid w:val="006C7202"/>
    <w:rsid w:val="006C7DCB"/>
    <w:rsid w:val="006C7FDA"/>
    <w:rsid w:val="006D0AB9"/>
    <w:rsid w:val="006D11C3"/>
    <w:rsid w:val="006D1292"/>
    <w:rsid w:val="006D1482"/>
    <w:rsid w:val="006D1665"/>
    <w:rsid w:val="006D195F"/>
    <w:rsid w:val="006D1D35"/>
    <w:rsid w:val="006D1ED0"/>
    <w:rsid w:val="006D20B1"/>
    <w:rsid w:val="006D20E0"/>
    <w:rsid w:val="006D2195"/>
    <w:rsid w:val="006D2313"/>
    <w:rsid w:val="006D24AC"/>
    <w:rsid w:val="006D25BD"/>
    <w:rsid w:val="006D2766"/>
    <w:rsid w:val="006D27B5"/>
    <w:rsid w:val="006D29D5"/>
    <w:rsid w:val="006D2BC6"/>
    <w:rsid w:val="006D2CDB"/>
    <w:rsid w:val="006D2DAB"/>
    <w:rsid w:val="006D30A0"/>
    <w:rsid w:val="006D32EB"/>
    <w:rsid w:val="006D32ED"/>
    <w:rsid w:val="006D3614"/>
    <w:rsid w:val="006D37D8"/>
    <w:rsid w:val="006D3B27"/>
    <w:rsid w:val="006D3C4B"/>
    <w:rsid w:val="006D3CDD"/>
    <w:rsid w:val="006D3D07"/>
    <w:rsid w:val="006D3E0D"/>
    <w:rsid w:val="006D3EFE"/>
    <w:rsid w:val="006D3F9C"/>
    <w:rsid w:val="006D4149"/>
    <w:rsid w:val="006D42C7"/>
    <w:rsid w:val="006D4324"/>
    <w:rsid w:val="006D4332"/>
    <w:rsid w:val="006D4380"/>
    <w:rsid w:val="006D44FC"/>
    <w:rsid w:val="006D46DD"/>
    <w:rsid w:val="006D48E2"/>
    <w:rsid w:val="006D4A3A"/>
    <w:rsid w:val="006D4B84"/>
    <w:rsid w:val="006D4E92"/>
    <w:rsid w:val="006D4FB1"/>
    <w:rsid w:val="006D5299"/>
    <w:rsid w:val="006D52B0"/>
    <w:rsid w:val="006D58BC"/>
    <w:rsid w:val="006D58E3"/>
    <w:rsid w:val="006D59D9"/>
    <w:rsid w:val="006D5D1B"/>
    <w:rsid w:val="006D5FE7"/>
    <w:rsid w:val="006D607A"/>
    <w:rsid w:val="006D61B5"/>
    <w:rsid w:val="006D620E"/>
    <w:rsid w:val="006D6358"/>
    <w:rsid w:val="006D63AF"/>
    <w:rsid w:val="006D63F0"/>
    <w:rsid w:val="006D6573"/>
    <w:rsid w:val="006D661C"/>
    <w:rsid w:val="006D669E"/>
    <w:rsid w:val="006D6991"/>
    <w:rsid w:val="006D6AB7"/>
    <w:rsid w:val="006D6C58"/>
    <w:rsid w:val="006D6C78"/>
    <w:rsid w:val="006D6C7D"/>
    <w:rsid w:val="006D6D97"/>
    <w:rsid w:val="006D6E68"/>
    <w:rsid w:val="006D6E6D"/>
    <w:rsid w:val="006D6F38"/>
    <w:rsid w:val="006D7094"/>
    <w:rsid w:val="006D7339"/>
    <w:rsid w:val="006D7388"/>
    <w:rsid w:val="006D7424"/>
    <w:rsid w:val="006D7C6D"/>
    <w:rsid w:val="006D7D33"/>
    <w:rsid w:val="006D7DB3"/>
    <w:rsid w:val="006D7E3F"/>
    <w:rsid w:val="006D7E52"/>
    <w:rsid w:val="006D7F53"/>
    <w:rsid w:val="006E007A"/>
    <w:rsid w:val="006E009B"/>
    <w:rsid w:val="006E019B"/>
    <w:rsid w:val="006E01B2"/>
    <w:rsid w:val="006E0631"/>
    <w:rsid w:val="006E06CB"/>
    <w:rsid w:val="006E07C5"/>
    <w:rsid w:val="006E0828"/>
    <w:rsid w:val="006E0B21"/>
    <w:rsid w:val="006E0BC1"/>
    <w:rsid w:val="006E0BFA"/>
    <w:rsid w:val="006E0CB2"/>
    <w:rsid w:val="006E0DCE"/>
    <w:rsid w:val="006E0E3C"/>
    <w:rsid w:val="006E114F"/>
    <w:rsid w:val="006E18C6"/>
    <w:rsid w:val="006E19AD"/>
    <w:rsid w:val="006E1D7C"/>
    <w:rsid w:val="006E2002"/>
    <w:rsid w:val="006E20CC"/>
    <w:rsid w:val="006E20F8"/>
    <w:rsid w:val="006E22C5"/>
    <w:rsid w:val="006E26E9"/>
    <w:rsid w:val="006E2925"/>
    <w:rsid w:val="006E293E"/>
    <w:rsid w:val="006E2BBD"/>
    <w:rsid w:val="006E2C98"/>
    <w:rsid w:val="006E2CA4"/>
    <w:rsid w:val="006E2F02"/>
    <w:rsid w:val="006E2F0E"/>
    <w:rsid w:val="006E2F8F"/>
    <w:rsid w:val="006E2FEE"/>
    <w:rsid w:val="006E303C"/>
    <w:rsid w:val="006E3102"/>
    <w:rsid w:val="006E35E8"/>
    <w:rsid w:val="006E391D"/>
    <w:rsid w:val="006E3937"/>
    <w:rsid w:val="006E3B09"/>
    <w:rsid w:val="006E3B10"/>
    <w:rsid w:val="006E3CC3"/>
    <w:rsid w:val="006E3F6F"/>
    <w:rsid w:val="006E430B"/>
    <w:rsid w:val="006E433C"/>
    <w:rsid w:val="006E4415"/>
    <w:rsid w:val="006E4917"/>
    <w:rsid w:val="006E4A5F"/>
    <w:rsid w:val="006E4E25"/>
    <w:rsid w:val="006E4E3F"/>
    <w:rsid w:val="006E4EC7"/>
    <w:rsid w:val="006E4FDC"/>
    <w:rsid w:val="006E5209"/>
    <w:rsid w:val="006E523C"/>
    <w:rsid w:val="006E527B"/>
    <w:rsid w:val="006E5407"/>
    <w:rsid w:val="006E560B"/>
    <w:rsid w:val="006E576B"/>
    <w:rsid w:val="006E57CC"/>
    <w:rsid w:val="006E5A2C"/>
    <w:rsid w:val="006E5AB6"/>
    <w:rsid w:val="006E5ACE"/>
    <w:rsid w:val="006E5EE0"/>
    <w:rsid w:val="006E5EFE"/>
    <w:rsid w:val="006E5FCE"/>
    <w:rsid w:val="006E6096"/>
    <w:rsid w:val="006E62C4"/>
    <w:rsid w:val="006E63AE"/>
    <w:rsid w:val="006E63C7"/>
    <w:rsid w:val="006E6842"/>
    <w:rsid w:val="006E6938"/>
    <w:rsid w:val="006E6B46"/>
    <w:rsid w:val="006E6D38"/>
    <w:rsid w:val="006E6D4A"/>
    <w:rsid w:val="006E6DBD"/>
    <w:rsid w:val="006E706E"/>
    <w:rsid w:val="006E722A"/>
    <w:rsid w:val="006E7462"/>
    <w:rsid w:val="006E7483"/>
    <w:rsid w:val="006E7548"/>
    <w:rsid w:val="006E7585"/>
    <w:rsid w:val="006E7633"/>
    <w:rsid w:val="006E7669"/>
    <w:rsid w:val="006E769D"/>
    <w:rsid w:val="006E78A5"/>
    <w:rsid w:val="006E78A9"/>
    <w:rsid w:val="006E7938"/>
    <w:rsid w:val="006E7B31"/>
    <w:rsid w:val="006E7BA7"/>
    <w:rsid w:val="006F01CC"/>
    <w:rsid w:val="006F0AC3"/>
    <w:rsid w:val="006F0AF6"/>
    <w:rsid w:val="006F0B54"/>
    <w:rsid w:val="006F0C1D"/>
    <w:rsid w:val="006F0D69"/>
    <w:rsid w:val="006F0EF4"/>
    <w:rsid w:val="006F0F59"/>
    <w:rsid w:val="006F1145"/>
    <w:rsid w:val="006F114E"/>
    <w:rsid w:val="006F11B7"/>
    <w:rsid w:val="006F1239"/>
    <w:rsid w:val="006F12D2"/>
    <w:rsid w:val="006F1514"/>
    <w:rsid w:val="006F1BCF"/>
    <w:rsid w:val="006F1CA8"/>
    <w:rsid w:val="006F1EFB"/>
    <w:rsid w:val="006F20E9"/>
    <w:rsid w:val="006F2772"/>
    <w:rsid w:val="006F2883"/>
    <w:rsid w:val="006F2C8A"/>
    <w:rsid w:val="006F2EA8"/>
    <w:rsid w:val="006F2F12"/>
    <w:rsid w:val="006F309D"/>
    <w:rsid w:val="006F3135"/>
    <w:rsid w:val="006F32D4"/>
    <w:rsid w:val="006F3697"/>
    <w:rsid w:val="006F3992"/>
    <w:rsid w:val="006F3F0B"/>
    <w:rsid w:val="006F3FCB"/>
    <w:rsid w:val="006F4044"/>
    <w:rsid w:val="006F40F2"/>
    <w:rsid w:val="006F41CA"/>
    <w:rsid w:val="006F47F0"/>
    <w:rsid w:val="006F4B0A"/>
    <w:rsid w:val="006F4DE2"/>
    <w:rsid w:val="006F4F21"/>
    <w:rsid w:val="006F5018"/>
    <w:rsid w:val="006F51FC"/>
    <w:rsid w:val="006F52BE"/>
    <w:rsid w:val="006F531B"/>
    <w:rsid w:val="006F53AC"/>
    <w:rsid w:val="006F54BA"/>
    <w:rsid w:val="006F5850"/>
    <w:rsid w:val="006F5933"/>
    <w:rsid w:val="006F5C4E"/>
    <w:rsid w:val="006F5D4D"/>
    <w:rsid w:val="006F5D9B"/>
    <w:rsid w:val="006F5DA2"/>
    <w:rsid w:val="006F5E63"/>
    <w:rsid w:val="006F603B"/>
    <w:rsid w:val="006F60A1"/>
    <w:rsid w:val="006F6181"/>
    <w:rsid w:val="006F61ED"/>
    <w:rsid w:val="006F6358"/>
    <w:rsid w:val="006F63F6"/>
    <w:rsid w:val="006F656C"/>
    <w:rsid w:val="006F6608"/>
    <w:rsid w:val="006F6627"/>
    <w:rsid w:val="006F66A7"/>
    <w:rsid w:val="006F66E9"/>
    <w:rsid w:val="006F6A29"/>
    <w:rsid w:val="006F6B76"/>
    <w:rsid w:val="006F6CF8"/>
    <w:rsid w:val="006F6E10"/>
    <w:rsid w:val="006F718A"/>
    <w:rsid w:val="006F757D"/>
    <w:rsid w:val="006F768C"/>
    <w:rsid w:val="006F7865"/>
    <w:rsid w:val="006F79DA"/>
    <w:rsid w:val="006F7D1A"/>
    <w:rsid w:val="00700181"/>
    <w:rsid w:val="007001B5"/>
    <w:rsid w:val="007001C6"/>
    <w:rsid w:val="007003A2"/>
    <w:rsid w:val="00700510"/>
    <w:rsid w:val="00700584"/>
    <w:rsid w:val="007005E6"/>
    <w:rsid w:val="00700790"/>
    <w:rsid w:val="00700889"/>
    <w:rsid w:val="007008F8"/>
    <w:rsid w:val="0070094D"/>
    <w:rsid w:val="007009B2"/>
    <w:rsid w:val="00700ABE"/>
    <w:rsid w:val="00700E48"/>
    <w:rsid w:val="00700F66"/>
    <w:rsid w:val="007012CC"/>
    <w:rsid w:val="00701579"/>
    <w:rsid w:val="007015A6"/>
    <w:rsid w:val="00701D17"/>
    <w:rsid w:val="00701D18"/>
    <w:rsid w:val="00701DB9"/>
    <w:rsid w:val="00701E62"/>
    <w:rsid w:val="00702272"/>
    <w:rsid w:val="0070228A"/>
    <w:rsid w:val="00702457"/>
    <w:rsid w:val="007024F7"/>
    <w:rsid w:val="00702657"/>
    <w:rsid w:val="007026B1"/>
    <w:rsid w:val="00702772"/>
    <w:rsid w:val="00702A19"/>
    <w:rsid w:val="00702D2B"/>
    <w:rsid w:val="00702DD4"/>
    <w:rsid w:val="00702E5D"/>
    <w:rsid w:val="00703205"/>
    <w:rsid w:val="00703210"/>
    <w:rsid w:val="00703281"/>
    <w:rsid w:val="0070339B"/>
    <w:rsid w:val="00703781"/>
    <w:rsid w:val="007037B6"/>
    <w:rsid w:val="007037ED"/>
    <w:rsid w:val="00703B69"/>
    <w:rsid w:val="00703D59"/>
    <w:rsid w:val="00703DDE"/>
    <w:rsid w:val="00703F01"/>
    <w:rsid w:val="007040D1"/>
    <w:rsid w:val="0070417D"/>
    <w:rsid w:val="0070444D"/>
    <w:rsid w:val="0070445A"/>
    <w:rsid w:val="0070452A"/>
    <w:rsid w:val="00704789"/>
    <w:rsid w:val="007047D0"/>
    <w:rsid w:val="00704C06"/>
    <w:rsid w:val="00704F3B"/>
    <w:rsid w:val="0070522B"/>
    <w:rsid w:val="00705288"/>
    <w:rsid w:val="00705517"/>
    <w:rsid w:val="00705554"/>
    <w:rsid w:val="00705875"/>
    <w:rsid w:val="00705916"/>
    <w:rsid w:val="00705CC7"/>
    <w:rsid w:val="00705D23"/>
    <w:rsid w:val="00705D5F"/>
    <w:rsid w:val="0070608B"/>
    <w:rsid w:val="007062F9"/>
    <w:rsid w:val="0070641B"/>
    <w:rsid w:val="00706446"/>
    <w:rsid w:val="007065C9"/>
    <w:rsid w:val="00706950"/>
    <w:rsid w:val="00706C8A"/>
    <w:rsid w:val="00706E53"/>
    <w:rsid w:val="00706F58"/>
    <w:rsid w:val="00707014"/>
    <w:rsid w:val="0070735F"/>
    <w:rsid w:val="007073B9"/>
    <w:rsid w:val="0070750B"/>
    <w:rsid w:val="007075EB"/>
    <w:rsid w:val="00707712"/>
    <w:rsid w:val="00707859"/>
    <w:rsid w:val="00707932"/>
    <w:rsid w:val="007079F9"/>
    <w:rsid w:val="00707B07"/>
    <w:rsid w:val="00707B19"/>
    <w:rsid w:val="00707C47"/>
    <w:rsid w:val="00707F50"/>
    <w:rsid w:val="00710046"/>
    <w:rsid w:val="00710054"/>
    <w:rsid w:val="00710173"/>
    <w:rsid w:val="0071057A"/>
    <w:rsid w:val="00710652"/>
    <w:rsid w:val="00710A67"/>
    <w:rsid w:val="00710B32"/>
    <w:rsid w:val="00710CDF"/>
    <w:rsid w:val="00710CE2"/>
    <w:rsid w:val="00710E13"/>
    <w:rsid w:val="00710E4A"/>
    <w:rsid w:val="00711322"/>
    <w:rsid w:val="0071134F"/>
    <w:rsid w:val="007114C4"/>
    <w:rsid w:val="00711569"/>
    <w:rsid w:val="00711780"/>
    <w:rsid w:val="00711906"/>
    <w:rsid w:val="007119E9"/>
    <w:rsid w:val="00711B60"/>
    <w:rsid w:val="00711F42"/>
    <w:rsid w:val="0071203F"/>
    <w:rsid w:val="00712154"/>
    <w:rsid w:val="0071220D"/>
    <w:rsid w:val="00712232"/>
    <w:rsid w:val="0071224C"/>
    <w:rsid w:val="00712597"/>
    <w:rsid w:val="0071259E"/>
    <w:rsid w:val="00712614"/>
    <w:rsid w:val="00712691"/>
    <w:rsid w:val="007128D0"/>
    <w:rsid w:val="00712D5A"/>
    <w:rsid w:val="00712F8E"/>
    <w:rsid w:val="0071336F"/>
    <w:rsid w:val="007134EF"/>
    <w:rsid w:val="007135E8"/>
    <w:rsid w:val="0071377F"/>
    <w:rsid w:val="00713B00"/>
    <w:rsid w:val="00713CB1"/>
    <w:rsid w:val="00713D8E"/>
    <w:rsid w:val="0071404F"/>
    <w:rsid w:val="007140D5"/>
    <w:rsid w:val="007141D5"/>
    <w:rsid w:val="00714476"/>
    <w:rsid w:val="007144C5"/>
    <w:rsid w:val="0071461F"/>
    <w:rsid w:val="00714726"/>
    <w:rsid w:val="00714908"/>
    <w:rsid w:val="00714942"/>
    <w:rsid w:val="00714A39"/>
    <w:rsid w:val="00714B25"/>
    <w:rsid w:val="00714DEE"/>
    <w:rsid w:val="00714EBC"/>
    <w:rsid w:val="00714EF1"/>
    <w:rsid w:val="00714FDB"/>
    <w:rsid w:val="007150A0"/>
    <w:rsid w:val="007151B9"/>
    <w:rsid w:val="007152DC"/>
    <w:rsid w:val="0071535C"/>
    <w:rsid w:val="0071565B"/>
    <w:rsid w:val="00715670"/>
    <w:rsid w:val="007156B3"/>
    <w:rsid w:val="007157C7"/>
    <w:rsid w:val="0071585D"/>
    <w:rsid w:val="007159A8"/>
    <w:rsid w:val="00715AF3"/>
    <w:rsid w:val="00715DAA"/>
    <w:rsid w:val="00715DB0"/>
    <w:rsid w:val="00715EA1"/>
    <w:rsid w:val="007160BF"/>
    <w:rsid w:val="00716158"/>
    <w:rsid w:val="007162FD"/>
    <w:rsid w:val="0071652A"/>
    <w:rsid w:val="007165D1"/>
    <w:rsid w:val="00716732"/>
    <w:rsid w:val="00716811"/>
    <w:rsid w:val="00716970"/>
    <w:rsid w:val="00716A09"/>
    <w:rsid w:val="00716C21"/>
    <w:rsid w:val="00716CC9"/>
    <w:rsid w:val="00717278"/>
    <w:rsid w:val="00717347"/>
    <w:rsid w:val="007173CF"/>
    <w:rsid w:val="00717A82"/>
    <w:rsid w:val="00717BCD"/>
    <w:rsid w:val="00717D87"/>
    <w:rsid w:val="00717DAC"/>
    <w:rsid w:val="00717E84"/>
    <w:rsid w:val="00717F18"/>
    <w:rsid w:val="00720073"/>
    <w:rsid w:val="007200E7"/>
    <w:rsid w:val="007202AE"/>
    <w:rsid w:val="007202E9"/>
    <w:rsid w:val="007204BC"/>
    <w:rsid w:val="0072064A"/>
    <w:rsid w:val="00720A88"/>
    <w:rsid w:val="00720B4A"/>
    <w:rsid w:val="00720B55"/>
    <w:rsid w:val="00720BF2"/>
    <w:rsid w:val="00720E14"/>
    <w:rsid w:val="00720E48"/>
    <w:rsid w:val="0072121B"/>
    <w:rsid w:val="0072137D"/>
    <w:rsid w:val="007214CE"/>
    <w:rsid w:val="007215FA"/>
    <w:rsid w:val="0072183F"/>
    <w:rsid w:val="00721A0C"/>
    <w:rsid w:val="00721AA1"/>
    <w:rsid w:val="00721B68"/>
    <w:rsid w:val="00721BBD"/>
    <w:rsid w:val="00721C9A"/>
    <w:rsid w:val="00721D28"/>
    <w:rsid w:val="00721FA4"/>
    <w:rsid w:val="00722260"/>
    <w:rsid w:val="00722911"/>
    <w:rsid w:val="00722A4B"/>
    <w:rsid w:val="00722D0F"/>
    <w:rsid w:val="00722D33"/>
    <w:rsid w:val="00722FAC"/>
    <w:rsid w:val="007230E2"/>
    <w:rsid w:val="00723205"/>
    <w:rsid w:val="007232AF"/>
    <w:rsid w:val="007232C3"/>
    <w:rsid w:val="007234B9"/>
    <w:rsid w:val="0072350C"/>
    <w:rsid w:val="00723A0B"/>
    <w:rsid w:val="00723B9E"/>
    <w:rsid w:val="0072414A"/>
    <w:rsid w:val="0072423E"/>
    <w:rsid w:val="0072453F"/>
    <w:rsid w:val="007246D5"/>
    <w:rsid w:val="00724888"/>
    <w:rsid w:val="0072496E"/>
    <w:rsid w:val="007249B6"/>
    <w:rsid w:val="00724A6C"/>
    <w:rsid w:val="00724E0A"/>
    <w:rsid w:val="00724E68"/>
    <w:rsid w:val="00725066"/>
    <w:rsid w:val="0072542D"/>
    <w:rsid w:val="0072549B"/>
    <w:rsid w:val="00725555"/>
    <w:rsid w:val="00725888"/>
    <w:rsid w:val="0072592B"/>
    <w:rsid w:val="00725967"/>
    <w:rsid w:val="00725B30"/>
    <w:rsid w:val="00725BFE"/>
    <w:rsid w:val="00725D36"/>
    <w:rsid w:val="0072612A"/>
    <w:rsid w:val="00726305"/>
    <w:rsid w:val="00726558"/>
    <w:rsid w:val="00726630"/>
    <w:rsid w:val="0072664A"/>
    <w:rsid w:val="0072667D"/>
    <w:rsid w:val="00726696"/>
    <w:rsid w:val="007267E7"/>
    <w:rsid w:val="00726837"/>
    <w:rsid w:val="0072696C"/>
    <w:rsid w:val="00726AA1"/>
    <w:rsid w:val="007272C6"/>
    <w:rsid w:val="007275E4"/>
    <w:rsid w:val="007278F2"/>
    <w:rsid w:val="00727995"/>
    <w:rsid w:val="00730150"/>
    <w:rsid w:val="00730159"/>
    <w:rsid w:val="007301DE"/>
    <w:rsid w:val="007304CA"/>
    <w:rsid w:val="007306C6"/>
    <w:rsid w:val="0073081D"/>
    <w:rsid w:val="00730A63"/>
    <w:rsid w:val="00730DD1"/>
    <w:rsid w:val="00730E29"/>
    <w:rsid w:val="00730E2F"/>
    <w:rsid w:val="00730E58"/>
    <w:rsid w:val="00730F87"/>
    <w:rsid w:val="0073119E"/>
    <w:rsid w:val="0073122A"/>
    <w:rsid w:val="0073159A"/>
    <w:rsid w:val="007315AA"/>
    <w:rsid w:val="00731652"/>
    <w:rsid w:val="007317AB"/>
    <w:rsid w:val="0073185D"/>
    <w:rsid w:val="00731B23"/>
    <w:rsid w:val="00731C72"/>
    <w:rsid w:val="00731E19"/>
    <w:rsid w:val="00732065"/>
    <w:rsid w:val="0073221E"/>
    <w:rsid w:val="00732690"/>
    <w:rsid w:val="007327F0"/>
    <w:rsid w:val="00732897"/>
    <w:rsid w:val="007329ED"/>
    <w:rsid w:val="00732B6A"/>
    <w:rsid w:val="00732F02"/>
    <w:rsid w:val="0073324E"/>
    <w:rsid w:val="00733395"/>
    <w:rsid w:val="007333AA"/>
    <w:rsid w:val="00733454"/>
    <w:rsid w:val="007335CA"/>
    <w:rsid w:val="007336CE"/>
    <w:rsid w:val="007337F4"/>
    <w:rsid w:val="0073382D"/>
    <w:rsid w:val="007338B4"/>
    <w:rsid w:val="007339DB"/>
    <w:rsid w:val="00733A13"/>
    <w:rsid w:val="00733CBB"/>
    <w:rsid w:val="00733DD6"/>
    <w:rsid w:val="00733EB1"/>
    <w:rsid w:val="00733F00"/>
    <w:rsid w:val="00733F59"/>
    <w:rsid w:val="00733FB8"/>
    <w:rsid w:val="0073433A"/>
    <w:rsid w:val="00734476"/>
    <w:rsid w:val="0073467D"/>
    <w:rsid w:val="00734ADB"/>
    <w:rsid w:val="00734D02"/>
    <w:rsid w:val="00734D71"/>
    <w:rsid w:val="00734E4B"/>
    <w:rsid w:val="00734F2C"/>
    <w:rsid w:val="0073551D"/>
    <w:rsid w:val="0073562A"/>
    <w:rsid w:val="0073574E"/>
    <w:rsid w:val="007358C1"/>
    <w:rsid w:val="00735A33"/>
    <w:rsid w:val="00735A8F"/>
    <w:rsid w:val="00735B82"/>
    <w:rsid w:val="00735C81"/>
    <w:rsid w:val="00735D38"/>
    <w:rsid w:val="00735F3F"/>
    <w:rsid w:val="007360FC"/>
    <w:rsid w:val="00736122"/>
    <w:rsid w:val="007363AE"/>
    <w:rsid w:val="007364ED"/>
    <w:rsid w:val="007364F7"/>
    <w:rsid w:val="0073659E"/>
    <w:rsid w:val="00736603"/>
    <w:rsid w:val="00736834"/>
    <w:rsid w:val="007369B8"/>
    <w:rsid w:val="007369EF"/>
    <w:rsid w:val="00736B41"/>
    <w:rsid w:val="00736E12"/>
    <w:rsid w:val="007373A5"/>
    <w:rsid w:val="007373A9"/>
    <w:rsid w:val="00737543"/>
    <w:rsid w:val="0073769A"/>
    <w:rsid w:val="0073772E"/>
    <w:rsid w:val="007377A5"/>
    <w:rsid w:val="007377CB"/>
    <w:rsid w:val="0073788A"/>
    <w:rsid w:val="00737B4A"/>
    <w:rsid w:val="00737BCB"/>
    <w:rsid w:val="00737EC8"/>
    <w:rsid w:val="00737EDA"/>
    <w:rsid w:val="00737FE7"/>
    <w:rsid w:val="007400D8"/>
    <w:rsid w:val="00740410"/>
    <w:rsid w:val="00740558"/>
    <w:rsid w:val="007405B7"/>
    <w:rsid w:val="007406DE"/>
    <w:rsid w:val="007408FA"/>
    <w:rsid w:val="00740A8E"/>
    <w:rsid w:val="00740FD9"/>
    <w:rsid w:val="0074100C"/>
    <w:rsid w:val="007412F6"/>
    <w:rsid w:val="0074151D"/>
    <w:rsid w:val="00741547"/>
    <w:rsid w:val="00741594"/>
    <w:rsid w:val="00741652"/>
    <w:rsid w:val="007416BA"/>
    <w:rsid w:val="007418CF"/>
    <w:rsid w:val="00741D31"/>
    <w:rsid w:val="00741D36"/>
    <w:rsid w:val="00741DD9"/>
    <w:rsid w:val="00742159"/>
    <w:rsid w:val="00742444"/>
    <w:rsid w:val="007425B7"/>
    <w:rsid w:val="00742624"/>
    <w:rsid w:val="007427B5"/>
    <w:rsid w:val="007427C9"/>
    <w:rsid w:val="007427D6"/>
    <w:rsid w:val="007428C6"/>
    <w:rsid w:val="00742975"/>
    <w:rsid w:val="007429FD"/>
    <w:rsid w:val="00742B18"/>
    <w:rsid w:val="00742E23"/>
    <w:rsid w:val="00742FB8"/>
    <w:rsid w:val="00743100"/>
    <w:rsid w:val="00743531"/>
    <w:rsid w:val="0074372A"/>
    <w:rsid w:val="00743860"/>
    <w:rsid w:val="007439E5"/>
    <w:rsid w:val="00743A81"/>
    <w:rsid w:val="00743B0A"/>
    <w:rsid w:val="00743EB6"/>
    <w:rsid w:val="00743ECC"/>
    <w:rsid w:val="007441E4"/>
    <w:rsid w:val="0074422D"/>
    <w:rsid w:val="0074428C"/>
    <w:rsid w:val="007442DB"/>
    <w:rsid w:val="00744C3A"/>
    <w:rsid w:val="00744F8D"/>
    <w:rsid w:val="007451A1"/>
    <w:rsid w:val="007451BE"/>
    <w:rsid w:val="00745320"/>
    <w:rsid w:val="0074554F"/>
    <w:rsid w:val="00745608"/>
    <w:rsid w:val="00745849"/>
    <w:rsid w:val="007459DD"/>
    <w:rsid w:val="00745A87"/>
    <w:rsid w:val="00745BE5"/>
    <w:rsid w:val="00745D8A"/>
    <w:rsid w:val="0074615A"/>
    <w:rsid w:val="0074619C"/>
    <w:rsid w:val="007461D2"/>
    <w:rsid w:val="007463E6"/>
    <w:rsid w:val="007464E9"/>
    <w:rsid w:val="007464ED"/>
    <w:rsid w:val="007465E1"/>
    <w:rsid w:val="007466B4"/>
    <w:rsid w:val="00746881"/>
    <w:rsid w:val="00746989"/>
    <w:rsid w:val="00746B0E"/>
    <w:rsid w:val="00746B31"/>
    <w:rsid w:val="00746D18"/>
    <w:rsid w:val="00746E3D"/>
    <w:rsid w:val="00746F70"/>
    <w:rsid w:val="007472D2"/>
    <w:rsid w:val="007475F9"/>
    <w:rsid w:val="00747789"/>
    <w:rsid w:val="007478DE"/>
    <w:rsid w:val="007478E1"/>
    <w:rsid w:val="007479AA"/>
    <w:rsid w:val="00747A29"/>
    <w:rsid w:val="00747BF9"/>
    <w:rsid w:val="00747C03"/>
    <w:rsid w:val="00747C53"/>
    <w:rsid w:val="00747C67"/>
    <w:rsid w:val="00747CB7"/>
    <w:rsid w:val="00747D8C"/>
    <w:rsid w:val="00747DD2"/>
    <w:rsid w:val="007500F6"/>
    <w:rsid w:val="00750297"/>
    <w:rsid w:val="00750556"/>
    <w:rsid w:val="007505A6"/>
    <w:rsid w:val="007506B5"/>
    <w:rsid w:val="0075072B"/>
    <w:rsid w:val="00750D66"/>
    <w:rsid w:val="00750DEC"/>
    <w:rsid w:val="00750E77"/>
    <w:rsid w:val="00751114"/>
    <w:rsid w:val="00751357"/>
    <w:rsid w:val="00751367"/>
    <w:rsid w:val="0075138B"/>
    <w:rsid w:val="0075139A"/>
    <w:rsid w:val="007513F7"/>
    <w:rsid w:val="0075161D"/>
    <w:rsid w:val="00751644"/>
    <w:rsid w:val="007516CD"/>
    <w:rsid w:val="0075176F"/>
    <w:rsid w:val="00751808"/>
    <w:rsid w:val="0075192B"/>
    <w:rsid w:val="007519BC"/>
    <w:rsid w:val="00751B75"/>
    <w:rsid w:val="00751B82"/>
    <w:rsid w:val="00751BB8"/>
    <w:rsid w:val="00751BD3"/>
    <w:rsid w:val="00751CF5"/>
    <w:rsid w:val="00751D6E"/>
    <w:rsid w:val="00751E59"/>
    <w:rsid w:val="007520ED"/>
    <w:rsid w:val="00752132"/>
    <w:rsid w:val="00752164"/>
    <w:rsid w:val="007525F7"/>
    <w:rsid w:val="007526E6"/>
    <w:rsid w:val="0075279A"/>
    <w:rsid w:val="00752917"/>
    <w:rsid w:val="00752B19"/>
    <w:rsid w:val="00752C04"/>
    <w:rsid w:val="00752C76"/>
    <w:rsid w:val="00752C93"/>
    <w:rsid w:val="00752EA3"/>
    <w:rsid w:val="0075322F"/>
    <w:rsid w:val="00753424"/>
    <w:rsid w:val="0075375D"/>
    <w:rsid w:val="007539B3"/>
    <w:rsid w:val="00753EF0"/>
    <w:rsid w:val="00754008"/>
    <w:rsid w:val="00754016"/>
    <w:rsid w:val="0075433C"/>
    <w:rsid w:val="00754759"/>
    <w:rsid w:val="00754B42"/>
    <w:rsid w:val="00754BD4"/>
    <w:rsid w:val="00754D77"/>
    <w:rsid w:val="00754D93"/>
    <w:rsid w:val="00754E91"/>
    <w:rsid w:val="00754E99"/>
    <w:rsid w:val="00755055"/>
    <w:rsid w:val="00755152"/>
    <w:rsid w:val="00755179"/>
    <w:rsid w:val="007553F4"/>
    <w:rsid w:val="007554A4"/>
    <w:rsid w:val="00755500"/>
    <w:rsid w:val="007556E5"/>
    <w:rsid w:val="00755794"/>
    <w:rsid w:val="007557D7"/>
    <w:rsid w:val="00755896"/>
    <w:rsid w:val="00755A49"/>
    <w:rsid w:val="00755AE8"/>
    <w:rsid w:val="00755B2B"/>
    <w:rsid w:val="00755DC0"/>
    <w:rsid w:val="00755E07"/>
    <w:rsid w:val="0075629A"/>
    <w:rsid w:val="00756403"/>
    <w:rsid w:val="00756422"/>
    <w:rsid w:val="0075662E"/>
    <w:rsid w:val="0075680E"/>
    <w:rsid w:val="00756894"/>
    <w:rsid w:val="0075690F"/>
    <w:rsid w:val="00756C9F"/>
    <w:rsid w:val="00757465"/>
    <w:rsid w:val="00757482"/>
    <w:rsid w:val="00757816"/>
    <w:rsid w:val="00757831"/>
    <w:rsid w:val="00757A82"/>
    <w:rsid w:val="00757B8A"/>
    <w:rsid w:val="00757B93"/>
    <w:rsid w:val="00757F88"/>
    <w:rsid w:val="00757FEC"/>
    <w:rsid w:val="007600B8"/>
    <w:rsid w:val="00760379"/>
    <w:rsid w:val="007603C8"/>
    <w:rsid w:val="00760420"/>
    <w:rsid w:val="007604D5"/>
    <w:rsid w:val="007606CA"/>
    <w:rsid w:val="0076076F"/>
    <w:rsid w:val="00760833"/>
    <w:rsid w:val="00760A85"/>
    <w:rsid w:val="00760AA1"/>
    <w:rsid w:val="00760AAE"/>
    <w:rsid w:val="00760CE4"/>
    <w:rsid w:val="007611A5"/>
    <w:rsid w:val="00761424"/>
    <w:rsid w:val="0076167C"/>
    <w:rsid w:val="00761926"/>
    <w:rsid w:val="00761967"/>
    <w:rsid w:val="00761CA7"/>
    <w:rsid w:val="00761D6E"/>
    <w:rsid w:val="00762080"/>
    <w:rsid w:val="0076211A"/>
    <w:rsid w:val="0076211C"/>
    <w:rsid w:val="00762138"/>
    <w:rsid w:val="00762288"/>
    <w:rsid w:val="007622AC"/>
    <w:rsid w:val="00762385"/>
    <w:rsid w:val="00762489"/>
    <w:rsid w:val="0076248D"/>
    <w:rsid w:val="00762B8D"/>
    <w:rsid w:val="00762DF9"/>
    <w:rsid w:val="00762E14"/>
    <w:rsid w:val="00762E57"/>
    <w:rsid w:val="007630A5"/>
    <w:rsid w:val="007631F3"/>
    <w:rsid w:val="00763389"/>
    <w:rsid w:val="00763AB8"/>
    <w:rsid w:val="00763BA8"/>
    <w:rsid w:val="00763E02"/>
    <w:rsid w:val="00763F3B"/>
    <w:rsid w:val="007640E2"/>
    <w:rsid w:val="0076424C"/>
    <w:rsid w:val="0076426E"/>
    <w:rsid w:val="007642FB"/>
    <w:rsid w:val="00764331"/>
    <w:rsid w:val="007646B2"/>
    <w:rsid w:val="007649EB"/>
    <w:rsid w:val="00764C64"/>
    <w:rsid w:val="00764CE5"/>
    <w:rsid w:val="00764F5B"/>
    <w:rsid w:val="00764FB9"/>
    <w:rsid w:val="00765066"/>
    <w:rsid w:val="007652D0"/>
    <w:rsid w:val="00765318"/>
    <w:rsid w:val="007653C8"/>
    <w:rsid w:val="0076559E"/>
    <w:rsid w:val="007655B8"/>
    <w:rsid w:val="007656D4"/>
    <w:rsid w:val="00765856"/>
    <w:rsid w:val="0076608B"/>
    <w:rsid w:val="007663B4"/>
    <w:rsid w:val="0076693F"/>
    <w:rsid w:val="00767198"/>
    <w:rsid w:val="0076736D"/>
    <w:rsid w:val="00767381"/>
    <w:rsid w:val="007673B4"/>
    <w:rsid w:val="0076753D"/>
    <w:rsid w:val="0076775A"/>
    <w:rsid w:val="007677C5"/>
    <w:rsid w:val="00767831"/>
    <w:rsid w:val="00767AC2"/>
    <w:rsid w:val="00767B7A"/>
    <w:rsid w:val="00767BE4"/>
    <w:rsid w:val="00767CCD"/>
    <w:rsid w:val="00767FA1"/>
    <w:rsid w:val="00767FC7"/>
    <w:rsid w:val="00770101"/>
    <w:rsid w:val="00770150"/>
    <w:rsid w:val="00770168"/>
    <w:rsid w:val="00770216"/>
    <w:rsid w:val="007702FA"/>
    <w:rsid w:val="0077040F"/>
    <w:rsid w:val="007704C4"/>
    <w:rsid w:val="00770803"/>
    <w:rsid w:val="00770C06"/>
    <w:rsid w:val="00770C83"/>
    <w:rsid w:val="00770C9A"/>
    <w:rsid w:val="00770CA9"/>
    <w:rsid w:val="00770D64"/>
    <w:rsid w:val="00770F78"/>
    <w:rsid w:val="0077151E"/>
    <w:rsid w:val="007718EE"/>
    <w:rsid w:val="00771919"/>
    <w:rsid w:val="00771A88"/>
    <w:rsid w:val="00771B13"/>
    <w:rsid w:val="00771C2E"/>
    <w:rsid w:val="00771E40"/>
    <w:rsid w:val="00771FCB"/>
    <w:rsid w:val="007721F3"/>
    <w:rsid w:val="00772201"/>
    <w:rsid w:val="00772271"/>
    <w:rsid w:val="00772443"/>
    <w:rsid w:val="007725E9"/>
    <w:rsid w:val="00772BC7"/>
    <w:rsid w:val="00772E1F"/>
    <w:rsid w:val="00773005"/>
    <w:rsid w:val="00773048"/>
    <w:rsid w:val="007731F2"/>
    <w:rsid w:val="00773434"/>
    <w:rsid w:val="0077361F"/>
    <w:rsid w:val="00773719"/>
    <w:rsid w:val="007737C1"/>
    <w:rsid w:val="007737D6"/>
    <w:rsid w:val="007739DC"/>
    <w:rsid w:val="00773A2F"/>
    <w:rsid w:val="00773B26"/>
    <w:rsid w:val="00773B35"/>
    <w:rsid w:val="00773BEB"/>
    <w:rsid w:val="00773CD7"/>
    <w:rsid w:val="00773F85"/>
    <w:rsid w:val="00774042"/>
    <w:rsid w:val="0077411C"/>
    <w:rsid w:val="0077414F"/>
    <w:rsid w:val="0077435D"/>
    <w:rsid w:val="00774536"/>
    <w:rsid w:val="007745F9"/>
    <w:rsid w:val="00774669"/>
    <w:rsid w:val="007746E9"/>
    <w:rsid w:val="007746F2"/>
    <w:rsid w:val="0077494E"/>
    <w:rsid w:val="00774A02"/>
    <w:rsid w:val="00774A38"/>
    <w:rsid w:val="00774B86"/>
    <w:rsid w:val="00774BCC"/>
    <w:rsid w:val="00774C5B"/>
    <w:rsid w:val="00775321"/>
    <w:rsid w:val="00775702"/>
    <w:rsid w:val="00775887"/>
    <w:rsid w:val="0077589A"/>
    <w:rsid w:val="00775968"/>
    <w:rsid w:val="00775AA2"/>
    <w:rsid w:val="00775AE7"/>
    <w:rsid w:val="00775C48"/>
    <w:rsid w:val="00775E54"/>
    <w:rsid w:val="00776000"/>
    <w:rsid w:val="0077618C"/>
    <w:rsid w:val="00776286"/>
    <w:rsid w:val="0077655C"/>
    <w:rsid w:val="0077657E"/>
    <w:rsid w:val="007766A3"/>
    <w:rsid w:val="007766F1"/>
    <w:rsid w:val="00776762"/>
    <w:rsid w:val="007768A5"/>
    <w:rsid w:val="00776D6B"/>
    <w:rsid w:val="00776DCF"/>
    <w:rsid w:val="00776F9A"/>
    <w:rsid w:val="0077703F"/>
    <w:rsid w:val="0077715E"/>
    <w:rsid w:val="00777206"/>
    <w:rsid w:val="00777314"/>
    <w:rsid w:val="0077743E"/>
    <w:rsid w:val="0077749E"/>
    <w:rsid w:val="007774DD"/>
    <w:rsid w:val="007774FA"/>
    <w:rsid w:val="0077753A"/>
    <w:rsid w:val="0077766C"/>
    <w:rsid w:val="007776A9"/>
    <w:rsid w:val="00777782"/>
    <w:rsid w:val="007779C7"/>
    <w:rsid w:val="007779E3"/>
    <w:rsid w:val="00777EF1"/>
    <w:rsid w:val="00777EF5"/>
    <w:rsid w:val="00777EF7"/>
    <w:rsid w:val="00780180"/>
    <w:rsid w:val="0078033C"/>
    <w:rsid w:val="00780403"/>
    <w:rsid w:val="00780658"/>
    <w:rsid w:val="0078066D"/>
    <w:rsid w:val="0078077B"/>
    <w:rsid w:val="00780A3A"/>
    <w:rsid w:val="00780CEF"/>
    <w:rsid w:val="00780FF4"/>
    <w:rsid w:val="007811B4"/>
    <w:rsid w:val="007815F2"/>
    <w:rsid w:val="007817B4"/>
    <w:rsid w:val="0078181C"/>
    <w:rsid w:val="007818AD"/>
    <w:rsid w:val="00781A57"/>
    <w:rsid w:val="00781B35"/>
    <w:rsid w:val="00781B63"/>
    <w:rsid w:val="00781CE8"/>
    <w:rsid w:val="00781E95"/>
    <w:rsid w:val="00781EE8"/>
    <w:rsid w:val="00781F1B"/>
    <w:rsid w:val="007820D6"/>
    <w:rsid w:val="00782115"/>
    <w:rsid w:val="00782287"/>
    <w:rsid w:val="007822A9"/>
    <w:rsid w:val="007825A9"/>
    <w:rsid w:val="00782638"/>
    <w:rsid w:val="0078266B"/>
    <w:rsid w:val="007826ED"/>
    <w:rsid w:val="00782713"/>
    <w:rsid w:val="0078278E"/>
    <w:rsid w:val="00782829"/>
    <w:rsid w:val="00782935"/>
    <w:rsid w:val="00782B37"/>
    <w:rsid w:val="00782B9B"/>
    <w:rsid w:val="00782EF6"/>
    <w:rsid w:val="00782F1F"/>
    <w:rsid w:val="00783101"/>
    <w:rsid w:val="00783392"/>
    <w:rsid w:val="007833E5"/>
    <w:rsid w:val="0078342A"/>
    <w:rsid w:val="00783470"/>
    <w:rsid w:val="00783515"/>
    <w:rsid w:val="00783525"/>
    <w:rsid w:val="0078367B"/>
    <w:rsid w:val="007838A8"/>
    <w:rsid w:val="007838C1"/>
    <w:rsid w:val="0078392A"/>
    <w:rsid w:val="00783E00"/>
    <w:rsid w:val="00783E83"/>
    <w:rsid w:val="00783EC0"/>
    <w:rsid w:val="00783F28"/>
    <w:rsid w:val="00783FB2"/>
    <w:rsid w:val="00783FBD"/>
    <w:rsid w:val="00784275"/>
    <w:rsid w:val="0078432B"/>
    <w:rsid w:val="00784708"/>
    <w:rsid w:val="007848CB"/>
    <w:rsid w:val="00784ABF"/>
    <w:rsid w:val="00784EC8"/>
    <w:rsid w:val="0078509F"/>
    <w:rsid w:val="007850F3"/>
    <w:rsid w:val="0078513B"/>
    <w:rsid w:val="00785567"/>
    <w:rsid w:val="00785884"/>
    <w:rsid w:val="0078596C"/>
    <w:rsid w:val="007859BE"/>
    <w:rsid w:val="007859D8"/>
    <w:rsid w:val="00785A3C"/>
    <w:rsid w:val="00785A6E"/>
    <w:rsid w:val="00785B62"/>
    <w:rsid w:val="00785C1E"/>
    <w:rsid w:val="00785D75"/>
    <w:rsid w:val="00785E93"/>
    <w:rsid w:val="00785EA0"/>
    <w:rsid w:val="00786110"/>
    <w:rsid w:val="00786437"/>
    <w:rsid w:val="00786725"/>
    <w:rsid w:val="00786969"/>
    <w:rsid w:val="0078696A"/>
    <w:rsid w:val="00786AD6"/>
    <w:rsid w:val="00786DA2"/>
    <w:rsid w:val="00786EF3"/>
    <w:rsid w:val="00787379"/>
    <w:rsid w:val="007874E6"/>
    <w:rsid w:val="0078759E"/>
    <w:rsid w:val="0078767A"/>
    <w:rsid w:val="00787739"/>
    <w:rsid w:val="00787838"/>
    <w:rsid w:val="00787914"/>
    <w:rsid w:val="00787A27"/>
    <w:rsid w:val="00787B55"/>
    <w:rsid w:val="00787BCF"/>
    <w:rsid w:val="00787BFF"/>
    <w:rsid w:val="0079027D"/>
    <w:rsid w:val="00790438"/>
    <w:rsid w:val="0079052A"/>
    <w:rsid w:val="0079063E"/>
    <w:rsid w:val="007906B3"/>
    <w:rsid w:val="007909E5"/>
    <w:rsid w:val="00790D59"/>
    <w:rsid w:val="00790DDC"/>
    <w:rsid w:val="00790E61"/>
    <w:rsid w:val="00790EDC"/>
    <w:rsid w:val="007911A8"/>
    <w:rsid w:val="0079123E"/>
    <w:rsid w:val="00791522"/>
    <w:rsid w:val="00791760"/>
    <w:rsid w:val="00791969"/>
    <w:rsid w:val="00791AE8"/>
    <w:rsid w:val="00791B20"/>
    <w:rsid w:val="00791B80"/>
    <w:rsid w:val="00791CA4"/>
    <w:rsid w:val="00791E6A"/>
    <w:rsid w:val="00791ECA"/>
    <w:rsid w:val="00791F8B"/>
    <w:rsid w:val="007924DB"/>
    <w:rsid w:val="00792745"/>
    <w:rsid w:val="007927C3"/>
    <w:rsid w:val="007928C5"/>
    <w:rsid w:val="007928EB"/>
    <w:rsid w:val="00792C14"/>
    <w:rsid w:val="00792F21"/>
    <w:rsid w:val="00792F77"/>
    <w:rsid w:val="007934F1"/>
    <w:rsid w:val="00793564"/>
    <w:rsid w:val="00793601"/>
    <w:rsid w:val="007936C5"/>
    <w:rsid w:val="0079379B"/>
    <w:rsid w:val="0079387C"/>
    <w:rsid w:val="0079388E"/>
    <w:rsid w:val="0079391F"/>
    <w:rsid w:val="0079393B"/>
    <w:rsid w:val="007939CB"/>
    <w:rsid w:val="00793B8A"/>
    <w:rsid w:val="00793D0A"/>
    <w:rsid w:val="00793E9A"/>
    <w:rsid w:val="0079414B"/>
    <w:rsid w:val="00794499"/>
    <w:rsid w:val="007945F3"/>
    <w:rsid w:val="007946F2"/>
    <w:rsid w:val="007946FB"/>
    <w:rsid w:val="0079472C"/>
    <w:rsid w:val="00794808"/>
    <w:rsid w:val="007948B3"/>
    <w:rsid w:val="00794B23"/>
    <w:rsid w:val="00794C2D"/>
    <w:rsid w:val="00794E1B"/>
    <w:rsid w:val="00794F6A"/>
    <w:rsid w:val="00795037"/>
    <w:rsid w:val="007953C2"/>
    <w:rsid w:val="0079546E"/>
    <w:rsid w:val="00795489"/>
    <w:rsid w:val="0079551D"/>
    <w:rsid w:val="00795712"/>
    <w:rsid w:val="00795A6F"/>
    <w:rsid w:val="00795B57"/>
    <w:rsid w:val="00795D09"/>
    <w:rsid w:val="00795D58"/>
    <w:rsid w:val="00795F05"/>
    <w:rsid w:val="007963C9"/>
    <w:rsid w:val="007963FD"/>
    <w:rsid w:val="00796527"/>
    <w:rsid w:val="0079682A"/>
    <w:rsid w:val="0079684A"/>
    <w:rsid w:val="00796B09"/>
    <w:rsid w:val="00796B7F"/>
    <w:rsid w:val="00796BF7"/>
    <w:rsid w:val="0079710D"/>
    <w:rsid w:val="0079719E"/>
    <w:rsid w:val="00797375"/>
    <w:rsid w:val="00797448"/>
    <w:rsid w:val="007976E5"/>
    <w:rsid w:val="007979F4"/>
    <w:rsid w:val="00797D20"/>
    <w:rsid w:val="00797E76"/>
    <w:rsid w:val="00797EC3"/>
    <w:rsid w:val="00797FAE"/>
    <w:rsid w:val="007A0026"/>
    <w:rsid w:val="007A0107"/>
    <w:rsid w:val="007A0120"/>
    <w:rsid w:val="007A0476"/>
    <w:rsid w:val="007A0796"/>
    <w:rsid w:val="007A081C"/>
    <w:rsid w:val="007A0969"/>
    <w:rsid w:val="007A09CE"/>
    <w:rsid w:val="007A09D3"/>
    <w:rsid w:val="007A0B16"/>
    <w:rsid w:val="007A0C14"/>
    <w:rsid w:val="007A0D6D"/>
    <w:rsid w:val="007A0D8C"/>
    <w:rsid w:val="007A0E42"/>
    <w:rsid w:val="007A0E65"/>
    <w:rsid w:val="007A0E76"/>
    <w:rsid w:val="007A1067"/>
    <w:rsid w:val="007A10FB"/>
    <w:rsid w:val="007A11BD"/>
    <w:rsid w:val="007A12E3"/>
    <w:rsid w:val="007A141E"/>
    <w:rsid w:val="007A14B3"/>
    <w:rsid w:val="007A16E3"/>
    <w:rsid w:val="007A17BA"/>
    <w:rsid w:val="007A1B64"/>
    <w:rsid w:val="007A1CF9"/>
    <w:rsid w:val="007A1D2B"/>
    <w:rsid w:val="007A20DD"/>
    <w:rsid w:val="007A239A"/>
    <w:rsid w:val="007A27A8"/>
    <w:rsid w:val="007A281B"/>
    <w:rsid w:val="007A2950"/>
    <w:rsid w:val="007A2A39"/>
    <w:rsid w:val="007A2ADB"/>
    <w:rsid w:val="007A2D0E"/>
    <w:rsid w:val="007A30CB"/>
    <w:rsid w:val="007A33BF"/>
    <w:rsid w:val="007A34D8"/>
    <w:rsid w:val="007A353F"/>
    <w:rsid w:val="007A36C4"/>
    <w:rsid w:val="007A3757"/>
    <w:rsid w:val="007A3814"/>
    <w:rsid w:val="007A38AB"/>
    <w:rsid w:val="007A3A65"/>
    <w:rsid w:val="007A3B21"/>
    <w:rsid w:val="007A3BE6"/>
    <w:rsid w:val="007A3C3D"/>
    <w:rsid w:val="007A3DDE"/>
    <w:rsid w:val="007A3E25"/>
    <w:rsid w:val="007A4086"/>
    <w:rsid w:val="007A40EC"/>
    <w:rsid w:val="007A433A"/>
    <w:rsid w:val="007A4364"/>
    <w:rsid w:val="007A4422"/>
    <w:rsid w:val="007A4473"/>
    <w:rsid w:val="007A457C"/>
    <w:rsid w:val="007A46A8"/>
    <w:rsid w:val="007A4B71"/>
    <w:rsid w:val="007A4C38"/>
    <w:rsid w:val="007A4CDB"/>
    <w:rsid w:val="007A4CFD"/>
    <w:rsid w:val="007A4D6A"/>
    <w:rsid w:val="007A4E0E"/>
    <w:rsid w:val="007A4ECE"/>
    <w:rsid w:val="007A50B1"/>
    <w:rsid w:val="007A5235"/>
    <w:rsid w:val="007A52F6"/>
    <w:rsid w:val="007A53D4"/>
    <w:rsid w:val="007A542F"/>
    <w:rsid w:val="007A5504"/>
    <w:rsid w:val="007A562D"/>
    <w:rsid w:val="007A57AB"/>
    <w:rsid w:val="007A5803"/>
    <w:rsid w:val="007A593E"/>
    <w:rsid w:val="007A5A7A"/>
    <w:rsid w:val="007A5B8C"/>
    <w:rsid w:val="007A5E4D"/>
    <w:rsid w:val="007A5F3F"/>
    <w:rsid w:val="007A6041"/>
    <w:rsid w:val="007A64D3"/>
    <w:rsid w:val="007A6508"/>
    <w:rsid w:val="007A671B"/>
    <w:rsid w:val="007A69E0"/>
    <w:rsid w:val="007A6A99"/>
    <w:rsid w:val="007A6C2F"/>
    <w:rsid w:val="007A6C47"/>
    <w:rsid w:val="007A7260"/>
    <w:rsid w:val="007A7311"/>
    <w:rsid w:val="007A7317"/>
    <w:rsid w:val="007A73CA"/>
    <w:rsid w:val="007A7437"/>
    <w:rsid w:val="007A74AE"/>
    <w:rsid w:val="007A7570"/>
    <w:rsid w:val="007A75F0"/>
    <w:rsid w:val="007A7655"/>
    <w:rsid w:val="007A7B03"/>
    <w:rsid w:val="007A7C21"/>
    <w:rsid w:val="007A7C91"/>
    <w:rsid w:val="007A7EE6"/>
    <w:rsid w:val="007A7F0D"/>
    <w:rsid w:val="007A7F90"/>
    <w:rsid w:val="007B0010"/>
    <w:rsid w:val="007B02E3"/>
    <w:rsid w:val="007B040E"/>
    <w:rsid w:val="007B0506"/>
    <w:rsid w:val="007B0566"/>
    <w:rsid w:val="007B06D7"/>
    <w:rsid w:val="007B0B53"/>
    <w:rsid w:val="007B0BC2"/>
    <w:rsid w:val="007B0E32"/>
    <w:rsid w:val="007B0F02"/>
    <w:rsid w:val="007B0F09"/>
    <w:rsid w:val="007B1040"/>
    <w:rsid w:val="007B1103"/>
    <w:rsid w:val="007B13A4"/>
    <w:rsid w:val="007B14DA"/>
    <w:rsid w:val="007B16F5"/>
    <w:rsid w:val="007B19E6"/>
    <w:rsid w:val="007B1AAD"/>
    <w:rsid w:val="007B1BD1"/>
    <w:rsid w:val="007B1BD8"/>
    <w:rsid w:val="007B1DE7"/>
    <w:rsid w:val="007B1F6D"/>
    <w:rsid w:val="007B1FD9"/>
    <w:rsid w:val="007B2024"/>
    <w:rsid w:val="007B239A"/>
    <w:rsid w:val="007B2447"/>
    <w:rsid w:val="007B2588"/>
    <w:rsid w:val="007B2CAB"/>
    <w:rsid w:val="007B2CB1"/>
    <w:rsid w:val="007B2D4B"/>
    <w:rsid w:val="007B2DC9"/>
    <w:rsid w:val="007B2F37"/>
    <w:rsid w:val="007B3119"/>
    <w:rsid w:val="007B323F"/>
    <w:rsid w:val="007B32EF"/>
    <w:rsid w:val="007B3401"/>
    <w:rsid w:val="007B34CF"/>
    <w:rsid w:val="007B36BE"/>
    <w:rsid w:val="007B376E"/>
    <w:rsid w:val="007B3839"/>
    <w:rsid w:val="007B3B39"/>
    <w:rsid w:val="007B3B7B"/>
    <w:rsid w:val="007B3C49"/>
    <w:rsid w:val="007B3DD8"/>
    <w:rsid w:val="007B3E04"/>
    <w:rsid w:val="007B40C8"/>
    <w:rsid w:val="007B42D6"/>
    <w:rsid w:val="007B43D4"/>
    <w:rsid w:val="007B4513"/>
    <w:rsid w:val="007B451F"/>
    <w:rsid w:val="007B46AA"/>
    <w:rsid w:val="007B474E"/>
    <w:rsid w:val="007B4AE8"/>
    <w:rsid w:val="007B4BC1"/>
    <w:rsid w:val="007B4CFD"/>
    <w:rsid w:val="007B4D62"/>
    <w:rsid w:val="007B4DCF"/>
    <w:rsid w:val="007B4DDA"/>
    <w:rsid w:val="007B515A"/>
    <w:rsid w:val="007B51C4"/>
    <w:rsid w:val="007B530C"/>
    <w:rsid w:val="007B5390"/>
    <w:rsid w:val="007B561E"/>
    <w:rsid w:val="007B579D"/>
    <w:rsid w:val="007B584F"/>
    <w:rsid w:val="007B5946"/>
    <w:rsid w:val="007B5D1C"/>
    <w:rsid w:val="007B5E36"/>
    <w:rsid w:val="007B628C"/>
    <w:rsid w:val="007B6496"/>
    <w:rsid w:val="007B65F2"/>
    <w:rsid w:val="007B6831"/>
    <w:rsid w:val="007B68EB"/>
    <w:rsid w:val="007B69E1"/>
    <w:rsid w:val="007B69FB"/>
    <w:rsid w:val="007B6AFE"/>
    <w:rsid w:val="007B6D76"/>
    <w:rsid w:val="007B6DB9"/>
    <w:rsid w:val="007B6F1D"/>
    <w:rsid w:val="007B6F2F"/>
    <w:rsid w:val="007B6F76"/>
    <w:rsid w:val="007B7120"/>
    <w:rsid w:val="007B71A8"/>
    <w:rsid w:val="007B7203"/>
    <w:rsid w:val="007B72A0"/>
    <w:rsid w:val="007B7321"/>
    <w:rsid w:val="007B747A"/>
    <w:rsid w:val="007B7487"/>
    <w:rsid w:val="007B749D"/>
    <w:rsid w:val="007B755E"/>
    <w:rsid w:val="007B779B"/>
    <w:rsid w:val="007B7989"/>
    <w:rsid w:val="007B79AE"/>
    <w:rsid w:val="007B7CD0"/>
    <w:rsid w:val="007B7F1D"/>
    <w:rsid w:val="007B7F64"/>
    <w:rsid w:val="007C009B"/>
    <w:rsid w:val="007C023D"/>
    <w:rsid w:val="007C0283"/>
    <w:rsid w:val="007C047F"/>
    <w:rsid w:val="007C04C5"/>
    <w:rsid w:val="007C05C6"/>
    <w:rsid w:val="007C08FF"/>
    <w:rsid w:val="007C09A2"/>
    <w:rsid w:val="007C09B5"/>
    <w:rsid w:val="007C09E9"/>
    <w:rsid w:val="007C0DFE"/>
    <w:rsid w:val="007C0EBE"/>
    <w:rsid w:val="007C0ED6"/>
    <w:rsid w:val="007C1109"/>
    <w:rsid w:val="007C1295"/>
    <w:rsid w:val="007C12A7"/>
    <w:rsid w:val="007C172C"/>
    <w:rsid w:val="007C1D5C"/>
    <w:rsid w:val="007C1EF8"/>
    <w:rsid w:val="007C2587"/>
    <w:rsid w:val="007C25ED"/>
    <w:rsid w:val="007C2E67"/>
    <w:rsid w:val="007C2EE2"/>
    <w:rsid w:val="007C2FC3"/>
    <w:rsid w:val="007C2FC8"/>
    <w:rsid w:val="007C3187"/>
    <w:rsid w:val="007C3268"/>
    <w:rsid w:val="007C337A"/>
    <w:rsid w:val="007C33E7"/>
    <w:rsid w:val="007C3551"/>
    <w:rsid w:val="007C39A6"/>
    <w:rsid w:val="007C39CD"/>
    <w:rsid w:val="007C40F6"/>
    <w:rsid w:val="007C4285"/>
    <w:rsid w:val="007C44D0"/>
    <w:rsid w:val="007C458A"/>
    <w:rsid w:val="007C4641"/>
    <w:rsid w:val="007C4882"/>
    <w:rsid w:val="007C4A44"/>
    <w:rsid w:val="007C4B38"/>
    <w:rsid w:val="007C4CCB"/>
    <w:rsid w:val="007C4CD3"/>
    <w:rsid w:val="007C4CD4"/>
    <w:rsid w:val="007C4EEA"/>
    <w:rsid w:val="007C50A5"/>
    <w:rsid w:val="007C53EB"/>
    <w:rsid w:val="007C5454"/>
    <w:rsid w:val="007C5582"/>
    <w:rsid w:val="007C57AC"/>
    <w:rsid w:val="007C581D"/>
    <w:rsid w:val="007C5A1E"/>
    <w:rsid w:val="007C5A46"/>
    <w:rsid w:val="007C5A92"/>
    <w:rsid w:val="007C5D99"/>
    <w:rsid w:val="007C6279"/>
    <w:rsid w:val="007C62A9"/>
    <w:rsid w:val="007C68C7"/>
    <w:rsid w:val="007C6AC4"/>
    <w:rsid w:val="007C6AE5"/>
    <w:rsid w:val="007C6D7D"/>
    <w:rsid w:val="007C6E09"/>
    <w:rsid w:val="007C7236"/>
    <w:rsid w:val="007C7448"/>
    <w:rsid w:val="007C7588"/>
    <w:rsid w:val="007C7649"/>
    <w:rsid w:val="007C76EB"/>
    <w:rsid w:val="007C7950"/>
    <w:rsid w:val="007C7F8B"/>
    <w:rsid w:val="007C7FA2"/>
    <w:rsid w:val="007D00CB"/>
    <w:rsid w:val="007D0146"/>
    <w:rsid w:val="007D0161"/>
    <w:rsid w:val="007D04C5"/>
    <w:rsid w:val="007D06D7"/>
    <w:rsid w:val="007D0824"/>
    <w:rsid w:val="007D086B"/>
    <w:rsid w:val="007D08AE"/>
    <w:rsid w:val="007D08B6"/>
    <w:rsid w:val="007D0AD2"/>
    <w:rsid w:val="007D0B5B"/>
    <w:rsid w:val="007D0CE9"/>
    <w:rsid w:val="007D0E6C"/>
    <w:rsid w:val="007D13F9"/>
    <w:rsid w:val="007D157D"/>
    <w:rsid w:val="007D1A6E"/>
    <w:rsid w:val="007D2226"/>
    <w:rsid w:val="007D223F"/>
    <w:rsid w:val="007D2643"/>
    <w:rsid w:val="007D2904"/>
    <w:rsid w:val="007D2974"/>
    <w:rsid w:val="007D2B18"/>
    <w:rsid w:val="007D2C72"/>
    <w:rsid w:val="007D2D30"/>
    <w:rsid w:val="007D321A"/>
    <w:rsid w:val="007D32FF"/>
    <w:rsid w:val="007D3370"/>
    <w:rsid w:val="007D363C"/>
    <w:rsid w:val="007D383B"/>
    <w:rsid w:val="007D39D6"/>
    <w:rsid w:val="007D3A77"/>
    <w:rsid w:val="007D3D24"/>
    <w:rsid w:val="007D3FC9"/>
    <w:rsid w:val="007D4043"/>
    <w:rsid w:val="007D411A"/>
    <w:rsid w:val="007D4509"/>
    <w:rsid w:val="007D4594"/>
    <w:rsid w:val="007D4C29"/>
    <w:rsid w:val="007D4CFF"/>
    <w:rsid w:val="007D4E0A"/>
    <w:rsid w:val="007D4F02"/>
    <w:rsid w:val="007D5235"/>
    <w:rsid w:val="007D5306"/>
    <w:rsid w:val="007D53AA"/>
    <w:rsid w:val="007D53D7"/>
    <w:rsid w:val="007D5460"/>
    <w:rsid w:val="007D5691"/>
    <w:rsid w:val="007D5A51"/>
    <w:rsid w:val="007D5A61"/>
    <w:rsid w:val="007D5AA6"/>
    <w:rsid w:val="007D5BCD"/>
    <w:rsid w:val="007D6029"/>
    <w:rsid w:val="007D60EF"/>
    <w:rsid w:val="007D6117"/>
    <w:rsid w:val="007D614F"/>
    <w:rsid w:val="007D6750"/>
    <w:rsid w:val="007D677E"/>
    <w:rsid w:val="007D67A0"/>
    <w:rsid w:val="007D68A1"/>
    <w:rsid w:val="007D69B0"/>
    <w:rsid w:val="007D6A38"/>
    <w:rsid w:val="007D6CDD"/>
    <w:rsid w:val="007D73B0"/>
    <w:rsid w:val="007D7871"/>
    <w:rsid w:val="007D79DE"/>
    <w:rsid w:val="007D7A16"/>
    <w:rsid w:val="007D7A72"/>
    <w:rsid w:val="007D7B09"/>
    <w:rsid w:val="007D7B62"/>
    <w:rsid w:val="007D7CC7"/>
    <w:rsid w:val="007D7E1F"/>
    <w:rsid w:val="007D7E59"/>
    <w:rsid w:val="007D7E78"/>
    <w:rsid w:val="007D7F76"/>
    <w:rsid w:val="007E00B4"/>
    <w:rsid w:val="007E01A8"/>
    <w:rsid w:val="007E028C"/>
    <w:rsid w:val="007E048B"/>
    <w:rsid w:val="007E051A"/>
    <w:rsid w:val="007E0601"/>
    <w:rsid w:val="007E06CB"/>
    <w:rsid w:val="007E07FA"/>
    <w:rsid w:val="007E0822"/>
    <w:rsid w:val="007E08F0"/>
    <w:rsid w:val="007E0AC0"/>
    <w:rsid w:val="007E0BEE"/>
    <w:rsid w:val="007E0C2E"/>
    <w:rsid w:val="007E0D71"/>
    <w:rsid w:val="007E0DF1"/>
    <w:rsid w:val="007E0E93"/>
    <w:rsid w:val="007E0EB4"/>
    <w:rsid w:val="007E0F39"/>
    <w:rsid w:val="007E1035"/>
    <w:rsid w:val="007E1107"/>
    <w:rsid w:val="007E129B"/>
    <w:rsid w:val="007E1321"/>
    <w:rsid w:val="007E1424"/>
    <w:rsid w:val="007E149C"/>
    <w:rsid w:val="007E181A"/>
    <w:rsid w:val="007E1DAE"/>
    <w:rsid w:val="007E1E3B"/>
    <w:rsid w:val="007E2371"/>
    <w:rsid w:val="007E2680"/>
    <w:rsid w:val="007E2698"/>
    <w:rsid w:val="007E2AB9"/>
    <w:rsid w:val="007E2D7B"/>
    <w:rsid w:val="007E2FA1"/>
    <w:rsid w:val="007E334E"/>
    <w:rsid w:val="007E346D"/>
    <w:rsid w:val="007E38CD"/>
    <w:rsid w:val="007E39C7"/>
    <w:rsid w:val="007E3B90"/>
    <w:rsid w:val="007E3E2F"/>
    <w:rsid w:val="007E4169"/>
    <w:rsid w:val="007E438A"/>
    <w:rsid w:val="007E45B9"/>
    <w:rsid w:val="007E46CA"/>
    <w:rsid w:val="007E4734"/>
    <w:rsid w:val="007E476A"/>
    <w:rsid w:val="007E47AD"/>
    <w:rsid w:val="007E48F3"/>
    <w:rsid w:val="007E4B72"/>
    <w:rsid w:val="007E4EE6"/>
    <w:rsid w:val="007E5224"/>
    <w:rsid w:val="007E5675"/>
    <w:rsid w:val="007E5684"/>
    <w:rsid w:val="007E56F8"/>
    <w:rsid w:val="007E5759"/>
    <w:rsid w:val="007E5907"/>
    <w:rsid w:val="007E59A7"/>
    <w:rsid w:val="007E59DA"/>
    <w:rsid w:val="007E5A33"/>
    <w:rsid w:val="007E5A47"/>
    <w:rsid w:val="007E5B4C"/>
    <w:rsid w:val="007E5C88"/>
    <w:rsid w:val="007E5DF7"/>
    <w:rsid w:val="007E5EFD"/>
    <w:rsid w:val="007E60B9"/>
    <w:rsid w:val="007E60C7"/>
    <w:rsid w:val="007E61E6"/>
    <w:rsid w:val="007E6456"/>
    <w:rsid w:val="007E6521"/>
    <w:rsid w:val="007E675B"/>
    <w:rsid w:val="007E67AC"/>
    <w:rsid w:val="007E6AB5"/>
    <w:rsid w:val="007E6B83"/>
    <w:rsid w:val="007E6FF2"/>
    <w:rsid w:val="007E7005"/>
    <w:rsid w:val="007E7047"/>
    <w:rsid w:val="007E74FB"/>
    <w:rsid w:val="007E7617"/>
    <w:rsid w:val="007E766C"/>
    <w:rsid w:val="007E7712"/>
    <w:rsid w:val="007E7788"/>
    <w:rsid w:val="007E78DC"/>
    <w:rsid w:val="007E7CEC"/>
    <w:rsid w:val="007E7DAF"/>
    <w:rsid w:val="007F0007"/>
    <w:rsid w:val="007F004F"/>
    <w:rsid w:val="007F051C"/>
    <w:rsid w:val="007F06D8"/>
    <w:rsid w:val="007F077E"/>
    <w:rsid w:val="007F0782"/>
    <w:rsid w:val="007F098B"/>
    <w:rsid w:val="007F0BFC"/>
    <w:rsid w:val="007F0C6D"/>
    <w:rsid w:val="007F1373"/>
    <w:rsid w:val="007F13E5"/>
    <w:rsid w:val="007F1496"/>
    <w:rsid w:val="007F1554"/>
    <w:rsid w:val="007F162A"/>
    <w:rsid w:val="007F16F9"/>
    <w:rsid w:val="007F178D"/>
    <w:rsid w:val="007F186E"/>
    <w:rsid w:val="007F1B19"/>
    <w:rsid w:val="007F1C09"/>
    <w:rsid w:val="007F1C37"/>
    <w:rsid w:val="007F1E4A"/>
    <w:rsid w:val="007F1F54"/>
    <w:rsid w:val="007F2503"/>
    <w:rsid w:val="007F26F4"/>
    <w:rsid w:val="007F2836"/>
    <w:rsid w:val="007F29EC"/>
    <w:rsid w:val="007F2A23"/>
    <w:rsid w:val="007F2A8D"/>
    <w:rsid w:val="007F2DCB"/>
    <w:rsid w:val="007F2F87"/>
    <w:rsid w:val="007F3011"/>
    <w:rsid w:val="007F3079"/>
    <w:rsid w:val="007F30FD"/>
    <w:rsid w:val="007F31A7"/>
    <w:rsid w:val="007F31B3"/>
    <w:rsid w:val="007F3296"/>
    <w:rsid w:val="007F33E2"/>
    <w:rsid w:val="007F38A0"/>
    <w:rsid w:val="007F3A19"/>
    <w:rsid w:val="007F3BD4"/>
    <w:rsid w:val="007F3C6C"/>
    <w:rsid w:val="007F3E66"/>
    <w:rsid w:val="007F409E"/>
    <w:rsid w:val="007F4140"/>
    <w:rsid w:val="007F417A"/>
    <w:rsid w:val="007F42B5"/>
    <w:rsid w:val="007F45D6"/>
    <w:rsid w:val="007F493F"/>
    <w:rsid w:val="007F496E"/>
    <w:rsid w:val="007F4DEB"/>
    <w:rsid w:val="007F4EC0"/>
    <w:rsid w:val="007F4F03"/>
    <w:rsid w:val="007F4FDD"/>
    <w:rsid w:val="007F5034"/>
    <w:rsid w:val="007F5107"/>
    <w:rsid w:val="007F52D2"/>
    <w:rsid w:val="007F52E8"/>
    <w:rsid w:val="007F530F"/>
    <w:rsid w:val="007F5334"/>
    <w:rsid w:val="007F5760"/>
    <w:rsid w:val="007F588A"/>
    <w:rsid w:val="007F58FC"/>
    <w:rsid w:val="007F5A61"/>
    <w:rsid w:val="007F5AF9"/>
    <w:rsid w:val="007F5C98"/>
    <w:rsid w:val="007F5F11"/>
    <w:rsid w:val="007F60F8"/>
    <w:rsid w:val="007F61EA"/>
    <w:rsid w:val="007F63FC"/>
    <w:rsid w:val="007F6526"/>
    <w:rsid w:val="007F66A5"/>
    <w:rsid w:val="007F671E"/>
    <w:rsid w:val="007F68CE"/>
    <w:rsid w:val="007F6CFA"/>
    <w:rsid w:val="007F6D98"/>
    <w:rsid w:val="007F6DAF"/>
    <w:rsid w:val="007F6FCF"/>
    <w:rsid w:val="007F7042"/>
    <w:rsid w:val="007F7084"/>
    <w:rsid w:val="007F7217"/>
    <w:rsid w:val="007F7371"/>
    <w:rsid w:val="007F765E"/>
    <w:rsid w:val="007F76D7"/>
    <w:rsid w:val="007F76EC"/>
    <w:rsid w:val="007F779C"/>
    <w:rsid w:val="007F77B4"/>
    <w:rsid w:val="007F7A09"/>
    <w:rsid w:val="007F7CA6"/>
    <w:rsid w:val="007F7DC0"/>
    <w:rsid w:val="007F7EC2"/>
    <w:rsid w:val="007F7F09"/>
    <w:rsid w:val="007F7F68"/>
    <w:rsid w:val="00800480"/>
    <w:rsid w:val="00800487"/>
    <w:rsid w:val="008004D7"/>
    <w:rsid w:val="008005DF"/>
    <w:rsid w:val="008006F7"/>
    <w:rsid w:val="00800B40"/>
    <w:rsid w:val="00800EDD"/>
    <w:rsid w:val="00800F00"/>
    <w:rsid w:val="00800F8C"/>
    <w:rsid w:val="008011E1"/>
    <w:rsid w:val="0080120E"/>
    <w:rsid w:val="00801227"/>
    <w:rsid w:val="00801377"/>
    <w:rsid w:val="008013FB"/>
    <w:rsid w:val="00801437"/>
    <w:rsid w:val="008015DC"/>
    <w:rsid w:val="00801683"/>
    <w:rsid w:val="00801D3B"/>
    <w:rsid w:val="0080201D"/>
    <w:rsid w:val="0080206F"/>
    <w:rsid w:val="00802102"/>
    <w:rsid w:val="00802163"/>
    <w:rsid w:val="00802325"/>
    <w:rsid w:val="0080289F"/>
    <w:rsid w:val="00802933"/>
    <w:rsid w:val="008029AC"/>
    <w:rsid w:val="008029C0"/>
    <w:rsid w:val="00802C3B"/>
    <w:rsid w:val="00802DDD"/>
    <w:rsid w:val="00802DE0"/>
    <w:rsid w:val="00802E19"/>
    <w:rsid w:val="008031C7"/>
    <w:rsid w:val="0080322B"/>
    <w:rsid w:val="008032AD"/>
    <w:rsid w:val="008033CF"/>
    <w:rsid w:val="008033DF"/>
    <w:rsid w:val="008037F0"/>
    <w:rsid w:val="0080380B"/>
    <w:rsid w:val="00803862"/>
    <w:rsid w:val="00803886"/>
    <w:rsid w:val="00803948"/>
    <w:rsid w:val="008039F3"/>
    <w:rsid w:val="00803A4F"/>
    <w:rsid w:val="00803D40"/>
    <w:rsid w:val="00803D6F"/>
    <w:rsid w:val="00804042"/>
    <w:rsid w:val="0080419B"/>
    <w:rsid w:val="00804209"/>
    <w:rsid w:val="00804321"/>
    <w:rsid w:val="008043EA"/>
    <w:rsid w:val="00804474"/>
    <w:rsid w:val="0080475E"/>
    <w:rsid w:val="0080478A"/>
    <w:rsid w:val="00804CBB"/>
    <w:rsid w:val="00804F6D"/>
    <w:rsid w:val="00805165"/>
    <w:rsid w:val="00805BBB"/>
    <w:rsid w:val="00805CE9"/>
    <w:rsid w:val="00805CFC"/>
    <w:rsid w:val="00805E73"/>
    <w:rsid w:val="0080630D"/>
    <w:rsid w:val="008063C6"/>
    <w:rsid w:val="00806735"/>
    <w:rsid w:val="00806937"/>
    <w:rsid w:val="00806B90"/>
    <w:rsid w:val="00806C1F"/>
    <w:rsid w:val="00806D82"/>
    <w:rsid w:val="00806D9F"/>
    <w:rsid w:val="008071D5"/>
    <w:rsid w:val="00807323"/>
    <w:rsid w:val="008073BA"/>
    <w:rsid w:val="008073F6"/>
    <w:rsid w:val="0080779D"/>
    <w:rsid w:val="00807A01"/>
    <w:rsid w:val="00807B5B"/>
    <w:rsid w:val="00807B73"/>
    <w:rsid w:val="00807CB8"/>
    <w:rsid w:val="00807CF0"/>
    <w:rsid w:val="00807ED2"/>
    <w:rsid w:val="0081001A"/>
    <w:rsid w:val="008100DD"/>
    <w:rsid w:val="00810228"/>
    <w:rsid w:val="008102AC"/>
    <w:rsid w:val="008104C7"/>
    <w:rsid w:val="00810579"/>
    <w:rsid w:val="008106A1"/>
    <w:rsid w:val="0081070F"/>
    <w:rsid w:val="00810760"/>
    <w:rsid w:val="0081078E"/>
    <w:rsid w:val="00810A93"/>
    <w:rsid w:val="00810AE7"/>
    <w:rsid w:val="00810C61"/>
    <w:rsid w:val="00810FC3"/>
    <w:rsid w:val="00811302"/>
    <w:rsid w:val="00811312"/>
    <w:rsid w:val="008113D1"/>
    <w:rsid w:val="00811564"/>
    <w:rsid w:val="00811781"/>
    <w:rsid w:val="008119F8"/>
    <w:rsid w:val="00811CE3"/>
    <w:rsid w:val="00811D2F"/>
    <w:rsid w:val="00811D34"/>
    <w:rsid w:val="00811D76"/>
    <w:rsid w:val="00811E64"/>
    <w:rsid w:val="008120C4"/>
    <w:rsid w:val="00812335"/>
    <w:rsid w:val="0081233E"/>
    <w:rsid w:val="00812505"/>
    <w:rsid w:val="008127E6"/>
    <w:rsid w:val="0081291E"/>
    <w:rsid w:val="00812AA5"/>
    <w:rsid w:val="00812BED"/>
    <w:rsid w:val="00812D17"/>
    <w:rsid w:val="00812F9D"/>
    <w:rsid w:val="00813108"/>
    <w:rsid w:val="0081314F"/>
    <w:rsid w:val="00813291"/>
    <w:rsid w:val="0081343B"/>
    <w:rsid w:val="0081343E"/>
    <w:rsid w:val="00813704"/>
    <w:rsid w:val="00813C4D"/>
    <w:rsid w:val="00813E4D"/>
    <w:rsid w:val="00814126"/>
    <w:rsid w:val="00814156"/>
    <w:rsid w:val="0081422E"/>
    <w:rsid w:val="00814289"/>
    <w:rsid w:val="00814338"/>
    <w:rsid w:val="00814407"/>
    <w:rsid w:val="00814485"/>
    <w:rsid w:val="00814AF1"/>
    <w:rsid w:val="00814B02"/>
    <w:rsid w:val="00814BC6"/>
    <w:rsid w:val="00815048"/>
    <w:rsid w:val="00815323"/>
    <w:rsid w:val="008153B7"/>
    <w:rsid w:val="008153DF"/>
    <w:rsid w:val="00815496"/>
    <w:rsid w:val="00815552"/>
    <w:rsid w:val="00815554"/>
    <w:rsid w:val="008155ED"/>
    <w:rsid w:val="008156EC"/>
    <w:rsid w:val="00815A6D"/>
    <w:rsid w:val="00815E72"/>
    <w:rsid w:val="00816168"/>
    <w:rsid w:val="008163A6"/>
    <w:rsid w:val="008168CB"/>
    <w:rsid w:val="00816915"/>
    <w:rsid w:val="00816978"/>
    <w:rsid w:val="00816A5E"/>
    <w:rsid w:val="00816E30"/>
    <w:rsid w:val="00817146"/>
    <w:rsid w:val="008171DD"/>
    <w:rsid w:val="00817263"/>
    <w:rsid w:val="008172A3"/>
    <w:rsid w:val="00817338"/>
    <w:rsid w:val="0081787B"/>
    <w:rsid w:val="00817ECC"/>
    <w:rsid w:val="00817F18"/>
    <w:rsid w:val="008200DE"/>
    <w:rsid w:val="00820112"/>
    <w:rsid w:val="008203F0"/>
    <w:rsid w:val="00820525"/>
    <w:rsid w:val="0082060D"/>
    <w:rsid w:val="008206D2"/>
    <w:rsid w:val="008206D4"/>
    <w:rsid w:val="008207B3"/>
    <w:rsid w:val="008209E2"/>
    <w:rsid w:val="00820BA8"/>
    <w:rsid w:val="00820E56"/>
    <w:rsid w:val="00821009"/>
    <w:rsid w:val="00821080"/>
    <w:rsid w:val="008211A8"/>
    <w:rsid w:val="00821349"/>
    <w:rsid w:val="008214B3"/>
    <w:rsid w:val="008214D2"/>
    <w:rsid w:val="0082199B"/>
    <w:rsid w:val="00821EA3"/>
    <w:rsid w:val="0082213D"/>
    <w:rsid w:val="00822554"/>
    <w:rsid w:val="008227A3"/>
    <w:rsid w:val="008227E4"/>
    <w:rsid w:val="00822803"/>
    <w:rsid w:val="00822934"/>
    <w:rsid w:val="00822985"/>
    <w:rsid w:val="008229BE"/>
    <w:rsid w:val="00822B1F"/>
    <w:rsid w:val="00822D00"/>
    <w:rsid w:val="00822DF9"/>
    <w:rsid w:val="00822E0E"/>
    <w:rsid w:val="00822E2C"/>
    <w:rsid w:val="00822E32"/>
    <w:rsid w:val="00822EC8"/>
    <w:rsid w:val="00822F2D"/>
    <w:rsid w:val="008230BE"/>
    <w:rsid w:val="0082314C"/>
    <w:rsid w:val="008233DC"/>
    <w:rsid w:val="0082351B"/>
    <w:rsid w:val="008235B0"/>
    <w:rsid w:val="00823663"/>
    <w:rsid w:val="00823927"/>
    <w:rsid w:val="00823A66"/>
    <w:rsid w:val="00823AA6"/>
    <w:rsid w:val="00823BCE"/>
    <w:rsid w:val="00823CAE"/>
    <w:rsid w:val="00823CCA"/>
    <w:rsid w:val="00823D50"/>
    <w:rsid w:val="00823F89"/>
    <w:rsid w:val="008240EA"/>
    <w:rsid w:val="00824125"/>
    <w:rsid w:val="008241DC"/>
    <w:rsid w:val="0082422B"/>
    <w:rsid w:val="00824311"/>
    <w:rsid w:val="00824738"/>
    <w:rsid w:val="0082473E"/>
    <w:rsid w:val="00824826"/>
    <w:rsid w:val="00824985"/>
    <w:rsid w:val="00824C3D"/>
    <w:rsid w:val="00824F2E"/>
    <w:rsid w:val="0082517C"/>
    <w:rsid w:val="008251EA"/>
    <w:rsid w:val="008252A8"/>
    <w:rsid w:val="00825517"/>
    <w:rsid w:val="0082572C"/>
    <w:rsid w:val="008257CE"/>
    <w:rsid w:val="00825878"/>
    <w:rsid w:val="00825944"/>
    <w:rsid w:val="00825A17"/>
    <w:rsid w:val="00825D0A"/>
    <w:rsid w:val="00825DB4"/>
    <w:rsid w:val="008260C0"/>
    <w:rsid w:val="008260CC"/>
    <w:rsid w:val="00826120"/>
    <w:rsid w:val="0082631B"/>
    <w:rsid w:val="00826B6A"/>
    <w:rsid w:val="00826BB1"/>
    <w:rsid w:val="00826C1C"/>
    <w:rsid w:val="00826C7A"/>
    <w:rsid w:val="00826D12"/>
    <w:rsid w:val="00826D45"/>
    <w:rsid w:val="00826E40"/>
    <w:rsid w:val="00826E54"/>
    <w:rsid w:val="00826FB0"/>
    <w:rsid w:val="00827071"/>
    <w:rsid w:val="008272AF"/>
    <w:rsid w:val="008274D7"/>
    <w:rsid w:val="008274D8"/>
    <w:rsid w:val="00827621"/>
    <w:rsid w:val="0082769C"/>
    <w:rsid w:val="00827913"/>
    <w:rsid w:val="008279FB"/>
    <w:rsid w:val="00827C89"/>
    <w:rsid w:val="00830001"/>
    <w:rsid w:val="008300C3"/>
    <w:rsid w:val="00830216"/>
    <w:rsid w:val="008302C7"/>
    <w:rsid w:val="00830326"/>
    <w:rsid w:val="00830571"/>
    <w:rsid w:val="00830683"/>
    <w:rsid w:val="008308CC"/>
    <w:rsid w:val="00830918"/>
    <w:rsid w:val="008309B7"/>
    <w:rsid w:val="008309C9"/>
    <w:rsid w:val="00830AD9"/>
    <w:rsid w:val="00830CE3"/>
    <w:rsid w:val="00830CF9"/>
    <w:rsid w:val="00830D29"/>
    <w:rsid w:val="00830E12"/>
    <w:rsid w:val="00830E9A"/>
    <w:rsid w:val="00830F31"/>
    <w:rsid w:val="00831078"/>
    <w:rsid w:val="008310EA"/>
    <w:rsid w:val="00831151"/>
    <w:rsid w:val="008313DC"/>
    <w:rsid w:val="0083184A"/>
    <w:rsid w:val="008319A0"/>
    <w:rsid w:val="008319B2"/>
    <w:rsid w:val="00831DB6"/>
    <w:rsid w:val="00831F6F"/>
    <w:rsid w:val="008321F7"/>
    <w:rsid w:val="008323A5"/>
    <w:rsid w:val="008323B3"/>
    <w:rsid w:val="008325A8"/>
    <w:rsid w:val="00832896"/>
    <w:rsid w:val="00832B89"/>
    <w:rsid w:val="00832C15"/>
    <w:rsid w:val="00832D9C"/>
    <w:rsid w:val="0083330E"/>
    <w:rsid w:val="00833456"/>
    <w:rsid w:val="0083365F"/>
    <w:rsid w:val="00833C13"/>
    <w:rsid w:val="00833EF7"/>
    <w:rsid w:val="00833F85"/>
    <w:rsid w:val="00833FFB"/>
    <w:rsid w:val="00834243"/>
    <w:rsid w:val="008344CF"/>
    <w:rsid w:val="008345D7"/>
    <w:rsid w:val="008347AD"/>
    <w:rsid w:val="0083483D"/>
    <w:rsid w:val="00834A17"/>
    <w:rsid w:val="00834C91"/>
    <w:rsid w:val="00834D7E"/>
    <w:rsid w:val="00834E5E"/>
    <w:rsid w:val="00834EB5"/>
    <w:rsid w:val="00834ED9"/>
    <w:rsid w:val="00834EF3"/>
    <w:rsid w:val="00834FC3"/>
    <w:rsid w:val="00835174"/>
    <w:rsid w:val="00835189"/>
    <w:rsid w:val="0083520D"/>
    <w:rsid w:val="00835246"/>
    <w:rsid w:val="0083531F"/>
    <w:rsid w:val="008353E2"/>
    <w:rsid w:val="00835A5C"/>
    <w:rsid w:val="00835A92"/>
    <w:rsid w:val="00835C08"/>
    <w:rsid w:val="00835D28"/>
    <w:rsid w:val="00835EC8"/>
    <w:rsid w:val="00835F94"/>
    <w:rsid w:val="0083608C"/>
    <w:rsid w:val="008361B4"/>
    <w:rsid w:val="00836276"/>
    <w:rsid w:val="00836294"/>
    <w:rsid w:val="008362FF"/>
    <w:rsid w:val="008365B7"/>
    <w:rsid w:val="008365CB"/>
    <w:rsid w:val="00836937"/>
    <w:rsid w:val="00836AEB"/>
    <w:rsid w:val="00836AF8"/>
    <w:rsid w:val="00836BDD"/>
    <w:rsid w:val="00836CC2"/>
    <w:rsid w:val="00836D56"/>
    <w:rsid w:val="00836D6F"/>
    <w:rsid w:val="00836F3E"/>
    <w:rsid w:val="00837060"/>
    <w:rsid w:val="00837292"/>
    <w:rsid w:val="0083743F"/>
    <w:rsid w:val="008375EA"/>
    <w:rsid w:val="00837743"/>
    <w:rsid w:val="008377CF"/>
    <w:rsid w:val="00837FA3"/>
    <w:rsid w:val="00837FEF"/>
    <w:rsid w:val="00840029"/>
    <w:rsid w:val="0084017C"/>
    <w:rsid w:val="008401C1"/>
    <w:rsid w:val="00840225"/>
    <w:rsid w:val="008402D3"/>
    <w:rsid w:val="00840677"/>
    <w:rsid w:val="008406A8"/>
    <w:rsid w:val="008406EC"/>
    <w:rsid w:val="00840837"/>
    <w:rsid w:val="00840840"/>
    <w:rsid w:val="00840C63"/>
    <w:rsid w:val="00840CC5"/>
    <w:rsid w:val="00840D00"/>
    <w:rsid w:val="00840DBB"/>
    <w:rsid w:val="00841061"/>
    <w:rsid w:val="008410BB"/>
    <w:rsid w:val="0084131F"/>
    <w:rsid w:val="008415CB"/>
    <w:rsid w:val="008417B4"/>
    <w:rsid w:val="00841883"/>
    <w:rsid w:val="00841B24"/>
    <w:rsid w:val="00841CAD"/>
    <w:rsid w:val="00841DF8"/>
    <w:rsid w:val="00842231"/>
    <w:rsid w:val="008422C5"/>
    <w:rsid w:val="0084231F"/>
    <w:rsid w:val="00842396"/>
    <w:rsid w:val="008424FB"/>
    <w:rsid w:val="00842881"/>
    <w:rsid w:val="00842A16"/>
    <w:rsid w:val="00842C0B"/>
    <w:rsid w:val="00842C57"/>
    <w:rsid w:val="00842D21"/>
    <w:rsid w:val="00842D6E"/>
    <w:rsid w:val="00842DD0"/>
    <w:rsid w:val="00842E7A"/>
    <w:rsid w:val="00842F30"/>
    <w:rsid w:val="00842F79"/>
    <w:rsid w:val="00843037"/>
    <w:rsid w:val="008432A7"/>
    <w:rsid w:val="0084340D"/>
    <w:rsid w:val="008434C4"/>
    <w:rsid w:val="008436E3"/>
    <w:rsid w:val="008436E7"/>
    <w:rsid w:val="008437F4"/>
    <w:rsid w:val="00843913"/>
    <w:rsid w:val="00843BE3"/>
    <w:rsid w:val="00843C24"/>
    <w:rsid w:val="00844224"/>
    <w:rsid w:val="00844255"/>
    <w:rsid w:val="0084428F"/>
    <w:rsid w:val="0084461C"/>
    <w:rsid w:val="00844648"/>
    <w:rsid w:val="008446DF"/>
    <w:rsid w:val="00844750"/>
    <w:rsid w:val="008448C7"/>
    <w:rsid w:val="00844A50"/>
    <w:rsid w:val="00844ABB"/>
    <w:rsid w:val="00844C98"/>
    <w:rsid w:val="00844D1B"/>
    <w:rsid w:val="00844EC5"/>
    <w:rsid w:val="008450B7"/>
    <w:rsid w:val="008451C9"/>
    <w:rsid w:val="008451DF"/>
    <w:rsid w:val="008452B5"/>
    <w:rsid w:val="008454AC"/>
    <w:rsid w:val="008455B9"/>
    <w:rsid w:val="008456FF"/>
    <w:rsid w:val="00846116"/>
    <w:rsid w:val="008463DA"/>
    <w:rsid w:val="00846458"/>
    <w:rsid w:val="008464A6"/>
    <w:rsid w:val="008464B3"/>
    <w:rsid w:val="008465AA"/>
    <w:rsid w:val="0084677A"/>
    <w:rsid w:val="0084679A"/>
    <w:rsid w:val="00846A0A"/>
    <w:rsid w:val="00846B23"/>
    <w:rsid w:val="00846F04"/>
    <w:rsid w:val="0084759C"/>
    <w:rsid w:val="008475A0"/>
    <w:rsid w:val="00847613"/>
    <w:rsid w:val="0084781F"/>
    <w:rsid w:val="00847B63"/>
    <w:rsid w:val="00847D70"/>
    <w:rsid w:val="00847F66"/>
    <w:rsid w:val="00847F69"/>
    <w:rsid w:val="008500DA"/>
    <w:rsid w:val="0085020D"/>
    <w:rsid w:val="008502CE"/>
    <w:rsid w:val="00850519"/>
    <w:rsid w:val="008506EF"/>
    <w:rsid w:val="0085079E"/>
    <w:rsid w:val="008507D4"/>
    <w:rsid w:val="008508C8"/>
    <w:rsid w:val="00850F2C"/>
    <w:rsid w:val="00850FA8"/>
    <w:rsid w:val="00851333"/>
    <w:rsid w:val="008514DA"/>
    <w:rsid w:val="0085154F"/>
    <w:rsid w:val="008516E7"/>
    <w:rsid w:val="0085189F"/>
    <w:rsid w:val="0085191A"/>
    <w:rsid w:val="008519A0"/>
    <w:rsid w:val="00851A54"/>
    <w:rsid w:val="00851C21"/>
    <w:rsid w:val="00851C6A"/>
    <w:rsid w:val="00851E4C"/>
    <w:rsid w:val="00851E5E"/>
    <w:rsid w:val="00851EFB"/>
    <w:rsid w:val="00851FD4"/>
    <w:rsid w:val="00852307"/>
    <w:rsid w:val="0085269A"/>
    <w:rsid w:val="0085273A"/>
    <w:rsid w:val="008528CA"/>
    <w:rsid w:val="00852AFB"/>
    <w:rsid w:val="00852EBD"/>
    <w:rsid w:val="00852F8B"/>
    <w:rsid w:val="008530C6"/>
    <w:rsid w:val="00853206"/>
    <w:rsid w:val="00853357"/>
    <w:rsid w:val="00853421"/>
    <w:rsid w:val="008534EE"/>
    <w:rsid w:val="0085356E"/>
    <w:rsid w:val="008535E4"/>
    <w:rsid w:val="00853700"/>
    <w:rsid w:val="00853709"/>
    <w:rsid w:val="008537D7"/>
    <w:rsid w:val="008538C2"/>
    <w:rsid w:val="0085393E"/>
    <w:rsid w:val="008539B8"/>
    <w:rsid w:val="00853A48"/>
    <w:rsid w:val="00853B17"/>
    <w:rsid w:val="00853B8A"/>
    <w:rsid w:val="00853DA6"/>
    <w:rsid w:val="00853DAF"/>
    <w:rsid w:val="0085404E"/>
    <w:rsid w:val="008541F2"/>
    <w:rsid w:val="008543B3"/>
    <w:rsid w:val="008543BD"/>
    <w:rsid w:val="00854493"/>
    <w:rsid w:val="00854627"/>
    <w:rsid w:val="0085492C"/>
    <w:rsid w:val="00854AB8"/>
    <w:rsid w:val="00854BC7"/>
    <w:rsid w:val="00854E5B"/>
    <w:rsid w:val="00854F64"/>
    <w:rsid w:val="00854F9E"/>
    <w:rsid w:val="0085532B"/>
    <w:rsid w:val="00855534"/>
    <w:rsid w:val="00855618"/>
    <w:rsid w:val="0085599E"/>
    <w:rsid w:val="008559AC"/>
    <w:rsid w:val="008559B5"/>
    <w:rsid w:val="00855A22"/>
    <w:rsid w:val="00855DF1"/>
    <w:rsid w:val="00856083"/>
    <w:rsid w:val="00856279"/>
    <w:rsid w:val="0085634F"/>
    <w:rsid w:val="008563EE"/>
    <w:rsid w:val="008563F0"/>
    <w:rsid w:val="00856571"/>
    <w:rsid w:val="00856614"/>
    <w:rsid w:val="008567D5"/>
    <w:rsid w:val="00856883"/>
    <w:rsid w:val="00856E81"/>
    <w:rsid w:val="0085725C"/>
    <w:rsid w:val="00857396"/>
    <w:rsid w:val="0085752A"/>
    <w:rsid w:val="0085752E"/>
    <w:rsid w:val="00857594"/>
    <w:rsid w:val="0085762E"/>
    <w:rsid w:val="008577A7"/>
    <w:rsid w:val="00857806"/>
    <w:rsid w:val="008578F4"/>
    <w:rsid w:val="00857929"/>
    <w:rsid w:val="00857969"/>
    <w:rsid w:val="00857BCA"/>
    <w:rsid w:val="00857C13"/>
    <w:rsid w:val="00857C54"/>
    <w:rsid w:val="00857C8E"/>
    <w:rsid w:val="00857D60"/>
    <w:rsid w:val="00857ED0"/>
    <w:rsid w:val="00860111"/>
    <w:rsid w:val="00860124"/>
    <w:rsid w:val="008601A5"/>
    <w:rsid w:val="008602BB"/>
    <w:rsid w:val="008603E9"/>
    <w:rsid w:val="00860401"/>
    <w:rsid w:val="00860489"/>
    <w:rsid w:val="008604B6"/>
    <w:rsid w:val="008606FC"/>
    <w:rsid w:val="008607A9"/>
    <w:rsid w:val="00860A59"/>
    <w:rsid w:val="00860AED"/>
    <w:rsid w:val="00860AF3"/>
    <w:rsid w:val="00860BB5"/>
    <w:rsid w:val="00860D6E"/>
    <w:rsid w:val="00860EDD"/>
    <w:rsid w:val="00860F57"/>
    <w:rsid w:val="00861010"/>
    <w:rsid w:val="008610F1"/>
    <w:rsid w:val="0086113B"/>
    <w:rsid w:val="00861268"/>
    <w:rsid w:val="008614EB"/>
    <w:rsid w:val="008616FC"/>
    <w:rsid w:val="00861DA5"/>
    <w:rsid w:val="00861FE0"/>
    <w:rsid w:val="00862019"/>
    <w:rsid w:val="00862057"/>
    <w:rsid w:val="00862157"/>
    <w:rsid w:val="0086229D"/>
    <w:rsid w:val="00862514"/>
    <w:rsid w:val="0086253E"/>
    <w:rsid w:val="00862596"/>
    <w:rsid w:val="008625F6"/>
    <w:rsid w:val="00862701"/>
    <w:rsid w:val="008627A8"/>
    <w:rsid w:val="00862F78"/>
    <w:rsid w:val="0086302E"/>
    <w:rsid w:val="0086308A"/>
    <w:rsid w:val="008631AB"/>
    <w:rsid w:val="008631CD"/>
    <w:rsid w:val="00863303"/>
    <w:rsid w:val="0086360F"/>
    <w:rsid w:val="00863638"/>
    <w:rsid w:val="0086391A"/>
    <w:rsid w:val="00863A28"/>
    <w:rsid w:val="00863CAB"/>
    <w:rsid w:val="00863D98"/>
    <w:rsid w:val="00863DBA"/>
    <w:rsid w:val="00863DCA"/>
    <w:rsid w:val="008643CA"/>
    <w:rsid w:val="0086449A"/>
    <w:rsid w:val="00864892"/>
    <w:rsid w:val="008648AD"/>
    <w:rsid w:val="008649F3"/>
    <w:rsid w:val="00864BD3"/>
    <w:rsid w:val="00864F47"/>
    <w:rsid w:val="00865629"/>
    <w:rsid w:val="0086592B"/>
    <w:rsid w:val="00865A22"/>
    <w:rsid w:val="00865A32"/>
    <w:rsid w:val="00865A38"/>
    <w:rsid w:val="00865AE1"/>
    <w:rsid w:val="00865CC9"/>
    <w:rsid w:val="00866703"/>
    <w:rsid w:val="0086674D"/>
    <w:rsid w:val="0086679D"/>
    <w:rsid w:val="00866C1F"/>
    <w:rsid w:val="00866DC3"/>
    <w:rsid w:val="00866EB8"/>
    <w:rsid w:val="00866F3D"/>
    <w:rsid w:val="008671E8"/>
    <w:rsid w:val="00867479"/>
    <w:rsid w:val="0086761E"/>
    <w:rsid w:val="0086790E"/>
    <w:rsid w:val="00867EEB"/>
    <w:rsid w:val="00870350"/>
    <w:rsid w:val="00870396"/>
    <w:rsid w:val="008704AF"/>
    <w:rsid w:val="00870783"/>
    <w:rsid w:val="008707FB"/>
    <w:rsid w:val="00871217"/>
    <w:rsid w:val="00871243"/>
    <w:rsid w:val="008712AA"/>
    <w:rsid w:val="00871380"/>
    <w:rsid w:val="008714CD"/>
    <w:rsid w:val="00871581"/>
    <w:rsid w:val="00871610"/>
    <w:rsid w:val="00871730"/>
    <w:rsid w:val="0087175D"/>
    <w:rsid w:val="00871806"/>
    <w:rsid w:val="00871937"/>
    <w:rsid w:val="008719E9"/>
    <w:rsid w:val="00871A21"/>
    <w:rsid w:val="00871AFA"/>
    <w:rsid w:val="00871D19"/>
    <w:rsid w:val="00871D8C"/>
    <w:rsid w:val="00871F67"/>
    <w:rsid w:val="00872085"/>
    <w:rsid w:val="00872381"/>
    <w:rsid w:val="00872430"/>
    <w:rsid w:val="0087247D"/>
    <w:rsid w:val="0087257C"/>
    <w:rsid w:val="008727F0"/>
    <w:rsid w:val="0087286F"/>
    <w:rsid w:val="00872951"/>
    <w:rsid w:val="00872BA4"/>
    <w:rsid w:val="00872C10"/>
    <w:rsid w:val="00872CB1"/>
    <w:rsid w:val="00872D83"/>
    <w:rsid w:val="00872E35"/>
    <w:rsid w:val="00872F91"/>
    <w:rsid w:val="00873070"/>
    <w:rsid w:val="008730C0"/>
    <w:rsid w:val="00873208"/>
    <w:rsid w:val="0087340B"/>
    <w:rsid w:val="00873647"/>
    <w:rsid w:val="008736E7"/>
    <w:rsid w:val="00873779"/>
    <w:rsid w:val="008738D0"/>
    <w:rsid w:val="0087394A"/>
    <w:rsid w:val="0087399A"/>
    <w:rsid w:val="008739AE"/>
    <w:rsid w:val="00873AE1"/>
    <w:rsid w:val="00873B1E"/>
    <w:rsid w:val="00873BB8"/>
    <w:rsid w:val="00873D14"/>
    <w:rsid w:val="00873D65"/>
    <w:rsid w:val="00873E49"/>
    <w:rsid w:val="00874010"/>
    <w:rsid w:val="008740F5"/>
    <w:rsid w:val="00874261"/>
    <w:rsid w:val="008745DE"/>
    <w:rsid w:val="0087468C"/>
    <w:rsid w:val="00874806"/>
    <w:rsid w:val="00874E50"/>
    <w:rsid w:val="00875047"/>
    <w:rsid w:val="00875133"/>
    <w:rsid w:val="008753BB"/>
    <w:rsid w:val="00875476"/>
    <w:rsid w:val="0087549F"/>
    <w:rsid w:val="008754B3"/>
    <w:rsid w:val="00875513"/>
    <w:rsid w:val="00875678"/>
    <w:rsid w:val="008757BC"/>
    <w:rsid w:val="00875CFD"/>
    <w:rsid w:val="00875D81"/>
    <w:rsid w:val="008761E1"/>
    <w:rsid w:val="0087646A"/>
    <w:rsid w:val="008765C7"/>
    <w:rsid w:val="0087666B"/>
    <w:rsid w:val="008768C7"/>
    <w:rsid w:val="00876911"/>
    <w:rsid w:val="00876BC1"/>
    <w:rsid w:val="00876D75"/>
    <w:rsid w:val="00876D7D"/>
    <w:rsid w:val="00877240"/>
    <w:rsid w:val="00877475"/>
    <w:rsid w:val="00877491"/>
    <w:rsid w:val="008775C7"/>
    <w:rsid w:val="008776C4"/>
    <w:rsid w:val="0087784F"/>
    <w:rsid w:val="008779D8"/>
    <w:rsid w:val="00877C45"/>
    <w:rsid w:val="00877C6D"/>
    <w:rsid w:val="00877E40"/>
    <w:rsid w:val="008800DB"/>
    <w:rsid w:val="008800E3"/>
    <w:rsid w:val="00880197"/>
    <w:rsid w:val="00880223"/>
    <w:rsid w:val="00880261"/>
    <w:rsid w:val="008802B6"/>
    <w:rsid w:val="008802D4"/>
    <w:rsid w:val="0088035F"/>
    <w:rsid w:val="008804E5"/>
    <w:rsid w:val="00880600"/>
    <w:rsid w:val="0088064D"/>
    <w:rsid w:val="00880723"/>
    <w:rsid w:val="00880900"/>
    <w:rsid w:val="00880957"/>
    <w:rsid w:val="008809F8"/>
    <w:rsid w:val="00880C81"/>
    <w:rsid w:val="00880CEB"/>
    <w:rsid w:val="00880DC1"/>
    <w:rsid w:val="00880ED0"/>
    <w:rsid w:val="00880F54"/>
    <w:rsid w:val="00881277"/>
    <w:rsid w:val="0088135B"/>
    <w:rsid w:val="0088139A"/>
    <w:rsid w:val="008813A8"/>
    <w:rsid w:val="0088147C"/>
    <w:rsid w:val="00881534"/>
    <w:rsid w:val="008817FE"/>
    <w:rsid w:val="00881A2A"/>
    <w:rsid w:val="00881B4E"/>
    <w:rsid w:val="00881C41"/>
    <w:rsid w:val="00881D9F"/>
    <w:rsid w:val="008821C2"/>
    <w:rsid w:val="0088292C"/>
    <w:rsid w:val="00882937"/>
    <w:rsid w:val="00882D7A"/>
    <w:rsid w:val="00882D81"/>
    <w:rsid w:val="00883077"/>
    <w:rsid w:val="00883406"/>
    <w:rsid w:val="00883480"/>
    <w:rsid w:val="008834F7"/>
    <w:rsid w:val="008839E0"/>
    <w:rsid w:val="00883C7E"/>
    <w:rsid w:val="00883D34"/>
    <w:rsid w:val="00883E60"/>
    <w:rsid w:val="00883EA7"/>
    <w:rsid w:val="0088448E"/>
    <w:rsid w:val="0088453B"/>
    <w:rsid w:val="00884644"/>
    <w:rsid w:val="00884B0E"/>
    <w:rsid w:val="00884BF1"/>
    <w:rsid w:val="00884CEB"/>
    <w:rsid w:val="00884D4F"/>
    <w:rsid w:val="00885246"/>
    <w:rsid w:val="00885429"/>
    <w:rsid w:val="00885434"/>
    <w:rsid w:val="008854A5"/>
    <w:rsid w:val="008854BB"/>
    <w:rsid w:val="00885545"/>
    <w:rsid w:val="008858E1"/>
    <w:rsid w:val="00885B95"/>
    <w:rsid w:val="00885F5D"/>
    <w:rsid w:val="00885FD1"/>
    <w:rsid w:val="00886088"/>
    <w:rsid w:val="00886158"/>
    <w:rsid w:val="008864C4"/>
    <w:rsid w:val="00886599"/>
    <w:rsid w:val="008865F9"/>
    <w:rsid w:val="00886912"/>
    <w:rsid w:val="00886B9D"/>
    <w:rsid w:val="00886BFA"/>
    <w:rsid w:val="00886C25"/>
    <w:rsid w:val="00886EC6"/>
    <w:rsid w:val="0088737F"/>
    <w:rsid w:val="00887669"/>
    <w:rsid w:val="008876EC"/>
    <w:rsid w:val="0088773E"/>
    <w:rsid w:val="008877D4"/>
    <w:rsid w:val="00887BEB"/>
    <w:rsid w:val="008901F0"/>
    <w:rsid w:val="008902DA"/>
    <w:rsid w:val="008904B0"/>
    <w:rsid w:val="0089059E"/>
    <w:rsid w:val="008905EA"/>
    <w:rsid w:val="008908B0"/>
    <w:rsid w:val="00890CE3"/>
    <w:rsid w:val="00890E28"/>
    <w:rsid w:val="0089100D"/>
    <w:rsid w:val="0089105A"/>
    <w:rsid w:val="008910C6"/>
    <w:rsid w:val="0089116C"/>
    <w:rsid w:val="008911A3"/>
    <w:rsid w:val="008911D7"/>
    <w:rsid w:val="00891412"/>
    <w:rsid w:val="00891679"/>
    <w:rsid w:val="008916A9"/>
    <w:rsid w:val="008916B4"/>
    <w:rsid w:val="008917E5"/>
    <w:rsid w:val="00891992"/>
    <w:rsid w:val="00891AC1"/>
    <w:rsid w:val="00891B5A"/>
    <w:rsid w:val="00891B6E"/>
    <w:rsid w:val="00891D6D"/>
    <w:rsid w:val="00891DE0"/>
    <w:rsid w:val="008921CE"/>
    <w:rsid w:val="00892253"/>
    <w:rsid w:val="008923C4"/>
    <w:rsid w:val="00892728"/>
    <w:rsid w:val="0089274C"/>
    <w:rsid w:val="008927E2"/>
    <w:rsid w:val="00892820"/>
    <w:rsid w:val="00892A8E"/>
    <w:rsid w:val="00892EFB"/>
    <w:rsid w:val="008931FB"/>
    <w:rsid w:val="00893208"/>
    <w:rsid w:val="0089321B"/>
    <w:rsid w:val="00893221"/>
    <w:rsid w:val="008937DA"/>
    <w:rsid w:val="00893A42"/>
    <w:rsid w:val="00893E7D"/>
    <w:rsid w:val="00894131"/>
    <w:rsid w:val="00894282"/>
    <w:rsid w:val="008944CD"/>
    <w:rsid w:val="00894562"/>
    <w:rsid w:val="0089484F"/>
    <w:rsid w:val="00894A47"/>
    <w:rsid w:val="00894C05"/>
    <w:rsid w:val="00894E02"/>
    <w:rsid w:val="008953BF"/>
    <w:rsid w:val="00895601"/>
    <w:rsid w:val="00895BB2"/>
    <w:rsid w:val="00895BCE"/>
    <w:rsid w:val="00895CDD"/>
    <w:rsid w:val="00895E22"/>
    <w:rsid w:val="00895EAE"/>
    <w:rsid w:val="00895FFB"/>
    <w:rsid w:val="00896368"/>
    <w:rsid w:val="00896404"/>
    <w:rsid w:val="008964D2"/>
    <w:rsid w:val="00896741"/>
    <w:rsid w:val="00896815"/>
    <w:rsid w:val="008968AB"/>
    <w:rsid w:val="008969C5"/>
    <w:rsid w:val="00896AAC"/>
    <w:rsid w:val="00896AAE"/>
    <w:rsid w:val="00896B1F"/>
    <w:rsid w:val="00896DB0"/>
    <w:rsid w:val="00897065"/>
    <w:rsid w:val="0089707F"/>
    <w:rsid w:val="00897287"/>
    <w:rsid w:val="008972D4"/>
    <w:rsid w:val="008973ED"/>
    <w:rsid w:val="0089746A"/>
    <w:rsid w:val="008975B0"/>
    <w:rsid w:val="008975EF"/>
    <w:rsid w:val="00897A0B"/>
    <w:rsid w:val="00897BC8"/>
    <w:rsid w:val="00897E88"/>
    <w:rsid w:val="00897EE2"/>
    <w:rsid w:val="008A0038"/>
    <w:rsid w:val="008A018E"/>
    <w:rsid w:val="008A026C"/>
    <w:rsid w:val="008A0490"/>
    <w:rsid w:val="008A0497"/>
    <w:rsid w:val="008A063F"/>
    <w:rsid w:val="008A089C"/>
    <w:rsid w:val="008A0999"/>
    <w:rsid w:val="008A0B6D"/>
    <w:rsid w:val="008A0C26"/>
    <w:rsid w:val="008A0C28"/>
    <w:rsid w:val="008A0D89"/>
    <w:rsid w:val="008A0DD1"/>
    <w:rsid w:val="008A0EA7"/>
    <w:rsid w:val="008A0F72"/>
    <w:rsid w:val="008A0F83"/>
    <w:rsid w:val="008A1059"/>
    <w:rsid w:val="008A108F"/>
    <w:rsid w:val="008A1187"/>
    <w:rsid w:val="008A1768"/>
    <w:rsid w:val="008A17B1"/>
    <w:rsid w:val="008A1866"/>
    <w:rsid w:val="008A18E1"/>
    <w:rsid w:val="008A1A7D"/>
    <w:rsid w:val="008A1ACF"/>
    <w:rsid w:val="008A1E85"/>
    <w:rsid w:val="008A1ED5"/>
    <w:rsid w:val="008A22F8"/>
    <w:rsid w:val="008A2349"/>
    <w:rsid w:val="008A2493"/>
    <w:rsid w:val="008A24F2"/>
    <w:rsid w:val="008A2590"/>
    <w:rsid w:val="008A2635"/>
    <w:rsid w:val="008A2822"/>
    <w:rsid w:val="008A2C11"/>
    <w:rsid w:val="008A2C8F"/>
    <w:rsid w:val="008A2D92"/>
    <w:rsid w:val="008A2F26"/>
    <w:rsid w:val="008A3134"/>
    <w:rsid w:val="008A324D"/>
    <w:rsid w:val="008A330B"/>
    <w:rsid w:val="008A334B"/>
    <w:rsid w:val="008A3994"/>
    <w:rsid w:val="008A3DAE"/>
    <w:rsid w:val="008A3FB3"/>
    <w:rsid w:val="008A3FF7"/>
    <w:rsid w:val="008A403A"/>
    <w:rsid w:val="008A4135"/>
    <w:rsid w:val="008A4196"/>
    <w:rsid w:val="008A4376"/>
    <w:rsid w:val="008A449C"/>
    <w:rsid w:val="008A44C0"/>
    <w:rsid w:val="008A45CF"/>
    <w:rsid w:val="008A4B1D"/>
    <w:rsid w:val="008A50E4"/>
    <w:rsid w:val="008A515A"/>
    <w:rsid w:val="008A516B"/>
    <w:rsid w:val="008A51CD"/>
    <w:rsid w:val="008A5261"/>
    <w:rsid w:val="008A555D"/>
    <w:rsid w:val="008A5583"/>
    <w:rsid w:val="008A5609"/>
    <w:rsid w:val="008A575A"/>
    <w:rsid w:val="008A57BC"/>
    <w:rsid w:val="008A58F9"/>
    <w:rsid w:val="008A5956"/>
    <w:rsid w:val="008A59B9"/>
    <w:rsid w:val="008A5B10"/>
    <w:rsid w:val="008A5C03"/>
    <w:rsid w:val="008A5D6C"/>
    <w:rsid w:val="008A5E95"/>
    <w:rsid w:val="008A5F12"/>
    <w:rsid w:val="008A6293"/>
    <w:rsid w:val="008A6297"/>
    <w:rsid w:val="008A6539"/>
    <w:rsid w:val="008A65F4"/>
    <w:rsid w:val="008A6B80"/>
    <w:rsid w:val="008A6C67"/>
    <w:rsid w:val="008A6DAE"/>
    <w:rsid w:val="008A6F76"/>
    <w:rsid w:val="008A7040"/>
    <w:rsid w:val="008A70CB"/>
    <w:rsid w:val="008A756C"/>
    <w:rsid w:val="008A7591"/>
    <w:rsid w:val="008A7628"/>
    <w:rsid w:val="008A7718"/>
    <w:rsid w:val="008A7917"/>
    <w:rsid w:val="008A7A78"/>
    <w:rsid w:val="008A7F52"/>
    <w:rsid w:val="008B00DC"/>
    <w:rsid w:val="008B0152"/>
    <w:rsid w:val="008B01A4"/>
    <w:rsid w:val="008B02FB"/>
    <w:rsid w:val="008B03F5"/>
    <w:rsid w:val="008B0477"/>
    <w:rsid w:val="008B0798"/>
    <w:rsid w:val="008B07BD"/>
    <w:rsid w:val="008B07FB"/>
    <w:rsid w:val="008B0828"/>
    <w:rsid w:val="008B08D9"/>
    <w:rsid w:val="008B0BE1"/>
    <w:rsid w:val="008B0D16"/>
    <w:rsid w:val="008B0F0B"/>
    <w:rsid w:val="008B1499"/>
    <w:rsid w:val="008B161D"/>
    <w:rsid w:val="008B17A4"/>
    <w:rsid w:val="008B1974"/>
    <w:rsid w:val="008B19C8"/>
    <w:rsid w:val="008B1B07"/>
    <w:rsid w:val="008B1DCF"/>
    <w:rsid w:val="008B1E0B"/>
    <w:rsid w:val="008B2039"/>
    <w:rsid w:val="008B2043"/>
    <w:rsid w:val="008B207B"/>
    <w:rsid w:val="008B24B0"/>
    <w:rsid w:val="008B250A"/>
    <w:rsid w:val="008B2541"/>
    <w:rsid w:val="008B26F3"/>
    <w:rsid w:val="008B2715"/>
    <w:rsid w:val="008B2B34"/>
    <w:rsid w:val="008B2B53"/>
    <w:rsid w:val="008B2CDD"/>
    <w:rsid w:val="008B2CF9"/>
    <w:rsid w:val="008B2DC9"/>
    <w:rsid w:val="008B2F13"/>
    <w:rsid w:val="008B303C"/>
    <w:rsid w:val="008B32BD"/>
    <w:rsid w:val="008B3303"/>
    <w:rsid w:val="008B33DF"/>
    <w:rsid w:val="008B3566"/>
    <w:rsid w:val="008B35B4"/>
    <w:rsid w:val="008B3852"/>
    <w:rsid w:val="008B3EE8"/>
    <w:rsid w:val="008B42D1"/>
    <w:rsid w:val="008B4830"/>
    <w:rsid w:val="008B4927"/>
    <w:rsid w:val="008B4C49"/>
    <w:rsid w:val="008B4D08"/>
    <w:rsid w:val="008B4DF9"/>
    <w:rsid w:val="008B4F67"/>
    <w:rsid w:val="008B5205"/>
    <w:rsid w:val="008B53EF"/>
    <w:rsid w:val="008B54F5"/>
    <w:rsid w:val="008B5602"/>
    <w:rsid w:val="008B5852"/>
    <w:rsid w:val="008B59E5"/>
    <w:rsid w:val="008B5B6B"/>
    <w:rsid w:val="008B5B81"/>
    <w:rsid w:val="008B5CDB"/>
    <w:rsid w:val="008B5E2D"/>
    <w:rsid w:val="008B5FFA"/>
    <w:rsid w:val="008B62B3"/>
    <w:rsid w:val="008B666B"/>
    <w:rsid w:val="008B6847"/>
    <w:rsid w:val="008B687D"/>
    <w:rsid w:val="008B702D"/>
    <w:rsid w:val="008B7058"/>
    <w:rsid w:val="008B75C6"/>
    <w:rsid w:val="008B7698"/>
    <w:rsid w:val="008B79D4"/>
    <w:rsid w:val="008B7C90"/>
    <w:rsid w:val="008B7C9E"/>
    <w:rsid w:val="008B7E19"/>
    <w:rsid w:val="008B7E96"/>
    <w:rsid w:val="008B7EAE"/>
    <w:rsid w:val="008C028E"/>
    <w:rsid w:val="008C03F2"/>
    <w:rsid w:val="008C0588"/>
    <w:rsid w:val="008C0834"/>
    <w:rsid w:val="008C09A1"/>
    <w:rsid w:val="008C0BD1"/>
    <w:rsid w:val="008C0CB4"/>
    <w:rsid w:val="008C0F6A"/>
    <w:rsid w:val="008C0FEF"/>
    <w:rsid w:val="008C10FC"/>
    <w:rsid w:val="008C1127"/>
    <w:rsid w:val="008C11E4"/>
    <w:rsid w:val="008C1282"/>
    <w:rsid w:val="008C162D"/>
    <w:rsid w:val="008C166B"/>
    <w:rsid w:val="008C16F5"/>
    <w:rsid w:val="008C1A30"/>
    <w:rsid w:val="008C2086"/>
    <w:rsid w:val="008C23CD"/>
    <w:rsid w:val="008C249E"/>
    <w:rsid w:val="008C24E5"/>
    <w:rsid w:val="008C256B"/>
    <w:rsid w:val="008C27E9"/>
    <w:rsid w:val="008C2937"/>
    <w:rsid w:val="008C29FD"/>
    <w:rsid w:val="008C2DB8"/>
    <w:rsid w:val="008C2DEF"/>
    <w:rsid w:val="008C2E2B"/>
    <w:rsid w:val="008C2F7F"/>
    <w:rsid w:val="008C34F8"/>
    <w:rsid w:val="008C350F"/>
    <w:rsid w:val="008C3632"/>
    <w:rsid w:val="008C364F"/>
    <w:rsid w:val="008C36E7"/>
    <w:rsid w:val="008C3768"/>
    <w:rsid w:val="008C398F"/>
    <w:rsid w:val="008C3A20"/>
    <w:rsid w:val="008C3B59"/>
    <w:rsid w:val="008C3BB4"/>
    <w:rsid w:val="008C3C11"/>
    <w:rsid w:val="008C3CBB"/>
    <w:rsid w:val="008C3CC2"/>
    <w:rsid w:val="008C3D07"/>
    <w:rsid w:val="008C3D95"/>
    <w:rsid w:val="008C406D"/>
    <w:rsid w:val="008C4159"/>
    <w:rsid w:val="008C415F"/>
    <w:rsid w:val="008C43B1"/>
    <w:rsid w:val="008C45D2"/>
    <w:rsid w:val="008C472A"/>
    <w:rsid w:val="008C496C"/>
    <w:rsid w:val="008C4A88"/>
    <w:rsid w:val="008C4C14"/>
    <w:rsid w:val="008C4C81"/>
    <w:rsid w:val="008C53B5"/>
    <w:rsid w:val="008C56C5"/>
    <w:rsid w:val="008C58BB"/>
    <w:rsid w:val="008C59B8"/>
    <w:rsid w:val="008C5A7A"/>
    <w:rsid w:val="008C5B5F"/>
    <w:rsid w:val="008C5B96"/>
    <w:rsid w:val="008C5CDE"/>
    <w:rsid w:val="008C5D96"/>
    <w:rsid w:val="008C5DCC"/>
    <w:rsid w:val="008C6077"/>
    <w:rsid w:val="008C6084"/>
    <w:rsid w:val="008C60C9"/>
    <w:rsid w:val="008C6331"/>
    <w:rsid w:val="008C6423"/>
    <w:rsid w:val="008C6487"/>
    <w:rsid w:val="008C66B4"/>
    <w:rsid w:val="008C6BC5"/>
    <w:rsid w:val="008C6CDE"/>
    <w:rsid w:val="008C6D30"/>
    <w:rsid w:val="008C6EC4"/>
    <w:rsid w:val="008C6FD0"/>
    <w:rsid w:val="008C7147"/>
    <w:rsid w:val="008C73B1"/>
    <w:rsid w:val="008C7503"/>
    <w:rsid w:val="008C7596"/>
    <w:rsid w:val="008C77A8"/>
    <w:rsid w:val="008C7839"/>
    <w:rsid w:val="008C78F6"/>
    <w:rsid w:val="008C7A8B"/>
    <w:rsid w:val="008C7C37"/>
    <w:rsid w:val="008C7E49"/>
    <w:rsid w:val="008C7FB4"/>
    <w:rsid w:val="008D0128"/>
    <w:rsid w:val="008D0259"/>
    <w:rsid w:val="008D0364"/>
    <w:rsid w:val="008D0368"/>
    <w:rsid w:val="008D055F"/>
    <w:rsid w:val="008D061A"/>
    <w:rsid w:val="008D0645"/>
    <w:rsid w:val="008D06A8"/>
    <w:rsid w:val="008D0852"/>
    <w:rsid w:val="008D08C1"/>
    <w:rsid w:val="008D0970"/>
    <w:rsid w:val="008D0998"/>
    <w:rsid w:val="008D0AB3"/>
    <w:rsid w:val="008D0AEF"/>
    <w:rsid w:val="008D0CBB"/>
    <w:rsid w:val="008D0DA0"/>
    <w:rsid w:val="008D0FD7"/>
    <w:rsid w:val="008D0FF7"/>
    <w:rsid w:val="008D1369"/>
    <w:rsid w:val="008D1705"/>
    <w:rsid w:val="008D18F0"/>
    <w:rsid w:val="008D1B73"/>
    <w:rsid w:val="008D1BA9"/>
    <w:rsid w:val="008D1E53"/>
    <w:rsid w:val="008D1E76"/>
    <w:rsid w:val="008D1E7D"/>
    <w:rsid w:val="008D1F8F"/>
    <w:rsid w:val="008D1FAC"/>
    <w:rsid w:val="008D2029"/>
    <w:rsid w:val="008D20DD"/>
    <w:rsid w:val="008D20E6"/>
    <w:rsid w:val="008D2179"/>
    <w:rsid w:val="008D22A4"/>
    <w:rsid w:val="008D2468"/>
    <w:rsid w:val="008D262D"/>
    <w:rsid w:val="008D2BA2"/>
    <w:rsid w:val="008D2CB3"/>
    <w:rsid w:val="008D2F22"/>
    <w:rsid w:val="008D3151"/>
    <w:rsid w:val="008D3207"/>
    <w:rsid w:val="008D339F"/>
    <w:rsid w:val="008D3448"/>
    <w:rsid w:val="008D35C5"/>
    <w:rsid w:val="008D35EB"/>
    <w:rsid w:val="008D3872"/>
    <w:rsid w:val="008D3894"/>
    <w:rsid w:val="008D3950"/>
    <w:rsid w:val="008D3AE0"/>
    <w:rsid w:val="008D3B96"/>
    <w:rsid w:val="008D3D2D"/>
    <w:rsid w:val="008D3D8E"/>
    <w:rsid w:val="008D3EBD"/>
    <w:rsid w:val="008D40A6"/>
    <w:rsid w:val="008D40BA"/>
    <w:rsid w:val="008D4197"/>
    <w:rsid w:val="008D4413"/>
    <w:rsid w:val="008D4C87"/>
    <w:rsid w:val="008D4D51"/>
    <w:rsid w:val="008D506F"/>
    <w:rsid w:val="008D5479"/>
    <w:rsid w:val="008D55FB"/>
    <w:rsid w:val="008D566C"/>
    <w:rsid w:val="008D5872"/>
    <w:rsid w:val="008D5C48"/>
    <w:rsid w:val="008D5F1D"/>
    <w:rsid w:val="008D5FB2"/>
    <w:rsid w:val="008D6067"/>
    <w:rsid w:val="008D60CB"/>
    <w:rsid w:val="008D6152"/>
    <w:rsid w:val="008D64E0"/>
    <w:rsid w:val="008D65C9"/>
    <w:rsid w:val="008D6A43"/>
    <w:rsid w:val="008D6CA6"/>
    <w:rsid w:val="008D721C"/>
    <w:rsid w:val="008D7271"/>
    <w:rsid w:val="008D734C"/>
    <w:rsid w:val="008D7506"/>
    <w:rsid w:val="008D7590"/>
    <w:rsid w:val="008D75E3"/>
    <w:rsid w:val="008D76EA"/>
    <w:rsid w:val="008D7734"/>
    <w:rsid w:val="008D7810"/>
    <w:rsid w:val="008D7A6F"/>
    <w:rsid w:val="008D7B00"/>
    <w:rsid w:val="008D7B3D"/>
    <w:rsid w:val="008D7C4C"/>
    <w:rsid w:val="008D7C5C"/>
    <w:rsid w:val="008D7C6F"/>
    <w:rsid w:val="008D7DBD"/>
    <w:rsid w:val="008D7EDF"/>
    <w:rsid w:val="008D7F38"/>
    <w:rsid w:val="008E001C"/>
    <w:rsid w:val="008E01AC"/>
    <w:rsid w:val="008E0230"/>
    <w:rsid w:val="008E0387"/>
    <w:rsid w:val="008E03B0"/>
    <w:rsid w:val="008E054F"/>
    <w:rsid w:val="008E08E1"/>
    <w:rsid w:val="008E08FC"/>
    <w:rsid w:val="008E09CE"/>
    <w:rsid w:val="008E0BBC"/>
    <w:rsid w:val="008E0CB6"/>
    <w:rsid w:val="008E0D4A"/>
    <w:rsid w:val="008E0E39"/>
    <w:rsid w:val="008E0E70"/>
    <w:rsid w:val="008E1039"/>
    <w:rsid w:val="008E1255"/>
    <w:rsid w:val="008E12DE"/>
    <w:rsid w:val="008E1373"/>
    <w:rsid w:val="008E1459"/>
    <w:rsid w:val="008E169B"/>
    <w:rsid w:val="008E181E"/>
    <w:rsid w:val="008E1929"/>
    <w:rsid w:val="008E1A24"/>
    <w:rsid w:val="008E1B59"/>
    <w:rsid w:val="008E1C34"/>
    <w:rsid w:val="008E1C60"/>
    <w:rsid w:val="008E1CB8"/>
    <w:rsid w:val="008E1CD8"/>
    <w:rsid w:val="008E1D12"/>
    <w:rsid w:val="008E1E4D"/>
    <w:rsid w:val="008E1E91"/>
    <w:rsid w:val="008E1FAA"/>
    <w:rsid w:val="008E208E"/>
    <w:rsid w:val="008E248B"/>
    <w:rsid w:val="008E257B"/>
    <w:rsid w:val="008E2596"/>
    <w:rsid w:val="008E25AE"/>
    <w:rsid w:val="008E25E9"/>
    <w:rsid w:val="008E2672"/>
    <w:rsid w:val="008E282D"/>
    <w:rsid w:val="008E2A08"/>
    <w:rsid w:val="008E2B75"/>
    <w:rsid w:val="008E2BE9"/>
    <w:rsid w:val="008E2C7F"/>
    <w:rsid w:val="008E2DF6"/>
    <w:rsid w:val="008E2F52"/>
    <w:rsid w:val="008E30D5"/>
    <w:rsid w:val="008E331D"/>
    <w:rsid w:val="008E3500"/>
    <w:rsid w:val="008E3678"/>
    <w:rsid w:val="008E36BD"/>
    <w:rsid w:val="008E3889"/>
    <w:rsid w:val="008E3A25"/>
    <w:rsid w:val="008E3AB2"/>
    <w:rsid w:val="008E3C50"/>
    <w:rsid w:val="008E3D09"/>
    <w:rsid w:val="008E3DEB"/>
    <w:rsid w:val="008E3F82"/>
    <w:rsid w:val="008E4060"/>
    <w:rsid w:val="008E40FC"/>
    <w:rsid w:val="008E41C2"/>
    <w:rsid w:val="008E41CE"/>
    <w:rsid w:val="008E4377"/>
    <w:rsid w:val="008E43F8"/>
    <w:rsid w:val="008E444F"/>
    <w:rsid w:val="008E44F3"/>
    <w:rsid w:val="008E450C"/>
    <w:rsid w:val="008E4580"/>
    <w:rsid w:val="008E4C15"/>
    <w:rsid w:val="008E4D5D"/>
    <w:rsid w:val="008E4E32"/>
    <w:rsid w:val="008E5054"/>
    <w:rsid w:val="008E5299"/>
    <w:rsid w:val="008E5473"/>
    <w:rsid w:val="008E5549"/>
    <w:rsid w:val="008E5613"/>
    <w:rsid w:val="008E5771"/>
    <w:rsid w:val="008E57CD"/>
    <w:rsid w:val="008E593E"/>
    <w:rsid w:val="008E5946"/>
    <w:rsid w:val="008E5C98"/>
    <w:rsid w:val="008E5F1F"/>
    <w:rsid w:val="008E6292"/>
    <w:rsid w:val="008E635A"/>
    <w:rsid w:val="008E6AD9"/>
    <w:rsid w:val="008E6D11"/>
    <w:rsid w:val="008E6DAC"/>
    <w:rsid w:val="008E702E"/>
    <w:rsid w:val="008E7166"/>
    <w:rsid w:val="008E72E0"/>
    <w:rsid w:val="008E7422"/>
    <w:rsid w:val="008E760E"/>
    <w:rsid w:val="008E761A"/>
    <w:rsid w:val="008E7A10"/>
    <w:rsid w:val="008E7A3F"/>
    <w:rsid w:val="008E7A6D"/>
    <w:rsid w:val="008E7AE6"/>
    <w:rsid w:val="008E7C2E"/>
    <w:rsid w:val="008E7CA4"/>
    <w:rsid w:val="008E7CB0"/>
    <w:rsid w:val="008E7CF0"/>
    <w:rsid w:val="008E7DD5"/>
    <w:rsid w:val="008E7FD4"/>
    <w:rsid w:val="008F0145"/>
    <w:rsid w:val="008F01B4"/>
    <w:rsid w:val="008F0264"/>
    <w:rsid w:val="008F035D"/>
    <w:rsid w:val="008F05F8"/>
    <w:rsid w:val="008F071E"/>
    <w:rsid w:val="008F083F"/>
    <w:rsid w:val="008F0868"/>
    <w:rsid w:val="008F09A7"/>
    <w:rsid w:val="008F0BBC"/>
    <w:rsid w:val="008F0F64"/>
    <w:rsid w:val="008F1507"/>
    <w:rsid w:val="008F16A0"/>
    <w:rsid w:val="008F18C9"/>
    <w:rsid w:val="008F1B36"/>
    <w:rsid w:val="008F1DE2"/>
    <w:rsid w:val="008F1E30"/>
    <w:rsid w:val="008F1F32"/>
    <w:rsid w:val="008F202C"/>
    <w:rsid w:val="008F2342"/>
    <w:rsid w:val="008F2521"/>
    <w:rsid w:val="008F2551"/>
    <w:rsid w:val="008F25F4"/>
    <w:rsid w:val="008F2EBF"/>
    <w:rsid w:val="008F2F2C"/>
    <w:rsid w:val="008F3053"/>
    <w:rsid w:val="008F32D8"/>
    <w:rsid w:val="008F3388"/>
    <w:rsid w:val="008F33BC"/>
    <w:rsid w:val="008F33F8"/>
    <w:rsid w:val="008F34B8"/>
    <w:rsid w:val="008F34E1"/>
    <w:rsid w:val="008F3795"/>
    <w:rsid w:val="008F3952"/>
    <w:rsid w:val="008F3BB6"/>
    <w:rsid w:val="008F3C72"/>
    <w:rsid w:val="008F406A"/>
    <w:rsid w:val="008F42C5"/>
    <w:rsid w:val="008F4313"/>
    <w:rsid w:val="008F441C"/>
    <w:rsid w:val="008F4616"/>
    <w:rsid w:val="008F46B2"/>
    <w:rsid w:val="008F4720"/>
    <w:rsid w:val="008F4859"/>
    <w:rsid w:val="008F4910"/>
    <w:rsid w:val="008F4CD0"/>
    <w:rsid w:val="008F4E66"/>
    <w:rsid w:val="008F503F"/>
    <w:rsid w:val="008F50E3"/>
    <w:rsid w:val="008F5589"/>
    <w:rsid w:val="008F5619"/>
    <w:rsid w:val="008F5652"/>
    <w:rsid w:val="008F56B3"/>
    <w:rsid w:val="008F58DF"/>
    <w:rsid w:val="008F5F84"/>
    <w:rsid w:val="008F5FF1"/>
    <w:rsid w:val="008F607E"/>
    <w:rsid w:val="008F6102"/>
    <w:rsid w:val="008F63BC"/>
    <w:rsid w:val="008F65B0"/>
    <w:rsid w:val="008F66FB"/>
    <w:rsid w:val="008F685D"/>
    <w:rsid w:val="008F69B3"/>
    <w:rsid w:val="008F6A5D"/>
    <w:rsid w:val="008F6DEC"/>
    <w:rsid w:val="008F6EBA"/>
    <w:rsid w:val="008F6FA2"/>
    <w:rsid w:val="008F7500"/>
    <w:rsid w:val="008F75BB"/>
    <w:rsid w:val="008F7759"/>
    <w:rsid w:val="008F7A19"/>
    <w:rsid w:val="008F7AC2"/>
    <w:rsid w:val="008F7BED"/>
    <w:rsid w:val="008F7C6F"/>
    <w:rsid w:val="008F7D47"/>
    <w:rsid w:val="008F7DE5"/>
    <w:rsid w:val="008F7E18"/>
    <w:rsid w:val="008F7F7F"/>
    <w:rsid w:val="008F7FC4"/>
    <w:rsid w:val="009001F2"/>
    <w:rsid w:val="0090020E"/>
    <w:rsid w:val="00900263"/>
    <w:rsid w:val="009003A8"/>
    <w:rsid w:val="009009D6"/>
    <w:rsid w:val="00900C17"/>
    <w:rsid w:val="00900EEF"/>
    <w:rsid w:val="00901008"/>
    <w:rsid w:val="009011E0"/>
    <w:rsid w:val="0090130B"/>
    <w:rsid w:val="009014C6"/>
    <w:rsid w:val="009015B8"/>
    <w:rsid w:val="009016EB"/>
    <w:rsid w:val="00901C80"/>
    <w:rsid w:val="00901F47"/>
    <w:rsid w:val="00902061"/>
    <w:rsid w:val="0090207B"/>
    <w:rsid w:val="009020A7"/>
    <w:rsid w:val="009020CB"/>
    <w:rsid w:val="009020DB"/>
    <w:rsid w:val="00902196"/>
    <w:rsid w:val="0090226C"/>
    <w:rsid w:val="009022FB"/>
    <w:rsid w:val="00902300"/>
    <w:rsid w:val="0090264B"/>
    <w:rsid w:val="0090268B"/>
    <w:rsid w:val="00902753"/>
    <w:rsid w:val="009029EF"/>
    <w:rsid w:val="00902B08"/>
    <w:rsid w:val="00902BD3"/>
    <w:rsid w:val="00902CE5"/>
    <w:rsid w:val="0090339A"/>
    <w:rsid w:val="009035BD"/>
    <w:rsid w:val="00903749"/>
    <w:rsid w:val="009039FA"/>
    <w:rsid w:val="00903BB9"/>
    <w:rsid w:val="00903D0B"/>
    <w:rsid w:val="00903D26"/>
    <w:rsid w:val="00903FED"/>
    <w:rsid w:val="0090422C"/>
    <w:rsid w:val="009044AD"/>
    <w:rsid w:val="0090474B"/>
    <w:rsid w:val="009048AE"/>
    <w:rsid w:val="00904AD4"/>
    <w:rsid w:val="00904AEF"/>
    <w:rsid w:val="00904CF6"/>
    <w:rsid w:val="00904D1F"/>
    <w:rsid w:val="00904D62"/>
    <w:rsid w:val="00904DE2"/>
    <w:rsid w:val="00904E3E"/>
    <w:rsid w:val="00904E56"/>
    <w:rsid w:val="00905168"/>
    <w:rsid w:val="00905246"/>
    <w:rsid w:val="009055A5"/>
    <w:rsid w:val="0090579B"/>
    <w:rsid w:val="00905965"/>
    <w:rsid w:val="00905A4A"/>
    <w:rsid w:val="00905ABB"/>
    <w:rsid w:val="00905CD0"/>
    <w:rsid w:val="00905E70"/>
    <w:rsid w:val="00905EC9"/>
    <w:rsid w:val="00905F48"/>
    <w:rsid w:val="009060B7"/>
    <w:rsid w:val="009060C4"/>
    <w:rsid w:val="00906315"/>
    <w:rsid w:val="00906328"/>
    <w:rsid w:val="009063CD"/>
    <w:rsid w:val="00906595"/>
    <w:rsid w:val="00906B8B"/>
    <w:rsid w:val="00906BF8"/>
    <w:rsid w:val="00906F11"/>
    <w:rsid w:val="00906F34"/>
    <w:rsid w:val="00907001"/>
    <w:rsid w:val="00907002"/>
    <w:rsid w:val="009072F3"/>
    <w:rsid w:val="0090743E"/>
    <w:rsid w:val="009077AD"/>
    <w:rsid w:val="0090780A"/>
    <w:rsid w:val="00907895"/>
    <w:rsid w:val="00907A91"/>
    <w:rsid w:val="00907B1B"/>
    <w:rsid w:val="009100C9"/>
    <w:rsid w:val="00910214"/>
    <w:rsid w:val="0091028F"/>
    <w:rsid w:val="009102D5"/>
    <w:rsid w:val="00910324"/>
    <w:rsid w:val="009104E5"/>
    <w:rsid w:val="009107C9"/>
    <w:rsid w:val="00910A1F"/>
    <w:rsid w:val="00910B45"/>
    <w:rsid w:val="00910D2A"/>
    <w:rsid w:val="00910F41"/>
    <w:rsid w:val="009110AD"/>
    <w:rsid w:val="00911162"/>
    <w:rsid w:val="00911481"/>
    <w:rsid w:val="00911543"/>
    <w:rsid w:val="009116B9"/>
    <w:rsid w:val="0091178C"/>
    <w:rsid w:val="00911871"/>
    <w:rsid w:val="0091188B"/>
    <w:rsid w:val="00911AB2"/>
    <w:rsid w:val="00911D3D"/>
    <w:rsid w:val="00911DBE"/>
    <w:rsid w:val="009121B8"/>
    <w:rsid w:val="00912374"/>
    <w:rsid w:val="0091257D"/>
    <w:rsid w:val="0091258E"/>
    <w:rsid w:val="009126FC"/>
    <w:rsid w:val="00912843"/>
    <w:rsid w:val="00912B5F"/>
    <w:rsid w:val="00912CC2"/>
    <w:rsid w:val="00912D6F"/>
    <w:rsid w:val="00912E0C"/>
    <w:rsid w:val="00912F2E"/>
    <w:rsid w:val="009132CA"/>
    <w:rsid w:val="009132DD"/>
    <w:rsid w:val="00913459"/>
    <w:rsid w:val="009134CE"/>
    <w:rsid w:val="009134D2"/>
    <w:rsid w:val="00913683"/>
    <w:rsid w:val="00913971"/>
    <w:rsid w:val="00913D9E"/>
    <w:rsid w:val="00913E8A"/>
    <w:rsid w:val="00913EA2"/>
    <w:rsid w:val="00913F5B"/>
    <w:rsid w:val="0091402B"/>
    <w:rsid w:val="0091415D"/>
    <w:rsid w:val="0091459C"/>
    <w:rsid w:val="009147F2"/>
    <w:rsid w:val="00914958"/>
    <w:rsid w:val="00914B28"/>
    <w:rsid w:val="00914BEA"/>
    <w:rsid w:val="00914C43"/>
    <w:rsid w:val="00914DEF"/>
    <w:rsid w:val="00914E7B"/>
    <w:rsid w:val="009150AA"/>
    <w:rsid w:val="00915149"/>
    <w:rsid w:val="009153B0"/>
    <w:rsid w:val="0091589E"/>
    <w:rsid w:val="00915B1A"/>
    <w:rsid w:val="00915F3F"/>
    <w:rsid w:val="009161F4"/>
    <w:rsid w:val="00916213"/>
    <w:rsid w:val="0091667A"/>
    <w:rsid w:val="00916691"/>
    <w:rsid w:val="0091672D"/>
    <w:rsid w:val="00916A0B"/>
    <w:rsid w:val="00916AA7"/>
    <w:rsid w:val="00916B3D"/>
    <w:rsid w:val="00916D5A"/>
    <w:rsid w:val="00916D6D"/>
    <w:rsid w:val="00916DEE"/>
    <w:rsid w:val="00917103"/>
    <w:rsid w:val="00917188"/>
    <w:rsid w:val="00917269"/>
    <w:rsid w:val="0091729B"/>
    <w:rsid w:val="009172C4"/>
    <w:rsid w:val="0091730E"/>
    <w:rsid w:val="0091739B"/>
    <w:rsid w:val="009173CE"/>
    <w:rsid w:val="0091755C"/>
    <w:rsid w:val="009176A2"/>
    <w:rsid w:val="009177FB"/>
    <w:rsid w:val="00917C6C"/>
    <w:rsid w:val="00917CF1"/>
    <w:rsid w:val="00917E00"/>
    <w:rsid w:val="00920039"/>
    <w:rsid w:val="0092006F"/>
    <w:rsid w:val="00920167"/>
    <w:rsid w:val="00920B99"/>
    <w:rsid w:val="00920D8A"/>
    <w:rsid w:val="00920ED0"/>
    <w:rsid w:val="00920FF8"/>
    <w:rsid w:val="0092104B"/>
    <w:rsid w:val="00921065"/>
    <w:rsid w:val="0092135F"/>
    <w:rsid w:val="009215DE"/>
    <w:rsid w:val="0092169C"/>
    <w:rsid w:val="0092169F"/>
    <w:rsid w:val="00921791"/>
    <w:rsid w:val="00921CAC"/>
    <w:rsid w:val="00921CCF"/>
    <w:rsid w:val="00921D53"/>
    <w:rsid w:val="00921DF7"/>
    <w:rsid w:val="0092240A"/>
    <w:rsid w:val="0092242C"/>
    <w:rsid w:val="00922447"/>
    <w:rsid w:val="00922489"/>
    <w:rsid w:val="009225B7"/>
    <w:rsid w:val="00922687"/>
    <w:rsid w:val="00922824"/>
    <w:rsid w:val="00922855"/>
    <w:rsid w:val="00922890"/>
    <w:rsid w:val="0092292A"/>
    <w:rsid w:val="0092299B"/>
    <w:rsid w:val="00922AD1"/>
    <w:rsid w:val="00922F0F"/>
    <w:rsid w:val="00922F28"/>
    <w:rsid w:val="00922F2B"/>
    <w:rsid w:val="009231EB"/>
    <w:rsid w:val="00923276"/>
    <w:rsid w:val="00923341"/>
    <w:rsid w:val="00923414"/>
    <w:rsid w:val="009235AB"/>
    <w:rsid w:val="009236B0"/>
    <w:rsid w:val="00923858"/>
    <w:rsid w:val="009238DA"/>
    <w:rsid w:val="00923A42"/>
    <w:rsid w:val="00923A73"/>
    <w:rsid w:val="00923AC5"/>
    <w:rsid w:val="009240B7"/>
    <w:rsid w:val="009243E7"/>
    <w:rsid w:val="0092448B"/>
    <w:rsid w:val="009244BC"/>
    <w:rsid w:val="00924ADA"/>
    <w:rsid w:val="00924B89"/>
    <w:rsid w:val="00924B9B"/>
    <w:rsid w:val="00924CA2"/>
    <w:rsid w:val="00924D98"/>
    <w:rsid w:val="00924F23"/>
    <w:rsid w:val="00925007"/>
    <w:rsid w:val="0092578A"/>
    <w:rsid w:val="009257A5"/>
    <w:rsid w:val="00925AA5"/>
    <w:rsid w:val="00925AB6"/>
    <w:rsid w:val="00925BB2"/>
    <w:rsid w:val="00925DE6"/>
    <w:rsid w:val="00925E8C"/>
    <w:rsid w:val="00925F97"/>
    <w:rsid w:val="00926018"/>
    <w:rsid w:val="00926097"/>
    <w:rsid w:val="00926175"/>
    <w:rsid w:val="009264BC"/>
    <w:rsid w:val="0092656C"/>
    <w:rsid w:val="0092656F"/>
    <w:rsid w:val="009265B0"/>
    <w:rsid w:val="00926731"/>
    <w:rsid w:val="00926926"/>
    <w:rsid w:val="00926A22"/>
    <w:rsid w:val="00926C4D"/>
    <w:rsid w:val="00926F03"/>
    <w:rsid w:val="00927070"/>
    <w:rsid w:val="0092717C"/>
    <w:rsid w:val="009273A1"/>
    <w:rsid w:val="0092754E"/>
    <w:rsid w:val="00927854"/>
    <w:rsid w:val="00927865"/>
    <w:rsid w:val="00927BB9"/>
    <w:rsid w:val="00927C0D"/>
    <w:rsid w:val="00927CC3"/>
    <w:rsid w:val="00927CEA"/>
    <w:rsid w:val="00927D53"/>
    <w:rsid w:val="00927ED5"/>
    <w:rsid w:val="0093014D"/>
    <w:rsid w:val="009302A6"/>
    <w:rsid w:val="009306BD"/>
    <w:rsid w:val="009307AA"/>
    <w:rsid w:val="009309EF"/>
    <w:rsid w:val="00930A78"/>
    <w:rsid w:val="00930C43"/>
    <w:rsid w:val="00930F59"/>
    <w:rsid w:val="009312E8"/>
    <w:rsid w:val="0093137F"/>
    <w:rsid w:val="00931A57"/>
    <w:rsid w:val="00931A98"/>
    <w:rsid w:val="00931C30"/>
    <w:rsid w:val="00931DE8"/>
    <w:rsid w:val="00931E57"/>
    <w:rsid w:val="00931F02"/>
    <w:rsid w:val="00932178"/>
    <w:rsid w:val="00932205"/>
    <w:rsid w:val="009322C5"/>
    <w:rsid w:val="0093237C"/>
    <w:rsid w:val="00932499"/>
    <w:rsid w:val="0093263E"/>
    <w:rsid w:val="00932717"/>
    <w:rsid w:val="00932786"/>
    <w:rsid w:val="0093289A"/>
    <w:rsid w:val="009328DD"/>
    <w:rsid w:val="0093298E"/>
    <w:rsid w:val="00932A0E"/>
    <w:rsid w:val="00932A72"/>
    <w:rsid w:val="00932C15"/>
    <w:rsid w:val="00932D12"/>
    <w:rsid w:val="00932FDB"/>
    <w:rsid w:val="009330F2"/>
    <w:rsid w:val="0093359A"/>
    <w:rsid w:val="00933760"/>
    <w:rsid w:val="009337F9"/>
    <w:rsid w:val="00933ABE"/>
    <w:rsid w:val="00933BCE"/>
    <w:rsid w:val="00933C84"/>
    <w:rsid w:val="0093437B"/>
    <w:rsid w:val="00934462"/>
    <w:rsid w:val="00934467"/>
    <w:rsid w:val="00934494"/>
    <w:rsid w:val="00934524"/>
    <w:rsid w:val="009345BB"/>
    <w:rsid w:val="009347D0"/>
    <w:rsid w:val="0093493C"/>
    <w:rsid w:val="00934CB4"/>
    <w:rsid w:val="00935072"/>
    <w:rsid w:val="009352B1"/>
    <w:rsid w:val="0093538E"/>
    <w:rsid w:val="0093577E"/>
    <w:rsid w:val="009357AC"/>
    <w:rsid w:val="00935920"/>
    <w:rsid w:val="00935D2A"/>
    <w:rsid w:val="0093624F"/>
    <w:rsid w:val="009362CC"/>
    <w:rsid w:val="009363EB"/>
    <w:rsid w:val="0093689F"/>
    <w:rsid w:val="009369D7"/>
    <w:rsid w:val="00936AB7"/>
    <w:rsid w:val="00936BCB"/>
    <w:rsid w:val="00936F14"/>
    <w:rsid w:val="00936F97"/>
    <w:rsid w:val="00937543"/>
    <w:rsid w:val="009375F8"/>
    <w:rsid w:val="00937A8D"/>
    <w:rsid w:val="00937BA2"/>
    <w:rsid w:val="00937C41"/>
    <w:rsid w:val="00937CA8"/>
    <w:rsid w:val="0094019D"/>
    <w:rsid w:val="009401C9"/>
    <w:rsid w:val="009402C9"/>
    <w:rsid w:val="009404F9"/>
    <w:rsid w:val="0094064F"/>
    <w:rsid w:val="00940BE9"/>
    <w:rsid w:val="00940C77"/>
    <w:rsid w:val="00940F8D"/>
    <w:rsid w:val="00940FDC"/>
    <w:rsid w:val="0094148F"/>
    <w:rsid w:val="009416D8"/>
    <w:rsid w:val="00941B1C"/>
    <w:rsid w:val="00941B51"/>
    <w:rsid w:val="00941B56"/>
    <w:rsid w:val="00941CC9"/>
    <w:rsid w:val="00941E97"/>
    <w:rsid w:val="00941EC9"/>
    <w:rsid w:val="009421FC"/>
    <w:rsid w:val="0094234A"/>
    <w:rsid w:val="009423AF"/>
    <w:rsid w:val="009423E7"/>
    <w:rsid w:val="00942535"/>
    <w:rsid w:val="0094257B"/>
    <w:rsid w:val="009425E0"/>
    <w:rsid w:val="009426F5"/>
    <w:rsid w:val="00942801"/>
    <w:rsid w:val="00942831"/>
    <w:rsid w:val="0094285F"/>
    <w:rsid w:val="00942960"/>
    <w:rsid w:val="00942981"/>
    <w:rsid w:val="009429CA"/>
    <w:rsid w:val="00942C11"/>
    <w:rsid w:val="00942D7B"/>
    <w:rsid w:val="00942D7F"/>
    <w:rsid w:val="00942D9A"/>
    <w:rsid w:val="00942DE9"/>
    <w:rsid w:val="00942E61"/>
    <w:rsid w:val="009431A7"/>
    <w:rsid w:val="009434B2"/>
    <w:rsid w:val="00943886"/>
    <w:rsid w:val="00943963"/>
    <w:rsid w:val="0094413F"/>
    <w:rsid w:val="009441F8"/>
    <w:rsid w:val="009443C0"/>
    <w:rsid w:val="009446D2"/>
    <w:rsid w:val="00944A05"/>
    <w:rsid w:val="00944D9E"/>
    <w:rsid w:val="00944DCE"/>
    <w:rsid w:val="00945090"/>
    <w:rsid w:val="009451CE"/>
    <w:rsid w:val="009455AC"/>
    <w:rsid w:val="009455DB"/>
    <w:rsid w:val="009456F0"/>
    <w:rsid w:val="00945B92"/>
    <w:rsid w:val="00945DB1"/>
    <w:rsid w:val="00946139"/>
    <w:rsid w:val="009461D8"/>
    <w:rsid w:val="00946238"/>
    <w:rsid w:val="00946286"/>
    <w:rsid w:val="009463EF"/>
    <w:rsid w:val="00946436"/>
    <w:rsid w:val="009465FF"/>
    <w:rsid w:val="009467FB"/>
    <w:rsid w:val="00946AE5"/>
    <w:rsid w:val="0094713B"/>
    <w:rsid w:val="009472CA"/>
    <w:rsid w:val="009474D2"/>
    <w:rsid w:val="009476F1"/>
    <w:rsid w:val="0094785E"/>
    <w:rsid w:val="00947A84"/>
    <w:rsid w:val="00947C76"/>
    <w:rsid w:val="00947D39"/>
    <w:rsid w:val="00947D9B"/>
    <w:rsid w:val="00947E2B"/>
    <w:rsid w:val="009500D0"/>
    <w:rsid w:val="0095036B"/>
    <w:rsid w:val="0095044C"/>
    <w:rsid w:val="0095058D"/>
    <w:rsid w:val="009505F7"/>
    <w:rsid w:val="009506DC"/>
    <w:rsid w:val="00950767"/>
    <w:rsid w:val="0095096B"/>
    <w:rsid w:val="00950AEB"/>
    <w:rsid w:val="00950B84"/>
    <w:rsid w:val="00950BE3"/>
    <w:rsid w:val="00950E52"/>
    <w:rsid w:val="00950E54"/>
    <w:rsid w:val="00950E5B"/>
    <w:rsid w:val="00950EB3"/>
    <w:rsid w:val="00950EEB"/>
    <w:rsid w:val="009511FE"/>
    <w:rsid w:val="009513EF"/>
    <w:rsid w:val="0095141A"/>
    <w:rsid w:val="009515AA"/>
    <w:rsid w:val="009519FD"/>
    <w:rsid w:val="00951A95"/>
    <w:rsid w:val="00951C05"/>
    <w:rsid w:val="00951C26"/>
    <w:rsid w:val="00951D1D"/>
    <w:rsid w:val="00951F5B"/>
    <w:rsid w:val="00952001"/>
    <w:rsid w:val="0095229F"/>
    <w:rsid w:val="0095288B"/>
    <w:rsid w:val="009529B8"/>
    <w:rsid w:val="00952A0D"/>
    <w:rsid w:val="00952A13"/>
    <w:rsid w:val="00952AC7"/>
    <w:rsid w:val="00952B93"/>
    <w:rsid w:val="00952C5B"/>
    <w:rsid w:val="00952F35"/>
    <w:rsid w:val="00952F3F"/>
    <w:rsid w:val="009531FE"/>
    <w:rsid w:val="00953419"/>
    <w:rsid w:val="0095358B"/>
    <w:rsid w:val="0095383B"/>
    <w:rsid w:val="00953935"/>
    <w:rsid w:val="00953AAB"/>
    <w:rsid w:val="00953BE3"/>
    <w:rsid w:val="00953CDD"/>
    <w:rsid w:val="0095415C"/>
    <w:rsid w:val="00954190"/>
    <w:rsid w:val="00954295"/>
    <w:rsid w:val="009543B7"/>
    <w:rsid w:val="009543CE"/>
    <w:rsid w:val="009545E6"/>
    <w:rsid w:val="009545EC"/>
    <w:rsid w:val="009546E4"/>
    <w:rsid w:val="00954852"/>
    <w:rsid w:val="009549DE"/>
    <w:rsid w:val="00954AC4"/>
    <w:rsid w:val="00954D4E"/>
    <w:rsid w:val="00954EFA"/>
    <w:rsid w:val="00954F43"/>
    <w:rsid w:val="00955158"/>
    <w:rsid w:val="00955413"/>
    <w:rsid w:val="00955670"/>
    <w:rsid w:val="00955691"/>
    <w:rsid w:val="0095569E"/>
    <w:rsid w:val="009556A9"/>
    <w:rsid w:val="009557D6"/>
    <w:rsid w:val="00955A37"/>
    <w:rsid w:val="00955B54"/>
    <w:rsid w:val="00955F0F"/>
    <w:rsid w:val="00956129"/>
    <w:rsid w:val="00956208"/>
    <w:rsid w:val="0095648A"/>
    <w:rsid w:val="00956532"/>
    <w:rsid w:val="00956663"/>
    <w:rsid w:val="00956667"/>
    <w:rsid w:val="0095681B"/>
    <w:rsid w:val="00956A83"/>
    <w:rsid w:val="00956E2D"/>
    <w:rsid w:val="00956E42"/>
    <w:rsid w:val="00956F1A"/>
    <w:rsid w:val="00956F1E"/>
    <w:rsid w:val="009570C1"/>
    <w:rsid w:val="009570ED"/>
    <w:rsid w:val="009571A6"/>
    <w:rsid w:val="009572FA"/>
    <w:rsid w:val="009574C6"/>
    <w:rsid w:val="00957558"/>
    <w:rsid w:val="00957584"/>
    <w:rsid w:val="00957746"/>
    <w:rsid w:val="00957850"/>
    <w:rsid w:val="00957922"/>
    <w:rsid w:val="00957990"/>
    <w:rsid w:val="00957A6D"/>
    <w:rsid w:val="00957AD4"/>
    <w:rsid w:val="00957C62"/>
    <w:rsid w:val="00957FDA"/>
    <w:rsid w:val="00960222"/>
    <w:rsid w:val="009603E8"/>
    <w:rsid w:val="0096051A"/>
    <w:rsid w:val="00960665"/>
    <w:rsid w:val="009606B0"/>
    <w:rsid w:val="0096072F"/>
    <w:rsid w:val="0096089A"/>
    <w:rsid w:val="009608CA"/>
    <w:rsid w:val="00960C80"/>
    <w:rsid w:val="00960CC6"/>
    <w:rsid w:val="00961016"/>
    <w:rsid w:val="009610F4"/>
    <w:rsid w:val="00961136"/>
    <w:rsid w:val="009612A9"/>
    <w:rsid w:val="00961306"/>
    <w:rsid w:val="00961465"/>
    <w:rsid w:val="009614F8"/>
    <w:rsid w:val="0096159D"/>
    <w:rsid w:val="009618AA"/>
    <w:rsid w:val="00961B9A"/>
    <w:rsid w:val="00961C1B"/>
    <w:rsid w:val="00961D13"/>
    <w:rsid w:val="00962191"/>
    <w:rsid w:val="0096229F"/>
    <w:rsid w:val="00962435"/>
    <w:rsid w:val="00962500"/>
    <w:rsid w:val="0096266C"/>
    <w:rsid w:val="00962789"/>
    <w:rsid w:val="009628AF"/>
    <w:rsid w:val="00962924"/>
    <w:rsid w:val="00962BEA"/>
    <w:rsid w:val="00962C13"/>
    <w:rsid w:val="00962D7C"/>
    <w:rsid w:val="00962FF3"/>
    <w:rsid w:val="00963031"/>
    <w:rsid w:val="0096304F"/>
    <w:rsid w:val="00963194"/>
    <w:rsid w:val="009631AE"/>
    <w:rsid w:val="00963237"/>
    <w:rsid w:val="00963255"/>
    <w:rsid w:val="009632B3"/>
    <w:rsid w:val="009633E1"/>
    <w:rsid w:val="0096369A"/>
    <w:rsid w:val="00963775"/>
    <w:rsid w:val="00963802"/>
    <w:rsid w:val="00963BEE"/>
    <w:rsid w:val="00963C9B"/>
    <w:rsid w:val="00963E8D"/>
    <w:rsid w:val="00963F1A"/>
    <w:rsid w:val="00963F58"/>
    <w:rsid w:val="00963F5A"/>
    <w:rsid w:val="009640D8"/>
    <w:rsid w:val="00964319"/>
    <w:rsid w:val="00964495"/>
    <w:rsid w:val="009644E9"/>
    <w:rsid w:val="0096471F"/>
    <w:rsid w:val="009648B4"/>
    <w:rsid w:val="009649D9"/>
    <w:rsid w:val="00964BAA"/>
    <w:rsid w:val="00964BD8"/>
    <w:rsid w:val="00964DDD"/>
    <w:rsid w:val="00964FD6"/>
    <w:rsid w:val="0096517D"/>
    <w:rsid w:val="0096540C"/>
    <w:rsid w:val="00965531"/>
    <w:rsid w:val="00965577"/>
    <w:rsid w:val="009655D4"/>
    <w:rsid w:val="009657F1"/>
    <w:rsid w:val="009658D4"/>
    <w:rsid w:val="009658E9"/>
    <w:rsid w:val="00965ABB"/>
    <w:rsid w:val="00965AD5"/>
    <w:rsid w:val="00965FC4"/>
    <w:rsid w:val="0096607E"/>
    <w:rsid w:val="009660A1"/>
    <w:rsid w:val="009663E5"/>
    <w:rsid w:val="00966415"/>
    <w:rsid w:val="00966806"/>
    <w:rsid w:val="009669A4"/>
    <w:rsid w:val="00966A9D"/>
    <w:rsid w:val="00966B41"/>
    <w:rsid w:val="00967156"/>
    <w:rsid w:val="009672F3"/>
    <w:rsid w:val="00967317"/>
    <w:rsid w:val="00967895"/>
    <w:rsid w:val="009678D3"/>
    <w:rsid w:val="009679AC"/>
    <w:rsid w:val="00967CBC"/>
    <w:rsid w:val="00967D86"/>
    <w:rsid w:val="00967EAC"/>
    <w:rsid w:val="009700CB"/>
    <w:rsid w:val="009701E6"/>
    <w:rsid w:val="00970235"/>
    <w:rsid w:val="00970381"/>
    <w:rsid w:val="009704E8"/>
    <w:rsid w:val="00970611"/>
    <w:rsid w:val="009708A4"/>
    <w:rsid w:val="00970A65"/>
    <w:rsid w:val="00970B2A"/>
    <w:rsid w:val="00970D09"/>
    <w:rsid w:val="00970E43"/>
    <w:rsid w:val="00970E4C"/>
    <w:rsid w:val="00970EFF"/>
    <w:rsid w:val="00970F17"/>
    <w:rsid w:val="0097122C"/>
    <w:rsid w:val="009712CC"/>
    <w:rsid w:val="009712F8"/>
    <w:rsid w:val="009714F3"/>
    <w:rsid w:val="009715E5"/>
    <w:rsid w:val="00971887"/>
    <w:rsid w:val="0097197A"/>
    <w:rsid w:val="00971BF8"/>
    <w:rsid w:val="00971D4C"/>
    <w:rsid w:val="0097210F"/>
    <w:rsid w:val="009721BC"/>
    <w:rsid w:val="0097224C"/>
    <w:rsid w:val="0097255A"/>
    <w:rsid w:val="00972566"/>
    <w:rsid w:val="0097278E"/>
    <w:rsid w:val="00972939"/>
    <w:rsid w:val="00972964"/>
    <w:rsid w:val="00972C5E"/>
    <w:rsid w:val="00972D29"/>
    <w:rsid w:val="00972DFF"/>
    <w:rsid w:val="00972EDD"/>
    <w:rsid w:val="00972EF5"/>
    <w:rsid w:val="009730A7"/>
    <w:rsid w:val="00973173"/>
    <w:rsid w:val="009732D9"/>
    <w:rsid w:val="009732EC"/>
    <w:rsid w:val="0097349D"/>
    <w:rsid w:val="009734AE"/>
    <w:rsid w:val="009736C9"/>
    <w:rsid w:val="00973D2A"/>
    <w:rsid w:val="00973EFC"/>
    <w:rsid w:val="00973F46"/>
    <w:rsid w:val="00973F68"/>
    <w:rsid w:val="00974008"/>
    <w:rsid w:val="00974306"/>
    <w:rsid w:val="0097440B"/>
    <w:rsid w:val="009744F3"/>
    <w:rsid w:val="00974635"/>
    <w:rsid w:val="009747BC"/>
    <w:rsid w:val="00974808"/>
    <w:rsid w:val="00974AB5"/>
    <w:rsid w:val="00975081"/>
    <w:rsid w:val="009750E6"/>
    <w:rsid w:val="00975136"/>
    <w:rsid w:val="009752AA"/>
    <w:rsid w:val="009752D1"/>
    <w:rsid w:val="00975304"/>
    <w:rsid w:val="009753E1"/>
    <w:rsid w:val="009754D1"/>
    <w:rsid w:val="009755A5"/>
    <w:rsid w:val="0097583A"/>
    <w:rsid w:val="00975B18"/>
    <w:rsid w:val="00975B57"/>
    <w:rsid w:val="00975D53"/>
    <w:rsid w:val="00975F4E"/>
    <w:rsid w:val="009761A6"/>
    <w:rsid w:val="0097637A"/>
    <w:rsid w:val="00976539"/>
    <w:rsid w:val="00976859"/>
    <w:rsid w:val="00976B03"/>
    <w:rsid w:val="00976C82"/>
    <w:rsid w:val="00976DCA"/>
    <w:rsid w:val="0097701E"/>
    <w:rsid w:val="009770E0"/>
    <w:rsid w:val="0097733B"/>
    <w:rsid w:val="009773F3"/>
    <w:rsid w:val="00977656"/>
    <w:rsid w:val="00977831"/>
    <w:rsid w:val="00980048"/>
    <w:rsid w:val="009801A6"/>
    <w:rsid w:val="009804FB"/>
    <w:rsid w:val="00980522"/>
    <w:rsid w:val="00980755"/>
    <w:rsid w:val="00980786"/>
    <w:rsid w:val="0098089E"/>
    <w:rsid w:val="0098089F"/>
    <w:rsid w:val="00980CED"/>
    <w:rsid w:val="00980FD9"/>
    <w:rsid w:val="009810F3"/>
    <w:rsid w:val="00981133"/>
    <w:rsid w:val="0098120F"/>
    <w:rsid w:val="0098133A"/>
    <w:rsid w:val="0098165C"/>
    <w:rsid w:val="0098171D"/>
    <w:rsid w:val="00981940"/>
    <w:rsid w:val="00981CA4"/>
    <w:rsid w:val="00981CB5"/>
    <w:rsid w:val="00981D2B"/>
    <w:rsid w:val="00981DDD"/>
    <w:rsid w:val="00981F83"/>
    <w:rsid w:val="009821CE"/>
    <w:rsid w:val="00982294"/>
    <w:rsid w:val="009823C0"/>
    <w:rsid w:val="009823F3"/>
    <w:rsid w:val="00982429"/>
    <w:rsid w:val="00982716"/>
    <w:rsid w:val="00982A83"/>
    <w:rsid w:val="00982ACE"/>
    <w:rsid w:val="00982D8A"/>
    <w:rsid w:val="00982E02"/>
    <w:rsid w:val="00982F1D"/>
    <w:rsid w:val="00982F52"/>
    <w:rsid w:val="00983035"/>
    <w:rsid w:val="009831B7"/>
    <w:rsid w:val="0098327F"/>
    <w:rsid w:val="009834F8"/>
    <w:rsid w:val="00983541"/>
    <w:rsid w:val="0098370D"/>
    <w:rsid w:val="009838B8"/>
    <w:rsid w:val="0098392E"/>
    <w:rsid w:val="00983B3A"/>
    <w:rsid w:val="00983D04"/>
    <w:rsid w:val="00983D86"/>
    <w:rsid w:val="00983F8E"/>
    <w:rsid w:val="009842AF"/>
    <w:rsid w:val="009843B5"/>
    <w:rsid w:val="009847BF"/>
    <w:rsid w:val="00984852"/>
    <w:rsid w:val="0098493D"/>
    <w:rsid w:val="00984958"/>
    <w:rsid w:val="009849EA"/>
    <w:rsid w:val="00984CA7"/>
    <w:rsid w:val="00984F04"/>
    <w:rsid w:val="0098510C"/>
    <w:rsid w:val="00985141"/>
    <w:rsid w:val="00985192"/>
    <w:rsid w:val="009852CF"/>
    <w:rsid w:val="00985429"/>
    <w:rsid w:val="00985504"/>
    <w:rsid w:val="009855BD"/>
    <w:rsid w:val="00985619"/>
    <w:rsid w:val="00985730"/>
    <w:rsid w:val="00985A6D"/>
    <w:rsid w:val="00985CBF"/>
    <w:rsid w:val="00985F5A"/>
    <w:rsid w:val="009860A0"/>
    <w:rsid w:val="009861C7"/>
    <w:rsid w:val="0098634A"/>
    <w:rsid w:val="009863D3"/>
    <w:rsid w:val="00986444"/>
    <w:rsid w:val="00986474"/>
    <w:rsid w:val="009864B3"/>
    <w:rsid w:val="00986518"/>
    <w:rsid w:val="0098671B"/>
    <w:rsid w:val="00986780"/>
    <w:rsid w:val="00986835"/>
    <w:rsid w:val="00986880"/>
    <w:rsid w:val="00986A3B"/>
    <w:rsid w:val="00986A65"/>
    <w:rsid w:val="00986AA3"/>
    <w:rsid w:val="00986AEA"/>
    <w:rsid w:val="00986CF4"/>
    <w:rsid w:val="00986DE6"/>
    <w:rsid w:val="00986EA8"/>
    <w:rsid w:val="00986F38"/>
    <w:rsid w:val="00986F6A"/>
    <w:rsid w:val="009872CF"/>
    <w:rsid w:val="009875E2"/>
    <w:rsid w:val="00987935"/>
    <w:rsid w:val="009879DE"/>
    <w:rsid w:val="00987B0B"/>
    <w:rsid w:val="009900D4"/>
    <w:rsid w:val="00990295"/>
    <w:rsid w:val="00990342"/>
    <w:rsid w:val="00990472"/>
    <w:rsid w:val="009904D4"/>
    <w:rsid w:val="009904DB"/>
    <w:rsid w:val="0099058A"/>
    <w:rsid w:val="00990736"/>
    <w:rsid w:val="00990843"/>
    <w:rsid w:val="00990A38"/>
    <w:rsid w:val="00990B4A"/>
    <w:rsid w:val="00990C00"/>
    <w:rsid w:val="00990F8F"/>
    <w:rsid w:val="00990FB0"/>
    <w:rsid w:val="0099104B"/>
    <w:rsid w:val="00991078"/>
    <w:rsid w:val="00991118"/>
    <w:rsid w:val="0099177D"/>
    <w:rsid w:val="00991B71"/>
    <w:rsid w:val="00991CFB"/>
    <w:rsid w:val="00991DCC"/>
    <w:rsid w:val="00991E41"/>
    <w:rsid w:val="00991ED8"/>
    <w:rsid w:val="00991F39"/>
    <w:rsid w:val="00991F89"/>
    <w:rsid w:val="00991F93"/>
    <w:rsid w:val="00991FC9"/>
    <w:rsid w:val="0099228D"/>
    <w:rsid w:val="00992426"/>
    <w:rsid w:val="00992633"/>
    <w:rsid w:val="009927E5"/>
    <w:rsid w:val="0099297C"/>
    <w:rsid w:val="009929E4"/>
    <w:rsid w:val="00992A1A"/>
    <w:rsid w:val="00992B01"/>
    <w:rsid w:val="00992B66"/>
    <w:rsid w:val="00992CC8"/>
    <w:rsid w:val="00992D65"/>
    <w:rsid w:val="00992DB4"/>
    <w:rsid w:val="00993369"/>
    <w:rsid w:val="009936A7"/>
    <w:rsid w:val="009936A9"/>
    <w:rsid w:val="0099372B"/>
    <w:rsid w:val="0099378A"/>
    <w:rsid w:val="009937B7"/>
    <w:rsid w:val="009938B9"/>
    <w:rsid w:val="009938F4"/>
    <w:rsid w:val="00993916"/>
    <w:rsid w:val="00993927"/>
    <w:rsid w:val="00993C0F"/>
    <w:rsid w:val="00993E96"/>
    <w:rsid w:val="00993FD6"/>
    <w:rsid w:val="00994086"/>
    <w:rsid w:val="00994181"/>
    <w:rsid w:val="009941EE"/>
    <w:rsid w:val="0099428D"/>
    <w:rsid w:val="00994338"/>
    <w:rsid w:val="00994348"/>
    <w:rsid w:val="00994576"/>
    <w:rsid w:val="00994664"/>
    <w:rsid w:val="00994C68"/>
    <w:rsid w:val="00994CA0"/>
    <w:rsid w:val="00994D47"/>
    <w:rsid w:val="00994E04"/>
    <w:rsid w:val="00994E78"/>
    <w:rsid w:val="00994E98"/>
    <w:rsid w:val="009950E3"/>
    <w:rsid w:val="0099521C"/>
    <w:rsid w:val="00995343"/>
    <w:rsid w:val="0099536B"/>
    <w:rsid w:val="009953A7"/>
    <w:rsid w:val="00995440"/>
    <w:rsid w:val="0099562F"/>
    <w:rsid w:val="009957C5"/>
    <w:rsid w:val="00995934"/>
    <w:rsid w:val="009959A9"/>
    <w:rsid w:val="00995B2B"/>
    <w:rsid w:val="00995E81"/>
    <w:rsid w:val="00995EB0"/>
    <w:rsid w:val="00995EFE"/>
    <w:rsid w:val="00995F11"/>
    <w:rsid w:val="00995F50"/>
    <w:rsid w:val="00995F5B"/>
    <w:rsid w:val="00996477"/>
    <w:rsid w:val="009964AA"/>
    <w:rsid w:val="009964FE"/>
    <w:rsid w:val="0099662D"/>
    <w:rsid w:val="009966B6"/>
    <w:rsid w:val="009966C1"/>
    <w:rsid w:val="00996956"/>
    <w:rsid w:val="0099698F"/>
    <w:rsid w:val="00996B70"/>
    <w:rsid w:val="00996BCA"/>
    <w:rsid w:val="00996D1C"/>
    <w:rsid w:val="00997028"/>
    <w:rsid w:val="00997200"/>
    <w:rsid w:val="00997296"/>
    <w:rsid w:val="0099741B"/>
    <w:rsid w:val="00997710"/>
    <w:rsid w:val="009978BA"/>
    <w:rsid w:val="00997A18"/>
    <w:rsid w:val="00997CC5"/>
    <w:rsid w:val="009A001B"/>
    <w:rsid w:val="009A0050"/>
    <w:rsid w:val="009A0258"/>
    <w:rsid w:val="009A032C"/>
    <w:rsid w:val="009A044A"/>
    <w:rsid w:val="009A0647"/>
    <w:rsid w:val="009A0668"/>
    <w:rsid w:val="009A0702"/>
    <w:rsid w:val="009A076F"/>
    <w:rsid w:val="009A07F6"/>
    <w:rsid w:val="009A085B"/>
    <w:rsid w:val="009A0932"/>
    <w:rsid w:val="009A0B0C"/>
    <w:rsid w:val="009A10CA"/>
    <w:rsid w:val="009A11F0"/>
    <w:rsid w:val="009A121B"/>
    <w:rsid w:val="009A12BB"/>
    <w:rsid w:val="009A14E0"/>
    <w:rsid w:val="009A150F"/>
    <w:rsid w:val="009A1821"/>
    <w:rsid w:val="009A1830"/>
    <w:rsid w:val="009A18B9"/>
    <w:rsid w:val="009A1CB5"/>
    <w:rsid w:val="009A1EE0"/>
    <w:rsid w:val="009A20B0"/>
    <w:rsid w:val="009A2121"/>
    <w:rsid w:val="009A21E2"/>
    <w:rsid w:val="009A23BA"/>
    <w:rsid w:val="009A2678"/>
    <w:rsid w:val="009A271A"/>
    <w:rsid w:val="009A27F1"/>
    <w:rsid w:val="009A2B89"/>
    <w:rsid w:val="009A2F3F"/>
    <w:rsid w:val="009A3058"/>
    <w:rsid w:val="009A30BE"/>
    <w:rsid w:val="009A30FC"/>
    <w:rsid w:val="009A30FE"/>
    <w:rsid w:val="009A311E"/>
    <w:rsid w:val="009A3292"/>
    <w:rsid w:val="009A3391"/>
    <w:rsid w:val="009A34BE"/>
    <w:rsid w:val="009A359B"/>
    <w:rsid w:val="009A35C5"/>
    <w:rsid w:val="009A3A4C"/>
    <w:rsid w:val="009A3AB8"/>
    <w:rsid w:val="009A3AC8"/>
    <w:rsid w:val="009A3B3B"/>
    <w:rsid w:val="009A3C67"/>
    <w:rsid w:val="009A3D99"/>
    <w:rsid w:val="009A3F26"/>
    <w:rsid w:val="009A411A"/>
    <w:rsid w:val="009A448D"/>
    <w:rsid w:val="009A4504"/>
    <w:rsid w:val="009A45CC"/>
    <w:rsid w:val="009A4CD2"/>
    <w:rsid w:val="009A4D67"/>
    <w:rsid w:val="009A4DA2"/>
    <w:rsid w:val="009A4DE7"/>
    <w:rsid w:val="009A4E93"/>
    <w:rsid w:val="009A5003"/>
    <w:rsid w:val="009A5082"/>
    <w:rsid w:val="009A51B4"/>
    <w:rsid w:val="009A5308"/>
    <w:rsid w:val="009A53C7"/>
    <w:rsid w:val="009A556E"/>
    <w:rsid w:val="009A5697"/>
    <w:rsid w:val="009A572C"/>
    <w:rsid w:val="009A5B3E"/>
    <w:rsid w:val="009A5B59"/>
    <w:rsid w:val="009A5ED1"/>
    <w:rsid w:val="009A5F13"/>
    <w:rsid w:val="009A61E4"/>
    <w:rsid w:val="009A622D"/>
    <w:rsid w:val="009A623D"/>
    <w:rsid w:val="009A645F"/>
    <w:rsid w:val="009A64D2"/>
    <w:rsid w:val="009A658F"/>
    <w:rsid w:val="009A6668"/>
    <w:rsid w:val="009A668A"/>
    <w:rsid w:val="009A6764"/>
    <w:rsid w:val="009A684B"/>
    <w:rsid w:val="009A687A"/>
    <w:rsid w:val="009A68E9"/>
    <w:rsid w:val="009A6C94"/>
    <w:rsid w:val="009A6D6C"/>
    <w:rsid w:val="009A6DA1"/>
    <w:rsid w:val="009A7158"/>
    <w:rsid w:val="009A71D2"/>
    <w:rsid w:val="009A7268"/>
    <w:rsid w:val="009A736B"/>
    <w:rsid w:val="009A73D5"/>
    <w:rsid w:val="009A768B"/>
    <w:rsid w:val="009A7707"/>
    <w:rsid w:val="009A773A"/>
    <w:rsid w:val="009A7B3D"/>
    <w:rsid w:val="009A7CE7"/>
    <w:rsid w:val="009A7E59"/>
    <w:rsid w:val="009B0113"/>
    <w:rsid w:val="009B01F8"/>
    <w:rsid w:val="009B0463"/>
    <w:rsid w:val="009B0674"/>
    <w:rsid w:val="009B08B3"/>
    <w:rsid w:val="009B09AE"/>
    <w:rsid w:val="009B0AC8"/>
    <w:rsid w:val="009B0C06"/>
    <w:rsid w:val="009B0C3F"/>
    <w:rsid w:val="009B0C5C"/>
    <w:rsid w:val="009B0EED"/>
    <w:rsid w:val="009B10B7"/>
    <w:rsid w:val="009B1218"/>
    <w:rsid w:val="009B14B3"/>
    <w:rsid w:val="009B14F1"/>
    <w:rsid w:val="009B16D0"/>
    <w:rsid w:val="009B1A65"/>
    <w:rsid w:val="009B1BA2"/>
    <w:rsid w:val="009B1E08"/>
    <w:rsid w:val="009B2306"/>
    <w:rsid w:val="009B24D9"/>
    <w:rsid w:val="009B25A5"/>
    <w:rsid w:val="009B2651"/>
    <w:rsid w:val="009B2661"/>
    <w:rsid w:val="009B27B1"/>
    <w:rsid w:val="009B290A"/>
    <w:rsid w:val="009B2AB1"/>
    <w:rsid w:val="009B2B2F"/>
    <w:rsid w:val="009B2BA7"/>
    <w:rsid w:val="009B2BDB"/>
    <w:rsid w:val="009B2C0C"/>
    <w:rsid w:val="009B2D3E"/>
    <w:rsid w:val="009B320B"/>
    <w:rsid w:val="009B3253"/>
    <w:rsid w:val="009B3598"/>
    <w:rsid w:val="009B35AD"/>
    <w:rsid w:val="009B3642"/>
    <w:rsid w:val="009B3695"/>
    <w:rsid w:val="009B3705"/>
    <w:rsid w:val="009B376F"/>
    <w:rsid w:val="009B3968"/>
    <w:rsid w:val="009B3A44"/>
    <w:rsid w:val="009B3B92"/>
    <w:rsid w:val="009B3D6B"/>
    <w:rsid w:val="009B3E08"/>
    <w:rsid w:val="009B3F5C"/>
    <w:rsid w:val="009B3FB7"/>
    <w:rsid w:val="009B405F"/>
    <w:rsid w:val="009B4233"/>
    <w:rsid w:val="009B42A2"/>
    <w:rsid w:val="009B46BA"/>
    <w:rsid w:val="009B46FB"/>
    <w:rsid w:val="009B4840"/>
    <w:rsid w:val="009B4854"/>
    <w:rsid w:val="009B4986"/>
    <w:rsid w:val="009B4AB1"/>
    <w:rsid w:val="009B4F0A"/>
    <w:rsid w:val="009B5455"/>
    <w:rsid w:val="009B57AA"/>
    <w:rsid w:val="009B5954"/>
    <w:rsid w:val="009B5A64"/>
    <w:rsid w:val="009B5B7B"/>
    <w:rsid w:val="009B5CE5"/>
    <w:rsid w:val="009B5DE9"/>
    <w:rsid w:val="009B5E22"/>
    <w:rsid w:val="009B607C"/>
    <w:rsid w:val="009B60C8"/>
    <w:rsid w:val="009B60EA"/>
    <w:rsid w:val="009B65B5"/>
    <w:rsid w:val="009B6854"/>
    <w:rsid w:val="009B687F"/>
    <w:rsid w:val="009B68D9"/>
    <w:rsid w:val="009B6BB4"/>
    <w:rsid w:val="009B6BE4"/>
    <w:rsid w:val="009B6D6D"/>
    <w:rsid w:val="009B75CB"/>
    <w:rsid w:val="009B771A"/>
    <w:rsid w:val="009B7AFE"/>
    <w:rsid w:val="009B7BEF"/>
    <w:rsid w:val="009B7CF0"/>
    <w:rsid w:val="009B7EA5"/>
    <w:rsid w:val="009B7EB4"/>
    <w:rsid w:val="009B7FAF"/>
    <w:rsid w:val="009C0112"/>
    <w:rsid w:val="009C01B1"/>
    <w:rsid w:val="009C0275"/>
    <w:rsid w:val="009C049A"/>
    <w:rsid w:val="009C062B"/>
    <w:rsid w:val="009C06F1"/>
    <w:rsid w:val="009C08FF"/>
    <w:rsid w:val="009C0968"/>
    <w:rsid w:val="009C0A23"/>
    <w:rsid w:val="009C0A34"/>
    <w:rsid w:val="009C0CB2"/>
    <w:rsid w:val="009C0EF7"/>
    <w:rsid w:val="009C0F20"/>
    <w:rsid w:val="009C0FC3"/>
    <w:rsid w:val="009C113A"/>
    <w:rsid w:val="009C1347"/>
    <w:rsid w:val="009C1394"/>
    <w:rsid w:val="009C14C8"/>
    <w:rsid w:val="009C1597"/>
    <w:rsid w:val="009C18D8"/>
    <w:rsid w:val="009C1ACC"/>
    <w:rsid w:val="009C1B0F"/>
    <w:rsid w:val="009C1B67"/>
    <w:rsid w:val="009C1F82"/>
    <w:rsid w:val="009C20A3"/>
    <w:rsid w:val="009C21A8"/>
    <w:rsid w:val="009C22A9"/>
    <w:rsid w:val="009C2440"/>
    <w:rsid w:val="009C265E"/>
    <w:rsid w:val="009C2716"/>
    <w:rsid w:val="009C2831"/>
    <w:rsid w:val="009C2852"/>
    <w:rsid w:val="009C2932"/>
    <w:rsid w:val="009C29B9"/>
    <w:rsid w:val="009C2AA0"/>
    <w:rsid w:val="009C2F87"/>
    <w:rsid w:val="009C337A"/>
    <w:rsid w:val="009C3385"/>
    <w:rsid w:val="009C33E8"/>
    <w:rsid w:val="009C3872"/>
    <w:rsid w:val="009C38AF"/>
    <w:rsid w:val="009C3AA8"/>
    <w:rsid w:val="009C3BF9"/>
    <w:rsid w:val="009C3D82"/>
    <w:rsid w:val="009C3E34"/>
    <w:rsid w:val="009C4811"/>
    <w:rsid w:val="009C4AE9"/>
    <w:rsid w:val="009C4B8D"/>
    <w:rsid w:val="009C4BE0"/>
    <w:rsid w:val="009C4BF3"/>
    <w:rsid w:val="009C4C48"/>
    <w:rsid w:val="009C4EA6"/>
    <w:rsid w:val="009C5000"/>
    <w:rsid w:val="009C5008"/>
    <w:rsid w:val="009C51F0"/>
    <w:rsid w:val="009C54EB"/>
    <w:rsid w:val="009C5525"/>
    <w:rsid w:val="009C577A"/>
    <w:rsid w:val="009C59AE"/>
    <w:rsid w:val="009C5B00"/>
    <w:rsid w:val="009C5C56"/>
    <w:rsid w:val="009C5D33"/>
    <w:rsid w:val="009C5DE3"/>
    <w:rsid w:val="009C5E71"/>
    <w:rsid w:val="009C5F4F"/>
    <w:rsid w:val="009C63AE"/>
    <w:rsid w:val="009C6631"/>
    <w:rsid w:val="009C67C7"/>
    <w:rsid w:val="009C67DF"/>
    <w:rsid w:val="009C68C5"/>
    <w:rsid w:val="009C68CA"/>
    <w:rsid w:val="009C6A04"/>
    <w:rsid w:val="009C6A94"/>
    <w:rsid w:val="009C6C39"/>
    <w:rsid w:val="009C6C88"/>
    <w:rsid w:val="009C6C8F"/>
    <w:rsid w:val="009C6D0D"/>
    <w:rsid w:val="009C6FAF"/>
    <w:rsid w:val="009C728F"/>
    <w:rsid w:val="009C72D7"/>
    <w:rsid w:val="009C72FA"/>
    <w:rsid w:val="009C759F"/>
    <w:rsid w:val="009C784D"/>
    <w:rsid w:val="009C7A74"/>
    <w:rsid w:val="009C7C80"/>
    <w:rsid w:val="009C7E16"/>
    <w:rsid w:val="009C7EBD"/>
    <w:rsid w:val="009C7FC1"/>
    <w:rsid w:val="009C7FC3"/>
    <w:rsid w:val="009D0114"/>
    <w:rsid w:val="009D04B7"/>
    <w:rsid w:val="009D0565"/>
    <w:rsid w:val="009D094E"/>
    <w:rsid w:val="009D09D8"/>
    <w:rsid w:val="009D0ADE"/>
    <w:rsid w:val="009D1003"/>
    <w:rsid w:val="009D118F"/>
    <w:rsid w:val="009D1328"/>
    <w:rsid w:val="009D1511"/>
    <w:rsid w:val="009D161D"/>
    <w:rsid w:val="009D1692"/>
    <w:rsid w:val="009D1721"/>
    <w:rsid w:val="009D1767"/>
    <w:rsid w:val="009D1834"/>
    <w:rsid w:val="009D19E7"/>
    <w:rsid w:val="009D1C45"/>
    <w:rsid w:val="009D2032"/>
    <w:rsid w:val="009D203B"/>
    <w:rsid w:val="009D20B8"/>
    <w:rsid w:val="009D23AA"/>
    <w:rsid w:val="009D26AF"/>
    <w:rsid w:val="009D284F"/>
    <w:rsid w:val="009D28C1"/>
    <w:rsid w:val="009D29F4"/>
    <w:rsid w:val="009D2B2B"/>
    <w:rsid w:val="009D2BCE"/>
    <w:rsid w:val="009D2ECA"/>
    <w:rsid w:val="009D2EF8"/>
    <w:rsid w:val="009D2F63"/>
    <w:rsid w:val="009D303A"/>
    <w:rsid w:val="009D3099"/>
    <w:rsid w:val="009D3188"/>
    <w:rsid w:val="009D353F"/>
    <w:rsid w:val="009D36F0"/>
    <w:rsid w:val="009D374C"/>
    <w:rsid w:val="009D38BD"/>
    <w:rsid w:val="009D3A94"/>
    <w:rsid w:val="009D3AD9"/>
    <w:rsid w:val="009D3BAE"/>
    <w:rsid w:val="009D3DA8"/>
    <w:rsid w:val="009D3F24"/>
    <w:rsid w:val="009D3F94"/>
    <w:rsid w:val="009D414D"/>
    <w:rsid w:val="009D43D8"/>
    <w:rsid w:val="009D4400"/>
    <w:rsid w:val="009D4521"/>
    <w:rsid w:val="009D47D5"/>
    <w:rsid w:val="009D47E8"/>
    <w:rsid w:val="009D47FF"/>
    <w:rsid w:val="009D5306"/>
    <w:rsid w:val="009D56A6"/>
    <w:rsid w:val="009D575F"/>
    <w:rsid w:val="009D598B"/>
    <w:rsid w:val="009D59D0"/>
    <w:rsid w:val="009D5C30"/>
    <w:rsid w:val="009D6130"/>
    <w:rsid w:val="009D628D"/>
    <w:rsid w:val="009D6388"/>
    <w:rsid w:val="009D65A6"/>
    <w:rsid w:val="009D67E6"/>
    <w:rsid w:val="009D68A9"/>
    <w:rsid w:val="009D6902"/>
    <w:rsid w:val="009D6CFA"/>
    <w:rsid w:val="009D6E18"/>
    <w:rsid w:val="009D71A8"/>
    <w:rsid w:val="009D74B5"/>
    <w:rsid w:val="009D758A"/>
    <w:rsid w:val="009D75F3"/>
    <w:rsid w:val="009D7705"/>
    <w:rsid w:val="009D77F9"/>
    <w:rsid w:val="009D7904"/>
    <w:rsid w:val="009D79FF"/>
    <w:rsid w:val="009D7C67"/>
    <w:rsid w:val="009D7C8F"/>
    <w:rsid w:val="009D7D36"/>
    <w:rsid w:val="009D7D94"/>
    <w:rsid w:val="009D7F28"/>
    <w:rsid w:val="009E0029"/>
    <w:rsid w:val="009E0036"/>
    <w:rsid w:val="009E009D"/>
    <w:rsid w:val="009E010D"/>
    <w:rsid w:val="009E0142"/>
    <w:rsid w:val="009E04C6"/>
    <w:rsid w:val="009E0577"/>
    <w:rsid w:val="009E0A0B"/>
    <w:rsid w:val="009E0A1F"/>
    <w:rsid w:val="009E0AA1"/>
    <w:rsid w:val="009E0B7B"/>
    <w:rsid w:val="009E0D72"/>
    <w:rsid w:val="009E0F5D"/>
    <w:rsid w:val="009E0FD9"/>
    <w:rsid w:val="009E0FFE"/>
    <w:rsid w:val="009E10E0"/>
    <w:rsid w:val="009E1146"/>
    <w:rsid w:val="009E11C8"/>
    <w:rsid w:val="009E1227"/>
    <w:rsid w:val="009E12C6"/>
    <w:rsid w:val="009E12CD"/>
    <w:rsid w:val="009E154F"/>
    <w:rsid w:val="009E1552"/>
    <w:rsid w:val="009E17E7"/>
    <w:rsid w:val="009E18D1"/>
    <w:rsid w:val="009E1C66"/>
    <w:rsid w:val="009E1D3D"/>
    <w:rsid w:val="009E207F"/>
    <w:rsid w:val="009E20BD"/>
    <w:rsid w:val="009E2170"/>
    <w:rsid w:val="009E2241"/>
    <w:rsid w:val="009E24F9"/>
    <w:rsid w:val="009E2554"/>
    <w:rsid w:val="009E28AD"/>
    <w:rsid w:val="009E290A"/>
    <w:rsid w:val="009E2BCC"/>
    <w:rsid w:val="009E3027"/>
    <w:rsid w:val="009E3361"/>
    <w:rsid w:val="009E35AB"/>
    <w:rsid w:val="009E35F9"/>
    <w:rsid w:val="009E38A9"/>
    <w:rsid w:val="009E3933"/>
    <w:rsid w:val="009E3A4E"/>
    <w:rsid w:val="009E3A69"/>
    <w:rsid w:val="009E3B82"/>
    <w:rsid w:val="009E3C7F"/>
    <w:rsid w:val="009E3CDB"/>
    <w:rsid w:val="009E3E97"/>
    <w:rsid w:val="009E3F27"/>
    <w:rsid w:val="009E4025"/>
    <w:rsid w:val="009E406F"/>
    <w:rsid w:val="009E40B0"/>
    <w:rsid w:val="009E40D8"/>
    <w:rsid w:val="009E4123"/>
    <w:rsid w:val="009E4169"/>
    <w:rsid w:val="009E42BE"/>
    <w:rsid w:val="009E42EB"/>
    <w:rsid w:val="009E481E"/>
    <w:rsid w:val="009E483C"/>
    <w:rsid w:val="009E4930"/>
    <w:rsid w:val="009E4960"/>
    <w:rsid w:val="009E4961"/>
    <w:rsid w:val="009E4A78"/>
    <w:rsid w:val="009E4AB7"/>
    <w:rsid w:val="009E4EF8"/>
    <w:rsid w:val="009E5066"/>
    <w:rsid w:val="009E51A3"/>
    <w:rsid w:val="009E5206"/>
    <w:rsid w:val="009E5245"/>
    <w:rsid w:val="009E5385"/>
    <w:rsid w:val="009E53B9"/>
    <w:rsid w:val="009E53FF"/>
    <w:rsid w:val="009E5685"/>
    <w:rsid w:val="009E570C"/>
    <w:rsid w:val="009E59C6"/>
    <w:rsid w:val="009E5A94"/>
    <w:rsid w:val="009E5BC3"/>
    <w:rsid w:val="009E5C47"/>
    <w:rsid w:val="009E62FA"/>
    <w:rsid w:val="009E638D"/>
    <w:rsid w:val="009E6394"/>
    <w:rsid w:val="009E63CC"/>
    <w:rsid w:val="009E6461"/>
    <w:rsid w:val="009E688A"/>
    <w:rsid w:val="009E6B78"/>
    <w:rsid w:val="009E6DF8"/>
    <w:rsid w:val="009E6EEA"/>
    <w:rsid w:val="009E70C1"/>
    <w:rsid w:val="009E7130"/>
    <w:rsid w:val="009E7592"/>
    <w:rsid w:val="009E7609"/>
    <w:rsid w:val="009E76EA"/>
    <w:rsid w:val="009E7894"/>
    <w:rsid w:val="009E7A2E"/>
    <w:rsid w:val="009E7A9A"/>
    <w:rsid w:val="009E7E57"/>
    <w:rsid w:val="009F0479"/>
    <w:rsid w:val="009F0680"/>
    <w:rsid w:val="009F07D1"/>
    <w:rsid w:val="009F08B5"/>
    <w:rsid w:val="009F08FB"/>
    <w:rsid w:val="009F0AD6"/>
    <w:rsid w:val="009F0B2F"/>
    <w:rsid w:val="009F0B6D"/>
    <w:rsid w:val="009F0D13"/>
    <w:rsid w:val="009F107A"/>
    <w:rsid w:val="009F10B4"/>
    <w:rsid w:val="009F1273"/>
    <w:rsid w:val="009F160B"/>
    <w:rsid w:val="009F18B4"/>
    <w:rsid w:val="009F1ADC"/>
    <w:rsid w:val="009F1AEB"/>
    <w:rsid w:val="009F1B0D"/>
    <w:rsid w:val="009F1E9D"/>
    <w:rsid w:val="009F1F70"/>
    <w:rsid w:val="009F2068"/>
    <w:rsid w:val="009F22B4"/>
    <w:rsid w:val="009F27F7"/>
    <w:rsid w:val="009F2817"/>
    <w:rsid w:val="009F294A"/>
    <w:rsid w:val="009F2E4A"/>
    <w:rsid w:val="009F2E53"/>
    <w:rsid w:val="009F2F7A"/>
    <w:rsid w:val="009F2F9E"/>
    <w:rsid w:val="009F30A9"/>
    <w:rsid w:val="009F3295"/>
    <w:rsid w:val="009F337C"/>
    <w:rsid w:val="009F3417"/>
    <w:rsid w:val="009F36A9"/>
    <w:rsid w:val="009F3ADF"/>
    <w:rsid w:val="009F3C0E"/>
    <w:rsid w:val="009F3D2D"/>
    <w:rsid w:val="009F423A"/>
    <w:rsid w:val="009F472F"/>
    <w:rsid w:val="009F4847"/>
    <w:rsid w:val="009F4982"/>
    <w:rsid w:val="009F49EE"/>
    <w:rsid w:val="009F4DDF"/>
    <w:rsid w:val="009F4E75"/>
    <w:rsid w:val="009F4FF3"/>
    <w:rsid w:val="009F52ED"/>
    <w:rsid w:val="009F548B"/>
    <w:rsid w:val="009F5498"/>
    <w:rsid w:val="009F5964"/>
    <w:rsid w:val="009F5A0C"/>
    <w:rsid w:val="009F5AC2"/>
    <w:rsid w:val="009F5CAE"/>
    <w:rsid w:val="009F5D53"/>
    <w:rsid w:val="009F5D78"/>
    <w:rsid w:val="009F5EDB"/>
    <w:rsid w:val="009F5FAB"/>
    <w:rsid w:val="009F6130"/>
    <w:rsid w:val="009F64E1"/>
    <w:rsid w:val="009F66F7"/>
    <w:rsid w:val="009F6707"/>
    <w:rsid w:val="009F67BD"/>
    <w:rsid w:val="009F69DB"/>
    <w:rsid w:val="009F6A66"/>
    <w:rsid w:val="009F6AE7"/>
    <w:rsid w:val="009F6BC9"/>
    <w:rsid w:val="009F6DA1"/>
    <w:rsid w:val="009F6EC6"/>
    <w:rsid w:val="009F6EFB"/>
    <w:rsid w:val="009F702B"/>
    <w:rsid w:val="009F7033"/>
    <w:rsid w:val="009F7076"/>
    <w:rsid w:val="009F7111"/>
    <w:rsid w:val="009F71C4"/>
    <w:rsid w:val="009F7839"/>
    <w:rsid w:val="009F78A2"/>
    <w:rsid w:val="009F7929"/>
    <w:rsid w:val="009F79C2"/>
    <w:rsid w:val="009F7EFC"/>
    <w:rsid w:val="009F7F0D"/>
    <w:rsid w:val="00A000DB"/>
    <w:rsid w:val="00A00198"/>
    <w:rsid w:val="00A0031B"/>
    <w:rsid w:val="00A00546"/>
    <w:rsid w:val="00A00632"/>
    <w:rsid w:val="00A00653"/>
    <w:rsid w:val="00A00732"/>
    <w:rsid w:val="00A008D4"/>
    <w:rsid w:val="00A00A0D"/>
    <w:rsid w:val="00A00CAC"/>
    <w:rsid w:val="00A00E4D"/>
    <w:rsid w:val="00A01203"/>
    <w:rsid w:val="00A0126C"/>
    <w:rsid w:val="00A0128D"/>
    <w:rsid w:val="00A013D8"/>
    <w:rsid w:val="00A01482"/>
    <w:rsid w:val="00A0174B"/>
    <w:rsid w:val="00A017D7"/>
    <w:rsid w:val="00A0193F"/>
    <w:rsid w:val="00A01B9A"/>
    <w:rsid w:val="00A01BFA"/>
    <w:rsid w:val="00A01C21"/>
    <w:rsid w:val="00A01D44"/>
    <w:rsid w:val="00A01E1B"/>
    <w:rsid w:val="00A01E28"/>
    <w:rsid w:val="00A02214"/>
    <w:rsid w:val="00A0240A"/>
    <w:rsid w:val="00A02438"/>
    <w:rsid w:val="00A026B2"/>
    <w:rsid w:val="00A026ED"/>
    <w:rsid w:val="00A02850"/>
    <w:rsid w:val="00A028A8"/>
    <w:rsid w:val="00A0293E"/>
    <w:rsid w:val="00A02B82"/>
    <w:rsid w:val="00A02C99"/>
    <w:rsid w:val="00A02EF6"/>
    <w:rsid w:val="00A031FF"/>
    <w:rsid w:val="00A034B5"/>
    <w:rsid w:val="00A036C8"/>
    <w:rsid w:val="00A03766"/>
    <w:rsid w:val="00A037E8"/>
    <w:rsid w:val="00A038CC"/>
    <w:rsid w:val="00A03951"/>
    <w:rsid w:val="00A03B9C"/>
    <w:rsid w:val="00A03C2B"/>
    <w:rsid w:val="00A03E31"/>
    <w:rsid w:val="00A040D0"/>
    <w:rsid w:val="00A04209"/>
    <w:rsid w:val="00A04383"/>
    <w:rsid w:val="00A0443C"/>
    <w:rsid w:val="00A047AF"/>
    <w:rsid w:val="00A04857"/>
    <w:rsid w:val="00A04A69"/>
    <w:rsid w:val="00A04C3F"/>
    <w:rsid w:val="00A04F61"/>
    <w:rsid w:val="00A0549F"/>
    <w:rsid w:val="00A05538"/>
    <w:rsid w:val="00A0572E"/>
    <w:rsid w:val="00A059E8"/>
    <w:rsid w:val="00A05ACE"/>
    <w:rsid w:val="00A061D3"/>
    <w:rsid w:val="00A06209"/>
    <w:rsid w:val="00A063EB"/>
    <w:rsid w:val="00A06642"/>
    <w:rsid w:val="00A06A3E"/>
    <w:rsid w:val="00A06AB8"/>
    <w:rsid w:val="00A06B5D"/>
    <w:rsid w:val="00A06DA3"/>
    <w:rsid w:val="00A073A0"/>
    <w:rsid w:val="00A074CB"/>
    <w:rsid w:val="00A07566"/>
    <w:rsid w:val="00A0758E"/>
    <w:rsid w:val="00A0774B"/>
    <w:rsid w:val="00A077E6"/>
    <w:rsid w:val="00A079A6"/>
    <w:rsid w:val="00A07A07"/>
    <w:rsid w:val="00A07A4F"/>
    <w:rsid w:val="00A07AB2"/>
    <w:rsid w:val="00A07B75"/>
    <w:rsid w:val="00A07C90"/>
    <w:rsid w:val="00A07D90"/>
    <w:rsid w:val="00A07FC5"/>
    <w:rsid w:val="00A1009E"/>
    <w:rsid w:val="00A10405"/>
    <w:rsid w:val="00A10848"/>
    <w:rsid w:val="00A10A14"/>
    <w:rsid w:val="00A10A43"/>
    <w:rsid w:val="00A10B1A"/>
    <w:rsid w:val="00A10B40"/>
    <w:rsid w:val="00A10BD6"/>
    <w:rsid w:val="00A10DD4"/>
    <w:rsid w:val="00A10E71"/>
    <w:rsid w:val="00A110BE"/>
    <w:rsid w:val="00A110BF"/>
    <w:rsid w:val="00A1113B"/>
    <w:rsid w:val="00A111C1"/>
    <w:rsid w:val="00A113CE"/>
    <w:rsid w:val="00A11894"/>
    <w:rsid w:val="00A11921"/>
    <w:rsid w:val="00A11982"/>
    <w:rsid w:val="00A11C01"/>
    <w:rsid w:val="00A11C2E"/>
    <w:rsid w:val="00A11C4E"/>
    <w:rsid w:val="00A1218E"/>
    <w:rsid w:val="00A1227C"/>
    <w:rsid w:val="00A123FB"/>
    <w:rsid w:val="00A12495"/>
    <w:rsid w:val="00A12E3A"/>
    <w:rsid w:val="00A12FA2"/>
    <w:rsid w:val="00A1336E"/>
    <w:rsid w:val="00A1347C"/>
    <w:rsid w:val="00A13681"/>
    <w:rsid w:val="00A137EA"/>
    <w:rsid w:val="00A1385A"/>
    <w:rsid w:val="00A13878"/>
    <w:rsid w:val="00A1394D"/>
    <w:rsid w:val="00A13C85"/>
    <w:rsid w:val="00A13D0E"/>
    <w:rsid w:val="00A13DB9"/>
    <w:rsid w:val="00A13E76"/>
    <w:rsid w:val="00A13EB1"/>
    <w:rsid w:val="00A13EBB"/>
    <w:rsid w:val="00A13F96"/>
    <w:rsid w:val="00A13F9A"/>
    <w:rsid w:val="00A142EB"/>
    <w:rsid w:val="00A143FB"/>
    <w:rsid w:val="00A14617"/>
    <w:rsid w:val="00A1495C"/>
    <w:rsid w:val="00A14A38"/>
    <w:rsid w:val="00A14AB8"/>
    <w:rsid w:val="00A14AC9"/>
    <w:rsid w:val="00A14AF6"/>
    <w:rsid w:val="00A14D32"/>
    <w:rsid w:val="00A14D34"/>
    <w:rsid w:val="00A14DA5"/>
    <w:rsid w:val="00A14DB4"/>
    <w:rsid w:val="00A14EBA"/>
    <w:rsid w:val="00A150A5"/>
    <w:rsid w:val="00A151CA"/>
    <w:rsid w:val="00A153FE"/>
    <w:rsid w:val="00A155A3"/>
    <w:rsid w:val="00A156A7"/>
    <w:rsid w:val="00A1576E"/>
    <w:rsid w:val="00A157A6"/>
    <w:rsid w:val="00A157C9"/>
    <w:rsid w:val="00A157F6"/>
    <w:rsid w:val="00A15A3E"/>
    <w:rsid w:val="00A15C6C"/>
    <w:rsid w:val="00A1604B"/>
    <w:rsid w:val="00A161D7"/>
    <w:rsid w:val="00A16272"/>
    <w:rsid w:val="00A16285"/>
    <w:rsid w:val="00A162F8"/>
    <w:rsid w:val="00A1671D"/>
    <w:rsid w:val="00A16777"/>
    <w:rsid w:val="00A1677F"/>
    <w:rsid w:val="00A16996"/>
    <w:rsid w:val="00A16D25"/>
    <w:rsid w:val="00A16D2E"/>
    <w:rsid w:val="00A16E03"/>
    <w:rsid w:val="00A16F0E"/>
    <w:rsid w:val="00A17175"/>
    <w:rsid w:val="00A171D5"/>
    <w:rsid w:val="00A1721C"/>
    <w:rsid w:val="00A17277"/>
    <w:rsid w:val="00A172D1"/>
    <w:rsid w:val="00A17308"/>
    <w:rsid w:val="00A17339"/>
    <w:rsid w:val="00A173AE"/>
    <w:rsid w:val="00A17402"/>
    <w:rsid w:val="00A174A1"/>
    <w:rsid w:val="00A17578"/>
    <w:rsid w:val="00A17644"/>
    <w:rsid w:val="00A1769B"/>
    <w:rsid w:val="00A17883"/>
    <w:rsid w:val="00A17A95"/>
    <w:rsid w:val="00A17BDB"/>
    <w:rsid w:val="00A17F7E"/>
    <w:rsid w:val="00A20105"/>
    <w:rsid w:val="00A203E6"/>
    <w:rsid w:val="00A20646"/>
    <w:rsid w:val="00A2067A"/>
    <w:rsid w:val="00A20686"/>
    <w:rsid w:val="00A20915"/>
    <w:rsid w:val="00A20B25"/>
    <w:rsid w:val="00A20D8C"/>
    <w:rsid w:val="00A20D9D"/>
    <w:rsid w:val="00A21233"/>
    <w:rsid w:val="00A21258"/>
    <w:rsid w:val="00A21A6F"/>
    <w:rsid w:val="00A21C2F"/>
    <w:rsid w:val="00A21FE1"/>
    <w:rsid w:val="00A2204D"/>
    <w:rsid w:val="00A220A2"/>
    <w:rsid w:val="00A221FA"/>
    <w:rsid w:val="00A2220E"/>
    <w:rsid w:val="00A22410"/>
    <w:rsid w:val="00A2255D"/>
    <w:rsid w:val="00A229FA"/>
    <w:rsid w:val="00A22A69"/>
    <w:rsid w:val="00A22CB3"/>
    <w:rsid w:val="00A22E89"/>
    <w:rsid w:val="00A233FD"/>
    <w:rsid w:val="00A23549"/>
    <w:rsid w:val="00A2357C"/>
    <w:rsid w:val="00A2363F"/>
    <w:rsid w:val="00A23655"/>
    <w:rsid w:val="00A236C0"/>
    <w:rsid w:val="00A238EF"/>
    <w:rsid w:val="00A23C9F"/>
    <w:rsid w:val="00A23FEC"/>
    <w:rsid w:val="00A2427E"/>
    <w:rsid w:val="00A244AE"/>
    <w:rsid w:val="00A244BB"/>
    <w:rsid w:val="00A244F0"/>
    <w:rsid w:val="00A24506"/>
    <w:rsid w:val="00A245D8"/>
    <w:rsid w:val="00A24B0F"/>
    <w:rsid w:val="00A24B4B"/>
    <w:rsid w:val="00A24C29"/>
    <w:rsid w:val="00A24D8F"/>
    <w:rsid w:val="00A24F5D"/>
    <w:rsid w:val="00A2503B"/>
    <w:rsid w:val="00A25259"/>
    <w:rsid w:val="00A25566"/>
    <w:rsid w:val="00A2578C"/>
    <w:rsid w:val="00A257AB"/>
    <w:rsid w:val="00A25847"/>
    <w:rsid w:val="00A25B36"/>
    <w:rsid w:val="00A25C00"/>
    <w:rsid w:val="00A25CA5"/>
    <w:rsid w:val="00A25CAD"/>
    <w:rsid w:val="00A25F31"/>
    <w:rsid w:val="00A25FC9"/>
    <w:rsid w:val="00A260CD"/>
    <w:rsid w:val="00A2627C"/>
    <w:rsid w:val="00A26345"/>
    <w:rsid w:val="00A26565"/>
    <w:rsid w:val="00A268B2"/>
    <w:rsid w:val="00A26A86"/>
    <w:rsid w:val="00A26DEA"/>
    <w:rsid w:val="00A26E29"/>
    <w:rsid w:val="00A26FD0"/>
    <w:rsid w:val="00A27490"/>
    <w:rsid w:val="00A277F0"/>
    <w:rsid w:val="00A2795F"/>
    <w:rsid w:val="00A279B3"/>
    <w:rsid w:val="00A27A88"/>
    <w:rsid w:val="00A27C2D"/>
    <w:rsid w:val="00A27CFF"/>
    <w:rsid w:val="00A27D6A"/>
    <w:rsid w:val="00A27D73"/>
    <w:rsid w:val="00A30057"/>
    <w:rsid w:val="00A300BE"/>
    <w:rsid w:val="00A300D4"/>
    <w:rsid w:val="00A3026C"/>
    <w:rsid w:val="00A3049E"/>
    <w:rsid w:val="00A304C8"/>
    <w:rsid w:val="00A30891"/>
    <w:rsid w:val="00A308F2"/>
    <w:rsid w:val="00A30984"/>
    <w:rsid w:val="00A30B54"/>
    <w:rsid w:val="00A30C5B"/>
    <w:rsid w:val="00A30CCC"/>
    <w:rsid w:val="00A30CEC"/>
    <w:rsid w:val="00A30E0F"/>
    <w:rsid w:val="00A30F2E"/>
    <w:rsid w:val="00A30F49"/>
    <w:rsid w:val="00A31088"/>
    <w:rsid w:val="00A315E6"/>
    <w:rsid w:val="00A319A0"/>
    <w:rsid w:val="00A31A65"/>
    <w:rsid w:val="00A320BA"/>
    <w:rsid w:val="00A32109"/>
    <w:rsid w:val="00A32140"/>
    <w:rsid w:val="00A321C6"/>
    <w:rsid w:val="00A32314"/>
    <w:rsid w:val="00A3239A"/>
    <w:rsid w:val="00A323D6"/>
    <w:rsid w:val="00A32447"/>
    <w:rsid w:val="00A325AB"/>
    <w:rsid w:val="00A32684"/>
    <w:rsid w:val="00A32890"/>
    <w:rsid w:val="00A32919"/>
    <w:rsid w:val="00A32A6D"/>
    <w:rsid w:val="00A32A7E"/>
    <w:rsid w:val="00A32BC1"/>
    <w:rsid w:val="00A32C81"/>
    <w:rsid w:val="00A32DA5"/>
    <w:rsid w:val="00A32F80"/>
    <w:rsid w:val="00A3300F"/>
    <w:rsid w:val="00A330CE"/>
    <w:rsid w:val="00A330F9"/>
    <w:rsid w:val="00A3321B"/>
    <w:rsid w:val="00A335ED"/>
    <w:rsid w:val="00A33651"/>
    <w:rsid w:val="00A3366F"/>
    <w:rsid w:val="00A33939"/>
    <w:rsid w:val="00A33A8E"/>
    <w:rsid w:val="00A33E10"/>
    <w:rsid w:val="00A33F51"/>
    <w:rsid w:val="00A343F9"/>
    <w:rsid w:val="00A34650"/>
    <w:rsid w:val="00A34830"/>
    <w:rsid w:val="00A349AA"/>
    <w:rsid w:val="00A34B00"/>
    <w:rsid w:val="00A34C71"/>
    <w:rsid w:val="00A34ECB"/>
    <w:rsid w:val="00A3505F"/>
    <w:rsid w:val="00A3514E"/>
    <w:rsid w:val="00A351F9"/>
    <w:rsid w:val="00A3522B"/>
    <w:rsid w:val="00A35248"/>
    <w:rsid w:val="00A3551E"/>
    <w:rsid w:val="00A35644"/>
    <w:rsid w:val="00A3590B"/>
    <w:rsid w:val="00A35A62"/>
    <w:rsid w:val="00A35B30"/>
    <w:rsid w:val="00A35E86"/>
    <w:rsid w:val="00A360E8"/>
    <w:rsid w:val="00A3659C"/>
    <w:rsid w:val="00A36782"/>
    <w:rsid w:val="00A367F0"/>
    <w:rsid w:val="00A36855"/>
    <w:rsid w:val="00A36ACA"/>
    <w:rsid w:val="00A36B26"/>
    <w:rsid w:val="00A36BF8"/>
    <w:rsid w:val="00A36CC0"/>
    <w:rsid w:val="00A36E94"/>
    <w:rsid w:val="00A3749B"/>
    <w:rsid w:val="00A37584"/>
    <w:rsid w:val="00A37618"/>
    <w:rsid w:val="00A37B40"/>
    <w:rsid w:val="00A37DC5"/>
    <w:rsid w:val="00A37E25"/>
    <w:rsid w:val="00A37EB4"/>
    <w:rsid w:val="00A4002B"/>
    <w:rsid w:val="00A402AE"/>
    <w:rsid w:val="00A406C0"/>
    <w:rsid w:val="00A40845"/>
    <w:rsid w:val="00A40DEA"/>
    <w:rsid w:val="00A40EB6"/>
    <w:rsid w:val="00A40F45"/>
    <w:rsid w:val="00A412B9"/>
    <w:rsid w:val="00A4145E"/>
    <w:rsid w:val="00A4150F"/>
    <w:rsid w:val="00A4159D"/>
    <w:rsid w:val="00A41651"/>
    <w:rsid w:val="00A41BBC"/>
    <w:rsid w:val="00A41D21"/>
    <w:rsid w:val="00A41E93"/>
    <w:rsid w:val="00A41EF9"/>
    <w:rsid w:val="00A41F40"/>
    <w:rsid w:val="00A4205F"/>
    <w:rsid w:val="00A4216D"/>
    <w:rsid w:val="00A422D0"/>
    <w:rsid w:val="00A423A9"/>
    <w:rsid w:val="00A426A4"/>
    <w:rsid w:val="00A42709"/>
    <w:rsid w:val="00A4289E"/>
    <w:rsid w:val="00A42A16"/>
    <w:rsid w:val="00A42A66"/>
    <w:rsid w:val="00A42ABE"/>
    <w:rsid w:val="00A42D5D"/>
    <w:rsid w:val="00A42D7F"/>
    <w:rsid w:val="00A42EE6"/>
    <w:rsid w:val="00A43119"/>
    <w:rsid w:val="00A432AC"/>
    <w:rsid w:val="00A43414"/>
    <w:rsid w:val="00A4355A"/>
    <w:rsid w:val="00A43593"/>
    <w:rsid w:val="00A43899"/>
    <w:rsid w:val="00A43957"/>
    <w:rsid w:val="00A439C2"/>
    <w:rsid w:val="00A43BB6"/>
    <w:rsid w:val="00A43BD9"/>
    <w:rsid w:val="00A43CDA"/>
    <w:rsid w:val="00A43E78"/>
    <w:rsid w:val="00A44207"/>
    <w:rsid w:val="00A442AB"/>
    <w:rsid w:val="00A4430B"/>
    <w:rsid w:val="00A444ED"/>
    <w:rsid w:val="00A448AE"/>
    <w:rsid w:val="00A44A14"/>
    <w:rsid w:val="00A44A76"/>
    <w:rsid w:val="00A44C27"/>
    <w:rsid w:val="00A44CCF"/>
    <w:rsid w:val="00A44D07"/>
    <w:rsid w:val="00A44E7D"/>
    <w:rsid w:val="00A450A8"/>
    <w:rsid w:val="00A4515B"/>
    <w:rsid w:val="00A4531A"/>
    <w:rsid w:val="00A4533C"/>
    <w:rsid w:val="00A4534E"/>
    <w:rsid w:val="00A4536F"/>
    <w:rsid w:val="00A455AE"/>
    <w:rsid w:val="00A45619"/>
    <w:rsid w:val="00A456B4"/>
    <w:rsid w:val="00A4574A"/>
    <w:rsid w:val="00A4578F"/>
    <w:rsid w:val="00A45AE2"/>
    <w:rsid w:val="00A45AF9"/>
    <w:rsid w:val="00A45B6B"/>
    <w:rsid w:val="00A45D32"/>
    <w:rsid w:val="00A45D43"/>
    <w:rsid w:val="00A461B9"/>
    <w:rsid w:val="00A4628C"/>
    <w:rsid w:val="00A467CE"/>
    <w:rsid w:val="00A46A47"/>
    <w:rsid w:val="00A46CD5"/>
    <w:rsid w:val="00A46E7C"/>
    <w:rsid w:val="00A47341"/>
    <w:rsid w:val="00A473F6"/>
    <w:rsid w:val="00A478AA"/>
    <w:rsid w:val="00A47913"/>
    <w:rsid w:val="00A4794A"/>
    <w:rsid w:val="00A47B85"/>
    <w:rsid w:val="00A47E40"/>
    <w:rsid w:val="00A47F7F"/>
    <w:rsid w:val="00A47FD1"/>
    <w:rsid w:val="00A507C0"/>
    <w:rsid w:val="00A508F0"/>
    <w:rsid w:val="00A509A8"/>
    <w:rsid w:val="00A50AC3"/>
    <w:rsid w:val="00A50AD0"/>
    <w:rsid w:val="00A50AE5"/>
    <w:rsid w:val="00A50DFE"/>
    <w:rsid w:val="00A50F5E"/>
    <w:rsid w:val="00A50FB4"/>
    <w:rsid w:val="00A51086"/>
    <w:rsid w:val="00A51141"/>
    <w:rsid w:val="00A51206"/>
    <w:rsid w:val="00A5182D"/>
    <w:rsid w:val="00A51872"/>
    <w:rsid w:val="00A51941"/>
    <w:rsid w:val="00A51969"/>
    <w:rsid w:val="00A51C19"/>
    <w:rsid w:val="00A51C5F"/>
    <w:rsid w:val="00A52405"/>
    <w:rsid w:val="00A52457"/>
    <w:rsid w:val="00A524C7"/>
    <w:rsid w:val="00A5273A"/>
    <w:rsid w:val="00A527CC"/>
    <w:rsid w:val="00A52AED"/>
    <w:rsid w:val="00A52CD0"/>
    <w:rsid w:val="00A531B9"/>
    <w:rsid w:val="00A53241"/>
    <w:rsid w:val="00A53320"/>
    <w:rsid w:val="00A533BE"/>
    <w:rsid w:val="00A53524"/>
    <w:rsid w:val="00A53603"/>
    <w:rsid w:val="00A53634"/>
    <w:rsid w:val="00A536E9"/>
    <w:rsid w:val="00A53962"/>
    <w:rsid w:val="00A53B1F"/>
    <w:rsid w:val="00A53B6D"/>
    <w:rsid w:val="00A53B8B"/>
    <w:rsid w:val="00A53C07"/>
    <w:rsid w:val="00A53C0F"/>
    <w:rsid w:val="00A5401B"/>
    <w:rsid w:val="00A54244"/>
    <w:rsid w:val="00A54270"/>
    <w:rsid w:val="00A54492"/>
    <w:rsid w:val="00A54507"/>
    <w:rsid w:val="00A54578"/>
    <w:rsid w:val="00A5467F"/>
    <w:rsid w:val="00A546B3"/>
    <w:rsid w:val="00A546CF"/>
    <w:rsid w:val="00A54813"/>
    <w:rsid w:val="00A54CC2"/>
    <w:rsid w:val="00A54E9E"/>
    <w:rsid w:val="00A54F6D"/>
    <w:rsid w:val="00A550F4"/>
    <w:rsid w:val="00A551B7"/>
    <w:rsid w:val="00A55539"/>
    <w:rsid w:val="00A55837"/>
    <w:rsid w:val="00A55C05"/>
    <w:rsid w:val="00A55C95"/>
    <w:rsid w:val="00A55E1D"/>
    <w:rsid w:val="00A55FB6"/>
    <w:rsid w:val="00A55FD6"/>
    <w:rsid w:val="00A56012"/>
    <w:rsid w:val="00A56129"/>
    <w:rsid w:val="00A56189"/>
    <w:rsid w:val="00A561AB"/>
    <w:rsid w:val="00A5634C"/>
    <w:rsid w:val="00A5646E"/>
    <w:rsid w:val="00A56864"/>
    <w:rsid w:val="00A569D0"/>
    <w:rsid w:val="00A569FB"/>
    <w:rsid w:val="00A56BC2"/>
    <w:rsid w:val="00A5727E"/>
    <w:rsid w:val="00A575BE"/>
    <w:rsid w:val="00A575FF"/>
    <w:rsid w:val="00A57810"/>
    <w:rsid w:val="00A57DC4"/>
    <w:rsid w:val="00A600AB"/>
    <w:rsid w:val="00A601F9"/>
    <w:rsid w:val="00A6023C"/>
    <w:rsid w:val="00A60264"/>
    <w:rsid w:val="00A603F7"/>
    <w:rsid w:val="00A607B9"/>
    <w:rsid w:val="00A60831"/>
    <w:rsid w:val="00A60877"/>
    <w:rsid w:val="00A60BC9"/>
    <w:rsid w:val="00A60E8A"/>
    <w:rsid w:val="00A60EDF"/>
    <w:rsid w:val="00A60FDB"/>
    <w:rsid w:val="00A6100B"/>
    <w:rsid w:val="00A61498"/>
    <w:rsid w:val="00A6157A"/>
    <w:rsid w:val="00A6167F"/>
    <w:rsid w:val="00A61708"/>
    <w:rsid w:val="00A618BF"/>
    <w:rsid w:val="00A61913"/>
    <w:rsid w:val="00A61B83"/>
    <w:rsid w:val="00A62015"/>
    <w:rsid w:val="00A62367"/>
    <w:rsid w:val="00A624A0"/>
    <w:rsid w:val="00A625E6"/>
    <w:rsid w:val="00A6299B"/>
    <w:rsid w:val="00A62A09"/>
    <w:rsid w:val="00A62BB3"/>
    <w:rsid w:val="00A62D3A"/>
    <w:rsid w:val="00A62DC7"/>
    <w:rsid w:val="00A62DF4"/>
    <w:rsid w:val="00A62E42"/>
    <w:rsid w:val="00A63163"/>
    <w:rsid w:val="00A631B9"/>
    <w:rsid w:val="00A63221"/>
    <w:rsid w:val="00A63582"/>
    <w:rsid w:val="00A635EB"/>
    <w:rsid w:val="00A636D8"/>
    <w:rsid w:val="00A6396A"/>
    <w:rsid w:val="00A639B3"/>
    <w:rsid w:val="00A63BAF"/>
    <w:rsid w:val="00A63C69"/>
    <w:rsid w:val="00A63DE9"/>
    <w:rsid w:val="00A6411A"/>
    <w:rsid w:val="00A641D3"/>
    <w:rsid w:val="00A64248"/>
    <w:rsid w:val="00A642C7"/>
    <w:rsid w:val="00A642E1"/>
    <w:rsid w:val="00A6443E"/>
    <w:rsid w:val="00A644B7"/>
    <w:rsid w:val="00A64A71"/>
    <w:rsid w:val="00A64E06"/>
    <w:rsid w:val="00A64E5E"/>
    <w:rsid w:val="00A64F67"/>
    <w:rsid w:val="00A64F69"/>
    <w:rsid w:val="00A64FC4"/>
    <w:rsid w:val="00A65286"/>
    <w:rsid w:val="00A652B8"/>
    <w:rsid w:val="00A6543F"/>
    <w:rsid w:val="00A65459"/>
    <w:rsid w:val="00A6553F"/>
    <w:rsid w:val="00A65A7A"/>
    <w:rsid w:val="00A65B70"/>
    <w:rsid w:val="00A65D49"/>
    <w:rsid w:val="00A6611C"/>
    <w:rsid w:val="00A6613C"/>
    <w:rsid w:val="00A662AD"/>
    <w:rsid w:val="00A66E7B"/>
    <w:rsid w:val="00A67188"/>
    <w:rsid w:val="00A67190"/>
    <w:rsid w:val="00A67272"/>
    <w:rsid w:val="00A672B8"/>
    <w:rsid w:val="00A67584"/>
    <w:rsid w:val="00A6758E"/>
    <w:rsid w:val="00A67617"/>
    <w:rsid w:val="00A679BB"/>
    <w:rsid w:val="00A67A11"/>
    <w:rsid w:val="00A67A1B"/>
    <w:rsid w:val="00A67CD9"/>
    <w:rsid w:val="00A67D36"/>
    <w:rsid w:val="00A67D86"/>
    <w:rsid w:val="00A67DF1"/>
    <w:rsid w:val="00A67EB2"/>
    <w:rsid w:val="00A67FCC"/>
    <w:rsid w:val="00A67FDA"/>
    <w:rsid w:val="00A700CD"/>
    <w:rsid w:val="00A70190"/>
    <w:rsid w:val="00A70295"/>
    <w:rsid w:val="00A702CB"/>
    <w:rsid w:val="00A702FB"/>
    <w:rsid w:val="00A7049E"/>
    <w:rsid w:val="00A7058F"/>
    <w:rsid w:val="00A706A3"/>
    <w:rsid w:val="00A708F7"/>
    <w:rsid w:val="00A70B81"/>
    <w:rsid w:val="00A70C71"/>
    <w:rsid w:val="00A70C7A"/>
    <w:rsid w:val="00A70CC6"/>
    <w:rsid w:val="00A70E1A"/>
    <w:rsid w:val="00A70E39"/>
    <w:rsid w:val="00A70F8A"/>
    <w:rsid w:val="00A71083"/>
    <w:rsid w:val="00A710E1"/>
    <w:rsid w:val="00A7122A"/>
    <w:rsid w:val="00A712BD"/>
    <w:rsid w:val="00A7140F"/>
    <w:rsid w:val="00A71607"/>
    <w:rsid w:val="00A71667"/>
    <w:rsid w:val="00A71737"/>
    <w:rsid w:val="00A71778"/>
    <w:rsid w:val="00A719B4"/>
    <w:rsid w:val="00A71CA0"/>
    <w:rsid w:val="00A729BC"/>
    <w:rsid w:val="00A72A1D"/>
    <w:rsid w:val="00A72A88"/>
    <w:rsid w:val="00A72FD4"/>
    <w:rsid w:val="00A730CA"/>
    <w:rsid w:val="00A73137"/>
    <w:rsid w:val="00A732BD"/>
    <w:rsid w:val="00A73365"/>
    <w:rsid w:val="00A736A2"/>
    <w:rsid w:val="00A738CF"/>
    <w:rsid w:val="00A73965"/>
    <w:rsid w:val="00A73A8F"/>
    <w:rsid w:val="00A73B28"/>
    <w:rsid w:val="00A73C68"/>
    <w:rsid w:val="00A73FD8"/>
    <w:rsid w:val="00A740DF"/>
    <w:rsid w:val="00A74399"/>
    <w:rsid w:val="00A7443A"/>
    <w:rsid w:val="00A744FD"/>
    <w:rsid w:val="00A7483A"/>
    <w:rsid w:val="00A74C9B"/>
    <w:rsid w:val="00A74F7A"/>
    <w:rsid w:val="00A750BD"/>
    <w:rsid w:val="00A75148"/>
    <w:rsid w:val="00A7529E"/>
    <w:rsid w:val="00A7543F"/>
    <w:rsid w:val="00A75527"/>
    <w:rsid w:val="00A75695"/>
    <w:rsid w:val="00A75A5C"/>
    <w:rsid w:val="00A75B4E"/>
    <w:rsid w:val="00A75BF5"/>
    <w:rsid w:val="00A75D8B"/>
    <w:rsid w:val="00A75DE7"/>
    <w:rsid w:val="00A760F5"/>
    <w:rsid w:val="00A76264"/>
    <w:rsid w:val="00A762F9"/>
    <w:rsid w:val="00A76385"/>
    <w:rsid w:val="00A76480"/>
    <w:rsid w:val="00A7655D"/>
    <w:rsid w:val="00A766A8"/>
    <w:rsid w:val="00A766D4"/>
    <w:rsid w:val="00A767CA"/>
    <w:rsid w:val="00A76955"/>
    <w:rsid w:val="00A76B40"/>
    <w:rsid w:val="00A76B99"/>
    <w:rsid w:val="00A76BC0"/>
    <w:rsid w:val="00A76F21"/>
    <w:rsid w:val="00A76FDD"/>
    <w:rsid w:val="00A770C9"/>
    <w:rsid w:val="00A77668"/>
    <w:rsid w:val="00A777F2"/>
    <w:rsid w:val="00A7796D"/>
    <w:rsid w:val="00A77986"/>
    <w:rsid w:val="00A779C3"/>
    <w:rsid w:val="00A77E80"/>
    <w:rsid w:val="00A77FAB"/>
    <w:rsid w:val="00A801AA"/>
    <w:rsid w:val="00A801DA"/>
    <w:rsid w:val="00A80261"/>
    <w:rsid w:val="00A80413"/>
    <w:rsid w:val="00A8061E"/>
    <w:rsid w:val="00A8074F"/>
    <w:rsid w:val="00A80787"/>
    <w:rsid w:val="00A80E18"/>
    <w:rsid w:val="00A80FD0"/>
    <w:rsid w:val="00A81048"/>
    <w:rsid w:val="00A81067"/>
    <w:rsid w:val="00A81238"/>
    <w:rsid w:val="00A81331"/>
    <w:rsid w:val="00A81362"/>
    <w:rsid w:val="00A81907"/>
    <w:rsid w:val="00A81B06"/>
    <w:rsid w:val="00A81C05"/>
    <w:rsid w:val="00A82135"/>
    <w:rsid w:val="00A82196"/>
    <w:rsid w:val="00A82204"/>
    <w:rsid w:val="00A82300"/>
    <w:rsid w:val="00A82423"/>
    <w:rsid w:val="00A8250A"/>
    <w:rsid w:val="00A829FF"/>
    <w:rsid w:val="00A82A58"/>
    <w:rsid w:val="00A82CDB"/>
    <w:rsid w:val="00A82F3F"/>
    <w:rsid w:val="00A8306E"/>
    <w:rsid w:val="00A831BE"/>
    <w:rsid w:val="00A83498"/>
    <w:rsid w:val="00A834C1"/>
    <w:rsid w:val="00A834CF"/>
    <w:rsid w:val="00A834D0"/>
    <w:rsid w:val="00A834D7"/>
    <w:rsid w:val="00A835CE"/>
    <w:rsid w:val="00A837A7"/>
    <w:rsid w:val="00A839CA"/>
    <w:rsid w:val="00A83CB0"/>
    <w:rsid w:val="00A83DBF"/>
    <w:rsid w:val="00A83E0F"/>
    <w:rsid w:val="00A83E40"/>
    <w:rsid w:val="00A83E50"/>
    <w:rsid w:val="00A83FDC"/>
    <w:rsid w:val="00A84104"/>
    <w:rsid w:val="00A8415F"/>
    <w:rsid w:val="00A84181"/>
    <w:rsid w:val="00A841DB"/>
    <w:rsid w:val="00A842E5"/>
    <w:rsid w:val="00A8458F"/>
    <w:rsid w:val="00A848E3"/>
    <w:rsid w:val="00A849CF"/>
    <w:rsid w:val="00A84C96"/>
    <w:rsid w:val="00A84D01"/>
    <w:rsid w:val="00A84EA8"/>
    <w:rsid w:val="00A84F42"/>
    <w:rsid w:val="00A85043"/>
    <w:rsid w:val="00A85100"/>
    <w:rsid w:val="00A852C2"/>
    <w:rsid w:val="00A85317"/>
    <w:rsid w:val="00A856D3"/>
    <w:rsid w:val="00A8581B"/>
    <w:rsid w:val="00A8582D"/>
    <w:rsid w:val="00A85869"/>
    <w:rsid w:val="00A85B96"/>
    <w:rsid w:val="00A85FBD"/>
    <w:rsid w:val="00A85FDC"/>
    <w:rsid w:val="00A8651B"/>
    <w:rsid w:val="00A86609"/>
    <w:rsid w:val="00A86692"/>
    <w:rsid w:val="00A86740"/>
    <w:rsid w:val="00A868F1"/>
    <w:rsid w:val="00A86AB5"/>
    <w:rsid w:val="00A86B70"/>
    <w:rsid w:val="00A86BB0"/>
    <w:rsid w:val="00A86BB4"/>
    <w:rsid w:val="00A86D63"/>
    <w:rsid w:val="00A86FFF"/>
    <w:rsid w:val="00A87015"/>
    <w:rsid w:val="00A8706E"/>
    <w:rsid w:val="00A87290"/>
    <w:rsid w:val="00A872C0"/>
    <w:rsid w:val="00A873FD"/>
    <w:rsid w:val="00A8741B"/>
    <w:rsid w:val="00A87437"/>
    <w:rsid w:val="00A87868"/>
    <w:rsid w:val="00A87965"/>
    <w:rsid w:val="00A87B27"/>
    <w:rsid w:val="00A87C28"/>
    <w:rsid w:val="00A87C6C"/>
    <w:rsid w:val="00A87DCA"/>
    <w:rsid w:val="00A9019A"/>
    <w:rsid w:val="00A90385"/>
    <w:rsid w:val="00A904BA"/>
    <w:rsid w:val="00A904D2"/>
    <w:rsid w:val="00A905D1"/>
    <w:rsid w:val="00A906C0"/>
    <w:rsid w:val="00A906C6"/>
    <w:rsid w:val="00A906C9"/>
    <w:rsid w:val="00A908A7"/>
    <w:rsid w:val="00A90987"/>
    <w:rsid w:val="00A90A4D"/>
    <w:rsid w:val="00A90ACE"/>
    <w:rsid w:val="00A90D1B"/>
    <w:rsid w:val="00A90E00"/>
    <w:rsid w:val="00A90E3A"/>
    <w:rsid w:val="00A91091"/>
    <w:rsid w:val="00A911DA"/>
    <w:rsid w:val="00A91247"/>
    <w:rsid w:val="00A91433"/>
    <w:rsid w:val="00A9168E"/>
    <w:rsid w:val="00A91B8F"/>
    <w:rsid w:val="00A91BE9"/>
    <w:rsid w:val="00A91CC1"/>
    <w:rsid w:val="00A91CEA"/>
    <w:rsid w:val="00A91D6D"/>
    <w:rsid w:val="00A91DA2"/>
    <w:rsid w:val="00A92168"/>
    <w:rsid w:val="00A926BD"/>
    <w:rsid w:val="00A929D4"/>
    <w:rsid w:val="00A92C3F"/>
    <w:rsid w:val="00A92E67"/>
    <w:rsid w:val="00A92F2C"/>
    <w:rsid w:val="00A93198"/>
    <w:rsid w:val="00A93359"/>
    <w:rsid w:val="00A933BB"/>
    <w:rsid w:val="00A933C7"/>
    <w:rsid w:val="00A9342B"/>
    <w:rsid w:val="00A9345C"/>
    <w:rsid w:val="00A93973"/>
    <w:rsid w:val="00A939F2"/>
    <w:rsid w:val="00A93A09"/>
    <w:rsid w:val="00A93C01"/>
    <w:rsid w:val="00A93D56"/>
    <w:rsid w:val="00A93DB1"/>
    <w:rsid w:val="00A93E88"/>
    <w:rsid w:val="00A9407F"/>
    <w:rsid w:val="00A941E7"/>
    <w:rsid w:val="00A9432C"/>
    <w:rsid w:val="00A944FA"/>
    <w:rsid w:val="00A9473C"/>
    <w:rsid w:val="00A947E7"/>
    <w:rsid w:val="00A94869"/>
    <w:rsid w:val="00A94BB1"/>
    <w:rsid w:val="00A94C34"/>
    <w:rsid w:val="00A94D19"/>
    <w:rsid w:val="00A94E63"/>
    <w:rsid w:val="00A95150"/>
    <w:rsid w:val="00A95240"/>
    <w:rsid w:val="00A9527B"/>
    <w:rsid w:val="00A95310"/>
    <w:rsid w:val="00A9538D"/>
    <w:rsid w:val="00A956AA"/>
    <w:rsid w:val="00A958C6"/>
    <w:rsid w:val="00A95C81"/>
    <w:rsid w:val="00A95C8D"/>
    <w:rsid w:val="00A95DA8"/>
    <w:rsid w:val="00A95E75"/>
    <w:rsid w:val="00A96268"/>
    <w:rsid w:val="00A962CA"/>
    <w:rsid w:val="00A96482"/>
    <w:rsid w:val="00A96523"/>
    <w:rsid w:val="00A965B1"/>
    <w:rsid w:val="00A96782"/>
    <w:rsid w:val="00A96AE7"/>
    <w:rsid w:val="00A96BD6"/>
    <w:rsid w:val="00A96C01"/>
    <w:rsid w:val="00A96C90"/>
    <w:rsid w:val="00A96CDB"/>
    <w:rsid w:val="00A96CF9"/>
    <w:rsid w:val="00A970AA"/>
    <w:rsid w:val="00A97112"/>
    <w:rsid w:val="00A97176"/>
    <w:rsid w:val="00A972AC"/>
    <w:rsid w:val="00A97392"/>
    <w:rsid w:val="00A9743E"/>
    <w:rsid w:val="00A97603"/>
    <w:rsid w:val="00A97663"/>
    <w:rsid w:val="00A977AC"/>
    <w:rsid w:val="00A97A25"/>
    <w:rsid w:val="00A97A6C"/>
    <w:rsid w:val="00A97BDD"/>
    <w:rsid w:val="00A97C6C"/>
    <w:rsid w:val="00A97F83"/>
    <w:rsid w:val="00A97FAE"/>
    <w:rsid w:val="00AA02B7"/>
    <w:rsid w:val="00AA02C3"/>
    <w:rsid w:val="00AA043F"/>
    <w:rsid w:val="00AA07C4"/>
    <w:rsid w:val="00AA0A27"/>
    <w:rsid w:val="00AA0B70"/>
    <w:rsid w:val="00AA0E61"/>
    <w:rsid w:val="00AA108F"/>
    <w:rsid w:val="00AA1108"/>
    <w:rsid w:val="00AA1191"/>
    <w:rsid w:val="00AA1223"/>
    <w:rsid w:val="00AA1392"/>
    <w:rsid w:val="00AA172E"/>
    <w:rsid w:val="00AA1735"/>
    <w:rsid w:val="00AA192D"/>
    <w:rsid w:val="00AA19FF"/>
    <w:rsid w:val="00AA1B43"/>
    <w:rsid w:val="00AA1B59"/>
    <w:rsid w:val="00AA1E17"/>
    <w:rsid w:val="00AA266D"/>
    <w:rsid w:val="00AA26F3"/>
    <w:rsid w:val="00AA2747"/>
    <w:rsid w:val="00AA28EF"/>
    <w:rsid w:val="00AA2934"/>
    <w:rsid w:val="00AA2B93"/>
    <w:rsid w:val="00AA2BED"/>
    <w:rsid w:val="00AA2C57"/>
    <w:rsid w:val="00AA2CA4"/>
    <w:rsid w:val="00AA2F64"/>
    <w:rsid w:val="00AA2FDC"/>
    <w:rsid w:val="00AA2FDD"/>
    <w:rsid w:val="00AA31FD"/>
    <w:rsid w:val="00AA3411"/>
    <w:rsid w:val="00AA345A"/>
    <w:rsid w:val="00AA345E"/>
    <w:rsid w:val="00AA34EB"/>
    <w:rsid w:val="00AA3708"/>
    <w:rsid w:val="00AA37E2"/>
    <w:rsid w:val="00AA384A"/>
    <w:rsid w:val="00AA385C"/>
    <w:rsid w:val="00AA3AE6"/>
    <w:rsid w:val="00AA3BA0"/>
    <w:rsid w:val="00AA3D6C"/>
    <w:rsid w:val="00AA3FAA"/>
    <w:rsid w:val="00AA40C7"/>
    <w:rsid w:val="00AA44A5"/>
    <w:rsid w:val="00AA4647"/>
    <w:rsid w:val="00AA484F"/>
    <w:rsid w:val="00AA486E"/>
    <w:rsid w:val="00AA4955"/>
    <w:rsid w:val="00AA4BF0"/>
    <w:rsid w:val="00AA4C1A"/>
    <w:rsid w:val="00AA4CC2"/>
    <w:rsid w:val="00AA4DC3"/>
    <w:rsid w:val="00AA4EA9"/>
    <w:rsid w:val="00AA4F92"/>
    <w:rsid w:val="00AA508E"/>
    <w:rsid w:val="00AA50B2"/>
    <w:rsid w:val="00AA50EF"/>
    <w:rsid w:val="00AA51A6"/>
    <w:rsid w:val="00AA53D0"/>
    <w:rsid w:val="00AA547D"/>
    <w:rsid w:val="00AA5493"/>
    <w:rsid w:val="00AA5509"/>
    <w:rsid w:val="00AA55A5"/>
    <w:rsid w:val="00AA5A29"/>
    <w:rsid w:val="00AA5A80"/>
    <w:rsid w:val="00AA5D0D"/>
    <w:rsid w:val="00AA5DB4"/>
    <w:rsid w:val="00AA5E28"/>
    <w:rsid w:val="00AA5FD2"/>
    <w:rsid w:val="00AA5FF1"/>
    <w:rsid w:val="00AA6018"/>
    <w:rsid w:val="00AA60E9"/>
    <w:rsid w:val="00AA6594"/>
    <w:rsid w:val="00AA69B5"/>
    <w:rsid w:val="00AA6C3E"/>
    <w:rsid w:val="00AA6DCB"/>
    <w:rsid w:val="00AA7093"/>
    <w:rsid w:val="00AA711D"/>
    <w:rsid w:val="00AA72EA"/>
    <w:rsid w:val="00AA7492"/>
    <w:rsid w:val="00AA76AD"/>
    <w:rsid w:val="00AA7898"/>
    <w:rsid w:val="00AA78D3"/>
    <w:rsid w:val="00AA7989"/>
    <w:rsid w:val="00AA79FC"/>
    <w:rsid w:val="00AA79FD"/>
    <w:rsid w:val="00AA7A92"/>
    <w:rsid w:val="00AA7C7C"/>
    <w:rsid w:val="00AA7D3C"/>
    <w:rsid w:val="00AA7EF8"/>
    <w:rsid w:val="00AB02F1"/>
    <w:rsid w:val="00AB072A"/>
    <w:rsid w:val="00AB085D"/>
    <w:rsid w:val="00AB0931"/>
    <w:rsid w:val="00AB0C27"/>
    <w:rsid w:val="00AB0E04"/>
    <w:rsid w:val="00AB0F63"/>
    <w:rsid w:val="00AB1038"/>
    <w:rsid w:val="00AB11D6"/>
    <w:rsid w:val="00AB14B0"/>
    <w:rsid w:val="00AB14B5"/>
    <w:rsid w:val="00AB1572"/>
    <w:rsid w:val="00AB1695"/>
    <w:rsid w:val="00AB1A84"/>
    <w:rsid w:val="00AB1D67"/>
    <w:rsid w:val="00AB1ED4"/>
    <w:rsid w:val="00AB1FBC"/>
    <w:rsid w:val="00AB1FD9"/>
    <w:rsid w:val="00AB20ED"/>
    <w:rsid w:val="00AB20EE"/>
    <w:rsid w:val="00AB2257"/>
    <w:rsid w:val="00AB22EE"/>
    <w:rsid w:val="00AB2471"/>
    <w:rsid w:val="00AB24A2"/>
    <w:rsid w:val="00AB2BB9"/>
    <w:rsid w:val="00AB2DCF"/>
    <w:rsid w:val="00AB2E60"/>
    <w:rsid w:val="00AB2F7A"/>
    <w:rsid w:val="00AB2FB7"/>
    <w:rsid w:val="00AB2FEA"/>
    <w:rsid w:val="00AB35EB"/>
    <w:rsid w:val="00AB363E"/>
    <w:rsid w:val="00AB36FE"/>
    <w:rsid w:val="00AB39A8"/>
    <w:rsid w:val="00AB39D6"/>
    <w:rsid w:val="00AB39DE"/>
    <w:rsid w:val="00AB3AA1"/>
    <w:rsid w:val="00AB3BCA"/>
    <w:rsid w:val="00AB3BE3"/>
    <w:rsid w:val="00AB3C08"/>
    <w:rsid w:val="00AB3CAF"/>
    <w:rsid w:val="00AB3D52"/>
    <w:rsid w:val="00AB408F"/>
    <w:rsid w:val="00AB42B9"/>
    <w:rsid w:val="00AB434C"/>
    <w:rsid w:val="00AB4386"/>
    <w:rsid w:val="00AB4415"/>
    <w:rsid w:val="00AB44A1"/>
    <w:rsid w:val="00AB45AA"/>
    <w:rsid w:val="00AB46F1"/>
    <w:rsid w:val="00AB475C"/>
    <w:rsid w:val="00AB479E"/>
    <w:rsid w:val="00AB4AB3"/>
    <w:rsid w:val="00AB4AD3"/>
    <w:rsid w:val="00AB4B0C"/>
    <w:rsid w:val="00AB4B1D"/>
    <w:rsid w:val="00AB4DB6"/>
    <w:rsid w:val="00AB4EFA"/>
    <w:rsid w:val="00AB55DE"/>
    <w:rsid w:val="00AB56B4"/>
    <w:rsid w:val="00AB56F2"/>
    <w:rsid w:val="00AB5A47"/>
    <w:rsid w:val="00AB5BA9"/>
    <w:rsid w:val="00AB5C65"/>
    <w:rsid w:val="00AB5CF4"/>
    <w:rsid w:val="00AB5E07"/>
    <w:rsid w:val="00AB6071"/>
    <w:rsid w:val="00AB6185"/>
    <w:rsid w:val="00AB61A8"/>
    <w:rsid w:val="00AB65FF"/>
    <w:rsid w:val="00AB6641"/>
    <w:rsid w:val="00AB6706"/>
    <w:rsid w:val="00AB6714"/>
    <w:rsid w:val="00AB6791"/>
    <w:rsid w:val="00AB6894"/>
    <w:rsid w:val="00AB689F"/>
    <w:rsid w:val="00AB7188"/>
    <w:rsid w:val="00AB753D"/>
    <w:rsid w:val="00AB7575"/>
    <w:rsid w:val="00AB76B4"/>
    <w:rsid w:val="00AB79FE"/>
    <w:rsid w:val="00AB7A16"/>
    <w:rsid w:val="00AB7A37"/>
    <w:rsid w:val="00AB7D13"/>
    <w:rsid w:val="00AB7ED4"/>
    <w:rsid w:val="00AC010C"/>
    <w:rsid w:val="00AC018F"/>
    <w:rsid w:val="00AC02A5"/>
    <w:rsid w:val="00AC02D1"/>
    <w:rsid w:val="00AC0420"/>
    <w:rsid w:val="00AC053F"/>
    <w:rsid w:val="00AC079B"/>
    <w:rsid w:val="00AC0B96"/>
    <w:rsid w:val="00AC0EA5"/>
    <w:rsid w:val="00AC1047"/>
    <w:rsid w:val="00AC10A7"/>
    <w:rsid w:val="00AC16C6"/>
    <w:rsid w:val="00AC1761"/>
    <w:rsid w:val="00AC1A1F"/>
    <w:rsid w:val="00AC1DC3"/>
    <w:rsid w:val="00AC1E82"/>
    <w:rsid w:val="00AC1F93"/>
    <w:rsid w:val="00AC1FD2"/>
    <w:rsid w:val="00AC209A"/>
    <w:rsid w:val="00AC20DA"/>
    <w:rsid w:val="00AC2119"/>
    <w:rsid w:val="00AC228B"/>
    <w:rsid w:val="00AC22A1"/>
    <w:rsid w:val="00AC22D3"/>
    <w:rsid w:val="00AC2311"/>
    <w:rsid w:val="00AC23B5"/>
    <w:rsid w:val="00AC23BA"/>
    <w:rsid w:val="00AC243C"/>
    <w:rsid w:val="00AC25E1"/>
    <w:rsid w:val="00AC29C6"/>
    <w:rsid w:val="00AC2B8C"/>
    <w:rsid w:val="00AC2E3E"/>
    <w:rsid w:val="00AC2F1C"/>
    <w:rsid w:val="00AC315B"/>
    <w:rsid w:val="00AC3381"/>
    <w:rsid w:val="00AC33C7"/>
    <w:rsid w:val="00AC33EB"/>
    <w:rsid w:val="00AC3541"/>
    <w:rsid w:val="00AC35A3"/>
    <w:rsid w:val="00AC365B"/>
    <w:rsid w:val="00AC37D6"/>
    <w:rsid w:val="00AC3C97"/>
    <w:rsid w:val="00AC3EF0"/>
    <w:rsid w:val="00AC3F53"/>
    <w:rsid w:val="00AC419B"/>
    <w:rsid w:val="00AC435B"/>
    <w:rsid w:val="00AC43C8"/>
    <w:rsid w:val="00AC44FD"/>
    <w:rsid w:val="00AC4602"/>
    <w:rsid w:val="00AC47B0"/>
    <w:rsid w:val="00AC49C5"/>
    <w:rsid w:val="00AC4CE8"/>
    <w:rsid w:val="00AC4D7D"/>
    <w:rsid w:val="00AC4DC6"/>
    <w:rsid w:val="00AC4E31"/>
    <w:rsid w:val="00AC4F72"/>
    <w:rsid w:val="00AC4FBC"/>
    <w:rsid w:val="00AC5213"/>
    <w:rsid w:val="00AC5273"/>
    <w:rsid w:val="00AC5317"/>
    <w:rsid w:val="00AC5341"/>
    <w:rsid w:val="00AC53B7"/>
    <w:rsid w:val="00AC5421"/>
    <w:rsid w:val="00AC54EB"/>
    <w:rsid w:val="00AC570E"/>
    <w:rsid w:val="00AC5A1A"/>
    <w:rsid w:val="00AC61FE"/>
    <w:rsid w:val="00AC620F"/>
    <w:rsid w:val="00AC67F6"/>
    <w:rsid w:val="00AC6B21"/>
    <w:rsid w:val="00AC6C46"/>
    <w:rsid w:val="00AC6E19"/>
    <w:rsid w:val="00AC6FBD"/>
    <w:rsid w:val="00AC7171"/>
    <w:rsid w:val="00AC7288"/>
    <w:rsid w:val="00AC72D3"/>
    <w:rsid w:val="00AC7322"/>
    <w:rsid w:val="00AC74A9"/>
    <w:rsid w:val="00AC7676"/>
    <w:rsid w:val="00AC7685"/>
    <w:rsid w:val="00AC7B01"/>
    <w:rsid w:val="00AC7B9C"/>
    <w:rsid w:val="00AC7DFC"/>
    <w:rsid w:val="00AC7E32"/>
    <w:rsid w:val="00AC7F2F"/>
    <w:rsid w:val="00AC7F44"/>
    <w:rsid w:val="00AC7F74"/>
    <w:rsid w:val="00AC7F98"/>
    <w:rsid w:val="00AC7FBE"/>
    <w:rsid w:val="00AD02AC"/>
    <w:rsid w:val="00AD044B"/>
    <w:rsid w:val="00AD0478"/>
    <w:rsid w:val="00AD048C"/>
    <w:rsid w:val="00AD07D5"/>
    <w:rsid w:val="00AD0CC1"/>
    <w:rsid w:val="00AD0D0D"/>
    <w:rsid w:val="00AD0E05"/>
    <w:rsid w:val="00AD0E75"/>
    <w:rsid w:val="00AD0F59"/>
    <w:rsid w:val="00AD10A7"/>
    <w:rsid w:val="00AD1201"/>
    <w:rsid w:val="00AD1370"/>
    <w:rsid w:val="00AD153D"/>
    <w:rsid w:val="00AD162A"/>
    <w:rsid w:val="00AD16C4"/>
    <w:rsid w:val="00AD16CB"/>
    <w:rsid w:val="00AD1756"/>
    <w:rsid w:val="00AD1873"/>
    <w:rsid w:val="00AD191A"/>
    <w:rsid w:val="00AD1A64"/>
    <w:rsid w:val="00AD1E0C"/>
    <w:rsid w:val="00AD1E9E"/>
    <w:rsid w:val="00AD20C3"/>
    <w:rsid w:val="00AD23B0"/>
    <w:rsid w:val="00AD24F1"/>
    <w:rsid w:val="00AD257D"/>
    <w:rsid w:val="00AD284C"/>
    <w:rsid w:val="00AD29E2"/>
    <w:rsid w:val="00AD2A1A"/>
    <w:rsid w:val="00AD2A2D"/>
    <w:rsid w:val="00AD2A87"/>
    <w:rsid w:val="00AD2B47"/>
    <w:rsid w:val="00AD2C74"/>
    <w:rsid w:val="00AD31DF"/>
    <w:rsid w:val="00AD33EE"/>
    <w:rsid w:val="00AD35F6"/>
    <w:rsid w:val="00AD3967"/>
    <w:rsid w:val="00AD3ABC"/>
    <w:rsid w:val="00AD3AD1"/>
    <w:rsid w:val="00AD3CDA"/>
    <w:rsid w:val="00AD3CE4"/>
    <w:rsid w:val="00AD4189"/>
    <w:rsid w:val="00AD427B"/>
    <w:rsid w:val="00AD42C4"/>
    <w:rsid w:val="00AD4367"/>
    <w:rsid w:val="00AD44D2"/>
    <w:rsid w:val="00AD45C8"/>
    <w:rsid w:val="00AD4B11"/>
    <w:rsid w:val="00AD4EEA"/>
    <w:rsid w:val="00AD4F4C"/>
    <w:rsid w:val="00AD4FA5"/>
    <w:rsid w:val="00AD5042"/>
    <w:rsid w:val="00AD5180"/>
    <w:rsid w:val="00AD540E"/>
    <w:rsid w:val="00AD54F6"/>
    <w:rsid w:val="00AD563C"/>
    <w:rsid w:val="00AD56F1"/>
    <w:rsid w:val="00AD573D"/>
    <w:rsid w:val="00AD581E"/>
    <w:rsid w:val="00AD5A01"/>
    <w:rsid w:val="00AD5A4C"/>
    <w:rsid w:val="00AD5AD6"/>
    <w:rsid w:val="00AD5BE8"/>
    <w:rsid w:val="00AD5C9E"/>
    <w:rsid w:val="00AD5CA0"/>
    <w:rsid w:val="00AD5E15"/>
    <w:rsid w:val="00AD628C"/>
    <w:rsid w:val="00AD63EC"/>
    <w:rsid w:val="00AD669B"/>
    <w:rsid w:val="00AD67CF"/>
    <w:rsid w:val="00AD67EF"/>
    <w:rsid w:val="00AD680E"/>
    <w:rsid w:val="00AD685B"/>
    <w:rsid w:val="00AD686E"/>
    <w:rsid w:val="00AD68DD"/>
    <w:rsid w:val="00AD69A6"/>
    <w:rsid w:val="00AD6AB5"/>
    <w:rsid w:val="00AD6AC9"/>
    <w:rsid w:val="00AD6B4D"/>
    <w:rsid w:val="00AD6EA9"/>
    <w:rsid w:val="00AD6ED2"/>
    <w:rsid w:val="00AD7047"/>
    <w:rsid w:val="00AD7160"/>
    <w:rsid w:val="00AD716A"/>
    <w:rsid w:val="00AD7236"/>
    <w:rsid w:val="00AD757D"/>
    <w:rsid w:val="00AD759A"/>
    <w:rsid w:val="00AD75E4"/>
    <w:rsid w:val="00AD7943"/>
    <w:rsid w:val="00AD7BF5"/>
    <w:rsid w:val="00AD7F21"/>
    <w:rsid w:val="00AD7F95"/>
    <w:rsid w:val="00AE0023"/>
    <w:rsid w:val="00AE0105"/>
    <w:rsid w:val="00AE0186"/>
    <w:rsid w:val="00AE01BA"/>
    <w:rsid w:val="00AE0296"/>
    <w:rsid w:val="00AE0462"/>
    <w:rsid w:val="00AE057B"/>
    <w:rsid w:val="00AE0598"/>
    <w:rsid w:val="00AE079A"/>
    <w:rsid w:val="00AE0831"/>
    <w:rsid w:val="00AE09DE"/>
    <w:rsid w:val="00AE0A1E"/>
    <w:rsid w:val="00AE0AD4"/>
    <w:rsid w:val="00AE0B12"/>
    <w:rsid w:val="00AE0C21"/>
    <w:rsid w:val="00AE0DCB"/>
    <w:rsid w:val="00AE0E40"/>
    <w:rsid w:val="00AE0F6B"/>
    <w:rsid w:val="00AE1220"/>
    <w:rsid w:val="00AE1234"/>
    <w:rsid w:val="00AE13BC"/>
    <w:rsid w:val="00AE15EE"/>
    <w:rsid w:val="00AE167B"/>
    <w:rsid w:val="00AE173B"/>
    <w:rsid w:val="00AE19F5"/>
    <w:rsid w:val="00AE1BFF"/>
    <w:rsid w:val="00AE1CA3"/>
    <w:rsid w:val="00AE200A"/>
    <w:rsid w:val="00AE2028"/>
    <w:rsid w:val="00AE22AD"/>
    <w:rsid w:val="00AE242F"/>
    <w:rsid w:val="00AE2859"/>
    <w:rsid w:val="00AE2913"/>
    <w:rsid w:val="00AE29BC"/>
    <w:rsid w:val="00AE2BAD"/>
    <w:rsid w:val="00AE2CE5"/>
    <w:rsid w:val="00AE2DC7"/>
    <w:rsid w:val="00AE2F90"/>
    <w:rsid w:val="00AE2FFB"/>
    <w:rsid w:val="00AE3070"/>
    <w:rsid w:val="00AE32CB"/>
    <w:rsid w:val="00AE350A"/>
    <w:rsid w:val="00AE35DE"/>
    <w:rsid w:val="00AE36B6"/>
    <w:rsid w:val="00AE36C8"/>
    <w:rsid w:val="00AE377B"/>
    <w:rsid w:val="00AE3788"/>
    <w:rsid w:val="00AE3A11"/>
    <w:rsid w:val="00AE3B22"/>
    <w:rsid w:val="00AE3B43"/>
    <w:rsid w:val="00AE3B64"/>
    <w:rsid w:val="00AE3CFE"/>
    <w:rsid w:val="00AE42CD"/>
    <w:rsid w:val="00AE4797"/>
    <w:rsid w:val="00AE4891"/>
    <w:rsid w:val="00AE4A2A"/>
    <w:rsid w:val="00AE4E5D"/>
    <w:rsid w:val="00AE4FED"/>
    <w:rsid w:val="00AE5046"/>
    <w:rsid w:val="00AE53D9"/>
    <w:rsid w:val="00AE55DE"/>
    <w:rsid w:val="00AE5767"/>
    <w:rsid w:val="00AE5A3B"/>
    <w:rsid w:val="00AE5B1E"/>
    <w:rsid w:val="00AE5B76"/>
    <w:rsid w:val="00AE5BCD"/>
    <w:rsid w:val="00AE5C54"/>
    <w:rsid w:val="00AE5E72"/>
    <w:rsid w:val="00AE5F2B"/>
    <w:rsid w:val="00AE5F44"/>
    <w:rsid w:val="00AE61BF"/>
    <w:rsid w:val="00AE6205"/>
    <w:rsid w:val="00AE62B2"/>
    <w:rsid w:val="00AE6614"/>
    <w:rsid w:val="00AE6958"/>
    <w:rsid w:val="00AE695F"/>
    <w:rsid w:val="00AE6AAE"/>
    <w:rsid w:val="00AE6D18"/>
    <w:rsid w:val="00AE70BA"/>
    <w:rsid w:val="00AE7127"/>
    <w:rsid w:val="00AE721D"/>
    <w:rsid w:val="00AE7261"/>
    <w:rsid w:val="00AE750C"/>
    <w:rsid w:val="00AE7587"/>
    <w:rsid w:val="00AE769E"/>
    <w:rsid w:val="00AE7985"/>
    <w:rsid w:val="00AE79FE"/>
    <w:rsid w:val="00AE7B23"/>
    <w:rsid w:val="00AE7B65"/>
    <w:rsid w:val="00AE7D3D"/>
    <w:rsid w:val="00AE7DC0"/>
    <w:rsid w:val="00AE7EBD"/>
    <w:rsid w:val="00AE7F19"/>
    <w:rsid w:val="00AF0011"/>
    <w:rsid w:val="00AF0123"/>
    <w:rsid w:val="00AF01ED"/>
    <w:rsid w:val="00AF0208"/>
    <w:rsid w:val="00AF03E4"/>
    <w:rsid w:val="00AF04D3"/>
    <w:rsid w:val="00AF05EB"/>
    <w:rsid w:val="00AF08DD"/>
    <w:rsid w:val="00AF092B"/>
    <w:rsid w:val="00AF0ABE"/>
    <w:rsid w:val="00AF0BFF"/>
    <w:rsid w:val="00AF0D99"/>
    <w:rsid w:val="00AF0EAA"/>
    <w:rsid w:val="00AF1215"/>
    <w:rsid w:val="00AF15AB"/>
    <w:rsid w:val="00AF19C1"/>
    <w:rsid w:val="00AF1DD6"/>
    <w:rsid w:val="00AF1E4F"/>
    <w:rsid w:val="00AF1E56"/>
    <w:rsid w:val="00AF1EC6"/>
    <w:rsid w:val="00AF1F57"/>
    <w:rsid w:val="00AF215C"/>
    <w:rsid w:val="00AF2235"/>
    <w:rsid w:val="00AF2368"/>
    <w:rsid w:val="00AF23AC"/>
    <w:rsid w:val="00AF2847"/>
    <w:rsid w:val="00AF29FB"/>
    <w:rsid w:val="00AF2A0E"/>
    <w:rsid w:val="00AF2BE0"/>
    <w:rsid w:val="00AF2DE4"/>
    <w:rsid w:val="00AF2FB8"/>
    <w:rsid w:val="00AF2FC5"/>
    <w:rsid w:val="00AF30A9"/>
    <w:rsid w:val="00AF351E"/>
    <w:rsid w:val="00AF3676"/>
    <w:rsid w:val="00AF3AB8"/>
    <w:rsid w:val="00AF3BF9"/>
    <w:rsid w:val="00AF3C69"/>
    <w:rsid w:val="00AF3CB4"/>
    <w:rsid w:val="00AF3DDA"/>
    <w:rsid w:val="00AF3E14"/>
    <w:rsid w:val="00AF3F00"/>
    <w:rsid w:val="00AF3FF8"/>
    <w:rsid w:val="00AF4009"/>
    <w:rsid w:val="00AF4218"/>
    <w:rsid w:val="00AF44D6"/>
    <w:rsid w:val="00AF45CD"/>
    <w:rsid w:val="00AF45EB"/>
    <w:rsid w:val="00AF46B7"/>
    <w:rsid w:val="00AF46CC"/>
    <w:rsid w:val="00AF46FA"/>
    <w:rsid w:val="00AF47EC"/>
    <w:rsid w:val="00AF4809"/>
    <w:rsid w:val="00AF4A68"/>
    <w:rsid w:val="00AF4A7A"/>
    <w:rsid w:val="00AF4BAB"/>
    <w:rsid w:val="00AF4F71"/>
    <w:rsid w:val="00AF500A"/>
    <w:rsid w:val="00AF5131"/>
    <w:rsid w:val="00AF5142"/>
    <w:rsid w:val="00AF520D"/>
    <w:rsid w:val="00AF54FF"/>
    <w:rsid w:val="00AF57F2"/>
    <w:rsid w:val="00AF58A2"/>
    <w:rsid w:val="00AF58F8"/>
    <w:rsid w:val="00AF59A7"/>
    <w:rsid w:val="00AF59CA"/>
    <w:rsid w:val="00AF59FC"/>
    <w:rsid w:val="00AF5D9E"/>
    <w:rsid w:val="00AF5EB4"/>
    <w:rsid w:val="00AF5EC7"/>
    <w:rsid w:val="00AF600E"/>
    <w:rsid w:val="00AF628C"/>
    <w:rsid w:val="00AF640B"/>
    <w:rsid w:val="00AF6918"/>
    <w:rsid w:val="00AF6968"/>
    <w:rsid w:val="00AF69B0"/>
    <w:rsid w:val="00AF6A0D"/>
    <w:rsid w:val="00AF6A2B"/>
    <w:rsid w:val="00AF6A39"/>
    <w:rsid w:val="00AF6CA9"/>
    <w:rsid w:val="00AF6E90"/>
    <w:rsid w:val="00AF6FEF"/>
    <w:rsid w:val="00AF72A9"/>
    <w:rsid w:val="00AF7451"/>
    <w:rsid w:val="00AF75F6"/>
    <w:rsid w:val="00AF7738"/>
    <w:rsid w:val="00AF7A54"/>
    <w:rsid w:val="00AF7B11"/>
    <w:rsid w:val="00AF7B5F"/>
    <w:rsid w:val="00AF7C9E"/>
    <w:rsid w:val="00AF7D8A"/>
    <w:rsid w:val="00B00291"/>
    <w:rsid w:val="00B00332"/>
    <w:rsid w:val="00B0042F"/>
    <w:rsid w:val="00B005D3"/>
    <w:rsid w:val="00B00639"/>
    <w:rsid w:val="00B00662"/>
    <w:rsid w:val="00B00954"/>
    <w:rsid w:val="00B0097A"/>
    <w:rsid w:val="00B00D2F"/>
    <w:rsid w:val="00B00E56"/>
    <w:rsid w:val="00B00EE7"/>
    <w:rsid w:val="00B010D0"/>
    <w:rsid w:val="00B011AC"/>
    <w:rsid w:val="00B0134A"/>
    <w:rsid w:val="00B01452"/>
    <w:rsid w:val="00B014CC"/>
    <w:rsid w:val="00B0158C"/>
    <w:rsid w:val="00B016DD"/>
    <w:rsid w:val="00B0194F"/>
    <w:rsid w:val="00B019CF"/>
    <w:rsid w:val="00B01A13"/>
    <w:rsid w:val="00B01A29"/>
    <w:rsid w:val="00B01ADF"/>
    <w:rsid w:val="00B01EA8"/>
    <w:rsid w:val="00B02138"/>
    <w:rsid w:val="00B02165"/>
    <w:rsid w:val="00B0225B"/>
    <w:rsid w:val="00B026C3"/>
    <w:rsid w:val="00B02723"/>
    <w:rsid w:val="00B02A35"/>
    <w:rsid w:val="00B02B4F"/>
    <w:rsid w:val="00B02D9D"/>
    <w:rsid w:val="00B03A33"/>
    <w:rsid w:val="00B03C49"/>
    <w:rsid w:val="00B03CB1"/>
    <w:rsid w:val="00B03D97"/>
    <w:rsid w:val="00B03EAF"/>
    <w:rsid w:val="00B041B6"/>
    <w:rsid w:val="00B0424B"/>
    <w:rsid w:val="00B042B7"/>
    <w:rsid w:val="00B04AF3"/>
    <w:rsid w:val="00B04C51"/>
    <w:rsid w:val="00B04D44"/>
    <w:rsid w:val="00B04D9A"/>
    <w:rsid w:val="00B04DAC"/>
    <w:rsid w:val="00B04FA6"/>
    <w:rsid w:val="00B0508C"/>
    <w:rsid w:val="00B056DF"/>
    <w:rsid w:val="00B058BA"/>
    <w:rsid w:val="00B059E8"/>
    <w:rsid w:val="00B05BA9"/>
    <w:rsid w:val="00B05BCC"/>
    <w:rsid w:val="00B05D2B"/>
    <w:rsid w:val="00B05E50"/>
    <w:rsid w:val="00B05EBD"/>
    <w:rsid w:val="00B0602B"/>
    <w:rsid w:val="00B060B2"/>
    <w:rsid w:val="00B0618B"/>
    <w:rsid w:val="00B0653D"/>
    <w:rsid w:val="00B06565"/>
    <w:rsid w:val="00B06875"/>
    <w:rsid w:val="00B06943"/>
    <w:rsid w:val="00B06BA3"/>
    <w:rsid w:val="00B06C8A"/>
    <w:rsid w:val="00B06E31"/>
    <w:rsid w:val="00B07128"/>
    <w:rsid w:val="00B07278"/>
    <w:rsid w:val="00B073BF"/>
    <w:rsid w:val="00B075B4"/>
    <w:rsid w:val="00B07622"/>
    <w:rsid w:val="00B076FB"/>
    <w:rsid w:val="00B077E8"/>
    <w:rsid w:val="00B07962"/>
    <w:rsid w:val="00B07994"/>
    <w:rsid w:val="00B07AAC"/>
    <w:rsid w:val="00B07BA1"/>
    <w:rsid w:val="00B07BD1"/>
    <w:rsid w:val="00B07D11"/>
    <w:rsid w:val="00B07E55"/>
    <w:rsid w:val="00B07E83"/>
    <w:rsid w:val="00B102A4"/>
    <w:rsid w:val="00B104C7"/>
    <w:rsid w:val="00B10870"/>
    <w:rsid w:val="00B10BBD"/>
    <w:rsid w:val="00B10E90"/>
    <w:rsid w:val="00B11055"/>
    <w:rsid w:val="00B112F4"/>
    <w:rsid w:val="00B11508"/>
    <w:rsid w:val="00B11511"/>
    <w:rsid w:val="00B11804"/>
    <w:rsid w:val="00B1206D"/>
    <w:rsid w:val="00B121F6"/>
    <w:rsid w:val="00B122C4"/>
    <w:rsid w:val="00B123C4"/>
    <w:rsid w:val="00B123F7"/>
    <w:rsid w:val="00B126E4"/>
    <w:rsid w:val="00B127B6"/>
    <w:rsid w:val="00B12925"/>
    <w:rsid w:val="00B12C0A"/>
    <w:rsid w:val="00B12D31"/>
    <w:rsid w:val="00B13070"/>
    <w:rsid w:val="00B130B0"/>
    <w:rsid w:val="00B1323A"/>
    <w:rsid w:val="00B13405"/>
    <w:rsid w:val="00B1352E"/>
    <w:rsid w:val="00B136BB"/>
    <w:rsid w:val="00B13738"/>
    <w:rsid w:val="00B139F1"/>
    <w:rsid w:val="00B13CC7"/>
    <w:rsid w:val="00B13FD2"/>
    <w:rsid w:val="00B14006"/>
    <w:rsid w:val="00B1416C"/>
    <w:rsid w:val="00B1419F"/>
    <w:rsid w:val="00B143A0"/>
    <w:rsid w:val="00B144A8"/>
    <w:rsid w:val="00B144CF"/>
    <w:rsid w:val="00B146B5"/>
    <w:rsid w:val="00B14BD0"/>
    <w:rsid w:val="00B14E61"/>
    <w:rsid w:val="00B15075"/>
    <w:rsid w:val="00B1511F"/>
    <w:rsid w:val="00B1521B"/>
    <w:rsid w:val="00B15515"/>
    <w:rsid w:val="00B15573"/>
    <w:rsid w:val="00B1570C"/>
    <w:rsid w:val="00B15731"/>
    <w:rsid w:val="00B15B42"/>
    <w:rsid w:val="00B15C2D"/>
    <w:rsid w:val="00B15D23"/>
    <w:rsid w:val="00B15D9A"/>
    <w:rsid w:val="00B16017"/>
    <w:rsid w:val="00B1608E"/>
    <w:rsid w:val="00B162AE"/>
    <w:rsid w:val="00B162B0"/>
    <w:rsid w:val="00B162B6"/>
    <w:rsid w:val="00B16338"/>
    <w:rsid w:val="00B16644"/>
    <w:rsid w:val="00B1677E"/>
    <w:rsid w:val="00B16814"/>
    <w:rsid w:val="00B1681C"/>
    <w:rsid w:val="00B16C36"/>
    <w:rsid w:val="00B16CC1"/>
    <w:rsid w:val="00B16EE0"/>
    <w:rsid w:val="00B1717D"/>
    <w:rsid w:val="00B172AC"/>
    <w:rsid w:val="00B1737B"/>
    <w:rsid w:val="00B174AA"/>
    <w:rsid w:val="00B1756A"/>
    <w:rsid w:val="00B175B4"/>
    <w:rsid w:val="00B17645"/>
    <w:rsid w:val="00B1784B"/>
    <w:rsid w:val="00B17A18"/>
    <w:rsid w:val="00B17BB5"/>
    <w:rsid w:val="00B17C60"/>
    <w:rsid w:val="00B17E7E"/>
    <w:rsid w:val="00B17F5F"/>
    <w:rsid w:val="00B17F94"/>
    <w:rsid w:val="00B20064"/>
    <w:rsid w:val="00B200D3"/>
    <w:rsid w:val="00B20174"/>
    <w:rsid w:val="00B20202"/>
    <w:rsid w:val="00B202C5"/>
    <w:rsid w:val="00B20397"/>
    <w:rsid w:val="00B2085A"/>
    <w:rsid w:val="00B20861"/>
    <w:rsid w:val="00B2093F"/>
    <w:rsid w:val="00B20964"/>
    <w:rsid w:val="00B20967"/>
    <w:rsid w:val="00B20D07"/>
    <w:rsid w:val="00B20DBF"/>
    <w:rsid w:val="00B20E79"/>
    <w:rsid w:val="00B20FA4"/>
    <w:rsid w:val="00B2117B"/>
    <w:rsid w:val="00B211D7"/>
    <w:rsid w:val="00B21333"/>
    <w:rsid w:val="00B2180E"/>
    <w:rsid w:val="00B21A9E"/>
    <w:rsid w:val="00B21BDE"/>
    <w:rsid w:val="00B21ED0"/>
    <w:rsid w:val="00B2226B"/>
    <w:rsid w:val="00B224D3"/>
    <w:rsid w:val="00B224F6"/>
    <w:rsid w:val="00B22508"/>
    <w:rsid w:val="00B22787"/>
    <w:rsid w:val="00B2284D"/>
    <w:rsid w:val="00B22BB6"/>
    <w:rsid w:val="00B22CEA"/>
    <w:rsid w:val="00B22DDB"/>
    <w:rsid w:val="00B22EA4"/>
    <w:rsid w:val="00B22EB5"/>
    <w:rsid w:val="00B23177"/>
    <w:rsid w:val="00B2318C"/>
    <w:rsid w:val="00B23335"/>
    <w:rsid w:val="00B233FE"/>
    <w:rsid w:val="00B23407"/>
    <w:rsid w:val="00B234BD"/>
    <w:rsid w:val="00B2354E"/>
    <w:rsid w:val="00B23559"/>
    <w:rsid w:val="00B23742"/>
    <w:rsid w:val="00B23A06"/>
    <w:rsid w:val="00B23CA4"/>
    <w:rsid w:val="00B23DE9"/>
    <w:rsid w:val="00B240EA"/>
    <w:rsid w:val="00B241D5"/>
    <w:rsid w:val="00B24211"/>
    <w:rsid w:val="00B24224"/>
    <w:rsid w:val="00B2434F"/>
    <w:rsid w:val="00B24371"/>
    <w:rsid w:val="00B2439D"/>
    <w:rsid w:val="00B24431"/>
    <w:rsid w:val="00B24505"/>
    <w:rsid w:val="00B24C43"/>
    <w:rsid w:val="00B24C9D"/>
    <w:rsid w:val="00B24DAD"/>
    <w:rsid w:val="00B24ED9"/>
    <w:rsid w:val="00B24F3A"/>
    <w:rsid w:val="00B25252"/>
    <w:rsid w:val="00B2539B"/>
    <w:rsid w:val="00B253A7"/>
    <w:rsid w:val="00B25554"/>
    <w:rsid w:val="00B255A7"/>
    <w:rsid w:val="00B255BD"/>
    <w:rsid w:val="00B2561D"/>
    <w:rsid w:val="00B25833"/>
    <w:rsid w:val="00B2588A"/>
    <w:rsid w:val="00B25930"/>
    <w:rsid w:val="00B259F0"/>
    <w:rsid w:val="00B25FA0"/>
    <w:rsid w:val="00B26183"/>
    <w:rsid w:val="00B264C2"/>
    <w:rsid w:val="00B2673F"/>
    <w:rsid w:val="00B26A83"/>
    <w:rsid w:val="00B26CE3"/>
    <w:rsid w:val="00B26E58"/>
    <w:rsid w:val="00B26EA1"/>
    <w:rsid w:val="00B26F36"/>
    <w:rsid w:val="00B26F3B"/>
    <w:rsid w:val="00B2710E"/>
    <w:rsid w:val="00B27230"/>
    <w:rsid w:val="00B27412"/>
    <w:rsid w:val="00B2797F"/>
    <w:rsid w:val="00B279B2"/>
    <w:rsid w:val="00B27ADB"/>
    <w:rsid w:val="00B27B66"/>
    <w:rsid w:val="00B27B69"/>
    <w:rsid w:val="00B27C30"/>
    <w:rsid w:val="00B27DC2"/>
    <w:rsid w:val="00B27DCF"/>
    <w:rsid w:val="00B300DD"/>
    <w:rsid w:val="00B30148"/>
    <w:rsid w:val="00B301E8"/>
    <w:rsid w:val="00B30278"/>
    <w:rsid w:val="00B304D6"/>
    <w:rsid w:val="00B30573"/>
    <w:rsid w:val="00B30579"/>
    <w:rsid w:val="00B30756"/>
    <w:rsid w:val="00B30910"/>
    <w:rsid w:val="00B30A76"/>
    <w:rsid w:val="00B30C1E"/>
    <w:rsid w:val="00B30DAE"/>
    <w:rsid w:val="00B30E74"/>
    <w:rsid w:val="00B31203"/>
    <w:rsid w:val="00B3135B"/>
    <w:rsid w:val="00B3149D"/>
    <w:rsid w:val="00B31747"/>
    <w:rsid w:val="00B31918"/>
    <w:rsid w:val="00B319C1"/>
    <w:rsid w:val="00B31B33"/>
    <w:rsid w:val="00B31EB1"/>
    <w:rsid w:val="00B3266F"/>
    <w:rsid w:val="00B32687"/>
    <w:rsid w:val="00B32882"/>
    <w:rsid w:val="00B3291D"/>
    <w:rsid w:val="00B329BE"/>
    <w:rsid w:val="00B329E7"/>
    <w:rsid w:val="00B32B34"/>
    <w:rsid w:val="00B32E00"/>
    <w:rsid w:val="00B3310C"/>
    <w:rsid w:val="00B33260"/>
    <w:rsid w:val="00B3327A"/>
    <w:rsid w:val="00B334BC"/>
    <w:rsid w:val="00B3366A"/>
    <w:rsid w:val="00B337C5"/>
    <w:rsid w:val="00B337E5"/>
    <w:rsid w:val="00B33959"/>
    <w:rsid w:val="00B33BB4"/>
    <w:rsid w:val="00B33D62"/>
    <w:rsid w:val="00B33F71"/>
    <w:rsid w:val="00B33F77"/>
    <w:rsid w:val="00B3422C"/>
    <w:rsid w:val="00B342C5"/>
    <w:rsid w:val="00B342EB"/>
    <w:rsid w:val="00B34372"/>
    <w:rsid w:val="00B343B0"/>
    <w:rsid w:val="00B3449F"/>
    <w:rsid w:val="00B3471C"/>
    <w:rsid w:val="00B34798"/>
    <w:rsid w:val="00B34885"/>
    <w:rsid w:val="00B348B0"/>
    <w:rsid w:val="00B34B97"/>
    <w:rsid w:val="00B34BC8"/>
    <w:rsid w:val="00B34CBD"/>
    <w:rsid w:val="00B34DC7"/>
    <w:rsid w:val="00B3511E"/>
    <w:rsid w:val="00B35331"/>
    <w:rsid w:val="00B353EA"/>
    <w:rsid w:val="00B354E8"/>
    <w:rsid w:val="00B3577F"/>
    <w:rsid w:val="00B35784"/>
    <w:rsid w:val="00B3582C"/>
    <w:rsid w:val="00B359E8"/>
    <w:rsid w:val="00B35E44"/>
    <w:rsid w:val="00B35EF5"/>
    <w:rsid w:val="00B35F73"/>
    <w:rsid w:val="00B36062"/>
    <w:rsid w:val="00B362FE"/>
    <w:rsid w:val="00B36385"/>
    <w:rsid w:val="00B3643E"/>
    <w:rsid w:val="00B36560"/>
    <w:rsid w:val="00B3670F"/>
    <w:rsid w:val="00B36726"/>
    <w:rsid w:val="00B367B9"/>
    <w:rsid w:val="00B367E3"/>
    <w:rsid w:val="00B36840"/>
    <w:rsid w:val="00B3694D"/>
    <w:rsid w:val="00B36AB0"/>
    <w:rsid w:val="00B36B23"/>
    <w:rsid w:val="00B36DC0"/>
    <w:rsid w:val="00B36F16"/>
    <w:rsid w:val="00B36F19"/>
    <w:rsid w:val="00B370FF"/>
    <w:rsid w:val="00B371CA"/>
    <w:rsid w:val="00B371CC"/>
    <w:rsid w:val="00B37250"/>
    <w:rsid w:val="00B3733B"/>
    <w:rsid w:val="00B3736B"/>
    <w:rsid w:val="00B373EE"/>
    <w:rsid w:val="00B37D3B"/>
    <w:rsid w:val="00B37EE0"/>
    <w:rsid w:val="00B37F93"/>
    <w:rsid w:val="00B401A6"/>
    <w:rsid w:val="00B40207"/>
    <w:rsid w:val="00B403D7"/>
    <w:rsid w:val="00B40696"/>
    <w:rsid w:val="00B406EB"/>
    <w:rsid w:val="00B40934"/>
    <w:rsid w:val="00B40B11"/>
    <w:rsid w:val="00B40BC5"/>
    <w:rsid w:val="00B40CD2"/>
    <w:rsid w:val="00B40EC6"/>
    <w:rsid w:val="00B40EF6"/>
    <w:rsid w:val="00B41097"/>
    <w:rsid w:val="00B41129"/>
    <w:rsid w:val="00B4114D"/>
    <w:rsid w:val="00B411C2"/>
    <w:rsid w:val="00B4125F"/>
    <w:rsid w:val="00B41925"/>
    <w:rsid w:val="00B41A5B"/>
    <w:rsid w:val="00B41C3B"/>
    <w:rsid w:val="00B41E4B"/>
    <w:rsid w:val="00B42025"/>
    <w:rsid w:val="00B4227E"/>
    <w:rsid w:val="00B42288"/>
    <w:rsid w:val="00B42484"/>
    <w:rsid w:val="00B42618"/>
    <w:rsid w:val="00B429E8"/>
    <w:rsid w:val="00B42B80"/>
    <w:rsid w:val="00B42B82"/>
    <w:rsid w:val="00B42DB7"/>
    <w:rsid w:val="00B42E2F"/>
    <w:rsid w:val="00B433A9"/>
    <w:rsid w:val="00B433F4"/>
    <w:rsid w:val="00B434FB"/>
    <w:rsid w:val="00B43784"/>
    <w:rsid w:val="00B439F2"/>
    <w:rsid w:val="00B43AEF"/>
    <w:rsid w:val="00B43BB2"/>
    <w:rsid w:val="00B43C59"/>
    <w:rsid w:val="00B43C88"/>
    <w:rsid w:val="00B43F1D"/>
    <w:rsid w:val="00B44031"/>
    <w:rsid w:val="00B441F1"/>
    <w:rsid w:val="00B44228"/>
    <w:rsid w:val="00B44A15"/>
    <w:rsid w:val="00B44BFE"/>
    <w:rsid w:val="00B44C0C"/>
    <w:rsid w:val="00B44C55"/>
    <w:rsid w:val="00B44D8A"/>
    <w:rsid w:val="00B44FE6"/>
    <w:rsid w:val="00B450A2"/>
    <w:rsid w:val="00B45140"/>
    <w:rsid w:val="00B45300"/>
    <w:rsid w:val="00B45581"/>
    <w:rsid w:val="00B459CB"/>
    <w:rsid w:val="00B45B9F"/>
    <w:rsid w:val="00B45CDB"/>
    <w:rsid w:val="00B4655E"/>
    <w:rsid w:val="00B467DC"/>
    <w:rsid w:val="00B4686F"/>
    <w:rsid w:val="00B46896"/>
    <w:rsid w:val="00B468D7"/>
    <w:rsid w:val="00B46ABE"/>
    <w:rsid w:val="00B46C3B"/>
    <w:rsid w:val="00B46E70"/>
    <w:rsid w:val="00B46ECC"/>
    <w:rsid w:val="00B46F55"/>
    <w:rsid w:val="00B470C8"/>
    <w:rsid w:val="00B47109"/>
    <w:rsid w:val="00B47112"/>
    <w:rsid w:val="00B4717C"/>
    <w:rsid w:val="00B4723A"/>
    <w:rsid w:val="00B47671"/>
    <w:rsid w:val="00B47692"/>
    <w:rsid w:val="00B47B81"/>
    <w:rsid w:val="00B47CF1"/>
    <w:rsid w:val="00B50367"/>
    <w:rsid w:val="00B50412"/>
    <w:rsid w:val="00B5048A"/>
    <w:rsid w:val="00B504B7"/>
    <w:rsid w:val="00B50506"/>
    <w:rsid w:val="00B507C0"/>
    <w:rsid w:val="00B507FD"/>
    <w:rsid w:val="00B50B6F"/>
    <w:rsid w:val="00B50B9C"/>
    <w:rsid w:val="00B50BE0"/>
    <w:rsid w:val="00B50FF1"/>
    <w:rsid w:val="00B5103A"/>
    <w:rsid w:val="00B510DE"/>
    <w:rsid w:val="00B51158"/>
    <w:rsid w:val="00B513EF"/>
    <w:rsid w:val="00B5172A"/>
    <w:rsid w:val="00B517A3"/>
    <w:rsid w:val="00B51D40"/>
    <w:rsid w:val="00B51DD8"/>
    <w:rsid w:val="00B51ED1"/>
    <w:rsid w:val="00B527DB"/>
    <w:rsid w:val="00B52A32"/>
    <w:rsid w:val="00B52AED"/>
    <w:rsid w:val="00B52ED9"/>
    <w:rsid w:val="00B52F7B"/>
    <w:rsid w:val="00B52FCF"/>
    <w:rsid w:val="00B53016"/>
    <w:rsid w:val="00B532FF"/>
    <w:rsid w:val="00B53455"/>
    <w:rsid w:val="00B535DD"/>
    <w:rsid w:val="00B535F7"/>
    <w:rsid w:val="00B5364A"/>
    <w:rsid w:val="00B536C5"/>
    <w:rsid w:val="00B5376C"/>
    <w:rsid w:val="00B5391D"/>
    <w:rsid w:val="00B5396F"/>
    <w:rsid w:val="00B539FB"/>
    <w:rsid w:val="00B53A15"/>
    <w:rsid w:val="00B53EAC"/>
    <w:rsid w:val="00B54004"/>
    <w:rsid w:val="00B54048"/>
    <w:rsid w:val="00B5418D"/>
    <w:rsid w:val="00B542A3"/>
    <w:rsid w:val="00B543E1"/>
    <w:rsid w:val="00B547E8"/>
    <w:rsid w:val="00B54A9F"/>
    <w:rsid w:val="00B54C25"/>
    <w:rsid w:val="00B54C6F"/>
    <w:rsid w:val="00B54DAB"/>
    <w:rsid w:val="00B54F2B"/>
    <w:rsid w:val="00B551F5"/>
    <w:rsid w:val="00B55270"/>
    <w:rsid w:val="00B55394"/>
    <w:rsid w:val="00B553CD"/>
    <w:rsid w:val="00B5569E"/>
    <w:rsid w:val="00B55987"/>
    <w:rsid w:val="00B55BBB"/>
    <w:rsid w:val="00B55C00"/>
    <w:rsid w:val="00B55D21"/>
    <w:rsid w:val="00B55D7F"/>
    <w:rsid w:val="00B55F74"/>
    <w:rsid w:val="00B566DD"/>
    <w:rsid w:val="00B56752"/>
    <w:rsid w:val="00B56813"/>
    <w:rsid w:val="00B56937"/>
    <w:rsid w:val="00B56BD8"/>
    <w:rsid w:val="00B56D5A"/>
    <w:rsid w:val="00B56DBC"/>
    <w:rsid w:val="00B56E61"/>
    <w:rsid w:val="00B56ECF"/>
    <w:rsid w:val="00B57132"/>
    <w:rsid w:val="00B5719D"/>
    <w:rsid w:val="00B57335"/>
    <w:rsid w:val="00B57444"/>
    <w:rsid w:val="00B57767"/>
    <w:rsid w:val="00B577C3"/>
    <w:rsid w:val="00B57888"/>
    <w:rsid w:val="00B57C11"/>
    <w:rsid w:val="00B57D53"/>
    <w:rsid w:val="00B57D7A"/>
    <w:rsid w:val="00B6000B"/>
    <w:rsid w:val="00B60237"/>
    <w:rsid w:val="00B60343"/>
    <w:rsid w:val="00B60494"/>
    <w:rsid w:val="00B606DF"/>
    <w:rsid w:val="00B60704"/>
    <w:rsid w:val="00B60933"/>
    <w:rsid w:val="00B60A6E"/>
    <w:rsid w:val="00B60A91"/>
    <w:rsid w:val="00B60AF9"/>
    <w:rsid w:val="00B60EDC"/>
    <w:rsid w:val="00B60F1A"/>
    <w:rsid w:val="00B60F48"/>
    <w:rsid w:val="00B60F51"/>
    <w:rsid w:val="00B6102B"/>
    <w:rsid w:val="00B6118F"/>
    <w:rsid w:val="00B611EE"/>
    <w:rsid w:val="00B61286"/>
    <w:rsid w:val="00B615A9"/>
    <w:rsid w:val="00B61600"/>
    <w:rsid w:val="00B6163B"/>
    <w:rsid w:val="00B61806"/>
    <w:rsid w:val="00B6185D"/>
    <w:rsid w:val="00B61952"/>
    <w:rsid w:val="00B61CF1"/>
    <w:rsid w:val="00B61E7D"/>
    <w:rsid w:val="00B61F9F"/>
    <w:rsid w:val="00B62016"/>
    <w:rsid w:val="00B6209F"/>
    <w:rsid w:val="00B620D1"/>
    <w:rsid w:val="00B62166"/>
    <w:rsid w:val="00B623A0"/>
    <w:rsid w:val="00B62510"/>
    <w:rsid w:val="00B625D5"/>
    <w:rsid w:val="00B62685"/>
    <w:rsid w:val="00B62716"/>
    <w:rsid w:val="00B6277D"/>
    <w:rsid w:val="00B62A17"/>
    <w:rsid w:val="00B62AE4"/>
    <w:rsid w:val="00B62B00"/>
    <w:rsid w:val="00B62BC8"/>
    <w:rsid w:val="00B62D7A"/>
    <w:rsid w:val="00B62EBB"/>
    <w:rsid w:val="00B62F03"/>
    <w:rsid w:val="00B63125"/>
    <w:rsid w:val="00B631AF"/>
    <w:rsid w:val="00B63236"/>
    <w:rsid w:val="00B6323A"/>
    <w:rsid w:val="00B633C6"/>
    <w:rsid w:val="00B6393F"/>
    <w:rsid w:val="00B63A4C"/>
    <w:rsid w:val="00B63E68"/>
    <w:rsid w:val="00B640AA"/>
    <w:rsid w:val="00B64159"/>
    <w:rsid w:val="00B64191"/>
    <w:rsid w:val="00B6421F"/>
    <w:rsid w:val="00B6423F"/>
    <w:rsid w:val="00B6479D"/>
    <w:rsid w:val="00B64BD9"/>
    <w:rsid w:val="00B64CD9"/>
    <w:rsid w:val="00B64E81"/>
    <w:rsid w:val="00B65299"/>
    <w:rsid w:val="00B652DB"/>
    <w:rsid w:val="00B655BA"/>
    <w:rsid w:val="00B656A9"/>
    <w:rsid w:val="00B658EE"/>
    <w:rsid w:val="00B65BDC"/>
    <w:rsid w:val="00B65D74"/>
    <w:rsid w:val="00B660D8"/>
    <w:rsid w:val="00B661D2"/>
    <w:rsid w:val="00B6622C"/>
    <w:rsid w:val="00B66391"/>
    <w:rsid w:val="00B663BA"/>
    <w:rsid w:val="00B663F7"/>
    <w:rsid w:val="00B665E2"/>
    <w:rsid w:val="00B66979"/>
    <w:rsid w:val="00B66C16"/>
    <w:rsid w:val="00B66CFF"/>
    <w:rsid w:val="00B66EB2"/>
    <w:rsid w:val="00B672AD"/>
    <w:rsid w:val="00B6739D"/>
    <w:rsid w:val="00B674AF"/>
    <w:rsid w:val="00B67506"/>
    <w:rsid w:val="00B675CA"/>
    <w:rsid w:val="00B67638"/>
    <w:rsid w:val="00B676A9"/>
    <w:rsid w:val="00B679CF"/>
    <w:rsid w:val="00B67D81"/>
    <w:rsid w:val="00B67F4F"/>
    <w:rsid w:val="00B700CF"/>
    <w:rsid w:val="00B70661"/>
    <w:rsid w:val="00B70698"/>
    <w:rsid w:val="00B70D1E"/>
    <w:rsid w:val="00B71196"/>
    <w:rsid w:val="00B7119B"/>
    <w:rsid w:val="00B7138A"/>
    <w:rsid w:val="00B71476"/>
    <w:rsid w:val="00B717AC"/>
    <w:rsid w:val="00B717F4"/>
    <w:rsid w:val="00B7181C"/>
    <w:rsid w:val="00B71A07"/>
    <w:rsid w:val="00B71E7D"/>
    <w:rsid w:val="00B71F61"/>
    <w:rsid w:val="00B71FC7"/>
    <w:rsid w:val="00B72010"/>
    <w:rsid w:val="00B721AA"/>
    <w:rsid w:val="00B721E9"/>
    <w:rsid w:val="00B72394"/>
    <w:rsid w:val="00B72473"/>
    <w:rsid w:val="00B725AA"/>
    <w:rsid w:val="00B725D3"/>
    <w:rsid w:val="00B725DA"/>
    <w:rsid w:val="00B7262D"/>
    <w:rsid w:val="00B72680"/>
    <w:rsid w:val="00B726AC"/>
    <w:rsid w:val="00B7273C"/>
    <w:rsid w:val="00B728EE"/>
    <w:rsid w:val="00B7292B"/>
    <w:rsid w:val="00B72F03"/>
    <w:rsid w:val="00B733FE"/>
    <w:rsid w:val="00B735F4"/>
    <w:rsid w:val="00B736B9"/>
    <w:rsid w:val="00B738AA"/>
    <w:rsid w:val="00B738E2"/>
    <w:rsid w:val="00B73B05"/>
    <w:rsid w:val="00B73EB6"/>
    <w:rsid w:val="00B74065"/>
    <w:rsid w:val="00B740AE"/>
    <w:rsid w:val="00B74240"/>
    <w:rsid w:val="00B746B9"/>
    <w:rsid w:val="00B74830"/>
    <w:rsid w:val="00B74CB9"/>
    <w:rsid w:val="00B751CC"/>
    <w:rsid w:val="00B75311"/>
    <w:rsid w:val="00B75833"/>
    <w:rsid w:val="00B761CA"/>
    <w:rsid w:val="00B762F2"/>
    <w:rsid w:val="00B7644E"/>
    <w:rsid w:val="00B7690F"/>
    <w:rsid w:val="00B76AB5"/>
    <w:rsid w:val="00B76ABB"/>
    <w:rsid w:val="00B770FF"/>
    <w:rsid w:val="00B77128"/>
    <w:rsid w:val="00B77285"/>
    <w:rsid w:val="00B774CE"/>
    <w:rsid w:val="00B77575"/>
    <w:rsid w:val="00B776E3"/>
    <w:rsid w:val="00B77921"/>
    <w:rsid w:val="00B779D0"/>
    <w:rsid w:val="00B77BFC"/>
    <w:rsid w:val="00B77D64"/>
    <w:rsid w:val="00B77D8C"/>
    <w:rsid w:val="00B77EC8"/>
    <w:rsid w:val="00B80108"/>
    <w:rsid w:val="00B80142"/>
    <w:rsid w:val="00B80182"/>
    <w:rsid w:val="00B8040A"/>
    <w:rsid w:val="00B80452"/>
    <w:rsid w:val="00B80516"/>
    <w:rsid w:val="00B805A9"/>
    <w:rsid w:val="00B80710"/>
    <w:rsid w:val="00B807DB"/>
    <w:rsid w:val="00B808A4"/>
    <w:rsid w:val="00B8107C"/>
    <w:rsid w:val="00B81099"/>
    <w:rsid w:val="00B81204"/>
    <w:rsid w:val="00B81399"/>
    <w:rsid w:val="00B816F8"/>
    <w:rsid w:val="00B81728"/>
    <w:rsid w:val="00B8178C"/>
    <w:rsid w:val="00B81ACF"/>
    <w:rsid w:val="00B81C93"/>
    <w:rsid w:val="00B81F37"/>
    <w:rsid w:val="00B82135"/>
    <w:rsid w:val="00B8217D"/>
    <w:rsid w:val="00B8224D"/>
    <w:rsid w:val="00B824D5"/>
    <w:rsid w:val="00B82520"/>
    <w:rsid w:val="00B82AD7"/>
    <w:rsid w:val="00B82C66"/>
    <w:rsid w:val="00B82EF9"/>
    <w:rsid w:val="00B831E9"/>
    <w:rsid w:val="00B8333A"/>
    <w:rsid w:val="00B8349C"/>
    <w:rsid w:val="00B83515"/>
    <w:rsid w:val="00B837D7"/>
    <w:rsid w:val="00B839C4"/>
    <w:rsid w:val="00B83F11"/>
    <w:rsid w:val="00B84104"/>
    <w:rsid w:val="00B84372"/>
    <w:rsid w:val="00B843EC"/>
    <w:rsid w:val="00B844A9"/>
    <w:rsid w:val="00B84575"/>
    <w:rsid w:val="00B84580"/>
    <w:rsid w:val="00B847AA"/>
    <w:rsid w:val="00B8488A"/>
    <w:rsid w:val="00B84CB9"/>
    <w:rsid w:val="00B84DBE"/>
    <w:rsid w:val="00B85138"/>
    <w:rsid w:val="00B85337"/>
    <w:rsid w:val="00B85349"/>
    <w:rsid w:val="00B8561F"/>
    <w:rsid w:val="00B8586F"/>
    <w:rsid w:val="00B858EE"/>
    <w:rsid w:val="00B85A3B"/>
    <w:rsid w:val="00B85A72"/>
    <w:rsid w:val="00B85D90"/>
    <w:rsid w:val="00B85F47"/>
    <w:rsid w:val="00B861C8"/>
    <w:rsid w:val="00B8633E"/>
    <w:rsid w:val="00B864AE"/>
    <w:rsid w:val="00B867F8"/>
    <w:rsid w:val="00B86A4F"/>
    <w:rsid w:val="00B86EF8"/>
    <w:rsid w:val="00B86F10"/>
    <w:rsid w:val="00B86FB6"/>
    <w:rsid w:val="00B870A3"/>
    <w:rsid w:val="00B870BD"/>
    <w:rsid w:val="00B870CA"/>
    <w:rsid w:val="00B871C0"/>
    <w:rsid w:val="00B87299"/>
    <w:rsid w:val="00B8745A"/>
    <w:rsid w:val="00B87484"/>
    <w:rsid w:val="00B87681"/>
    <w:rsid w:val="00B87707"/>
    <w:rsid w:val="00B877D4"/>
    <w:rsid w:val="00B877FE"/>
    <w:rsid w:val="00B878CE"/>
    <w:rsid w:val="00B87927"/>
    <w:rsid w:val="00B87A5E"/>
    <w:rsid w:val="00B87C20"/>
    <w:rsid w:val="00B87D4E"/>
    <w:rsid w:val="00B87E6F"/>
    <w:rsid w:val="00B87F7B"/>
    <w:rsid w:val="00B87FCF"/>
    <w:rsid w:val="00B9008C"/>
    <w:rsid w:val="00B900E0"/>
    <w:rsid w:val="00B9014A"/>
    <w:rsid w:val="00B901A6"/>
    <w:rsid w:val="00B904BA"/>
    <w:rsid w:val="00B9053A"/>
    <w:rsid w:val="00B905DE"/>
    <w:rsid w:val="00B90C37"/>
    <w:rsid w:val="00B90D1E"/>
    <w:rsid w:val="00B910A8"/>
    <w:rsid w:val="00B911E2"/>
    <w:rsid w:val="00B911E8"/>
    <w:rsid w:val="00B918DF"/>
    <w:rsid w:val="00B919F5"/>
    <w:rsid w:val="00B91B27"/>
    <w:rsid w:val="00B91D33"/>
    <w:rsid w:val="00B91FD6"/>
    <w:rsid w:val="00B9218E"/>
    <w:rsid w:val="00B922D2"/>
    <w:rsid w:val="00B92419"/>
    <w:rsid w:val="00B9250F"/>
    <w:rsid w:val="00B92619"/>
    <w:rsid w:val="00B92849"/>
    <w:rsid w:val="00B92A3F"/>
    <w:rsid w:val="00B92ABC"/>
    <w:rsid w:val="00B92B2C"/>
    <w:rsid w:val="00B92B65"/>
    <w:rsid w:val="00B92C4F"/>
    <w:rsid w:val="00B92C5C"/>
    <w:rsid w:val="00B92CEF"/>
    <w:rsid w:val="00B92E25"/>
    <w:rsid w:val="00B92FAC"/>
    <w:rsid w:val="00B9301D"/>
    <w:rsid w:val="00B93121"/>
    <w:rsid w:val="00B93170"/>
    <w:rsid w:val="00B93188"/>
    <w:rsid w:val="00B931FC"/>
    <w:rsid w:val="00B93778"/>
    <w:rsid w:val="00B94449"/>
    <w:rsid w:val="00B944E6"/>
    <w:rsid w:val="00B9451F"/>
    <w:rsid w:val="00B945B7"/>
    <w:rsid w:val="00B94612"/>
    <w:rsid w:val="00B9461B"/>
    <w:rsid w:val="00B946AB"/>
    <w:rsid w:val="00B946DC"/>
    <w:rsid w:val="00B94A94"/>
    <w:rsid w:val="00B94B43"/>
    <w:rsid w:val="00B94BF0"/>
    <w:rsid w:val="00B94CCD"/>
    <w:rsid w:val="00B94F1F"/>
    <w:rsid w:val="00B950E8"/>
    <w:rsid w:val="00B951F2"/>
    <w:rsid w:val="00B95286"/>
    <w:rsid w:val="00B953EF"/>
    <w:rsid w:val="00B95787"/>
    <w:rsid w:val="00B95932"/>
    <w:rsid w:val="00B95A4D"/>
    <w:rsid w:val="00B95BE1"/>
    <w:rsid w:val="00B95CEA"/>
    <w:rsid w:val="00B960CD"/>
    <w:rsid w:val="00B9625E"/>
    <w:rsid w:val="00B96402"/>
    <w:rsid w:val="00B966DE"/>
    <w:rsid w:val="00B96897"/>
    <w:rsid w:val="00B96925"/>
    <w:rsid w:val="00B96978"/>
    <w:rsid w:val="00B96AB1"/>
    <w:rsid w:val="00B96D03"/>
    <w:rsid w:val="00B96D18"/>
    <w:rsid w:val="00B96DD9"/>
    <w:rsid w:val="00B97072"/>
    <w:rsid w:val="00B971A4"/>
    <w:rsid w:val="00B972B3"/>
    <w:rsid w:val="00B972E0"/>
    <w:rsid w:val="00B973B1"/>
    <w:rsid w:val="00B97447"/>
    <w:rsid w:val="00B97501"/>
    <w:rsid w:val="00B975E7"/>
    <w:rsid w:val="00B9776E"/>
    <w:rsid w:val="00B977B5"/>
    <w:rsid w:val="00B979A2"/>
    <w:rsid w:val="00B97A84"/>
    <w:rsid w:val="00B97F33"/>
    <w:rsid w:val="00B97FA7"/>
    <w:rsid w:val="00BA0257"/>
    <w:rsid w:val="00BA04D2"/>
    <w:rsid w:val="00BA0F89"/>
    <w:rsid w:val="00BA0FDE"/>
    <w:rsid w:val="00BA105C"/>
    <w:rsid w:val="00BA13C4"/>
    <w:rsid w:val="00BA1511"/>
    <w:rsid w:val="00BA1591"/>
    <w:rsid w:val="00BA1732"/>
    <w:rsid w:val="00BA1749"/>
    <w:rsid w:val="00BA1894"/>
    <w:rsid w:val="00BA1A5C"/>
    <w:rsid w:val="00BA1A86"/>
    <w:rsid w:val="00BA1CA5"/>
    <w:rsid w:val="00BA20D1"/>
    <w:rsid w:val="00BA2284"/>
    <w:rsid w:val="00BA22C5"/>
    <w:rsid w:val="00BA2359"/>
    <w:rsid w:val="00BA239A"/>
    <w:rsid w:val="00BA2774"/>
    <w:rsid w:val="00BA27CA"/>
    <w:rsid w:val="00BA2802"/>
    <w:rsid w:val="00BA295B"/>
    <w:rsid w:val="00BA2BAD"/>
    <w:rsid w:val="00BA2C2A"/>
    <w:rsid w:val="00BA2F13"/>
    <w:rsid w:val="00BA2FFE"/>
    <w:rsid w:val="00BA3380"/>
    <w:rsid w:val="00BA33D0"/>
    <w:rsid w:val="00BA34D3"/>
    <w:rsid w:val="00BA3E80"/>
    <w:rsid w:val="00BA3EB0"/>
    <w:rsid w:val="00BA4017"/>
    <w:rsid w:val="00BA43EC"/>
    <w:rsid w:val="00BA442B"/>
    <w:rsid w:val="00BA45FA"/>
    <w:rsid w:val="00BA467C"/>
    <w:rsid w:val="00BA4846"/>
    <w:rsid w:val="00BA4C05"/>
    <w:rsid w:val="00BA4C3C"/>
    <w:rsid w:val="00BA4EA6"/>
    <w:rsid w:val="00BA4EB0"/>
    <w:rsid w:val="00BA4EE8"/>
    <w:rsid w:val="00BA50E3"/>
    <w:rsid w:val="00BA5430"/>
    <w:rsid w:val="00BA548B"/>
    <w:rsid w:val="00BA548D"/>
    <w:rsid w:val="00BA5A57"/>
    <w:rsid w:val="00BA5AB3"/>
    <w:rsid w:val="00BA5B57"/>
    <w:rsid w:val="00BA5C7D"/>
    <w:rsid w:val="00BA5DD6"/>
    <w:rsid w:val="00BA5F11"/>
    <w:rsid w:val="00BA6094"/>
    <w:rsid w:val="00BA6344"/>
    <w:rsid w:val="00BA65B5"/>
    <w:rsid w:val="00BA6666"/>
    <w:rsid w:val="00BA66BC"/>
    <w:rsid w:val="00BA671D"/>
    <w:rsid w:val="00BA67C2"/>
    <w:rsid w:val="00BA6827"/>
    <w:rsid w:val="00BA6877"/>
    <w:rsid w:val="00BA690D"/>
    <w:rsid w:val="00BA6ECC"/>
    <w:rsid w:val="00BA6EED"/>
    <w:rsid w:val="00BA712E"/>
    <w:rsid w:val="00BA71EB"/>
    <w:rsid w:val="00BA72AC"/>
    <w:rsid w:val="00BA72B3"/>
    <w:rsid w:val="00BA747C"/>
    <w:rsid w:val="00BA7729"/>
    <w:rsid w:val="00BA78F6"/>
    <w:rsid w:val="00BA7935"/>
    <w:rsid w:val="00BA7A60"/>
    <w:rsid w:val="00BA7B70"/>
    <w:rsid w:val="00BA7EE4"/>
    <w:rsid w:val="00BB04A4"/>
    <w:rsid w:val="00BB04A5"/>
    <w:rsid w:val="00BB04D4"/>
    <w:rsid w:val="00BB05F2"/>
    <w:rsid w:val="00BB0602"/>
    <w:rsid w:val="00BB0A1C"/>
    <w:rsid w:val="00BB0CEB"/>
    <w:rsid w:val="00BB0E33"/>
    <w:rsid w:val="00BB1045"/>
    <w:rsid w:val="00BB10C1"/>
    <w:rsid w:val="00BB10D3"/>
    <w:rsid w:val="00BB1112"/>
    <w:rsid w:val="00BB111E"/>
    <w:rsid w:val="00BB1316"/>
    <w:rsid w:val="00BB1A1A"/>
    <w:rsid w:val="00BB1A2C"/>
    <w:rsid w:val="00BB1B44"/>
    <w:rsid w:val="00BB1D00"/>
    <w:rsid w:val="00BB1DC8"/>
    <w:rsid w:val="00BB1EDE"/>
    <w:rsid w:val="00BB20DF"/>
    <w:rsid w:val="00BB25B4"/>
    <w:rsid w:val="00BB2933"/>
    <w:rsid w:val="00BB29BB"/>
    <w:rsid w:val="00BB2DD9"/>
    <w:rsid w:val="00BB2E4D"/>
    <w:rsid w:val="00BB2F8B"/>
    <w:rsid w:val="00BB328A"/>
    <w:rsid w:val="00BB33DC"/>
    <w:rsid w:val="00BB33DD"/>
    <w:rsid w:val="00BB3441"/>
    <w:rsid w:val="00BB3609"/>
    <w:rsid w:val="00BB387E"/>
    <w:rsid w:val="00BB39F5"/>
    <w:rsid w:val="00BB3B1A"/>
    <w:rsid w:val="00BB3C98"/>
    <w:rsid w:val="00BB3CE2"/>
    <w:rsid w:val="00BB3DCB"/>
    <w:rsid w:val="00BB4175"/>
    <w:rsid w:val="00BB42F2"/>
    <w:rsid w:val="00BB4751"/>
    <w:rsid w:val="00BB4830"/>
    <w:rsid w:val="00BB48EA"/>
    <w:rsid w:val="00BB4AE9"/>
    <w:rsid w:val="00BB4D8B"/>
    <w:rsid w:val="00BB4E0E"/>
    <w:rsid w:val="00BB4EF6"/>
    <w:rsid w:val="00BB4F19"/>
    <w:rsid w:val="00BB52DB"/>
    <w:rsid w:val="00BB52E2"/>
    <w:rsid w:val="00BB52F8"/>
    <w:rsid w:val="00BB5481"/>
    <w:rsid w:val="00BB54D5"/>
    <w:rsid w:val="00BB5873"/>
    <w:rsid w:val="00BB5A8B"/>
    <w:rsid w:val="00BB5C5B"/>
    <w:rsid w:val="00BB5E1F"/>
    <w:rsid w:val="00BB5EEA"/>
    <w:rsid w:val="00BB63F7"/>
    <w:rsid w:val="00BB6431"/>
    <w:rsid w:val="00BB6745"/>
    <w:rsid w:val="00BB69D0"/>
    <w:rsid w:val="00BB6BC4"/>
    <w:rsid w:val="00BB6E1A"/>
    <w:rsid w:val="00BB6F93"/>
    <w:rsid w:val="00BB6FA5"/>
    <w:rsid w:val="00BB6FF4"/>
    <w:rsid w:val="00BB7040"/>
    <w:rsid w:val="00BB70E8"/>
    <w:rsid w:val="00BB7174"/>
    <w:rsid w:val="00BB71EB"/>
    <w:rsid w:val="00BB722B"/>
    <w:rsid w:val="00BB759B"/>
    <w:rsid w:val="00BB75BD"/>
    <w:rsid w:val="00BB7AE1"/>
    <w:rsid w:val="00BB7B72"/>
    <w:rsid w:val="00BB7E03"/>
    <w:rsid w:val="00BC03C7"/>
    <w:rsid w:val="00BC058F"/>
    <w:rsid w:val="00BC0BDA"/>
    <w:rsid w:val="00BC15F3"/>
    <w:rsid w:val="00BC1692"/>
    <w:rsid w:val="00BC16B7"/>
    <w:rsid w:val="00BC17BF"/>
    <w:rsid w:val="00BC180C"/>
    <w:rsid w:val="00BC1811"/>
    <w:rsid w:val="00BC1C14"/>
    <w:rsid w:val="00BC1D0D"/>
    <w:rsid w:val="00BC1D50"/>
    <w:rsid w:val="00BC1DED"/>
    <w:rsid w:val="00BC1F8A"/>
    <w:rsid w:val="00BC21CC"/>
    <w:rsid w:val="00BC223D"/>
    <w:rsid w:val="00BC229C"/>
    <w:rsid w:val="00BC244A"/>
    <w:rsid w:val="00BC279F"/>
    <w:rsid w:val="00BC2846"/>
    <w:rsid w:val="00BC2B38"/>
    <w:rsid w:val="00BC2BAF"/>
    <w:rsid w:val="00BC2D2F"/>
    <w:rsid w:val="00BC2DCC"/>
    <w:rsid w:val="00BC2F28"/>
    <w:rsid w:val="00BC308D"/>
    <w:rsid w:val="00BC31A1"/>
    <w:rsid w:val="00BC3202"/>
    <w:rsid w:val="00BC3345"/>
    <w:rsid w:val="00BC36D1"/>
    <w:rsid w:val="00BC390A"/>
    <w:rsid w:val="00BC393A"/>
    <w:rsid w:val="00BC3ACB"/>
    <w:rsid w:val="00BC3F51"/>
    <w:rsid w:val="00BC3FE6"/>
    <w:rsid w:val="00BC4043"/>
    <w:rsid w:val="00BC43B6"/>
    <w:rsid w:val="00BC469D"/>
    <w:rsid w:val="00BC49F5"/>
    <w:rsid w:val="00BC4A45"/>
    <w:rsid w:val="00BC4A4A"/>
    <w:rsid w:val="00BC4BF2"/>
    <w:rsid w:val="00BC4D89"/>
    <w:rsid w:val="00BC4F95"/>
    <w:rsid w:val="00BC5420"/>
    <w:rsid w:val="00BC557C"/>
    <w:rsid w:val="00BC5A70"/>
    <w:rsid w:val="00BC5A7F"/>
    <w:rsid w:val="00BC5B23"/>
    <w:rsid w:val="00BC5D39"/>
    <w:rsid w:val="00BC5DB1"/>
    <w:rsid w:val="00BC5FD8"/>
    <w:rsid w:val="00BC6082"/>
    <w:rsid w:val="00BC60A1"/>
    <w:rsid w:val="00BC6119"/>
    <w:rsid w:val="00BC6588"/>
    <w:rsid w:val="00BC65FF"/>
    <w:rsid w:val="00BC6691"/>
    <w:rsid w:val="00BC690B"/>
    <w:rsid w:val="00BC69AB"/>
    <w:rsid w:val="00BC6BF6"/>
    <w:rsid w:val="00BC6E25"/>
    <w:rsid w:val="00BC6E54"/>
    <w:rsid w:val="00BC6FFC"/>
    <w:rsid w:val="00BC7161"/>
    <w:rsid w:val="00BC7318"/>
    <w:rsid w:val="00BC7413"/>
    <w:rsid w:val="00BC7588"/>
    <w:rsid w:val="00BC7774"/>
    <w:rsid w:val="00BC7815"/>
    <w:rsid w:val="00BC78FD"/>
    <w:rsid w:val="00BC7986"/>
    <w:rsid w:val="00BC7B0F"/>
    <w:rsid w:val="00BC7D09"/>
    <w:rsid w:val="00BC7D51"/>
    <w:rsid w:val="00BC7F17"/>
    <w:rsid w:val="00BD02F4"/>
    <w:rsid w:val="00BD0725"/>
    <w:rsid w:val="00BD0823"/>
    <w:rsid w:val="00BD0899"/>
    <w:rsid w:val="00BD0947"/>
    <w:rsid w:val="00BD0A13"/>
    <w:rsid w:val="00BD0CA7"/>
    <w:rsid w:val="00BD0F22"/>
    <w:rsid w:val="00BD0F83"/>
    <w:rsid w:val="00BD1032"/>
    <w:rsid w:val="00BD11AB"/>
    <w:rsid w:val="00BD11F6"/>
    <w:rsid w:val="00BD12F8"/>
    <w:rsid w:val="00BD1369"/>
    <w:rsid w:val="00BD1616"/>
    <w:rsid w:val="00BD16A8"/>
    <w:rsid w:val="00BD18DD"/>
    <w:rsid w:val="00BD1934"/>
    <w:rsid w:val="00BD1A27"/>
    <w:rsid w:val="00BD1D3C"/>
    <w:rsid w:val="00BD1DAA"/>
    <w:rsid w:val="00BD1F07"/>
    <w:rsid w:val="00BD21C1"/>
    <w:rsid w:val="00BD21FB"/>
    <w:rsid w:val="00BD2285"/>
    <w:rsid w:val="00BD2343"/>
    <w:rsid w:val="00BD23F2"/>
    <w:rsid w:val="00BD2428"/>
    <w:rsid w:val="00BD2581"/>
    <w:rsid w:val="00BD28DC"/>
    <w:rsid w:val="00BD2A24"/>
    <w:rsid w:val="00BD2C12"/>
    <w:rsid w:val="00BD2CFE"/>
    <w:rsid w:val="00BD2E07"/>
    <w:rsid w:val="00BD2E39"/>
    <w:rsid w:val="00BD2E93"/>
    <w:rsid w:val="00BD2ECD"/>
    <w:rsid w:val="00BD30F4"/>
    <w:rsid w:val="00BD31BD"/>
    <w:rsid w:val="00BD31F6"/>
    <w:rsid w:val="00BD3208"/>
    <w:rsid w:val="00BD325F"/>
    <w:rsid w:val="00BD33A0"/>
    <w:rsid w:val="00BD36FC"/>
    <w:rsid w:val="00BD37D3"/>
    <w:rsid w:val="00BD37E6"/>
    <w:rsid w:val="00BD3911"/>
    <w:rsid w:val="00BD3942"/>
    <w:rsid w:val="00BD3BF2"/>
    <w:rsid w:val="00BD3CAB"/>
    <w:rsid w:val="00BD3CB4"/>
    <w:rsid w:val="00BD3F50"/>
    <w:rsid w:val="00BD3F8F"/>
    <w:rsid w:val="00BD3FCE"/>
    <w:rsid w:val="00BD4130"/>
    <w:rsid w:val="00BD42CB"/>
    <w:rsid w:val="00BD47E9"/>
    <w:rsid w:val="00BD4878"/>
    <w:rsid w:val="00BD4A48"/>
    <w:rsid w:val="00BD4A66"/>
    <w:rsid w:val="00BD4AFA"/>
    <w:rsid w:val="00BD4B38"/>
    <w:rsid w:val="00BD4C11"/>
    <w:rsid w:val="00BD4D06"/>
    <w:rsid w:val="00BD4D23"/>
    <w:rsid w:val="00BD4ED4"/>
    <w:rsid w:val="00BD511E"/>
    <w:rsid w:val="00BD520E"/>
    <w:rsid w:val="00BD52B5"/>
    <w:rsid w:val="00BD53F5"/>
    <w:rsid w:val="00BD5511"/>
    <w:rsid w:val="00BD5522"/>
    <w:rsid w:val="00BD5549"/>
    <w:rsid w:val="00BD5650"/>
    <w:rsid w:val="00BD5667"/>
    <w:rsid w:val="00BD56D3"/>
    <w:rsid w:val="00BD5725"/>
    <w:rsid w:val="00BD57DE"/>
    <w:rsid w:val="00BD588E"/>
    <w:rsid w:val="00BD5921"/>
    <w:rsid w:val="00BD596F"/>
    <w:rsid w:val="00BD5A3A"/>
    <w:rsid w:val="00BD5C22"/>
    <w:rsid w:val="00BD5F6F"/>
    <w:rsid w:val="00BD6034"/>
    <w:rsid w:val="00BD6250"/>
    <w:rsid w:val="00BD6397"/>
    <w:rsid w:val="00BD6581"/>
    <w:rsid w:val="00BD661D"/>
    <w:rsid w:val="00BD663F"/>
    <w:rsid w:val="00BD6B42"/>
    <w:rsid w:val="00BD6D60"/>
    <w:rsid w:val="00BD6DD2"/>
    <w:rsid w:val="00BD6F3B"/>
    <w:rsid w:val="00BD7056"/>
    <w:rsid w:val="00BD72AA"/>
    <w:rsid w:val="00BD78D5"/>
    <w:rsid w:val="00BD78DD"/>
    <w:rsid w:val="00BD7A56"/>
    <w:rsid w:val="00BD7BB3"/>
    <w:rsid w:val="00BD7CA8"/>
    <w:rsid w:val="00BE00A2"/>
    <w:rsid w:val="00BE0158"/>
    <w:rsid w:val="00BE01BE"/>
    <w:rsid w:val="00BE02FE"/>
    <w:rsid w:val="00BE0343"/>
    <w:rsid w:val="00BE03D9"/>
    <w:rsid w:val="00BE069A"/>
    <w:rsid w:val="00BE0BAC"/>
    <w:rsid w:val="00BE0BEA"/>
    <w:rsid w:val="00BE0C15"/>
    <w:rsid w:val="00BE0D98"/>
    <w:rsid w:val="00BE1082"/>
    <w:rsid w:val="00BE1219"/>
    <w:rsid w:val="00BE13E0"/>
    <w:rsid w:val="00BE140E"/>
    <w:rsid w:val="00BE1719"/>
    <w:rsid w:val="00BE194F"/>
    <w:rsid w:val="00BE1A88"/>
    <w:rsid w:val="00BE1C40"/>
    <w:rsid w:val="00BE1E86"/>
    <w:rsid w:val="00BE1FE7"/>
    <w:rsid w:val="00BE2064"/>
    <w:rsid w:val="00BE2356"/>
    <w:rsid w:val="00BE24F4"/>
    <w:rsid w:val="00BE2754"/>
    <w:rsid w:val="00BE2938"/>
    <w:rsid w:val="00BE2971"/>
    <w:rsid w:val="00BE298D"/>
    <w:rsid w:val="00BE2A32"/>
    <w:rsid w:val="00BE2AD2"/>
    <w:rsid w:val="00BE2C62"/>
    <w:rsid w:val="00BE2CD7"/>
    <w:rsid w:val="00BE2CE4"/>
    <w:rsid w:val="00BE2D1C"/>
    <w:rsid w:val="00BE2F4C"/>
    <w:rsid w:val="00BE3114"/>
    <w:rsid w:val="00BE32A0"/>
    <w:rsid w:val="00BE3359"/>
    <w:rsid w:val="00BE3480"/>
    <w:rsid w:val="00BE34AD"/>
    <w:rsid w:val="00BE36AF"/>
    <w:rsid w:val="00BE36C2"/>
    <w:rsid w:val="00BE38AF"/>
    <w:rsid w:val="00BE3A2E"/>
    <w:rsid w:val="00BE3B0C"/>
    <w:rsid w:val="00BE3BAA"/>
    <w:rsid w:val="00BE3C42"/>
    <w:rsid w:val="00BE3C4E"/>
    <w:rsid w:val="00BE3E44"/>
    <w:rsid w:val="00BE3F51"/>
    <w:rsid w:val="00BE405D"/>
    <w:rsid w:val="00BE40BC"/>
    <w:rsid w:val="00BE40E6"/>
    <w:rsid w:val="00BE45F5"/>
    <w:rsid w:val="00BE4752"/>
    <w:rsid w:val="00BE47BD"/>
    <w:rsid w:val="00BE496A"/>
    <w:rsid w:val="00BE4997"/>
    <w:rsid w:val="00BE4A5F"/>
    <w:rsid w:val="00BE4C0C"/>
    <w:rsid w:val="00BE4D9D"/>
    <w:rsid w:val="00BE501E"/>
    <w:rsid w:val="00BE50CE"/>
    <w:rsid w:val="00BE51D0"/>
    <w:rsid w:val="00BE524B"/>
    <w:rsid w:val="00BE52C6"/>
    <w:rsid w:val="00BE551E"/>
    <w:rsid w:val="00BE5569"/>
    <w:rsid w:val="00BE562B"/>
    <w:rsid w:val="00BE578D"/>
    <w:rsid w:val="00BE58C5"/>
    <w:rsid w:val="00BE5B89"/>
    <w:rsid w:val="00BE5B98"/>
    <w:rsid w:val="00BE6100"/>
    <w:rsid w:val="00BE61B0"/>
    <w:rsid w:val="00BE624B"/>
    <w:rsid w:val="00BE6270"/>
    <w:rsid w:val="00BE62E5"/>
    <w:rsid w:val="00BE6469"/>
    <w:rsid w:val="00BE6B2C"/>
    <w:rsid w:val="00BE6BBA"/>
    <w:rsid w:val="00BE6C32"/>
    <w:rsid w:val="00BE6C44"/>
    <w:rsid w:val="00BE6D5D"/>
    <w:rsid w:val="00BE703E"/>
    <w:rsid w:val="00BE715D"/>
    <w:rsid w:val="00BE7197"/>
    <w:rsid w:val="00BE72C5"/>
    <w:rsid w:val="00BE7394"/>
    <w:rsid w:val="00BE7455"/>
    <w:rsid w:val="00BE765F"/>
    <w:rsid w:val="00BE769E"/>
    <w:rsid w:val="00BE77F7"/>
    <w:rsid w:val="00BE793D"/>
    <w:rsid w:val="00BE7AE3"/>
    <w:rsid w:val="00BE7B42"/>
    <w:rsid w:val="00BE7DAD"/>
    <w:rsid w:val="00BE7DDC"/>
    <w:rsid w:val="00BE7E4F"/>
    <w:rsid w:val="00BE7E85"/>
    <w:rsid w:val="00BE7FCB"/>
    <w:rsid w:val="00BF0069"/>
    <w:rsid w:val="00BF00F7"/>
    <w:rsid w:val="00BF0373"/>
    <w:rsid w:val="00BF0456"/>
    <w:rsid w:val="00BF052B"/>
    <w:rsid w:val="00BF0638"/>
    <w:rsid w:val="00BF0D8D"/>
    <w:rsid w:val="00BF0E7F"/>
    <w:rsid w:val="00BF1115"/>
    <w:rsid w:val="00BF15E2"/>
    <w:rsid w:val="00BF15E4"/>
    <w:rsid w:val="00BF1637"/>
    <w:rsid w:val="00BF16B9"/>
    <w:rsid w:val="00BF1A14"/>
    <w:rsid w:val="00BF1A7B"/>
    <w:rsid w:val="00BF1D1F"/>
    <w:rsid w:val="00BF1F3A"/>
    <w:rsid w:val="00BF2042"/>
    <w:rsid w:val="00BF2533"/>
    <w:rsid w:val="00BF2756"/>
    <w:rsid w:val="00BF2B75"/>
    <w:rsid w:val="00BF2D2E"/>
    <w:rsid w:val="00BF2D53"/>
    <w:rsid w:val="00BF2D69"/>
    <w:rsid w:val="00BF337A"/>
    <w:rsid w:val="00BF3572"/>
    <w:rsid w:val="00BF373C"/>
    <w:rsid w:val="00BF3ABD"/>
    <w:rsid w:val="00BF3EF3"/>
    <w:rsid w:val="00BF4030"/>
    <w:rsid w:val="00BF40B3"/>
    <w:rsid w:val="00BF4131"/>
    <w:rsid w:val="00BF489E"/>
    <w:rsid w:val="00BF49FE"/>
    <w:rsid w:val="00BF4A1A"/>
    <w:rsid w:val="00BF4A6E"/>
    <w:rsid w:val="00BF4AAB"/>
    <w:rsid w:val="00BF4D7E"/>
    <w:rsid w:val="00BF4D8E"/>
    <w:rsid w:val="00BF4DB5"/>
    <w:rsid w:val="00BF4F88"/>
    <w:rsid w:val="00BF500A"/>
    <w:rsid w:val="00BF5012"/>
    <w:rsid w:val="00BF556B"/>
    <w:rsid w:val="00BF5815"/>
    <w:rsid w:val="00BF5C84"/>
    <w:rsid w:val="00BF5D47"/>
    <w:rsid w:val="00BF5F29"/>
    <w:rsid w:val="00BF61E7"/>
    <w:rsid w:val="00BF6318"/>
    <w:rsid w:val="00BF6633"/>
    <w:rsid w:val="00BF669A"/>
    <w:rsid w:val="00BF66CB"/>
    <w:rsid w:val="00BF6931"/>
    <w:rsid w:val="00BF6AAD"/>
    <w:rsid w:val="00BF6AC0"/>
    <w:rsid w:val="00BF6AD7"/>
    <w:rsid w:val="00BF6BE4"/>
    <w:rsid w:val="00BF6DC6"/>
    <w:rsid w:val="00BF6E61"/>
    <w:rsid w:val="00BF6F61"/>
    <w:rsid w:val="00BF7055"/>
    <w:rsid w:val="00BF72DD"/>
    <w:rsid w:val="00BF79D8"/>
    <w:rsid w:val="00BF7AE0"/>
    <w:rsid w:val="00BF7B19"/>
    <w:rsid w:val="00BF7CA7"/>
    <w:rsid w:val="00BF7D90"/>
    <w:rsid w:val="00BF7F8B"/>
    <w:rsid w:val="00C00217"/>
    <w:rsid w:val="00C002D9"/>
    <w:rsid w:val="00C004ED"/>
    <w:rsid w:val="00C00500"/>
    <w:rsid w:val="00C00536"/>
    <w:rsid w:val="00C0063F"/>
    <w:rsid w:val="00C00718"/>
    <w:rsid w:val="00C0071A"/>
    <w:rsid w:val="00C0078C"/>
    <w:rsid w:val="00C00838"/>
    <w:rsid w:val="00C0086E"/>
    <w:rsid w:val="00C00899"/>
    <w:rsid w:val="00C00ACB"/>
    <w:rsid w:val="00C00D89"/>
    <w:rsid w:val="00C010FC"/>
    <w:rsid w:val="00C012CB"/>
    <w:rsid w:val="00C01442"/>
    <w:rsid w:val="00C016B7"/>
    <w:rsid w:val="00C01A34"/>
    <w:rsid w:val="00C01A53"/>
    <w:rsid w:val="00C01CE1"/>
    <w:rsid w:val="00C01EBF"/>
    <w:rsid w:val="00C021B6"/>
    <w:rsid w:val="00C0227B"/>
    <w:rsid w:val="00C022EF"/>
    <w:rsid w:val="00C02520"/>
    <w:rsid w:val="00C02924"/>
    <w:rsid w:val="00C029B5"/>
    <w:rsid w:val="00C02A88"/>
    <w:rsid w:val="00C02C4B"/>
    <w:rsid w:val="00C02DED"/>
    <w:rsid w:val="00C02EAF"/>
    <w:rsid w:val="00C03006"/>
    <w:rsid w:val="00C031ED"/>
    <w:rsid w:val="00C0323C"/>
    <w:rsid w:val="00C032ED"/>
    <w:rsid w:val="00C03377"/>
    <w:rsid w:val="00C03396"/>
    <w:rsid w:val="00C03442"/>
    <w:rsid w:val="00C03504"/>
    <w:rsid w:val="00C037B8"/>
    <w:rsid w:val="00C03803"/>
    <w:rsid w:val="00C03879"/>
    <w:rsid w:val="00C03B67"/>
    <w:rsid w:val="00C03E0C"/>
    <w:rsid w:val="00C03F4A"/>
    <w:rsid w:val="00C04005"/>
    <w:rsid w:val="00C04193"/>
    <w:rsid w:val="00C041F5"/>
    <w:rsid w:val="00C045C5"/>
    <w:rsid w:val="00C046DF"/>
    <w:rsid w:val="00C04709"/>
    <w:rsid w:val="00C047F6"/>
    <w:rsid w:val="00C04A4A"/>
    <w:rsid w:val="00C04BFE"/>
    <w:rsid w:val="00C04DCA"/>
    <w:rsid w:val="00C04EE7"/>
    <w:rsid w:val="00C04F50"/>
    <w:rsid w:val="00C0503C"/>
    <w:rsid w:val="00C0526A"/>
    <w:rsid w:val="00C05428"/>
    <w:rsid w:val="00C057B2"/>
    <w:rsid w:val="00C062A9"/>
    <w:rsid w:val="00C0641F"/>
    <w:rsid w:val="00C06497"/>
    <w:rsid w:val="00C065E1"/>
    <w:rsid w:val="00C0660B"/>
    <w:rsid w:val="00C06655"/>
    <w:rsid w:val="00C06671"/>
    <w:rsid w:val="00C069D8"/>
    <w:rsid w:val="00C06A0B"/>
    <w:rsid w:val="00C06A4E"/>
    <w:rsid w:val="00C06C2F"/>
    <w:rsid w:val="00C06EF3"/>
    <w:rsid w:val="00C06F82"/>
    <w:rsid w:val="00C0701F"/>
    <w:rsid w:val="00C07074"/>
    <w:rsid w:val="00C07140"/>
    <w:rsid w:val="00C0733A"/>
    <w:rsid w:val="00C07342"/>
    <w:rsid w:val="00C0748D"/>
    <w:rsid w:val="00C075FD"/>
    <w:rsid w:val="00C07645"/>
    <w:rsid w:val="00C07845"/>
    <w:rsid w:val="00C07943"/>
    <w:rsid w:val="00C07AA0"/>
    <w:rsid w:val="00C07AE0"/>
    <w:rsid w:val="00C07AED"/>
    <w:rsid w:val="00C07BE3"/>
    <w:rsid w:val="00C07C58"/>
    <w:rsid w:val="00C07E04"/>
    <w:rsid w:val="00C07E62"/>
    <w:rsid w:val="00C10166"/>
    <w:rsid w:val="00C10313"/>
    <w:rsid w:val="00C104E9"/>
    <w:rsid w:val="00C10528"/>
    <w:rsid w:val="00C105CA"/>
    <w:rsid w:val="00C105FF"/>
    <w:rsid w:val="00C1070A"/>
    <w:rsid w:val="00C10B40"/>
    <w:rsid w:val="00C10BC4"/>
    <w:rsid w:val="00C10C7A"/>
    <w:rsid w:val="00C11048"/>
    <w:rsid w:val="00C110A2"/>
    <w:rsid w:val="00C11258"/>
    <w:rsid w:val="00C11507"/>
    <w:rsid w:val="00C11559"/>
    <w:rsid w:val="00C11569"/>
    <w:rsid w:val="00C115ED"/>
    <w:rsid w:val="00C1163B"/>
    <w:rsid w:val="00C1183E"/>
    <w:rsid w:val="00C11A45"/>
    <w:rsid w:val="00C11AB1"/>
    <w:rsid w:val="00C11B9A"/>
    <w:rsid w:val="00C11C9F"/>
    <w:rsid w:val="00C11EA8"/>
    <w:rsid w:val="00C1212F"/>
    <w:rsid w:val="00C12143"/>
    <w:rsid w:val="00C12276"/>
    <w:rsid w:val="00C12339"/>
    <w:rsid w:val="00C1233F"/>
    <w:rsid w:val="00C124A5"/>
    <w:rsid w:val="00C124D5"/>
    <w:rsid w:val="00C12537"/>
    <w:rsid w:val="00C127B7"/>
    <w:rsid w:val="00C1293E"/>
    <w:rsid w:val="00C12F28"/>
    <w:rsid w:val="00C131BD"/>
    <w:rsid w:val="00C132BE"/>
    <w:rsid w:val="00C136A0"/>
    <w:rsid w:val="00C13D7E"/>
    <w:rsid w:val="00C14536"/>
    <w:rsid w:val="00C1461B"/>
    <w:rsid w:val="00C14646"/>
    <w:rsid w:val="00C1472A"/>
    <w:rsid w:val="00C14845"/>
    <w:rsid w:val="00C1490F"/>
    <w:rsid w:val="00C14994"/>
    <w:rsid w:val="00C14AE9"/>
    <w:rsid w:val="00C14DC5"/>
    <w:rsid w:val="00C151B6"/>
    <w:rsid w:val="00C1565F"/>
    <w:rsid w:val="00C156E7"/>
    <w:rsid w:val="00C15AAD"/>
    <w:rsid w:val="00C15B3C"/>
    <w:rsid w:val="00C15B5A"/>
    <w:rsid w:val="00C15C8E"/>
    <w:rsid w:val="00C15F54"/>
    <w:rsid w:val="00C15FA5"/>
    <w:rsid w:val="00C16024"/>
    <w:rsid w:val="00C162ED"/>
    <w:rsid w:val="00C16310"/>
    <w:rsid w:val="00C1632C"/>
    <w:rsid w:val="00C163B0"/>
    <w:rsid w:val="00C16512"/>
    <w:rsid w:val="00C1658A"/>
    <w:rsid w:val="00C169B8"/>
    <w:rsid w:val="00C16A83"/>
    <w:rsid w:val="00C16AD6"/>
    <w:rsid w:val="00C16B5F"/>
    <w:rsid w:val="00C16C33"/>
    <w:rsid w:val="00C16D4D"/>
    <w:rsid w:val="00C16D81"/>
    <w:rsid w:val="00C16FA5"/>
    <w:rsid w:val="00C16FF0"/>
    <w:rsid w:val="00C170B0"/>
    <w:rsid w:val="00C1737A"/>
    <w:rsid w:val="00C17476"/>
    <w:rsid w:val="00C1758D"/>
    <w:rsid w:val="00C17884"/>
    <w:rsid w:val="00C17A4A"/>
    <w:rsid w:val="00C17D3B"/>
    <w:rsid w:val="00C17F38"/>
    <w:rsid w:val="00C17F6E"/>
    <w:rsid w:val="00C17FAE"/>
    <w:rsid w:val="00C17FC8"/>
    <w:rsid w:val="00C17FDE"/>
    <w:rsid w:val="00C20323"/>
    <w:rsid w:val="00C20472"/>
    <w:rsid w:val="00C20495"/>
    <w:rsid w:val="00C20545"/>
    <w:rsid w:val="00C206D7"/>
    <w:rsid w:val="00C20949"/>
    <w:rsid w:val="00C20B98"/>
    <w:rsid w:val="00C20BFC"/>
    <w:rsid w:val="00C20CFB"/>
    <w:rsid w:val="00C20D97"/>
    <w:rsid w:val="00C20F83"/>
    <w:rsid w:val="00C21170"/>
    <w:rsid w:val="00C212A9"/>
    <w:rsid w:val="00C2139E"/>
    <w:rsid w:val="00C21580"/>
    <w:rsid w:val="00C21601"/>
    <w:rsid w:val="00C216FE"/>
    <w:rsid w:val="00C21711"/>
    <w:rsid w:val="00C2172D"/>
    <w:rsid w:val="00C21900"/>
    <w:rsid w:val="00C21997"/>
    <w:rsid w:val="00C21A7C"/>
    <w:rsid w:val="00C21B67"/>
    <w:rsid w:val="00C21C69"/>
    <w:rsid w:val="00C21D68"/>
    <w:rsid w:val="00C21E71"/>
    <w:rsid w:val="00C21F74"/>
    <w:rsid w:val="00C221FA"/>
    <w:rsid w:val="00C22488"/>
    <w:rsid w:val="00C224B8"/>
    <w:rsid w:val="00C224E7"/>
    <w:rsid w:val="00C22522"/>
    <w:rsid w:val="00C2255C"/>
    <w:rsid w:val="00C22572"/>
    <w:rsid w:val="00C22755"/>
    <w:rsid w:val="00C22B72"/>
    <w:rsid w:val="00C22D1A"/>
    <w:rsid w:val="00C2300E"/>
    <w:rsid w:val="00C230AC"/>
    <w:rsid w:val="00C23564"/>
    <w:rsid w:val="00C23937"/>
    <w:rsid w:val="00C239BC"/>
    <w:rsid w:val="00C23B67"/>
    <w:rsid w:val="00C23CBC"/>
    <w:rsid w:val="00C23D87"/>
    <w:rsid w:val="00C23DA1"/>
    <w:rsid w:val="00C23DA7"/>
    <w:rsid w:val="00C23E98"/>
    <w:rsid w:val="00C240C6"/>
    <w:rsid w:val="00C240E6"/>
    <w:rsid w:val="00C24209"/>
    <w:rsid w:val="00C242D6"/>
    <w:rsid w:val="00C24312"/>
    <w:rsid w:val="00C2457F"/>
    <w:rsid w:val="00C248BB"/>
    <w:rsid w:val="00C248BF"/>
    <w:rsid w:val="00C24936"/>
    <w:rsid w:val="00C24A3D"/>
    <w:rsid w:val="00C24DF7"/>
    <w:rsid w:val="00C24E08"/>
    <w:rsid w:val="00C251AE"/>
    <w:rsid w:val="00C25412"/>
    <w:rsid w:val="00C254A0"/>
    <w:rsid w:val="00C2552C"/>
    <w:rsid w:val="00C2594E"/>
    <w:rsid w:val="00C25B53"/>
    <w:rsid w:val="00C25E77"/>
    <w:rsid w:val="00C25F80"/>
    <w:rsid w:val="00C260AD"/>
    <w:rsid w:val="00C2626F"/>
    <w:rsid w:val="00C26404"/>
    <w:rsid w:val="00C2640F"/>
    <w:rsid w:val="00C264DD"/>
    <w:rsid w:val="00C26A62"/>
    <w:rsid w:val="00C26E93"/>
    <w:rsid w:val="00C270D8"/>
    <w:rsid w:val="00C2711F"/>
    <w:rsid w:val="00C27407"/>
    <w:rsid w:val="00C27487"/>
    <w:rsid w:val="00C27579"/>
    <w:rsid w:val="00C27899"/>
    <w:rsid w:val="00C2795B"/>
    <w:rsid w:val="00C27A1A"/>
    <w:rsid w:val="00C27BC5"/>
    <w:rsid w:val="00C27DBF"/>
    <w:rsid w:val="00C27FAB"/>
    <w:rsid w:val="00C3003D"/>
    <w:rsid w:val="00C3011A"/>
    <w:rsid w:val="00C30120"/>
    <w:rsid w:val="00C301E5"/>
    <w:rsid w:val="00C30297"/>
    <w:rsid w:val="00C30338"/>
    <w:rsid w:val="00C304CC"/>
    <w:rsid w:val="00C307E0"/>
    <w:rsid w:val="00C30955"/>
    <w:rsid w:val="00C309C1"/>
    <w:rsid w:val="00C30A61"/>
    <w:rsid w:val="00C30CA6"/>
    <w:rsid w:val="00C30D20"/>
    <w:rsid w:val="00C30DB0"/>
    <w:rsid w:val="00C30DB9"/>
    <w:rsid w:val="00C30DD3"/>
    <w:rsid w:val="00C31046"/>
    <w:rsid w:val="00C3121E"/>
    <w:rsid w:val="00C313C7"/>
    <w:rsid w:val="00C315BB"/>
    <w:rsid w:val="00C316DE"/>
    <w:rsid w:val="00C31B1B"/>
    <w:rsid w:val="00C31C1A"/>
    <w:rsid w:val="00C31D0A"/>
    <w:rsid w:val="00C31D44"/>
    <w:rsid w:val="00C32009"/>
    <w:rsid w:val="00C3225C"/>
    <w:rsid w:val="00C3240B"/>
    <w:rsid w:val="00C324E0"/>
    <w:rsid w:val="00C32540"/>
    <w:rsid w:val="00C326EA"/>
    <w:rsid w:val="00C3272A"/>
    <w:rsid w:val="00C327EB"/>
    <w:rsid w:val="00C328E4"/>
    <w:rsid w:val="00C32923"/>
    <w:rsid w:val="00C32934"/>
    <w:rsid w:val="00C32CBE"/>
    <w:rsid w:val="00C3301C"/>
    <w:rsid w:val="00C331CD"/>
    <w:rsid w:val="00C3322D"/>
    <w:rsid w:val="00C332CE"/>
    <w:rsid w:val="00C333A0"/>
    <w:rsid w:val="00C33611"/>
    <w:rsid w:val="00C336B1"/>
    <w:rsid w:val="00C33A30"/>
    <w:rsid w:val="00C33C6D"/>
    <w:rsid w:val="00C33D3B"/>
    <w:rsid w:val="00C33E0A"/>
    <w:rsid w:val="00C33EF9"/>
    <w:rsid w:val="00C33F33"/>
    <w:rsid w:val="00C33FD7"/>
    <w:rsid w:val="00C34092"/>
    <w:rsid w:val="00C3424B"/>
    <w:rsid w:val="00C3481B"/>
    <w:rsid w:val="00C3484A"/>
    <w:rsid w:val="00C34BA5"/>
    <w:rsid w:val="00C34CA7"/>
    <w:rsid w:val="00C34F04"/>
    <w:rsid w:val="00C34F31"/>
    <w:rsid w:val="00C34F3C"/>
    <w:rsid w:val="00C350B2"/>
    <w:rsid w:val="00C352A6"/>
    <w:rsid w:val="00C35309"/>
    <w:rsid w:val="00C3539F"/>
    <w:rsid w:val="00C353F3"/>
    <w:rsid w:val="00C354BC"/>
    <w:rsid w:val="00C3552C"/>
    <w:rsid w:val="00C355D4"/>
    <w:rsid w:val="00C3565D"/>
    <w:rsid w:val="00C3594C"/>
    <w:rsid w:val="00C359C4"/>
    <w:rsid w:val="00C35AC2"/>
    <w:rsid w:val="00C35AF6"/>
    <w:rsid w:val="00C35CD2"/>
    <w:rsid w:val="00C35D5B"/>
    <w:rsid w:val="00C35D68"/>
    <w:rsid w:val="00C35E22"/>
    <w:rsid w:val="00C35EE2"/>
    <w:rsid w:val="00C35FF9"/>
    <w:rsid w:val="00C36305"/>
    <w:rsid w:val="00C3672B"/>
    <w:rsid w:val="00C36816"/>
    <w:rsid w:val="00C368A9"/>
    <w:rsid w:val="00C36BF1"/>
    <w:rsid w:val="00C36C30"/>
    <w:rsid w:val="00C36C64"/>
    <w:rsid w:val="00C3724B"/>
    <w:rsid w:val="00C3728D"/>
    <w:rsid w:val="00C3746E"/>
    <w:rsid w:val="00C375B9"/>
    <w:rsid w:val="00C3782E"/>
    <w:rsid w:val="00C3792A"/>
    <w:rsid w:val="00C37CA6"/>
    <w:rsid w:val="00C37D2B"/>
    <w:rsid w:val="00C37D34"/>
    <w:rsid w:val="00C4025A"/>
    <w:rsid w:val="00C402ED"/>
    <w:rsid w:val="00C409FD"/>
    <w:rsid w:val="00C40FAE"/>
    <w:rsid w:val="00C41022"/>
    <w:rsid w:val="00C410FF"/>
    <w:rsid w:val="00C411ED"/>
    <w:rsid w:val="00C411F8"/>
    <w:rsid w:val="00C41325"/>
    <w:rsid w:val="00C41374"/>
    <w:rsid w:val="00C415FB"/>
    <w:rsid w:val="00C4172E"/>
    <w:rsid w:val="00C417C3"/>
    <w:rsid w:val="00C41960"/>
    <w:rsid w:val="00C41ACF"/>
    <w:rsid w:val="00C41B81"/>
    <w:rsid w:val="00C41DDC"/>
    <w:rsid w:val="00C41F2B"/>
    <w:rsid w:val="00C4203D"/>
    <w:rsid w:val="00C42221"/>
    <w:rsid w:val="00C422D4"/>
    <w:rsid w:val="00C422DE"/>
    <w:rsid w:val="00C4252D"/>
    <w:rsid w:val="00C4281E"/>
    <w:rsid w:val="00C42891"/>
    <w:rsid w:val="00C42B00"/>
    <w:rsid w:val="00C42BA6"/>
    <w:rsid w:val="00C42D25"/>
    <w:rsid w:val="00C42D32"/>
    <w:rsid w:val="00C42D39"/>
    <w:rsid w:val="00C42DF3"/>
    <w:rsid w:val="00C4310A"/>
    <w:rsid w:val="00C431E8"/>
    <w:rsid w:val="00C43206"/>
    <w:rsid w:val="00C436C4"/>
    <w:rsid w:val="00C43892"/>
    <w:rsid w:val="00C43893"/>
    <w:rsid w:val="00C4391E"/>
    <w:rsid w:val="00C439BE"/>
    <w:rsid w:val="00C43AF9"/>
    <w:rsid w:val="00C43B3F"/>
    <w:rsid w:val="00C43B9B"/>
    <w:rsid w:val="00C43F9A"/>
    <w:rsid w:val="00C44008"/>
    <w:rsid w:val="00C442A6"/>
    <w:rsid w:val="00C44363"/>
    <w:rsid w:val="00C443C7"/>
    <w:rsid w:val="00C443F7"/>
    <w:rsid w:val="00C4468C"/>
    <w:rsid w:val="00C446B4"/>
    <w:rsid w:val="00C447A1"/>
    <w:rsid w:val="00C447AB"/>
    <w:rsid w:val="00C448BC"/>
    <w:rsid w:val="00C4495E"/>
    <w:rsid w:val="00C44BFF"/>
    <w:rsid w:val="00C44E75"/>
    <w:rsid w:val="00C44EBC"/>
    <w:rsid w:val="00C44FA7"/>
    <w:rsid w:val="00C451C2"/>
    <w:rsid w:val="00C4520A"/>
    <w:rsid w:val="00C4529E"/>
    <w:rsid w:val="00C45351"/>
    <w:rsid w:val="00C453E3"/>
    <w:rsid w:val="00C45425"/>
    <w:rsid w:val="00C45439"/>
    <w:rsid w:val="00C45533"/>
    <w:rsid w:val="00C4554C"/>
    <w:rsid w:val="00C45C41"/>
    <w:rsid w:val="00C45DC3"/>
    <w:rsid w:val="00C45F6A"/>
    <w:rsid w:val="00C461D4"/>
    <w:rsid w:val="00C462BD"/>
    <w:rsid w:val="00C4630E"/>
    <w:rsid w:val="00C464C1"/>
    <w:rsid w:val="00C464F0"/>
    <w:rsid w:val="00C466AA"/>
    <w:rsid w:val="00C4685F"/>
    <w:rsid w:val="00C4688B"/>
    <w:rsid w:val="00C46A58"/>
    <w:rsid w:val="00C46D7B"/>
    <w:rsid w:val="00C46F0B"/>
    <w:rsid w:val="00C47023"/>
    <w:rsid w:val="00C470DE"/>
    <w:rsid w:val="00C47158"/>
    <w:rsid w:val="00C47194"/>
    <w:rsid w:val="00C475EA"/>
    <w:rsid w:val="00C475EE"/>
    <w:rsid w:val="00C47CB7"/>
    <w:rsid w:val="00C47CC5"/>
    <w:rsid w:val="00C50416"/>
    <w:rsid w:val="00C50444"/>
    <w:rsid w:val="00C50550"/>
    <w:rsid w:val="00C50675"/>
    <w:rsid w:val="00C5072B"/>
    <w:rsid w:val="00C507CF"/>
    <w:rsid w:val="00C50C6F"/>
    <w:rsid w:val="00C50CE1"/>
    <w:rsid w:val="00C50EA0"/>
    <w:rsid w:val="00C50F38"/>
    <w:rsid w:val="00C514CD"/>
    <w:rsid w:val="00C51880"/>
    <w:rsid w:val="00C518BB"/>
    <w:rsid w:val="00C52040"/>
    <w:rsid w:val="00C52167"/>
    <w:rsid w:val="00C522B1"/>
    <w:rsid w:val="00C5233C"/>
    <w:rsid w:val="00C5235D"/>
    <w:rsid w:val="00C52474"/>
    <w:rsid w:val="00C52589"/>
    <w:rsid w:val="00C52798"/>
    <w:rsid w:val="00C528DE"/>
    <w:rsid w:val="00C52A19"/>
    <w:rsid w:val="00C52A6C"/>
    <w:rsid w:val="00C52D85"/>
    <w:rsid w:val="00C531DC"/>
    <w:rsid w:val="00C5357E"/>
    <w:rsid w:val="00C53CBB"/>
    <w:rsid w:val="00C53D7B"/>
    <w:rsid w:val="00C53E89"/>
    <w:rsid w:val="00C53F72"/>
    <w:rsid w:val="00C5413F"/>
    <w:rsid w:val="00C5432C"/>
    <w:rsid w:val="00C5474C"/>
    <w:rsid w:val="00C547E5"/>
    <w:rsid w:val="00C54808"/>
    <w:rsid w:val="00C548BA"/>
    <w:rsid w:val="00C5494B"/>
    <w:rsid w:val="00C54994"/>
    <w:rsid w:val="00C54D54"/>
    <w:rsid w:val="00C54E1F"/>
    <w:rsid w:val="00C54E4E"/>
    <w:rsid w:val="00C54F9F"/>
    <w:rsid w:val="00C54FE2"/>
    <w:rsid w:val="00C55113"/>
    <w:rsid w:val="00C55472"/>
    <w:rsid w:val="00C55491"/>
    <w:rsid w:val="00C554A7"/>
    <w:rsid w:val="00C55575"/>
    <w:rsid w:val="00C559D4"/>
    <w:rsid w:val="00C55A09"/>
    <w:rsid w:val="00C55AD9"/>
    <w:rsid w:val="00C55BDC"/>
    <w:rsid w:val="00C55BF2"/>
    <w:rsid w:val="00C55C03"/>
    <w:rsid w:val="00C55C4B"/>
    <w:rsid w:val="00C55C53"/>
    <w:rsid w:val="00C55E08"/>
    <w:rsid w:val="00C55E8F"/>
    <w:rsid w:val="00C55FCA"/>
    <w:rsid w:val="00C56092"/>
    <w:rsid w:val="00C563BF"/>
    <w:rsid w:val="00C5643D"/>
    <w:rsid w:val="00C5662A"/>
    <w:rsid w:val="00C567EB"/>
    <w:rsid w:val="00C56868"/>
    <w:rsid w:val="00C56A6C"/>
    <w:rsid w:val="00C56BC7"/>
    <w:rsid w:val="00C5729D"/>
    <w:rsid w:val="00C574C6"/>
    <w:rsid w:val="00C574EC"/>
    <w:rsid w:val="00C5761F"/>
    <w:rsid w:val="00C57ABF"/>
    <w:rsid w:val="00C57C65"/>
    <w:rsid w:val="00C57D12"/>
    <w:rsid w:val="00C57D2B"/>
    <w:rsid w:val="00C6022B"/>
    <w:rsid w:val="00C602DB"/>
    <w:rsid w:val="00C603FA"/>
    <w:rsid w:val="00C60613"/>
    <w:rsid w:val="00C60641"/>
    <w:rsid w:val="00C6071F"/>
    <w:rsid w:val="00C6081A"/>
    <w:rsid w:val="00C60824"/>
    <w:rsid w:val="00C60977"/>
    <w:rsid w:val="00C60F68"/>
    <w:rsid w:val="00C61036"/>
    <w:rsid w:val="00C6103E"/>
    <w:rsid w:val="00C610CF"/>
    <w:rsid w:val="00C6141A"/>
    <w:rsid w:val="00C615FE"/>
    <w:rsid w:val="00C61609"/>
    <w:rsid w:val="00C6164E"/>
    <w:rsid w:val="00C6168F"/>
    <w:rsid w:val="00C61C4B"/>
    <w:rsid w:val="00C61CD5"/>
    <w:rsid w:val="00C62017"/>
    <w:rsid w:val="00C6209C"/>
    <w:rsid w:val="00C620AD"/>
    <w:rsid w:val="00C62162"/>
    <w:rsid w:val="00C6228A"/>
    <w:rsid w:val="00C62397"/>
    <w:rsid w:val="00C62650"/>
    <w:rsid w:val="00C62B22"/>
    <w:rsid w:val="00C62DA3"/>
    <w:rsid w:val="00C63021"/>
    <w:rsid w:val="00C63218"/>
    <w:rsid w:val="00C634F9"/>
    <w:rsid w:val="00C63619"/>
    <w:rsid w:val="00C63827"/>
    <w:rsid w:val="00C6388D"/>
    <w:rsid w:val="00C63942"/>
    <w:rsid w:val="00C63990"/>
    <w:rsid w:val="00C63A74"/>
    <w:rsid w:val="00C63BF1"/>
    <w:rsid w:val="00C63C98"/>
    <w:rsid w:val="00C63D26"/>
    <w:rsid w:val="00C63D70"/>
    <w:rsid w:val="00C63FBF"/>
    <w:rsid w:val="00C64005"/>
    <w:rsid w:val="00C6404D"/>
    <w:rsid w:val="00C64251"/>
    <w:rsid w:val="00C64489"/>
    <w:rsid w:val="00C644B0"/>
    <w:rsid w:val="00C64570"/>
    <w:rsid w:val="00C646F1"/>
    <w:rsid w:val="00C6479C"/>
    <w:rsid w:val="00C6489C"/>
    <w:rsid w:val="00C64982"/>
    <w:rsid w:val="00C64A1B"/>
    <w:rsid w:val="00C64A34"/>
    <w:rsid w:val="00C64FC4"/>
    <w:rsid w:val="00C65107"/>
    <w:rsid w:val="00C65255"/>
    <w:rsid w:val="00C653E0"/>
    <w:rsid w:val="00C653E3"/>
    <w:rsid w:val="00C6564A"/>
    <w:rsid w:val="00C65684"/>
    <w:rsid w:val="00C65A23"/>
    <w:rsid w:val="00C65C15"/>
    <w:rsid w:val="00C65F17"/>
    <w:rsid w:val="00C65F54"/>
    <w:rsid w:val="00C6607F"/>
    <w:rsid w:val="00C66277"/>
    <w:rsid w:val="00C663AB"/>
    <w:rsid w:val="00C6641C"/>
    <w:rsid w:val="00C66526"/>
    <w:rsid w:val="00C6669D"/>
    <w:rsid w:val="00C667C8"/>
    <w:rsid w:val="00C66A53"/>
    <w:rsid w:val="00C66B39"/>
    <w:rsid w:val="00C66C30"/>
    <w:rsid w:val="00C66E9F"/>
    <w:rsid w:val="00C67165"/>
    <w:rsid w:val="00C67192"/>
    <w:rsid w:val="00C6734E"/>
    <w:rsid w:val="00C675F4"/>
    <w:rsid w:val="00C6779D"/>
    <w:rsid w:val="00C67842"/>
    <w:rsid w:val="00C67915"/>
    <w:rsid w:val="00C67C77"/>
    <w:rsid w:val="00C67CC1"/>
    <w:rsid w:val="00C67CE8"/>
    <w:rsid w:val="00C67E1C"/>
    <w:rsid w:val="00C70372"/>
    <w:rsid w:val="00C70415"/>
    <w:rsid w:val="00C70676"/>
    <w:rsid w:val="00C706CE"/>
    <w:rsid w:val="00C708A0"/>
    <w:rsid w:val="00C7091D"/>
    <w:rsid w:val="00C70A63"/>
    <w:rsid w:val="00C70C51"/>
    <w:rsid w:val="00C70CF8"/>
    <w:rsid w:val="00C70CFB"/>
    <w:rsid w:val="00C71567"/>
    <w:rsid w:val="00C715B3"/>
    <w:rsid w:val="00C715C6"/>
    <w:rsid w:val="00C71904"/>
    <w:rsid w:val="00C71AC7"/>
    <w:rsid w:val="00C71B65"/>
    <w:rsid w:val="00C71BBF"/>
    <w:rsid w:val="00C71BEB"/>
    <w:rsid w:val="00C71C2F"/>
    <w:rsid w:val="00C71D33"/>
    <w:rsid w:val="00C71D54"/>
    <w:rsid w:val="00C72049"/>
    <w:rsid w:val="00C72194"/>
    <w:rsid w:val="00C721FC"/>
    <w:rsid w:val="00C7225C"/>
    <w:rsid w:val="00C722EE"/>
    <w:rsid w:val="00C727FB"/>
    <w:rsid w:val="00C7287E"/>
    <w:rsid w:val="00C72924"/>
    <w:rsid w:val="00C729EF"/>
    <w:rsid w:val="00C72A3E"/>
    <w:rsid w:val="00C72C15"/>
    <w:rsid w:val="00C72C33"/>
    <w:rsid w:val="00C72D27"/>
    <w:rsid w:val="00C72DDF"/>
    <w:rsid w:val="00C72E4A"/>
    <w:rsid w:val="00C72EC1"/>
    <w:rsid w:val="00C72EF5"/>
    <w:rsid w:val="00C72FCD"/>
    <w:rsid w:val="00C7308B"/>
    <w:rsid w:val="00C73234"/>
    <w:rsid w:val="00C732E8"/>
    <w:rsid w:val="00C734E0"/>
    <w:rsid w:val="00C73535"/>
    <w:rsid w:val="00C7359F"/>
    <w:rsid w:val="00C7377F"/>
    <w:rsid w:val="00C73936"/>
    <w:rsid w:val="00C73963"/>
    <w:rsid w:val="00C741B0"/>
    <w:rsid w:val="00C741D0"/>
    <w:rsid w:val="00C74278"/>
    <w:rsid w:val="00C742C4"/>
    <w:rsid w:val="00C74446"/>
    <w:rsid w:val="00C745BD"/>
    <w:rsid w:val="00C746AE"/>
    <w:rsid w:val="00C747CF"/>
    <w:rsid w:val="00C7482D"/>
    <w:rsid w:val="00C74878"/>
    <w:rsid w:val="00C74A64"/>
    <w:rsid w:val="00C74A6F"/>
    <w:rsid w:val="00C74ADC"/>
    <w:rsid w:val="00C74B62"/>
    <w:rsid w:val="00C75087"/>
    <w:rsid w:val="00C750ED"/>
    <w:rsid w:val="00C752AB"/>
    <w:rsid w:val="00C752F2"/>
    <w:rsid w:val="00C7546A"/>
    <w:rsid w:val="00C75747"/>
    <w:rsid w:val="00C75831"/>
    <w:rsid w:val="00C75B22"/>
    <w:rsid w:val="00C75C81"/>
    <w:rsid w:val="00C75EB7"/>
    <w:rsid w:val="00C75F2D"/>
    <w:rsid w:val="00C75F8F"/>
    <w:rsid w:val="00C75FA0"/>
    <w:rsid w:val="00C760A2"/>
    <w:rsid w:val="00C760D0"/>
    <w:rsid w:val="00C76192"/>
    <w:rsid w:val="00C7621C"/>
    <w:rsid w:val="00C76548"/>
    <w:rsid w:val="00C76550"/>
    <w:rsid w:val="00C76904"/>
    <w:rsid w:val="00C76A99"/>
    <w:rsid w:val="00C76BF4"/>
    <w:rsid w:val="00C76CB8"/>
    <w:rsid w:val="00C76CBF"/>
    <w:rsid w:val="00C76FCF"/>
    <w:rsid w:val="00C77074"/>
    <w:rsid w:val="00C77274"/>
    <w:rsid w:val="00C772AB"/>
    <w:rsid w:val="00C77547"/>
    <w:rsid w:val="00C77703"/>
    <w:rsid w:val="00C7779D"/>
    <w:rsid w:val="00C77844"/>
    <w:rsid w:val="00C7796C"/>
    <w:rsid w:val="00C77A8B"/>
    <w:rsid w:val="00C77A9C"/>
    <w:rsid w:val="00C77CC7"/>
    <w:rsid w:val="00C77F3B"/>
    <w:rsid w:val="00C77FC5"/>
    <w:rsid w:val="00C77FFA"/>
    <w:rsid w:val="00C801E9"/>
    <w:rsid w:val="00C80264"/>
    <w:rsid w:val="00C8028D"/>
    <w:rsid w:val="00C8031D"/>
    <w:rsid w:val="00C803D1"/>
    <w:rsid w:val="00C8059C"/>
    <w:rsid w:val="00C805A5"/>
    <w:rsid w:val="00C8063E"/>
    <w:rsid w:val="00C8078D"/>
    <w:rsid w:val="00C80B27"/>
    <w:rsid w:val="00C80BB3"/>
    <w:rsid w:val="00C80CAB"/>
    <w:rsid w:val="00C80CFF"/>
    <w:rsid w:val="00C80DD1"/>
    <w:rsid w:val="00C81489"/>
    <w:rsid w:val="00C8149F"/>
    <w:rsid w:val="00C816FA"/>
    <w:rsid w:val="00C81744"/>
    <w:rsid w:val="00C81842"/>
    <w:rsid w:val="00C81847"/>
    <w:rsid w:val="00C819AA"/>
    <w:rsid w:val="00C81F42"/>
    <w:rsid w:val="00C81F5C"/>
    <w:rsid w:val="00C81FED"/>
    <w:rsid w:val="00C82236"/>
    <w:rsid w:val="00C822EA"/>
    <w:rsid w:val="00C823F3"/>
    <w:rsid w:val="00C82540"/>
    <w:rsid w:val="00C82786"/>
    <w:rsid w:val="00C827E9"/>
    <w:rsid w:val="00C8288C"/>
    <w:rsid w:val="00C829AC"/>
    <w:rsid w:val="00C82A8B"/>
    <w:rsid w:val="00C82AA7"/>
    <w:rsid w:val="00C82D5A"/>
    <w:rsid w:val="00C831B1"/>
    <w:rsid w:val="00C831D4"/>
    <w:rsid w:val="00C83357"/>
    <w:rsid w:val="00C8335B"/>
    <w:rsid w:val="00C83699"/>
    <w:rsid w:val="00C8379E"/>
    <w:rsid w:val="00C838BC"/>
    <w:rsid w:val="00C838FB"/>
    <w:rsid w:val="00C83B81"/>
    <w:rsid w:val="00C83C5A"/>
    <w:rsid w:val="00C83D54"/>
    <w:rsid w:val="00C83F1E"/>
    <w:rsid w:val="00C84395"/>
    <w:rsid w:val="00C843D1"/>
    <w:rsid w:val="00C84483"/>
    <w:rsid w:val="00C84505"/>
    <w:rsid w:val="00C84567"/>
    <w:rsid w:val="00C848DB"/>
    <w:rsid w:val="00C84967"/>
    <w:rsid w:val="00C84C71"/>
    <w:rsid w:val="00C84EB1"/>
    <w:rsid w:val="00C85314"/>
    <w:rsid w:val="00C85351"/>
    <w:rsid w:val="00C8564F"/>
    <w:rsid w:val="00C8569F"/>
    <w:rsid w:val="00C85A35"/>
    <w:rsid w:val="00C85A74"/>
    <w:rsid w:val="00C85B8F"/>
    <w:rsid w:val="00C85D44"/>
    <w:rsid w:val="00C862A0"/>
    <w:rsid w:val="00C862AE"/>
    <w:rsid w:val="00C863A4"/>
    <w:rsid w:val="00C863BA"/>
    <w:rsid w:val="00C86440"/>
    <w:rsid w:val="00C86577"/>
    <w:rsid w:val="00C865CB"/>
    <w:rsid w:val="00C86768"/>
    <w:rsid w:val="00C86A07"/>
    <w:rsid w:val="00C86A4D"/>
    <w:rsid w:val="00C86AFE"/>
    <w:rsid w:val="00C86C40"/>
    <w:rsid w:val="00C86E2B"/>
    <w:rsid w:val="00C8713C"/>
    <w:rsid w:val="00C8738A"/>
    <w:rsid w:val="00C8746E"/>
    <w:rsid w:val="00C875B2"/>
    <w:rsid w:val="00C875F3"/>
    <w:rsid w:val="00C8764B"/>
    <w:rsid w:val="00C877D7"/>
    <w:rsid w:val="00C8791A"/>
    <w:rsid w:val="00C87AA4"/>
    <w:rsid w:val="00C87AFD"/>
    <w:rsid w:val="00C87BBF"/>
    <w:rsid w:val="00C902AE"/>
    <w:rsid w:val="00C90451"/>
    <w:rsid w:val="00C90598"/>
    <w:rsid w:val="00C908D4"/>
    <w:rsid w:val="00C90ABA"/>
    <w:rsid w:val="00C90C62"/>
    <w:rsid w:val="00C90D03"/>
    <w:rsid w:val="00C90E65"/>
    <w:rsid w:val="00C90EE4"/>
    <w:rsid w:val="00C90FEB"/>
    <w:rsid w:val="00C91047"/>
    <w:rsid w:val="00C91061"/>
    <w:rsid w:val="00C910B5"/>
    <w:rsid w:val="00C9144A"/>
    <w:rsid w:val="00C9171B"/>
    <w:rsid w:val="00C91AA4"/>
    <w:rsid w:val="00C91B97"/>
    <w:rsid w:val="00C91B9D"/>
    <w:rsid w:val="00C91CA9"/>
    <w:rsid w:val="00C91D80"/>
    <w:rsid w:val="00C91E67"/>
    <w:rsid w:val="00C92048"/>
    <w:rsid w:val="00C922A8"/>
    <w:rsid w:val="00C92355"/>
    <w:rsid w:val="00C927EF"/>
    <w:rsid w:val="00C92A15"/>
    <w:rsid w:val="00C92ADD"/>
    <w:rsid w:val="00C92B16"/>
    <w:rsid w:val="00C92E21"/>
    <w:rsid w:val="00C930C3"/>
    <w:rsid w:val="00C932A3"/>
    <w:rsid w:val="00C93379"/>
    <w:rsid w:val="00C939C7"/>
    <w:rsid w:val="00C939EA"/>
    <w:rsid w:val="00C93A08"/>
    <w:rsid w:val="00C93D79"/>
    <w:rsid w:val="00C93DA3"/>
    <w:rsid w:val="00C93DB7"/>
    <w:rsid w:val="00C93F00"/>
    <w:rsid w:val="00C93F01"/>
    <w:rsid w:val="00C94016"/>
    <w:rsid w:val="00C94095"/>
    <w:rsid w:val="00C94280"/>
    <w:rsid w:val="00C9430E"/>
    <w:rsid w:val="00C9447A"/>
    <w:rsid w:val="00C94733"/>
    <w:rsid w:val="00C947C0"/>
    <w:rsid w:val="00C94B35"/>
    <w:rsid w:val="00C94D00"/>
    <w:rsid w:val="00C94EA8"/>
    <w:rsid w:val="00C950D5"/>
    <w:rsid w:val="00C9529C"/>
    <w:rsid w:val="00C9545A"/>
    <w:rsid w:val="00C955DE"/>
    <w:rsid w:val="00C9560D"/>
    <w:rsid w:val="00C9562E"/>
    <w:rsid w:val="00C95697"/>
    <w:rsid w:val="00C956F2"/>
    <w:rsid w:val="00C95AB1"/>
    <w:rsid w:val="00C95DAB"/>
    <w:rsid w:val="00C95E0A"/>
    <w:rsid w:val="00C96052"/>
    <w:rsid w:val="00C960CF"/>
    <w:rsid w:val="00C96297"/>
    <w:rsid w:val="00C962CF"/>
    <w:rsid w:val="00C96354"/>
    <w:rsid w:val="00C965D5"/>
    <w:rsid w:val="00C96784"/>
    <w:rsid w:val="00C967BC"/>
    <w:rsid w:val="00C9683E"/>
    <w:rsid w:val="00C96963"/>
    <w:rsid w:val="00C96988"/>
    <w:rsid w:val="00C96DE9"/>
    <w:rsid w:val="00C96E5C"/>
    <w:rsid w:val="00C96EA1"/>
    <w:rsid w:val="00C970E8"/>
    <w:rsid w:val="00C97138"/>
    <w:rsid w:val="00C971C6"/>
    <w:rsid w:val="00C972CB"/>
    <w:rsid w:val="00C97625"/>
    <w:rsid w:val="00C97767"/>
    <w:rsid w:val="00C97889"/>
    <w:rsid w:val="00C97BDA"/>
    <w:rsid w:val="00C97C23"/>
    <w:rsid w:val="00C97C9A"/>
    <w:rsid w:val="00C97CC2"/>
    <w:rsid w:val="00C97D66"/>
    <w:rsid w:val="00C97F35"/>
    <w:rsid w:val="00CA0027"/>
    <w:rsid w:val="00CA0138"/>
    <w:rsid w:val="00CA021D"/>
    <w:rsid w:val="00CA0544"/>
    <w:rsid w:val="00CA05FC"/>
    <w:rsid w:val="00CA090B"/>
    <w:rsid w:val="00CA0D1E"/>
    <w:rsid w:val="00CA107A"/>
    <w:rsid w:val="00CA11EB"/>
    <w:rsid w:val="00CA1443"/>
    <w:rsid w:val="00CA18D7"/>
    <w:rsid w:val="00CA1AD2"/>
    <w:rsid w:val="00CA1BAA"/>
    <w:rsid w:val="00CA1BCF"/>
    <w:rsid w:val="00CA1C25"/>
    <w:rsid w:val="00CA1FF6"/>
    <w:rsid w:val="00CA20CB"/>
    <w:rsid w:val="00CA222D"/>
    <w:rsid w:val="00CA22BC"/>
    <w:rsid w:val="00CA23F7"/>
    <w:rsid w:val="00CA251D"/>
    <w:rsid w:val="00CA2529"/>
    <w:rsid w:val="00CA2686"/>
    <w:rsid w:val="00CA2CC7"/>
    <w:rsid w:val="00CA2EF9"/>
    <w:rsid w:val="00CA308F"/>
    <w:rsid w:val="00CA3138"/>
    <w:rsid w:val="00CA3229"/>
    <w:rsid w:val="00CA32E4"/>
    <w:rsid w:val="00CA358C"/>
    <w:rsid w:val="00CA35E5"/>
    <w:rsid w:val="00CA3657"/>
    <w:rsid w:val="00CA3756"/>
    <w:rsid w:val="00CA3D7F"/>
    <w:rsid w:val="00CA3DF4"/>
    <w:rsid w:val="00CA3E8B"/>
    <w:rsid w:val="00CA412E"/>
    <w:rsid w:val="00CA4442"/>
    <w:rsid w:val="00CA46D6"/>
    <w:rsid w:val="00CA4723"/>
    <w:rsid w:val="00CA472C"/>
    <w:rsid w:val="00CA4943"/>
    <w:rsid w:val="00CA4A27"/>
    <w:rsid w:val="00CA4BC0"/>
    <w:rsid w:val="00CA4C43"/>
    <w:rsid w:val="00CA4E4A"/>
    <w:rsid w:val="00CA5097"/>
    <w:rsid w:val="00CA5195"/>
    <w:rsid w:val="00CA522C"/>
    <w:rsid w:val="00CA52CD"/>
    <w:rsid w:val="00CA52ED"/>
    <w:rsid w:val="00CA5387"/>
    <w:rsid w:val="00CA5574"/>
    <w:rsid w:val="00CA5866"/>
    <w:rsid w:val="00CA5ADE"/>
    <w:rsid w:val="00CA6175"/>
    <w:rsid w:val="00CA62B5"/>
    <w:rsid w:val="00CA6302"/>
    <w:rsid w:val="00CA6A1B"/>
    <w:rsid w:val="00CA6A97"/>
    <w:rsid w:val="00CA6B83"/>
    <w:rsid w:val="00CA6D2C"/>
    <w:rsid w:val="00CA6DC1"/>
    <w:rsid w:val="00CA706A"/>
    <w:rsid w:val="00CA707C"/>
    <w:rsid w:val="00CA7396"/>
    <w:rsid w:val="00CA74F6"/>
    <w:rsid w:val="00CA76F6"/>
    <w:rsid w:val="00CA7A53"/>
    <w:rsid w:val="00CA7FD4"/>
    <w:rsid w:val="00CB01F5"/>
    <w:rsid w:val="00CB02A6"/>
    <w:rsid w:val="00CB02C8"/>
    <w:rsid w:val="00CB076F"/>
    <w:rsid w:val="00CB088E"/>
    <w:rsid w:val="00CB096E"/>
    <w:rsid w:val="00CB0A8D"/>
    <w:rsid w:val="00CB0D93"/>
    <w:rsid w:val="00CB0E31"/>
    <w:rsid w:val="00CB0EEA"/>
    <w:rsid w:val="00CB113D"/>
    <w:rsid w:val="00CB1577"/>
    <w:rsid w:val="00CB1604"/>
    <w:rsid w:val="00CB164F"/>
    <w:rsid w:val="00CB19BC"/>
    <w:rsid w:val="00CB1A10"/>
    <w:rsid w:val="00CB1B01"/>
    <w:rsid w:val="00CB1B19"/>
    <w:rsid w:val="00CB1B9E"/>
    <w:rsid w:val="00CB1E6A"/>
    <w:rsid w:val="00CB1E9E"/>
    <w:rsid w:val="00CB2053"/>
    <w:rsid w:val="00CB2501"/>
    <w:rsid w:val="00CB2587"/>
    <w:rsid w:val="00CB25F5"/>
    <w:rsid w:val="00CB26CC"/>
    <w:rsid w:val="00CB271B"/>
    <w:rsid w:val="00CB283A"/>
    <w:rsid w:val="00CB2AD8"/>
    <w:rsid w:val="00CB2B0A"/>
    <w:rsid w:val="00CB3342"/>
    <w:rsid w:val="00CB3526"/>
    <w:rsid w:val="00CB35F6"/>
    <w:rsid w:val="00CB3847"/>
    <w:rsid w:val="00CB38AF"/>
    <w:rsid w:val="00CB3A36"/>
    <w:rsid w:val="00CB3C28"/>
    <w:rsid w:val="00CB3EBA"/>
    <w:rsid w:val="00CB3F3E"/>
    <w:rsid w:val="00CB4097"/>
    <w:rsid w:val="00CB4162"/>
    <w:rsid w:val="00CB4169"/>
    <w:rsid w:val="00CB41D7"/>
    <w:rsid w:val="00CB427D"/>
    <w:rsid w:val="00CB42CF"/>
    <w:rsid w:val="00CB4350"/>
    <w:rsid w:val="00CB449E"/>
    <w:rsid w:val="00CB460A"/>
    <w:rsid w:val="00CB479E"/>
    <w:rsid w:val="00CB48EE"/>
    <w:rsid w:val="00CB490B"/>
    <w:rsid w:val="00CB4A44"/>
    <w:rsid w:val="00CB4A7F"/>
    <w:rsid w:val="00CB4A8D"/>
    <w:rsid w:val="00CB4A9E"/>
    <w:rsid w:val="00CB4BB2"/>
    <w:rsid w:val="00CB4C83"/>
    <w:rsid w:val="00CB50E2"/>
    <w:rsid w:val="00CB528F"/>
    <w:rsid w:val="00CB52AB"/>
    <w:rsid w:val="00CB56BF"/>
    <w:rsid w:val="00CB5A06"/>
    <w:rsid w:val="00CB5C97"/>
    <w:rsid w:val="00CB5CF0"/>
    <w:rsid w:val="00CB5CFA"/>
    <w:rsid w:val="00CB5DD8"/>
    <w:rsid w:val="00CB5EE5"/>
    <w:rsid w:val="00CB5F0B"/>
    <w:rsid w:val="00CB6012"/>
    <w:rsid w:val="00CB6358"/>
    <w:rsid w:val="00CB6396"/>
    <w:rsid w:val="00CB64AB"/>
    <w:rsid w:val="00CB64F7"/>
    <w:rsid w:val="00CB6A14"/>
    <w:rsid w:val="00CB6B35"/>
    <w:rsid w:val="00CB6C66"/>
    <w:rsid w:val="00CB6E96"/>
    <w:rsid w:val="00CB6F3A"/>
    <w:rsid w:val="00CB7039"/>
    <w:rsid w:val="00CB7088"/>
    <w:rsid w:val="00CB71AB"/>
    <w:rsid w:val="00CB76AE"/>
    <w:rsid w:val="00CB777E"/>
    <w:rsid w:val="00CB7784"/>
    <w:rsid w:val="00CB78C2"/>
    <w:rsid w:val="00CB799E"/>
    <w:rsid w:val="00CB7A2E"/>
    <w:rsid w:val="00CB7A38"/>
    <w:rsid w:val="00CB7C32"/>
    <w:rsid w:val="00CB7CAE"/>
    <w:rsid w:val="00CB7D24"/>
    <w:rsid w:val="00CB7E35"/>
    <w:rsid w:val="00CB7E65"/>
    <w:rsid w:val="00CC0221"/>
    <w:rsid w:val="00CC05F8"/>
    <w:rsid w:val="00CC07B8"/>
    <w:rsid w:val="00CC07FA"/>
    <w:rsid w:val="00CC0A08"/>
    <w:rsid w:val="00CC0A6D"/>
    <w:rsid w:val="00CC0BFE"/>
    <w:rsid w:val="00CC0C75"/>
    <w:rsid w:val="00CC12ED"/>
    <w:rsid w:val="00CC1380"/>
    <w:rsid w:val="00CC13A8"/>
    <w:rsid w:val="00CC18D2"/>
    <w:rsid w:val="00CC19D9"/>
    <w:rsid w:val="00CC1A08"/>
    <w:rsid w:val="00CC1B81"/>
    <w:rsid w:val="00CC1B9D"/>
    <w:rsid w:val="00CC1BA4"/>
    <w:rsid w:val="00CC1BD7"/>
    <w:rsid w:val="00CC1BF2"/>
    <w:rsid w:val="00CC1D1D"/>
    <w:rsid w:val="00CC1D3A"/>
    <w:rsid w:val="00CC1E89"/>
    <w:rsid w:val="00CC1EF4"/>
    <w:rsid w:val="00CC24CF"/>
    <w:rsid w:val="00CC2539"/>
    <w:rsid w:val="00CC2662"/>
    <w:rsid w:val="00CC27D4"/>
    <w:rsid w:val="00CC2D12"/>
    <w:rsid w:val="00CC2F91"/>
    <w:rsid w:val="00CC3266"/>
    <w:rsid w:val="00CC330A"/>
    <w:rsid w:val="00CC3596"/>
    <w:rsid w:val="00CC35A4"/>
    <w:rsid w:val="00CC3768"/>
    <w:rsid w:val="00CC3AC3"/>
    <w:rsid w:val="00CC3AED"/>
    <w:rsid w:val="00CC3C40"/>
    <w:rsid w:val="00CC3D88"/>
    <w:rsid w:val="00CC3E37"/>
    <w:rsid w:val="00CC3EC2"/>
    <w:rsid w:val="00CC3F7D"/>
    <w:rsid w:val="00CC3FA0"/>
    <w:rsid w:val="00CC41F1"/>
    <w:rsid w:val="00CC48D5"/>
    <w:rsid w:val="00CC4940"/>
    <w:rsid w:val="00CC4CFC"/>
    <w:rsid w:val="00CC4E6A"/>
    <w:rsid w:val="00CC4FF9"/>
    <w:rsid w:val="00CC504E"/>
    <w:rsid w:val="00CC50E2"/>
    <w:rsid w:val="00CC513A"/>
    <w:rsid w:val="00CC53C6"/>
    <w:rsid w:val="00CC555E"/>
    <w:rsid w:val="00CC5583"/>
    <w:rsid w:val="00CC559D"/>
    <w:rsid w:val="00CC55A8"/>
    <w:rsid w:val="00CC5628"/>
    <w:rsid w:val="00CC5824"/>
    <w:rsid w:val="00CC5A2E"/>
    <w:rsid w:val="00CC5B1A"/>
    <w:rsid w:val="00CC5B7C"/>
    <w:rsid w:val="00CC5BB3"/>
    <w:rsid w:val="00CC5D1F"/>
    <w:rsid w:val="00CC5F05"/>
    <w:rsid w:val="00CC5F77"/>
    <w:rsid w:val="00CC63B1"/>
    <w:rsid w:val="00CC6728"/>
    <w:rsid w:val="00CC68CF"/>
    <w:rsid w:val="00CC6D89"/>
    <w:rsid w:val="00CC7166"/>
    <w:rsid w:val="00CC72AB"/>
    <w:rsid w:val="00CC7342"/>
    <w:rsid w:val="00CC7469"/>
    <w:rsid w:val="00CC7672"/>
    <w:rsid w:val="00CC7A77"/>
    <w:rsid w:val="00CC7AB0"/>
    <w:rsid w:val="00CC7BCC"/>
    <w:rsid w:val="00CC7E19"/>
    <w:rsid w:val="00CD0446"/>
    <w:rsid w:val="00CD0466"/>
    <w:rsid w:val="00CD097C"/>
    <w:rsid w:val="00CD0AE5"/>
    <w:rsid w:val="00CD0B64"/>
    <w:rsid w:val="00CD0C80"/>
    <w:rsid w:val="00CD0C8E"/>
    <w:rsid w:val="00CD0C9E"/>
    <w:rsid w:val="00CD0D67"/>
    <w:rsid w:val="00CD0D7A"/>
    <w:rsid w:val="00CD0F3B"/>
    <w:rsid w:val="00CD1000"/>
    <w:rsid w:val="00CD12C2"/>
    <w:rsid w:val="00CD13A1"/>
    <w:rsid w:val="00CD1443"/>
    <w:rsid w:val="00CD154A"/>
    <w:rsid w:val="00CD1733"/>
    <w:rsid w:val="00CD17C3"/>
    <w:rsid w:val="00CD1852"/>
    <w:rsid w:val="00CD192C"/>
    <w:rsid w:val="00CD1A7C"/>
    <w:rsid w:val="00CD1B4A"/>
    <w:rsid w:val="00CD1D12"/>
    <w:rsid w:val="00CD1D1F"/>
    <w:rsid w:val="00CD1D86"/>
    <w:rsid w:val="00CD21E0"/>
    <w:rsid w:val="00CD24F8"/>
    <w:rsid w:val="00CD25F7"/>
    <w:rsid w:val="00CD2635"/>
    <w:rsid w:val="00CD26B1"/>
    <w:rsid w:val="00CD26F2"/>
    <w:rsid w:val="00CD276D"/>
    <w:rsid w:val="00CD27D8"/>
    <w:rsid w:val="00CD27FC"/>
    <w:rsid w:val="00CD2B72"/>
    <w:rsid w:val="00CD2CA0"/>
    <w:rsid w:val="00CD2DD3"/>
    <w:rsid w:val="00CD300B"/>
    <w:rsid w:val="00CD30FE"/>
    <w:rsid w:val="00CD315B"/>
    <w:rsid w:val="00CD31BF"/>
    <w:rsid w:val="00CD3271"/>
    <w:rsid w:val="00CD3592"/>
    <w:rsid w:val="00CD38A8"/>
    <w:rsid w:val="00CD39EA"/>
    <w:rsid w:val="00CD3AC0"/>
    <w:rsid w:val="00CD3B4E"/>
    <w:rsid w:val="00CD3DB4"/>
    <w:rsid w:val="00CD3DBC"/>
    <w:rsid w:val="00CD3E68"/>
    <w:rsid w:val="00CD3EA8"/>
    <w:rsid w:val="00CD3ED0"/>
    <w:rsid w:val="00CD447B"/>
    <w:rsid w:val="00CD47A8"/>
    <w:rsid w:val="00CD5073"/>
    <w:rsid w:val="00CD5352"/>
    <w:rsid w:val="00CD5538"/>
    <w:rsid w:val="00CD55C1"/>
    <w:rsid w:val="00CD56DA"/>
    <w:rsid w:val="00CD5865"/>
    <w:rsid w:val="00CD588A"/>
    <w:rsid w:val="00CD5AAB"/>
    <w:rsid w:val="00CD5B07"/>
    <w:rsid w:val="00CD5D29"/>
    <w:rsid w:val="00CD5DD8"/>
    <w:rsid w:val="00CD6070"/>
    <w:rsid w:val="00CD654B"/>
    <w:rsid w:val="00CD687E"/>
    <w:rsid w:val="00CD6B51"/>
    <w:rsid w:val="00CD6BD4"/>
    <w:rsid w:val="00CD6DD1"/>
    <w:rsid w:val="00CD6E9E"/>
    <w:rsid w:val="00CD6ED9"/>
    <w:rsid w:val="00CD7081"/>
    <w:rsid w:val="00CD7187"/>
    <w:rsid w:val="00CD7389"/>
    <w:rsid w:val="00CD7400"/>
    <w:rsid w:val="00CD76B3"/>
    <w:rsid w:val="00CD77BD"/>
    <w:rsid w:val="00CD7865"/>
    <w:rsid w:val="00CD7B8A"/>
    <w:rsid w:val="00CD7F8F"/>
    <w:rsid w:val="00CE0240"/>
    <w:rsid w:val="00CE02D0"/>
    <w:rsid w:val="00CE04A0"/>
    <w:rsid w:val="00CE04B6"/>
    <w:rsid w:val="00CE0504"/>
    <w:rsid w:val="00CE07CB"/>
    <w:rsid w:val="00CE0A85"/>
    <w:rsid w:val="00CE0BB2"/>
    <w:rsid w:val="00CE0D47"/>
    <w:rsid w:val="00CE0DFF"/>
    <w:rsid w:val="00CE0F46"/>
    <w:rsid w:val="00CE1691"/>
    <w:rsid w:val="00CE1699"/>
    <w:rsid w:val="00CE1993"/>
    <w:rsid w:val="00CE1A4D"/>
    <w:rsid w:val="00CE1A70"/>
    <w:rsid w:val="00CE1AE6"/>
    <w:rsid w:val="00CE1AFD"/>
    <w:rsid w:val="00CE1B61"/>
    <w:rsid w:val="00CE1B82"/>
    <w:rsid w:val="00CE1D1B"/>
    <w:rsid w:val="00CE1DBB"/>
    <w:rsid w:val="00CE1EB5"/>
    <w:rsid w:val="00CE223E"/>
    <w:rsid w:val="00CE2280"/>
    <w:rsid w:val="00CE229F"/>
    <w:rsid w:val="00CE24AF"/>
    <w:rsid w:val="00CE2618"/>
    <w:rsid w:val="00CE2635"/>
    <w:rsid w:val="00CE282E"/>
    <w:rsid w:val="00CE2838"/>
    <w:rsid w:val="00CE291D"/>
    <w:rsid w:val="00CE2B23"/>
    <w:rsid w:val="00CE2DF4"/>
    <w:rsid w:val="00CE34D2"/>
    <w:rsid w:val="00CE36BF"/>
    <w:rsid w:val="00CE37DD"/>
    <w:rsid w:val="00CE38B3"/>
    <w:rsid w:val="00CE38D5"/>
    <w:rsid w:val="00CE3B6D"/>
    <w:rsid w:val="00CE46A7"/>
    <w:rsid w:val="00CE48A9"/>
    <w:rsid w:val="00CE4B0B"/>
    <w:rsid w:val="00CE4C9E"/>
    <w:rsid w:val="00CE4D61"/>
    <w:rsid w:val="00CE4EB2"/>
    <w:rsid w:val="00CE521F"/>
    <w:rsid w:val="00CE53C0"/>
    <w:rsid w:val="00CE5594"/>
    <w:rsid w:val="00CE564F"/>
    <w:rsid w:val="00CE5720"/>
    <w:rsid w:val="00CE5AD3"/>
    <w:rsid w:val="00CE5B0C"/>
    <w:rsid w:val="00CE5D53"/>
    <w:rsid w:val="00CE5D66"/>
    <w:rsid w:val="00CE5E73"/>
    <w:rsid w:val="00CE5E75"/>
    <w:rsid w:val="00CE5E83"/>
    <w:rsid w:val="00CE6205"/>
    <w:rsid w:val="00CE629D"/>
    <w:rsid w:val="00CE63AD"/>
    <w:rsid w:val="00CE649F"/>
    <w:rsid w:val="00CE66CF"/>
    <w:rsid w:val="00CE674E"/>
    <w:rsid w:val="00CE67FE"/>
    <w:rsid w:val="00CE6A1A"/>
    <w:rsid w:val="00CE6A50"/>
    <w:rsid w:val="00CE6A89"/>
    <w:rsid w:val="00CE6B79"/>
    <w:rsid w:val="00CE6E9F"/>
    <w:rsid w:val="00CE7210"/>
    <w:rsid w:val="00CE72E8"/>
    <w:rsid w:val="00CE741D"/>
    <w:rsid w:val="00CE778F"/>
    <w:rsid w:val="00CE78C9"/>
    <w:rsid w:val="00CE7AF8"/>
    <w:rsid w:val="00CE7DDC"/>
    <w:rsid w:val="00CE7E40"/>
    <w:rsid w:val="00CF0214"/>
    <w:rsid w:val="00CF0246"/>
    <w:rsid w:val="00CF0259"/>
    <w:rsid w:val="00CF0335"/>
    <w:rsid w:val="00CF0384"/>
    <w:rsid w:val="00CF0668"/>
    <w:rsid w:val="00CF06FD"/>
    <w:rsid w:val="00CF0994"/>
    <w:rsid w:val="00CF0C84"/>
    <w:rsid w:val="00CF10CE"/>
    <w:rsid w:val="00CF1265"/>
    <w:rsid w:val="00CF1292"/>
    <w:rsid w:val="00CF1323"/>
    <w:rsid w:val="00CF13C5"/>
    <w:rsid w:val="00CF13D0"/>
    <w:rsid w:val="00CF1729"/>
    <w:rsid w:val="00CF1881"/>
    <w:rsid w:val="00CF1A02"/>
    <w:rsid w:val="00CF1A97"/>
    <w:rsid w:val="00CF1D2F"/>
    <w:rsid w:val="00CF1D82"/>
    <w:rsid w:val="00CF1DE9"/>
    <w:rsid w:val="00CF20AA"/>
    <w:rsid w:val="00CF2223"/>
    <w:rsid w:val="00CF2306"/>
    <w:rsid w:val="00CF23C8"/>
    <w:rsid w:val="00CF27C2"/>
    <w:rsid w:val="00CF2C1C"/>
    <w:rsid w:val="00CF3022"/>
    <w:rsid w:val="00CF3026"/>
    <w:rsid w:val="00CF37ED"/>
    <w:rsid w:val="00CF3A9B"/>
    <w:rsid w:val="00CF3B2C"/>
    <w:rsid w:val="00CF3C0F"/>
    <w:rsid w:val="00CF3C8A"/>
    <w:rsid w:val="00CF3D10"/>
    <w:rsid w:val="00CF3F2B"/>
    <w:rsid w:val="00CF3FE6"/>
    <w:rsid w:val="00CF41CB"/>
    <w:rsid w:val="00CF4203"/>
    <w:rsid w:val="00CF433E"/>
    <w:rsid w:val="00CF4620"/>
    <w:rsid w:val="00CF4719"/>
    <w:rsid w:val="00CF4753"/>
    <w:rsid w:val="00CF4762"/>
    <w:rsid w:val="00CF47D2"/>
    <w:rsid w:val="00CF4803"/>
    <w:rsid w:val="00CF4CF1"/>
    <w:rsid w:val="00CF4E83"/>
    <w:rsid w:val="00CF50D9"/>
    <w:rsid w:val="00CF5273"/>
    <w:rsid w:val="00CF5492"/>
    <w:rsid w:val="00CF55AC"/>
    <w:rsid w:val="00CF5669"/>
    <w:rsid w:val="00CF582D"/>
    <w:rsid w:val="00CF58A6"/>
    <w:rsid w:val="00CF5969"/>
    <w:rsid w:val="00CF5F2B"/>
    <w:rsid w:val="00CF5F39"/>
    <w:rsid w:val="00CF61B3"/>
    <w:rsid w:val="00CF62FC"/>
    <w:rsid w:val="00CF639B"/>
    <w:rsid w:val="00CF6406"/>
    <w:rsid w:val="00CF641B"/>
    <w:rsid w:val="00CF66D9"/>
    <w:rsid w:val="00CF67A7"/>
    <w:rsid w:val="00CF68B0"/>
    <w:rsid w:val="00CF69B5"/>
    <w:rsid w:val="00CF6A17"/>
    <w:rsid w:val="00CF6A2D"/>
    <w:rsid w:val="00CF6E78"/>
    <w:rsid w:val="00CF7034"/>
    <w:rsid w:val="00CF710E"/>
    <w:rsid w:val="00CF718B"/>
    <w:rsid w:val="00CF7197"/>
    <w:rsid w:val="00CF730D"/>
    <w:rsid w:val="00CF736E"/>
    <w:rsid w:val="00CF773F"/>
    <w:rsid w:val="00CF77A6"/>
    <w:rsid w:val="00CF77DD"/>
    <w:rsid w:val="00CF78BD"/>
    <w:rsid w:val="00CF79F3"/>
    <w:rsid w:val="00CF7C0B"/>
    <w:rsid w:val="00CF7C3E"/>
    <w:rsid w:val="00CF7FB2"/>
    <w:rsid w:val="00D0002C"/>
    <w:rsid w:val="00D0029F"/>
    <w:rsid w:val="00D00441"/>
    <w:rsid w:val="00D0066A"/>
    <w:rsid w:val="00D00734"/>
    <w:rsid w:val="00D00901"/>
    <w:rsid w:val="00D0096D"/>
    <w:rsid w:val="00D00D0A"/>
    <w:rsid w:val="00D00DD9"/>
    <w:rsid w:val="00D012F6"/>
    <w:rsid w:val="00D0187B"/>
    <w:rsid w:val="00D01921"/>
    <w:rsid w:val="00D019FE"/>
    <w:rsid w:val="00D01AF0"/>
    <w:rsid w:val="00D01BAB"/>
    <w:rsid w:val="00D01CA9"/>
    <w:rsid w:val="00D01D20"/>
    <w:rsid w:val="00D02165"/>
    <w:rsid w:val="00D02285"/>
    <w:rsid w:val="00D022DE"/>
    <w:rsid w:val="00D02303"/>
    <w:rsid w:val="00D02B28"/>
    <w:rsid w:val="00D02D08"/>
    <w:rsid w:val="00D02E79"/>
    <w:rsid w:val="00D02EE0"/>
    <w:rsid w:val="00D0300F"/>
    <w:rsid w:val="00D0326B"/>
    <w:rsid w:val="00D032F8"/>
    <w:rsid w:val="00D03369"/>
    <w:rsid w:val="00D03AC1"/>
    <w:rsid w:val="00D03C2B"/>
    <w:rsid w:val="00D03C65"/>
    <w:rsid w:val="00D03D4E"/>
    <w:rsid w:val="00D03F7B"/>
    <w:rsid w:val="00D040D1"/>
    <w:rsid w:val="00D041BE"/>
    <w:rsid w:val="00D04267"/>
    <w:rsid w:val="00D046B8"/>
    <w:rsid w:val="00D046C0"/>
    <w:rsid w:val="00D0475D"/>
    <w:rsid w:val="00D04CD3"/>
    <w:rsid w:val="00D04F36"/>
    <w:rsid w:val="00D0525F"/>
    <w:rsid w:val="00D052FD"/>
    <w:rsid w:val="00D053A6"/>
    <w:rsid w:val="00D059C9"/>
    <w:rsid w:val="00D05C9A"/>
    <w:rsid w:val="00D05DD0"/>
    <w:rsid w:val="00D05F83"/>
    <w:rsid w:val="00D0612D"/>
    <w:rsid w:val="00D0615E"/>
    <w:rsid w:val="00D064AD"/>
    <w:rsid w:val="00D066AC"/>
    <w:rsid w:val="00D0698D"/>
    <w:rsid w:val="00D06D49"/>
    <w:rsid w:val="00D06EFE"/>
    <w:rsid w:val="00D06F41"/>
    <w:rsid w:val="00D07014"/>
    <w:rsid w:val="00D07019"/>
    <w:rsid w:val="00D071EF"/>
    <w:rsid w:val="00D0731A"/>
    <w:rsid w:val="00D073A2"/>
    <w:rsid w:val="00D0740B"/>
    <w:rsid w:val="00D0792F"/>
    <w:rsid w:val="00D0797D"/>
    <w:rsid w:val="00D07AFD"/>
    <w:rsid w:val="00D07C1C"/>
    <w:rsid w:val="00D07D3B"/>
    <w:rsid w:val="00D07D4B"/>
    <w:rsid w:val="00D07FBC"/>
    <w:rsid w:val="00D1007B"/>
    <w:rsid w:val="00D1013D"/>
    <w:rsid w:val="00D10156"/>
    <w:rsid w:val="00D10385"/>
    <w:rsid w:val="00D10471"/>
    <w:rsid w:val="00D106B0"/>
    <w:rsid w:val="00D109A9"/>
    <w:rsid w:val="00D10AE2"/>
    <w:rsid w:val="00D10C03"/>
    <w:rsid w:val="00D11103"/>
    <w:rsid w:val="00D112DB"/>
    <w:rsid w:val="00D11474"/>
    <w:rsid w:val="00D115B8"/>
    <w:rsid w:val="00D115E9"/>
    <w:rsid w:val="00D117AB"/>
    <w:rsid w:val="00D118CD"/>
    <w:rsid w:val="00D11944"/>
    <w:rsid w:val="00D11960"/>
    <w:rsid w:val="00D119BB"/>
    <w:rsid w:val="00D119F6"/>
    <w:rsid w:val="00D11A01"/>
    <w:rsid w:val="00D11A4B"/>
    <w:rsid w:val="00D11A92"/>
    <w:rsid w:val="00D11A95"/>
    <w:rsid w:val="00D11AC3"/>
    <w:rsid w:val="00D1210E"/>
    <w:rsid w:val="00D12170"/>
    <w:rsid w:val="00D124A2"/>
    <w:rsid w:val="00D1252A"/>
    <w:rsid w:val="00D12745"/>
    <w:rsid w:val="00D127A1"/>
    <w:rsid w:val="00D12936"/>
    <w:rsid w:val="00D129DE"/>
    <w:rsid w:val="00D12B49"/>
    <w:rsid w:val="00D12CBB"/>
    <w:rsid w:val="00D12CF1"/>
    <w:rsid w:val="00D12E59"/>
    <w:rsid w:val="00D13177"/>
    <w:rsid w:val="00D1326B"/>
    <w:rsid w:val="00D13293"/>
    <w:rsid w:val="00D1358C"/>
    <w:rsid w:val="00D13699"/>
    <w:rsid w:val="00D13844"/>
    <w:rsid w:val="00D1386A"/>
    <w:rsid w:val="00D13AB5"/>
    <w:rsid w:val="00D13ACE"/>
    <w:rsid w:val="00D13BF7"/>
    <w:rsid w:val="00D13C13"/>
    <w:rsid w:val="00D13C8A"/>
    <w:rsid w:val="00D13F63"/>
    <w:rsid w:val="00D13FBF"/>
    <w:rsid w:val="00D14069"/>
    <w:rsid w:val="00D14212"/>
    <w:rsid w:val="00D145F5"/>
    <w:rsid w:val="00D1461D"/>
    <w:rsid w:val="00D1468E"/>
    <w:rsid w:val="00D146F0"/>
    <w:rsid w:val="00D14BB1"/>
    <w:rsid w:val="00D14E15"/>
    <w:rsid w:val="00D14FA3"/>
    <w:rsid w:val="00D15002"/>
    <w:rsid w:val="00D157D0"/>
    <w:rsid w:val="00D159AE"/>
    <w:rsid w:val="00D15AF0"/>
    <w:rsid w:val="00D15B44"/>
    <w:rsid w:val="00D15CDC"/>
    <w:rsid w:val="00D15EE8"/>
    <w:rsid w:val="00D16048"/>
    <w:rsid w:val="00D160F6"/>
    <w:rsid w:val="00D1614A"/>
    <w:rsid w:val="00D163B6"/>
    <w:rsid w:val="00D16414"/>
    <w:rsid w:val="00D1649E"/>
    <w:rsid w:val="00D16562"/>
    <w:rsid w:val="00D16727"/>
    <w:rsid w:val="00D16B3D"/>
    <w:rsid w:val="00D16B40"/>
    <w:rsid w:val="00D16B44"/>
    <w:rsid w:val="00D16CC9"/>
    <w:rsid w:val="00D16EA4"/>
    <w:rsid w:val="00D171D5"/>
    <w:rsid w:val="00D174A0"/>
    <w:rsid w:val="00D17650"/>
    <w:rsid w:val="00D177D0"/>
    <w:rsid w:val="00D17913"/>
    <w:rsid w:val="00D17964"/>
    <w:rsid w:val="00D17A59"/>
    <w:rsid w:val="00D17B17"/>
    <w:rsid w:val="00D17DA0"/>
    <w:rsid w:val="00D17FE0"/>
    <w:rsid w:val="00D2022D"/>
    <w:rsid w:val="00D20460"/>
    <w:rsid w:val="00D205FF"/>
    <w:rsid w:val="00D2061D"/>
    <w:rsid w:val="00D20664"/>
    <w:rsid w:val="00D20AE6"/>
    <w:rsid w:val="00D20B8C"/>
    <w:rsid w:val="00D20BA5"/>
    <w:rsid w:val="00D212BB"/>
    <w:rsid w:val="00D215AB"/>
    <w:rsid w:val="00D21725"/>
    <w:rsid w:val="00D21848"/>
    <w:rsid w:val="00D21869"/>
    <w:rsid w:val="00D218B4"/>
    <w:rsid w:val="00D218F0"/>
    <w:rsid w:val="00D21917"/>
    <w:rsid w:val="00D219E5"/>
    <w:rsid w:val="00D219FF"/>
    <w:rsid w:val="00D21AAB"/>
    <w:rsid w:val="00D21AC7"/>
    <w:rsid w:val="00D21B11"/>
    <w:rsid w:val="00D21BFA"/>
    <w:rsid w:val="00D21CF9"/>
    <w:rsid w:val="00D21D19"/>
    <w:rsid w:val="00D21E47"/>
    <w:rsid w:val="00D21FF7"/>
    <w:rsid w:val="00D2207D"/>
    <w:rsid w:val="00D225B8"/>
    <w:rsid w:val="00D226C6"/>
    <w:rsid w:val="00D22821"/>
    <w:rsid w:val="00D2290F"/>
    <w:rsid w:val="00D22B6D"/>
    <w:rsid w:val="00D22BBC"/>
    <w:rsid w:val="00D22D00"/>
    <w:rsid w:val="00D22DB6"/>
    <w:rsid w:val="00D22F13"/>
    <w:rsid w:val="00D22F7C"/>
    <w:rsid w:val="00D22FA7"/>
    <w:rsid w:val="00D22FEF"/>
    <w:rsid w:val="00D23098"/>
    <w:rsid w:val="00D23482"/>
    <w:rsid w:val="00D23737"/>
    <w:rsid w:val="00D237ED"/>
    <w:rsid w:val="00D23947"/>
    <w:rsid w:val="00D2399A"/>
    <w:rsid w:val="00D240CE"/>
    <w:rsid w:val="00D240DB"/>
    <w:rsid w:val="00D240F4"/>
    <w:rsid w:val="00D2437B"/>
    <w:rsid w:val="00D24445"/>
    <w:rsid w:val="00D245A3"/>
    <w:rsid w:val="00D2473A"/>
    <w:rsid w:val="00D248A4"/>
    <w:rsid w:val="00D24942"/>
    <w:rsid w:val="00D24A0D"/>
    <w:rsid w:val="00D24A2E"/>
    <w:rsid w:val="00D24AAB"/>
    <w:rsid w:val="00D24B90"/>
    <w:rsid w:val="00D24D92"/>
    <w:rsid w:val="00D24F60"/>
    <w:rsid w:val="00D24FB9"/>
    <w:rsid w:val="00D250A2"/>
    <w:rsid w:val="00D25106"/>
    <w:rsid w:val="00D252E3"/>
    <w:rsid w:val="00D25557"/>
    <w:rsid w:val="00D25574"/>
    <w:rsid w:val="00D2573C"/>
    <w:rsid w:val="00D25858"/>
    <w:rsid w:val="00D258A0"/>
    <w:rsid w:val="00D25A22"/>
    <w:rsid w:val="00D25B25"/>
    <w:rsid w:val="00D25BFC"/>
    <w:rsid w:val="00D25C0A"/>
    <w:rsid w:val="00D25D4C"/>
    <w:rsid w:val="00D25E00"/>
    <w:rsid w:val="00D25E4E"/>
    <w:rsid w:val="00D25EA6"/>
    <w:rsid w:val="00D25EAD"/>
    <w:rsid w:val="00D2619B"/>
    <w:rsid w:val="00D261C0"/>
    <w:rsid w:val="00D261CB"/>
    <w:rsid w:val="00D26524"/>
    <w:rsid w:val="00D266EE"/>
    <w:rsid w:val="00D267B9"/>
    <w:rsid w:val="00D26933"/>
    <w:rsid w:val="00D27034"/>
    <w:rsid w:val="00D27105"/>
    <w:rsid w:val="00D273D3"/>
    <w:rsid w:val="00D27771"/>
    <w:rsid w:val="00D2781D"/>
    <w:rsid w:val="00D279AB"/>
    <w:rsid w:val="00D27B1B"/>
    <w:rsid w:val="00D27D66"/>
    <w:rsid w:val="00D27F1E"/>
    <w:rsid w:val="00D30309"/>
    <w:rsid w:val="00D303C9"/>
    <w:rsid w:val="00D304C9"/>
    <w:rsid w:val="00D306B1"/>
    <w:rsid w:val="00D30743"/>
    <w:rsid w:val="00D307C8"/>
    <w:rsid w:val="00D30913"/>
    <w:rsid w:val="00D309F1"/>
    <w:rsid w:val="00D30A50"/>
    <w:rsid w:val="00D30B8C"/>
    <w:rsid w:val="00D30C89"/>
    <w:rsid w:val="00D30E24"/>
    <w:rsid w:val="00D30EBD"/>
    <w:rsid w:val="00D30ED3"/>
    <w:rsid w:val="00D30F2F"/>
    <w:rsid w:val="00D310FC"/>
    <w:rsid w:val="00D31138"/>
    <w:rsid w:val="00D3122C"/>
    <w:rsid w:val="00D3124E"/>
    <w:rsid w:val="00D312E2"/>
    <w:rsid w:val="00D31389"/>
    <w:rsid w:val="00D317F1"/>
    <w:rsid w:val="00D3181C"/>
    <w:rsid w:val="00D31839"/>
    <w:rsid w:val="00D31A9E"/>
    <w:rsid w:val="00D31B04"/>
    <w:rsid w:val="00D31D60"/>
    <w:rsid w:val="00D32169"/>
    <w:rsid w:val="00D3233E"/>
    <w:rsid w:val="00D32519"/>
    <w:rsid w:val="00D326DA"/>
    <w:rsid w:val="00D32944"/>
    <w:rsid w:val="00D32A63"/>
    <w:rsid w:val="00D32A86"/>
    <w:rsid w:val="00D32AAB"/>
    <w:rsid w:val="00D32EC3"/>
    <w:rsid w:val="00D3309E"/>
    <w:rsid w:val="00D3347D"/>
    <w:rsid w:val="00D334F9"/>
    <w:rsid w:val="00D33575"/>
    <w:rsid w:val="00D337E0"/>
    <w:rsid w:val="00D33A31"/>
    <w:rsid w:val="00D33AF1"/>
    <w:rsid w:val="00D33B47"/>
    <w:rsid w:val="00D33B81"/>
    <w:rsid w:val="00D33BCB"/>
    <w:rsid w:val="00D33C23"/>
    <w:rsid w:val="00D33E49"/>
    <w:rsid w:val="00D33E84"/>
    <w:rsid w:val="00D33FBF"/>
    <w:rsid w:val="00D3402F"/>
    <w:rsid w:val="00D34253"/>
    <w:rsid w:val="00D343C2"/>
    <w:rsid w:val="00D3443D"/>
    <w:rsid w:val="00D344F0"/>
    <w:rsid w:val="00D345B0"/>
    <w:rsid w:val="00D349CE"/>
    <w:rsid w:val="00D34A20"/>
    <w:rsid w:val="00D34AAD"/>
    <w:rsid w:val="00D34CBE"/>
    <w:rsid w:val="00D3503C"/>
    <w:rsid w:val="00D35141"/>
    <w:rsid w:val="00D352A5"/>
    <w:rsid w:val="00D354E1"/>
    <w:rsid w:val="00D35548"/>
    <w:rsid w:val="00D355F0"/>
    <w:rsid w:val="00D35616"/>
    <w:rsid w:val="00D356AB"/>
    <w:rsid w:val="00D35774"/>
    <w:rsid w:val="00D3581F"/>
    <w:rsid w:val="00D35A5B"/>
    <w:rsid w:val="00D35D5C"/>
    <w:rsid w:val="00D361A2"/>
    <w:rsid w:val="00D361CA"/>
    <w:rsid w:val="00D36A5D"/>
    <w:rsid w:val="00D36AE1"/>
    <w:rsid w:val="00D36B22"/>
    <w:rsid w:val="00D36B59"/>
    <w:rsid w:val="00D36DB5"/>
    <w:rsid w:val="00D36EBF"/>
    <w:rsid w:val="00D36FBF"/>
    <w:rsid w:val="00D37007"/>
    <w:rsid w:val="00D37175"/>
    <w:rsid w:val="00D37208"/>
    <w:rsid w:val="00D3722A"/>
    <w:rsid w:val="00D375B2"/>
    <w:rsid w:val="00D37936"/>
    <w:rsid w:val="00D37945"/>
    <w:rsid w:val="00D3799F"/>
    <w:rsid w:val="00D379B2"/>
    <w:rsid w:val="00D37A52"/>
    <w:rsid w:val="00D37B1F"/>
    <w:rsid w:val="00D37B28"/>
    <w:rsid w:val="00D37D0E"/>
    <w:rsid w:val="00D37F80"/>
    <w:rsid w:val="00D37F84"/>
    <w:rsid w:val="00D37F99"/>
    <w:rsid w:val="00D37FA5"/>
    <w:rsid w:val="00D37FD2"/>
    <w:rsid w:val="00D4037A"/>
    <w:rsid w:val="00D404AB"/>
    <w:rsid w:val="00D4064C"/>
    <w:rsid w:val="00D40726"/>
    <w:rsid w:val="00D409D5"/>
    <w:rsid w:val="00D40A47"/>
    <w:rsid w:val="00D40AD9"/>
    <w:rsid w:val="00D40C7D"/>
    <w:rsid w:val="00D40CF6"/>
    <w:rsid w:val="00D40EBB"/>
    <w:rsid w:val="00D410E2"/>
    <w:rsid w:val="00D414EC"/>
    <w:rsid w:val="00D41570"/>
    <w:rsid w:val="00D4157F"/>
    <w:rsid w:val="00D4166E"/>
    <w:rsid w:val="00D4168E"/>
    <w:rsid w:val="00D41948"/>
    <w:rsid w:val="00D41ADC"/>
    <w:rsid w:val="00D41C3A"/>
    <w:rsid w:val="00D41D35"/>
    <w:rsid w:val="00D41D6F"/>
    <w:rsid w:val="00D41DC2"/>
    <w:rsid w:val="00D41E7B"/>
    <w:rsid w:val="00D422E8"/>
    <w:rsid w:val="00D423FE"/>
    <w:rsid w:val="00D426DE"/>
    <w:rsid w:val="00D42DE3"/>
    <w:rsid w:val="00D434BE"/>
    <w:rsid w:val="00D43567"/>
    <w:rsid w:val="00D435D0"/>
    <w:rsid w:val="00D4360B"/>
    <w:rsid w:val="00D43773"/>
    <w:rsid w:val="00D438F0"/>
    <w:rsid w:val="00D439D3"/>
    <w:rsid w:val="00D43A30"/>
    <w:rsid w:val="00D43B30"/>
    <w:rsid w:val="00D43C7F"/>
    <w:rsid w:val="00D43CE4"/>
    <w:rsid w:val="00D43D25"/>
    <w:rsid w:val="00D43F9F"/>
    <w:rsid w:val="00D442E7"/>
    <w:rsid w:val="00D44380"/>
    <w:rsid w:val="00D444F4"/>
    <w:rsid w:val="00D4468C"/>
    <w:rsid w:val="00D446C3"/>
    <w:rsid w:val="00D4483D"/>
    <w:rsid w:val="00D44A69"/>
    <w:rsid w:val="00D44CA5"/>
    <w:rsid w:val="00D44CAB"/>
    <w:rsid w:val="00D44FAD"/>
    <w:rsid w:val="00D4517B"/>
    <w:rsid w:val="00D45205"/>
    <w:rsid w:val="00D454FC"/>
    <w:rsid w:val="00D4554A"/>
    <w:rsid w:val="00D4556A"/>
    <w:rsid w:val="00D4556E"/>
    <w:rsid w:val="00D455E9"/>
    <w:rsid w:val="00D45664"/>
    <w:rsid w:val="00D456A6"/>
    <w:rsid w:val="00D456CB"/>
    <w:rsid w:val="00D457DE"/>
    <w:rsid w:val="00D45A35"/>
    <w:rsid w:val="00D45A78"/>
    <w:rsid w:val="00D45AF8"/>
    <w:rsid w:val="00D45CDD"/>
    <w:rsid w:val="00D46425"/>
    <w:rsid w:val="00D46542"/>
    <w:rsid w:val="00D46575"/>
    <w:rsid w:val="00D468D3"/>
    <w:rsid w:val="00D46B3B"/>
    <w:rsid w:val="00D46E0E"/>
    <w:rsid w:val="00D46F6D"/>
    <w:rsid w:val="00D470BF"/>
    <w:rsid w:val="00D4720C"/>
    <w:rsid w:val="00D475FB"/>
    <w:rsid w:val="00D47619"/>
    <w:rsid w:val="00D4768C"/>
    <w:rsid w:val="00D478B7"/>
    <w:rsid w:val="00D4798F"/>
    <w:rsid w:val="00D47B80"/>
    <w:rsid w:val="00D47C6F"/>
    <w:rsid w:val="00D47CB2"/>
    <w:rsid w:val="00D47D43"/>
    <w:rsid w:val="00D50030"/>
    <w:rsid w:val="00D5005E"/>
    <w:rsid w:val="00D50342"/>
    <w:rsid w:val="00D5035C"/>
    <w:rsid w:val="00D5036D"/>
    <w:rsid w:val="00D5046C"/>
    <w:rsid w:val="00D504B7"/>
    <w:rsid w:val="00D5068B"/>
    <w:rsid w:val="00D5068D"/>
    <w:rsid w:val="00D50933"/>
    <w:rsid w:val="00D5095B"/>
    <w:rsid w:val="00D50CF8"/>
    <w:rsid w:val="00D50E6C"/>
    <w:rsid w:val="00D50EE6"/>
    <w:rsid w:val="00D50F04"/>
    <w:rsid w:val="00D50F69"/>
    <w:rsid w:val="00D50F84"/>
    <w:rsid w:val="00D510E3"/>
    <w:rsid w:val="00D510EF"/>
    <w:rsid w:val="00D5110F"/>
    <w:rsid w:val="00D51538"/>
    <w:rsid w:val="00D5179C"/>
    <w:rsid w:val="00D51964"/>
    <w:rsid w:val="00D51B2B"/>
    <w:rsid w:val="00D51C05"/>
    <w:rsid w:val="00D51ECC"/>
    <w:rsid w:val="00D52017"/>
    <w:rsid w:val="00D52041"/>
    <w:rsid w:val="00D5204D"/>
    <w:rsid w:val="00D522E4"/>
    <w:rsid w:val="00D522F7"/>
    <w:rsid w:val="00D52372"/>
    <w:rsid w:val="00D523F7"/>
    <w:rsid w:val="00D52D4D"/>
    <w:rsid w:val="00D52D6D"/>
    <w:rsid w:val="00D52EEE"/>
    <w:rsid w:val="00D52F6E"/>
    <w:rsid w:val="00D53023"/>
    <w:rsid w:val="00D531C9"/>
    <w:rsid w:val="00D531D7"/>
    <w:rsid w:val="00D53338"/>
    <w:rsid w:val="00D53533"/>
    <w:rsid w:val="00D5373E"/>
    <w:rsid w:val="00D53CDF"/>
    <w:rsid w:val="00D53CE2"/>
    <w:rsid w:val="00D53EE9"/>
    <w:rsid w:val="00D5427A"/>
    <w:rsid w:val="00D5446A"/>
    <w:rsid w:val="00D54568"/>
    <w:rsid w:val="00D54918"/>
    <w:rsid w:val="00D54B51"/>
    <w:rsid w:val="00D54B6B"/>
    <w:rsid w:val="00D54C14"/>
    <w:rsid w:val="00D54CD5"/>
    <w:rsid w:val="00D55660"/>
    <w:rsid w:val="00D55671"/>
    <w:rsid w:val="00D55711"/>
    <w:rsid w:val="00D5596B"/>
    <w:rsid w:val="00D559BD"/>
    <w:rsid w:val="00D55CAB"/>
    <w:rsid w:val="00D55D82"/>
    <w:rsid w:val="00D56147"/>
    <w:rsid w:val="00D563E4"/>
    <w:rsid w:val="00D56454"/>
    <w:rsid w:val="00D566F7"/>
    <w:rsid w:val="00D56998"/>
    <w:rsid w:val="00D56AA6"/>
    <w:rsid w:val="00D56C61"/>
    <w:rsid w:val="00D5728E"/>
    <w:rsid w:val="00D573AD"/>
    <w:rsid w:val="00D5742B"/>
    <w:rsid w:val="00D576DB"/>
    <w:rsid w:val="00D57848"/>
    <w:rsid w:val="00D57931"/>
    <w:rsid w:val="00D57992"/>
    <w:rsid w:val="00D57A34"/>
    <w:rsid w:val="00D57DA1"/>
    <w:rsid w:val="00D57E84"/>
    <w:rsid w:val="00D57F4E"/>
    <w:rsid w:val="00D60089"/>
    <w:rsid w:val="00D6022A"/>
    <w:rsid w:val="00D602B2"/>
    <w:rsid w:val="00D602D4"/>
    <w:rsid w:val="00D60467"/>
    <w:rsid w:val="00D6075D"/>
    <w:rsid w:val="00D609A4"/>
    <w:rsid w:val="00D60BCA"/>
    <w:rsid w:val="00D60DC5"/>
    <w:rsid w:val="00D60F0F"/>
    <w:rsid w:val="00D61156"/>
    <w:rsid w:val="00D614C6"/>
    <w:rsid w:val="00D617E6"/>
    <w:rsid w:val="00D61849"/>
    <w:rsid w:val="00D6196F"/>
    <w:rsid w:val="00D61CBC"/>
    <w:rsid w:val="00D61DA8"/>
    <w:rsid w:val="00D61E65"/>
    <w:rsid w:val="00D6210E"/>
    <w:rsid w:val="00D621DA"/>
    <w:rsid w:val="00D622F7"/>
    <w:rsid w:val="00D62519"/>
    <w:rsid w:val="00D62522"/>
    <w:rsid w:val="00D6255C"/>
    <w:rsid w:val="00D62978"/>
    <w:rsid w:val="00D62B34"/>
    <w:rsid w:val="00D62DDA"/>
    <w:rsid w:val="00D62E41"/>
    <w:rsid w:val="00D63089"/>
    <w:rsid w:val="00D63492"/>
    <w:rsid w:val="00D6355E"/>
    <w:rsid w:val="00D638E2"/>
    <w:rsid w:val="00D63A8E"/>
    <w:rsid w:val="00D63E77"/>
    <w:rsid w:val="00D63FEF"/>
    <w:rsid w:val="00D640DE"/>
    <w:rsid w:val="00D6437F"/>
    <w:rsid w:val="00D643E0"/>
    <w:rsid w:val="00D6495D"/>
    <w:rsid w:val="00D64999"/>
    <w:rsid w:val="00D64ACE"/>
    <w:rsid w:val="00D64B28"/>
    <w:rsid w:val="00D64BE5"/>
    <w:rsid w:val="00D64C36"/>
    <w:rsid w:val="00D64E14"/>
    <w:rsid w:val="00D64F56"/>
    <w:rsid w:val="00D64F83"/>
    <w:rsid w:val="00D6500E"/>
    <w:rsid w:val="00D6517C"/>
    <w:rsid w:val="00D6527E"/>
    <w:rsid w:val="00D65391"/>
    <w:rsid w:val="00D6571E"/>
    <w:rsid w:val="00D65949"/>
    <w:rsid w:val="00D65A35"/>
    <w:rsid w:val="00D65A98"/>
    <w:rsid w:val="00D65E0B"/>
    <w:rsid w:val="00D65F7A"/>
    <w:rsid w:val="00D6684B"/>
    <w:rsid w:val="00D668AB"/>
    <w:rsid w:val="00D668FA"/>
    <w:rsid w:val="00D669EC"/>
    <w:rsid w:val="00D66C7D"/>
    <w:rsid w:val="00D66FAA"/>
    <w:rsid w:val="00D66FBA"/>
    <w:rsid w:val="00D673E0"/>
    <w:rsid w:val="00D6764E"/>
    <w:rsid w:val="00D679E2"/>
    <w:rsid w:val="00D67E7F"/>
    <w:rsid w:val="00D70008"/>
    <w:rsid w:val="00D7003C"/>
    <w:rsid w:val="00D7013F"/>
    <w:rsid w:val="00D70148"/>
    <w:rsid w:val="00D702AB"/>
    <w:rsid w:val="00D702F3"/>
    <w:rsid w:val="00D703C0"/>
    <w:rsid w:val="00D70456"/>
    <w:rsid w:val="00D705B2"/>
    <w:rsid w:val="00D705C1"/>
    <w:rsid w:val="00D70AFE"/>
    <w:rsid w:val="00D70B2C"/>
    <w:rsid w:val="00D70B31"/>
    <w:rsid w:val="00D70B32"/>
    <w:rsid w:val="00D71425"/>
    <w:rsid w:val="00D7147D"/>
    <w:rsid w:val="00D7152F"/>
    <w:rsid w:val="00D71533"/>
    <w:rsid w:val="00D716E8"/>
    <w:rsid w:val="00D71920"/>
    <w:rsid w:val="00D71BD8"/>
    <w:rsid w:val="00D71C51"/>
    <w:rsid w:val="00D71FAC"/>
    <w:rsid w:val="00D71FC0"/>
    <w:rsid w:val="00D72073"/>
    <w:rsid w:val="00D72334"/>
    <w:rsid w:val="00D724BB"/>
    <w:rsid w:val="00D725F1"/>
    <w:rsid w:val="00D7260C"/>
    <w:rsid w:val="00D7289E"/>
    <w:rsid w:val="00D72B01"/>
    <w:rsid w:val="00D72B0F"/>
    <w:rsid w:val="00D72CAA"/>
    <w:rsid w:val="00D72CC7"/>
    <w:rsid w:val="00D72DA6"/>
    <w:rsid w:val="00D72F00"/>
    <w:rsid w:val="00D733A7"/>
    <w:rsid w:val="00D736CA"/>
    <w:rsid w:val="00D7378B"/>
    <w:rsid w:val="00D739EC"/>
    <w:rsid w:val="00D73A1F"/>
    <w:rsid w:val="00D73AD2"/>
    <w:rsid w:val="00D73B12"/>
    <w:rsid w:val="00D73D56"/>
    <w:rsid w:val="00D73DCA"/>
    <w:rsid w:val="00D73DD5"/>
    <w:rsid w:val="00D73E57"/>
    <w:rsid w:val="00D73EE0"/>
    <w:rsid w:val="00D74127"/>
    <w:rsid w:val="00D747C4"/>
    <w:rsid w:val="00D7490C"/>
    <w:rsid w:val="00D74F4D"/>
    <w:rsid w:val="00D74FA2"/>
    <w:rsid w:val="00D7517D"/>
    <w:rsid w:val="00D7523F"/>
    <w:rsid w:val="00D752AC"/>
    <w:rsid w:val="00D753D6"/>
    <w:rsid w:val="00D754C6"/>
    <w:rsid w:val="00D759B7"/>
    <w:rsid w:val="00D759F4"/>
    <w:rsid w:val="00D75C5D"/>
    <w:rsid w:val="00D75F4C"/>
    <w:rsid w:val="00D75FF0"/>
    <w:rsid w:val="00D7604D"/>
    <w:rsid w:val="00D76250"/>
    <w:rsid w:val="00D762C5"/>
    <w:rsid w:val="00D7635D"/>
    <w:rsid w:val="00D76692"/>
    <w:rsid w:val="00D76ABB"/>
    <w:rsid w:val="00D76B5A"/>
    <w:rsid w:val="00D76B77"/>
    <w:rsid w:val="00D76BCC"/>
    <w:rsid w:val="00D76BF9"/>
    <w:rsid w:val="00D76C20"/>
    <w:rsid w:val="00D76E50"/>
    <w:rsid w:val="00D76EF4"/>
    <w:rsid w:val="00D76FAF"/>
    <w:rsid w:val="00D7706B"/>
    <w:rsid w:val="00D770C3"/>
    <w:rsid w:val="00D772E7"/>
    <w:rsid w:val="00D772F3"/>
    <w:rsid w:val="00D77340"/>
    <w:rsid w:val="00D77470"/>
    <w:rsid w:val="00D77554"/>
    <w:rsid w:val="00D7762E"/>
    <w:rsid w:val="00D776C4"/>
    <w:rsid w:val="00D7774E"/>
    <w:rsid w:val="00D77908"/>
    <w:rsid w:val="00D779D2"/>
    <w:rsid w:val="00D77D66"/>
    <w:rsid w:val="00D77E0D"/>
    <w:rsid w:val="00D77EF4"/>
    <w:rsid w:val="00D80266"/>
    <w:rsid w:val="00D80741"/>
    <w:rsid w:val="00D80B0D"/>
    <w:rsid w:val="00D8109A"/>
    <w:rsid w:val="00D81226"/>
    <w:rsid w:val="00D8141B"/>
    <w:rsid w:val="00D814A8"/>
    <w:rsid w:val="00D81643"/>
    <w:rsid w:val="00D81851"/>
    <w:rsid w:val="00D81983"/>
    <w:rsid w:val="00D819B4"/>
    <w:rsid w:val="00D81B1A"/>
    <w:rsid w:val="00D81BAC"/>
    <w:rsid w:val="00D81E73"/>
    <w:rsid w:val="00D81EAB"/>
    <w:rsid w:val="00D81F87"/>
    <w:rsid w:val="00D820D9"/>
    <w:rsid w:val="00D82167"/>
    <w:rsid w:val="00D82254"/>
    <w:rsid w:val="00D823B5"/>
    <w:rsid w:val="00D829A0"/>
    <w:rsid w:val="00D829E9"/>
    <w:rsid w:val="00D82CC2"/>
    <w:rsid w:val="00D82F47"/>
    <w:rsid w:val="00D83116"/>
    <w:rsid w:val="00D8315D"/>
    <w:rsid w:val="00D83234"/>
    <w:rsid w:val="00D83239"/>
    <w:rsid w:val="00D83251"/>
    <w:rsid w:val="00D8327D"/>
    <w:rsid w:val="00D8332F"/>
    <w:rsid w:val="00D8337D"/>
    <w:rsid w:val="00D8352D"/>
    <w:rsid w:val="00D83B37"/>
    <w:rsid w:val="00D83B73"/>
    <w:rsid w:val="00D83BD9"/>
    <w:rsid w:val="00D83D33"/>
    <w:rsid w:val="00D83E4C"/>
    <w:rsid w:val="00D83EB6"/>
    <w:rsid w:val="00D83EDA"/>
    <w:rsid w:val="00D8406F"/>
    <w:rsid w:val="00D840D7"/>
    <w:rsid w:val="00D8411C"/>
    <w:rsid w:val="00D841AC"/>
    <w:rsid w:val="00D843A1"/>
    <w:rsid w:val="00D84740"/>
    <w:rsid w:val="00D84820"/>
    <w:rsid w:val="00D8484E"/>
    <w:rsid w:val="00D84873"/>
    <w:rsid w:val="00D84884"/>
    <w:rsid w:val="00D84C5F"/>
    <w:rsid w:val="00D84FAE"/>
    <w:rsid w:val="00D85039"/>
    <w:rsid w:val="00D851A0"/>
    <w:rsid w:val="00D854E2"/>
    <w:rsid w:val="00D8563C"/>
    <w:rsid w:val="00D85757"/>
    <w:rsid w:val="00D85E11"/>
    <w:rsid w:val="00D85FCB"/>
    <w:rsid w:val="00D8603D"/>
    <w:rsid w:val="00D86124"/>
    <w:rsid w:val="00D86195"/>
    <w:rsid w:val="00D861DE"/>
    <w:rsid w:val="00D86383"/>
    <w:rsid w:val="00D8649A"/>
    <w:rsid w:val="00D8649E"/>
    <w:rsid w:val="00D864EE"/>
    <w:rsid w:val="00D86538"/>
    <w:rsid w:val="00D86581"/>
    <w:rsid w:val="00D865C5"/>
    <w:rsid w:val="00D8678D"/>
    <w:rsid w:val="00D868AA"/>
    <w:rsid w:val="00D869C1"/>
    <w:rsid w:val="00D86A54"/>
    <w:rsid w:val="00D86DF7"/>
    <w:rsid w:val="00D87040"/>
    <w:rsid w:val="00D87044"/>
    <w:rsid w:val="00D8704E"/>
    <w:rsid w:val="00D872F0"/>
    <w:rsid w:val="00D8734D"/>
    <w:rsid w:val="00D874C0"/>
    <w:rsid w:val="00D874D2"/>
    <w:rsid w:val="00D8754B"/>
    <w:rsid w:val="00D876E5"/>
    <w:rsid w:val="00D87764"/>
    <w:rsid w:val="00D87803"/>
    <w:rsid w:val="00D87860"/>
    <w:rsid w:val="00D87B15"/>
    <w:rsid w:val="00D87D5C"/>
    <w:rsid w:val="00D87EEE"/>
    <w:rsid w:val="00D87FC3"/>
    <w:rsid w:val="00D87FED"/>
    <w:rsid w:val="00D90199"/>
    <w:rsid w:val="00D901DC"/>
    <w:rsid w:val="00D90416"/>
    <w:rsid w:val="00D904A7"/>
    <w:rsid w:val="00D90548"/>
    <w:rsid w:val="00D905B3"/>
    <w:rsid w:val="00D908F8"/>
    <w:rsid w:val="00D90916"/>
    <w:rsid w:val="00D90A45"/>
    <w:rsid w:val="00D90CBF"/>
    <w:rsid w:val="00D911D0"/>
    <w:rsid w:val="00D9132D"/>
    <w:rsid w:val="00D915D9"/>
    <w:rsid w:val="00D917C1"/>
    <w:rsid w:val="00D917DF"/>
    <w:rsid w:val="00D917E6"/>
    <w:rsid w:val="00D918CB"/>
    <w:rsid w:val="00D91931"/>
    <w:rsid w:val="00D91A2F"/>
    <w:rsid w:val="00D91A6B"/>
    <w:rsid w:val="00D91A8D"/>
    <w:rsid w:val="00D91C6B"/>
    <w:rsid w:val="00D91CAC"/>
    <w:rsid w:val="00D91F86"/>
    <w:rsid w:val="00D92121"/>
    <w:rsid w:val="00D9216F"/>
    <w:rsid w:val="00D92295"/>
    <w:rsid w:val="00D92365"/>
    <w:rsid w:val="00D9243C"/>
    <w:rsid w:val="00D927A5"/>
    <w:rsid w:val="00D927C2"/>
    <w:rsid w:val="00D92974"/>
    <w:rsid w:val="00D9298B"/>
    <w:rsid w:val="00D92A55"/>
    <w:rsid w:val="00D92CE9"/>
    <w:rsid w:val="00D92DE5"/>
    <w:rsid w:val="00D930B6"/>
    <w:rsid w:val="00D9317D"/>
    <w:rsid w:val="00D9354D"/>
    <w:rsid w:val="00D93885"/>
    <w:rsid w:val="00D93933"/>
    <w:rsid w:val="00D939FD"/>
    <w:rsid w:val="00D93B19"/>
    <w:rsid w:val="00D93D12"/>
    <w:rsid w:val="00D93EB6"/>
    <w:rsid w:val="00D9423C"/>
    <w:rsid w:val="00D94316"/>
    <w:rsid w:val="00D9434D"/>
    <w:rsid w:val="00D94353"/>
    <w:rsid w:val="00D94717"/>
    <w:rsid w:val="00D94BA6"/>
    <w:rsid w:val="00D94C6D"/>
    <w:rsid w:val="00D94CEE"/>
    <w:rsid w:val="00D94E2B"/>
    <w:rsid w:val="00D9508F"/>
    <w:rsid w:val="00D95488"/>
    <w:rsid w:val="00D954BB"/>
    <w:rsid w:val="00D955A6"/>
    <w:rsid w:val="00D956BC"/>
    <w:rsid w:val="00D95728"/>
    <w:rsid w:val="00D9587C"/>
    <w:rsid w:val="00D95BC2"/>
    <w:rsid w:val="00D95E81"/>
    <w:rsid w:val="00D95ECE"/>
    <w:rsid w:val="00D95F94"/>
    <w:rsid w:val="00D95FB9"/>
    <w:rsid w:val="00D96000"/>
    <w:rsid w:val="00D962C9"/>
    <w:rsid w:val="00D9647F"/>
    <w:rsid w:val="00D964B5"/>
    <w:rsid w:val="00D96506"/>
    <w:rsid w:val="00D96515"/>
    <w:rsid w:val="00D96566"/>
    <w:rsid w:val="00D96929"/>
    <w:rsid w:val="00D9692B"/>
    <w:rsid w:val="00D9699D"/>
    <w:rsid w:val="00D96DB5"/>
    <w:rsid w:val="00D96E10"/>
    <w:rsid w:val="00D9712A"/>
    <w:rsid w:val="00D974A4"/>
    <w:rsid w:val="00D974A6"/>
    <w:rsid w:val="00D9767E"/>
    <w:rsid w:val="00D97765"/>
    <w:rsid w:val="00D97814"/>
    <w:rsid w:val="00D97869"/>
    <w:rsid w:val="00D979A4"/>
    <w:rsid w:val="00D97F2F"/>
    <w:rsid w:val="00D97FDE"/>
    <w:rsid w:val="00DA0240"/>
    <w:rsid w:val="00DA0586"/>
    <w:rsid w:val="00DA05A2"/>
    <w:rsid w:val="00DA0608"/>
    <w:rsid w:val="00DA0684"/>
    <w:rsid w:val="00DA098A"/>
    <w:rsid w:val="00DA0C59"/>
    <w:rsid w:val="00DA0D96"/>
    <w:rsid w:val="00DA0E0E"/>
    <w:rsid w:val="00DA0E88"/>
    <w:rsid w:val="00DA0EE9"/>
    <w:rsid w:val="00DA1134"/>
    <w:rsid w:val="00DA113B"/>
    <w:rsid w:val="00DA11B5"/>
    <w:rsid w:val="00DA1475"/>
    <w:rsid w:val="00DA14AE"/>
    <w:rsid w:val="00DA15AA"/>
    <w:rsid w:val="00DA15BE"/>
    <w:rsid w:val="00DA17C3"/>
    <w:rsid w:val="00DA1887"/>
    <w:rsid w:val="00DA1F5F"/>
    <w:rsid w:val="00DA2207"/>
    <w:rsid w:val="00DA246F"/>
    <w:rsid w:val="00DA26BE"/>
    <w:rsid w:val="00DA2B37"/>
    <w:rsid w:val="00DA2CD9"/>
    <w:rsid w:val="00DA2D35"/>
    <w:rsid w:val="00DA2E32"/>
    <w:rsid w:val="00DA2ED5"/>
    <w:rsid w:val="00DA3056"/>
    <w:rsid w:val="00DA30B8"/>
    <w:rsid w:val="00DA310F"/>
    <w:rsid w:val="00DA3659"/>
    <w:rsid w:val="00DA367D"/>
    <w:rsid w:val="00DA36A5"/>
    <w:rsid w:val="00DA3932"/>
    <w:rsid w:val="00DA3B83"/>
    <w:rsid w:val="00DA3BA4"/>
    <w:rsid w:val="00DA3E8D"/>
    <w:rsid w:val="00DA3F7B"/>
    <w:rsid w:val="00DA40DC"/>
    <w:rsid w:val="00DA4113"/>
    <w:rsid w:val="00DA4177"/>
    <w:rsid w:val="00DA42E1"/>
    <w:rsid w:val="00DA43DC"/>
    <w:rsid w:val="00DA46A0"/>
    <w:rsid w:val="00DA4959"/>
    <w:rsid w:val="00DA4B81"/>
    <w:rsid w:val="00DA4DF8"/>
    <w:rsid w:val="00DA4E7D"/>
    <w:rsid w:val="00DA53A2"/>
    <w:rsid w:val="00DA53D7"/>
    <w:rsid w:val="00DA551F"/>
    <w:rsid w:val="00DA5614"/>
    <w:rsid w:val="00DA5666"/>
    <w:rsid w:val="00DA56CA"/>
    <w:rsid w:val="00DA585E"/>
    <w:rsid w:val="00DA5943"/>
    <w:rsid w:val="00DA5B4F"/>
    <w:rsid w:val="00DA5C7D"/>
    <w:rsid w:val="00DA5D61"/>
    <w:rsid w:val="00DA5E84"/>
    <w:rsid w:val="00DA6042"/>
    <w:rsid w:val="00DA60DE"/>
    <w:rsid w:val="00DA615B"/>
    <w:rsid w:val="00DA624A"/>
    <w:rsid w:val="00DA6370"/>
    <w:rsid w:val="00DA6423"/>
    <w:rsid w:val="00DA6690"/>
    <w:rsid w:val="00DA686B"/>
    <w:rsid w:val="00DA6A9D"/>
    <w:rsid w:val="00DA6B22"/>
    <w:rsid w:val="00DA6BCE"/>
    <w:rsid w:val="00DA6CF7"/>
    <w:rsid w:val="00DA7257"/>
    <w:rsid w:val="00DA732C"/>
    <w:rsid w:val="00DA7343"/>
    <w:rsid w:val="00DA73FF"/>
    <w:rsid w:val="00DA74A0"/>
    <w:rsid w:val="00DA7580"/>
    <w:rsid w:val="00DA7751"/>
    <w:rsid w:val="00DA7A0F"/>
    <w:rsid w:val="00DA7DB9"/>
    <w:rsid w:val="00DA7E8D"/>
    <w:rsid w:val="00DB0751"/>
    <w:rsid w:val="00DB09AE"/>
    <w:rsid w:val="00DB09FA"/>
    <w:rsid w:val="00DB0BBD"/>
    <w:rsid w:val="00DB0D6E"/>
    <w:rsid w:val="00DB0F96"/>
    <w:rsid w:val="00DB0F98"/>
    <w:rsid w:val="00DB1074"/>
    <w:rsid w:val="00DB11C1"/>
    <w:rsid w:val="00DB1260"/>
    <w:rsid w:val="00DB13F6"/>
    <w:rsid w:val="00DB13FF"/>
    <w:rsid w:val="00DB1509"/>
    <w:rsid w:val="00DB167E"/>
    <w:rsid w:val="00DB16D1"/>
    <w:rsid w:val="00DB172C"/>
    <w:rsid w:val="00DB19D1"/>
    <w:rsid w:val="00DB1C02"/>
    <w:rsid w:val="00DB1C49"/>
    <w:rsid w:val="00DB1D6E"/>
    <w:rsid w:val="00DB1D89"/>
    <w:rsid w:val="00DB1EB0"/>
    <w:rsid w:val="00DB1EC3"/>
    <w:rsid w:val="00DB1F73"/>
    <w:rsid w:val="00DB1FD7"/>
    <w:rsid w:val="00DB2039"/>
    <w:rsid w:val="00DB221C"/>
    <w:rsid w:val="00DB22D1"/>
    <w:rsid w:val="00DB2319"/>
    <w:rsid w:val="00DB2741"/>
    <w:rsid w:val="00DB274C"/>
    <w:rsid w:val="00DB276E"/>
    <w:rsid w:val="00DB2781"/>
    <w:rsid w:val="00DB27E5"/>
    <w:rsid w:val="00DB2816"/>
    <w:rsid w:val="00DB28BA"/>
    <w:rsid w:val="00DB2B0A"/>
    <w:rsid w:val="00DB2D84"/>
    <w:rsid w:val="00DB2DC9"/>
    <w:rsid w:val="00DB2FD5"/>
    <w:rsid w:val="00DB3207"/>
    <w:rsid w:val="00DB33FC"/>
    <w:rsid w:val="00DB35B1"/>
    <w:rsid w:val="00DB3660"/>
    <w:rsid w:val="00DB39E4"/>
    <w:rsid w:val="00DB3DE4"/>
    <w:rsid w:val="00DB3E33"/>
    <w:rsid w:val="00DB3E86"/>
    <w:rsid w:val="00DB3F26"/>
    <w:rsid w:val="00DB40CC"/>
    <w:rsid w:val="00DB452F"/>
    <w:rsid w:val="00DB4577"/>
    <w:rsid w:val="00DB45B2"/>
    <w:rsid w:val="00DB46DD"/>
    <w:rsid w:val="00DB4735"/>
    <w:rsid w:val="00DB476F"/>
    <w:rsid w:val="00DB48C7"/>
    <w:rsid w:val="00DB4AAC"/>
    <w:rsid w:val="00DB4AF7"/>
    <w:rsid w:val="00DB4B8A"/>
    <w:rsid w:val="00DB4D89"/>
    <w:rsid w:val="00DB4E9F"/>
    <w:rsid w:val="00DB4F21"/>
    <w:rsid w:val="00DB5100"/>
    <w:rsid w:val="00DB5133"/>
    <w:rsid w:val="00DB531C"/>
    <w:rsid w:val="00DB5381"/>
    <w:rsid w:val="00DB5484"/>
    <w:rsid w:val="00DB5592"/>
    <w:rsid w:val="00DB56B5"/>
    <w:rsid w:val="00DB57A9"/>
    <w:rsid w:val="00DB5ADF"/>
    <w:rsid w:val="00DB5C31"/>
    <w:rsid w:val="00DB5CD4"/>
    <w:rsid w:val="00DB5ED3"/>
    <w:rsid w:val="00DB605F"/>
    <w:rsid w:val="00DB60EB"/>
    <w:rsid w:val="00DB61F6"/>
    <w:rsid w:val="00DB62BB"/>
    <w:rsid w:val="00DB6844"/>
    <w:rsid w:val="00DB692E"/>
    <w:rsid w:val="00DB6977"/>
    <w:rsid w:val="00DB6B87"/>
    <w:rsid w:val="00DB6D45"/>
    <w:rsid w:val="00DB71E8"/>
    <w:rsid w:val="00DB767C"/>
    <w:rsid w:val="00DB7799"/>
    <w:rsid w:val="00DB79B7"/>
    <w:rsid w:val="00DB7A50"/>
    <w:rsid w:val="00DB7C81"/>
    <w:rsid w:val="00DB7F09"/>
    <w:rsid w:val="00DB7F4E"/>
    <w:rsid w:val="00DC00E8"/>
    <w:rsid w:val="00DC0145"/>
    <w:rsid w:val="00DC023D"/>
    <w:rsid w:val="00DC03C0"/>
    <w:rsid w:val="00DC03EC"/>
    <w:rsid w:val="00DC03FE"/>
    <w:rsid w:val="00DC0475"/>
    <w:rsid w:val="00DC0600"/>
    <w:rsid w:val="00DC086F"/>
    <w:rsid w:val="00DC09A1"/>
    <w:rsid w:val="00DC0B1B"/>
    <w:rsid w:val="00DC0BB6"/>
    <w:rsid w:val="00DC0FB8"/>
    <w:rsid w:val="00DC133E"/>
    <w:rsid w:val="00DC143B"/>
    <w:rsid w:val="00DC1545"/>
    <w:rsid w:val="00DC15CD"/>
    <w:rsid w:val="00DC1674"/>
    <w:rsid w:val="00DC16A5"/>
    <w:rsid w:val="00DC17DD"/>
    <w:rsid w:val="00DC197C"/>
    <w:rsid w:val="00DC1C30"/>
    <w:rsid w:val="00DC1F36"/>
    <w:rsid w:val="00DC1F50"/>
    <w:rsid w:val="00DC2105"/>
    <w:rsid w:val="00DC21B1"/>
    <w:rsid w:val="00DC23A7"/>
    <w:rsid w:val="00DC2542"/>
    <w:rsid w:val="00DC2807"/>
    <w:rsid w:val="00DC28E5"/>
    <w:rsid w:val="00DC2BE5"/>
    <w:rsid w:val="00DC2E71"/>
    <w:rsid w:val="00DC2F9A"/>
    <w:rsid w:val="00DC3395"/>
    <w:rsid w:val="00DC348D"/>
    <w:rsid w:val="00DC38B6"/>
    <w:rsid w:val="00DC3DF1"/>
    <w:rsid w:val="00DC4115"/>
    <w:rsid w:val="00DC41F7"/>
    <w:rsid w:val="00DC42D4"/>
    <w:rsid w:val="00DC44C6"/>
    <w:rsid w:val="00DC45BD"/>
    <w:rsid w:val="00DC45FB"/>
    <w:rsid w:val="00DC46B5"/>
    <w:rsid w:val="00DC479A"/>
    <w:rsid w:val="00DC485B"/>
    <w:rsid w:val="00DC4989"/>
    <w:rsid w:val="00DC4A6C"/>
    <w:rsid w:val="00DC511D"/>
    <w:rsid w:val="00DC53EC"/>
    <w:rsid w:val="00DC575A"/>
    <w:rsid w:val="00DC58D4"/>
    <w:rsid w:val="00DC5AF0"/>
    <w:rsid w:val="00DC5B5C"/>
    <w:rsid w:val="00DC5D39"/>
    <w:rsid w:val="00DC5D78"/>
    <w:rsid w:val="00DC5EE6"/>
    <w:rsid w:val="00DC60A5"/>
    <w:rsid w:val="00DC61D9"/>
    <w:rsid w:val="00DC626D"/>
    <w:rsid w:val="00DC651F"/>
    <w:rsid w:val="00DC6859"/>
    <w:rsid w:val="00DC6AD3"/>
    <w:rsid w:val="00DC6E9C"/>
    <w:rsid w:val="00DC6ECC"/>
    <w:rsid w:val="00DC70E5"/>
    <w:rsid w:val="00DC71B7"/>
    <w:rsid w:val="00DC7532"/>
    <w:rsid w:val="00DC75D0"/>
    <w:rsid w:val="00DC768C"/>
    <w:rsid w:val="00DC7813"/>
    <w:rsid w:val="00DC78C6"/>
    <w:rsid w:val="00DC79F1"/>
    <w:rsid w:val="00DC79F5"/>
    <w:rsid w:val="00DC7ABA"/>
    <w:rsid w:val="00DC7D52"/>
    <w:rsid w:val="00DD048E"/>
    <w:rsid w:val="00DD04AD"/>
    <w:rsid w:val="00DD087C"/>
    <w:rsid w:val="00DD0A66"/>
    <w:rsid w:val="00DD0B61"/>
    <w:rsid w:val="00DD0D5D"/>
    <w:rsid w:val="00DD0D84"/>
    <w:rsid w:val="00DD0D90"/>
    <w:rsid w:val="00DD0DA4"/>
    <w:rsid w:val="00DD0E42"/>
    <w:rsid w:val="00DD0E45"/>
    <w:rsid w:val="00DD0F11"/>
    <w:rsid w:val="00DD0F7F"/>
    <w:rsid w:val="00DD0F9D"/>
    <w:rsid w:val="00DD0FF9"/>
    <w:rsid w:val="00DD11F5"/>
    <w:rsid w:val="00DD12EC"/>
    <w:rsid w:val="00DD1337"/>
    <w:rsid w:val="00DD1344"/>
    <w:rsid w:val="00DD13A0"/>
    <w:rsid w:val="00DD14AE"/>
    <w:rsid w:val="00DD169A"/>
    <w:rsid w:val="00DD17A2"/>
    <w:rsid w:val="00DD1AFE"/>
    <w:rsid w:val="00DD1C3F"/>
    <w:rsid w:val="00DD1DFA"/>
    <w:rsid w:val="00DD1E9B"/>
    <w:rsid w:val="00DD1FF1"/>
    <w:rsid w:val="00DD20FD"/>
    <w:rsid w:val="00DD27A7"/>
    <w:rsid w:val="00DD284B"/>
    <w:rsid w:val="00DD28BB"/>
    <w:rsid w:val="00DD28D2"/>
    <w:rsid w:val="00DD2A00"/>
    <w:rsid w:val="00DD2A63"/>
    <w:rsid w:val="00DD2C3F"/>
    <w:rsid w:val="00DD2F30"/>
    <w:rsid w:val="00DD2FF3"/>
    <w:rsid w:val="00DD31BE"/>
    <w:rsid w:val="00DD3341"/>
    <w:rsid w:val="00DD348C"/>
    <w:rsid w:val="00DD34AE"/>
    <w:rsid w:val="00DD34CF"/>
    <w:rsid w:val="00DD37DE"/>
    <w:rsid w:val="00DD38F3"/>
    <w:rsid w:val="00DD39E8"/>
    <w:rsid w:val="00DD3A24"/>
    <w:rsid w:val="00DD3E76"/>
    <w:rsid w:val="00DD3FBF"/>
    <w:rsid w:val="00DD4116"/>
    <w:rsid w:val="00DD425A"/>
    <w:rsid w:val="00DD4555"/>
    <w:rsid w:val="00DD4678"/>
    <w:rsid w:val="00DD4705"/>
    <w:rsid w:val="00DD486A"/>
    <w:rsid w:val="00DD48B6"/>
    <w:rsid w:val="00DD48C4"/>
    <w:rsid w:val="00DD4B21"/>
    <w:rsid w:val="00DD4C3E"/>
    <w:rsid w:val="00DD4D66"/>
    <w:rsid w:val="00DD4E7A"/>
    <w:rsid w:val="00DD501C"/>
    <w:rsid w:val="00DD5100"/>
    <w:rsid w:val="00DD5221"/>
    <w:rsid w:val="00DD522C"/>
    <w:rsid w:val="00DD5901"/>
    <w:rsid w:val="00DD5A7B"/>
    <w:rsid w:val="00DD5F2E"/>
    <w:rsid w:val="00DD611D"/>
    <w:rsid w:val="00DD6536"/>
    <w:rsid w:val="00DD6647"/>
    <w:rsid w:val="00DD666E"/>
    <w:rsid w:val="00DD6960"/>
    <w:rsid w:val="00DD6B11"/>
    <w:rsid w:val="00DD6E01"/>
    <w:rsid w:val="00DD6E9F"/>
    <w:rsid w:val="00DD7214"/>
    <w:rsid w:val="00DD7235"/>
    <w:rsid w:val="00DD7282"/>
    <w:rsid w:val="00DD745C"/>
    <w:rsid w:val="00DD752F"/>
    <w:rsid w:val="00DD7687"/>
    <w:rsid w:val="00DD78B6"/>
    <w:rsid w:val="00DD7B78"/>
    <w:rsid w:val="00DD7B86"/>
    <w:rsid w:val="00DD7BF0"/>
    <w:rsid w:val="00DD7EB8"/>
    <w:rsid w:val="00DD7F0F"/>
    <w:rsid w:val="00DD7FD4"/>
    <w:rsid w:val="00DE006D"/>
    <w:rsid w:val="00DE02C4"/>
    <w:rsid w:val="00DE02CF"/>
    <w:rsid w:val="00DE03C4"/>
    <w:rsid w:val="00DE0465"/>
    <w:rsid w:val="00DE0478"/>
    <w:rsid w:val="00DE04AF"/>
    <w:rsid w:val="00DE0768"/>
    <w:rsid w:val="00DE0B40"/>
    <w:rsid w:val="00DE0C6E"/>
    <w:rsid w:val="00DE0EE5"/>
    <w:rsid w:val="00DE100A"/>
    <w:rsid w:val="00DE1242"/>
    <w:rsid w:val="00DE12A0"/>
    <w:rsid w:val="00DE1575"/>
    <w:rsid w:val="00DE158E"/>
    <w:rsid w:val="00DE15ED"/>
    <w:rsid w:val="00DE16EF"/>
    <w:rsid w:val="00DE18A8"/>
    <w:rsid w:val="00DE1A58"/>
    <w:rsid w:val="00DE1AF6"/>
    <w:rsid w:val="00DE1FB0"/>
    <w:rsid w:val="00DE2020"/>
    <w:rsid w:val="00DE2176"/>
    <w:rsid w:val="00DE2410"/>
    <w:rsid w:val="00DE2517"/>
    <w:rsid w:val="00DE270A"/>
    <w:rsid w:val="00DE2844"/>
    <w:rsid w:val="00DE29AC"/>
    <w:rsid w:val="00DE2A55"/>
    <w:rsid w:val="00DE2AAD"/>
    <w:rsid w:val="00DE2B60"/>
    <w:rsid w:val="00DE2CBA"/>
    <w:rsid w:val="00DE2E52"/>
    <w:rsid w:val="00DE2F24"/>
    <w:rsid w:val="00DE2F50"/>
    <w:rsid w:val="00DE3308"/>
    <w:rsid w:val="00DE33D3"/>
    <w:rsid w:val="00DE33EF"/>
    <w:rsid w:val="00DE356C"/>
    <w:rsid w:val="00DE36C3"/>
    <w:rsid w:val="00DE39AC"/>
    <w:rsid w:val="00DE3B46"/>
    <w:rsid w:val="00DE3C9D"/>
    <w:rsid w:val="00DE3CCF"/>
    <w:rsid w:val="00DE3D9A"/>
    <w:rsid w:val="00DE3F13"/>
    <w:rsid w:val="00DE4062"/>
    <w:rsid w:val="00DE406C"/>
    <w:rsid w:val="00DE40AB"/>
    <w:rsid w:val="00DE41BB"/>
    <w:rsid w:val="00DE433F"/>
    <w:rsid w:val="00DE4528"/>
    <w:rsid w:val="00DE45ED"/>
    <w:rsid w:val="00DE4805"/>
    <w:rsid w:val="00DE49E3"/>
    <w:rsid w:val="00DE4B3B"/>
    <w:rsid w:val="00DE4C7E"/>
    <w:rsid w:val="00DE4E54"/>
    <w:rsid w:val="00DE5071"/>
    <w:rsid w:val="00DE50C9"/>
    <w:rsid w:val="00DE5124"/>
    <w:rsid w:val="00DE541C"/>
    <w:rsid w:val="00DE56E0"/>
    <w:rsid w:val="00DE56FF"/>
    <w:rsid w:val="00DE5875"/>
    <w:rsid w:val="00DE5F5E"/>
    <w:rsid w:val="00DE5F79"/>
    <w:rsid w:val="00DE618E"/>
    <w:rsid w:val="00DE62E8"/>
    <w:rsid w:val="00DE63E4"/>
    <w:rsid w:val="00DE64C3"/>
    <w:rsid w:val="00DE651E"/>
    <w:rsid w:val="00DE6696"/>
    <w:rsid w:val="00DE6777"/>
    <w:rsid w:val="00DE67A3"/>
    <w:rsid w:val="00DE6B26"/>
    <w:rsid w:val="00DE6D5F"/>
    <w:rsid w:val="00DE6E1E"/>
    <w:rsid w:val="00DE6F1F"/>
    <w:rsid w:val="00DE6FD5"/>
    <w:rsid w:val="00DE7143"/>
    <w:rsid w:val="00DE7154"/>
    <w:rsid w:val="00DE71C3"/>
    <w:rsid w:val="00DE7442"/>
    <w:rsid w:val="00DE74E4"/>
    <w:rsid w:val="00DE7737"/>
    <w:rsid w:val="00DE7773"/>
    <w:rsid w:val="00DE783E"/>
    <w:rsid w:val="00DE7847"/>
    <w:rsid w:val="00DE7AE6"/>
    <w:rsid w:val="00DE7B59"/>
    <w:rsid w:val="00DE7B7F"/>
    <w:rsid w:val="00DE7D35"/>
    <w:rsid w:val="00DE7E94"/>
    <w:rsid w:val="00DE7FF8"/>
    <w:rsid w:val="00DF0176"/>
    <w:rsid w:val="00DF03DA"/>
    <w:rsid w:val="00DF03FF"/>
    <w:rsid w:val="00DF04C7"/>
    <w:rsid w:val="00DF0920"/>
    <w:rsid w:val="00DF096A"/>
    <w:rsid w:val="00DF09BF"/>
    <w:rsid w:val="00DF0A0E"/>
    <w:rsid w:val="00DF0AC3"/>
    <w:rsid w:val="00DF0BBF"/>
    <w:rsid w:val="00DF104A"/>
    <w:rsid w:val="00DF11A9"/>
    <w:rsid w:val="00DF12C0"/>
    <w:rsid w:val="00DF12C5"/>
    <w:rsid w:val="00DF133F"/>
    <w:rsid w:val="00DF141C"/>
    <w:rsid w:val="00DF1438"/>
    <w:rsid w:val="00DF16C3"/>
    <w:rsid w:val="00DF18CF"/>
    <w:rsid w:val="00DF1AD1"/>
    <w:rsid w:val="00DF1BA3"/>
    <w:rsid w:val="00DF1D6D"/>
    <w:rsid w:val="00DF1DA6"/>
    <w:rsid w:val="00DF1E8E"/>
    <w:rsid w:val="00DF1FBB"/>
    <w:rsid w:val="00DF21BE"/>
    <w:rsid w:val="00DF2908"/>
    <w:rsid w:val="00DF2B07"/>
    <w:rsid w:val="00DF2BA5"/>
    <w:rsid w:val="00DF2C67"/>
    <w:rsid w:val="00DF2CC6"/>
    <w:rsid w:val="00DF2E19"/>
    <w:rsid w:val="00DF3054"/>
    <w:rsid w:val="00DF3206"/>
    <w:rsid w:val="00DF3522"/>
    <w:rsid w:val="00DF35A4"/>
    <w:rsid w:val="00DF3819"/>
    <w:rsid w:val="00DF3A26"/>
    <w:rsid w:val="00DF410A"/>
    <w:rsid w:val="00DF42BC"/>
    <w:rsid w:val="00DF4382"/>
    <w:rsid w:val="00DF443C"/>
    <w:rsid w:val="00DF44B5"/>
    <w:rsid w:val="00DF4565"/>
    <w:rsid w:val="00DF4629"/>
    <w:rsid w:val="00DF46EF"/>
    <w:rsid w:val="00DF46F7"/>
    <w:rsid w:val="00DF470B"/>
    <w:rsid w:val="00DF4780"/>
    <w:rsid w:val="00DF4B98"/>
    <w:rsid w:val="00DF4BB6"/>
    <w:rsid w:val="00DF4CE1"/>
    <w:rsid w:val="00DF4E05"/>
    <w:rsid w:val="00DF4F25"/>
    <w:rsid w:val="00DF4F5A"/>
    <w:rsid w:val="00DF5134"/>
    <w:rsid w:val="00DF51DA"/>
    <w:rsid w:val="00DF5261"/>
    <w:rsid w:val="00DF52C8"/>
    <w:rsid w:val="00DF53E0"/>
    <w:rsid w:val="00DF554E"/>
    <w:rsid w:val="00DF59C6"/>
    <w:rsid w:val="00DF5BFE"/>
    <w:rsid w:val="00DF5C63"/>
    <w:rsid w:val="00DF5DEF"/>
    <w:rsid w:val="00DF5E88"/>
    <w:rsid w:val="00DF5EBA"/>
    <w:rsid w:val="00DF6041"/>
    <w:rsid w:val="00DF60BA"/>
    <w:rsid w:val="00DF6138"/>
    <w:rsid w:val="00DF6165"/>
    <w:rsid w:val="00DF6294"/>
    <w:rsid w:val="00DF62CD"/>
    <w:rsid w:val="00DF62D5"/>
    <w:rsid w:val="00DF6886"/>
    <w:rsid w:val="00DF6DC3"/>
    <w:rsid w:val="00DF72BF"/>
    <w:rsid w:val="00DF7418"/>
    <w:rsid w:val="00DF7473"/>
    <w:rsid w:val="00DF756D"/>
    <w:rsid w:val="00DF75F2"/>
    <w:rsid w:val="00DF7648"/>
    <w:rsid w:val="00DF7939"/>
    <w:rsid w:val="00DF7997"/>
    <w:rsid w:val="00DF79AE"/>
    <w:rsid w:val="00DF7A3E"/>
    <w:rsid w:val="00DF7B2C"/>
    <w:rsid w:val="00DF7B6D"/>
    <w:rsid w:val="00DF7DAC"/>
    <w:rsid w:val="00E000EE"/>
    <w:rsid w:val="00E001DE"/>
    <w:rsid w:val="00E00311"/>
    <w:rsid w:val="00E00491"/>
    <w:rsid w:val="00E008F0"/>
    <w:rsid w:val="00E0096F"/>
    <w:rsid w:val="00E00A61"/>
    <w:rsid w:val="00E00DE7"/>
    <w:rsid w:val="00E01032"/>
    <w:rsid w:val="00E012EC"/>
    <w:rsid w:val="00E0137E"/>
    <w:rsid w:val="00E01467"/>
    <w:rsid w:val="00E01486"/>
    <w:rsid w:val="00E01494"/>
    <w:rsid w:val="00E0189C"/>
    <w:rsid w:val="00E019C8"/>
    <w:rsid w:val="00E01A89"/>
    <w:rsid w:val="00E01C4F"/>
    <w:rsid w:val="00E01CD2"/>
    <w:rsid w:val="00E01DFA"/>
    <w:rsid w:val="00E020D9"/>
    <w:rsid w:val="00E02179"/>
    <w:rsid w:val="00E02457"/>
    <w:rsid w:val="00E02471"/>
    <w:rsid w:val="00E025EC"/>
    <w:rsid w:val="00E02632"/>
    <w:rsid w:val="00E0286F"/>
    <w:rsid w:val="00E028AA"/>
    <w:rsid w:val="00E02962"/>
    <w:rsid w:val="00E02B27"/>
    <w:rsid w:val="00E02D58"/>
    <w:rsid w:val="00E02D63"/>
    <w:rsid w:val="00E02ECB"/>
    <w:rsid w:val="00E03439"/>
    <w:rsid w:val="00E037CB"/>
    <w:rsid w:val="00E0381F"/>
    <w:rsid w:val="00E03856"/>
    <w:rsid w:val="00E03960"/>
    <w:rsid w:val="00E03977"/>
    <w:rsid w:val="00E03B2E"/>
    <w:rsid w:val="00E03B4D"/>
    <w:rsid w:val="00E03C21"/>
    <w:rsid w:val="00E03CC1"/>
    <w:rsid w:val="00E03DCB"/>
    <w:rsid w:val="00E03F4A"/>
    <w:rsid w:val="00E03FA8"/>
    <w:rsid w:val="00E03FB6"/>
    <w:rsid w:val="00E04022"/>
    <w:rsid w:val="00E040A4"/>
    <w:rsid w:val="00E0411D"/>
    <w:rsid w:val="00E042FE"/>
    <w:rsid w:val="00E042FF"/>
    <w:rsid w:val="00E043DB"/>
    <w:rsid w:val="00E0465E"/>
    <w:rsid w:val="00E046A3"/>
    <w:rsid w:val="00E046F1"/>
    <w:rsid w:val="00E0471A"/>
    <w:rsid w:val="00E0476A"/>
    <w:rsid w:val="00E047BE"/>
    <w:rsid w:val="00E04A18"/>
    <w:rsid w:val="00E04BF0"/>
    <w:rsid w:val="00E04CCE"/>
    <w:rsid w:val="00E04D44"/>
    <w:rsid w:val="00E04E93"/>
    <w:rsid w:val="00E052F0"/>
    <w:rsid w:val="00E055E1"/>
    <w:rsid w:val="00E05979"/>
    <w:rsid w:val="00E05A33"/>
    <w:rsid w:val="00E05A80"/>
    <w:rsid w:val="00E05BC8"/>
    <w:rsid w:val="00E05BFE"/>
    <w:rsid w:val="00E05D84"/>
    <w:rsid w:val="00E05DD3"/>
    <w:rsid w:val="00E05ED3"/>
    <w:rsid w:val="00E05FF7"/>
    <w:rsid w:val="00E06154"/>
    <w:rsid w:val="00E0635A"/>
    <w:rsid w:val="00E06591"/>
    <w:rsid w:val="00E06750"/>
    <w:rsid w:val="00E067D8"/>
    <w:rsid w:val="00E06965"/>
    <w:rsid w:val="00E06B21"/>
    <w:rsid w:val="00E06B6C"/>
    <w:rsid w:val="00E06BB4"/>
    <w:rsid w:val="00E06C25"/>
    <w:rsid w:val="00E06C2C"/>
    <w:rsid w:val="00E06EA3"/>
    <w:rsid w:val="00E06F7D"/>
    <w:rsid w:val="00E07013"/>
    <w:rsid w:val="00E07060"/>
    <w:rsid w:val="00E0717F"/>
    <w:rsid w:val="00E071C2"/>
    <w:rsid w:val="00E071D8"/>
    <w:rsid w:val="00E071DC"/>
    <w:rsid w:val="00E071EA"/>
    <w:rsid w:val="00E07675"/>
    <w:rsid w:val="00E0767D"/>
    <w:rsid w:val="00E07810"/>
    <w:rsid w:val="00E07825"/>
    <w:rsid w:val="00E078D6"/>
    <w:rsid w:val="00E07982"/>
    <w:rsid w:val="00E07C89"/>
    <w:rsid w:val="00E10160"/>
    <w:rsid w:val="00E10601"/>
    <w:rsid w:val="00E10751"/>
    <w:rsid w:val="00E107F2"/>
    <w:rsid w:val="00E10826"/>
    <w:rsid w:val="00E1082E"/>
    <w:rsid w:val="00E1091F"/>
    <w:rsid w:val="00E1092E"/>
    <w:rsid w:val="00E109C7"/>
    <w:rsid w:val="00E10A44"/>
    <w:rsid w:val="00E10B53"/>
    <w:rsid w:val="00E10CA7"/>
    <w:rsid w:val="00E10D33"/>
    <w:rsid w:val="00E10D39"/>
    <w:rsid w:val="00E10E39"/>
    <w:rsid w:val="00E10F3A"/>
    <w:rsid w:val="00E10F96"/>
    <w:rsid w:val="00E1114D"/>
    <w:rsid w:val="00E1127A"/>
    <w:rsid w:val="00E1136B"/>
    <w:rsid w:val="00E113EB"/>
    <w:rsid w:val="00E1150B"/>
    <w:rsid w:val="00E11549"/>
    <w:rsid w:val="00E11EDB"/>
    <w:rsid w:val="00E11FB5"/>
    <w:rsid w:val="00E124C0"/>
    <w:rsid w:val="00E12777"/>
    <w:rsid w:val="00E12CD4"/>
    <w:rsid w:val="00E12D1B"/>
    <w:rsid w:val="00E12D4E"/>
    <w:rsid w:val="00E12E08"/>
    <w:rsid w:val="00E12FB9"/>
    <w:rsid w:val="00E13065"/>
    <w:rsid w:val="00E1330C"/>
    <w:rsid w:val="00E13503"/>
    <w:rsid w:val="00E1354C"/>
    <w:rsid w:val="00E1359A"/>
    <w:rsid w:val="00E135FA"/>
    <w:rsid w:val="00E13670"/>
    <w:rsid w:val="00E136F9"/>
    <w:rsid w:val="00E13864"/>
    <w:rsid w:val="00E13892"/>
    <w:rsid w:val="00E13E90"/>
    <w:rsid w:val="00E13EB3"/>
    <w:rsid w:val="00E140EA"/>
    <w:rsid w:val="00E141F0"/>
    <w:rsid w:val="00E14222"/>
    <w:rsid w:val="00E14626"/>
    <w:rsid w:val="00E1470C"/>
    <w:rsid w:val="00E1470D"/>
    <w:rsid w:val="00E14A13"/>
    <w:rsid w:val="00E14B31"/>
    <w:rsid w:val="00E14B43"/>
    <w:rsid w:val="00E14C07"/>
    <w:rsid w:val="00E14E8C"/>
    <w:rsid w:val="00E14EFC"/>
    <w:rsid w:val="00E150A1"/>
    <w:rsid w:val="00E150FD"/>
    <w:rsid w:val="00E15114"/>
    <w:rsid w:val="00E1513C"/>
    <w:rsid w:val="00E151D0"/>
    <w:rsid w:val="00E15797"/>
    <w:rsid w:val="00E15ACF"/>
    <w:rsid w:val="00E15BF9"/>
    <w:rsid w:val="00E15DD7"/>
    <w:rsid w:val="00E15F84"/>
    <w:rsid w:val="00E160AF"/>
    <w:rsid w:val="00E160CA"/>
    <w:rsid w:val="00E16451"/>
    <w:rsid w:val="00E16555"/>
    <w:rsid w:val="00E1678D"/>
    <w:rsid w:val="00E16AF1"/>
    <w:rsid w:val="00E16B1A"/>
    <w:rsid w:val="00E16BD8"/>
    <w:rsid w:val="00E17088"/>
    <w:rsid w:val="00E170AF"/>
    <w:rsid w:val="00E17143"/>
    <w:rsid w:val="00E172AE"/>
    <w:rsid w:val="00E17545"/>
    <w:rsid w:val="00E17582"/>
    <w:rsid w:val="00E176C6"/>
    <w:rsid w:val="00E1771C"/>
    <w:rsid w:val="00E178D0"/>
    <w:rsid w:val="00E1797C"/>
    <w:rsid w:val="00E17AAC"/>
    <w:rsid w:val="00E17F85"/>
    <w:rsid w:val="00E20027"/>
    <w:rsid w:val="00E20158"/>
    <w:rsid w:val="00E203FC"/>
    <w:rsid w:val="00E20634"/>
    <w:rsid w:val="00E20668"/>
    <w:rsid w:val="00E2068F"/>
    <w:rsid w:val="00E20783"/>
    <w:rsid w:val="00E207E8"/>
    <w:rsid w:val="00E2083A"/>
    <w:rsid w:val="00E208BE"/>
    <w:rsid w:val="00E208F9"/>
    <w:rsid w:val="00E20A83"/>
    <w:rsid w:val="00E20AAE"/>
    <w:rsid w:val="00E20BAB"/>
    <w:rsid w:val="00E20BF3"/>
    <w:rsid w:val="00E20C5F"/>
    <w:rsid w:val="00E20E71"/>
    <w:rsid w:val="00E20F4A"/>
    <w:rsid w:val="00E210A8"/>
    <w:rsid w:val="00E2110C"/>
    <w:rsid w:val="00E2166F"/>
    <w:rsid w:val="00E2168D"/>
    <w:rsid w:val="00E216A7"/>
    <w:rsid w:val="00E2177A"/>
    <w:rsid w:val="00E218D1"/>
    <w:rsid w:val="00E21953"/>
    <w:rsid w:val="00E21983"/>
    <w:rsid w:val="00E219DE"/>
    <w:rsid w:val="00E21A2B"/>
    <w:rsid w:val="00E21A90"/>
    <w:rsid w:val="00E21BAB"/>
    <w:rsid w:val="00E21D54"/>
    <w:rsid w:val="00E21EAB"/>
    <w:rsid w:val="00E21ECC"/>
    <w:rsid w:val="00E21EF7"/>
    <w:rsid w:val="00E22001"/>
    <w:rsid w:val="00E220EC"/>
    <w:rsid w:val="00E221C3"/>
    <w:rsid w:val="00E2223B"/>
    <w:rsid w:val="00E2230F"/>
    <w:rsid w:val="00E22517"/>
    <w:rsid w:val="00E22874"/>
    <w:rsid w:val="00E22A1E"/>
    <w:rsid w:val="00E22AB0"/>
    <w:rsid w:val="00E22B42"/>
    <w:rsid w:val="00E22B58"/>
    <w:rsid w:val="00E22BE5"/>
    <w:rsid w:val="00E22BFB"/>
    <w:rsid w:val="00E22D51"/>
    <w:rsid w:val="00E22E6A"/>
    <w:rsid w:val="00E232B1"/>
    <w:rsid w:val="00E23646"/>
    <w:rsid w:val="00E23732"/>
    <w:rsid w:val="00E23780"/>
    <w:rsid w:val="00E2392D"/>
    <w:rsid w:val="00E239FE"/>
    <w:rsid w:val="00E23A63"/>
    <w:rsid w:val="00E23D8B"/>
    <w:rsid w:val="00E23EF6"/>
    <w:rsid w:val="00E23F2A"/>
    <w:rsid w:val="00E241C1"/>
    <w:rsid w:val="00E24278"/>
    <w:rsid w:val="00E24297"/>
    <w:rsid w:val="00E24321"/>
    <w:rsid w:val="00E243E7"/>
    <w:rsid w:val="00E244C9"/>
    <w:rsid w:val="00E244E7"/>
    <w:rsid w:val="00E245BF"/>
    <w:rsid w:val="00E24640"/>
    <w:rsid w:val="00E248B9"/>
    <w:rsid w:val="00E24A95"/>
    <w:rsid w:val="00E24F20"/>
    <w:rsid w:val="00E2522B"/>
    <w:rsid w:val="00E25268"/>
    <w:rsid w:val="00E254F2"/>
    <w:rsid w:val="00E25599"/>
    <w:rsid w:val="00E257E3"/>
    <w:rsid w:val="00E25900"/>
    <w:rsid w:val="00E260FF"/>
    <w:rsid w:val="00E2646E"/>
    <w:rsid w:val="00E265C4"/>
    <w:rsid w:val="00E26AE1"/>
    <w:rsid w:val="00E26F95"/>
    <w:rsid w:val="00E271B8"/>
    <w:rsid w:val="00E27320"/>
    <w:rsid w:val="00E278AA"/>
    <w:rsid w:val="00E27A56"/>
    <w:rsid w:val="00E27C26"/>
    <w:rsid w:val="00E27DEE"/>
    <w:rsid w:val="00E27E1A"/>
    <w:rsid w:val="00E27ED0"/>
    <w:rsid w:val="00E27F9E"/>
    <w:rsid w:val="00E30077"/>
    <w:rsid w:val="00E30207"/>
    <w:rsid w:val="00E30417"/>
    <w:rsid w:val="00E3080F"/>
    <w:rsid w:val="00E30A02"/>
    <w:rsid w:val="00E30A2F"/>
    <w:rsid w:val="00E30B0A"/>
    <w:rsid w:val="00E30BCC"/>
    <w:rsid w:val="00E30BCE"/>
    <w:rsid w:val="00E30BF1"/>
    <w:rsid w:val="00E30C17"/>
    <w:rsid w:val="00E30F50"/>
    <w:rsid w:val="00E31050"/>
    <w:rsid w:val="00E31090"/>
    <w:rsid w:val="00E31174"/>
    <w:rsid w:val="00E313D6"/>
    <w:rsid w:val="00E316BC"/>
    <w:rsid w:val="00E316C0"/>
    <w:rsid w:val="00E318F7"/>
    <w:rsid w:val="00E31FB8"/>
    <w:rsid w:val="00E32192"/>
    <w:rsid w:val="00E321C0"/>
    <w:rsid w:val="00E321F5"/>
    <w:rsid w:val="00E3229F"/>
    <w:rsid w:val="00E323C0"/>
    <w:rsid w:val="00E3241E"/>
    <w:rsid w:val="00E32446"/>
    <w:rsid w:val="00E32471"/>
    <w:rsid w:val="00E32DAB"/>
    <w:rsid w:val="00E32DF8"/>
    <w:rsid w:val="00E32E47"/>
    <w:rsid w:val="00E32F82"/>
    <w:rsid w:val="00E32FDC"/>
    <w:rsid w:val="00E33378"/>
    <w:rsid w:val="00E33597"/>
    <w:rsid w:val="00E335C7"/>
    <w:rsid w:val="00E33726"/>
    <w:rsid w:val="00E337D8"/>
    <w:rsid w:val="00E3387B"/>
    <w:rsid w:val="00E33E97"/>
    <w:rsid w:val="00E33F57"/>
    <w:rsid w:val="00E33FBA"/>
    <w:rsid w:val="00E34387"/>
    <w:rsid w:val="00E344DC"/>
    <w:rsid w:val="00E344FB"/>
    <w:rsid w:val="00E34533"/>
    <w:rsid w:val="00E34628"/>
    <w:rsid w:val="00E3478A"/>
    <w:rsid w:val="00E34B2C"/>
    <w:rsid w:val="00E34C6F"/>
    <w:rsid w:val="00E34C9C"/>
    <w:rsid w:val="00E34D8C"/>
    <w:rsid w:val="00E35097"/>
    <w:rsid w:val="00E350C1"/>
    <w:rsid w:val="00E35455"/>
    <w:rsid w:val="00E3568D"/>
    <w:rsid w:val="00E357A9"/>
    <w:rsid w:val="00E35836"/>
    <w:rsid w:val="00E35882"/>
    <w:rsid w:val="00E35AE5"/>
    <w:rsid w:val="00E35BB1"/>
    <w:rsid w:val="00E35E76"/>
    <w:rsid w:val="00E35FA1"/>
    <w:rsid w:val="00E35FCC"/>
    <w:rsid w:val="00E36226"/>
    <w:rsid w:val="00E3627B"/>
    <w:rsid w:val="00E364AB"/>
    <w:rsid w:val="00E3650F"/>
    <w:rsid w:val="00E367EF"/>
    <w:rsid w:val="00E368E5"/>
    <w:rsid w:val="00E36A47"/>
    <w:rsid w:val="00E36B24"/>
    <w:rsid w:val="00E36B25"/>
    <w:rsid w:val="00E36C98"/>
    <w:rsid w:val="00E36D4A"/>
    <w:rsid w:val="00E37253"/>
    <w:rsid w:val="00E3727F"/>
    <w:rsid w:val="00E3734B"/>
    <w:rsid w:val="00E373CA"/>
    <w:rsid w:val="00E373D9"/>
    <w:rsid w:val="00E37410"/>
    <w:rsid w:val="00E37543"/>
    <w:rsid w:val="00E37587"/>
    <w:rsid w:val="00E375CB"/>
    <w:rsid w:val="00E37B9E"/>
    <w:rsid w:val="00E37C7A"/>
    <w:rsid w:val="00E37D1C"/>
    <w:rsid w:val="00E37D23"/>
    <w:rsid w:val="00E37D61"/>
    <w:rsid w:val="00E37E10"/>
    <w:rsid w:val="00E37E6A"/>
    <w:rsid w:val="00E37F9F"/>
    <w:rsid w:val="00E4026E"/>
    <w:rsid w:val="00E4035D"/>
    <w:rsid w:val="00E40368"/>
    <w:rsid w:val="00E40391"/>
    <w:rsid w:val="00E40480"/>
    <w:rsid w:val="00E408CE"/>
    <w:rsid w:val="00E40A77"/>
    <w:rsid w:val="00E40BB7"/>
    <w:rsid w:val="00E40C3A"/>
    <w:rsid w:val="00E40C9D"/>
    <w:rsid w:val="00E40CAB"/>
    <w:rsid w:val="00E40CE8"/>
    <w:rsid w:val="00E40E7E"/>
    <w:rsid w:val="00E40F20"/>
    <w:rsid w:val="00E41025"/>
    <w:rsid w:val="00E4102A"/>
    <w:rsid w:val="00E41071"/>
    <w:rsid w:val="00E4122A"/>
    <w:rsid w:val="00E412A8"/>
    <w:rsid w:val="00E4177E"/>
    <w:rsid w:val="00E417B1"/>
    <w:rsid w:val="00E417C0"/>
    <w:rsid w:val="00E41830"/>
    <w:rsid w:val="00E41ABA"/>
    <w:rsid w:val="00E41C0B"/>
    <w:rsid w:val="00E41C39"/>
    <w:rsid w:val="00E41E37"/>
    <w:rsid w:val="00E41F7C"/>
    <w:rsid w:val="00E42284"/>
    <w:rsid w:val="00E422B8"/>
    <w:rsid w:val="00E42453"/>
    <w:rsid w:val="00E424AF"/>
    <w:rsid w:val="00E425F8"/>
    <w:rsid w:val="00E42A49"/>
    <w:rsid w:val="00E42A62"/>
    <w:rsid w:val="00E42AC0"/>
    <w:rsid w:val="00E42B4C"/>
    <w:rsid w:val="00E42B62"/>
    <w:rsid w:val="00E42EDB"/>
    <w:rsid w:val="00E436EB"/>
    <w:rsid w:val="00E43710"/>
    <w:rsid w:val="00E437B8"/>
    <w:rsid w:val="00E4390A"/>
    <w:rsid w:val="00E43942"/>
    <w:rsid w:val="00E43CAE"/>
    <w:rsid w:val="00E44005"/>
    <w:rsid w:val="00E44106"/>
    <w:rsid w:val="00E44240"/>
    <w:rsid w:val="00E4455F"/>
    <w:rsid w:val="00E44584"/>
    <w:rsid w:val="00E4460A"/>
    <w:rsid w:val="00E4465C"/>
    <w:rsid w:val="00E44894"/>
    <w:rsid w:val="00E448A4"/>
    <w:rsid w:val="00E449C5"/>
    <w:rsid w:val="00E44C8B"/>
    <w:rsid w:val="00E44E79"/>
    <w:rsid w:val="00E44F59"/>
    <w:rsid w:val="00E45092"/>
    <w:rsid w:val="00E45107"/>
    <w:rsid w:val="00E453C8"/>
    <w:rsid w:val="00E453F5"/>
    <w:rsid w:val="00E4556F"/>
    <w:rsid w:val="00E45A08"/>
    <w:rsid w:val="00E45C3F"/>
    <w:rsid w:val="00E45C72"/>
    <w:rsid w:val="00E45F31"/>
    <w:rsid w:val="00E46073"/>
    <w:rsid w:val="00E46085"/>
    <w:rsid w:val="00E4613C"/>
    <w:rsid w:val="00E46320"/>
    <w:rsid w:val="00E464BC"/>
    <w:rsid w:val="00E465BC"/>
    <w:rsid w:val="00E46B07"/>
    <w:rsid w:val="00E47081"/>
    <w:rsid w:val="00E471F2"/>
    <w:rsid w:val="00E473B8"/>
    <w:rsid w:val="00E4747C"/>
    <w:rsid w:val="00E4753E"/>
    <w:rsid w:val="00E475C9"/>
    <w:rsid w:val="00E476CB"/>
    <w:rsid w:val="00E47771"/>
    <w:rsid w:val="00E47970"/>
    <w:rsid w:val="00E47A12"/>
    <w:rsid w:val="00E47C10"/>
    <w:rsid w:val="00E47DE8"/>
    <w:rsid w:val="00E500EA"/>
    <w:rsid w:val="00E502A3"/>
    <w:rsid w:val="00E504A4"/>
    <w:rsid w:val="00E504B1"/>
    <w:rsid w:val="00E50761"/>
    <w:rsid w:val="00E5094E"/>
    <w:rsid w:val="00E50A9D"/>
    <w:rsid w:val="00E50BF6"/>
    <w:rsid w:val="00E50E77"/>
    <w:rsid w:val="00E50E7C"/>
    <w:rsid w:val="00E5104B"/>
    <w:rsid w:val="00E510E3"/>
    <w:rsid w:val="00E510FF"/>
    <w:rsid w:val="00E51253"/>
    <w:rsid w:val="00E5143E"/>
    <w:rsid w:val="00E5148E"/>
    <w:rsid w:val="00E514EF"/>
    <w:rsid w:val="00E5151B"/>
    <w:rsid w:val="00E51545"/>
    <w:rsid w:val="00E519B0"/>
    <w:rsid w:val="00E51A85"/>
    <w:rsid w:val="00E51AD8"/>
    <w:rsid w:val="00E51CD2"/>
    <w:rsid w:val="00E51CF7"/>
    <w:rsid w:val="00E51D60"/>
    <w:rsid w:val="00E5201D"/>
    <w:rsid w:val="00E52151"/>
    <w:rsid w:val="00E52795"/>
    <w:rsid w:val="00E52875"/>
    <w:rsid w:val="00E528BE"/>
    <w:rsid w:val="00E52A3D"/>
    <w:rsid w:val="00E52BB0"/>
    <w:rsid w:val="00E52F8D"/>
    <w:rsid w:val="00E5302C"/>
    <w:rsid w:val="00E53098"/>
    <w:rsid w:val="00E53298"/>
    <w:rsid w:val="00E533B6"/>
    <w:rsid w:val="00E53469"/>
    <w:rsid w:val="00E5347D"/>
    <w:rsid w:val="00E53546"/>
    <w:rsid w:val="00E536DB"/>
    <w:rsid w:val="00E539C6"/>
    <w:rsid w:val="00E53DA4"/>
    <w:rsid w:val="00E54097"/>
    <w:rsid w:val="00E54220"/>
    <w:rsid w:val="00E5422F"/>
    <w:rsid w:val="00E5446C"/>
    <w:rsid w:val="00E544F3"/>
    <w:rsid w:val="00E545DC"/>
    <w:rsid w:val="00E54764"/>
    <w:rsid w:val="00E5484F"/>
    <w:rsid w:val="00E54ABB"/>
    <w:rsid w:val="00E54C63"/>
    <w:rsid w:val="00E54E7D"/>
    <w:rsid w:val="00E551F4"/>
    <w:rsid w:val="00E55326"/>
    <w:rsid w:val="00E5545C"/>
    <w:rsid w:val="00E55671"/>
    <w:rsid w:val="00E558A2"/>
    <w:rsid w:val="00E55A56"/>
    <w:rsid w:val="00E55E46"/>
    <w:rsid w:val="00E55FA9"/>
    <w:rsid w:val="00E561EA"/>
    <w:rsid w:val="00E56221"/>
    <w:rsid w:val="00E5635F"/>
    <w:rsid w:val="00E5640D"/>
    <w:rsid w:val="00E56424"/>
    <w:rsid w:val="00E56447"/>
    <w:rsid w:val="00E56531"/>
    <w:rsid w:val="00E56643"/>
    <w:rsid w:val="00E566AA"/>
    <w:rsid w:val="00E567D5"/>
    <w:rsid w:val="00E5697A"/>
    <w:rsid w:val="00E569BD"/>
    <w:rsid w:val="00E56BD0"/>
    <w:rsid w:val="00E56BFD"/>
    <w:rsid w:val="00E56D41"/>
    <w:rsid w:val="00E56DBF"/>
    <w:rsid w:val="00E56E2D"/>
    <w:rsid w:val="00E56F4E"/>
    <w:rsid w:val="00E57049"/>
    <w:rsid w:val="00E57179"/>
    <w:rsid w:val="00E5719F"/>
    <w:rsid w:val="00E571FE"/>
    <w:rsid w:val="00E573D3"/>
    <w:rsid w:val="00E57421"/>
    <w:rsid w:val="00E574F6"/>
    <w:rsid w:val="00E57705"/>
    <w:rsid w:val="00E5773C"/>
    <w:rsid w:val="00E579FA"/>
    <w:rsid w:val="00E57A73"/>
    <w:rsid w:val="00E57C1E"/>
    <w:rsid w:val="00E57F0D"/>
    <w:rsid w:val="00E57FB1"/>
    <w:rsid w:val="00E57FBB"/>
    <w:rsid w:val="00E600A9"/>
    <w:rsid w:val="00E600D3"/>
    <w:rsid w:val="00E600DC"/>
    <w:rsid w:val="00E600F7"/>
    <w:rsid w:val="00E601EE"/>
    <w:rsid w:val="00E6022A"/>
    <w:rsid w:val="00E602DE"/>
    <w:rsid w:val="00E60A3D"/>
    <w:rsid w:val="00E60A75"/>
    <w:rsid w:val="00E60ABC"/>
    <w:rsid w:val="00E60B18"/>
    <w:rsid w:val="00E60C08"/>
    <w:rsid w:val="00E60E88"/>
    <w:rsid w:val="00E60FD5"/>
    <w:rsid w:val="00E61164"/>
    <w:rsid w:val="00E6124E"/>
    <w:rsid w:val="00E613AE"/>
    <w:rsid w:val="00E61429"/>
    <w:rsid w:val="00E61550"/>
    <w:rsid w:val="00E615F6"/>
    <w:rsid w:val="00E618F4"/>
    <w:rsid w:val="00E6191E"/>
    <w:rsid w:val="00E61B72"/>
    <w:rsid w:val="00E61C0D"/>
    <w:rsid w:val="00E61C4E"/>
    <w:rsid w:val="00E61D61"/>
    <w:rsid w:val="00E620C5"/>
    <w:rsid w:val="00E6233E"/>
    <w:rsid w:val="00E62541"/>
    <w:rsid w:val="00E625ED"/>
    <w:rsid w:val="00E62626"/>
    <w:rsid w:val="00E629CE"/>
    <w:rsid w:val="00E629FB"/>
    <w:rsid w:val="00E62DBB"/>
    <w:rsid w:val="00E62DDD"/>
    <w:rsid w:val="00E62F6C"/>
    <w:rsid w:val="00E62F82"/>
    <w:rsid w:val="00E62FF2"/>
    <w:rsid w:val="00E634AF"/>
    <w:rsid w:val="00E634DD"/>
    <w:rsid w:val="00E6393C"/>
    <w:rsid w:val="00E63B94"/>
    <w:rsid w:val="00E63BC4"/>
    <w:rsid w:val="00E63C77"/>
    <w:rsid w:val="00E63D7B"/>
    <w:rsid w:val="00E63DC0"/>
    <w:rsid w:val="00E63EEA"/>
    <w:rsid w:val="00E64230"/>
    <w:rsid w:val="00E64287"/>
    <w:rsid w:val="00E64312"/>
    <w:rsid w:val="00E643BC"/>
    <w:rsid w:val="00E6443C"/>
    <w:rsid w:val="00E649A1"/>
    <w:rsid w:val="00E64A66"/>
    <w:rsid w:val="00E64A8E"/>
    <w:rsid w:val="00E64B9C"/>
    <w:rsid w:val="00E64C63"/>
    <w:rsid w:val="00E64C71"/>
    <w:rsid w:val="00E64CAC"/>
    <w:rsid w:val="00E64EA9"/>
    <w:rsid w:val="00E654D1"/>
    <w:rsid w:val="00E6554E"/>
    <w:rsid w:val="00E65631"/>
    <w:rsid w:val="00E65784"/>
    <w:rsid w:val="00E659E2"/>
    <w:rsid w:val="00E65F0C"/>
    <w:rsid w:val="00E66332"/>
    <w:rsid w:val="00E664EA"/>
    <w:rsid w:val="00E6655B"/>
    <w:rsid w:val="00E66A92"/>
    <w:rsid w:val="00E66E8F"/>
    <w:rsid w:val="00E66F13"/>
    <w:rsid w:val="00E66FD8"/>
    <w:rsid w:val="00E6717A"/>
    <w:rsid w:val="00E67343"/>
    <w:rsid w:val="00E6741F"/>
    <w:rsid w:val="00E676FA"/>
    <w:rsid w:val="00E6772B"/>
    <w:rsid w:val="00E6777E"/>
    <w:rsid w:val="00E67850"/>
    <w:rsid w:val="00E679BD"/>
    <w:rsid w:val="00E67C2A"/>
    <w:rsid w:val="00E67C68"/>
    <w:rsid w:val="00E67DE5"/>
    <w:rsid w:val="00E67E0B"/>
    <w:rsid w:val="00E67F3C"/>
    <w:rsid w:val="00E67F4D"/>
    <w:rsid w:val="00E67FD4"/>
    <w:rsid w:val="00E70160"/>
    <w:rsid w:val="00E70184"/>
    <w:rsid w:val="00E701C1"/>
    <w:rsid w:val="00E7026F"/>
    <w:rsid w:val="00E705FC"/>
    <w:rsid w:val="00E7074E"/>
    <w:rsid w:val="00E7078E"/>
    <w:rsid w:val="00E707D1"/>
    <w:rsid w:val="00E70BCA"/>
    <w:rsid w:val="00E70EE1"/>
    <w:rsid w:val="00E711CA"/>
    <w:rsid w:val="00E711D7"/>
    <w:rsid w:val="00E71241"/>
    <w:rsid w:val="00E714B7"/>
    <w:rsid w:val="00E716F4"/>
    <w:rsid w:val="00E71729"/>
    <w:rsid w:val="00E717E4"/>
    <w:rsid w:val="00E718D6"/>
    <w:rsid w:val="00E719BC"/>
    <w:rsid w:val="00E71BA7"/>
    <w:rsid w:val="00E71BFB"/>
    <w:rsid w:val="00E71C6A"/>
    <w:rsid w:val="00E72147"/>
    <w:rsid w:val="00E72486"/>
    <w:rsid w:val="00E72498"/>
    <w:rsid w:val="00E7250D"/>
    <w:rsid w:val="00E725EC"/>
    <w:rsid w:val="00E726E8"/>
    <w:rsid w:val="00E726F0"/>
    <w:rsid w:val="00E72A9E"/>
    <w:rsid w:val="00E72AB8"/>
    <w:rsid w:val="00E72AFE"/>
    <w:rsid w:val="00E72BE7"/>
    <w:rsid w:val="00E72BFF"/>
    <w:rsid w:val="00E72C67"/>
    <w:rsid w:val="00E72CC7"/>
    <w:rsid w:val="00E72D05"/>
    <w:rsid w:val="00E72E08"/>
    <w:rsid w:val="00E72E32"/>
    <w:rsid w:val="00E72F10"/>
    <w:rsid w:val="00E73D5A"/>
    <w:rsid w:val="00E73D88"/>
    <w:rsid w:val="00E73E91"/>
    <w:rsid w:val="00E73FDA"/>
    <w:rsid w:val="00E740D6"/>
    <w:rsid w:val="00E743C1"/>
    <w:rsid w:val="00E74705"/>
    <w:rsid w:val="00E74806"/>
    <w:rsid w:val="00E7493A"/>
    <w:rsid w:val="00E74AED"/>
    <w:rsid w:val="00E74B78"/>
    <w:rsid w:val="00E74D5C"/>
    <w:rsid w:val="00E74D75"/>
    <w:rsid w:val="00E74DD9"/>
    <w:rsid w:val="00E74F0A"/>
    <w:rsid w:val="00E7506D"/>
    <w:rsid w:val="00E754B6"/>
    <w:rsid w:val="00E755D2"/>
    <w:rsid w:val="00E757AA"/>
    <w:rsid w:val="00E75917"/>
    <w:rsid w:val="00E7599F"/>
    <w:rsid w:val="00E75A08"/>
    <w:rsid w:val="00E75BF8"/>
    <w:rsid w:val="00E75C4F"/>
    <w:rsid w:val="00E75DB9"/>
    <w:rsid w:val="00E760FE"/>
    <w:rsid w:val="00E76365"/>
    <w:rsid w:val="00E76430"/>
    <w:rsid w:val="00E7671B"/>
    <w:rsid w:val="00E76986"/>
    <w:rsid w:val="00E76C73"/>
    <w:rsid w:val="00E76DA4"/>
    <w:rsid w:val="00E76DA6"/>
    <w:rsid w:val="00E7756F"/>
    <w:rsid w:val="00E778F4"/>
    <w:rsid w:val="00E77C39"/>
    <w:rsid w:val="00E77CCF"/>
    <w:rsid w:val="00E77F33"/>
    <w:rsid w:val="00E8008B"/>
    <w:rsid w:val="00E80307"/>
    <w:rsid w:val="00E8031B"/>
    <w:rsid w:val="00E80442"/>
    <w:rsid w:val="00E80491"/>
    <w:rsid w:val="00E80528"/>
    <w:rsid w:val="00E807F4"/>
    <w:rsid w:val="00E8093C"/>
    <w:rsid w:val="00E80AB6"/>
    <w:rsid w:val="00E80BDA"/>
    <w:rsid w:val="00E80C73"/>
    <w:rsid w:val="00E80D88"/>
    <w:rsid w:val="00E8124F"/>
    <w:rsid w:val="00E81508"/>
    <w:rsid w:val="00E815D7"/>
    <w:rsid w:val="00E8160B"/>
    <w:rsid w:val="00E8161D"/>
    <w:rsid w:val="00E81751"/>
    <w:rsid w:val="00E81807"/>
    <w:rsid w:val="00E81A40"/>
    <w:rsid w:val="00E81ADB"/>
    <w:rsid w:val="00E81B0E"/>
    <w:rsid w:val="00E81DDC"/>
    <w:rsid w:val="00E81DF3"/>
    <w:rsid w:val="00E821AA"/>
    <w:rsid w:val="00E823BE"/>
    <w:rsid w:val="00E824BA"/>
    <w:rsid w:val="00E825BC"/>
    <w:rsid w:val="00E827EE"/>
    <w:rsid w:val="00E82964"/>
    <w:rsid w:val="00E82A9A"/>
    <w:rsid w:val="00E82C2B"/>
    <w:rsid w:val="00E82D61"/>
    <w:rsid w:val="00E82D8C"/>
    <w:rsid w:val="00E82EAC"/>
    <w:rsid w:val="00E82EB0"/>
    <w:rsid w:val="00E82EFF"/>
    <w:rsid w:val="00E82FBE"/>
    <w:rsid w:val="00E834EE"/>
    <w:rsid w:val="00E8366B"/>
    <w:rsid w:val="00E8373A"/>
    <w:rsid w:val="00E83766"/>
    <w:rsid w:val="00E8397B"/>
    <w:rsid w:val="00E83D5C"/>
    <w:rsid w:val="00E83E57"/>
    <w:rsid w:val="00E83EFC"/>
    <w:rsid w:val="00E83FBF"/>
    <w:rsid w:val="00E84868"/>
    <w:rsid w:val="00E848E8"/>
    <w:rsid w:val="00E849BE"/>
    <w:rsid w:val="00E84C20"/>
    <w:rsid w:val="00E84C54"/>
    <w:rsid w:val="00E84C64"/>
    <w:rsid w:val="00E84E63"/>
    <w:rsid w:val="00E84F15"/>
    <w:rsid w:val="00E84FD0"/>
    <w:rsid w:val="00E8502F"/>
    <w:rsid w:val="00E8509F"/>
    <w:rsid w:val="00E852C2"/>
    <w:rsid w:val="00E852F0"/>
    <w:rsid w:val="00E853A3"/>
    <w:rsid w:val="00E854FA"/>
    <w:rsid w:val="00E8582C"/>
    <w:rsid w:val="00E85D2F"/>
    <w:rsid w:val="00E85E08"/>
    <w:rsid w:val="00E85F08"/>
    <w:rsid w:val="00E861BC"/>
    <w:rsid w:val="00E86234"/>
    <w:rsid w:val="00E862A2"/>
    <w:rsid w:val="00E862DD"/>
    <w:rsid w:val="00E8661E"/>
    <w:rsid w:val="00E86BE3"/>
    <w:rsid w:val="00E86CF3"/>
    <w:rsid w:val="00E874E5"/>
    <w:rsid w:val="00E87587"/>
    <w:rsid w:val="00E8795B"/>
    <w:rsid w:val="00E87AC6"/>
    <w:rsid w:val="00E87CEC"/>
    <w:rsid w:val="00E87E08"/>
    <w:rsid w:val="00E87F75"/>
    <w:rsid w:val="00E90026"/>
    <w:rsid w:val="00E902B0"/>
    <w:rsid w:val="00E902E8"/>
    <w:rsid w:val="00E90485"/>
    <w:rsid w:val="00E90611"/>
    <w:rsid w:val="00E90B90"/>
    <w:rsid w:val="00E90C52"/>
    <w:rsid w:val="00E90F27"/>
    <w:rsid w:val="00E90FFB"/>
    <w:rsid w:val="00E91B38"/>
    <w:rsid w:val="00E91F34"/>
    <w:rsid w:val="00E9203C"/>
    <w:rsid w:val="00E923B9"/>
    <w:rsid w:val="00E923F7"/>
    <w:rsid w:val="00E9242D"/>
    <w:rsid w:val="00E92536"/>
    <w:rsid w:val="00E92742"/>
    <w:rsid w:val="00E927CF"/>
    <w:rsid w:val="00E928D3"/>
    <w:rsid w:val="00E92922"/>
    <w:rsid w:val="00E92932"/>
    <w:rsid w:val="00E92ECE"/>
    <w:rsid w:val="00E92EDB"/>
    <w:rsid w:val="00E92FD1"/>
    <w:rsid w:val="00E93124"/>
    <w:rsid w:val="00E935C0"/>
    <w:rsid w:val="00E936B6"/>
    <w:rsid w:val="00E93870"/>
    <w:rsid w:val="00E93B87"/>
    <w:rsid w:val="00E93D6C"/>
    <w:rsid w:val="00E93E90"/>
    <w:rsid w:val="00E93F66"/>
    <w:rsid w:val="00E94419"/>
    <w:rsid w:val="00E946F7"/>
    <w:rsid w:val="00E948E1"/>
    <w:rsid w:val="00E94A93"/>
    <w:rsid w:val="00E94B3B"/>
    <w:rsid w:val="00E94C5B"/>
    <w:rsid w:val="00E94FC3"/>
    <w:rsid w:val="00E95040"/>
    <w:rsid w:val="00E950E7"/>
    <w:rsid w:val="00E95109"/>
    <w:rsid w:val="00E952A0"/>
    <w:rsid w:val="00E952F9"/>
    <w:rsid w:val="00E95479"/>
    <w:rsid w:val="00E9564F"/>
    <w:rsid w:val="00E95737"/>
    <w:rsid w:val="00E9575D"/>
    <w:rsid w:val="00E959D2"/>
    <w:rsid w:val="00E95AA5"/>
    <w:rsid w:val="00E95C0D"/>
    <w:rsid w:val="00E95DE0"/>
    <w:rsid w:val="00E96110"/>
    <w:rsid w:val="00E96518"/>
    <w:rsid w:val="00E966EE"/>
    <w:rsid w:val="00E9680A"/>
    <w:rsid w:val="00E96A0B"/>
    <w:rsid w:val="00E96B19"/>
    <w:rsid w:val="00E96CD8"/>
    <w:rsid w:val="00E96DB0"/>
    <w:rsid w:val="00E96E54"/>
    <w:rsid w:val="00E96E95"/>
    <w:rsid w:val="00E9721F"/>
    <w:rsid w:val="00E972F2"/>
    <w:rsid w:val="00E974DD"/>
    <w:rsid w:val="00E97CF8"/>
    <w:rsid w:val="00EA00F7"/>
    <w:rsid w:val="00EA0218"/>
    <w:rsid w:val="00EA05DE"/>
    <w:rsid w:val="00EA06ED"/>
    <w:rsid w:val="00EA0E41"/>
    <w:rsid w:val="00EA138A"/>
    <w:rsid w:val="00EA1522"/>
    <w:rsid w:val="00EA1633"/>
    <w:rsid w:val="00EA1694"/>
    <w:rsid w:val="00EA1899"/>
    <w:rsid w:val="00EA194A"/>
    <w:rsid w:val="00EA1ADF"/>
    <w:rsid w:val="00EA1F08"/>
    <w:rsid w:val="00EA2065"/>
    <w:rsid w:val="00EA222C"/>
    <w:rsid w:val="00EA22E0"/>
    <w:rsid w:val="00EA25EA"/>
    <w:rsid w:val="00EA27B5"/>
    <w:rsid w:val="00EA28FE"/>
    <w:rsid w:val="00EA2A67"/>
    <w:rsid w:val="00EA2A8D"/>
    <w:rsid w:val="00EA2F82"/>
    <w:rsid w:val="00EA30C2"/>
    <w:rsid w:val="00EA322D"/>
    <w:rsid w:val="00EA32BD"/>
    <w:rsid w:val="00EA3376"/>
    <w:rsid w:val="00EA36AE"/>
    <w:rsid w:val="00EA3749"/>
    <w:rsid w:val="00EA37C3"/>
    <w:rsid w:val="00EA3860"/>
    <w:rsid w:val="00EA3B82"/>
    <w:rsid w:val="00EA3CA4"/>
    <w:rsid w:val="00EA3F2D"/>
    <w:rsid w:val="00EA3F30"/>
    <w:rsid w:val="00EA4188"/>
    <w:rsid w:val="00EA4303"/>
    <w:rsid w:val="00EA4386"/>
    <w:rsid w:val="00EA4505"/>
    <w:rsid w:val="00EA467F"/>
    <w:rsid w:val="00EA47C5"/>
    <w:rsid w:val="00EA49B5"/>
    <w:rsid w:val="00EA4C1E"/>
    <w:rsid w:val="00EA4CE7"/>
    <w:rsid w:val="00EA4FA3"/>
    <w:rsid w:val="00EA522C"/>
    <w:rsid w:val="00EA5323"/>
    <w:rsid w:val="00EA5B41"/>
    <w:rsid w:val="00EA6222"/>
    <w:rsid w:val="00EA6387"/>
    <w:rsid w:val="00EA6631"/>
    <w:rsid w:val="00EA66C5"/>
    <w:rsid w:val="00EA67C7"/>
    <w:rsid w:val="00EA6CF0"/>
    <w:rsid w:val="00EA6DDA"/>
    <w:rsid w:val="00EA7175"/>
    <w:rsid w:val="00EA71DF"/>
    <w:rsid w:val="00EA72F7"/>
    <w:rsid w:val="00EA74D9"/>
    <w:rsid w:val="00EA76E0"/>
    <w:rsid w:val="00EA77F5"/>
    <w:rsid w:val="00EA7952"/>
    <w:rsid w:val="00EA799D"/>
    <w:rsid w:val="00EA7A20"/>
    <w:rsid w:val="00EA7AB3"/>
    <w:rsid w:val="00EA7B4F"/>
    <w:rsid w:val="00EA7BEE"/>
    <w:rsid w:val="00EA7E63"/>
    <w:rsid w:val="00EA7ECD"/>
    <w:rsid w:val="00EB009E"/>
    <w:rsid w:val="00EB030F"/>
    <w:rsid w:val="00EB0390"/>
    <w:rsid w:val="00EB0555"/>
    <w:rsid w:val="00EB0567"/>
    <w:rsid w:val="00EB083B"/>
    <w:rsid w:val="00EB097A"/>
    <w:rsid w:val="00EB0A1A"/>
    <w:rsid w:val="00EB0B1D"/>
    <w:rsid w:val="00EB0E93"/>
    <w:rsid w:val="00EB0EBF"/>
    <w:rsid w:val="00EB0F6E"/>
    <w:rsid w:val="00EB1103"/>
    <w:rsid w:val="00EB11A2"/>
    <w:rsid w:val="00EB127A"/>
    <w:rsid w:val="00EB1494"/>
    <w:rsid w:val="00EB14EA"/>
    <w:rsid w:val="00EB152F"/>
    <w:rsid w:val="00EB1742"/>
    <w:rsid w:val="00EB183A"/>
    <w:rsid w:val="00EB187E"/>
    <w:rsid w:val="00EB18AA"/>
    <w:rsid w:val="00EB18C6"/>
    <w:rsid w:val="00EB18E3"/>
    <w:rsid w:val="00EB194A"/>
    <w:rsid w:val="00EB1980"/>
    <w:rsid w:val="00EB1A3C"/>
    <w:rsid w:val="00EB1AB1"/>
    <w:rsid w:val="00EB1C06"/>
    <w:rsid w:val="00EB1E4D"/>
    <w:rsid w:val="00EB207B"/>
    <w:rsid w:val="00EB20C7"/>
    <w:rsid w:val="00EB21DF"/>
    <w:rsid w:val="00EB230F"/>
    <w:rsid w:val="00EB2470"/>
    <w:rsid w:val="00EB25BE"/>
    <w:rsid w:val="00EB26BB"/>
    <w:rsid w:val="00EB26C5"/>
    <w:rsid w:val="00EB2984"/>
    <w:rsid w:val="00EB2A33"/>
    <w:rsid w:val="00EB2B39"/>
    <w:rsid w:val="00EB2B8C"/>
    <w:rsid w:val="00EB2D34"/>
    <w:rsid w:val="00EB2D71"/>
    <w:rsid w:val="00EB2F01"/>
    <w:rsid w:val="00EB3007"/>
    <w:rsid w:val="00EB3159"/>
    <w:rsid w:val="00EB3174"/>
    <w:rsid w:val="00EB320D"/>
    <w:rsid w:val="00EB32D2"/>
    <w:rsid w:val="00EB342B"/>
    <w:rsid w:val="00EB3491"/>
    <w:rsid w:val="00EB35BA"/>
    <w:rsid w:val="00EB382D"/>
    <w:rsid w:val="00EB3A00"/>
    <w:rsid w:val="00EB3AF2"/>
    <w:rsid w:val="00EB3B28"/>
    <w:rsid w:val="00EB3C29"/>
    <w:rsid w:val="00EB3C73"/>
    <w:rsid w:val="00EB3CD1"/>
    <w:rsid w:val="00EB3E09"/>
    <w:rsid w:val="00EB3EB5"/>
    <w:rsid w:val="00EB3F6B"/>
    <w:rsid w:val="00EB3F7B"/>
    <w:rsid w:val="00EB4214"/>
    <w:rsid w:val="00EB43D8"/>
    <w:rsid w:val="00EB4553"/>
    <w:rsid w:val="00EB459D"/>
    <w:rsid w:val="00EB4739"/>
    <w:rsid w:val="00EB4A9D"/>
    <w:rsid w:val="00EB4B21"/>
    <w:rsid w:val="00EB4C38"/>
    <w:rsid w:val="00EB4EDE"/>
    <w:rsid w:val="00EB51B8"/>
    <w:rsid w:val="00EB52A7"/>
    <w:rsid w:val="00EB5313"/>
    <w:rsid w:val="00EB54FF"/>
    <w:rsid w:val="00EB5623"/>
    <w:rsid w:val="00EB5624"/>
    <w:rsid w:val="00EB5639"/>
    <w:rsid w:val="00EB5832"/>
    <w:rsid w:val="00EB5979"/>
    <w:rsid w:val="00EB5B2F"/>
    <w:rsid w:val="00EB5B6A"/>
    <w:rsid w:val="00EB5C0D"/>
    <w:rsid w:val="00EB5DF2"/>
    <w:rsid w:val="00EB6190"/>
    <w:rsid w:val="00EB6279"/>
    <w:rsid w:val="00EB683C"/>
    <w:rsid w:val="00EB6983"/>
    <w:rsid w:val="00EB6A30"/>
    <w:rsid w:val="00EB6A40"/>
    <w:rsid w:val="00EB6AAF"/>
    <w:rsid w:val="00EB6D25"/>
    <w:rsid w:val="00EB6D73"/>
    <w:rsid w:val="00EB7039"/>
    <w:rsid w:val="00EB710C"/>
    <w:rsid w:val="00EB72E5"/>
    <w:rsid w:val="00EB7343"/>
    <w:rsid w:val="00EB7400"/>
    <w:rsid w:val="00EB7452"/>
    <w:rsid w:val="00EB74D9"/>
    <w:rsid w:val="00EB7657"/>
    <w:rsid w:val="00EB76B6"/>
    <w:rsid w:val="00EB7779"/>
    <w:rsid w:val="00EB7ACA"/>
    <w:rsid w:val="00EB7B1E"/>
    <w:rsid w:val="00EB7BE7"/>
    <w:rsid w:val="00EB7DDE"/>
    <w:rsid w:val="00EB7F68"/>
    <w:rsid w:val="00EC01A3"/>
    <w:rsid w:val="00EC0359"/>
    <w:rsid w:val="00EC03DD"/>
    <w:rsid w:val="00EC0499"/>
    <w:rsid w:val="00EC04B8"/>
    <w:rsid w:val="00EC0558"/>
    <w:rsid w:val="00EC073F"/>
    <w:rsid w:val="00EC07BD"/>
    <w:rsid w:val="00EC0835"/>
    <w:rsid w:val="00EC0D2A"/>
    <w:rsid w:val="00EC0DB0"/>
    <w:rsid w:val="00EC0E07"/>
    <w:rsid w:val="00EC0F0D"/>
    <w:rsid w:val="00EC0F60"/>
    <w:rsid w:val="00EC106C"/>
    <w:rsid w:val="00EC12C2"/>
    <w:rsid w:val="00EC132B"/>
    <w:rsid w:val="00EC14A6"/>
    <w:rsid w:val="00EC15E2"/>
    <w:rsid w:val="00EC1665"/>
    <w:rsid w:val="00EC18D2"/>
    <w:rsid w:val="00EC18DC"/>
    <w:rsid w:val="00EC190D"/>
    <w:rsid w:val="00EC193E"/>
    <w:rsid w:val="00EC198D"/>
    <w:rsid w:val="00EC1A4B"/>
    <w:rsid w:val="00EC1D36"/>
    <w:rsid w:val="00EC1DD6"/>
    <w:rsid w:val="00EC1E26"/>
    <w:rsid w:val="00EC207B"/>
    <w:rsid w:val="00EC20E4"/>
    <w:rsid w:val="00EC282A"/>
    <w:rsid w:val="00EC2854"/>
    <w:rsid w:val="00EC2A42"/>
    <w:rsid w:val="00EC2A56"/>
    <w:rsid w:val="00EC2CF8"/>
    <w:rsid w:val="00EC2F86"/>
    <w:rsid w:val="00EC3167"/>
    <w:rsid w:val="00EC33A1"/>
    <w:rsid w:val="00EC365E"/>
    <w:rsid w:val="00EC3687"/>
    <w:rsid w:val="00EC37C0"/>
    <w:rsid w:val="00EC386E"/>
    <w:rsid w:val="00EC3A4D"/>
    <w:rsid w:val="00EC3C42"/>
    <w:rsid w:val="00EC4175"/>
    <w:rsid w:val="00EC4237"/>
    <w:rsid w:val="00EC43E3"/>
    <w:rsid w:val="00EC47C1"/>
    <w:rsid w:val="00EC496A"/>
    <w:rsid w:val="00EC4AE2"/>
    <w:rsid w:val="00EC4B7E"/>
    <w:rsid w:val="00EC4D4E"/>
    <w:rsid w:val="00EC5234"/>
    <w:rsid w:val="00EC52B7"/>
    <w:rsid w:val="00EC52CB"/>
    <w:rsid w:val="00EC54BB"/>
    <w:rsid w:val="00EC568C"/>
    <w:rsid w:val="00EC56AB"/>
    <w:rsid w:val="00EC580A"/>
    <w:rsid w:val="00EC58A1"/>
    <w:rsid w:val="00EC59AE"/>
    <w:rsid w:val="00EC5A8F"/>
    <w:rsid w:val="00EC5AD5"/>
    <w:rsid w:val="00EC5BC0"/>
    <w:rsid w:val="00EC5BDC"/>
    <w:rsid w:val="00EC5E57"/>
    <w:rsid w:val="00EC5F03"/>
    <w:rsid w:val="00EC5FF4"/>
    <w:rsid w:val="00EC602D"/>
    <w:rsid w:val="00EC6054"/>
    <w:rsid w:val="00EC6136"/>
    <w:rsid w:val="00EC634F"/>
    <w:rsid w:val="00EC6B16"/>
    <w:rsid w:val="00EC71E1"/>
    <w:rsid w:val="00EC730D"/>
    <w:rsid w:val="00EC7683"/>
    <w:rsid w:val="00EC7694"/>
    <w:rsid w:val="00EC78BB"/>
    <w:rsid w:val="00EC7D35"/>
    <w:rsid w:val="00EC7D84"/>
    <w:rsid w:val="00EC7F20"/>
    <w:rsid w:val="00EC7FEE"/>
    <w:rsid w:val="00ED030E"/>
    <w:rsid w:val="00ED0335"/>
    <w:rsid w:val="00ED036E"/>
    <w:rsid w:val="00ED0A32"/>
    <w:rsid w:val="00ED0B03"/>
    <w:rsid w:val="00ED0D9B"/>
    <w:rsid w:val="00ED0EE3"/>
    <w:rsid w:val="00ED0EE8"/>
    <w:rsid w:val="00ED1064"/>
    <w:rsid w:val="00ED10C7"/>
    <w:rsid w:val="00ED10E3"/>
    <w:rsid w:val="00ED10EA"/>
    <w:rsid w:val="00ED11EF"/>
    <w:rsid w:val="00ED14FB"/>
    <w:rsid w:val="00ED1590"/>
    <w:rsid w:val="00ED18C9"/>
    <w:rsid w:val="00ED1919"/>
    <w:rsid w:val="00ED191D"/>
    <w:rsid w:val="00ED1B7A"/>
    <w:rsid w:val="00ED1C6E"/>
    <w:rsid w:val="00ED1FE7"/>
    <w:rsid w:val="00ED26D8"/>
    <w:rsid w:val="00ED28CA"/>
    <w:rsid w:val="00ED2910"/>
    <w:rsid w:val="00ED2912"/>
    <w:rsid w:val="00ED29C2"/>
    <w:rsid w:val="00ED331F"/>
    <w:rsid w:val="00ED361F"/>
    <w:rsid w:val="00ED364F"/>
    <w:rsid w:val="00ED3857"/>
    <w:rsid w:val="00ED3CC6"/>
    <w:rsid w:val="00ED3D2A"/>
    <w:rsid w:val="00ED40FC"/>
    <w:rsid w:val="00ED4133"/>
    <w:rsid w:val="00ED41AE"/>
    <w:rsid w:val="00ED41DD"/>
    <w:rsid w:val="00ED436C"/>
    <w:rsid w:val="00ED448D"/>
    <w:rsid w:val="00ED4514"/>
    <w:rsid w:val="00ED4809"/>
    <w:rsid w:val="00ED4A14"/>
    <w:rsid w:val="00ED4AE0"/>
    <w:rsid w:val="00ED4CB2"/>
    <w:rsid w:val="00ED4DCA"/>
    <w:rsid w:val="00ED4E5A"/>
    <w:rsid w:val="00ED4F74"/>
    <w:rsid w:val="00ED5222"/>
    <w:rsid w:val="00ED5232"/>
    <w:rsid w:val="00ED53D1"/>
    <w:rsid w:val="00ED557F"/>
    <w:rsid w:val="00ED570D"/>
    <w:rsid w:val="00ED5B69"/>
    <w:rsid w:val="00ED5B86"/>
    <w:rsid w:val="00ED5BDA"/>
    <w:rsid w:val="00ED5D50"/>
    <w:rsid w:val="00ED5EF6"/>
    <w:rsid w:val="00ED6050"/>
    <w:rsid w:val="00ED62A7"/>
    <w:rsid w:val="00ED62FC"/>
    <w:rsid w:val="00ED6437"/>
    <w:rsid w:val="00ED654E"/>
    <w:rsid w:val="00ED66C6"/>
    <w:rsid w:val="00ED671E"/>
    <w:rsid w:val="00ED675C"/>
    <w:rsid w:val="00ED686F"/>
    <w:rsid w:val="00ED6B84"/>
    <w:rsid w:val="00ED6DAA"/>
    <w:rsid w:val="00ED6EF2"/>
    <w:rsid w:val="00ED71E0"/>
    <w:rsid w:val="00ED73AC"/>
    <w:rsid w:val="00ED7693"/>
    <w:rsid w:val="00ED7B28"/>
    <w:rsid w:val="00ED7CAC"/>
    <w:rsid w:val="00ED7F53"/>
    <w:rsid w:val="00ED7F71"/>
    <w:rsid w:val="00ED7F86"/>
    <w:rsid w:val="00EE0251"/>
    <w:rsid w:val="00EE02C0"/>
    <w:rsid w:val="00EE05A5"/>
    <w:rsid w:val="00EE05EB"/>
    <w:rsid w:val="00EE0608"/>
    <w:rsid w:val="00EE0AE1"/>
    <w:rsid w:val="00EE0B8D"/>
    <w:rsid w:val="00EE0BB9"/>
    <w:rsid w:val="00EE0DE1"/>
    <w:rsid w:val="00EE0FA7"/>
    <w:rsid w:val="00EE1597"/>
    <w:rsid w:val="00EE168C"/>
    <w:rsid w:val="00EE16F8"/>
    <w:rsid w:val="00EE173A"/>
    <w:rsid w:val="00EE1802"/>
    <w:rsid w:val="00EE1846"/>
    <w:rsid w:val="00EE1A33"/>
    <w:rsid w:val="00EE1E3B"/>
    <w:rsid w:val="00EE20B6"/>
    <w:rsid w:val="00EE210D"/>
    <w:rsid w:val="00EE21CB"/>
    <w:rsid w:val="00EE21EF"/>
    <w:rsid w:val="00EE231F"/>
    <w:rsid w:val="00EE2805"/>
    <w:rsid w:val="00EE29E8"/>
    <w:rsid w:val="00EE2F83"/>
    <w:rsid w:val="00EE3001"/>
    <w:rsid w:val="00EE3121"/>
    <w:rsid w:val="00EE3136"/>
    <w:rsid w:val="00EE323D"/>
    <w:rsid w:val="00EE3314"/>
    <w:rsid w:val="00EE339A"/>
    <w:rsid w:val="00EE36B5"/>
    <w:rsid w:val="00EE3787"/>
    <w:rsid w:val="00EE37F3"/>
    <w:rsid w:val="00EE3807"/>
    <w:rsid w:val="00EE385A"/>
    <w:rsid w:val="00EE38C6"/>
    <w:rsid w:val="00EE39E8"/>
    <w:rsid w:val="00EE3A6B"/>
    <w:rsid w:val="00EE3A93"/>
    <w:rsid w:val="00EE3B26"/>
    <w:rsid w:val="00EE3E9D"/>
    <w:rsid w:val="00EE40A1"/>
    <w:rsid w:val="00EE42FD"/>
    <w:rsid w:val="00EE43CB"/>
    <w:rsid w:val="00EE4CA7"/>
    <w:rsid w:val="00EE4DE0"/>
    <w:rsid w:val="00EE4EE0"/>
    <w:rsid w:val="00EE5047"/>
    <w:rsid w:val="00EE50E2"/>
    <w:rsid w:val="00EE5203"/>
    <w:rsid w:val="00EE52C5"/>
    <w:rsid w:val="00EE5489"/>
    <w:rsid w:val="00EE57EB"/>
    <w:rsid w:val="00EE5CA3"/>
    <w:rsid w:val="00EE5DA5"/>
    <w:rsid w:val="00EE5EF7"/>
    <w:rsid w:val="00EE5F90"/>
    <w:rsid w:val="00EE5FD4"/>
    <w:rsid w:val="00EE60F0"/>
    <w:rsid w:val="00EE63ED"/>
    <w:rsid w:val="00EE642C"/>
    <w:rsid w:val="00EE6759"/>
    <w:rsid w:val="00EE677F"/>
    <w:rsid w:val="00EE6AA1"/>
    <w:rsid w:val="00EE6B55"/>
    <w:rsid w:val="00EE6CB1"/>
    <w:rsid w:val="00EE6E32"/>
    <w:rsid w:val="00EE702B"/>
    <w:rsid w:val="00EE7040"/>
    <w:rsid w:val="00EE7363"/>
    <w:rsid w:val="00EE7568"/>
    <w:rsid w:val="00EE7838"/>
    <w:rsid w:val="00EE7B88"/>
    <w:rsid w:val="00EE7BE7"/>
    <w:rsid w:val="00EE7E9E"/>
    <w:rsid w:val="00EE7FF9"/>
    <w:rsid w:val="00EF00EF"/>
    <w:rsid w:val="00EF02C1"/>
    <w:rsid w:val="00EF0353"/>
    <w:rsid w:val="00EF0453"/>
    <w:rsid w:val="00EF0715"/>
    <w:rsid w:val="00EF0B17"/>
    <w:rsid w:val="00EF0BD3"/>
    <w:rsid w:val="00EF0BF2"/>
    <w:rsid w:val="00EF0CFB"/>
    <w:rsid w:val="00EF0D8B"/>
    <w:rsid w:val="00EF12D1"/>
    <w:rsid w:val="00EF1788"/>
    <w:rsid w:val="00EF181A"/>
    <w:rsid w:val="00EF18C3"/>
    <w:rsid w:val="00EF1936"/>
    <w:rsid w:val="00EF1AB2"/>
    <w:rsid w:val="00EF1ACE"/>
    <w:rsid w:val="00EF1B40"/>
    <w:rsid w:val="00EF1C43"/>
    <w:rsid w:val="00EF2089"/>
    <w:rsid w:val="00EF20C7"/>
    <w:rsid w:val="00EF21DC"/>
    <w:rsid w:val="00EF22B6"/>
    <w:rsid w:val="00EF242C"/>
    <w:rsid w:val="00EF2597"/>
    <w:rsid w:val="00EF29E1"/>
    <w:rsid w:val="00EF2AB7"/>
    <w:rsid w:val="00EF2AC6"/>
    <w:rsid w:val="00EF2C57"/>
    <w:rsid w:val="00EF2D7A"/>
    <w:rsid w:val="00EF2FB6"/>
    <w:rsid w:val="00EF2FBF"/>
    <w:rsid w:val="00EF31FA"/>
    <w:rsid w:val="00EF327B"/>
    <w:rsid w:val="00EF34F0"/>
    <w:rsid w:val="00EF37FE"/>
    <w:rsid w:val="00EF4091"/>
    <w:rsid w:val="00EF4126"/>
    <w:rsid w:val="00EF4127"/>
    <w:rsid w:val="00EF4AA5"/>
    <w:rsid w:val="00EF4AE6"/>
    <w:rsid w:val="00EF4B41"/>
    <w:rsid w:val="00EF4C8B"/>
    <w:rsid w:val="00EF4E9C"/>
    <w:rsid w:val="00EF4FCE"/>
    <w:rsid w:val="00EF51B8"/>
    <w:rsid w:val="00EF5254"/>
    <w:rsid w:val="00EF529A"/>
    <w:rsid w:val="00EF52BA"/>
    <w:rsid w:val="00EF541F"/>
    <w:rsid w:val="00EF5496"/>
    <w:rsid w:val="00EF5574"/>
    <w:rsid w:val="00EF5771"/>
    <w:rsid w:val="00EF5806"/>
    <w:rsid w:val="00EF5867"/>
    <w:rsid w:val="00EF5A84"/>
    <w:rsid w:val="00EF5AC4"/>
    <w:rsid w:val="00EF5C2A"/>
    <w:rsid w:val="00EF5DB0"/>
    <w:rsid w:val="00EF5FA6"/>
    <w:rsid w:val="00EF671E"/>
    <w:rsid w:val="00EF697C"/>
    <w:rsid w:val="00EF69B9"/>
    <w:rsid w:val="00EF6B4E"/>
    <w:rsid w:val="00EF6F1A"/>
    <w:rsid w:val="00EF702C"/>
    <w:rsid w:val="00EF721F"/>
    <w:rsid w:val="00EF7561"/>
    <w:rsid w:val="00EF7568"/>
    <w:rsid w:val="00EF7668"/>
    <w:rsid w:val="00EF772D"/>
    <w:rsid w:val="00EF7B0A"/>
    <w:rsid w:val="00F0002D"/>
    <w:rsid w:val="00F0044C"/>
    <w:rsid w:val="00F0049A"/>
    <w:rsid w:val="00F004F1"/>
    <w:rsid w:val="00F0051E"/>
    <w:rsid w:val="00F00528"/>
    <w:rsid w:val="00F00583"/>
    <w:rsid w:val="00F005CF"/>
    <w:rsid w:val="00F0078A"/>
    <w:rsid w:val="00F0082D"/>
    <w:rsid w:val="00F008C3"/>
    <w:rsid w:val="00F008E1"/>
    <w:rsid w:val="00F009E4"/>
    <w:rsid w:val="00F00A9A"/>
    <w:rsid w:val="00F00ABC"/>
    <w:rsid w:val="00F00B30"/>
    <w:rsid w:val="00F00BF7"/>
    <w:rsid w:val="00F00D51"/>
    <w:rsid w:val="00F00F6E"/>
    <w:rsid w:val="00F01120"/>
    <w:rsid w:val="00F011A1"/>
    <w:rsid w:val="00F012B7"/>
    <w:rsid w:val="00F012BE"/>
    <w:rsid w:val="00F01712"/>
    <w:rsid w:val="00F01781"/>
    <w:rsid w:val="00F018FB"/>
    <w:rsid w:val="00F02153"/>
    <w:rsid w:val="00F02159"/>
    <w:rsid w:val="00F02313"/>
    <w:rsid w:val="00F024A5"/>
    <w:rsid w:val="00F02556"/>
    <w:rsid w:val="00F025E3"/>
    <w:rsid w:val="00F02BCB"/>
    <w:rsid w:val="00F02C79"/>
    <w:rsid w:val="00F02E51"/>
    <w:rsid w:val="00F0306F"/>
    <w:rsid w:val="00F030FF"/>
    <w:rsid w:val="00F0314F"/>
    <w:rsid w:val="00F03228"/>
    <w:rsid w:val="00F0334E"/>
    <w:rsid w:val="00F033BE"/>
    <w:rsid w:val="00F034A5"/>
    <w:rsid w:val="00F035A6"/>
    <w:rsid w:val="00F035EB"/>
    <w:rsid w:val="00F038E5"/>
    <w:rsid w:val="00F03A00"/>
    <w:rsid w:val="00F03BC8"/>
    <w:rsid w:val="00F03BEE"/>
    <w:rsid w:val="00F03D1B"/>
    <w:rsid w:val="00F03D58"/>
    <w:rsid w:val="00F03FB6"/>
    <w:rsid w:val="00F03FC3"/>
    <w:rsid w:val="00F040A5"/>
    <w:rsid w:val="00F04222"/>
    <w:rsid w:val="00F0454F"/>
    <w:rsid w:val="00F0491E"/>
    <w:rsid w:val="00F04FC9"/>
    <w:rsid w:val="00F052DD"/>
    <w:rsid w:val="00F055C4"/>
    <w:rsid w:val="00F05843"/>
    <w:rsid w:val="00F05959"/>
    <w:rsid w:val="00F05FDA"/>
    <w:rsid w:val="00F06537"/>
    <w:rsid w:val="00F0657F"/>
    <w:rsid w:val="00F065BB"/>
    <w:rsid w:val="00F06762"/>
    <w:rsid w:val="00F06825"/>
    <w:rsid w:val="00F06AB6"/>
    <w:rsid w:val="00F06C21"/>
    <w:rsid w:val="00F07324"/>
    <w:rsid w:val="00F075CF"/>
    <w:rsid w:val="00F077D2"/>
    <w:rsid w:val="00F0786D"/>
    <w:rsid w:val="00F079CE"/>
    <w:rsid w:val="00F07AC0"/>
    <w:rsid w:val="00F07C0B"/>
    <w:rsid w:val="00F07C90"/>
    <w:rsid w:val="00F07E74"/>
    <w:rsid w:val="00F07F2F"/>
    <w:rsid w:val="00F101BC"/>
    <w:rsid w:val="00F10266"/>
    <w:rsid w:val="00F10270"/>
    <w:rsid w:val="00F10C46"/>
    <w:rsid w:val="00F10C63"/>
    <w:rsid w:val="00F11036"/>
    <w:rsid w:val="00F111F8"/>
    <w:rsid w:val="00F11315"/>
    <w:rsid w:val="00F1157E"/>
    <w:rsid w:val="00F11608"/>
    <w:rsid w:val="00F1162F"/>
    <w:rsid w:val="00F1166C"/>
    <w:rsid w:val="00F116C1"/>
    <w:rsid w:val="00F116EA"/>
    <w:rsid w:val="00F118C6"/>
    <w:rsid w:val="00F119D5"/>
    <w:rsid w:val="00F11A1B"/>
    <w:rsid w:val="00F11A64"/>
    <w:rsid w:val="00F11B61"/>
    <w:rsid w:val="00F11DF0"/>
    <w:rsid w:val="00F121C6"/>
    <w:rsid w:val="00F129C3"/>
    <w:rsid w:val="00F12B70"/>
    <w:rsid w:val="00F12C7B"/>
    <w:rsid w:val="00F12D59"/>
    <w:rsid w:val="00F12DD0"/>
    <w:rsid w:val="00F12ECF"/>
    <w:rsid w:val="00F13136"/>
    <w:rsid w:val="00F131E0"/>
    <w:rsid w:val="00F13433"/>
    <w:rsid w:val="00F134FB"/>
    <w:rsid w:val="00F1376C"/>
    <w:rsid w:val="00F13799"/>
    <w:rsid w:val="00F1383A"/>
    <w:rsid w:val="00F139BE"/>
    <w:rsid w:val="00F139BF"/>
    <w:rsid w:val="00F13F4A"/>
    <w:rsid w:val="00F13FF2"/>
    <w:rsid w:val="00F141DD"/>
    <w:rsid w:val="00F14265"/>
    <w:rsid w:val="00F145D4"/>
    <w:rsid w:val="00F145D6"/>
    <w:rsid w:val="00F14723"/>
    <w:rsid w:val="00F149A2"/>
    <w:rsid w:val="00F14A3B"/>
    <w:rsid w:val="00F14C87"/>
    <w:rsid w:val="00F14EFB"/>
    <w:rsid w:val="00F1517D"/>
    <w:rsid w:val="00F15411"/>
    <w:rsid w:val="00F1552D"/>
    <w:rsid w:val="00F15560"/>
    <w:rsid w:val="00F155BE"/>
    <w:rsid w:val="00F15640"/>
    <w:rsid w:val="00F159E2"/>
    <w:rsid w:val="00F15A26"/>
    <w:rsid w:val="00F15CCD"/>
    <w:rsid w:val="00F16054"/>
    <w:rsid w:val="00F16165"/>
    <w:rsid w:val="00F1620A"/>
    <w:rsid w:val="00F166B5"/>
    <w:rsid w:val="00F167C1"/>
    <w:rsid w:val="00F16E85"/>
    <w:rsid w:val="00F16F8B"/>
    <w:rsid w:val="00F1749E"/>
    <w:rsid w:val="00F176F9"/>
    <w:rsid w:val="00F1777B"/>
    <w:rsid w:val="00F178E3"/>
    <w:rsid w:val="00F17B48"/>
    <w:rsid w:val="00F17CF9"/>
    <w:rsid w:val="00F20109"/>
    <w:rsid w:val="00F2014B"/>
    <w:rsid w:val="00F20469"/>
    <w:rsid w:val="00F20565"/>
    <w:rsid w:val="00F20592"/>
    <w:rsid w:val="00F205F8"/>
    <w:rsid w:val="00F207AB"/>
    <w:rsid w:val="00F209F6"/>
    <w:rsid w:val="00F20B16"/>
    <w:rsid w:val="00F20C19"/>
    <w:rsid w:val="00F20CC9"/>
    <w:rsid w:val="00F20D04"/>
    <w:rsid w:val="00F20D20"/>
    <w:rsid w:val="00F20E53"/>
    <w:rsid w:val="00F20EC0"/>
    <w:rsid w:val="00F20F75"/>
    <w:rsid w:val="00F20F7A"/>
    <w:rsid w:val="00F21357"/>
    <w:rsid w:val="00F2168A"/>
    <w:rsid w:val="00F219F4"/>
    <w:rsid w:val="00F21B57"/>
    <w:rsid w:val="00F21CE6"/>
    <w:rsid w:val="00F21E2C"/>
    <w:rsid w:val="00F21E8A"/>
    <w:rsid w:val="00F21EBD"/>
    <w:rsid w:val="00F21F22"/>
    <w:rsid w:val="00F22296"/>
    <w:rsid w:val="00F222F5"/>
    <w:rsid w:val="00F223A9"/>
    <w:rsid w:val="00F2241F"/>
    <w:rsid w:val="00F224B0"/>
    <w:rsid w:val="00F227A1"/>
    <w:rsid w:val="00F227C7"/>
    <w:rsid w:val="00F22A14"/>
    <w:rsid w:val="00F22A98"/>
    <w:rsid w:val="00F22ADE"/>
    <w:rsid w:val="00F22C9A"/>
    <w:rsid w:val="00F22E89"/>
    <w:rsid w:val="00F22FBB"/>
    <w:rsid w:val="00F232A8"/>
    <w:rsid w:val="00F236AB"/>
    <w:rsid w:val="00F236FC"/>
    <w:rsid w:val="00F23D6F"/>
    <w:rsid w:val="00F23DC3"/>
    <w:rsid w:val="00F23F0C"/>
    <w:rsid w:val="00F24140"/>
    <w:rsid w:val="00F24143"/>
    <w:rsid w:val="00F241CB"/>
    <w:rsid w:val="00F24348"/>
    <w:rsid w:val="00F245DD"/>
    <w:rsid w:val="00F2461D"/>
    <w:rsid w:val="00F24976"/>
    <w:rsid w:val="00F24A8F"/>
    <w:rsid w:val="00F24E09"/>
    <w:rsid w:val="00F25488"/>
    <w:rsid w:val="00F254D3"/>
    <w:rsid w:val="00F25535"/>
    <w:rsid w:val="00F2554A"/>
    <w:rsid w:val="00F25591"/>
    <w:rsid w:val="00F255F2"/>
    <w:rsid w:val="00F25805"/>
    <w:rsid w:val="00F25955"/>
    <w:rsid w:val="00F259AD"/>
    <w:rsid w:val="00F25A3E"/>
    <w:rsid w:val="00F25A5F"/>
    <w:rsid w:val="00F25A9D"/>
    <w:rsid w:val="00F25C91"/>
    <w:rsid w:val="00F25E28"/>
    <w:rsid w:val="00F26136"/>
    <w:rsid w:val="00F263B0"/>
    <w:rsid w:val="00F26672"/>
    <w:rsid w:val="00F266E0"/>
    <w:rsid w:val="00F26714"/>
    <w:rsid w:val="00F26811"/>
    <w:rsid w:val="00F26AB5"/>
    <w:rsid w:val="00F26C31"/>
    <w:rsid w:val="00F26CCF"/>
    <w:rsid w:val="00F26D7F"/>
    <w:rsid w:val="00F26E43"/>
    <w:rsid w:val="00F26E81"/>
    <w:rsid w:val="00F26EF1"/>
    <w:rsid w:val="00F27140"/>
    <w:rsid w:val="00F271CB"/>
    <w:rsid w:val="00F27267"/>
    <w:rsid w:val="00F2745A"/>
    <w:rsid w:val="00F27539"/>
    <w:rsid w:val="00F275D4"/>
    <w:rsid w:val="00F2788C"/>
    <w:rsid w:val="00F27A2F"/>
    <w:rsid w:val="00F27FBB"/>
    <w:rsid w:val="00F30258"/>
    <w:rsid w:val="00F302B4"/>
    <w:rsid w:val="00F3030B"/>
    <w:rsid w:val="00F30362"/>
    <w:rsid w:val="00F30385"/>
    <w:rsid w:val="00F30399"/>
    <w:rsid w:val="00F3041E"/>
    <w:rsid w:val="00F3045B"/>
    <w:rsid w:val="00F3051E"/>
    <w:rsid w:val="00F30764"/>
    <w:rsid w:val="00F30AF6"/>
    <w:rsid w:val="00F30BC6"/>
    <w:rsid w:val="00F30BED"/>
    <w:rsid w:val="00F30C2F"/>
    <w:rsid w:val="00F30D9B"/>
    <w:rsid w:val="00F30DEC"/>
    <w:rsid w:val="00F30EA5"/>
    <w:rsid w:val="00F30F34"/>
    <w:rsid w:val="00F31061"/>
    <w:rsid w:val="00F3108E"/>
    <w:rsid w:val="00F31311"/>
    <w:rsid w:val="00F31553"/>
    <w:rsid w:val="00F315F8"/>
    <w:rsid w:val="00F317F7"/>
    <w:rsid w:val="00F31894"/>
    <w:rsid w:val="00F31C53"/>
    <w:rsid w:val="00F31D41"/>
    <w:rsid w:val="00F31DA8"/>
    <w:rsid w:val="00F31FB9"/>
    <w:rsid w:val="00F32774"/>
    <w:rsid w:val="00F328B1"/>
    <w:rsid w:val="00F32BB5"/>
    <w:rsid w:val="00F32BCE"/>
    <w:rsid w:val="00F32CC9"/>
    <w:rsid w:val="00F32E0D"/>
    <w:rsid w:val="00F32E2C"/>
    <w:rsid w:val="00F32EA1"/>
    <w:rsid w:val="00F32EAA"/>
    <w:rsid w:val="00F3311B"/>
    <w:rsid w:val="00F3313B"/>
    <w:rsid w:val="00F3321D"/>
    <w:rsid w:val="00F33303"/>
    <w:rsid w:val="00F33355"/>
    <w:rsid w:val="00F3383B"/>
    <w:rsid w:val="00F33FD8"/>
    <w:rsid w:val="00F34014"/>
    <w:rsid w:val="00F3409F"/>
    <w:rsid w:val="00F341E0"/>
    <w:rsid w:val="00F342AE"/>
    <w:rsid w:val="00F342CF"/>
    <w:rsid w:val="00F342E0"/>
    <w:rsid w:val="00F346E9"/>
    <w:rsid w:val="00F347A4"/>
    <w:rsid w:val="00F35035"/>
    <w:rsid w:val="00F3514D"/>
    <w:rsid w:val="00F355D6"/>
    <w:rsid w:val="00F3564B"/>
    <w:rsid w:val="00F3567F"/>
    <w:rsid w:val="00F359E7"/>
    <w:rsid w:val="00F35B5D"/>
    <w:rsid w:val="00F35BE9"/>
    <w:rsid w:val="00F35C8C"/>
    <w:rsid w:val="00F35E4A"/>
    <w:rsid w:val="00F35F62"/>
    <w:rsid w:val="00F35FBE"/>
    <w:rsid w:val="00F360AE"/>
    <w:rsid w:val="00F36146"/>
    <w:rsid w:val="00F363AD"/>
    <w:rsid w:val="00F364D8"/>
    <w:rsid w:val="00F367D3"/>
    <w:rsid w:val="00F369A8"/>
    <w:rsid w:val="00F36A4A"/>
    <w:rsid w:val="00F36CCD"/>
    <w:rsid w:val="00F36D12"/>
    <w:rsid w:val="00F37589"/>
    <w:rsid w:val="00F37785"/>
    <w:rsid w:val="00F37A5E"/>
    <w:rsid w:val="00F37B09"/>
    <w:rsid w:val="00F402E1"/>
    <w:rsid w:val="00F40433"/>
    <w:rsid w:val="00F40668"/>
    <w:rsid w:val="00F4067E"/>
    <w:rsid w:val="00F40849"/>
    <w:rsid w:val="00F40916"/>
    <w:rsid w:val="00F40938"/>
    <w:rsid w:val="00F409E2"/>
    <w:rsid w:val="00F40AA2"/>
    <w:rsid w:val="00F40D6A"/>
    <w:rsid w:val="00F40DCD"/>
    <w:rsid w:val="00F411A0"/>
    <w:rsid w:val="00F411D2"/>
    <w:rsid w:val="00F41516"/>
    <w:rsid w:val="00F41674"/>
    <w:rsid w:val="00F416E9"/>
    <w:rsid w:val="00F417C9"/>
    <w:rsid w:val="00F4185F"/>
    <w:rsid w:val="00F41A90"/>
    <w:rsid w:val="00F41BA7"/>
    <w:rsid w:val="00F41D27"/>
    <w:rsid w:val="00F41DDD"/>
    <w:rsid w:val="00F420FE"/>
    <w:rsid w:val="00F4220C"/>
    <w:rsid w:val="00F4223D"/>
    <w:rsid w:val="00F42356"/>
    <w:rsid w:val="00F4240B"/>
    <w:rsid w:val="00F424D2"/>
    <w:rsid w:val="00F4252E"/>
    <w:rsid w:val="00F425F1"/>
    <w:rsid w:val="00F4283F"/>
    <w:rsid w:val="00F42897"/>
    <w:rsid w:val="00F4292F"/>
    <w:rsid w:val="00F429BC"/>
    <w:rsid w:val="00F42B60"/>
    <w:rsid w:val="00F42D2D"/>
    <w:rsid w:val="00F42DC6"/>
    <w:rsid w:val="00F42EFC"/>
    <w:rsid w:val="00F4301D"/>
    <w:rsid w:val="00F430A6"/>
    <w:rsid w:val="00F4325B"/>
    <w:rsid w:val="00F43274"/>
    <w:rsid w:val="00F433C2"/>
    <w:rsid w:val="00F4362E"/>
    <w:rsid w:val="00F43677"/>
    <w:rsid w:val="00F4368C"/>
    <w:rsid w:val="00F436F5"/>
    <w:rsid w:val="00F43942"/>
    <w:rsid w:val="00F439C3"/>
    <w:rsid w:val="00F43AA1"/>
    <w:rsid w:val="00F43FFB"/>
    <w:rsid w:val="00F442C9"/>
    <w:rsid w:val="00F44330"/>
    <w:rsid w:val="00F44A88"/>
    <w:rsid w:val="00F44B5F"/>
    <w:rsid w:val="00F44F30"/>
    <w:rsid w:val="00F45096"/>
    <w:rsid w:val="00F4518D"/>
    <w:rsid w:val="00F451E8"/>
    <w:rsid w:val="00F4529A"/>
    <w:rsid w:val="00F454E2"/>
    <w:rsid w:val="00F45736"/>
    <w:rsid w:val="00F459B6"/>
    <w:rsid w:val="00F459ED"/>
    <w:rsid w:val="00F459F9"/>
    <w:rsid w:val="00F45ABF"/>
    <w:rsid w:val="00F45AFA"/>
    <w:rsid w:val="00F45B0D"/>
    <w:rsid w:val="00F45E57"/>
    <w:rsid w:val="00F4621F"/>
    <w:rsid w:val="00F462CA"/>
    <w:rsid w:val="00F46301"/>
    <w:rsid w:val="00F464CE"/>
    <w:rsid w:val="00F467A3"/>
    <w:rsid w:val="00F468AD"/>
    <w:rsid w:val="00F46926"/>
    <w:rsid w:val="00F46C8F"/>
    <w:rsid w:val="00F46E91"/>
    <w:rsid w:val="00F46EFD"/>
    <w:rsid w:val="00F47004"/>
    <w:rsid w:val="00F4711D"/>
    <w:rsid w:val="00F47199"/>
    <w:rsid w:val="00F47407"/>
    <w:rsid w:val="00F4763F"/>
    <w:rsid w:val="00F4769C"/>
    <w:rsid w:val="00F47726"/>
    <w:rsid w:val="00F47983"/>
    <w:rsid w:val="00F47985"/>
    <w:rsid w:val="00F47B37"/>
    <w:rsid w:val="00F47D8B"/>
    <w:rsid w:val="00F500C7"/>
    <w:rsid w:val="00F5017D"/>
    <w:rsid w:val="00F501B7"/>
    <w:rsid w:val="00F50396"/>
    <w:rsid w:val="00F50555"/>
    <w:rsid w:val="00F50599"/>
    <w:rsid w:val="00F50603"/>
    <w:rsid w:val="00F5098A"/>
    <w:rsid w:val="00F50D68"/>
    <w:rsid w:val="00F50E64"/>
    <w:rsid w:val="00F50E8E"/>
    <w:rsid w:val="00F51030"/>
    <w:rsid w:val="00F5106D"/>
    <w:rsid w:val="00F510A0"/>
    <w:rsid w:val="00F511AE"/>
    <w:rsid w:val="00F514B8"/>
    <w:rsid w:val="00F51685"/>
    <w:rsid w:val="00F5184F"/>
    <w:rsid w:val="00F5191C"/>
    <w:rsid w:val="00F51C13"/>
    <w:rsid w:val="00F51D59"/>
    <w:rsid w:val="00F51E67"/>
    <w:rsid w:val="00F51E8B"/>
    <w:rsid w:val="00F52377"/>
    <w:rsid w:val="00F52453"/>
    <w:rsid w:val="00F52592"/>
    <w:rsid w:val="00F52A66"/>
    <w:rsid w:val="00F52B21"/>
    <w:rsid w:val="00F52D21"/>
    <w:rsid w:val="00F52D89"/>
    <w:rsid w:val="00F52ECE"/>
    <w:rsid w:val="00F52F7C"/>
    <w:rsid w:val="00F53068"/>
    <w:rsid w:val="00F534FE"/>
    <w:rsid w:val="00F53900"/>
    <w:rsid w:val="00F539AF"/>
    <w:rsid w:val="00F53A56"/>
    <w:rsid w:val="00F53AE6"/>
    <w:rsid w:val="00F53B21"/>
    <w:rsid w:val="00F53C0F"/>
    <w:rsid w:val="00F53C2D"/>
    <w:rsid w:val="00F53C69"/>
    <w:rsid w:val="00F54084"/>
    <w:rsid w:val="00F5416D"/>
    <w:rsid w:val="00F543F6"/>
    <w:rsid w:val="00F54438"/>
    <w:rsid w:val="00F54A4F"/>
    <w:rsid w:val="00F54C17"/>
    <w:rsid w:val="00F54DA3"/>
    <w:rsid w:val="00F54F4E"/>
    <w:rsid w:val="00F55182"/>
    <w:rsid w:val="00F55250"/>
    <w:rsid w:val="00F5532D"/>
    <w:rsid w:val="00F556E7"/>
    <w:rsid w:val="00F55822"/>
    <w:rsid w:val="00F55823"/>
    <w:rsid w:val="00F55BC3"/>
    <w:rsid w:val="00F55CF0"/>
    <w:rsid w:val="00F56130"/>
    <w:rsid w:val="00F56142"/>
    <w:rsid w:val="00F56145"/>
    <w:rsid w:val="00F56159"/>
    <w:rsid w:val="00F561FB"/>
    <w:rsid w:val="00F56635"/>
    <w:rsid w:val="00F56853"/>
    <w:rsid w:val="00F56919"/>
    <w:rsid w:val="00F569DC"/>
    <w:rsid w:val="00F569EE"/>
    <w:rsid w:val="00F56A8C"/>
    <w:rsid w:val="00F56AB8"/>
    <w:rsid w:val="00F56CA0"/>
    <w:rsid w:val="00F56F6C"/>
    <w:rsid w:val="00F56F71"/>
    <w:rsid w:val="00F56FCF"/>
    <w:rsid w:val="00F570D5"/>
    <w:rsid w:val="00F5721C"/>
    <w:rsid w:val="00F57540"/>
    <w:rsid w:val="00F57542"/>
    <w:rsid w:val="00F575CA"/>
    <w:rsid w:val="00F5766A"/>
    <w:rsid w:val="00F5768D"/>
    <w:rsid w:val="00F576AC"/>
    <w:rsid w:val="00F57969"/>
    <w:rsid w:val="00F57AA1"/>
    <w:rsid w:val="00F57BEC"/>
    <w:rsid w:val="00F57E62"/>
    <w:rsid w:val="00F57EF5"/>
    <w:rsid w:val="00F601DA"/>
    <w:rsid w:val="00F602A1"/>
    <w:rsid w:val="00F60517"/>
    <w:rsid w:val="00F60936"/>
    <w:rsid w:val="00F609C4"/>
    <w:rsid w:val="00F60A07"/>
    <w:rsid w:val="00F60AC8"/>
    <w:rsid w:val="00F60ACE"/>
    <w:rsid w:val="00F61241"/>
    <w:rsid w:val="00F61266"/>
    <w:rsid w:val="00F61394"/>
    <w:rsid w:val="00F613D2"/>
    <w:rsid w:val="00F614E5"/>
    <w:rsid w:val="00F61A82"/>
    <w:rsid w:val="00F61C76"/>
    <w:rsid w:val="00F61E7C"/>
    <w:rsid w:val="00F620A2"/>
    <w:rsid w:val="00F62373"/>
    <w:rsid w:val="00F623DC"/>
    <w:rsid w:val="00F62552"/>
    <w:rsid w:val="00F626C0"/>
    <w:rsid w:val="00F62708"/>
    <w:rsid w:val="00F62819"/>
    <w:rsid w:val="00F62BCD"/>
    <w:rsid w:val="00F62CFA"/>
    <w:rsid w:val="00F62DBC"/>
    <w:rsid w:val="00F62F69"/>
    <w:rsid w:val="00F630CF"/>
    <w:rsid w:val="00F63201"/>
    <w:rsid w:val="00F632E1"/>
    <w:rsid w:val="00F6354E"/>
    <w:rsid w:val="00F635C6"/>
    <w:rsid w:val="00F63672"/>
    <w:rsid w:val="00F6377B"/>
    <w:rsid w:val="00F6424B"/>
    <w:rsid w:val="00F642C2"/>
    <w:rsid w:val="00F645FF"/>
    <w:rsid w:val="00F64AAB"/>
    <w:rsid w:val="00F64E63"/>
    <w:rsid w:val="00F65124"/>
    <w:rsid w:val="00F65527"/>
    <w:rsid w:val="00F6552A"/>
    <w:rsid w:val="00F655A7"/>
    <w:rsid w:val="00F6571A"/>
    <w:rsid w:val="00F6585B"/>
    <w:rsid w:val="00F65E4D"/>
    <w:rsid w:val="00F65ECE"/>
    <w:rsid w:val="00F65F65"/>
    <w:rsid w:val="00F65FCB"/>
    <w:rsid w:val="00F660CE"/>
    <w:rsid w:val="00F6637B"/>
    <w:rsid w:val="00F66487"/>
    <w:rsid w:val="00F664AE"/>
    <w:rsid w:val="00F665A1"/>
    <w:rsid w:val="00F665F8"/>
    <w:rsid w:val="00F667D2"/>
    <w:rsid w:val="00F668CE"/>
    <w:rsid w:val="00F66912"/>
    <w:rsid w:val="00F66B9F"/>
    <w:rsid w:val="00F66E9C"/>
    <w:rsid w:val="00F66EC7"/>
    <w:rsid w:val="00F670F0"/>
    <w:rsid w:val="00F6716A"/>
    <w:rsid w:val="00F674D4"/>
    <w:rsid w:val="00F67858"/>
    <w:rsid w:val="00F67B70"/>
    <w:rsid w:val="00F67C88"/>
    <w:rsid w:val="00F67CF7"/>
    <w:rsid w:val="00F67E07"/>
    <w:rsid w:val="00F67EFE"/>
    <w:rsid w:val="00F70177"/>
    <w:rsid w:val="00F702E9"/>
    <w:rsid w:val="00F7068D"/>
    <w:rsid w:val="00F707CE"/>
    <w:rsid w:val="00F707E7"/>
    <w:rsid w:val="00F707F6"/>
    <w:rsid w:val="00F7080F"/>
    <w:rsid w:val="00F70957"/>
    <w:rsid w:val="00F70982"/>
    <w:rsid w:val="00F70CE8"/>
    <w:rsid w:val="00F70D20"/>
    <w:rsid w:val="00F70F6C"/>
    <w:rsid w:val="00F70FB8"/>
    <w:rsid w:val="00F710CB"/>
    <w:rsid w:val="00F712E3"/>
    <w:rsid w:val="00F714EF"/>
    <w:rsid w:val="00F716E9"/>
    <w:rsid w:val="00F71731"/>
    <w:rsid w:val="00F71759"/>
    <w:rsid w:val="00F7180E"/>
    <w:rsid w:val="00F718CA"/>
    <w:rsid w:val="00F71929"/>
    <w:rsid w:val="00F71A0E"/>
    <w:rsid w:val="00F71B27"/>
    <w:rsid w:val="00F71D04"/>
    <w:rsid w:val="00F71FC4"/>
    <w:rsid w:val="00F72134"/>
    <w:rsid w:val="00F721F6"/>
    <w:rsid w:val="00F722B1"/>
    <w:rsid w:val="00F7232F"/>
    <w:rsid w:val="00F723BC"/>
    <w:rsid w:val="00F724CC"/>
    <w:rsid w:val="00F725F1"/>
    <w:rsid w:val="00F72961"/>
    <w:rsid w:val="00F72A1E"/>
    <w:rsid w:val="00F72B4F"/>
    <w:rsid w:val="00F72CAC"/>
    <w:rsid w:val="00F72F40"/>
    <w:rsid w:val="00F73059"/>
    <w:rsid w:val="00F734B9"/>
    <w:rsid w:val="00F736BC"/>
    <w:rsid w:val="00F736FA"/>
    <w:rsid w:val="00F7377B"/>
    <w:rsid w:val="00F737D5"/>
    <w:rsid w:val="00F737F5"/>
    <w:rsid w:val="00F73821"/>
    <w:rsid w:val="00F739AE"/>
    <w:rsid w:val="00F739EE"/>
    <w:rsid w:val="00F73C50"/>
    <w:rsid w:val="00F73E65"/>
    <w:rsid w:val="00F74484"/>
    <w:rsid w:val="00F744E4"/>
    <w:rsid w:val="00F74662"/>
    <w:rsid w:val="00F748E5"/>
    <w:rsid w:val="00F74A59"/>
    <w:rsid w:val="00F74EAB"/>
    <w:rsid w:val="00F74ED3"/>
    <w:rsid w:val="00F74F6B"/>
    <w:rsid w:val="00F74FB9"/>
    <w:rsid w:val="00F74FFC"/>
    <w:rsid w:val="00F75078"/>
    <w:rsid w:val="00F7523D"/>
    <w:rsid w:val="00F75B0A"/>
    <w:rsid w:val="00F75CA5"/>
    <w:rsid w:val="00F75D5B"/>
    <w:rsid w:val="00F75EAF"/>
    <w:rsid w:val="00F760CC"/>
    <w:rsid w:val="00F7686D"/>
    <w:rsid w:val="00F768E5"/>
    <w:rsid w:val="00F76AF1"/>
    <w:rsid w:val="00F76D5F"/>
    <w:rsid w:val="00F77177"/>
    <w:rsid w:val="00F773A3"/>
    <w:rsid w:val="00F77551"/>
    <w:rsid w:val="00F775BB"/>
    <w:rsid w:val="00F776B2"/>
    <w:rsid w:val="00F77710"/>
    <w:rsid w:val="00F77A1C"/>
    <w:rsid w:val="00F77A5D"/>
    <w:rsid w:val="00F77B33"/>
    <w:rsid w:val="00F77CBD"/>
    <w:rsid w:val="00F77D1E"/>
    <w:rsid w:val="00F77D8F"/>
    <w:rsid w:val="00F77DE7"/>
    <w:rsid w:val="00F77E20"/>
    <w:rsid w:val="00F77E3D"/>
    <w:rsid w:val="00F77F80"/>
    <w:rsid w:val="00F77FF4"/>
    <w:rsid w:val="00F80097"/>
    <w:rsid w:val="00F80557"/>
    <w:rsid w:val="00F80814"/>
    <w:rsid w:val="00F80AD5"/>
    <w:rsid w:val="00F80BA3"/>
    <w:rsid w:val="00F80BF0"/>
    <w:rsid w:val="00F80C0D"/>
    <w:rsid w:val="00F80C2F"/>
    <w:rsid w:val="00F80DBA"/>
    <w:rsid w:val="00F80E10"/>
    <w:rsid w:val="00F80E3D"/>
    <w:rsid w:val="00F80F8C"/>
    <w:rsid w:val="00F810A1"/>
    <w:rsid w:val="00F810EE"/>
    <w:rsid w:val="00F8132E"/>
    <w:rsid w:val="00F81B34"/>
    <w:rsid w:val="00F81C2D"/>
    <w:rsid w:val="00F81C71"/>
    <w:rsid w:val="00F81E31"/>
    <w:rsid w:val="00F81E81"/>
    <w:rsid w:val="00F81F85"/>
    <w:rsid w:val="00F81F89"/>
    <w:rsid w:val="00F82000"/>
    <w:rsid w:val="00F82132"/>
    <w:rsid w:val="00F821D7"/>
    <w:rsid w:val="00F8250D"/>
    <w:rsid w:val="00F826B0"/>
    <w:rsid w:val="00F82898"/>
    <w:rsid w:val="00F82A4C"/>
    <w:rsid w:val="00F82D32"/>
    <w:rsid w:val="00F82E1A"/>
    <w:rsid w:val="00F82E3D"/>
    <w:rsid w:val="00F82EC9"/>
    <w:rsid w:val="00F8330F"/>
    <w:rsid w:val="00F833EA"/>
    <w:rsid w:val="00F834A6"/>
    <w:rsid w:val="00F8363C"/>
    <w:rsid w:val="00F8380C"/>
    <w:rsid w:val="00F83863"/>
    <w:rsid w:val="00F83AAB"/>
    <w:rsid w:val="00F83B46"/>
    <w:rsid w:val="00F83CFF"/>
    <w:rsid w:val="00F83EC5"/>
    <w:rsid w:val="00F840FE"/>
    <w:rsid w:val="00F8424B"/>
    <w:rsid w:val="00F8430F"/>
    <w:rsid w:val="00F8454E"/>
    <w:rsid w:val="00F84863"/>
    <w:rsid w:val="00F8488F"/>
    <w:rsid w:val="00F849E5"/>
    <w:rsid w:val="00F84B45"/>
    <w:rsid w:val="00F84C8A"/>
    <w:rsid w:val="00F84E38"/>
    <w:rsid w:val="00F851BF"/>
    <w:rsid w:val="00F85618"/>
    <w:rsid w:val="00F8577F"/>
    <w:rsid w:val="00F8593C"/>
    <w:rsid w:val="00F85993"/>
    <w:rsid w:val="00F85B92"/>
    <w:rsid w:val="00F85D69"/>
    <w:rsid w:val="00F85D99"/>
    <w:rsid w:val="00F8610B"/>
    <w:rsid w:val="00F86321"/>
    <w:rsid w:val="00F865FF"/>
    <w:rsid w:val="00F8664A"/>
    <w:rsid w:val="00F86786"/>
    <w:rsid w:val="00F86837"/>
    <w:rsid w:val="00F86BD3"/>
    <w:rsid w:val="00F86BF0"/>
    <w:rsid w:val="00F86C98"/>
    <w:rsid w:val="00F86CD4"/>
    <w:rsid w:val="00F86D45"/>
    <w:rsid w:val="00F86D95"/>
    <w:rsid w:val="00F86E71"/>
    <w:rsid w:val="00F86F9F"/>
    <w:rsid w:val="00F86FAE"/>
    <w:rsid w:val="00F87210"/>
    <w:rsid w:val="00F872A2"/>
    <w:rsid w:val="00F87745"/>
    <w:rsid w:val="00F879F8"/>
    <w:rsid w:val="00F87A04"/>
    <w:rsid w:val="00F87C52"/>
    <w:rsid w:val="00F87D0C"/>
    <w:rsid w:val="00F87EA1"/>
    <w:rsid w:val="00F87F1D"/>
    <w:rsid w:val="00F87FE3"/>
    <w:rsid w:val="00F90042"/>
    <w:rsid w:val="00F9016F"/>
    <w:rsid w:val="00F90182"/>
    <w:rsid w:val="00F9026A"/>
    <w:rsid w:val="00F9035E"/>
    <w:rsid w:val="00F903DE"/>
    <w:rsid w:val="00F9073C"/>
    <w:rsid w:val="00F908D4"/>
    <w:rsid w:val="00F909D3"/>
    <w:rsid w:val="00F90AC7"/>
    <w:rsid w:val="00F90E23"/>
    <w:rsid w:val="00F91331"/>
    <w:rsid w:val="00F913EC"/>
    <w:rsid w:val="00F914A4"/>
    <w:rsid w:val="00F914AE"/>
    <w:rsid w:val="00F915E1"/>
    <w:rsid w:val="00F9164E"/>
    <w:rsid w:val="00F917D9"/>
    <w:rsid w:val="00F9185C"/>
    <w:rsid w:val="00F91917"/>
    <w:rsid w:val="00F91D9B"/>
    <w:rsid w:val="00F91DEA"/>
    <w:rsid w:val="00F920FD"/>
    <w:rsid w:val="00F921A5"/>
    <w:rsid w:val="00F92279"/>
    <w:rsid w:val="00F92307"/>
    <w:rsid w:val="00F9230D"/>
    <w:rsid w:val="00F925C0"/>
    <w:rsid w:val="00F92734"/>
    <w:rsid w:val="00F92A93"/>
    <w:rsid w:val="00F92D82"/>
    <w:rsid w:val="00F93011"/>
    <w:rsid w:val="00F93066"/>
    <w:rsid w:val="00F9309A"/>
    <w:rsid w:val="00F930E4"/>
    <w:rsid w:val="00F931E9"/>
    <w:rsid w:val="00F9320A"/>
    <w:rsid w:val="00F935B3"/>
    <w:rsid w:val="00F93687"/>
    <w:rsid w:val="00F93707"/>
    <w:rsid w:val="00F9388D"/>
    <w:rsid w:val="00F93D74"/>
    <w:rsid w:val="00F93F5C"/>
    <w:rsid w:val="00F94096"/>
    <w:rsid w:val="00F94441"/>
    <w:rsid w:val="00F946F9"/>
    <w:rsid w:val="00F9484E"/>
    <w:rsid w:val="00F9488D"/>
    <w:rsid w:val="00F949CD"/>
    <w:rsid w:val="00F94A4A"/>
    <w:rsid w:val="00F94B4B"/>
    <w:rsid w:val="00F94C6F"/>
    <w:rsid w:val="00F94E38"/>
    <w:rsid w:val="00F94F8D"/>
    <w:rsid w:val="00F94F93"/>
    <w:rsid w:val="00F95036"/>
    <w:rsid w:val="00F9504D"/>
    <w:rsid w:val="00F95071"/>
    <w:rsid w:val="00F9518E"/>
    <w:rsid w:val="00F95198"/>
    <w:rsid w:val="00F9525E"/>
    <w:rsid w:val="00F955E2"/>
    <w:rsid w:val="00F956C3"/>
    <w:rsid w:val="00F958F6"/>
    <w:rsid w:val="00F95C70"/>
    <w:rsid w:val="00F95EF0"/>
    <w:rsid w:val="00F95EFF"/>
    <w:rsid w:val="00F9641E"/>
    <w:rsid w:val="00F9659C"/>
    <w:rsid w:val="00F9695A"/>
    <w:rsid w:val="00F9699D"/>
    <w:rsid w:val="00F96A80"/>
    <w:rsid w:val="00F96B0A"/>
    <w:rsid w:val="00F96B68"/>
    <w:rsid w:val="00F96B69"/>
    <w:rsid w:val="00F96B9B"/>
    <w:rsid w:val="00F96DB7"/>
    <w:rsid w:val="00F9721A"/>
    <w:rsid w:val="00F97457"/>
    <w:rsid w:val="00F9749B"/>
    <w:rsid w:val="00F9769E"/>
    <w:rsid w:val="00F97722"/>
    <w:rsid w:val="00F9778C"/>
    <w:rsid w:val="00F977B3"/>
    <w:rsid w:val="00F977F6"/>
    <w:rsid w:val="00F97854"/>
    <w:rsid w:val="00F97996"/>
    <w:rsid w:val="00F97F7C"/>
    <w:rsid w:val="00FA014E"/>
    <w:rsid w:val="00FA030E"/>
    <w:rsid w:val="00FA0388"/>
    <w:rsid w:val="00FA0599"/>
    <w:rsid w:val="00FA096A"/>
    <w:rsid w:val="00FA0A1A"/>
    <w:rsid w:val="00FA0B13"/>
    <w:rsid w:val="00FA0B44"/>
    <w:rsid w:val="00FA0FCA"/>
    <w:rsid w:val="00FA100A"/>
    <w:rsid w:val="00FA12BF"/>
    <w:rsid w:val="00FA1305"/>
    <w:rsid w:val="00FA1507"/>
    <w:rsid w:val="00FA15D1"/>
    <w:rsid w:val="00FA164E"/>
    <w:rsid w:val="00FA1996"/>
    <w:rsid w:val="00FA19F5"/>
    <w:rsid w:val="00FA1B61"/>
    <w:rsid w:val="00FA1C34"/>
    <w:rsid w:val="00FA1FA4"/>
    <w:rsid w:val="00FA2032"/>
    <w:rsid w:val="00FA20F3"/>
    <w:rsid w:val="00FA2123"/>
    <w:rsid w:val="00FA21A8"/>
    <w:rsid w:val="00FA229A"/>
    <w:rsid w:val="00FA24AD"/>
    <w:rsid w:val="00FA255F"/>
    <w:rsid w:val="00FA2938"/>
    <w:rsid w:val="00FA2BF7"/>
    <w:rsid w:val="00FA2E10"/>
    <w:rsid w:val="00FA2F4E"/>
    <w:rsid w:val="00FA3043"/>
    <w:rsid w:val="00FA3059"/>
    <w:rsid w:val="00FA311F"/>
    <w:rsid w:val="00FA3234"/>
    <w:rsid w:val="00FA3423"/>
    <w:rsid w:val="00FA37F9"/>
    <w:rsid w:val="00FA3A0E"/>
    <w:rsid w:val="00FA3C2E"/>
    <w:rsid w:val="00FA3CB7"/>
    <w:rsid w:val="00FA42D0"/>
    <w:rsid w:val="00FA42D9"/>
    <w:rsid w:val="00FA44A8"/>
    <w:rsid w:val="00FA4618"/>
    <w:rsid w:val="00FA4946"/>
    <w:rsid w:val="00FA49BA"/>
    <w:rsid w:val="00FA4A4D"/>
    <w:rsid w:val="00FA4D72"/>
    <w:rsid w:val="00FA4F22"/>
    <w:rsid w:val="00FA50CF"/>
    <w:rsid w:val="00FA5257"/>
    <w:rsid w:val="00FA55C7"/>
    <w:rsid w:val="00FA5651"/>
    <w:rsid w:val="00FA5DBA"/>
    <w:rsid w:val="00FA5F3F"/>
    <w:rsid w:val="00FA61A6"/>
    <w:rsid w:val="00FA6247"/>
    <w:rsid w:val="00FA6264"/>
    <w:rsid w:val="00FA6406"/>
    <w:rsid w:val="00FA648F"/>
    <w:rsid w:val="00FA67DA"/>
    <w:rsid w:val="00FA6CF1"/>
    <w:rsid w:val="00FA7155"/>
    <w:rsid w:val="00FA738A"/>
    <w:rsid w:val="00FA7565"/>
    <w:rsid w:val="00FA7635"/>
    <w:rsid w:val="00FA7767"/>
    <w:rsid w:val="00FA78ED"/>
    <w:rsid w:val="00FA7CC8"/>
    <w:rsid w:val="00FA7E31"/>
    <w:rsid w:val="00FA7E87"/>
    <w:rsid w:val="00FB0091"/>
    <w:rsid w:val="00FB00B5"/>
    <w:rsid w:val="00FB0162"/>
    <w:rsid w:val="00FB0198"/>
    <w:rsid w:val="00FB02B0"/>
    <w:rsid w:val="00FB0348"/>
    <w:rsid w:val="00FB0467"/>
    <w:rsid w:val="00FB05CC"/>
    <w:rsid w:val="00FB05E1"/>
    <w:rsid w:val="00FB0613"/>
    <w:rsid w:val="00FB0615"/>
    <w:rsid w:val="00FB0716"/>
    <w:rsid w:val="00FB08B5"/>
    <w:rsid w:val="00FB0B85"/>
    <w:rsid w:val="00FB0B8E"/>
    <w:rsid w:val="00FB0BFB"/>
    <w:rsid w:val="00FB13D0"/>
    <w:rsid w:val="00FB168C"/>
    <w:rsid w:val="00FB1855"/>
    <w:rsid w:val="00FB199F"/>
    <w:rsid w:val="00FB19B0"/>
    <w:rsid w:val="00FB1A81"/>
    <w:rsid w:val="00FB1B7B"/>
    <w:rsid w:val="00FB1BD1"/>
    <w:rsid w:val="00FB1BE6"/>
    <w:rsid w:val="00FB1BEA"/>
    <w:rsid w:val="00FB1C93"/>
    <w:rsid w:val="00FB1CE9"/>
    <w:rsid w:val="00FB225B"/>
    <w:rsid w:val="00FB246D"/>
    <w:rsid w:val="00FB25C9"/>
    <w:rsid w:val="00FB267E"/>
    <w:rsid w:val="00FB2695"/>
    <w:rsid w:val="00FB2761"/>
    <w:rsid w:val="00FB2B5C"/>
    <w:rsid w:val="00FB2CA7"/>
    <w:rsid w:val="00FB2EA8"/>
    <w:rsid w:val="00FB31DD"/>
    <w:rsid w:val="00FB35B3"/>
    <w:rsid w:val="00FB36E1"/>
    <w:rsid w:val="00FB36F8"/>
    <w:rsid w:val="00FB3897"/>
    <w:rsid w:val="00FB3942"/>
    <w:rsid w:val="00FB39CD"/>
    <w:rsid w:val="00FB39F7"/>
    <w:rsid w:val="00FB401B"/>
    <w:rsid w:val="00FB414D"/>
    <w:rsid w:val="00FB4485"/>
    <w:rsid w:val="00FB4A24"/>
    <w:rsid w:val="00FB4A77"/>
    <w:rsid w:val="00FB4C71"/>
    <w:rsid w:val="00FB4C84"/>
    <w:rsid w:val="00FB4CBC"/>
    <w:rsid w:val="00FB4D46"/>
    <w:rsid w:val="00FB4E29"/>
    <w:rsid w:val="00FB4E39"/>
    <w:rsid w:val="00FB4ED2"/>
    <w:rsid w:val="00FB50BE"/>
    <w:rsid w:val="00FB55FF"/>
    <w:rsid w:val="00FB5B73"/>
    <w:rsid w:val="00FB5F02"/>
    <w:rsid w:val="00FB6076"/>
    <w:rsid w:val="00FB6107"/>
    <w:rsid w:val="00FB6212"/>
    <w:rsid w:val="00FB6230"/>
    <w:rsid w:val="00FB64AA"/>
    <w:rsid w:val="00FB684A"/>
    <w:rsid w:val="00FB6964"/>
    <w:rsid w:val="00FB6B18"/>
    <w:rsid w:val="00FB7036"/>
    <w:rsid w:val="00FB70A0"/>
    <w:rsid w:val="00FB70A4"/>
    <w:rsid w:val="00FB770D"/>
    <w:rsid w:val="00FB778B"/>
    <w:rsid w:val="00FB79CC"/>
    <w:rsid w:val="00FB7A90"/>
    <w:rsid w:val="00FB7A96"/>
    <w:rsid w:val="00FB7B5A"/>
    <w:rsid w:val="00FB7BEA"/>
    <w:rsid w:val="00FB7D0C"/>
    <w:rsid w:val="00FB7D48"/>
    <w:rsid w:val="00FC02B2"/>
    <w:rsid w:val="00FC048E"/>
    <w:rsid w:val="00FC0716"/>
    <w:rsid w:val="00FC0735"/>
    <w:rsid w:val="00FC0782"/>
    <w:rsid w:val="00FC0834"/>
    <w:rsid w:val="00FC0917"/>
    <w:rsid w:val="00FC09F0"/>
    <w:rsid w:val="00FC0A4D"/>
    <w:rsid w:val="00FC0A56"/>
    <w:rsid w:val="00FC0D3A"/>
    <w:rsid w:val="00FC1020"/>
    <w:rsid w:val="00FC10E7"/>
    <w:rsid w:val="00FC11DC"/>
    <w:rsid w:val="00FC11F0"/>
    <w:rsid w:val="00FC13BC"/>
    <w:rsid w:val="00FC1403"/>
    <w:rsid w:val="00FC1783"/>
    <w:rsid w:val="00FC18D9"/>
    <w:rsid w:val="00FC19AD"/>
    <w:rsid w:val="00FC1C0E"/>
    <w:rsid w:val="00FC1E84"/>
    <w:rsid w:val="00FC1F75"/>
    <w:rsid w:val="00FC1FF5"/>
    <w:rsid w:val="00FC207F"/>
    <w:rsid w:val="00FC2378"/>
    <w:rsid w:val="00FC258D"/>
    <w:rsid w:val="00FC258F"/>
    <w:rsid w:val="00FC27B1"/>
    <w:rsid w:val="00FC28B0"/>
    <w:rsid w:val="00FC28F1"/>
    <w:rsid w:val="00FC296B"/>
    <w:rsid w:val="00FC2AF6"/>
    <w:rsid w:val="00FC2D45"/>
    <w:rsid w:val="00FC2EFC"/>
    <w:rsid w:val="00FC2FA6"/>
    <w:rsid w:val="00FC2FFA"/>
    <w:rsid w:val="00FC3258"/>
    <w:rsid w:val="00FC33E9"/>
    <w:rsid w:val="00FC3580"/>
    <w:rsid w:val="00FC3785"/>
    <w:rsid w:val="00FC396C"/>
    <w:rsid w:val="00FC3A6F"/>
    <w:rsid w:val="00FC3B94"/>
    <w:rsid w:val="00FC3BE0"/>
    <w:rsid w:val="00FC3E2F"/>
    <w:rsid w:val="00FC3E82"/>
    <w:rsid w:val="00FC3E97"/>
    <w:rsid w:val="00FC3EE7"/>
    <w:rsid w:val="00FC3FDF"/>
    <w:rsid w:val="00FC4102"/>
    <w:rsid w:val="00FC4297"/>
    <w:rsid w:val="00FC42BD"/>
    <w:rsid w:val="00FC460F"/>
    <w:rsid w:val="00FC4799"/>
    <w:rsid w:val="00FC4894"/>
    <w:rsid w:val="00FC48E4"/>
    <w:rsid w:val="00FC4985"/>
    <w:rsid w:val="00FC49CB"/>
    <w:rsid w:val="00FC4A8C"/>
    <w:rsid w:val="00FC4AAF"/>
    <w:rsid w:val="00FC4BA2"/>
    <w:rsid w:val="00FC4C60"/>
    <w:rsid w:val="00FC4DE5"/>
    <w:rsid w:val="00FC4F87"/>
    <w:rsid w:val="00FC4F94"/>
    <w:rsid w:val="00FC5312"/>
    <w:rsid w:val="00FC5429"/>
    <w:rsid w:val="00FC5A7D"/>
    <w:rsid w:val="00FC5BAE"/>
    <w:rsid w:val="00FC5C7E"/>
    <w:rsid w:val="00FC5D97"/>
    <w:rsid w:val="00FC6131"/>
    <w:rsid w:val="00FC61B3"/>
    <w:rsid w:val="00FC6231"/>
    <w:rsid w:val="00FC6424"/>
    <w:rsid w:val="00FC650B"/>
    <w:rsid w:val="00FC6627"/>
    <w:rsid w:val="00FC696B"/>
    <w:rsid w:val="00FC6A24"/>
    <w:rsid w:val="00FC6ADA"/>
    <w:rsid w:val="00FC6BCB"/>
    <w:rsid w:val="00FC6C0C"/>
    <w:rsid w:val="00FC6D1D"/>
    <w:rsid w:val="00FC6F29"/>
    <w:rsid w:val="00FC6FE2"/>
    <w:rsid w:val="00FC7076"/>
    <w:rsid w:val="00FC709E"/>
    <w:rsid w:val="00FC70AA"/>
    <w:rsid w:val="00FC70C1"/>
    <w:rsid w:val="00FC7157"/>
    <w:rsid w:val="00FC74BA"/>
    <w:rsid w:val="00FC7596"/>
    <w:rsid w:val="00FC785E"/>
    <w:rsid w:val="00FC7863"/>
    <w:rsid w:val="00FC7A61"/>
    <w:rsid w:val="00FC7A70"/>
    <w:rsid w:val="00FC7B19"/>
    <w:rsid w:val="00FC7B35"/>
    <w:rsid w:val="00FC7D4C"/>
    <w:rsid w:val="00FC7D8D"/>
    <w:rsid w:val="00FC7EB5"/>
    <w:rsid w:val="00FD00B0"/>
    <w:rsid w:val="00FD01B7"/>
    <w:rsid w:val="00FD04B7"/>
    <w:rsid w:val="00FD064C"/>
    <w:rsid w:val="00FD0839"/>
    <w:rsid w:val="00FD09E9"/>
    <w:rsid w:val="00FD0AFB"/>
    <w:rsid w:val="00FD0DFD"/>
    <w:rsid w:val="00FD0F7C"/>
    <w:rsid w:val="00FD116A"/>
    <w:rsid w:val="00FD1181"/>
    <w:rsid w:val="00FD1198"/>
    <w:rsid w:val="00FD1274"/>
    <w:rsid w:val="00FD14D3"/>
    <w:rsid w:val="00FD15CB"/>
    <w:rsid w:val="00FD162D"/>
    <w:rsid w:val="00FD1649"/>
    <w:rsid w:val="00FD16A9"/>
    <w:rsid w:val="00FD17FA"/>
    <w:rsid w:val="00FD190B"/>
    <w:rsid w:val="00FD1952"/>
    <w:rsid w:val="00FD197A"/>
    <w:rsid w:val="00FD21B2"/>
    <w:rsid w:val="00FD21DA"/>
    <w:rsid w:val="00FD25DE"/>
    <w:rsid w:val="00FD271D"/>
    <w:rsid w:val="00FD27A4"/>
    <w:rsid w:val="00FD2A23"/>
    <w:rsid w:val="00FD2BDB"/>
    <w:rsid w:val="00FD2C14"/>
    <w:rsid w:val="00FD2E1A"/>
    <w:rsid w:val="00FD2FC9"/>
    <w:rsid w:val="00FD3016"/>
    <w:rsid w:val="00FD3112"/>
    <w:rsid w:val="00FD3238"/>
    <w:rsid w:val="00FD3457"/>
    <w:rsid w:val="00FD35F7"/>
    <w:rsid w:val="00FD360B"/>
    <w:rsid w:val="00FD38EF"/>
    <w:rsid w:val="00FD39BF"/>
    <w:rsid w:val="00FD3BF3"/>
    <w:rsid w:val="00FD3D36"/>
    <w:rsid w:val="00FD3E6B"/>
    <w:rsid w:val="00FD3FC5"/>
    <w:rsid w:val="00FD4003"/>
    <w:rsid w:val="00FD40B5"/>
    <w:rsid w:val="00FD40E4"/>
    <w:rsid w:val="00FD429E"/>
    <w:rsid w:val="00FD432C"/>
    <w:rsid w:val="00FD4353"/>
    <w:rsid w:val="00FD4AFA"/>
    <w:rsid w:val="00FD4B17"/>
    <w:rsid w:val="00FD4B6C"/>
    <w:rsid w:val="00FD4E8E"/>
    <w:rsid w:val="00FD5163"/>
    <w:rsid w:val="00FD5460"/>
    <w:rsid w:val="00FD57FF"/>
    <w:rsid w:val="00FD5877"/>
    <w:rsid w:val="00FD58B5"/>
    <w:rsid w:val="00FD5D4D"/>
    <w:rsid w:val="00FD61A8"/>
    <w:rsid w:val="00FD627C"/>
    <w:rsid w:val="00FD641F"/>
    <w:rsid w:val="00FD669A"/>
    <w:rsid w:val="00FD66A8"/>
    <w:rsid w:val="00FD67E1"/>
    <w:rsid w:val="00FD6851"/>
    <w:rsid w:val="00FD6A69"/>
    <w:rsid w:val="00FD6A6D"/>
    <w:rsid w:val="00FD6D99"/>
    <w:rsid w:val="00FD6F01"/>
    <w:rsid w:val="00FD7155"/>
    <w:rsid w:val="00FD723B"/>
    <w:rsid w:val="00FD72D6"/>
    <w:rsid w:val="00FD7304"/>
    <w:rsid w:val="00FD7396"/>
    <w:rsid w:val="00FD73A2"/>
    <w:rsid w:val="00FD78F2"/>
    <w:rsid w:val="00FD7A25"/>
    <w:rsid w:val="00FD7AE6"/>
    <w:rsid w:val="00FD7CDC"/>
    <w:rsid w:val="00FD7E15"/>
    <w:rsid w:val="00FE0089"/>
    <w:rsid w:val="00FE0150"/>
    <w:rsid w:val="00FE033E"/>
    <w:rsid w:val="00FE061F"/>
    <w:rsid w:val="00FE0736"/>
    <w:rsid w:val="00FE0B7B"/>
    <w:rsid w:val="00FE0DF1"/>
    <w:rsid w:val="00FE0F37"/>
    <w:rsid w:val="00FE0F68"/>
    <w:rsid w:val="00FE12ED"/>
    <w:rsid w:val="00FE139E"/>
    <w:rsid w:val="00FE1533"/>
    <w:rsid w:val="00FE181B"/>
    <w:rsid w:val="00FE1A64"/>
    <w:rsid w:val="00FE1DA1"/>
    <w:rsid w:val="00FE1E6A"/>
    <w:rsid w:val="00FE2170"/>
    <w:rsid w:val="00FE23DD"/>
    <w:rsid w:val="00FE259B"/>
    <w:rsid w:val="00FE26D8"/>
    <w:rsid w:val="00FE2756"/>
    <w:rsid w:val="00FE28E2"/>
    <w:rsid w:val="00FE2D25"/>
    <w:rsid w:val="00FE2FD7"/>
    <w:rsid w:val="00FE3082"/>
    <w:rsid w:val="00FE30D9"/>
    <w:rsid w:val="00FE31BC"/>
    <w:rsid w:val="00FE3204"/>
    <w:rsid w:val="00FE37CF"/>
    <w:rsid w:val="00FE393B"/>
    <w:rsid w:val="00FE3C50"/>
    <w:rsid w:val="00FE40B4"/>
    <w:rsid w:val="00FE4268"/>
    <w:rsid w:val="00FE4271"/>
    <w:rsid w:val="00FE4318"/>
    <w:rsid w:val="00FE4332"/>
    <w:rsid w:val="00FE45C7"/>
    <w:rsid w:val="00FE4918"/>
    <w:rsid w:val="00FE4AE9"/>
    <w:rsid w:val="00FE4DA1"/>
    <w:rsid w:val="00FE5026"/>
    <w:rsid w:val="00FE50EE"/>
    <w:rsid w:val="00FE51D3"/>
    <w:rsid w:val="00FE52B2"/>
    <w:rsid w:val="00FE5638"/>
    <w:rsid w:val="00FE5675"/>
    <w:rsid w:val="00FE56DC"/>
    <w:rsid w:val="00FE5761"/>
    <w:rsid w:val="00FE5B53"/>
    <w:rsid w:val="00FE5F83"/>
    <w:rsid w:val="00FE607B"/>
    <w:rsid w:val="00FE6098"/>
    <w:rsid w:val="00FE60D7"/>
    <w:rsid w:val="00FE60DC"/>
    <w:rsid w:val="00FE6720"/>
    <w:rsid w:val="00FE6802"/>
    <w:rsid w:val="00FE6810"/>
    <w:rsid w:val="00FE6A88"/>
    <w:rsid w:val="00FE6CB7"/>
    <w:rsid w:val="00FE6EEC"/>
    <w:rsid w:val="00FE6EFD"/>
    <w:rsid w:val="00FE7135"/>
    <w:rsid w:val="00FE71F0"/>
    <w:rsid w:val="00FE7530"/>
    <w:rsid w:val="00FE75F6"/>
    <w:rsid w:val="00FE7665"/>
    <w:rsid w:val="00FE7681"/>
    <w:rsid w:val="00FE76F6"/>
    <w:rsid w:val="00FE77F6"/>
    <w:rsid w:val="00FE7A26"/>
    <w:rsid w:val="00FE7D20"/>
    <w:rsid w:val="00FE7D28"/>
    <w:rsid w:val="00FE7E6E"/>
    <w:rsid w:val="00FF034F"/>
    <w:rsid w:val="00FF0637"/>
    <w:rsid w:val="00FF0885"/>
    <w:rsid w:val="00FF09B8"/>
    <w:rsid w:val="00FF0A4D"/>
    <w:rsid w:val="00FF0ABF"/>
    <w:rsid w:val="00FF0B04"/>
    <w:rsid w:val="00FF0B43"/>
    <w:rsid w:val="00FF0B68"/>
    <w:rsid w:val="00FF0D4D"/>
    <w:rsid w:val="00FF10FB"/>
    <w:rsid w:val="00FF13C5"/>
    <w:rsid w:val="00FF1408"/>
    <w:rsid w:val="00FF15E3"/>
    <w:rsid w:val="00FF16C0"/>
    <w:rsid w:val="00FF1BC7"/>
    <w:rsid w:val="00FF1C1C"/>
    <w:rsid w:val="00FF1C44"/>
    <w:rsid w:val="00FF20A0"/>
    <w:rsid w:val="00FF2179"/>
    <w:rsid w:val="00FF2218"/>
    <w:rsid w:val="00FF259F"/>
    <w:rsid w:val="00FF26B1"/>
    <w:rsid w:val="00FF2743"/>
    <w:rsid w:val="00FF27B0"/>
    <w:rsid w:val="00FF288E"/>
    <w:rsid w:val="00FF2980"/>
    <w:rsid w:val="00FF2B02"/>
    <w:rsid w:val="00FF2DBA"/>
    <w:rsid w:val="00FF2EE2"/>
    <w:rsid w:val="00FF2FEF"/>
    <w:rsid w:val="00FF30BE"/>
    <w:rsid w:val="00FF3168"/>
    <w:rsid w:val="00FF319C"/>
    <w:rsid w:val="00FF367B"/>
    <w:rsid w:val="00FF38A7"/>
    <w:rsid w:val="00FF396B"/>
    <w:rsid w:val="00FF3B28"/>
    <w:rsid w:val="00FF3B9A"/>
    <w:rsid w:val="00FF3CD2"/>
    <w:rsid w:val="00FF3CD4"/>
    <w:rsid w:val="00FF3CF3"/>
    <w:rsid w:val="00FF421F"/>
    <w:rsid w:val="00FF422F"/>
    <w:rsid w:val="00FF429B"/>
    <w:rsid w:val="00FF465D"/>
    <w:rsid w:val="00FF4A84"/>
    <w:rsid w:val="00FF4AD0"/>
    <w:rsid w:val="00FF4FB1"/>
    <w:rsid w:val="00FF508B"/>
    <w:rsid w:val="00FF5357"/>
    <w:rsid w:val="00FF5387"/>
    <w:rsid w:val="00FF56B2"/>
    <w:rsid w:val="00FF5868"/>
    <w:rsid w:val="00FF58DF"/>
    <w:rsid w:val="00FF594D"/>
    <w:rsid w:val="00FF5BB6"/>
    <w:rsid w:val="00FF5C6A"/>
    <w:rsid w:val="00FF5D99"/>
    <w:rsid w:val="00FF5DB8"/>
    <w:rsid w:val="00FF5FBF"/>
    <w:rsid w:val="00FF6380"/>
    <w:rsid w:val="00FF63F5"/>
    <w:rsid w:val="00FF64F6"/>
    <w:rsid w:val="00FF65ED"/>
    <w:rsid w:val="00FF69C2"/>
    <w:rsid w:val="00FF69F6"/>
    <w:rsid w:val="00FF6B68"/>
    <w:rsid w:val="00FF6BBB"/>
    <w:rsid w:val="00FF6C2A"/>
    <w:rsid w:val="00FF6D9C"/>
    <w:rsid w:val="00FF6DFA"/>
    <w:rsid w:val="00FF720C"/>
    <w:rsid w:val="00FF723C"/>
    <w:rsid w:val="00FF7632"/>
    <w:rsid w:val="00FF771D"/>
    <w:rsid w:val="00FF79A5"/>
    <w:rsid w:val="00FF7B41"/>
    <w:rsid w:val="00FF7E89"/>
    <w:rsid w:val="013BCE42"/>
    <w:rsid w:val="017BF91D"/>
    <w:rsid w:val="02795895"/>
    <w:rsid w:val="0289E63F"/>
    <w:rsid w:val="051DF19E"/>
    <w:rsid w:val="0559A61E"/>
    <w:rsid w:val="05DCD2D8"/>
    <w:rsid w:val="09C7369F"/>
    <w:rsid w:val="0B2979AC"/>
    <w:rsid w:val="0B5090A5"/>
    <w:rsid w:val="0B881347"/>
    <w:rsid w:val="0BDAC410"/>
    <w:rsid w:val="0C10B754"/>
    <w:rsid w:val="0DF6D4B1"/>
    <w:rsid w:val="0E289CC7"/>
    <w:rsid w:val="0E8EAF3B"/>
    <w:rsid w:val="0F5329E8"/>
    <w:rsid w:val="0FC68B55"/>
    <w:rsid w:val="12B2D148"/>
    <w:rsid w:val="13CC482A"/>
    <w:rsid w:val="13F517E3"/>
    <w:rsid w:val="1438C0FB"/>
    <w:rsid w:val="1439FA7E"/>
    <w:rsid w:val="14A63BDB"/>
    <w:rsid w:val="15629DB7"/>
    <w:rsid w:val="15B6A5F5"/>
    <w:rsid w:val="162F5177"/>
    <w:rsid w:val="16B57E15"/>
    <w:rsid w:val="18E4C247"/>
    <w:rsid w:val="194A97F9"/>
    <w:rsid w:val="19CA3A0C"/>
    <w:rsid w:val="1BCCD6B8"/>
    <w:rsid w:val="1D6E284E"/>
    <w:rsid w:val="1FB052DB"/>
    <w:rsid w:val="200E47ED"/>
    <w:rsid w:val="23699D8F"/>
    <w:rsid w:val="237B64C0"/>
    <w:rsid w:val="23833862"/>
    <w:rsid w:val="239F8ED1"/>
    <w:rsid w:val="2439138A"/>
    <w:rsid w:val="24A36C05"/>
    <w:rsid w:val="27977A9E"/>
    <w:rsid w:val="28F7CA50"/>
    <w:rsid w:val="290743DB"/>
    <w:rsid w:val="2C4FFFA9"/>
    <w:rsid w:val="2D1CC818"/>
    <w:rsid w:val="2D32D318"/>
    <w:rsid w:val="2DDE2DDE"/>
    <w:rsid w:val="2FA9D124"/>
    <w:rsid w:val="31E04DE1"/>
    <w:rsid w:val="33721A2E"/>
    <w:rsid w:val="34E4A8A2"/>
    <w:rsid w:val="35533C04"/>
    <w:rsid w:val="35AF6B77"/>
    <w:rsid w:val="361B3A4F"/>
    <w:rsid w:val="374921CF"/>
    <w:rsid w:val="3877CB6B"/>
    <w:rsid w:val="38ACA738"/>
    <w:rsid w:val="3900F2AB"/>
    <w:rsid w:val="3BF678FC"/>
    <w:rsid w:val="3C39DA59"/>
    <w:rsid w:val="3C3E4E59"/>
    <w:rsid w:val="3C59B781"/>
    <w:rsid w:val="3D39D1CE"/>
    <w:rsid w:val="3D684659"/>
    <w:rsid w:val="3DBC4BB4"/>
    <w:rsid w:val="3E56E0C5"/>
    <w:rsid w:val="3E5A50FA"/>
    <w:rsid w:val="3F0DACA5"/>
    <w:rsid w:val="3F10F776"/>
    <w:rsid w:val="411178C1"/>
    <w:rsid w:val="415E36FE"/>
    <w:rsid w:val="42F2632D"/>
    <w:rsid w:val="430DA7CA"/>
    <w:rsid w:val="431941B3"/>
    <w:rsid w:val="450EFBB2"/>
    <w:rsid w:val="458EBEA1"/>
    <w:rsid w:val="46678E72"/>
    <w:rsid w:val="467B3CC1"/>
    <w:rsid w:val="488EEC71"/>
    <w:rsid w:val="499AB1A1"/>
    <w:rsid w:val="4C5556E1"/>
    <w:rsid w:val="4C682CED"/>
    <w:rsid w:val="4D22D87D"/>
    <w:rsid w:val="4D2D0206"/>
    <w:rsid w:val="4F1CF0C3"/>
    <w:rsid w:val="508D0ED8"/>
    <w:rsid w:val="54DFD09D"/>
    <w:rsid w:val="5585C004"/>
    <w:rsid w:val="5861128E"/>
    <w:rsid w:val="5A21B7DB"/>
    <w:rsid w:val="5A88B6B1"/>
    <w:rsid w:val="5B22E3CA"/>
    <w:rsid w:val="5BA0F4DB"/>
    <w:rsid w:val="5BC98890"/>
    <w:rsid w:val="5BDB48FD"/>
    <w:rsid w:val="5C1F826C"/>
    <w:rsid w:val="5C2A1F12"/>
    <w:rsid w:val="5DA4938B"/>
    <w:rsid w:val="5E62FA29"/>
    <w:rsid w:val="5EC27247"/>
    <w:rsid w:val="601EF356"/>
    <w:rsid w:val="61361228"/>
    <w:rsid w:val="65F4DD13"/>
    <w:rsid w:val="6805171A"/>
    <w:rsid w:val="682BA702"/>
    <w:rsid w:val="683A27CC"/>
    <w:rsid w:val="683DED0E"/>
    <w:rsid w:val="686158CE"/>
    <w:rsid w:val="692DFA8B"/>
    <w:rsid w:val="6957D1CA"/>
    <w:rsid w:val="6A4E43E2"/>
    <w:rsid w:val="6AB70A0B"/>
    <w:rsid w:val="6CEF453D"/>
    <w:rsid w:val="6E69825E"/>
    <w:rsid w:val="6F108574"/>
    <w:rsid w:val="706581FF"/>
    <w:rsid w:val="7280254E"/>
    <w:rsid w:val="72AC4A29"/>
    <w:rsid w:val="73B10E7D"/>
    <w:rsid w:val="760ED433"/>
    <w:rsid w:val="76766F7D"/>
    <w:rsid w:val="7746AF20"/>
    <w:rsid w:val="77485891"/>
    <w:rsid w:val="777151A5"/>
    <w:rsid w:val="78462250"/>
    <w:rsid w:val="78A9015F"/>
    <w:rsid w:val="7CAAB8E4"/>
    <w:rsid w:val="7D3C26EE"/>
    <w:rsid w:val="7D630419"/>
    <w:rsid w:val="7D9534DA"/>
    <w:rsid w:val="7EF30B49"/>
    <w:rsid w:val="7F76B78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C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581"/>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qFormat/>
    <w:rsid w:val="008043EA"/>
    <w:pPr>
      <w:numPr>
        <w:ilvl w:val="1"/>
        <w:numId w:val="35"/>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basedOn w:val="Normal"/>
    <w:link w:val="BulletChar"/>
    <w:qFormat/>
    <w:rsid w:val="00136118"/>
    <w:pPr>
      <w:numPr>
        <w:numId w:val="17"/>
      </w:numPr>
      <w:spacing w:after="0" w:line="276" w:lineRule="auto"/>
    </w:pPr>
  </w:style>
  <w:style w:type="paragraph" w:customStyle="1" w:styleId="ChartandTableFootnoteAlpha">
    <w:name w:val="Chart and Table Footnote Alpha"/>
    <w:rsid w:val="008043EA"/>
    <w:pPr>
      <w:numPr>
        <w:numId w:val="25"/>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23"/>
      </w:numPr>
      <w:spacing w:before="0"/>
    </w:pPr>
  </w:style>
  <w:style w:type="paragraph" w:customStyle="1" w:styleId="DoubleDot">
    <w:name w:val="Double Dot"/>
    <w:basedOn w:val="Normal"/>
    <w:link w:val="DoubleDotChar"/>
    <w:qFormat/>
    <w:rsid w:val="008043EA"/>
    <w:pPr>
      <w:numPr>
        <w:ilvl w:val="2"/>
        <w:numId w:val="23"/>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33"/>
      </w:numPr>
      <w:spacing w:before="0"/>
    </w:pPr>
  </w:style>
  <w:style w:type="paragraph" w:customStyle="1" w:styleId="OneLevelNumberedParagraph">
    <w:name w:val="One Level Numbered Paragraph"/>
    <w:basedOn w:val="Normal"/>
    <w:rsid w:val="008043EA"/>
    <w:pPr>
      <w:numPr>
        <w:numId w:val="29"/>
      </w:numPr>
      <w:tabs>
        <w:tab w:val="clear" w:pos="284"/>
        <w:tab w:val="num" w:pos="360"/>
      </w:tabs>
      <w:spacing w:before="0"/>
    </w:pPr>
  </w:style>
  <w:style w:type="paragraph" w:customStyle="1" w:styleId="OutlineNumbered2">
    <w:name w:val="Outline Numbered 2"/>
    <w:basedOn w:val="Normal"/>
    <w:rsid w:val="008043EA"/>
    <w:pPr>
      <w:numPr>
        <w:ilvl w:val="1"/>
        <w:numId w:val="33"/>
      </w:numPr>
      <w:spacing w:before="0"/>
    </w:pPr>
  </w:style>
  <w:style w:type="paragraph" w:customStyle="1" w:styleId="OutlineNumbered3">
    <w:name w:val="Outline Numbered 3"/>
    <w:basedOn w:val="Normal"/>
    <w:rsid w:val="008043EA"/>
    <w:pPr>
      <w:numPr>
        <w:ilvl w:val="2"/>
        <w:numId w:val="33"/>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14"/>
      </w:numPr>
    </w:pPr>
  </w:style>
  <w:style w:type="paragraph" w:customStyle="1" w:styleId="Heading1Numbered">
    <w:name w:val="Heading 1 Numbered"/>
    <w:basedOn w:val="Heading1"/>
    <w:next w:val="Normal"/>
    <w:rsid w:val="008043EA"/>
    <w:pPr>
      <w:numPr>
        <w:numId w:val="28"/>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28"/>
      </w:numPr>
    </w:pPr>
  </w:style>
  <w:style w:type="paragraph" w:customStyle="1" w:styleId="Heading3Numbered">
    <w:name w:val="Heading 3 Numbered"/>
    <w:basedOn w:val="Heading3"/>
    <w:rsid w:val="008043EA"/>
    <w:pPr>
      <w:numPr>
        <w:ilvl w:val="2"/>
        <w:numId w:val="28"/>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basedOn w:val="DefaultParagraphFont"/>
    <w:link w:val="Bullet"/>
    <w:locked/>
    <w:rsid w:val="00136118"/>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uiPriority w:val="99"/>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uiPriority w:val="99"/>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styleId="Emphasis">
    <w:name w:val="Emphasis"/>
    <w:basedOn w:val="DefaultParagraphFont"/>
    <w:uiPriority w:val="20"/>
    <w:rsid w:val="00283EEA"/>
    <w:rPr>
      <w:i/>
      <w:iCs/>
    </w:rPr>
  </w:style>
  <w:style w:type="character" w:styleId="FollowedHyperlink">
    <w:name w:val="FollowedHyperlink"/>
    <w:basedOn w:val="DefaultParagraphFont"/>
    <w:uiPriority w:val="99"/>
    <w:semiHidden/>
    <w:unhideWhenUsed/>
    <w:rsid w:val="007E0D71"/>
    <w:rPr>
      <w:color w:val="844D9E" w:themeColor="followedHyperlink"/>
      <w:u w:val="single"/>
    </w:rPr>
  </w:style>
  <w:style w:type="paragraph" w:styleId="ListParagraph">
    <w:name w:val="List Paragraph"/>
    <w:basedOn w:val="Normal"/>
    <w:uiPriority w:val="34"/>
    <w:qFormat/>
    <w:rsid w:val="00486FB4"/>
    <w:pPr>
      <w:ind w:left="720"/>
      <w:contextualSpacing/>
    </w:p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Calibri Light" w:eastAsia="Times New Roman" w:hAnsi="Calibri Light" w:cs="Times New Roman"/>
      <w:sz w:val="20"/>
      <w:szCs w:val="20"/>
      <w:lang w:eastAsia="en-AU"/>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3362F"/>
    <w:rPr>
      <w:b/>
      <w:bCs/>
    </w:rPr>
  </w:style>
  <w:style w:type="character" w:customStyle="1" w:styleId="CommentSubjectChar">
    <w:name w:val="Comment Subject Char"/>
    <w:basedOn w:val="CommentTextChar"/>
    <w:link w:val="CommentSubject"/>
    <w:uiPriority w:val="99"/>
    <w:semiHidden/>
    <w:rsid w:val="0033362F"/>
    <w:rPr>
      <w:rFonts w:ascii="Calibri Light" w:eastAsia="Times New Roman" w:hAnsi="Calibri Light" w:cs="Times New Roman"/>
      <w:b/>
      <w:bCs/>
      <w:sz w:val="20"/>
      <w:szCs w:val="20"/>
      <w:lang w:eastAsia="en-AU"/>
    </w:rPr>
  </w:style>
  <w:style w:type="character" w:styleId="Mention">
    <w:name w:val="Mention"/>
    <w:basedOn w:val="DefaultParagraphFont"/>
    <w:uiPriority w:val="99"/>
    <w:unhideWhenUsed/>
    <w:rsid w:val="00344759"/>
    <w:rPr>
      <w:color w:val="2B579A"/>
      <w:shd w:val="clear" w:color="auto" w:fill="E1DFDD"/>
    </w:rPr>
  </w:style>
  <w:style w:type="paragraph" w:styleId="Revision">
    <w:name w:val="Revision"/>
    <w:hidden/>
    <w:uiPriority w:val="99"/>
    <w:semiHidden/>
    <w:rsid w:val="00D92365"/>
    <w:pPr>
      <w:spacing w:after="0" w:line="240" w:lineRule="auto"/>
    </w:pPr>
    <w:rPr>
      <w:rFonts w:ascii="Calibri Light" w:eastAsia="Times New Roman" w:hAnsi="Calibri Light" w:cs="Times New Roman"/>
      <w:szCs w:val="20"/>
      <w:lang w:eastAsia="en-AU"/>
    </w:rPr>
  </w:style>
  <w:style w:type="paragraph" w:customStyle="1" w:styleId="footnotedescription">
    <w:name w:val="footnote description"/>
    <w:next w:val="Normal"/>
    <w:link w:val="footnotedescriptionChar"/>
    <w:hidden/>
    <w:rsid w:val="00C84EB1"/>
    <w:pPr>
      <w:spacing w:after="0"/>
      <w:ind w:left="1"/>
    </w:pPr>
    <w:rPr>
      <w:rFonts w:ascii="Calibri" w:eastAsia="Calibri" w:hAnsi="Calibri" w:cs="Calibri"/>
      <w:color w:val="000000"/>
      <w:sz w:val="18"/>
      <w:lang w:eastAsia="en-AU"/>
    </w:rPr>
  </w:style>
  <w:style w:type="character" w:customStyle="1" w:styleId="footnotedescriptionChar">
    <w:name w:val="footnote description Char"/>
    <w:link w:val="footnotedescription"/>
    <w:rsid w:val="00C84EB1"/>
    <w:rPr>
      <w:rFonts w:ascii="Calibri" w:eastAsia="Calibri" w:hAnsi="Calibri" w:cs="Calibri"/>
      <w:color w:val="000000"/>
      <w:sz w:val="18"/>
      <w:lang w:eastAsia="en-AU"/>
    </w:rPr>
  </w:style>
  <w:style w:type="character" w:customStyle="1" w:styleId="footnotemark">
    <w:name w:val="footnote mark"/>
    <w:hidden/>
    <w:rsid w:val="00C84EB1"/>
    <w:rPr>
      <w:rFonts w:ascii="Calibri" w:eastAsia="Calibri" w:hAnsi="Calibri" w:cs="Calibri"/>
      <w:color w:val="000000"/>
      <w:sz w:val="18"/>
      <w:vertAlign w:val="superscript"/>
    </w:rPr>
  </w:style>
  <w:style w:type="paragraph" w:customStyle="1" w:styleId="Romannumeral">
    <w:name w:val="Roman numeral"/>
    <w:basedOn w:val="Normal"/>
    <w:rsid w:val="00C84EB1"/>
    <w:pPr>
      <w:tabs>
        <w:tab w:val="num" w:pos="851"/>
      </w:tabs>
      <w:spacing w:before="0"/>
      <w:ind w:left="851" w:hanging="851"/>
    </w:pPr>
    <w:rPr>
      <w:rFonts w:ascii="Calibri" w:hAnsi="Calibri"/>
    </w:rPr>
  </w:style>
  <w:style w:type="paragraph" w:customStyle="1" w:styleId="pf0">
    <w:name w:val="pf0"/>
    <w:basedOn w:val="Normal"/>
    <w:rsid w:val="00BB0E33"/>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BB0E33"/>
    <w:rPr>
      <w:rFonts w:ascii="Segoe UI" w:hAnsi="Segoe UI" w:cs="Segoe UI" w:hint="default"/>
      <w:sz w:val="18"/>
      <w:szCs w:val="18"/>
      <w:shd w:val="clear" w:color="auto" w:fill="FFFFFF"/>
    </w:rPr>
  </w:style>
  <w:style w:type="paragraph" w:styleId="NormalWeb">
    <w:name w:val="Normal (Web)"/>
    <w:basedOn w:val="Normal"/>
    <w:uiPriority w:val="99"/>
    <w:unhideWhenUsed/>
    <w:rsid w:val="00BB0E3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13499">
      <w:bodyDiv w:val="1"/>
      <w:marLeft w:val="0"/>
      <w:marRight w:val="0"/>
      <w:marTop w:val="0"/>
      <w:marBottom w:val="0"/>
      <w:divBdr>
        <w:top w:val="none" w:sz="0" w:space="0" w:color="auto"/>
        <w:left w:val="none" w:sz="0" w:space="0" w:color="auto"/>
        <w:bottom w:val="none" w:sz="0" w:space="0" w:color="auto"/>
        <w:right w:val="none" w:sz="0" w:space="0" w:color="auto"/>
      </w:divBdr>
    </w:div>
    <w:div w:id="334890657">
      <w:bodyDiv w:val="1"/>
      <w:marLeft w:val="0"/>
      <w:marRight w:val="0"/>
      <w:marTop w:val="0"/>
      <w:marBottom w:val="0"/>
      <w:divBdr>
        <w:top w:val="none" w:sz="0" w:space="0" w:color="auto"/>
        <w:left w:val="none" w:sz="0" w:space="0" w:color="auto"/>
        <w:bottom w:val="none" w:sz="0" w:space="0" w:color="auto"/>
        <w:right w:val="none" w:sz="0" w:space="0" w:color="auto"/>
      </w:divBdr>
    </w:div>
    <w:div w:id="433669862">
      <w:bodyDiv w:val="1"/>
      <w:marLeft w:val="0"/>
      <w:marRight w:val="0"/>
      <w:marTop w:val="0"/>
      <w:marBottom w:val="0"/>
      <w:divBdr>
        <w:top w:val="none" w:sz="0" w:space="0" w:color="auto"/>
        <w:left w:val="none" w:sz="0" w:space="0" w:color="auto"/>
        <w:bottom w:val="none" w:sz="0" w:space="0" w:color="auto"/>
        <w:right w:val="none" w:sz="0" w:space="0" w:color="auto"/>
      </w:divBdr>
    </w:div>
    <w:div w:id="516386265">
      <w:bodyDiv w:val="1"/>
      <w:marLeft w:val="0"/>
      <w:marRight w:val="0"/>
      <w:marTop w:val="0"/>
      <w:marBottom w:val="0"/>
      <w:divBdr>
        <w:top w:val="none" w:sz="0" w:space="0" w:color="auto"/>
        <w:left w:val="none" w:sz="0" w:space="0" w:color="auto"/>
        <w:bottom w:val="none" w:sz="0" w:space="0" w:color="auto"/>
        <w:right w:val="none" w:sz="0" w:space="0" w:color="auto"/>
      </w:divBdr>
    </w:div>
    <w:div w:id="614020046">
      <w:bodyDiv w:val="1"/>
      <w:marLeft w:val="0"/>
      <w:marRight w:val="0"/>
      <w:marTop w:val="0"/>
      <w:marBottom w:val="0"/>
      <w:divBdr>
        <w:top w:val="none" w:sz="0" w:space="0" w:color="auto"/>
        <w:left w:val="none" w:sz="0" w:space="0" w:color="auto"/>
        <w:bottom w:val="none" w:sz="0" w:space="0" w:color="auto"/>
        <w:right w:val="none" w:sz="0" w:space="0" w:color="auto"/>
      </w:divBdr>
    </w:div>
    <w:div w:id="678386299">
      <w:bodyDiv w:val="1"/>
      <w:marLeft w:val="0"/>
      <w:marRight w:val="0"/>
      <w:marTop w:val="0"/>
      <w:marBottom w:val="0"/>
      <w:divBdr>
        <w:top w:val="none" w:sz="0" w:space="0" w:color="auto"/>
        <w:left w:val="none" w:sz="0" w:space="0" w:color="auto"/>
        <w:bottom w:val="none" w:sz="0" w:space="0" w:color="auto"/>
        <w:right w:val="none" w:sz="0" w:space="0" w:color="auto"/>
      </w:divBdr>
      <w:divsChild>
        <w:div w:id="525482390">
          <w:marLeft w:val="0"/>
          <w:marRight w:val="0"/>
          <w:marTop w:val="0"/>
          <w:marBottom w:val="0"/>
          <w:divBdr>
            <w:top w:val="none" w:sz="0" w:space="0" w:color="auto"/>
            <w:left w:val="none" w:sz="0" w:space="0" w:color="auto"/>
            <w:bottom w:val="none" w:sz="0" w:space="0" w:color="auto"/>
            <w:right w:val="none" w:sz="0" w:space="0" w:color="auto"/>
          </w:divBdr>
        </w:div>
        <w:div w:id="1185678791">
          <w:marLeft w:val="0"/>
          <w:marRight w:val="0"/>
          <w:marTop w:val="0"/>
          <w:marBottom w:val="0"/>
          <w:divBdr>
            <w:top w:val="none" w:sz="0" w:space="0" w:color="auto"/>
            <w:left w:val="none" w:sz="0" w:space="0" w:color="auto"/>
            <w:bottom w:val="none" w:sz="0" w:space="0" w:color="auto"/>
            <w:right w:val="none" w:sz="0" w:space="0" w:color="auto"/>
          </w:divBdr>
        </w:div>
        <w:div w:id="1520388549">
          <w:marLeft w:val="0"/>
          <w:marRight w:val="0"/>
          <w:marTop w:val="0"/>
          <w:marBottom w:val="0"/>
          <w:divBdr>
            <w:top w:val="none" w:sz="0" w:space="0" w:color="auto"/>
            <w:left w:val="none" w:sz="0" w:space="0" w:color="auto"/>
            <w:bottom w:val="none" w:sz="0" w:space="0" w:color="auto"/>
            <w:right w:val="none" w:sz="0" w:space="0" w:color="auto"/>
          </w:divBdr>
        </w:div>
        <w:div w:id="1681666260">
          <w:marLeft w:val="0"/>
          <w:marRight w:val="0"/>
          <w:marTop w:val="0"/>
          <w:marBottom w:val="0"/>
          <w:divBdr>
            <w:top w:val="none" w:sz="0" w:space="0" w:color="auto"/>
            <w:left w:val="none" w:sz="0" w:space="0" w:color="auto"/>
            <w:bottom w:val="none" w:sz="0" w:space="0" w:color="auto"/>
            <w:right w:val="none" w:sz="0" w:space="0" w:color="auto"/>
          </w:divBdr>
        </w:div>
      </w:divsChild>
    </w:div>
    <w:div w:id="819031824">
      <w:bodyDiv w:val="1"/>
      <w:marLeft w:val="0"/>
      <w:marRight w:val="0"/>
      <w:marTop w:val="0"/>
      <w:marBottom w:val="0"/>
      <w:divBdr>
        <w:top w:val="none" w:sz="0" w:space="0" w:color="auto"/>
        <w:left w:val="none" w:sz="0" w:space="0" w:color="auto"/>
        <w:bottom w:val="none" w:sz="0" w:space="0" w:color="auto"/>
        <w:right w:val="none" w:sz="0" w:space="0" w:color="auto"/>
      </w:divBdr>
    </w:div>
    <w:div w:id="831065071">
      <w:bodyDiv w:val="1"/>
      <w:marLeft w:val="0"/>
      <w:marRight w:val="0"/>
      <w:marTop w:val="0"/>
      <w:marBottom w:val="0"/>
      <w:divBdr>
        <w:top w:val="none" w:sz="0" w:space="0" w:color="auto"/>
        <w:left w:val="none" w:sz="0" w:space="0" w:color="auto"/>
        <w:bottom w:val="none" w:sz="0" w:space="0" w:color="auto"/>
        <w:right w:val="none" w:sz="0" w:space="0" w:color="auto"/>
      </w:divBdr>
    </w:div>
    <w:div w:id="1010176809">
      <w:bodyDiv w:val="1"/>
      <w:marLeft w:val="0"/>
      <w:marRight w:val="0"/>
      <w:marTop w:val="0"/>
      <w:marBottom w:val="0"/>
      <w:divBdr>
        <w:top w:val="none" w:sz="0" w:space="0" w:color="auto"/>
        <w:left w:val="none" w:sz="0" w:space="0" w:color="auto"/>
        <w:bottom w:val="none" w:sz="0" w:space="0" w:color="auto"/>
        <w:right w:val="none" w:sz="0" w:space="0" w:color="auto"/>
      </w:divBdr>
    </w:div>
    <w:div w:id="1039934836">
      <w:bodyDiv w:val="1"/>
      <w:marLeft w:val="0"/>
      <w:marRight w:val="0"/>
      <w:marTop w:val="0"/>
      <w:marBottom w:val="0"/>
      <w:divBdr>
        <w:top w:val="none" w:sz="0" w:space="0" w:color="auto"/>
        <w:left w:val="none" w:sz="0" w:space="0" w:color="auto"/>
        <w:bottom w:val="none" w:sz="0" w:space="0" w:color="auto"/>
        <w:right w:val="none" w:sz="0" w:space="0" w:color="auto"/>
      </w:divBdr>
      <w:divsChild>
        <w:div w:id="145173694">
          <w:marLeft w:val="0"/>
          <w:marRight w:val="0"/>
          <w:marTop w:val="0"/>
          <w:marBottom w:val="0"/>
          <w:divBdr>
            <w:top w:val="none" w:sz="0" w:space="0" w:color="auto"/>
            <w:left w:val="none" w:sz="0" w:space="0" w:color="auto"/>
            <w:bottom w:val="none" w:sz="0" w:space="0" w:color="auto"/>
            <w:right w:val="none" w:sz="0" w:space="0" w:color="auto"/>
          </w:divBdr>
        </w:div>
        <w:div w:id="369110785">
          <w:marLeft w:val="0"/>
          <w:marRight w:val="0"/>
          <w:marTop w:val="0"/>
          <w:marBottom w:val="0"/>
          <w:divBdr>
            <w:top w:val="none" w:sz="0" w:space="0" w:color="auto"/>
            <w:left w:val="none" w:sz="0" w:space="0" w:color="auto"/>
            <w:bottom w:val="none" w:sz="0" w:space="0" w:color="auto"/>
            <w:right w:val="none" w:sz="0" w:space="0" w:color="auto"/>
          </w:divBdr>
        </w:div>
        <w:div w:id="444233787">
          <w:marLeft w:val="0"/>
          <w:marRight w:val="0"/>
          <w:marTop w:val="0"/>
          <w:marBottom w:val="0"/>
          <w:divBdr>
            <w:top w:val="none" w:sz="0" w:space="0" w:color="auto"/>
            <w:left w:val="none" w:sz="0" w:space="0" w:color="auto"/>
            <w:bottom w:val="none" w:sz="0" w:space="0" w:color="auto"/>
            <w:right w:val="none" w:sz="0" w:space="0" w:color="auto"/>
          </w:divBdr>
        </w:div>
      </w:divsChild>
    </w:div>
    <w:div w:id="1048341974">
      <w:bodyDiv w:val="1"/>
      <w:marLeft w:val="0"/>
      <w:marRight w:val="0"/>
      <w:marTop w:val="0"/>
      <w:marBottom w:val="0"/>
      <w:divBdr>
        <w:top w:val="none" w:sz="0" w:space="0" w:color="auto"/>
        <w:left w:val="none" w:sz="0" w:space="0" w:color="auto"/>
        <w:bottom w:val="none" w:sz="0" w:space="0" w:color="auto"/>
        <w:right w:val="none" w:sz="0" w:space="0" w:color="auto"/>
      </w:divBdr>
      <w:divsChild>
        <w:div w:id="1324090650">
          <w:marLeft w:val="0"/>
          <w:marRight w:val="0"/>
          <w:marTop w:val="0"/>
          <w:marBottom w:val="0"/>
          <w:divBdr>
            <w:top w:val="none" w:sz="0" w:space="0" w:color="auto"/>
            <w:left w:val="none" w:sz="0" w:space="0" w:color="auto"/>
            <w:bottom w:val="none" w:sz="0" w:space="0" w:color="auto"/>
            <w:right w:val="none" w:sz="0" w:space="0" w:color="auto"/>
          </w:divBdr>
        </w:div>
        <w:div w:id="1347053174">
          <w:marLeft w:val="0"/>
          <w:marRight w:val="0"/>
          <w:marTop w:val="0"/>
          <w:marBottom w:val="0"/>
          <w:divBdr>
            <w:top w:val="none" w:sz="0" w:space="0" w:color="auto"/>
            <w:left w:val="none" w:sz="0" w:space="0" w:color="auto"/>
            <w:bottom w:val="none" w:sz="0" w:space="0" w:color="auto"/>
            <w:right w:val="none" w:sz="0" w:space="0" w:color="auto"/>
          </w:divBdr>
        </w:div>
        <w:div w:id="1588884723">
          <w:marLeft w:val="0"/>
          <w:marRight w:val="0"/>
          <w:marTop w:val="0"/>
          <w:marBottom w:val="0"/>
          <w:divBdr>
            <w:top w:val="none" w:sz="0" w:space="0" w:color="auto"/>
            <w:left w:val="none" w:sz="0" w:space="0" w:color="auto"/>
            <w:bottom w:val="none" w:sz="0" w:space="0" w:color="auto"/>
            <w:right w:val="none" w:sz="0" w:space="0" w:color="auto"/>
          </w:divBdr>
        </w:div>
      </w:divsChild>
    </w:div>
    <w:div w:id="1061712704">
      <w:bodyDiv w:val="1"/>
      <w:marLeft w:val="0"/>
      <w:marRight w:val="0"/>
      <w:marTop w:val="0"/>
      <w:marBottom w:val="0"/>
      <w:divBdr>
        <w:top w:val="none" w:sz="0" w:space="0" w:color="auto"/>
        <w:left w:val="none" w:sz="0" w:space="0" w:color="auto"/>
        <w:bottom w:val="none" w:sz="0" w:space="0" w:color="auto"/>
        <w:right w:val="none" w:sz="0" w:space="0" w:color="auto"/>
      </w:divBdr>
    </w:div>
    <w:div w:id="1258439224">
      <w:bodyDiv w:val="1"/>
      <w:marLeft w:val="0"/>
      <w:marRight w:val="0"/>
      <w:marTop w:val="0"/>
      <w:marBottom w:val="0"/>
      <w:divBdr>
        <w:top w:val="none" w:sz="0" w:space="0" w:color="auto"/>
        <w:left w:val="none" w:sz="0" w:space="0" w:color="auto"/>
        <w:bottom w:val="none" w:sz="0" w:space="0" w:color="auto"/>
        <w:right w:val="none" w:sz="0" w:space="0" w:color="auto"/>
      </w:divBdr>
    </w:div>
    <w:div w:id="1306010213">
      <w:bodyDiv w:val="1"/>
      <w:marLeft w:val="0"/>
      <w:marRight w:val="0"/>
      <w:marTop w:val="0"/>
      <w:marBottom w:val="0"/>
      <w:divBdr>
        <w:top w:val="none" w:sz="0" w:space="0" w:color="auto"/>
        <w:left w:val="none" w:sz="0" w:space="0" w:color="auto"/>
        <w:bottom w:val="none" w:sz="0" w:space="0" w:color="auto"/>
        <w:right w:val="none" w:sz="0" w:space="0" w:color="auto"/>
      </w:divBdr>
      <w:divsChild>
        <w:div w:id="925961636">
          <w:marLeft w:val="0"/>
          <w:marRight w:val="0"/>
          <w:marTop w:val="0"/>
          <w:marBottom w:val="0"/>
          <w:divBdr>
            <w:top w:val="none" w:sz="0" w:space="0" w:color="auto"/>
            <w:left w:val="none" w:sz="0" w:space="0" w:color="auto"/>
            <w:bottom w:val="none" w:sz="0" w:space="0" w:color="auto"/>
            <w:right w:val="none" w:sz="0" w:space="0" w:color="auto"/>
          </w:divBdr>
        </w:div>
        <w:div w:id="1009454736">
          <w:marLeft w:val="0"/>
          <w:marRight w:val="0"/>
          <w:marTop w:val="0"/>
          <w:marBottom w:val="0"/>
          <w:divBdr>
            <w:top w:val="none" w:sz="0" w:space="0" w:color="auto"/>
            <w:left w:val="none" w:sz="0" w:space="0" w:color="auto"/>
            <w:bottom w:val="none" w:sz="0" w:space="0" w:color="auto"/>
            <w:right w:val="none" w:sz="0" w:space="0" w:color="auto"/>
          </w:divBdr>
        </w:div>
        <w:div w:id="1192375199">
          <w:marLeft w:val="0"/>
          <w:marRight w:val="0"/>
          <w:marTop w:val="0"/>
          <w:marBottom w:val="0"/>
          <w:divBdr>
            <w:top w:val="none" w:sz="0" w:space="0" w:color="auto"/>
            <w:left w:val="none" w:sz="0" w:space="0" w:color="auto"/>
            <w:bottom w:val="none" w:sz="0" w:space="0" w:color="auto"/>
            <w:right w:val="none" w:sz="0" w:space="0" w:color="auto"/>
          </w:divBdr>
        </w:div>
        <w:div w:id="1823227786">
          <w:marLeft w:val="0"/>
          <w:marRight w:val="0"/>
          <w:marTop w:val="0"/>
          <w:marBottom w:val="0"/>
          <w:divBdr>
            <w:top w:val="none" w:sz="0" w:space="0" w:color="auto"/>
            <w:left w:val="none" w:sz="0" w:space="0" w:color="auto"/>
            <w:bottom w:val="none" w:sz="0" w:space="0" w:color="auto"/>
            <w:right w:val="none" w:sz="0" w:space="0" w:color="auto"/>
          </w:divBdr>
        </w:div>
      </w:divsChild>
    </w:div>
    <w:div w:id="1331786551">
      <w:bodyDiv w:val="1"/>
      <w:marLeft w:val="0"/>
      <w:marRight w:val="0"/>
      <w:marTop w:val="0"/>
      <w:marBottom w:val="0"/>
      <w:divBdr>
        <w:top w:val="none" w:sz="0" w:space="0" w:color="auto"/>
        <w:left w:val="none" w:sz="0" w:space="0" w:color="auto"/>
        <w:bottom w:val="none" w:sz="0" w:space="0" w:color="auto"/>
        <w:right w:val="none" w:sz="0" w:space="0" w:color="auto"/>
      </w:divBdr>
    </w:div>
    <w:div w:id="1538421367">
      <w:bodyDiv w:val="1"/>
      <w:marLeft w:val="0"/>
      <w:marRight w:val="0"/>
      <w:marTop w:val="0"/>
      <w:marBottom w:val="0"/>
      <w:divBdr>
        <w:top w:val="none" w:sz="0" w:space="0" w:color="auto"/>
        <w:left w:val="none" w:sz="0" w:space="0" w:color="auto"/>
        <w:bottom w:val="none" w:sz="0" w:space="0" w:color="auto"/>
        <w:right w:val="none" w:sz="0" w:space="0" w:color="auto"/>
      </w:divBdr>
    </w:div>
    <w:div w:id="1539471598">
      <w:bodyDiv w:val="1"/>
      <w:marLeft w:val="0"/>
      <w:marRight w:val="0"/>
      <w:marTop w:val="0"/>
      <w:marBottom w:val="0"/>
      <w:divBdr>
        <w:top w:val="none" w:sz="0" w:space="0" w:color="auto"/>
        <w:left w:val="none" w:sz="0" w:space="0" w:color="auto"/>
        <w:bottom w:val="none" w:sz="0" w:space="0" w:color="auto"/>
        <w:right w:val="none" w:sz="0" w:space="0" w:color="auto"/>
      </w:divBdr>
    </w:div>
    <w:div w:id="1898734511">
      <w:bodyDiv w:val="1"/>
      <w:marLeft w:val="0"/>
      <w:marRight w:val="0"/>
      <w:marTop w:val="0"/>
      <w:marBottom w:val="0"/>
      <w:divBdr>
        <w:top w:val="none" w:sz="0" w:space="0" w:color="auto"/>
        <w:left w:val="none" w:sz="0" w:space="0" w:color="auto"/>
        <w:bottom w:val="none" w:sz="0" w:space="0" w:color="auto"/>
        <w:right w:val="none" w:sz="0" w:space="0" w:color="auto"/>
      </w:divBdr>
    </w:div>
    <w:div w:id="1921058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mc.gov.au/government/commonwealth-coat-arms" TargetMode="External"/><Relationship Id="rId18" Type="http://schemas.openxmlformats.org/officeDocument/2006/relationships/footer" Target="footer2.xml"/><Relationship Id="rId26" Type="http://schemas.openxmlformats.org/officeDocument/2006/relationships/hyperlink" Target="https://arpc.gov.au/resources/cyclone-pool-driving-down-premiums-in-high-risk-areas/" TargetMode="External"/><Relationship Id="rId39" Type="http://schemas.openxmlformats.org/officeDocument/2006/relationships/footer" Target="footer3.xml"/><Relationship Id="rId21" Type="http://schemas.openxmlformats.org/officeDocument/2006/relationships/hyperlink" Target="https://converlens.com/privacy" TargetMode="External"/><Relationship Id="rId34" Type="http://schemas.openxmlformats.org/officeDocument/2006/relationships/image" Target="media/image5.png"/><Relationship Id="rId42"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treasury.gov.au/privacy-policy" TargetMode="External"/><Relationship Id="rId29" Type="http://schemas.openxmlformats.org/officeDocument/2006/relationships/hyperlink" Target="https://arpc.gov.au/resources/cyclone-pool-driving-down-premiums-in-high-risk-areas/"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https://www.accc.gov.au/system/files/accc-insurance-monitoring-report-july-2025.pdf" TargetMode="External"/><Relationship Id="rId32" Type="http://schemas.openxmlformats.org/officeDocument/2006/relationships/hyperlink" Target="https://arpc.gov.au/consumers/cyclone-pool-consumers/" TargetMode="External"/><Relationship Id="rId37" Type="http://schemas.openxmlformats.org/officeDocument/2006/relationships/header" Target="header3.xm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hart" Target="charts/chart1.xml"/><Relationship Id="rId28" Type="http://schemas.openxmlformats.org/officeDocument/2006/relationships/hyperlink" Target="https://arpc.gov.au/resources/cyclone-pool-driving-down-premiums-in-high-risk-areas/" TargetMode="External"/><Relationship Id="rId36" Type="http://schemas.openxmlformats.org/officeDocument/2006/relationships/image" Target="media/image6.png"/><Relationship Id="rId10" Type="http://schemas.openxmlformats.org/officeDocument/2006/relationships/hyperlink" Target="http://creativecommons.org/licenses/by/4.0/legalcode" TargetMode="External"/><Relationship Id="rId19" Type="http://schemas.openxmlformats.org/officeDocument/2006/relationships/hyperlink" Target="https://treasury.gov.au/submission-guidelines" TargetMode="External"/><Relationship Id="rId31" Type="http://schemas.openxmlformats.org/officeDocument/2006/relationships/hyperlink" Target="https://arpc.gov.au/consumers/cyclone-pool-consumer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yperlink" Target="mailto:media@treasury.gov.au" TargetMode="External"/><Relationship Id="rId22" Type="http://schemas.openxmlformats.org/officeDocument/2006/relationships/hyperlink" Target="mailto:arpcreview@treasury.gov.au" TargetMode="External"/><Relationship Id="rId27" Type="http://schemas.openxmlformats.org/officeDocument/2006/relationships/hyperlink" Target="https://arpc.gov.au/resources/cyclone-pool-driving-down-premiums-in-high-risk-areas/" TargetMode="External"/><Relationship Id="rId30" Type="http://schemas.openxmlformats.org/officeDocument/2006/relationships/hyperlink" Target="https://arpc.gov.au/resources/cyclone-pool-driving-down-premiums-in-high-risk-areas/" TargetMode="External"/><Relationship Id="rId35" Type="http://schemas.openxmlformats.org/officeDocument/2006/relationships/hyperlink" Target="https://arpc.gov.au/resources/arpc-releases-quarterly-statistics-mar25/"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creativecommons.org/licenses/by/4.0/" TargetMode="External"/><Relationship Id="rId17" Type="http://schemas.openxmlformats.org/officeDocument/2006/relationships/footer" Target="footer1.xml"/><Relationship Id="rId25" Type="http://schemas.openxmlformats.org/officeDocument/2006/relationships/hyperlink" Target="https://www.accc.gov.au/about-us/publications/serial-publications/insurance-monitoring-reports/accc-insurance-monitoring-report-2025" TargetMode="External"/><Relationship Id="rId33" Type="http://schemas.openxmlformats.org/officeDocument/2006/relationships/hyperlink" Target="https://arpc.gov.au/resources/arpc-releases-quarterly-statistics-mar25/" TargetMode="External"/><Relationship Id="rId38"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3" Type="http://schemas.openxmlformats.org/officeDocument/2006/relationships/hyperlink" Target="https://www.accc.gov.au/about-us/publications/serial-publications/insurance-monitoring-reports/accc-insurance-monitoring-report-2025" TargetMode="External"/><Relationship Id="rId18" Type="http://schemas.openxmlformats.org/officeDocument/2006/relationships/hyperlink" Target="https://www.accc.gov.au/about-us/publications/serial-publications/insurance-monitoring-reports/accc-insurance-monitoring-report-2025" TargetMode="External"/><Relationship Id="rId26" Type="http://schemas.openxmlformats.org/officeDocument/2006/relationships/hyperlink" Target="https://arpc.gov.au/reinsurance-pools/cyclone/declarations/" TargetMode="External"/><Relationship Id="rId39" Type="http://schemas.openxmlformats.org/officeDocument/2006/relationships/hyperlink" Target="https://www.legislation.gov.au/F2003B00175/latest/text" TargetMode="External"/><Relationship Id="rId21" Type="http://schemas.openxmlformats.org/officeDocument/2006/relationships/hyperlink" Target="https://arpc.gov.au/resources/cyclone-pool-driving-down-premiums-in-high-risk-areas/" TargetMode="External"/><Relationship Id="rId34" Type="http://schemas.openxmlformats.org/officeDocument/2006/relationships/hyperlink" Target="https://www.legislation.gov.au/C2004A01128/latest/text" TargetMode="External"/><Relationship Id="rId42" Type="http://schemas.openxmlformats.org/officeDocument/2006/relationships/hyperlink" Target="https://arpc.gov.au/resources/arpc-annual-report-2016-17/" TargetMode="External"/><Relationship Id="rId47" Type="http://schemas.openxmlformats.org/officeDocument/2006/relationships/hyperlink" Target="https://treasury.gov.au/publication/terrorism-insurance-act-review-2015" TargetMode="External"/><Relationship Id="rId50" Type="http://schemas.openxmlformats.org/officeDocument/2006/relationships/hyperlink" Target="https://treasury.gov.au/publication/terrorism-insurance-act-review-2015" TargetMode="External"/><Relationship Id="rId7" Type="http://schemas.openxmlformats.org/officeDocument/2006/relationships/hyperlink" Target="https://arpc.gov.au/consumers/cyclone-pool-consumers/" TargetMode="External"/><Relationship Id="rId2" Type="http://schemas.openxmlformats.org/officeDocument/2006/relationships/hyperlink" Target="https://www.aph.gov.au/Parliamentary_Business/Bills_LEGislation/Bills_Search_Results/Result?bId=r6847" TargetMode="External"/><Relationship Id="rId16" Type="http://schemas.openxmlformats.org/officeDocument/2006/relationships/hyperlink" Target="https://www.accc.gov.au/about-us/publications/serial-publications/insurance-monitoring-reports/accc-insurance-monitoring-report-2025" TargetMode="External"/><Relationship Id="rId29" Type="http://schemas.openxmlformats.org/officeDocument/2006/relationships/hyperlink" Target="https://www.accc.gov.au/about-us/publications/serial-publications/insurance-monitoring-reports/accc-insurance-monitoring-report-2024" TargetMode="External"/><Relationship Id="rId11" Type="http://schemas.openxmlformats.org/officeDocument/2006/relationships/hyperlink" Target="https://www.accc.gov.au/about-us/publications/serial-publications/insurance-monitoring-reports/accc-insurance-monitoring-report-2024" TargetMode="External"/><Relationship Id="rId24" Type="http://schemas.openxmlformats.org/officeDocument/2006/relationships/hyperlink" Target="https://arpc.gov.au/resources/arpc-publishes-cyclone-reinsurance-pool-premium-rates-2/" TargetMode="External"/><Relationship Id="rId32" Type="http://schemas.openxmlformats.org/officeDocument/2006/relationships/hyperlink" Target="https://www.aph.gov.au/Parliamentary_Business/Committees/Joint/Northern_Australia_47P/CycloneReinsurancePool/First_Report" TargetMode="External"/><Relationship Id="rId37" Type="http://schemas.openxmlformats.org/officeDocument/2006/relationships/hyperlink" Target="https://www.legislation.gov.au/F2003B00175/latest/text" TargetMode="External"/><Relationship Id="rId40" Type="http://schemas.openxmlformats.org/officeDocument/2006/relationships/hyperlink" Target="https://treasury.gov.au/consultation/c2021-184184" TargetMode="External"/><Relationship Id="rId45" Type="http://schemas.openxmlformats.org/officeDocument/2006/relationships/hyperlink" Target="https://arpc.gov.au/resources/arpc-finalises-2025-terrorism-retrocession-program/" TargetMode="External"/><Relationship Id="rId5" Type="http://schemas.openxmlformats.org/officeDocument/2006/relationships/hyperlink" Target="https://arpc.gov.au/reinsurance-pools/cyclone/insurer-onboarding/" TargetMode="External"/><Relationship Id="rId15" Type="http://schemas.openxmlformats.org/officeDocument/2006/relationships/hyperlink" Target="https://www.accc.gov.au/about-us/publications/serial-publications/insurance-monitoring-reports/accc-insurance-monitoring-report-2025" TargetMode="External"/><Relationship Id="rId23" Type="http://schemas.openxmlformats.org/officeDocument/2006/relationships/hyperlink" Target="https://www.legislation.gov.au/C2004A01128/latest/text" TargetMode="External"/><Relationship Id="rId28" Type="http://schemas.openxmlformats.org/officeDocument/2006/relationships/hyperlink" Target="https://insurancecouncil.com.au/news-hub/current-catastrophes/catastrophe-232-tc-jasper/" TargetMode="External"/><Relationship Id="rId36" Type="http://schemas.openxmlformats.org/officeDocument/2006/relationships/hyperlink" Target="https://www.legislation.gov.au/C2004A01128/latest/text" TargetMode="External"/><Relationship Id="rId49" Type="http://schemas.openxmlformats.org/officeDocument/2006/relationships/hyperlink" Target="https://treasury.gov.au/publication/terrorism-insurance-act-review-2015" TargetMode="External"/><Relationship Id="rId10" Type="http://schemas.openxmlformats.org/officeDocument/2006/relationships/hyperlink" Target="https://arpc.gov.au/resources/arpc-publishes-cyclone-reinsurance-pool-premium-rates-2/" TargetMode="External"/><Relationship Id="rId19" Type="http://schemas.openxmlformats.org/officeDocument/2006/relationships/hyperlink" Target="https://arpc.gov.au/resources/cyclone-pool-driving-down-premiums-in-high-risk-areas/" TargetMode="External"/><Relationship Id="rId31" Type="http://schemas.openxmlformats.org/officeDocument/2006/relationships/hyperlink" Target="https://arpc.gov.au/resources/arpc-publishes-modelling-of-cyclone-pool-coverage-period/" TargetMode="External"/><Relationship Id="rId44" Type="http://schemas.openxmlformats.org/officeDocument/2006/relationships/hyperlink" Target="https://arpc.gov.au/resources/arpc-annual-report-2023-24/" TargetMode="External"/><Relationship Id="rId4" Type="http://schemas.openxmlformats.org/officeDocument/2006/relationships/hyperlink" Target="https://arpc.gov.au/consumers/cyclone-pool-consumers/" TargetMode="External"/><Relationship Id="rId9" Type="http://schemas.openxmlformats.org/officeDocument/2006/relationships/hyperlink" Target="https://www.legislation.gov.au/F2023N00030/latest/text" TargetMode="External"/><Relationship Id="rId14" Type="http://schemas.openxmlformats.org/officeDocument/2006/relationships/hyperlink" Target="https://www.accc.gov.au/about-us/publications/serial-publications/insurance-monitoring-reports/accc-insurance-monitoring-report-2025" TargetMode="External"/><Relationship Id="rId22" Type="http://schemas.openxmlformats.org/officeDocument/2006/relationships/hyperlink" Target="https://arpc.gov.au/resources/cyclone-pool-driving-down-premiums-in-high-risk-areas/" TargetMode="External"/><Relationship Id="rId27" Type="http://schemas.openxmlformats.org/officeDocument/2006/relationships/hyperlink" Target="https://arpc.gov.au/resources/tropical-cyclone-jasper-ends/" TargetMode="External"/><Relationship Id="rId30" Type="http://schemas.openxmlformats.org/officeDocument/2006/relationships/hyperlink" Target="https://www.aph.gov.au/Parliamentary_Business/Committees/Joint/Northern_Australia_47P/CycloneReinsurancePool/First_Report" TargetMode="External"/><Relationship Id="rId35" Type="http://schemas.openxmlformats.org/officeDocument/2006/relationships/hyperlink" Target="https://www.legislation.gov.au/C2004A01128/latest/text" TargetMode="External"/><Relationship Id="rId43" Type="http://schemas.openxmlformats.org/officeDocument/2006/relationships/hyperlink" Target="https://treasury.gov.au/publication/p2018-t343349" TargetMode="External"/><Relationship Id="rId48" Type="http://schemas.openxmlformats.org/officeDocument/2006/relationships/hyperlink" Target="https://treasury.gov.au/publication/terrorism-insurance-act-review-2015" TargetMode="External"/><Relationship Id="rId8" Type="http://schemas.openxmlformats.org/officeDocument/2006/relationships/hyperlink" Target="https://www.aph.gov.au/Parliamentary_Business/Bills_LEGislation/Bills_Search_Results/Result?bId=r6847" TargetMode="External"/><Relationship Id="rId3" Type="http://schemas.openxmlformats.org/officeDocument/2006/relationships/hyperlink" Target="https://www.legislation.gov.au/C2004A01128/latest/text" TargetMode="External"/><Relationship Id="rId12" Type="http://schemas.openxmlformats.org/officeDocument/2006/relationships/hyperlink" Target="https://www.legislation.gov.au/F2022L00030/latest/text" TargetMode="External"/><Relationship Id="rId17" Type="http://schemas.openxmlformats.org/officeDocument/2006/relationships/hyperlink" Target="https://www.accc.gov.au/about-us/publications/serial-publications/insurance-monitoring-reports/accc-insurance-monitoring-report-2025" TargetMode="External"/><Relationship Id="rId25" Type="http://schemas.openxmlformats.org/officeDocument/2006/relationships/hyperlink" Target="https://arpc.gov.au/resources/cyclone-reinsurance-pool-statistics-report-march-2025/" TargetMode="External"/><Relationship Id="rId33" Type="http://schemas.openxmlformats.org/officeDocument/2006/relationships/hyperlink" Target="https://www.aph.gov.au/Parliamentary_Business/Committees/Joint/Northern_Australia_47P/CycloneReinsurancePool/First_Report" TargetMode="External"/><Relationship Id="rId38" Type="http://schemas.openxmlformats.org/officeDocument/2006/relationships/hyperlink" Target="https://treasury.gov.au/publication/terrorism-insurance-act-review-2015" TargetMode="External"/><Relationship Id="rId46" Type="http://schemas.openxmlformats.org/officeDocument/2006/relationships/hyperlink" Target="https://www.legislation.gov.au/F2025N00441/asmade/text" TargetMode="External"/><Relationship Id="rId20" Type="http://schemas.openxmlformats.org/officeDocument/2006/relationships/hyperlink" Target="https://arpc.gov.au/resources/cyclone-pool-driving-down-premiums-in-high-risk-areas/" TargetMode="External"/><Relationship Id="rId41" Type="http://schemas.openxmlformats.org/officeDocument/2006/relationships/hyperlink" Target="https://treasury.gov.au/publication/p2018-t343349" TargetMode="External"/><Relationship Id="rId1" Type="http://schemas.openxmlformats.org/officeDocument/2006/relationships/hyperlink" Target="https://arpc.gov.au/consumers/" TargetMode="External"/><Relationship Id="rId6" Type="http://schemas.openxmlformats.org/officeDocument/2006/relationships/hyperlink" Target="https://arpc.gov.au/resources/arpc-announces-full-participation-of-mandated-insurers-in-cyclone-pool/"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65640428386966"/>
          <c:y val="5.0925925925925923E-2"/>
          <c:w val="0.87376374576972093"/>
          <c:h val="0.67319156179997774"/>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Sheet1!$B$1:$W$1</c:f>
              <c:strCache>
                <c:ptCount val="22"/>
                <c:pt idx="0">
                  <c:v>A</c:v>
                </c:pt>
                <c:pt idx="1">
                  <c:v>B</c:v>
                </c:pt>
                <c:pt idx="2">
                  <c:v>C</c:v>
                </c:pt>
                <c:pt idx="3">
                  <c:v>D</c:v>
                </c:pt>
                <c:pt idx="4">
                  <c:v>E</c:v>
                </c:pt>
                <c:pt idx="5">
                  <c:v>F</c:v>
                </c:pt>
                <c:pt idx="6">
                  <c:v>G</c:v>
                </c:pt>
                <c:pt idx="7">
                  <c:v>H</c:v>
                </c:pt>
                <c:pt idx="8">
                  <c:v>I</c:v>
                </c:pt>
                <c:pt idx="9">
                  <c:v>J</c:v>
                </c:pt>
                <c:pt idx="10">
                  <c:v>K</c:v>
                </c:pt>
                <c:pt idx="11">
                  <c:v>L</c:v>
                </c:pt>
                <c:pt idx="12">
                  <c:v>M</c:v>
                </c:pt>
                <c:pt idx="13">
                  <c:v>N</c:v>
                </c:pt>
                <c:pt idx="14">
                  <c:v>O</c:v>
                </c:pt>
                <c:pt idx="15">
                  <c:v>P</c:v>
                </c:pt>
                <c:pt idx="16">
                  <c:v>Q</c:v>
                </c:pt>
                <c:pt idx="17">
                  <c:v>R</c:v>
                </c:pt>
                <c:pt idx="18">
                  <c:v>S</c:v>
                </c:pt>
                <c:pt idx="19">
                  <c:v>T</c:v>
                </c:pt>
                <c:pt idx="20">
                  <c:v>U</c:v>
                </c:pt>
                <c:pt idx="21">
                  <c:v>W</c:v>
                </c:pt>
              </c:strCache>
            </c:strRef>
          </c:cat>
          <c:val>
            <c:numRef>
              <c:f>Sheet1!$B$2:$W$2</c:f>
              <c:numCache>
                <c:formatCode>General</c:formatCode>
                <c:ptCount val="22"/>
                <c:pt idx="0">
                  <c:v>7</c:v>
                </c:pt>
                <c:pt idx="1">
                  <c:v>10</c:v>
                </c:pt>
                <c:pt idx="2">
                  <c:v>7</c:v>
                </c:pt>
                <c:pt idx="3">
                  <c:v>6</c:v>
                </c:pt>
                <c:pt idx="4">
                  <c:v>5</c:v>
                </c:pt>
                <c:pt idx="5">
                  <c:v>5</c:v>
                </c:pt>
                <c:pt idx="6">
                  <c:v>4</c:v>
                </c:pt>
                <c:pt idx="7">
                  <c:v>2</c:v>
                </c:pt>
                <c:pt idx="8">
                  <c:v>1</c:v>
                </c:pt>
                <c:pt idx="9">
                  <c:v>-1</c:v>
                </c:pt>
                <c:pt idx="10">
                  <c:v>-2</c:v>
                </c:pt>
                <c:pt idx="11">
                  <c:v>-7</c:v>
                </c:pt>
                <c:pt idx="12">
                  <c:v>-6</c:v>
                </c:pt>
                <c:pt idx="13">
                  <c:v>-7</c:v>
                </c:pt>
                <c:pt idx="14">
                  <c:v>-9</c:v>
                </c:pt>
                <c:pt idx="15">
                  <c:v>-10</c:v>
                </c:pt>
                <c:pt idx="16">
                  <c:v>-11</c:v>
                </c:pt>
                <c:pt idx="17">
                  <c:v>-12</c:v>
                </c:pt>
                <c:pt idx="18">
                  <c:v>-6</c:v>
                </c:pt>
                <c:pt idx="19">
                  <c:v>-9</c:v>
                </c:pt>
                <c:pt idx="20">
                  <c:v>-25</c:v>
                </c:pt>
                <c:pt idx="21">
                  <c:v>-21</c:v>
                </c:pt>
              </c:numCache>
            </c:numRef>
          </c:val>
          <c:extLst>
            <c:ext xmlns:c16="http://schemas.microsoft.com/office/drawing/2014/chart" uri="{C3380CC4-5D6E-409C-BE32-E72D297353CC}">
              <c16:uniqueId val="{00000000-9AEF-4D41-B7F6-AD124E14FF66}"/>
            </c:ext>
          </c:extLst>
        </c:ser>
        <c:dLbls>
          <c:showLegendKey val="0"/>
          <c:showVal val="0"/>
          <c:showCatName val="0"/>
          <c:showSerName val="0"/>
          <c:showPercent val="0"/>
          <c:showBubbleSize val="0"/>
        </c:dLbls>
        <c:gapWidth val="219"/>
        <c:overlap val="-27"/>
        <c:axId val="1257240336"/>
        <c:axId val="1257240816"/>
      </c:barChart>
      <c:catAx>
        <c:axId val="1257240336"/>
        <c:scaling>
          <c:orientation val="minMax"/>
        </c:scaling>
        <c:delete val="0"/>
        <c:axPos val="b"/>
        <c:numFmt formatCode="General" sourceLinked="1"/>
        <c:majorTickMark val="in"/>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7240816"/>
        <c:crosses val="autoZero"/>
        <c:auto val="1"/>
        <c:lblAlgn val="ctr"/>
        <c:lblOffset val="100"/>
        <c:noMultiLvlLbl val="0"/>
      </c:catAx>
      <c:valAx>
        <c:axId val="12572408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 cent change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none"/>
        <c:tickLblPos val="nextTo"/>
        <c:spPr>
          <a:noFill/>
          <a:ln>
            <a:solidFill>
              <a:schemeClr val="bg2">
                <a:lumMod val="9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7240336"/>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0.27096</cdr:x>
      <cdr:y>0.81101</cdr:y>
    </cdr:from>
    <cdr:to>
      <cdr:x>0.60012</cdr:x>
      <cdr:y>0.90303</cdr:y>
    </cdr:to>
    <cdr:sp macro="" textlink="">
      <cdr:nvSpPr>
        <cdr:cNvPr id="2" name="TextBox 1">
          <a:extLst xmlns:a="http://schemas.openxmlformats.org/drawingml/2006/main">
            <a:ext uri="{FF2B5EF4-FFF2-40B4-BE49-F238E27FC236}">
              <a16:creationId xmlns:a16="http://schemas.microsoft.com/office/drawing/2014/main" id="{6FDAAC9D-0B45-27A9-23BE-1CEEF9917618}"/>
            </a:ext>
          </a:extLst>
        </cdr:cNvPr>
        <cdr:cNvSpPr txBox="1"/>
      </cdr:nvSpPr>
      <cdr:spPr>
        <a:xfrm xmlns:a="http://schemas.openxmlformats.org/drawingml/2006/main">
          <a:off x="1560608" y="2241251"/>
          <a:ext cx="1895781" cy="2542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000" kern="1200"/>
            <a:t>Low risk (34</a:t>
          </a:r>
          <a:r>
            <a:rPr lang="en-AU" sz="1000" kern="1200" baseline="0"/>
            <a:t> per cent</a:t>
          </a:r>
          <a:r>
            <a:rPr lang="en-AU" sz="1000" kern="1200"/>
            <a:t> of policies)</a:t>
          </a:r>
        </a:p>
      </cdr:txBody>
    </cdr:sp>
  </cdr:relSizeAnchor>
  <cdr:relSizeAnchor xmlns:cdr="http://schemas.openxmlformats.org/drawingml/2006/chartDrawing">
    <cdr:from>
      <cdr:x>0.65939</cdr:x>
      <cdr:y>0.80423</cdr:y>
    </cdr:from>
    <cdr:to>
      <cdr:x>0.99779</cdr:x>
      <cdr:y>0.89624</cdr:y>
    </cdr:to>
    <cdr:sp macro="" textlink="">
      <cdr:nvSpPr>
        <cdr:cNvPr id="3" name="TextBox 1">
          <a:extLst xmlns:a="http://schemas.openxmlformats.org/drawingml/2006/main">
            <a:ext uri="{FF2B5EF4-FFF2-40B4-BE49-F238E27FC236}">
              <a16:creationId xmlns:a16="http://schemas.microsoft.com/office/drawing/2014/main" id="{6528E996-5A1A-55F9-AAE1-F46D8F6068C8}"/>
            </a:ext>
          </a:extLst>
        </cdr:cNvPr>
        <cdr:cNvSpPr txBox="1"/>
      </cdr:nvSpPr>
      <cdr:spPr>
        <a:xfrm xmlns:a="http://schemas.openxmlformats.org/drawingml/2006/main">
          <a:off x="3797695" y="2222500"/>
          <a:ext cx="1949055" cy="254271"/>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1000" kern="1200"/>
            <a:t>Medium</a:t>
          </a:r>
          <a:r>
            <a:rPr lang="en-AU" sz="1000" kern="1200" baseline="0"/>
            <a:t> to high risk </a:t>
          </a:r>
          <a:br>
            <a:rPr lang="en-AU" sz="1000" kern="1200" baseline="0"/>
          </a:br>
          <a:r>
            <a:rPr lang="en-AU" sz="1000" kern="1200" baseline="0"/>
            <a:t>(2 per cent of policies)</a:t>
          </a:r>
          <a:endParaRPr lang="en-AU" sz="1000" kern="1200"/>
        </a:p>
      </cdr:txBody>
    </cdr:sp>
  </cdr:relSizeAnchor>
  <cdr:relSizeAnchor xmlns:cdr="http://schemas.openxmlformats.org/drawingml/2006/chartDrawing">
    <cdr:from>
      <cdr:x>0.0772</cdr:x>
      <cdr:y>0.90852</cdr:y>
    </cdr:from>
    <cdr:to>
      <cdr:x>0.23154</cdr:x>
      <cdr:y>0.9973</cdr:y>
    </cdr:to>
    <cdr:sp macro="" textlink="">
      <cdr:nvSpPr>
        <cdr:cNvPr id="4" name="TextBox 1">
          <a:extLst xmlns:a="http://schemas.openxmlformats.org/drawingml/2006/main">
            <a:ext uri="{FF2B5EF4-FFF2-40B4-BE49-F238E27FC236}">
              <a16:creationId xmlns:a16="http://schemas.microsoft.com/office/drawing/2014/main" id="{6528E996-5A1A-55F9-AAE1-F46D8F6068C8}"/>
            </a:ext>
          </a:extLst>
        </cdr:cNvPr>
        <cdr:cNvSpPr txBox="1"/>
      </cdr:nvSpPr>
      <cdr:spPr>
        <a:xfrm xmlns:a="http://schemas.openxmlformats.org/drawingml/2006/main">
          <a:off x="444644" y="2510708"/>
          <a:ext cx="888914" cy="24534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000" kern="1200"/>
            <a:t>Nil</a:t>
          </a:r>
          <a:r>
            <a:rPr lang="en-AU" sz="1000" kern="1200" baseline="0"/>
            <a:t> risk</a:t>
          </a:r>
          <a:endParaRPr lang="en-AU" sz="1000" kern="1200"/>
        </a:p>
      </cdr:txBody>
    </cdr:sp>
  </cdr:relSizeAnchor>
</c:userShape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F88CE-AD55-4FA2-BAAC-0F078C7BE2BF}">
  <ds:schemaRefs>
    <ds:schemaRef ds:uri="http://schemas.openxmlformats.org/officeDocument/2006/bibliography"/>
  </ds:schemaRefs>
</ds:datastoreItem>
</file>

<file path=docMetadata/LabelInfo.xml><?xml version="1.0" encoding="utf-8"?>
<clbl:labelList xmlns:clbl="http://schemas.microsoft.com/office/2020/mipLabelMetadata">
  <clbl:label id="{4f932d64-9ab1-4d9b-81d2-a3a8b82dd47d}" enabled="1" method="Privileged" siteId="{214f1646-2021-47cc-8397-e3d3a7ba7d9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30</Pages>
  <Words>10749</Words>
  <Characters>59014</Characters>
  <Application>Microsoft Office Word</Application>
  <DocSecurity>0</DocSecurity>
  <Lines>1180</Lines>
  <Paragraphs>726</Paragraphs>
  <ScaleCrop>false</ScaleCrop>
  <HeadingPairs>
    <vt:vector size="2" baseType="variant">
      <vt:variant>
        <vt:lpstr>Title</vt:lpstr>
      </vt:variant>
      <vt:variant>
        <vt:i4>1</vt:i4>
      </vt:variant>
    </vt:vector>
  </HeadingPairs>
  <TitlesOfParts>
    <vt:vector size="1" baseType="lpstr">
      <vt:lpstr>Consultation paper: Review of the Terrorism and Cyclone Insurance Act 2003</vt:lpstr>
    </vt:vector>
  </TitlesOfParts>
  <Company/>
  <LinksUpToDate>false</LinksUpToDate>
  <CharactersWithSpaces>69037</CharactersWithSpaces>
  <SharedDoc>false</SharedDoc>
  <HLinks>
    <vt:vector size="618" baseType="variant">
      <vt:variant>
        <vt:i4>2818158</vt:i4>
      </vt:variant>
      <vt:variant>
        <vt:i4>258</vt:i4>
      </vt:variant>
      <vt:variant>
        <vt:i4>0</vt:i4>
      </vt:variant>
      <vt:variant>
        <vt:i4>5</vt:i4>
      </vt:variant>
      <vt:variant>
        <vt:lpwstr>https://arpc.gov.au/resources/arpc-releases-quarterly-statistics-mar25/</vt:lpwstr>
      </vt:variant>
      <vt:variant>
        <vt:lpwstr/>
      </vt:variant>
      <vt:variant>
        <vt:i4>2818158</vt:i4>
      </vt:variant>
      <vt:variant>
        <vt:i4>255</vt:i4>
      </vt:variant>
      <vt:variant>
        <vt:i4>0</vt:i4>
      </vt:variant>
      <vt:variant>
        <vt:i4>5</vt:i4>
      </vt:variant>
      <vt:variant>
        <vt:lpwstr>https://arpc.gov.au/resources/arpc-releases-quarterly-statistics-mar25/</vt:lpwstr>
      </vt:variant>
      <vt:variant>
        <vt:lpwstr/>
      </vt:variant>
      <vt:variant>
        <vt:i4>4718622</vt:i4>
      </vt:variant>
      <vt:variant>
        <vt:i4>252</vt:i4>
      </vt:variant>
      <vt:variant>
        <vt:i4>0</vt:i4>
      </vt:variant>
      <vt:variant>
        <vt:i4>5</vt:i4>
      </vt:variant>
      <vt:variant>
        <vt:lpwstr>https://arpc.gov.au/consumers/cyclone-pool-consumers/</vt:lpwstr>
      </vt:variant>
      <vt:variant>
        <vt:lpwstr/>
      </vt:variant>
      <vt:variant>
        <vt:i4>4718622</vt:i4>
      </vt:variant>
      <vt:variant>
        <vt:i4>249</vt:i4>
      </vt:variant>
      <vt:variant>
        <vt:i4>0</vt:i4>
      </vt:variant>
      <vt:variant>
        <vt:i4>5</vt:i4>
      </vt:variant>
      <vt:variant>
        <vt:lpwstr>https://arpc.gov.au/consumers/cyclone-pool-consumers/</vt:lpwstr>
      </vt:variant>
      <vt:variant>
        <vt:lpwstr/>
      </vt:variant>
      <vt:variant>
        <vt:i4>4784212</vt:i4>
      </vt:variant>
      <vt:variant>
        <vt:i4>246</vt:i4>
      </vt:variant>
      <vt:variant>
        <vt:i4>0</vt:i4>
      </vt:variant>
      <vt:variant>
        <vt:i4>5</vt:i4>
      </vt:variant>
      <vt:variant>
        <vt:lpwstr>https://arpc.gov.au/resources/cyclone-pool-driving-down-premiums-in-high-risk-areas/</vt:lpwstr>
      </vt:variant>
      <vt:variant>
        <vt:lpwstr/>
      </vt:variant>
      <vt:variant>
        <vt:i4>4784212</vt:i4>
      </vt:variant>
      <vt:variant>
        <vt:i4>243</vt:i4>
      </vt:variant>
      <vt:variant>
        <vt:i4>0</vt:i4>
      </vt:variant>
      <vt:variant>
        <vt:i4>5</vt:i4>
      </vt:variant>
      <vt:variant>
        <vt:lpwstr>https://arpc.gov.au/resources/cyclone-pool-driving-down-premiums-in-high-risk-areas/</vt:lpwstr>
      </vt:variant>
      <vt:variant>
        <vt:lpwstr/>
      </vt:variant>
      <vt:variant>
        <vt:i4>4784212</vt:i4>
      </vt:variant>
      <vt:variant>
        <vt:i4>240</vt:i4>
      </vt:variant>
      <vt:variant>
        <vt:i4>0</vt:i4>
      </vt:variant>
      <vt:variant>
        <vt:i4>5</vt:i4>
      </vt:variant>
      <vt:variant>
        <vt:lpwstr>https://arpc.gov.au/resources/cyclone-pool-driving-down-premiums-in-high-risk-areas/</vt:lpwstr>
      </vt:variant>
      <vt:variant>
        <vt:lpwstr/>
      </vt:variant>
      <vt:variant>
        <vt:i4>4784212</vt:i4>
      </vt:variant>
      <vt:variant>
        <vt:i4>237</vt:i4>
      </vt:variant>
      <vt:variant>
        <vt:i4>0</vt:i4>
      </vt:variant>
      <vt:variant>
        <vt:i4>5</vt:i4>
      </vt:variant>
      <vt:variant>
        <vt:lpwstr>https://arpc.gov.au/resources/cyclone-pool-driving-down-premiums-in-high-risk-areas/</vt:lpwstr>
      </vt:variant>
      <vt:variant>
        <vt:lpwstr/>
      </vt:variant>
      <vt:variant>
        <vt:i4>4784212</vt:i4>
      </vt:variant>
      <vt:variant>
        <vt:i4>234</vt:i4>
      </vt:variant>
      <vt:variant>
        <vt:i4>0</vt:i4>
      </vt:variant>
      <vt:variant>
        <vt:i4>5</vt:i4>
      </vt:variant>
      <vt:variant>
        <vt:lpwstr>https://arpc.gov.au/resources/cyclone-pool-driving-down-premiums-in-high-risk-areas/</vt:lpwstr>
      </vt:variant>
      <vt:variant>
        <vt:lpwstr/>
      </vt:variant>
      <vt:variant>
        <vt:i4>4849690</vt:i4>
      </vt:variant>
      <vt:variant>
        <vt:i4>231</vt:i4>
      </vt:variant>
      <vt:variant>
        <vt:i4>0</vt:i4>
      </vt:variant>
      <vt:variant>
        <vt:i4>5</vt:i4>
      </vt:variant>
      <vt:variant>
        <vt:lpwstr>https://www.accc.gov.au/about-us/publications/serial-publications/insurance-monitoring-reports/accc-insurance-monitoring-report-2025</vt:lpwstr>
      </vt:variant>
      <vt:variant>
        <vt:lpwstr/>
      </vt:variant>
      <vt:variant>
        <vt:i4>6881332</vt:i4>
      </vt:variant>
      <vt:variant>
        <vt:i4>228</vt:i4>
      </vt:variant>
      <vt:variant>
        <vt:i4>0</vt:i4>
      </vt:variant>
      <vt:variant>
        <vt:i4>5</vt:i4>
      </vt:variant>
      <vt:variant>
        <vt:lpwstr>https://www.accc.gov.au/system/files/accc-insurance-monitoring-report-july-2025.pdf</vt:lpwstr>
      </vt:variant>
      <vt:variant>
        <vt:lpwstr/>
      </vt:variant>
      <vt:variant>
        <vt:i4>3997791</vt:i4>
      </vt:variant>
      <vt:variant>
        <vt:i4>225</vt:i4>
      </vt:variant>
      <vt:variant>
        <vt:i4>0</vt:i4>
      </vt:variant>
      <vt:variant>
        <vt:i4>5</vt:i4>
      </vt:variant>
      <vt:variant>
        <vt:lpwstr>mailto:arpcreview@treasury.gov.au</vt:lpwstr>
      </vt:variant>
      <vt:variant>
        <vt:lpwstr/>
      </vt:variant>
      <vt:variant>
        <vt:i4>6488099</vt:i4>
      </vt:variant>
      <vt:variant>
        <vt:i4>222</vt:i4>
      </vt:variant>
      <vt:variant>
        <vt:i4>0</vt:i4>
      </vt:variant>
      <vt:variant>
        <vt:i4>5</vt:i4>
      </vt:variant>
      <vt:variant>
        <vt:lpwstr>https://converlens.com/privacy</vt:lpwstr>
      </vt:variant>
      <vt:variant>
        <vt:lpwstr/>
      </vt:variant>
      <vt:variant>
        <vt:i4>6553652</vt:i4>
      </vt:variant>
      <vt:variant>
        <vt:i4>219</vt:i4>
      </vt:variant>
      <vt:variant>
        <vt:i4>0</vt:i4>
      </vt:variant>
      <vt:variant>
        <vt:i4>5</vt:i4>
      </vt:variant>
      <vt:variant>
        <vt:lpwstr>https://treasury.gov.au/privacy-policy</vt:lpwstr>
      </vt:variant>
      <vt:variant>
        <vt:lpwstr/>
      </vt:variant>
      <vt:variant>
        <vt:i4>5898256</vt:i4>
      </vt:variant>
      <vt:variant>
        <vt:i4>216</vt:i4>
      </vt:variant>
      <vt:variant>
        <vt:i4>0</vt:i4>
      </vt:variant>
      <vt:variant>
        <vt:i4>5</vt:i4>
      </vt:variant>
      <vt:variant>
        <vt:lpwstr>https://treasury.gov.au/submission-guidelines</vt:lpwstr>
      </vt:variant>
      <vt:variant>
        <vt:lpwstr/>
      </vt:variant>
      <vt:variant>
        <vt:i4>1048631</vt:i4>
      </vt:variant>
      <vt:variant>
        <vt:i4>209</vt:i4>
      </vt:variant>
      <vt:variant>
        <vt:i4>0</vt:i4>
      </vt:variant>
      <vt:variant>
        <vt:i4>5</vt:i4>
      </vt:variant>
      <vt:variant>
        <vt:lpwstr/>
      </vt:variant>
      <vt:variant>
        <vt:lpwstr>_Toc210056004</vt:lpwstr>
      </vt:variant>
      <vt:variant>
        <vt:i4>1048631</vt:i4>
      </vt:variant>
      <vt:variant>
        <vt:i4>203</vt:i4>
      </vt:variant>
      <vt:variant>
        <vt:i4>0</vt:i4>
      </vt:variant>
      <vt:variant>
        <vt:i4>5</vt:i4>
      </vt:variant>
      <vt:variant>
        <vt:lpwstr/>
      </vt:variant>
      <vt:variant>
        <vt:lpwstr>_Toc210056003</vt:lpwstr>
      </vt:variant>
      <vt:variant>
        <vt:i4>1048631</vt:i4>
      </vt:variant>
      <vt:variant>
        <vt:i4>197</vt:i4>
      </vt:variant>
      <vt:variant>
        <vt:i4>0</vt:i4>
      </vt:variant>
      <vt:variant>
        <vt:i4>5</vt:i4>
      </vt:variant>
      <vt:variant>
        <vt:lpwstr/>
      </vt:variant>
      <vt:variant>
        <vt:lpwstr>_Toc210056002</vt:lpwstr>
      </vt:variant>
      <vt:variant>
        <vt:i4>1048631</vt:i4>
      </vt:variant>
      <vt:variant>
        <vt:i4>191</vt:i4>
      </vt:variant>
      <vt:variant>
        <vt:i4>0</vt:i4>
      </vt:variant>
      <vt:variant>
        <vt:i4>5</vt:i4>
      </vt:variant>
      <vt:variant>
        <vt:lpwstr/>
      </vt:variant>
      <vt:variant>
        <vt:lpwstr>_Toc210056001</vt:lpwstr>
      </vt:variant>
      <vt:variant>
        <vt:i4>1048631</vt:i4>
      </vt:variant>
      <vt:variant>
        <vt:i4>185</vt:i4>
      </vt:variant>
      <vt:variant>
        <vt:i4>0</vt:i4>
      </vt:variant>
      <vt:variant>
        <vt:i4>5</vt:i4>
      </vt:variant>
      <vt:variant>
        <vt:lpwstr/>
      </vt:variant>
      <vt:variant>
        <vt:lpwstr>_Toc210056000</vt:lpwstr>
      </vt:variant>
      <vt:variant>
        <vt:i4>1703998</vt:i4>
      </vt:variant>
      <vt:variant>
        <vt:i4>179</vt:i4>
      </vt:variant>
      <vt:variant>
        <vt:i4>0</vt:i4>
      </vt:variant>
      <vt:variant>
        <vt:i4>5</vt:i4>
      </vt:variant>
      <vt:variant>
        <vt:lpwstr/>
      </vt:variant>
      <vt:variant>
        <vt:lpwstr>_Toc210055999</vt:lpwstr>
      </vt:variant>
      <vt:variant>
        <vt:i4>1703998</vt:i4>
      </vt:variant>
      <vt:variant>
        <vt:i4>173</vt:i4>
      </vt:variant>
      <vt:variant>
        <vt:i4>0</vt:i4>
      </vt:variant>
      <vt:variant>
        <vt:i4>5</vt:i4>
      </vt:variant>
      <vt:variant>
        <vt:lpwstr/>
      </vt:variant>
      <vt:variant>
        <vt:lpwstr>_Toc210055998</vt:lpwstr>
      </vt:variant>
      <vt:variant>
        <vt:i4>1703998</vt:i4>
      </vt:variant>
      <vt:variant>
        <vt:i4>167</vt:i4>
      </vt:variant>
      <vt:variant>
        <vt:i4>0</vt:i4>
      </vt:variant>
      <vt:variant>
        <vt:i4>5</vt:i4>
      </vt:variant>
      <vt:variant>
        <vt:lpwstr/>
      </vt:variant>
      <vt:variant>
        <vt:lpwstr>_Toc210055997</vt:lpwstr>
      </vt:variant>
      <vt:variant>
        <vt:i4>1703998</vt:i4>
      </vt:variant>
      <vt:variant>
        <vt:i4>161</vt:i4>
      </vt:variant>
      <vt:variant>
        <vt:i4>0</vt:i4>
      </vt:variant>
      <vt:variant>
        <vt:i4>5</vt:i4>
      </vt:variant>
      <vt:variant>
        <vt:lpwstr/>
      </vt:variant>
      <vt:variant>
        <vt:lpwstr>_Toc210055996</vt:lpwstr>
      </vt:variant>
      <vt:variant>
        <vt:i4>1703998</vt:i4>
      </vt:variant>
      <vt:variant>
        <vt:i4>155</vt:i4>
      </vt:variant>
      <vt:variant>
        <vt:i4>0</vt:i4>
      </vt:variant>
      <vt:variant>
        <vt:i4>5</vt:i4>
      </vt:variant>
      <vt:variant>
        <vt:lpwstr/>
      </vt:variant>
      <vt:variant>
        <vt:lpwstr>_Toc210055995</vt:lpwstr>
      </vt:variant>
      <vt:variant>
        <vt:i4>1703998</vt:i4>
      </vt:variant>
      <vt:variant>
        <vt:i4>149</vt:i4>
      </vt:variant>
      <vt:variant>
        <vt:i4>0</vt:i4>
      </vt:variant>
      <vt:variant>
        <vt:i4>5</vt:i4>
      </vt:variant>
      <vt:variant>
        <vt:lpwstr/>
      </vt:variant>
      <vt:variant>
        <vt:lpwstr>_Toc210055994</vt:lpwstr>
      </vt:variant>
      <vt:variant>
        <vt:i4>1703998</vt:i4>
      </vt:variant>
      <vt:variant>
        <vt:i4>143</vt:i4>
      </vt:variant>
      <vt:variant>
        <vt:i4>0</vt:i4>
      </vt:variant>
      <vt:variant>
        <vt:i4>5</vt:i4>
      </vt:variant>
      <vt:variant>
        <vt:lpwstr/>
      </vt:variant>
      <vt:variant>
        <vt:lpwstr>_Toc210055993</vt:lpwstr>
      </vt:variant>
      <vt:variant>
        <vt:i4>1703998</vt:i4>
      </vt:variant>
      <vt:variant>
        <vt:i4>137</vt:i4>
      </vt:variant>
      <vt:variant>
        <vt:i4>0</vt:i4>
      </vt:variant>
      <vt:variant>
        <vt:i4>5</vt:i4>
      </vt:variant>
      <vt:variant>
        <vt:lpwstr/>
      </vt:variant>
      <vt:variant>
        <vt:lpwstr>_Toc210055992</vt:lpwstr>
      </vt:variant>
      <vt:variant>
        <vt:i4>1703998</vt:i4>
      </vt:variant>
      <vt:variant>
        <vt:i4>131</vt:i4>
      </vt:variant>
      <vt:variant>
        <vt:i4>0</vt:i4>
      </vt:variant>
      <vt:variant>
        <vt:i4>5</vt:i4>
      </vt:variant>
      <vt:variant>
        <vt:lpwstr/>
      </vt:variant>
      <vt:variant>
        <vt:lpwstr>_Toc210055991</vt:lpwstr>
      </vt:variant>
      <vt:variant>
        <vt:i4>1703998</vt:i4>
      </vt:variant>
      <vt:variant>
        <vt:i4>125</vt:i4>
      </vt:variant>
      <vt:variant>
        <vt:i4>0</vt:i4>
      </vt:variant>
      <vt:variant>
        <vt:i4>5</vt:i4>
      </vt:variant>
      <vt:variant>
        <vt:lpwstr/>
      </vt:variant>
      <vt:variant>
        <vt:lpwstr>_Toc210055990</vt:lpwstr>
      </vt:variant>
      <vt:variant>
        <vt:i4>1769534</vt:i4>
      </vt:variant>
      <vt:variant>
        <vt:i4>119</vt:i4>
      </vt:variant>
      <vt:variant>
        <vt:i4>0</vt:i4>
      </vt:variant>
      <vt:variant>
        <vt:i4>5</vt:i4>
      </vt:variant>
      <vt:variant>
        <vt:lpwstr/>
      </vt:variant>
      <vt:variant>
        <vt:lpwstr>_Toc210055989</vt:lpwstr>
      </vt:variant>
      <vt:variant>
        <vt:i4>1769534</vt:i4>
      </vt:variant>
      <vt:variant>
        <vt:i4>113</vt:i4>
      </vt:variant>
      <vt:variant>
        <vt:i4>0</vt:i4>
      </vt:variant>
      <vt:variant>
        <vt:i4>5</vt:i4>
      </vt:variant>
      <vt:variant>
        <vt:lpwstr/>
      </vt:variant>
      <vt:variant>
        <vt:lpwstr>_Toc210055984</vt:lpwstr>
      </vt:variant>
      <vt:variant>
        <vt:i4>1310782</vt:i4>
      </vt:variant>
      <vt:variant>
        <vt:i4>107</vt:i4>
      </vt:variant>
      <vt:variant>
        <vt:i4>0</vt:i4>
      </vt:variant>
      <vt:variant>
        <vt:i4>5</vt:i4>
      </vt:variant>
      <vt:variant>
        <vt:lpwstr/>
      </vt:variant>
      <vt:variant>
        <vt:lpwstr>_Toc210055978</vt:lpwstr>
      </vt:variant>
      <vt:variant>
        <vt:i4>1310782</vt:i4>
      </vt:variant>
      <vt:variant>
        <vt:i4>101</vt:i4>
      </vt:variant>
      <vt:variant>
        <vt:i4>0</vt:i4>
      </vt:variant>
      <vt:variant>
        <vt:i4>5</vt:i4>
      </vt:variant>
      <vt:variant>
        <vt:lpwstr/>
      </vt:variant>
      <vt:variant>
        <vt:lpwstr>_Toc210055975</vt:lpwstr>
      </vt:variant>
      <vt:variant>
        <vt:i4>1310782</vt:i4>
      </vt:variant>
      <vt:variant>
        <vt:i4>95</vt:i4>
      </vt:variant>
      <vt:variant>
        <vt:i4>0</vt:i4>
      </vt:variant>
      <vt:variant>
        <vt:i4>5</vt:i4>
      </vt:variant>
      <vt:variant>
        <vt:lpwstr/>
      </vt:variant>
      <vt:variant>
        <vt:lpwstr>_Toc210055974</vt:lpwstr>
      </vt:variant>
      <vt:variant>
        <vt:i4>1310782</vt:i4>
      </vt:variant>
      <vt:variant>
        <vt:i4>89</vt:i4>
      </vt:variant>
      <vt:variant>
        <vt:i4>0</vt:i4>
      </vt:variant>
      <vt:variant>
        <vt:i4>5</vt:i4>
      </vt:variant>
      <vt:variant>
        <vt:lpwstr/>
      </vt:variant>
      <vt:variant>
        <vt:lpwstr>_Toc210055973</vt:lpwstr>
      </vt:variant>
      <vt:variant>
        <vt:i4>1310782</vt:i4>
      </vt:variant>
      <vt:variant>
        <vt:i4>83</vt:i4>
      </vt:variant>
      <vt:variant>
        <vt:i4>0</vt:i4>
      </vt:variant>
      <vt:variant>
        <vt:i4>5</vt:i4>
      </vt:variant>
      <vt:variant>
        <vt:lpwstr/>
      </vt:variant>
      <vt:variant>
        <vt:lpwstr>_Toc210055972</vt:lpwstr>
      </vt:variant>
      <vt:variant>
        <vt:i4>1310782</vt:i4>
      </vt:variant>
      <vt:variant>
        <vt:i4>77</vt:i4>
      </vt:variant>
      <vt:variant>
        <vt:i4>0</vt:i4>
      </vt:variant>
      <vt:variant>
        <vt:i4>5</vt:i4>
      </vt:variant>
      <vt:variant>
        <vt:lpwstr/>
      </vt:variant>
      <vt:variant>
        <vt:lpwstr>_Toc210055971</vt:lpwstr>
      </vt:variant>
      <vt:variant>
        <vt:i4>1310782</vt:i4>
      </vt:variant>
      <vt:variant>
        <vt:i4>71</vt:i4>
      </vt:variant>
      <vt:variant>
        <vt:i4>0</vt:i4>
      </vt:variant>
      <vt:variant>
        <vt:i4>5</vt:i4>
      </vt:variant>
      <vt:variant>
        <vt:lpwstr/>
      </vt:variant>
      <vt:variant>
        <vt:lpwstr>_Toc210055970</vt:lpwstr>
      </vt:variant>
      <vt:variant>
        <vt:i4>1376318</vt:i4>
      </vt:variant>
      <vt:variant>
        <vt:i4>65</vt:i4>
      </vt:variant>
      <vt:variant>
        <vt:i4>0</vt:i4>
      </vt:variant>
      <vt:variant>
        <vt:i4>5</vt:i4>
      </vt:variant>
      <vt:variant>
        <vt:lpwstr/>
      </vt:variant>
      <vt:variant>
        <vt:lpwstr>_Toc210055969</vt:lpwstr>
      </vt:variant>
      <vt:variant>
        <vt:i4>1376318</vt:i4>
      </vt:variant>
      <vt:variant>
        <vt:i4>59</vt:i4>
      </vt:variant>
      <vt:variant>
        <vt:i4>0</vt:i4>
      </vt:variant>
      <vt:variant>
        <vt:i4>5</vt:i4>
      </vt:variant>
      <vt:variant>
        <vt:lpwstr/>
      </vt:variant>
      <vt:variant>
        <vt:lpwstr>_Toc210055968</vt:lpwstr>
      </vt:variant>
      <vt:variant>
        <vt:i4>1376318</vt:i4>
      </vt:variant>
      <vt:variant>
        <vt:i4>53</vt:i4>
      </vt:variant>
      <vt:variant>
        <vt:i4>0</vt:i4>
      </vt:variant>
      <vt:variant>
        <vt:i4>5</vt:i4>
      </vt:variant>
      <vt:variant>
        <vt:lpwstr/>
      </vt:variant>
      <vt:variant>
        <vt:lpwstr>_Toc210055967</vt:lpwstr>
      </vt:variant>
      <vt:variant>
        <vt:i4>1376318</vt:i4>
      </vt:variant>
      <vt:variant>
        <vt:i4>47</vt:i4>
      </vt:variant>
      <vt:variant>
        <vt:i4>0</vt:i4>
      </vt:variant>
      <vt:variant>
        <vt:i4>5</vt:i4>
      </vt:variant>
      <vt:variant>
        <vt:lpwstr/>
      </vt:variant>
      <vt:variant>
        <vt:lpwstr>_Toc210055966</vt:lpwstr>
      </vt:variant>
      <vt:variant>
        <vt:i4>1376318</vt:i4>
      </vt:variant>
      <vt:variant>
        <vt:i4>41</vt:i4>
      </vt:variant>
      <vt:variant>
        <vt:i4>0</vt:i4>
      </vt:variant>
      <vt:variant>
        <vt:i4>5</vt:i4>
      </vt:variant>
      <vt:variant>
        <vt:lpwstr/>
      </vt:variant>
      <vt:variant>
        <vt:lpwstr>_Toc210055965</vt:lpwstr>
      </vt:variant>
      <vt:variant>
        <vt:i4>1376318</vt:i4>
      </vt:variant>
      <vt:variant>
        <vt:i4>35</vt:i4>
      </vt:variant>
      <vt:variant>
        <vt:i4>0</vt:i4>
      </vt:variant>
      <vt:variant>
        <vt:i4>5</vt:i4>
      </vt:variant>
      <vt:variant>
        <vt:lpwstr/>
      </vt:variant>
      <vt:variant>
        <vt:lpwstr>_Toc210055964</vt:lpwstr>
      </vt:variant>
      <vt:variant>
        <vt:i4>1376318</vt:i4>
      </vt:variant>
      <vt:variant>
        <vt:i4>29</vt:i4>
      </vt:variant>
      <vt:variant>
        <vt:i4>0</vt:i4>
      </vt:variant>
      <vt:variant>
        <vt:i4>5</vt:i4>
      </vt:variant>
      <vt:variant>
        <vt:lpwstr/>
      </vt:variant>
      <vt:variant>
        <vt:lpwstr>_Toc210055963</vt:lpwstr>
      </vt:variant>
      <vt:variant>
        <vt:i4>1376318</vt:i4>
      </vt:variant>
      <vt:variant>
        <vt:i4>23</vt:i4>
      </vt:variant>
      <vt:variant>
        <vt:i4>0</vt:i4>
      </vt:variant>
      <vt:variant>
        <vt:i4>5</vt:i4>
      </vt:variant>
      <vt:variant>
        <vt:lpwstr/>
      </vt:variant>
      <vt:variant>
        <vt:lpwstr>_Toc210055962</vt:lpwstr>
      </vt:variant>
      <vt:variant>
        <vt:i4>1376318</vt:i4>
      </vt:variant>
      <vt:variant>
        <vt:i4>17</vt:i4>
      </vt:variant>
      <vt:variant>
        <vt:i4>0</vt:i4>
      </vt:variant>
      <vt:variant>
        <vt:i4>5</vt:i4>
      </vt:variant>
      <vt:variant>
        <vt:lpwstr/>
      </vt:variant>
      <vt:variant>
        <vt:lpwstr>_Toc210055961</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917578</vt:i4>
      </vt:variant>
      <vt:variant>
        <vt:i4>3</vt:i4>
      </vt:variant>
      <vt:variant>
        <vt:i4>0</vt:i4>
      </vt:variant>
      <vt:variant>
        <vt:i4>5</vt:i4>
      </vt:variant>
      <vt:variant>
        <vt:lpwstr>http://creativecommons.org/licenses/by/4.0/legalcode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2490416</vt:i4>
      </vt:variant>
      <vt:variant>
        <vt:i4>147</vt:i4>
      </vt:variant>
      <vt:variant>
        <vt:i4>0</vt:i4>
      </vt:variant>
      <vt:variant>
        <vt:i4>5</vt:i4>
      </vt:variant>
      <vt:variant>
        <vt:lpwstr>https://treasury.gov.au/publication/terrorism-insurance-act-review-2015</vt:lpwstr>
      </vt:variant>
      <vt:variant>
        <vt:lpwstr/>
      </vt:variant>
      <vt:variant>
        <vt:i4>2490416</vt:i4>
      </vt:variant>
      <vt:variant>
        <vt:i4>144</vt:i4>
      </vt:variant>
      <vt:variant>
        <vt:i4>0</vt:i4>
      </vt:variant>
      <vt:variant>
        <vt:i4>5</vt:i4>
      </vt:variant>
      <vt:variant>
        <vt:lpwstr>https://treasury.gov.au/publication/terrorism-insurance-act-review-2015</vt:lpwstr>
      </vt:variant>
      <vt:variant>
        <vt:lpwstr/>
      </vt:variant>
      <vt:variant>
        <vt:i4>2490416</vt:i4>
      </vt:variant>
      <vt:variant>
        <vt:i4>141</vt:i4>
      </vt:variant>
      <vt:variant>
        <vt:i4>0</vt:i4>
      </vt:variant>
      <vt:variant>
        <vt:i4>5</vt:i4>
      </vt:variant>
      <vt:variant>
        <vt:lpwstr>https://treasury.gov.au/publication/terrorism-insurance-act-review-2015</vt:lpwstr>
      </vt:variant>
      <vt:variant>
        <vt:lpwstr/>
      </vt:variant>
      <vt:variant>
        <vt:i4>2490416</vt:i4>
      </vt:variant>
      <vt:variant>
        <vt:i4>138</vt:i4>
      </vt:variant>
      <vt:variant>
        <vt:i4>0</vt:i4>
      </vt:variant>
      <vt:variant>
        <vt:i4>5</vt:i4>
      </vt:variant>
      <vt:variant>
        <vt:lpwstr>https://treasury.gov.au/publication/terrorism-insurance-act-review-2015</vt:lpwstr>
      </vt:variant>
      <vt:variant>
        <vt:lpwstr/>
      </vt:variant>
      <vt:variant>
        <vt:i4>2687039</vt:i4>
      </vt:variant>
      <vt:variant>
        <vt:i4>135</vt:i4>
      </vt:variant>
      <vt:variant>
        <vt:i4>0</vt:i4>
      </vt:variant>
      <vt:variant>
        <vt:i4>5</vt:i4>
      </vt:variant>
      <vt:variant>
        <vt:lpwstr>https://www.legislation.gov.au/F2025N00441/asmade/text</vt:lpwstr>
      </vt:variant>
      <vt:variant>
        <vt:lpwstr/>
      </vt:variant>
      <vt:variant>
        <vt:i4>6357098</vt:i4>
      </vt:variant>
      <vt:variant>
        <vt:i4>132</vt:i4>
      </vt:variant>
      <vt:variant>
        <vt:i4>0</vt:i4>
      </vt:variant>
      <vt:variant>
        <vt:i4>5</vt:i4>
      </vt:variant>
      <vt:variant>
        <vt:lpwstr>https://arpc.gov.au/resources/arpc-finalises-2025-terrorism-retrocession-program/</vt:lpwstr>
      </vt:variant>
      <vt:variant>
        <vt:lpwstr>:~:text=The%20retrocession%2C%20of%20%242.15%20billion,and%20other%20eligible%20property%20assets.</vt:lpwstr>
      </vt:variant>
      <vt:variant>
        <vt:i4>5767176</vt:i4>
      </vt:variant>
      <vt:variant>
        <vt:i4>129</vt:i4>
      </vt:variant>
      <vt:variant>
        <vt:i4>0</vt:i4>
      </vt:variant>
      <vt:variant>
        <vt:i4>5</vt:i4>
      </vt:variant>
      <vt:variant>
        <vt:lpwstr>https://arpc.gov.au/resources/arpc-annual-report-2023-24/</vt:lpwstr>
      </vt:variant>
      <vt:variant>
        <vt:lpwstr/>
      </vt:variant>
      <vt:variant>
        <vt:i4>327772</vt:i4>
      </vt:variant>
      <vt:variant>
        <vt:i4>126</vt:i4>
      </vt:variant>
      <vt:variant>
        <vt:i4>0</vt:i4>
      </vt:variant>
      <vt:variant>
        <vt:i4>5</vt:i4>
      </vt:variant>
      <vt:variant>
        <vt:lpwstr>https://treasury.gov.au/publication/p2018-t343349</vt:lpwstr>
      </vt:variant>
      <vt:variant>
        <vt:lpwstr/>
      </vt:variant>
      <vt:variant>
        <vt:i4>5767182</vt:i4>
      </vt:variant>
      <vt:variant>
        <vt:i4>123</vt:i4>
      </vt:variant>
      <vt:variant>
        <vt:i4>0</vt:i4>
      </vt:variant>
      <vt:variant>
        <vt:i4>5</vt:i4>
      </vt:variant>
      <vt:variant>
        <vt:lpwstr>https://arpc.gov.au/resources/arpc-annual-report-2016-17/</vt:lpwstr>
      </vt:variant>
      <vt:variant>
        <vt:lpwstr/>
      </vt:variant>
      <vt:variant>
        <vt:i4>327772</vt:i4>
      </vt:variant>
      <vt:variant>
        <vt:i4>120</vt:i4>
      </vt:variant>
      <vt:variant>
        <vt:i4>0</vt:i4>
      </vt:variant>
      <vt:variant>
        <vt:i4>5</vt:i4>
      </vt:variant>
      <vt:variant>
        <vt:lpwstr>https://treasury.gov.au/publication/p2018-t343349</vt:lpwstr>
      </vt:variant>
      <vt:variant>
        <vt:lpwstr/>
      </vt:variant>
      <vt:variant>
        <vt:i4>1572950</vt:i4>
      </vt:variant>
      <vt:variant>
        <vt:i4>117</vt:i4>
      </vt:variant>
      <vt:variant>
        <vt:i4>0</vt:i4>
      </vt:variant>
      <vt:variant>
        <vt:i4>5</vt:i4>
      </vt:variant>
      <vt:variant>
        <vt:lpwstr>https://treasury.gov.au/consultation/c2021-184184</vt:lpwstr>
      </vt:variant>
      <vt:variant>
        <vt:lpwstr/>
      </vt:variant>
      <vt:variant>
        <vt:i4>2949173</vt:i4>
      </vt:variant>
      <vt:variant>
        <vt:i4>114</vt:i4>
      </vt:variant>
      <vt:variant>
        <vt:i4>0</vt:i4>
      </vt:variant>
      <vt:variant>
        <vt:i4>5</vt:i4>
      </vt:variant>
      <vt:variant>
        <vt:lpwstr>https://www.legislation.gov.au/F2003B00175/latest/text</vt:lpwstr>
      </vt:variant>
      <vt:variant>
        <vt:lpwstr/>
      </vt:variant>
      <vt:variant>
        <vt:i4>2490416</vt:i4>
      </vt:variant>
      <vt:variant>
        <vt:i4>111</vt:i4>
      </vt:variant>
      <vt:variant>
        <vt:i4>0</vt:i4>
      </vt:variant>
      <vt:variant>
        <vt:i4>5</vt:i4>
      </vt:variant>
      <vt:variant>
        <vt:lpwstr>https://treasury.gov.au/publication/terrorism-insurance-act-review-2015</vt:lpwstr>
      </vt:variant>
      <vt:variant>
        <vt:lpwstr/>
      </vt:variant>
      <vt:variant>
        <vt:i4>2949173</vt:i4>
      </vt:variant>
      <vt:variant>
        <vt:i4>108</vt:i4>
      </vt:variant>
      <vt:variant>
        <vt:i4>0</vt:i4>
      </vt:variant>
      <vt:variant>
        <vt:i4>5</vt:i4>
      </vt:variant>
      <vt:variant>
        <vt:lpwstr>https://www.legislation.gov.au/F2003B00175/latest/text</vt:lpwstr>
      </vt:variant>
      <vt:variant>
        <vt:lpwstr/>
      </vt:variant>
      <vt:variant>
        <vt:i4>2228274</vt:i4>
      </vt:variant>
      <vt:variant>
        <vt:i4>105</vt:i4>
      </vt:variant>
      <vt:variant>
        <vt:i4>0</vt:i4>
      </vt:variant>
      <vt:variant>
        <vt:i4>5</vt:i4>
      </vt:variant>
      <vt:variant>
        <vt:lpwstr>https://www.legislation.gov.au/C2004A01128/latest/text</vt:lpwstr>
      </vt:variant>
      <vt:variant>
        <vt:lpwstr/>
      </vt:variant>
      <vt:variant>
        <vt:i4>2228274</vt:i4>
      </vt:variant>
      <vt:variant>
        <vt:i4>102</vt:i4>
      </vt:variant>
      <vt:variant>
        <vt:i4>0</vt:i4>
      </vt:variant>
      <vt:variant>
        <vt:i4>5</vt:i4>
      </vt:variant>
      <vt:variant>
        <vt:lpwstr>https://www.legislation.gov.au/C2004A01128/latest/text</vt:lpwstr>
      </vt:variant>
      <vt:variant>
        <vt:lpwstr/>
      </vt:variant>
      <vt:variant>
        <vt:i4>2228274</vt:i4>
      </vt:variant>
      <vt:variant>
        <vt:i4>99</vt:i4>
      </vt:variant>
      <vt:variant>
        <vt:i4>0</vt:i4>
      </vt:variant>
      <vt:variant>
        <vt:i4>5</vt:i4>
      </vt:variant>
      <vt:variant>
        <vt:lpwstr>https://www.legislation.gov.au/C2004A01128/latest/text</vt:lpwstr>
      </vt:variant>
      <vt:variant>
        <vt:lpwstr/>
      </vt:variant>
      <vt:variant>
        <vt:i4>524299</vt:i4>
      </vt:variant>
      <vt:variant>
        <vt:i4>96</vt:i4>
      </vt:variant>
      <vt:variant>
        <vt:i4>0</vt:i4>
      </vt:variant>
      <vt:variant>
        <vt:i4>5</vt:i4>
      </vt:variant>
      <vt:variant>
        <vt:lpwstr>https://www.aph.gov.au/Parliamentary_Business/Committees/Joint/Northern_Australia_47P/CycloneReinsurancePool/First_Report</vt:lpwstr>
      </vt:variant>
      <vt:variant>
        <vt:lpwstr/>
      </vt:variant>
      <vt:variant>
        <vt:i4>524299</vt:i4>
      </vt:variant>
      <vt:variant>
        <vt:i4>93</vt:i4>
      </vt:variant>
      <vt:variant>
        <vt:i4>0</vt:i4>
      </vt:variant>
      <vt:variant>
        <vt:i4>5</vt:i4>
      </vt:variant>
      <vt:variant>
        <vt:lpwstr>https://www.aph.gov.au/Parliamentary_Business/Committees/Joint/Northern_Australia_47P/CycloneReinsurancePool/First_Report</vt:lpwstr>
      </vt:variant>
      <vt:variant>
        <vt:lpwstr/>
      </vt:variant>
      <vt:variant>
        <vt:i4>13</vt:i4>
      </vt:variant>
      <vt:variant>
        <vt:i4>90</vt:i4>
      </vt:variant>
      <vt:variant>
        <vt:i4>0</vt:i4>
      </vt:variant>
      <vt:variant>
        <vt:i4>5</vt:i4>
      </vt:variant>
      <vt:variant>
        <vt:lpwstr>https://arpc.gov.au/resources/arpc-publishes-modelling-of-cyclone-pool-coverage-period/</vt:lpwstr>
      </vt:variant>
      <vt:variant>
        <vt:lpwstr>:~:text=The%20actuarial%20modelling%20indicates%20that,million%2C%20or%20approximately%205%25.</vt:lpwstr>
      </vt:variant>
      <vt:variant>
        <vt:i4>524299</vt:i4>
      </vt:variant>
      <vt:variant>
        <vt:i4>87</vt:i4>
      </vt:variant>
      <vt:variant>
        <vt:i4>0</vt:i4>
      </vt:variant>
      <vt:variant>
        <vt:i4>5</vt:i4>
      </vt:variant>
      <vt:variant>
        <vt:lpwstr>https://www.aph.gov.au/Parliamentary_Business/Committees/Joint/Northern_Australia_47P/CycloneReinsurancePool/First_Report</vt:lpwstr>
      </vt:variant>
      <vt:variant>
        <vt:lpwstr/>
      </vt:variant>
      <vt:variant>
        <vt:i4>4915226</vt:i4>
      </vt:variant>
      <vt:variant>
        <vt:i4>84</vt:i4>
      </vt:variant>
      <vt:variant>
        <vt:i4>0</vt:i4>
      </vt:variant>
      <vt:variant>
        <vt:i4>5</vt:i4>
      </vt:variant>
      <vt:variant>
        <vt:lpwstr>https://www.accc.gov.au/about-us/publications/serial-publications/insurance-monitoring-reports/accc-insurance-monitoring-report-2024</vt:lpwstr>
      </vt:variant>
      <vt:variant>
        <vt:lpwstr/>
      </vt:variant>
      <vt:variant>
        <vt:i4>1114178</vt:i4>
      </vt:variant>
      <vt:variant>
        <vt:i4>81</vt:i4>
      </vt:variant>
      <vt:variant>
        <vt:i4>0</vt:i4>
      </vt:variant>
      <vt:variant>
        <vt:i4>5</vt:i4>
      </vt:variant>
      <vt:variant>
        <vt:lpwstr>https://insurancecouncil.com.au/news-hub/current-catastrophes/catastrophe-232-tc-jasper/</vt:lpwstr>
      </vt:variant>
      <vt:variant>
        <vt:lpwstr/>
      </vt:variant>
      <vt:variant>
        <vt:i4>2490405</vt:i4>
      </vt:variant>
      <vt:variant>
        <vt:i4>78</vt:i4>
      </vt:variant>
      <vt:variant>
        <vt:i4>0</vt:i4>
      </vt:variant>
      <vt:variant>
        <vt:i4>5</vt:i4>
      </vt:variant>
      <vt:variant>
        <vt:lpwstr>https://arpc.gov.au/resources/tropical-cyclone-jasper-ends/</vt:lpwstr>
      </vt:variant>
      <vt:variant>
        <vt:lpwstr/>
      </vt:variant>
      <vt:variant>
        <vt:i4>6619196</vt:i4>
      </vt:variant>
      <vt:variant>
        <vt:i4>75</vt:i4>
      </vt:variant>
      <vt:variant>
        <vt:i4>0</vt:i4>
      </vt:variant>
      <vt:variant>
        <vt:i4>5</vt:i4>
      </vt:variant>
      <vt:variant>
        <vt:lpwstr>https://arpc.gov.au/reinsurance-pools/cyclone/declarations/</vt:lpwstr>
      </vt:variant>
      <vt:variant>
        <vt:lpwstr/>
      </vt:variant>
      <vt:variant>
        <vt:i4>917528</vt:i4>
      </vt:variant>
      <vt:variant>
        <vt:i4>72</vt:i4>
      </vt:variant>
      <vt:variant>
        <vt:i4>0</vt:i4>
      </vt:variant>
      <vt:variant>
        <vt:i4>5</vt:i4>
      </vt:variant>
      <vt:variant>
        <vt:lpwstr>https://arpc.gov.au/resources/cyclone-reinsurance-pool-statistics-report-march-2025/</vt:lpwstr>
      </vt:variant>
      <vt:variant>
        <vt:lpwstr/>
      </vt:variant>
      <vt:variant>
        <vt:i4>7602275</vt:i4>
      </vt:variant>
      <vt:variant>
        <vt:i4>69</vt:i4>
      </vt:variant>
      <vt:variant>
        <vt:i4>0</vt:i4>
      </vt:variant>
      <vt:variant>
        <vt:i4>5</vt:i4>
      </vt:variant>
      <vt:variant>
        <vt:lpwstr>https://arpc.gov.au/resources/arpc-publishes-cyclone-reinsurance-pool-premium-rates-2/</vt:lpwstr>
      </vt:variant>
      <vt:variant>
        <vt:lpwstr/>
      </vt:variant>
      <vt:variant>
        <vt:i4>2228274</vt:i4>
      </vt:variant>
      <vt:variant>
        <vt:i4>66</vt:i4>
      </vt:variant>
      <vt:variant>
        <vt:i4>0</vt:i4>
      </vt:variant>
      <vt:variant>
        <vt:i4>5</vt:i4>
      </vt:variant>
      <vt:variant>
        <vt:lpwstr>https://www.legislation.gov.au/C2004A01128/latest/text</vt:lpwstr>
      </vt:variant>
      <vt:variant>
        <vt:lpwstr/>
      </vt:variant>
      <vt:variant>
        <vt:i4>4784212</vt:i4>
      </vt:variant>
      <vt:variant>
        <vt:i4>63</vt:i4>
      </vt:variant>
      <vt:variant>
        <vt:i4>0</vt:i4>
      </vt:variant>
      <vt:variant>
        <vt:i4>5</vt:i4>
      </vt:variant>
      <vt:variant>
        <vt:lpwstr>https://arpc.gov.au/resources/cyclone-pool-driving-down-premiums-in-high-risk-areas/</vt:lpwstr>
      </vt:variant>
      <vt:variant>
        <vt:lpwstr/>
      </vt:variant>
      <vt:variant>
        <vt:i4>4784212</vt:i4>
      </vt:variant>
      <vt:variant>
        <vt:i4>60</vt:i4>
      </vt:variant>
      <vt:variant>
        <vt:i4>0</vt:i4>
      </vt:variant>
      <vt:variant>
        <vt:i4>5</vt:i4>
      </vt:variant>
      <vt:variant>
        <vt:lpwstr>https://arpc.gov.au/resources/cyclone-pool-driving-down-premiums-in-high-risk-areas/</vt:lpwstr>
      </vt:variant>
      <vt:variant>
        <vt:lpwstr/>
      </vt:variant>
      <vt:variant>
        <vt:i4>4784212</vt:i4>
      </vt:variant>
      <vt:variant>
        <vt:i4>57</vt:i4>
      </vt:variant>
      <vt:variant>
        <vt:i4>0</vt:i4>
      </vt:variant>
      <vt:variant>
        <vt:i4>5</vt:i4>
      </vt:variant>
      <vt:variant>
        <vt:lpwstr>https://arpc.gov.au/resources/cyclone-pool-driving-down-premiums-in-high-risk-areas/</vt:lpwstr>
      </vt:variant>
      <vt:variant>
        <vt:lpwstr/>
      </vt:variant>
      <vt:variant>
        <vt:i4>4784212</vt:i4>
      </vt:variant>
      <vt:variant>
        <vt:i4>54</vt:i4>
      </vt:variant>
      <vt:variant>
        <vt:i4>0</vt:i4>
      </vt:variant>
      <vt:variant>
        <vt:i4>5</vt:i4>
      </vt:variant>
      <vt:variant>
        <vt:lpwstr>https://arpc.gov.au/resources/cyclone-pool-driving-down-premiums-in-high-risk-areas/</vt:lpwstr>
      </vt:variant>
      <vt:variant>
        <vt:lpwstr/>
      </vt:variant>
      <vt:variant>
        <vt:i4>4849690</vt:i4>
      </vt:variant>
      <vt:variant>
        <vt:i4>51</vt:i4>
      </vt:variant>
      <vt:variant>
        <vt:i4>0</vt:i4>
      </vt:variant>
      <vt:variant>
        <vt:i4>5</vt:i4>
      </vt:variant>
      <vt:variant>
        <vt:lpwstr>https://www.accc.gov.au/about-us/publications/serial-publications/insurance-monitoring-reports/accc-insurance-monitoring-report-2025</vt:lpwstr>
      </vt:variant>
      <vt:variant>
        <vt:lpwstr/>
      </vt:variant>
      <vt:variant>
        <vt:i4>4849690</vt:i4>
      </vt:variant>
      <vt:variant>
        <vt:i4>48</vt:i4>
      </vt:variant>
      <vt:variant>
        <vt:i4>0</vt:i4>
      </vt:variant>
      <vt:variant>
        <vt:i4>5</vt:i4>
      </vt:variant>
      <vt:variant>
        <vt:lpwstr>https://www.accc.gov.au/about-us/publications/serial-publications/insurance-monitoring-reports/accc-insurance-monitoring-report-2025</vt:lpwstr>
      </vt:variant>
      <vt:variant>
        <vt:lpwstr/>
      </vt:variant>
      <vt:variant>
        <vt:i4>4849690</vt:i4>
      </vt:variant>
      <vt:variant>
        <vt:i4>45</vt:i4>
      </vt:variant>
      <vt:variant>
        <vt:i4>0</vt:i4>
      </vt:variant>
      <vt:variant>
        <vt:i4>5</vt:i4>
      </vt:variant>
      <vt:variant>
        <vt:lpwstr>https://www.accc.gov.au/about-us/publications/serial-publications/insurance-monitoring-reports/accc-insurance-monitoring-report-2025</vt:lpwstr>
      </vt:variant>
      <vt:variant>
        <vt:lpwstr/>
      </vt:variant>
      <vt:variant>
        <vt:i4>4849690</vt:i4>
      </vt:variant>
      <vt:variant>
        <vt:i4>42</vt:i4>
      </vt:variant>
      <vt:variant>
        <vt:i4>0</vt:i4>
      </vt:variant>
      <vt:variant>
        <vt:i4>5</vt:i4>
      </vt:variant>
      <vt:variant>
        <vt:lpwstr>https://www.accc.gov.au/about-us/publications/serial-publications/insurance-monitoring-reports/accc-insurance-monitoring-report-2025</vt:lpwstr>
      </vt:variant>
      <vt:variant>
        <vt:lpwstr/>
      </vt:variant>
      <vt:variant>
        <vt:i4>4849690</vt:i4>
      </vt:variant>
      <vt:variant>
        <vt:i4>39</vt:i4>
      </vt:variant>
      <vt:variant>
        <vt:i4>0</vt:i4>
      </vt:variant>
      <vt:variant>
        <vt:i4>5</vt:i4>
      </vt:variant>
      <vt:variant>
        <vt:lpwstr>https://www.accc.gov.au/about-us/publications/serial-publications/insurance-monitoring-reports/accc-insurance-monitoring-report-2025</vt:lpwstr>
      </vt:variant>
      <vt:variant>
        <vt:lpwstr/>
      </vt:variant>
      <vt:variant>
        <vt:i4>4849690</vt:i4>
      </vt:variant>
      <vt:variant>
        <vt:i4>36</vt:i4>
      </vt:variant>
      <vt:variant>
        <vt:i4>0</vt:i4>
      </vt:variant>
      <vt:variant>
        <vt:i4>5</vt:i4>
      </vt:variant>
      <vt:variant>
        <vt:lpwstr>https://www.accc.gov.au/about-us/publications/serial-publications/insurance-monitoring-reports/accc-insurance-monitoring-report-2025</vt:lpwstr>
      </vt:variant>
      <vt:variant>
        <vt:lpwstr/>
      </vt:variant>
      <vt:variant>
        <vt:i4>2621501</vt:i4>
      </vt:variant>
      <vt:variant>
        <vt:i4>33</vt:i4>
      </vt:variant>
      <vt:variant>
        <vt:i4>0</vt:i4>
      </vt:variant>
      <vt:variant>
        <vt:i4>5</vt:i4>
      </vt:variant>
      <vt:variant>
        <vt:lpwstr>https://www.legislation.gov.au/F2022L00030/latest/text</vt:lpwstr>
      </vt:variant>
      <vt:variant>
        <vt:lpwstr/>
      </vt:variant>
      <vt:variant>
        <vt:i4>4915226</vt:i4>
      </vt:variant>
      <vt:variant>
        <vt:i4>30</vt:i4>
      </vt:variant>
      <vt:variant>
        <vt:i4>0</vt:i4>
      </vt:variant>
      <vt:variant>
        <vt:i4>5</vt:i4>
      </vt:variant>
      <vt:variant>
        <vt:lpwstr>https://www.accc.gov.au/about-us/publications/serial-publications/insurance-monitoring-reports/accc-insurance-monitoring-report-2024</vt:lpwstr>
      </vt:variant>
      <vt:variant>
        <vt:lpwstr/>
      </vt:variant>
      <vt:variant>
        <vt:i4>7602275</vt:i4>
      </vt:variant>
      <vt:variant>
        <vt:i4>27</vt:i4>
      </vt:variant>
      <vt:variant>
        <vt:i4>0</vt:i4>
      </vt:variant>
      <vt:variant>
        <vt:i4>5</vt:i4>
      </vt:variant>
      <vt:variant>
        <vt:lpwstr>https://arpc.gov.au/resources/arpc-publishes-cyclone-reinsurance-pool-premium-rates-2/</vt:lpwstr>
      </vt:variant>
      <vt:variant>
        <vt:lpwstr/>
      </vt:variant>
      <vt:variant>
        <vt:i4>2687039</vt:i4>
      </vt:variant>
      <vt:variant>
        <vt:i4>24</vt:i4>
      </vt:variant>
      <vt:variant>
        <vt:i4>0</vt:i4>
      </vt:variant>
      <vt:variant>
        <vt:i4>5</vt:i4>
      </vt:variant>
      <vt:variant>
        <vt:lpwstr>https://www.legislation.gov.au/F2023N00030/latest/text</vt:lpwstr>
      </vt:variant>
      <vt:variant>
        <vt:lpwstr/>
      </vt:variant>
      <vt:variant>
        <vt:i4>4194335</vt:i4>
      </vt:variant>
      <vt:variant>
        <vt:i4>21</vt:i4>
      </vt:variant>
      <vt:variant>
        <vt:i4>0</vt:i4>
      </vt:variant>
      <vt:variant>
        <vt:i4>5</vt:i4>
      </vt:variant>
      <vt:variant>
        <vt:lpwstr>https://www.aph.gov.au/Parliamentary_Business/Bills_LEGislation/Bills_Search_Results/Result?bId=r6847</vt:lpwstr>
      </vt:variant>
      <vt:variant>
        <vt:lpwstr/>
      </vt:variant>
      <vt:variant>
        <vt:i4>4718622</vt:i4>
      </vt:variant>
      <vt:variant>
        <vt:i4>18</vt:i4>
      </vt:variant>
      <vt:variant>
        <vt:i4>0</vt:i4>
      </vt:variant>
      <vt:variant>
        <vt:i4>5</vt:i4>
      </vt:variant>
      <vt:variant>
        <vt:lpwstr>https://arpc.gov.au/consumers/cyclone-pool-consumers/</vt:lpwstr>
      </vt:variant>
      <vt:variant>
        <vt:lpwstr/>
      </vt:variant>
      <vt:variant>
        <vt:i4>5308498</vt:i4>
      </vt:variant>
      <vt:variant>
        <vt:i4>15</vt:i4>
      </vt:variant>
      <vt:variant>
        <vt:i4>0</vt:i4>
      </vt:variant>
      <vt:variant>
        <vt:i4>5</vt:i4>
      </vt:variant>
      <vt:variant>
        <vt:lpwstr>https://arpc.gov.au/resources/arpc-announces-full-participation-of-mandated-insurers-in-cyclone-pool/</vt:lpwstr>
      </vt:variant>
      <vt:variant>
        <vt:lpwstr/>
      </vt:variant>
      <vt:variant>
        <vt:i4>5767232</vt:i4>
      </vt:variant>
      <vt:variant>
        <vt:i4>12</vt:i4>
      </vt:variant>
      <vt:variant>
        <vt:i4>0</vt:i4>
      </vt:variant>
      <vt:variant>
        <vt:i4>5</vt:i4>
      </vt:variant>
      <vt:variant>
        <vt:lpwstr>https://arpc.gov.au/reinsurance-pools/cyclone/insurer-onboarding/</vt:lpwstr>
      </vt:variant>
      <vt:variant>
        <vt:lpwstr/>
      </vt:variant>
      <vt:variant>
        <vt:i4>4718622</vt:i4>
      </vt:variant>
      <vt:variant>
        <vt:i4>9</vt:i4>
      </vt:variant>
      <vt:variant>
        <vt:i4>0</vt:i4>
      </vt:variant>
      <vt:variant>
        <vt:i4>5</vt:i4>
      </vt:variant>
      <vt:variant>
        <vt:lpwstr>https://arpc.gov.au/consumers/cyclone-pool-consumers/</vt:lpwstr>
      </vt:variant>
      <vt:variant>
        <vt:lpwstr/>
      </vt:variant>
      <vt:variant>
        <vt:i4>2228274</vt:i4>
      </vt:variant>
      <vt:variant>
        <vt:i4>6</vt:i4>
      </vt:variant>
      <vt:variant>
        <vt:i4>0</vt:i4>
      </vt:variant>
      <vt:variant>
        <vt:i4>5</vt:i4>
      </vt:variant>
      <vt:variant>
        <vt:lpwstr>https://www.legislation.gov.au/C2004A01128/latest/text</vt:lpwstr>
      </vt:variant>
      <vt:variant>
        <vt:lpwstr/>
      </vt:variant>
      <vt:variant>
        <vt:i4>4194335</vt:i4>
      </vt:variant>
      <vt:variant>
        <vt:i4>3</vt:i4>
      </vt:variant>
      <vt:variant>
        <vt:i4>0</vt:i4>
      </vt:variant>
      <vt:variant>
        <vt:i4>5</vt:i4>
      </vt:variant>
      <vt:variant>
        <vt:lpwstr>https://www.aph.gov.au/Parliamentary_Business/Bills_LEGislation/Bills_Search_Results/Result?bId=r6847</vt:lpwstr>
      </vt:variant>
      <vt:variant>
        <vt:lpwstr/>
      </vt:variant>
      <vt:variant>
        <vt:i4>2883618</vt:i4>
      </vt:variant>
      <vt:variant>
        <vt:i4>0</vt:i4>
      </vt:variant>
      <vt:variant>
        <vt:i4>0</vt:i4>
      </vt:variant>
      <vt:variant>
        <vt:i4>5</vt:i4>
      </vt:variant>
      <vt:variant>
        <vt:lpwstr>https://arpc.gov.au/consumers/</vt:lpwstr>
      </vt:variant>
      <vt:variant>
        <vt:lpwstr>:~:text=As%20a%20reinsurer%2C%20ARPC%27s,and%20cyclone%20risk%20to%20us.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Review of the Terrorism and Cyclone Insurance Act 2003</dc:title>
  <dc:subject/>
  <dc:creator>Treasury</dc:creator>
  <cp:keywords/>
  <dc:description/>
  <cp:lastModifiedBy/>
  <cp:revision>1</cp:revision>
  <dcterms:created xsi:type="dcterms:W3CDTF">2025-09-29T22:30:00Z</dcterms:created>
  <dcterms:modified xsi:type="dcterms:W3CDTF">2025-09-29T22:31:00Z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2025-09-29T22:31:56Z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ee8d4a12-605b-4d51-945b-0e4faddf378c</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