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5D2" w:rsidRDefault="005675D2" w:rsidP="00735616">
      <w:pPr>
        <w:pBdr>
          <w:bottom w:val="single" w:sz="4" w:space="1" w:color="auto"/>
        </w:pBdr>
        <w:tabs>
          <w:tab w:val="left" w:pos="2127"/>
        </w:tabs>
        <w:rPr>
          <w:rFonts w:ascii="Arial" w:hAnsi="Arial" w:cs="Arial"/>
          <w:b/>
          <w:sz w:val="22"/>
          <w:szCs w:val="22"/>
        </w:rPr>
      </w:pPr>
      <w:bookmarkStart w:id="0" w:name="_GoBack"/>
      <w:bookmarkEnd w:id="0"/>
    </w:p>
    <w:p w:rsidR="00E0116A" w:rsidRPr="00801794" w:rsidRDefault="00E0116A" w:rsidP="00735616">
      <w:pPr>
        <w:pBdr>
          <w:bottom w:val="single" w:sz="4" w:space="1" w:color="auto"/>
        </w:pBdr>
        <w:tabs>
          <w:tab w:val="left" w:pos="2127"/>
        </w:tabs>
        <w:rPr>
          <w:rFonts w:ascii="Arial" w:hAnsi="Arial" w:cs="Arial"/>
          <w:b/>
          <w:sz w:val="22"/>
          <w:szCs w:val="22"/>
        </w:rPr>
      </w:pPr>
      <w:r w:rsidRPr="00801794">
        <w:rPr>
          <w:rFonts w:ascii="Arial" w:hAnsi="Arial" w:cs="Arial"/>
          <w:b/>
          <w:sz w:val="22"/>
          <w:szCs w:val="22"/>
        </w:rPr>
        <w:t>ASFA Pre-Budget Submission for the 201</w:t>
      </w:r>
      <w:r w:rsidR="00652AAB">
        <w:rPr>
          <w:rFonts w:ascii="Arial" w:hAnsi="Arial" w:cs="Arial"/>
          <w:b/>
          <w:sz w:val="22"/>
          <w:szCs w:val="22"/>
        </w:rPr>
        <w:t>7</w:t>
      </w:r>
      <w:r w:rsidRPr="00801794">
        <w:rPr>
          <w:rFonts w:ascii="Arial" w:hAnsi="Arial" w:cs="Arial"/>
          <w:b/>
          <w:sz w:val="22"/>
          <w:szCs w:val="22"/>
        </w:rPr>
        <w:t>-1</w:t>
      </w:r>
      <w:r w:rsidR="00652AAB">
        <w:rPr>
          <w:rFonts w:ascii="Arial" w:hAnsi="Arial" w:cs="Arial"/>
          <w:b/>
          <w:sz w:val="22"/>
          <w:szCs w:val="22"/>
        </w:rPr>
        <w:t>8</w:t>
      </w:r>
      <w:r w:rsidRPr="00801794">
        <w:rPr>
          <w:rFonts w:ascii="Arial" w:hAnsi="Arial" w:cs="Arial"/>
          <w:b/>
          <w:sz w:val="22"/>
          <w:szCs w:val="22"/>
        </w:rPr>
        <w:t xml:space="preserve"> Budget</w:t>
      </w:r>
    </w:p>
    <w:p w:rsidR="00E0116A" w:rsidRPr="00801794" w:rsidRDefault="00E0116A" w:rsidP="00CE6682">
      <w:pPr>
        <w:rPr>
          <w:rFonts w:ascii="Arial" w:hAnsi="Arial" w:cs="Arial"/>
          <w:sz w:val="22"/>
          <w:szCs w:val="22"/>
        </w:rPr>
      </w:pPr>
    </w:p>
    <w:p w:rsidR="00E0116A" w:rsidRPr="00801794" w:rsidRDefault="00E0116A" w:rsidP="00CE6682">
      <w:pPr>
        <w:rPr>
          <w:rFonts w:ascii="Arial" w:hAnsi="Arial" w:cs="Arial"/>
          <w:sz w:val="22"/>
          <w:szCs w:val="22"/>
        </w:rPr>
      </w:pPr>
    </w:p>
    <w:p w:rsidR="00E0116A" w:rsidRPr="00801794" w:rsidRDefault="00E0116A" w:rsidP="00CE6682">
      <w:pPr>
        <w:rPr>
          <w:rFonts w:ascii="Arial" w:hAnsi="Arial" w:cs="Arial"/>
          <w:sz w:val="22"/>
          <w:szCs w:val="22"/>
        </w:rPr>
      </w:pPr>
    </w:p>
    <w:p w:rsidR="00E0116A" w:rsidRPr="00801794" w:rsidRDefault="00E0116A" w:rsidP="00CE6682">
      <w:pPr>
        <w:rPr>
          <w:rFonts w:ascii="Arial" w:hAnsi="Arial" w:cs="Arial"/>
          <w:sz w:val="22"/>
          <w:szCs w:val="22"/>
        </w:rPr>
      </w:pPr>
    </w:p>
    <w:p w:rsidR="00E0116A" w:rsidRPr="00801794" w:rsidRDefault="00652AAB" w:rsidP="00CE6682">
      <w:pPr>
        <w:rPr>
          <w:rFonts w:ascii="Arial" w:hAnsi="Arial" w:cs="Arial"/>
          <w:sz w:val="22"/>
          <w:szCs w:val="22"/>
        </w:rPr>
      </w:pPr>
      <w:r>
        <w:rPr>
          <w:rFonts w:ascii="Arial" w:hAnsi="Arial" w:cs="Arial"/>
          <w:sz w:val="22"/>
          <w:szCs w:val="22"/>
        </w:rPr>
        <w:t>Jan</w:t>
      </w:r>
      <w:r w:rsidR="00BD2402" w:rsidRPr="00801794">
        <w:rPr>
          <w:rFonts w:ascii="Arial" w:hAnsi="Arial" w:cs="Arial"/>
          <w:sz w:val="22"/>
          <w:szCs w:val="22"/>
        </w:rPr>
        <w:t>u</w:t>
      </w:r>
      <w:r w:rsidR="00E0116A" w:rsidRPr="00801794">
        <w:rPr>
          <w:rFonts w:ascii="Arial" w:hAnsi="Arial" w:cs="Arial"/>
          <w:sz w:val="22"/>
          <w:szCs w:val="22"/>
        </w:rPr>
        <w:t>ary 201</w:t>
      </w:r>
      <w:r>
        <w:rPr>
          <w:rFonts w:ascii="Arial" w:hAnsi="Arial" w:cs="Arial"/>
          <w:sz w:val="22"/>
          <w:szCs w:val="22"/>
        </w:rPr>
        <w:t>7</w:t>
      </w:r>
      <w:r w:rsidR="00E0116A" w:rsidRPr="00801794">
        <w:rPr>
          <w:rFonts w:ascii="Arial" w:hAnsi="Arial" w:cs="Arial"/>
          <w:sz w:val="22"/>
          <w:szCs w:val="22"/>
        </w:rPr>
        <w:t> </w:t>
      </w:r>
    </w:p>
    <w:p w:rsidR="00E235AE" w:rsidRPr="00801794" w:rsidRDefault="00E235AE" w:rsidP="00CE6682">
      <w:pPr>
        <w:rPr>
          <w:rFonts w:ascii="Arial" w:hAnsi="Arial" w:cs="Arial"/>
          <w:sz w:val="22"/>
          <w:szCs w:val="22"/>
        </w:rPr>
      </w:pPr>
    </w:p>
    <w:p w:rsidR="00E235AE" w:rsidRPr="00801794" w:rsidRDefault="00E235AE" w:rsidP="00CE6682">
      <w:pPr>
        <w:rPr>
          <w:rFonts w:ascii="Arial" w:hAnsi="Arial" w:cs="Arial"/>
          <w:sz w:val="22"/>
          <w:szCs w:val="22"/>
        </w:rPr>
      </w:pPr>
    </w:p>
    <w:p w:rsidR="00E0116A" w:rsidRPr="00801794" w:rsidRDefault="0052266F" w:rsidP="0052266F">
      <w:pPr>
        <w:tabs>
          <w:tab w:val="left" w:pos="3832"/>
        </w:tabs>
        <w:rPr>
          <w:rFonts w:ascii="Arial" w:hAnsi="Arial" w:cs="Arial"/>
          <w:sz w:val="22"/>
          <w:szCs w:val="22"/>
        </w:rPr>
      </w:pPr>
      <w:r>
        <w:rPr>
          <w:rFonts w:ascii="Arial" w:hAnsi="Arial" w:cs="Arial"/>
          <w:sz w:val="22"/>
          <w:szCs w:val="22"/>
        </w:rPr>
        <w:tab/>
      </w:r>
    </w:p>
    <w:p w:rsidR="00E0116A" w:rsidRPr="00801794" w:rsidRDefault="00E0116A" w:rsidP="00CE6682">
      <w:pPr>
        <w:rPr>
          <w:rFonts w:ascii="Arial" w:hAnsi="Arial" w:cs="Arial"/>
          <w:sz w:val="22"/>
          <w:szCs w:val="22"/>
        </w:rPr>
      </w:pPr>
    </w:p>
    <w:p w:rsidR="00E0116A" w:rsidRPr="00801794" w:rsidRDefault="00E0116A" w:rsidP="00CE6682">
      <w:pPr>
        <w:rPr>
          <w:rFonts w:ascii="Arial" w:hAnsi="Arial" w:cs="Arial"/>
          <w:sz w:val="22"/>
          <w:szCs w:val="22"/>
        </w:rPr>
      </w:pPr>
    </w:p>
    <w:p w:rsidR="00E0116A" w:rsidRPr="00801794" w:rsidRDefault="00E0116A" w:rsidP="00CE6682">
      <w:pPr>
        <w:rPr>
          <w:rFonts w:ascii="Arial" w:hAnsi="Arial" w:cs="Arial"/>
          <w:sz w:val="22"/>
          <w:szCs w:val="22"/>
        </w:rPr>
      </w:pPr>
    </w:p>
    <w:p w:rsidR="00E0116A" w:rsidRPr="00801794" w:rsidRDefault="00E0116A" w:rsidP="00CE6682">
      <w:pPr>
        <w:rPr>
          <w:rFonts w:ascii="Arial" w:hAnsi="Arial" w:cs="Arial"/>
          <w:sz w:val="22"/>
          <w:szCs w:val="22"/>
        </w:rPr>
      </w:pPr>
    </w:p>
    <w:p w:rsidR="00E0116A" w:rsidRPr="00801794" w:rsidRDefault="00E0116A" w:rsidP="00CE6682">
      <w:pPr>
        <w:rPr>
          <w:rFonts w:ascii="Arial" w:hAnsi="Arial" w:cs="Arial"/>
          <w:sz w:val="22"/>
          <w:szCs w:val="22"/>
        </w:rPr>
      </w:pPr>
    </w:p>
    <w:p w:rsidR="00E0116A" w:rsidRPr="00801794" w:rsidRDefault="00E0116A" w:rsidP="00CE6682">
      <w:pPr>
        <w:rPr>
          <w:rFonts w:ascii="Arial" w:hAnsi="Arial" w:cs="Arial"/>
          <w:sz w:val="22"/>
          <w:szCs w:val="22"/>
        </w:rPr>
      </w:pPr>
      <w:r w:rsidRPr="00801794">
        <w:rPr>
          <w:rFonts w:ascii="Arial" w:hAnsi="Arial" w:cs="Arial"/>
          <w:sz w:val="22"/>
          <w:szCs w:val="22"/>
        </w:rPr>
        <w:t>*          *          *          *</w:t>
      </w:r>
    </w:p>
    <w:p w:rsidR="00E0116A" w:rsidRPr="00801794" w:rsidRDefault="00E0116A" w:rsidP="00CE6682">
      <w:pPr>
        <w:rPr>
          <w:rFonts w:ascii="Arial" w:hAnsi="Arial" w:cs="Arial"/>
          <w:sz w:val="22"/>
          <w:szCs w:val="22"/>
        </w:rPr>
      </w:pPr>
    </w:p>
    <w:p w:rsidR="00E0116A" w:rsidRPr="00801794" w:rsidRDefault="00E0116A" w:rsidP="00CE6682">
      <w:pPr>
        <w:rPr>
          <w:rFonts w:ascii="Arial" w:hAnsi="Arial" w:cs="Arial"/>
          <w:sz w:val="22"/>
          <w:szCs w:val="22"/>
        </w:rPr>
      </w:pPr>
      <w:r w:rsidRPr="00801794">
        <w:rPr>
          <w:rFonts w:ascii="Arial" w:hAnsi="Arial" w:cs="Arial"/>
          <w:sz w:val="22"/>
          <w:szCs w:val="22"/>
        </w:rPr>
        <w:t>About ASFA</w:t>
      </w:r>
    </w:p>
    <w:p w:rsidR="00E0116A" w:rsidRPr="00801794" w:rsidRDefault="00E0116A" w:rsidP="00CE6682">
      <w:pPr>
        <w:rPr>
          <w:rFonts w:ascii="Arial" w:hAnsi="Arial" w:cs="Arial"/>
          <w:sz w:val="22"/>
          <w:szCs w:val="22"/>
        </w:rPr>
      </w:pPr>
    </w:p>
    <w:p w:rsidR="00315481" w:rsidRPr="00801794" w:rsidRDefault="00315481" w:rsidP="00315481">
      <w:pPr>
        <w:rPr>
          <w:rFonts w:ascii="Arial" w:hAnsi="Arial" w:cs="Arial"/>
          <w:color w:val="000000"/>
          <w:sz w:val="22"/>
          <w:szCs w:val="22"/>
        </w:rPr>
      </w:pPr>
      <w:r w:rsidRPr="00801794">
        <w:rPr>
          <w:rFonts w:ascii="Arial" w:hAnsi="Arial" w:cs="Arial"/>
          <w:color w:val="000000"/>
          <w:sz w:val="22"/>
          <w:szCs w:val="22"/>
        </w:rPr>
        <w:t>ASFA is a non-profit, non-political national organisation whose mission is to continuously improve the superannuation system so people can live in retirement with increasing prosperity. We focus on the issues that affect the entire superannuation system. Our membership, which includes corporate, public sector, industry and retail superannuation funds, plus self-managed superannuation funds and small APRA funds through its service provider membership, represent over 90 per cent of the 14</w:t>
      </w:r>
      <w:r w:rsidR="00652AAB">
        <w:rPr>
          <w:rFonts w:ascii="Arial" w:hAnsi="Arial" w:cs="Arial"/>
          <w:color w:val="000000"/>
          <w:sz w:val="22"/>
          <w:szCs w:val="22"/>
        </w:rPr>
        <w:t>.8</w:t>
      </w:r>
      <w:r w:rsidRPr="00801794">
        <w:rPr>
          <w:rFonts w:ascii="Arial" w:hAnsi="Arial" w:cs="Arial"/>
          <w:color w:val="000000"/>
          <w:sz w:val="22"/>
          <w:szCs w:val="22"/>
        </w:rPr>
        <w:t xml:space="preserve"> million Australians with superannuation.</w:t>
      </w:r>
    </w:p>
    <w:p w:rsidR="00E0116A" w:rsidRPr="00801794" w:rsidRDefault="00E0116A" w:rsidP="00CE6682">
      <w:pPr>
        <w:rPr>
          <w:rFonts w:ascii="Arial" w:hAnsi="Arial" w:cs="Arial"/>
          <w:sz w:val="22"/>
          <w:szCs w:val="22"/>
        </w:rPr>
      </w:pPr>
    </w:p>
    <w:p w:rsidR="00E0116A" w:rsidRPr="00801794" w:rsidRDefault="00E0116A" w:rsidP="00CE6682">
      <w:pPr>
        <w:rPr>
          <w:rFonts w:ascii="Arial" w:hAnsi="Arial" w:cs="Arial"/>
          <w:sz w:val="22"/>
          <w:szCs w:val="22"/>
        </w:rPr>
      </w:pPr>
    </w:p>
    <w:p w:rsidR="00E0116A" w:rsidRPr="00801794" w:rsidRDefault="00E0116A" w:rsidP="00CE6682">
      <w:pPr>
        <w:rPr>
          <w:rFonts w:ascii="Arial" w:hAnsi="Arial" w:cs="Arial"/>
          <w:sz w:val="22"/>
          <w:szCs w:val="22"/>
        </w:rPr>
      </w:pPr>
    </w:p>
    <w:p w:rsidR="00902726" w:rsidRDefault="00902726">
      <w:pPr>
        <w:rPr>
          <w:rFonts w:ascii="Arial" w:hAnsi="Arial" w:cs="Arial"/>
          <w:sz w:val="22"/>
          <w:szCs w:val="22"/>
        </w:rPr>
      </w:pPr>
      <w:r>
        <w:rPr>
          <w:rFonts w:ascii="Arial" w:hAnsi="Arial" w:cs="Arial"/>
          <w:sz w:val="22"/>
          <w:szCs w:val="22"/>
        </w:rPr>
        <w:br w:type="page"/>
      </w:r>
    </w:p>
    <w:p w:rsidR="00902726" w:rsidRPr="00726024" w:rsidRDefault="00902726" w:rsidP="00CE6682">
      <w:pPr>
        <w:spacing w:after="200" w:line="276" w:lineRule="auto"/>
        <w:rPr>
          <w:rFonts w:ascii="Arial" w:eastAsia="Calibri" w:hAnsi="Arial" w:cs="Arial"/>
          <w:b/>
        </w:rPr>
      </w:pPr>
      <w:r w:rsidRPr="00726024">
        <w:rPr>
          <w:rFonts w:ascii="Arial" w:eastAsia="Calibri" w:hAnsi="Arial" w:cs="Arial"/>
          <w:b/>
        </w:rPr>
        <w:lastRenderedPageBreak/>
        <w:t>Executive summary</w:t>
      </w:r>
    </w:p>
    <w:p w:rsidR="009F71D9" w:rsidRDefault="00902726" w:rsidP="006A7348">
      <w:pPr>
        <w:rPr>
          <w:rFonts w:ascii="Arial" w:eastAsia="Calibri" w:hAnsi="Arial" w:cs="Arial"/>
          <w:color w:val="000000"/>
          <w:sz w:val="22"/>
          <w:szCs w:val="22"/>
        </w:rPr>
      </w:pPr>
      <w:r w:rsidRPr="006A7348">
        <w:rPr>
          <w:rFonts w:ascii="Arial" w:eastAsia="Calibri" w:hAnsi="Arial" w:cs="Arial"/>
          <w:color w:val="000000"/>
          <w:sz w:val="22"/>
          <w:szCs w:val="22"/>
        </w:rPr>
        <w:t>The superannuation system is delivering considerable benefits for individuals, the government budget (in terms of reduced Age Pension expenditures) and for the Australian economy through increased domestic savings and investment.</w:t>
      </w:r>
      <w:r w:rsidR="00F0037F" w:rsidRPr="006A7348">
        <w:rPr>
          <w:rFonts w:ascii="Arial" w:eastAsia="Calibri" w:hAnsi="Arial" w:cs="Arial"/>
          <w:color w:val="000000"/>
          <w:sz w:val="22"/>
          <w:szCs w:val="22"/>
        </w:rPr>
        <w:t xml:space="preserve"> </w:t>
      </w:r>
      <w:r w:rsidR="009F71D9" w:rsidRPr="006A7348">
        <w:rPr>
          <w:rFonts w:ascii="Arial" w:eastAsia="Calibri" w:hAnsi="Arial" w:cs="Arial"/>
          <w:color w:val="000000"/>
          <w:sz w:val="22"/>
          <w:szCs w:val="22"/>
        </w:rPr>
        <w:t>Th</w:t>
      </w:r>
      <w:r w:rsidR="005761E3" w:rsidRPr="006A7348">
        <w:rPr>
          <w:rFonts w:ascii="Arial" w:eastAsia="Calibri" w:hAnsi="Arial" w:cs="Arial"/>
          <w:color w:val="000000"/>
          <w:sz w:val="22"/>
          <w:szCs w:val="22"/>
        </w:rPr>
        <w:t>ese benefits</w:t>
      </w:r>
      <w:r w:rsidR="009F71D9" w:rsidRPr="006A7348">
        <w:rPr>
          <w:rFonts w:ascii="Arial" w:eastAsia="Calibri" w:hAnsi="Arial" w:cs="Arial"/>
          <w:color w:val="000000"/>
          <w:sz w:val="22"/>
          <w:szCs w:val="22"/>
        </w:rPr>
        <w:t xml:space="preserve"> will continue to increase as the system heads towards maturity.</w:t>
      </w:r>
    </w:p>
    <w:p w:rsidR="006A7348" w:rsidRPr="006A7348" w:rsidRDefault="006A7348" w:rsidP="006A7348">
      <w:pPr>
        <w:rPr>
          <w:rFonts w:ascii="Arial" w:eastAsia="Calibri" w:hAnsi="Arial" w:cs="Arial"/>
          <w:color w:val="000000"/>
          <w:sz w:val="22"/>
          <w:szCs w:val="22"/>
        </w:rPr>
      </w:pPr>
    </w:p>
    <w:p w:rsidR="00F0037F" w:rsidRPr="006A7348" w:rsidRDefault="00F0037F" w:rsidP="006A7348">
      <w:pPr>
        <w:rPr>
          <w:rFonts w:ascii="Arial" w:eastAsia="Calibri" w:hAnsi="Arial" w:cs="Arial"/>
          <w:color w:val="000000"/>
          <w:sz w:val="22"/>
          <w:szCs w:val="22"/>
        </w:rPr>
      </w:pPr>
      <w:r w:rsidRPr="006A7348">
        <w:rPr>
          <w:rFonts w:ascii="Arial" w:eastAsia="Calibri" w:hAnsi="Arial" w:cs="Arial"/>
          <w:color w:val="000000"/>
          <w:sz w:val="22"/>
          <w:szCs w:val="22"/>
        </w:rPr>
        <w:t xml:space="preserve">Government assistance for retirement income in Australia is sustainable going forward. Government </w:t>
      </w:r>
      <w:r w:rsidR="009F71D9" w:rsidRPr="006A7348">
        <w:rPr>
          <w:rFonts w:ascii="Arial" w:eastAsia="Calibri" w:hAnsi="Arial" w:cs="Arial"/>
          <w:color w:val="000000"/>
          <w:sz w:val="22"/>
          <w:szCs w:val="22"/>
        </w:rPr>
        <w:t xml:space="preserve">expenditure, </w:t>
      </w:r>
      <w:r w:rsidRPr="006A7348">
        <w:rPr>
          <w:rFonts w:ascii="Arial" w:eastAsia="Calibri" w:hAnsi="Arial" w:cs="Arial"/>
          <w:color w:val="000000"/>
          <w:sz w:val="22"/>
          <w:szCs w:val="22"/>
        </w:rPr>
        <w:t>in the form of Age Pension and tax expenditures on superannuation</w:t>
      </w:r>
      <w:r w:rsidR="009F71D9" w:rsidRPr="006A7348">
        <w:rPr>
          <w:rFonts w:ascii="Arial" w:eastAsia="Calibri" w:hAnsi="Arial" w:cs="Arial"/>
          <w:color w:val="000000"/>
          <w:sz w:val="22"/>
          <w:szCs w:val="22"/>
        </w:rPr>
        <w:t>,</w:t>
      </w:r>
      <w:r w:rsidRPr="006A7348">
        <w:rPr>
          <w:rFonts w:ascii="Arial" w:eastAsia="Calibri" w:hAnsi="Arial" w:cs="Arial"/>
          <w:color w:val="000000"/>
          <w:sz w:val="22"/>
          <w:szCs w:val="22"/>
        </w:rPr>
        <w:t xml:space="preserve"> is low by both historical Australian standards and relative to expenditure in other countries.  As well, ASFA projections </w:t>
      </w:r>
      <w:r w:rsidR="009F71D9" w:rsidRPr="006A7348">
        <w:rPr>
          <w:rFonts w:ascii="Arial" w:eastAsia="Calibri" w:hAnsi="Arial" w:cs="Arial"/>
          <w:color w:val="000000"/>
          <w:sz w:val="22"/>
          <w:szCs w:val="22"/>
        </w:rPr>
        <w:t xml:space="preserve">indicate that such expenditures, </w:t>
      </w:r>
      <w:r w:rsidRPr="006A7348">
        <w:rPr>
          <w:rFonts w:ascii="Arial" w:eastAsia="Calibri" w:hAnsi="Arial" w:cs="Arial"/>
          <w:color w:val="000000"/>
          <w:sz w:val="22"/>
          <w:szCs w:val="22"/>
        </w:rPr>
        <w:t>in terms of percentage of GDP</w:t>
      </w:r>
      <w:r w:rsidR="005D666D" w:rsidRPr="006A7348">
        <w:rPr>
          <w:rFonts w:ascii="Arial" w:eastAsia="Calibri" w:hAnsi="Arial" w:cs="Arial"/>
          <w:color w:val="000000"/>
          <w:sz w:val="22"/>
          <w:szCs w:val="22"/>
        </w:rPr>
        <w:t>,</w:t>
      </w:r>
      <w:r w:rsidRPr="006A7348">
        <w:rPr>
          <w:rFonts w:ascii="Arial" w:eastAsia="Calibri" w:hAnsi="Arial" w:cs="Arial"/>
          <w:color w:val="000000"/>
          <w:sz w:val="22"/>
          <w:szCs w:val="22"/>
        </w:rPr>
        <w:t xml:space="preserve"> will be relatively stable going forward over the next few decades.</w:t>
      </w:r>
    </w:p>
    <w:p w:rsidR="004638D6" w:rsidRDefault="004638D6" w:rsidP="006A7348">
      <w:pPr>
        <w:rPr>
          <w:rFonts w:ascii="Arial" w:eastAsia="Calibri" w:hAnsi="Arial" w:cs="Arial"/>
          <w:color w:val="000000"/>
          <w:sz w:val="22"/>
          <w:szCs w:val="22"/>
        </w:rPr>
      </w:pPr>
      <w:r w:rsidRPr="006A7348">
        <w:rPr>
          <w:rFonts w:ascii="Arial" w:eastAsia="Calibri" w:hAnsi="Arial" w:cs="Arial"/>
          <w:color w:val="000000"/>
          <w:sz w:val="22"/>
          <w:szCs w:val="22"/>
        </w:rPr>
        <w:t>ASFA considers that given substantial changes to the taxation of superannuation and the provision of the Age Pension in recent years, including in the 2013-14, 2014-15</w:t>
      </w:r>
      <w:r w:rsidR="0002190E" w:rsidRPr="006A7348">
        <w:rPr>
          <w:rFonts w:ascii="Arial" w:eastAsia="Calibri" w:hAnsi="Arial" w:cs="Arial"/>
          <w:color w:val="000000"/>
          <w:sz w:val="22"/>
          <w:szCs w:val="22"/>
        </w:rPr>
        <w:t xml:space="preserve"> and 2016-17     Budgets, there should now be a period of consolidation to allow the various changes to be bedded down.</w:t>
      </w:r>
    </w:p>
    <w:p w:rsidR="006A7348" w:rsidRPr="006A7348" w:rsidRDefault="006A7348" w:rsidP="006A7348">
      <w:pPr>
        <w:rPr>
          <w:rFonts w:ascii="Arial" w:eastAsia="Calibri" w:hAnsi="Arial" w:cs="Arial"/>
          <w:color w:val="000000"/>
          <w:sz w:val="22"/>
          <w:szCs w:val="22"/>
        </w:rPr>
      </w:pPr>
    </w:p>
    <w:p w:rsidR="00F0037F" w:rsidRDefault="00013B82" w:rsidP="006A7348">
      <w:pPr>
        <w:rPr>
          <w:rFonts w:ascii="Arial" w:eastAsia="Calibri" w:hAnsi="Arial" w:cs="Arial"/>
          <w:color w:val="000000"/>
          <w:sz w:val="22"/>
          <w:szCs w:val="22"/>
        </w:rPr>
      </w:pPr>
      <w:r w:rsidRPr="006A7348">
        <w:rPr>
          <w:rFonts w:ascii="Arial" w:eastAsia="Calibri" w:hAnsi="Arial" w:cs="Arial"/>
          <w:color w:val="000000"/>
          <w:sz w:val="22"/>
          <w:szCs w:val="22"/>
        </w:rPr>
        <w:t>It is recommended that any further substantive changes to either superannuation or the Age Pension only be made after there has been a holistic consideration of retirement incomes policy in the context of the Inter</w:t>
      </w:r>
      <w:r w:rsidR="00F0037F" w:rsidRPr="006A7348">
        <w:rPr>
          <w:rFonts w:ascii="Arial" w:eastAsia="Calibri" w:hAnsi="Arial" w:cs="Arial"/>
          <w:color w:val="000000"/>
          <w:sz w:val="22"/>
          <w:szCs w:val="22"/>
        </w:rPr>
        <w:t>g</w:t>
      </w:r>
      <w:r w:rsidRPr="006A7348">
        <w:rPr>
          <w:rFonts w:ascii="Arial" w:eastAsia="Calibri" w:hAnsi="Arial" w:cs="Arial"/>
          <w:color w:val="000000"/>
          <w:sz w:val="22"/>
          <w:szCs w:val="22"/>
        </w:rPr>
        <w:t>enerational Re</w:t>
      </w:r>
      <w:r w:rsidR="00F0037F" w:rsidRPr="006A7348">
        <w:rPr>
          <w:rFonts w:ascii="Arial" w:eastAsia="Calibri" w:hAnsi="Arial" w:cs="Arial"/>
          <w:color w:val="000000"/>
          <w:sz w:val="22"/>
          <w:szCs w:val="22"/>
        </w:rPr>
        <w:t>port</w:t>
      </w:r>
      <w:r w:rsidR="008964DA" w:rsidRPr="006A7348">
        <w:rPr>
          <w:rFonts w:ascii="Arial" w:eastAsia="Calibri" w:hAnsi="Arial" w:cs="Arial"/>
          <w:color w:val="000000"/>
          <w:sz w:val="22"/>
          <w:szCs w:val="22"/>
        </w:rPr>
        <w:t xml:space="preserve"> (IGR)</w:t>
      </w:r>
      <w:r w:rsidRPr="006A7348">
        <w:rPr>
          <w:rFonts w:ascii="Arial" w:eastAsia="Calibri" w:hAnsi="Arial" w:cs="Arial"/>
          <w:color w:val="000000"/>
          <w:sz w:val="22"/>
          <w:szCs w:val="22"/>
        </w:rPr>
        <w:t xml:space="preserve">. </w:t>
      </w:r>
      <w:r w:rsidR="00191063" w:rsidRPr="006A7348">
        <w:rPr>
          <w:rFonts w:ascii="Arial" w:eastAsia="Calibri" w:hAnsi="Arial" w:cs="Arial"/>
          <w:color w:val="000000"/>
          <w:sz w:val="22"/>
          <w:szCs w:val="22"/>
        </w:rPr>
        <w:t>ASFA also recommends that to restore and maintain public confidence in our superannuation system, all substantive reviews and potential changes to superannuation and related retirement incomes policy be aligned to the IGR cycle; that is, every five years</w:t>
      </w:r>
      <w:r w:rsidR="00685E69" w:rsidRPr="006A7348">
        <w:rPr>
          <w:rFonts w:ascii="Arial" w:eastAsia="Calibri" w:hAnsi="Arial" w:cs="Arial"/>
          <w:color w:val="000000"/>
          <w:sz w:val="22"/>
          <w:szCs w:val="22"/>
        </w:rPr>
        <w:t>.</w:t>
      </w:r>
      <w:r w:rsidRPr="006A7348">
        <w:rPr>
          <w:rFonts w:ascii="Arial" w:eastAsia="Calibri" w:hAnsi="Arial" w:cs="Arial"/>
          <w:color w:val="000000"/>
          <w:sz w:val="22"/>
          <w:szCs w:val="22"/>
        </w:rPr>
        <w:t xml:space="preserve"> The next such Review is not likely </w:t>
      </w:r>
      <w:r w:rsidR="00BE0478" w:rsidRPr="006A7348">
        <w:rPr>
          <w:rFonts w:ascii="Arial" w:eastAsia="Calibri" w:hAnsi="Arial" w:cs="Arial"/>
          <w:color w:val="000000"/>
          <w:sz w:val="22"/>
          <w:szCs w:val="22"/>
        </w:rPr>
        <w:t xml:space="preserve">to </w:t>
      </w:r>
      <w:r w:rsidRPr="006A7348">
        <w:rPr>
          <w:rFonts w:ascii="Arial" w:eastAsia="Calibri" w:hAnsi="Arial" w:cs="Arial"/>
          <w:color w:val="000000"/>
          <w:sz w:val="22"/>
          <w:szCs w:val="22"/>
        </w:rPr>
        <w:t>be undertaken until early 2020.</w:t>
      </w:r>
      <w:r w:rsidR="008964DA" w:rsidRPr="006A7348">
        <w:rPr>
          <w:rFonts w:ascii="Arial" w:eastAsia="Calibri" w:hAnsi="Arial" w:cs="Arial"/>
          <w:color w:val="000000"/>
          <w:sz w:val="22"/>
          <w:szCs w:val="22"/>
        </w:rPr>
        <w:t xml:space="preserve"> </w:t>
      </w:r>
    </w:p>
    <w:p w:rsidR="006A7348" w:rsidRPr="006A7348" w:rsidRDefault="006A7348" w:rsidP="006A7348">
      <w:pPr>
        <w:rPr>
          <w:rFonts w:ascii="Arial" w:eastAsia="Calibri" w:hAnsi="Arial" w:cs="Arial"/>
          <w:color w:val="000000"/>
          <w:sz w:val="22"/>
          <w:szCs w:val="22"/>
        </w:rPr>
      </w:pPr>
    </w:p>
    <w:p w:rsidR="0002190E" w:rsidRDefault="008964DA" w:rsidP="006A7348">
      <w:pPr>
        <w:rPr>
          <w:rFonts w:ascii="Arial" w:eastAsia="Calibri" w:hAnsi="Arial" w:cs="Arial"/>
          <w:color w:val="000000"/>
          <w:sz w:val="22"/>
          <w:szCs w:val="22"/>
        </w:rPr>
      </w:pPr>
      <w:r w:rsidRPr="006A7348">
        <w:rPr>
          <w:rFonts w:ascii="Arial" w:eastAsia="Calibri" w:hAnsi="Arial" w:cs="Arial"/>
          <w:color w:val="000000"/>
          <w:sz w:val="22"/>
          <w:szCs w:val="22"/>
        </w:rPr>
        <w:t>It is also suggested that this holistic process review the structure of the</w:t>
      </w:r>
      <w:r w:rsidR="00065BAC" w:rsidRPr="006A7348">
        <w:rPr>
          <w:rFonts w:ascii="Arial" w:eastAsia="Calibri" w:hAnsi="Arial" w:cs="Arial"/>
          <w:color w:val="000000"/>
          <w:sz w:val="22"/>
          <w:szCs w:val="22"/>
        </w:rPr>
        <w:t xml:space="preserve"> means test for the Age Pension.</w:t>
      </w:r>
    </w:p>
    <w:p w:rsidR="006A7348" w:rsidRPr="006A7348" w:rsidRDefault="006A7348" w:rsidP="006A7348">
      <w:pPr>
        <w:rPr>
          <w:rFonts w:ascii="Arial" w:eastAsia="Calibri" w:hAnsi="Arial" w:cs="Arial"/>
          <w:color w:val="000000"/>
          <w:sz w:val="22"/>
          <w:szCs w:val="22"/>
        </w:rPr>
      </w:pPr>
    </w:p>
    <w:p w:rsidR="00A4233A" w:rsidRDefault="00013B82" w:rsidP="006A7348">
      <w:pPr>
        <w:rPr>
          <w:rFonts w:ascii="Arial" w:eastAsia="Calibri" w:hAnsi="Arial" w:cs="Arial"/>
          <w:color w:val="000000"/>
          <w:sz w:val="22"/>
          <w:szCs w:val="22"/>
        </w:rPr>
      </w:pPr>
      <w:r w:rsidRPr="006A7348">
        <w:rPr>
          <w:rFonts w:ascii="Arial" w:eastAsia="Calibri" w:hAnsi="Arial" w:cs="Arial"/>
          <w:color w:val="000000"/>
          <w:sz w:val="22"/>
          <w:szCs w:val="22"/>
        </w:rPr>
        <w:t>However, the strengths of existing policy settings could be built upon by a number of relatively modest and affordable enhancements</w:t>
      </w:r>
      <w:r w:rsidR="00F0037F" w:rsidRPr="006A7348">
        <w:rPr>
          <w:rFonts w:ascii="Arial" w:eastAsia="Calibri" w:hAnsi="Arial" w:cs="Arial"/>
          <w:color w:val="000000"/>
          <w:sz w:val="22"/>
          <w:szCs w:val="22"/>
        </w:rPr>
        <w:t xml:space="preserve"> in this Budget</w:t>
      </w:r>
      <w:r w:rsidRPr="006A7348">
        <w:rPr>
          <w:rFonts w:ascii="Arial" w:eastAsia="Calibri" w:hAnsi="Arial" w:cs="Arial"/>
          <w:color w:val="000000"/>
          <w:sz w:val="22"/>
          <w:szCs w:val="22"/>
        </w:rPr>
        <w:t xml:space="preserve">.  </w:t>
      </w:r>
    </w:p>
    <w:p w:rsidR="006A7348" w:rsidRPr="006A7348" w:rsidRDefault="006A7348" w:rsidP="006A7348">
      <w:pPr>
        <w:rPr>
          <w:rFonts w:ascii="Arial" w:eastAsia="Calibri" w:hAnsi="Arial" w:cs="Arial"/>
          <w:color w:val="000000"/>
          <w:sz w:val="22"/>
          <w:szCs w:val="22"/>
        </w:rPr>
      </w:pPr>
    </w:p>
    <w:p w:rsidR="00A4233A" w:rsidRPr="00EE1521" w:rsidRDefault="00A4233A" w:rsidP="00A4233A">
      <w:pPr>
        <w:pBdr>
          <w:top w:val="single" w:sz="4" w:space="1" w:color="auto"/>
          <w:left w:val="single" w:sz="4" w:space="4" w:color="auto"/>
          <w:bottom w:val="single" w:sz="4" w:space="1" w:color="auto"/>
          <w:right w:val="single" w:sz="4" w:space="4" w:color="auto"/>
        </w:pBdr>
        <w:rPr>
          <w:rFonts w:ascii="Arial" w:eastAsia="Calibri" w:hAnsi="Arial" w:cs="Arial"/>
          <w:b/>
          <w:color w:val="000000"/>
          <w:sz w:val="22"/>
          <w:szCs w:val="22"/>
          <w:lang w:eastAsia="en-AU"/>
        </w:rPr>
      </w:pPr>
      <w:r>
        <w:rPr>
          <w:rFonts w:ascii="Arial" w:eastAsia="Calibri" w:hAnsi="Arial" w:cs="Arial"/>
          <w:b/>
          <w:color w:val="000000"/>
          <w:sz w:val="22"/>
          <w:szCs w:val="22"/>
          <w:lang w:eastAsia="en-AU"/>
        </w:rPr>
        <w:t>Recommendation 1:</w:t>
      </w:r>
    </w:p>
    <w:p w:rsidR="00A4233A" w:rsidRDefault="00A4233A" w:rsidP="00A4233A">
      <w:pPr>
        <w:pBdr>
          <w:top w:val="single" w:sz="4" w:space="1" w:color="auto"/>
          <w:left w:val="single" w:sz="4" w:space="4" w:color="auto"/>
          <w:bottom w:val="single" w:sz="4" w:space="1" w:color="auto"/>
          <w:right w:val="single" w:sz="4" w:space="4" w:color="auto"/>
        </w:pBdr>
        <w:rPr>
          <w:rFonts w:ascii="Arial" w:eastAsia="Calibri" w:hAnsi="Arial" w:cs="Arial"/>
          <w:b/>
          <w:color w:val="000000"/>
          <w:sz w:val="22"/>
          <w:szCs w:val="22"/>
          <w:lang w:eastAsia="en-AU"/>
        </w:rPr>
      </w:pPr>
    </w:p>
    <w:p w:rsidR="00A4233A" w:rsidRPr="00FE29C0" w:rsidRDefault="00A4233A" w:rsidP="00A4233A">
      <w:pPr>
        <w:pBdr>
          <w:top w:val="single" w:sz="4" w:space="1" w:color="auto"/>
          <w:left w:val="single" w:sz="4" w:space="4" w:color="auto"/>
          <w:bottom w:val="single" w:sz="4" w:space="1" w:color="auto"/>
          <w:right w:val="single" w:sz="4" w:space="4" w:color="auto"/>
        </w:pBdr>
        <w:rPr>
          <w:rFonts w:ascii="Arial" w:eastAsia="Calibri" w:hAnsi="Arial" w:cs="Arial"/>
          <w:color w:val="000000"/>
          <w:sz w:val="22"/>
          <w:szCs w:val="22"/>
          <w:lang w:eastAsia="en-AU"/>
        </w:rPr>
      </w:pPr>
      <w:r w:rsidRPr="00FE29C0">
        <w:rPr>
          <w:rFonts w:ascii="Arial" w:eastAsia="Calibri" w:hAnsi="Arial" w:cs="Arial"/>
          <w:color w:val="000000"/>
          <w:sz w:val="22"/>
          <w:szCs w:val="22"/>
          <w:lang w:eastAsia="en-AU"/>
        </w:rPr>
        <w:t>ASFA recommends that</w:t>
      </w:r>
      <w:r w:rsidR="00967B6F">
        <w:rPr>
          <w:rFonts w:ascii="Arial" w:eastAsia="Calibri" w:hAnsi="Arial" w:cs="Arial"/>
          <w:color w:val="000000"/>
          <w:sz w:val="22"/>
          <w:szCs w:val="22"/>
          <w:lang w:eastAsia="en-AU"/>
        </w:rPr>
        <w:t xml:space="preserve"> no further adverse changes be made to superannuation tax provisions or to the Age Pension without a holistic review being undertaken in the context of</w:t>
      </w:r>
      <w:r w:rsidR="00191063">
        <w:rPr>
          <w:rFonts w:ascii="Arial" w:eastAsia="Calibri" w:hAnsi="Arial" w:cs="Arial"/>
          <w:color w:val="000000"/>
          <w:sz w:val="22"/>
          <w:szCs w:val="22"/>
          <w:lang w:eastAsia="en-AU"/>
        </w:rPr>
        <w:t>, and aligned to,</w:t>
      </w:r>
      <w:r w:rsidR="00967B6F">
        <w:rPr>
          <w:rFonts w:ascii="Arial" w:eastAsia="Calibri" w:hAnsi="Arial" w:cs="Arial"/>
          <w:color w:val="000000"/>
          <w:sz w:val="22"/>
          <w:szCs w:val="22"/>
          <w:lang w:eastAsia="en-AU"/>
        </w:rPr>
        <w:t xml:space="preserve"> scheduled Inter</w:t>
      </w:r>
      <w:r w:rsidR="00F0037F">
        <w:rPr>
          <w:rFonts w:ascii="Arial" w:eastAsia="Calibri" w:hAnsi="Arial" w:cs="Arial"/>
          <w:color w:val="000000"/>
          <w:sz w:val="22"/>
          <w:szCs w:val="22"/>
          <w:lang w:eastAsia="en-AU"/>
        </w:rPr>
        <w:t>g</w:t>
      </w:r>
      <w:r w:rsidR="00967B6F">
        <w:rPr>
          <w:rFonts w:ascii="Arial" w:eastAsia="Calibri" w:hAnsi="Arial" w:cs="Arial"/>
          <w:color w:val="000000"/>
          <w:sz w:val="22"/>
          <w:szCs w:val="22"/>
          <w:lang w:eastAsia="en-AU"/>
        </w:rPr>
        <w:t>enerational Re</w:t>
      </w:r>
      <w:r w:rsidR="00F0037F">
        <w:rPr>
          <w:rFonts w:ascii="Arial" w:eastAsia="Calibri" w:hAnsi="Arial" w:cs="Arial"/>
          <w:color w:val="000000"/>
          <w:sz w:val="22"/>
          <w:szCs w:val="22"/>
          <w:lang w:eastAsia="en-AU"/>
        </w:rPr>
        <w:t>port</w:t>
      </w:r>
      <w:r w:rsidR="00685E69">
        <w:rPr>
          <w:rFonts w:ascii="Arial" w:eastAsia="Calibri" w:hAnsi="Arial" w:cs="Arial"/>
          <w:color w:val="000000"/>
          <w:sz w:val="22"/>
          <w:szCs w:val="22"/>
          <w:lang w:eastAsia="en-AU"/>
        </w:rPr>
        <w:t>s</w:t>
      </w:r>
      <w:r w:rsidR="00191063">
        <w:rPr>
          <w:rFonts w:ascii="Arial" w:eastAsia="Calibri" w:hAnsi="Arial" w:cs="Arial"/>
          <w:color w:val="000000"/>
          <w:sz w:val="22"/>
          <w:szCs w:val="22"/>
          <w:lang w:eastAsia="en-AU"/>
        </w:rPr>
        <w:t>.</w:t>
      </w:r>
    </w:p>
    <w:p w:rsidR="00A4233A" w:rsidRPr="00EE1521" w:rsidRDefault="00A4233A" w:rsidP="00A4233A">
      <w:pPr>
        <w:pBdr>
          <w:top w:val="single" w:sz="4" w:space="1" w:color="auto"/>
          <w:left w:val="single" w:sz="4" w:space="4" w:color="auto"/>
          <w:bottom w:val="single" w:sz="4" w:space="1" w:color="auto"/>
          <w:right w:val="single" w:sz="4" w:space="4" w:color="auto"/>
        </w:pBdr>
        <w:rPr>
          <w:rFonts w:ascii="Arial" w:eastAsia="Calibri" w:hAnsi="Arial" w:cs="Arial"/>
          <w:b/>
          <w:color w:val="000000"/>
          <w:sz w:val="22"/>
          <w:szCs w:val="22"/>
          <w:lang w:eastAsia="en-AU"/>
        </w:rPr>
      </w:pPr>
    </w:p>
    <w:p w:rsidR="00A4233A" w:rsidRPr="00EE1521" w:rsidRDefault="00A4233A" w:rsidP="00A4233A">
      <w:pPr>
        <w:rPr>
          <w:rFonts w:ascii="Arial" w:eastAsia="Calibri" w:hAnsi="Arial" w:cs="Arial"/>
          <w:color w:val="000000"/>
          <w:sz w:val="22"/>
          <w:szCs w:val="22"/>
          <w:lang w:eastAsia="en-AU"/>
        </w:rPr>
      </w:pPr>
    </w:p>
    <w:p w:rsidR="00450DD5" w:rsidRDefault="00450DD5" w:rsidP="00774961">
      <w:pPr>
        <w:rPr>
          <w:rFonts w:ascii="Arial" w:eastAsia="Calibri" w:hAnsi="Arial" w:cs="Arial"/>
          <w:color w:val="000000"/>
          <w:sz w:val="22"/>
          <w:szCs w:val="22"/>
        </w:rPr>
      </w:pPr>
    </w:p>
    <w:p w:rsidR="00774961" w:rsidRDefault="00F0037F" w:rsidP="00774961">
      <w:pPr>
        <w:rPr>
          <w:rFonts w:ascii="Arial" w:eastAsia="Calibri" w:hAnsi="Arial" w:cs="Arial"/>
          <w:color w:val="000000"/>
          <w:sz w:val="22"/>
          <w:szCs w:val="22"/>
        </w:rPr>
      </w:pPr>
      <w:r>
        <w:rPr>
          <w:rFonts w:ascii="Arial" w:eastAsia="Calibri" w:hAnsi="Arial" w:cs="Arial"/>
          <w:color w:val="000000"/>
          <w:sz w:val="22"/>
          <w:szCs w:val="22"/>
        </w:rPr>
        <w:lastRenderedPageBreak/>
        <w:t xml:space="preserve">Notwithstanding </w:t>
      </w:r>
      <w:r w:rsidR="00D9563D">
        <w:rPr>
          <w:rFonts w:ascii="Arial" w:eastAsia="Calibri" w:hAnsi="Arial" w:cs="Arial"/>
          <w:color w:val="000000"/>
          <w:sz w:val="22"/>
          <w:szCs w:val="22"/>
        </w:rPr>
        <w:t>the</w:t>
      </w:r>
      <w:r w:rsidR="00D9563D" w:rsidRPr="00D9563D">
        <w:rPr>
          <w:rFonts w:ascii="Arial" w:eastAsia="Calibri" w:hAnsi="Arial" w:cs="Arial"/>
          <w:color w:val="000000"/>
          <w:sz w:val="22"/>
          <w:szCs w:val="22"/>
        </w:rPr>
        <w:t xml:space="preserve"> </w:t>
      </w:r>
      <w:r w:rsidR="00D9563D">
        <w:rPr>
          <w:rFonts w:ascii="Arial" w:eastAsia="Calibri" w:hAnsi="Arial" w:cs="Arial"/>
          <w:color w:val="000000"/>
          <w:sz w:val="22"/>
          <w:szCs w:val="22"/>
        </w:rPr>
        <w:t xml:space="preserve">current review of the financial services external dispute resolution framework, </w:t>
      </w:r>
      <w:r w:rsidR="00774961" w:rsidRPr="000A07E9">
        <w:rPr>
          <w:rFonts w:ascii="Arial" w:eastAsia="Calibri" w:hAnsi="Arial" w:cs="Arial"/>
          <w:color w:val="000000"/>
          <w:sz w:val="22"/>
          <w:szCs w:val="22"/>
        </w:rPr>
        <w:t xml:space="preserve">ASFA considers that the </w:t>
      </w:r>
      <w:r w:rsidR="00967B6F" w:rsidRPr="000A07E9">
        <w:rPr>
          <w:rFonts w:ascii="Arial" w:eastAsia="Calibri" w:hAnsi="Arial" w:cs="Arial"/>
          <w:color w:val="000000"/>
          <w:sz w:val="22"/>
          <w:szCs w:val="22"/>
        </w:rPr>
        <w:t>Superannuation Complaints Tribunal (</w:t>
      </w:r>
      <w:r w:rsidR="00774961" w:rsidRPr="000A07E9">
        <w:rPr>
          <w:rFonts w:ascii="Arial" w:eastAsia="Calibri" w:hAnsi="Arial" w:cs="Arial"/>
          <w:color w:val="000000"/>
          <w:sz w:val="22"/>
          <w:szCs w:val="22"/>
        </w:rPr>
        <w:t>SCT</w:t>
      </w:r>
      <w:r w:rsidR="00967B6F" w:rsidRPr="000A07E9">
        <w:rPr>
          <w:rFonts w:ascii="Arial" w:eastAsia="Calibri" w:hAnsi="Arial" w:cs="Arial"/>
          <w:color w:val="000000"/>
          <w:sz w:val="22"/>
          <w:szCs w:val="22"/>
        </w:rPr>
        <w:t>)</w:t>
      </w:r>
      <w:r w:rsidR="00774961" w:rsidRPr="000A07E9">
        <w:rPr>
          <w:rFonts w:ascii="Arial" w:eastAsia="Calibri" w:hAnsi="Arial" w:cs="Arial"/>
          <w:color w:val="000000"/>
          <w:sz w:val="22"/>
          <w:szCs w:val="22"/>
        </w:rPr>
        <w:t xml:space="preserve"> </w:t>
      </w:r>
      <w:r w:rsidR="00D9563D">
        <w:rPr>
          <w:rFonts w:ascii="Arial" w:eastAsia="Calibri" w:hAnsi="Arial" w:cs="Arial"/>
          <w:color w:val="000000"/>
          <w:sz w:val="22"/>
          <w:szCs w:val="22"/>
        </w:rPr>
        <w:t xml:space="preserve">needs to be provided with </w:t>
      </w:r>
      <w:r w:rsidR="00774961" w:rsidRPr="000A07E9">
        <w:rPr>
          <w:rFonts w:ascii="Arial" w:eastAsia="Calibri" w:hAnsi="Arial" w:cs="Arial"/>
          <w:color w:val="000000"/>
          <w:sz w:val="22"/>
          <w:szCs w:val="22"/>
        </w:rPr>
        <w:t xml:space="preserve">sufficient resources to </w:t>
      </w:r>
      <w:r w:rsidR="00191063">
        <w:rPr>
          <w:rFonts w:ascii="Arial" w:eastAsia="Calibri" w:hAnsi="Arial" w:cs="Arial"/>
          <w:color w:val="000000"/>
          <w:sz w:val="22"/>
          <w:szCs w:val="22"/>
        </w:rPr>
        <w:t xml:space="preserve">undertake </w:t>
      </w:r>
      <w:r w:rsidR="00774961" w:rsidRPr="000A07E9">
        <w:rPr>
          <w:rFonts w:ascii="Arial" w:eastAsia="Calibri" w:hAnsi="Arial" w:cs="Arial"/>
          <w:color w:val="000000"/>
          <w:sz w:val="22"/>
          <w:szCs w:val="22"/>
        </w:rPr>
        <w:t xml:space="preserve">the timely consideration </w:t>
      </w:r>
      <w:r w:rsidR="00191063">
        <w:rPr>
          <w:rFonts w:ascii="Arial" w:eastAsia="Calibri" w:hAnsi="Arial" w:cs="Arial"/>
          <w:color w:val="000000"/>
          <w:sz w:val="22"/>
          <w:szCs w:val="22"/>
        </w:rPr>
        <w:t xml:space="preserve">and resolution </w:t>
      </w:r>
      <w:r w:rsidR="00774961" w:rsidRPr="000A07E9">
        <w:rPr>
          <w:rFonts w:ascii="Arial" w:eastAsia="Calibri" w:hAnsi="Arial" w:cs="Arial"/>
          <w:color w:val="000000"/>
          <w:sz w:val="22"/>
          <w:szCs w:val="22"/>
        </w:rPr>
        <w:t>of complaints</w:t>
      </w:r>
      <w:r w:rsidR="00191063">
        <w:rPr>
          <w:rFonts w:ascii="Arial" w:eastAsia="Calibri" w:hAnsi="Arial" w:cs="Arial"/>
          <w:color w:val="000000"/>
          <w:sz w:val="22"/>
          <w:szCs w:val="22"/>
        </w:rPr>
        <w:t xml:space="preserve">. </w:t>
      </w:r>
      <w:r w:rsidR="00D9563D">
        <w:rPr>
          <w:rFonts w:ascii="Arial" w:eastAsia="Calibri" w:hAnsi="Arial" w:cs="Arial"/>
          <w:color w:val="000000"/>
          <w:sz w:val="22"/>
          <w:szCs w:val="22"/>
        </w:rPr>
        <w:t xml:space="preserve">Building on the funding provided in the 2016-17 Budget, </w:t>
      </w:r>
      <w:r w:rsidR="00191063">
        <w:rPr>
          <w:rFonts w:ascii="Arial" w:eastAsia="Calibri" w:hAnsi="Arial" w:cs="Arial"/>
          <w:color w:val="000000"/>
          <w:sz w:val="22"/>
          <w:szCs w:val="22"/>
        </w:rPr>
        <w:t xml:space="preserve">ASFA considers that the SCT needs to be provided with specific, non-recurrent, funding in the 2017-18 </w:t>
      </w:r>
      <w:r w:rsidR="00D9563D">
        <w:rPr>
          <w:rFonts w:ascii="Arial" w:eastAsia="Calibri" w:hAnsi="Arial" w:cs="Arial"/>
          <w:color w:val="000000"/>
          <w:sz w:val="22"/>
          <w:szCs w:val="22"/>
        </w:rPr>
        <w:t xml:space="preserve">Budget </w:t>
      </w:r>
      <w:r w:rsidR="00191063">
        <w:rPr>
          <w:rFonts w:ascii="Arial" w:eastAsia="Calibri" w:hAnsi="Arial" w:cs="Arial"/>
          <w:color w:val="000000"/>
          <w:sz w:val="22"/>
          <w:szCs w:val="22"/>
        </w:rPr>
        <w:t xml:space="preserve">to allow </w:t>
      </w:r>
      <w:r w:rsidR="00D9563D">
        <w:rPr>
          <w:rFonts w:ascii="Arial" w:eastAsia="Calibri" w:hAnsi="Arial" w:cs="Arial"/>
          <w:color w:val="000000"/>
          <w:sz w:val="22"/>
          <w:szCs w:val="22"/>
        </w:rPr>
        <w:t xml:space="preserve">the SCT </w:t>
      </w:r>
      <w:r w:rsidR="00191063">
        <w:rPr>
          <w:rFonts w:ascii="Arial" w:eastAsia="Calibri" w:hAnsi="Arial" w:cs="Arial"/>
          <w:color w:val="000000"/>
          <w:sz w:val="22"/>
          <w:szCs w:val="22"/>
        </w:rPr>
        <w:t xml:space="preserve">to appropriately </w:t>
      </w:r>
      <w:r w:rsidR="00774961" w:rsidRPr="000A07E9">
        <w:rPr>
          <w:rFonts w:ascii="Arial" w:eastAsia="Calibri" w:hAnsi="Arial" w:cs="Arial"/>
          <w:color w:val="000000"/>
          <w:sz w:val="22"/>
          <w:szCs w:val="22"/>
        </w:rPr>
        <w:t>deal</w:t>
      </w:r>
      <w:r w:rsidR="00191063">
        <w:rPr>
          <w:rFonts w:ascii="Arial" w:eastAsia="Calibri" w:hAnsi="Arial" w:cs="Arial"/>
          <w:color w:val="000000"/>
          <w:sz w:val="22"/>
          <w:szCs w:val="22"/>
        </w:rPr>
        <w:t xml:space="preserve"> </w:t>
      </w:r>
      <w:r w:rsidR="00774961" w:rsidRPr="000A07E9">
        <w:rPr>
          <w:rFonts w:ascii="Arial" w:eastAsia="Calibri" w:hAnsi="Arial" w:cs="Arial"/>
          <w:color w:val="000000"/>
          <w:sz w:val="22"/>
          <w:szCs w:val="22"/>
        </w:rPr>
        <w:t xml:space="preserve">with </w:t>
      </w:r>
      <w:r w:rsidR="00191063">
        <w:rPr>
          <w:rFonts w:ascii="Arial" w:eastAsia="Calibri" w:hAnsi="Arial" w:cs="Arial"/>
          <w:color w:val="000000"/>
          <w:sz w:val="22"/>
          <w:szCs w:val="22"/>
        </w:rPr>
        <w:t xml:space="preserve">the existing </w:t>
      </w:r>
      <w:r w:rsidR="00774961" w:rsidRPr="000A07E9">
        <w:rPr>
          <w:rFonts w:ascii="Arial" w:eastAsia="Calibri" w:hAnsi="Arial" w:cs="Arial"/>
          <w:color w:val="000000"/>
          <w:sz w:val="22"/>
          <w:szCs w:val="22"/>
        </w:rPr>
        <w:t>backlog of complaints</w:t>
      </w:r>
      <w:r w:rsidR="000A07E9">
        <w:rPr>
          <w:rFonts w:ascii="Arial" w:eastAsia="Calibri" w:hAnsi="Arial" w:cs="Arial"/>
          <w:color w:val="000000"/>
          <w:sz w:val="22"/>
          <w:szCs w:val="22"/>
        </w:rPr>
        <w:t xml:space="preserve">, pending the outcome of the </w:t>
      </w:r>
      <w:r w:rsidR="005761E3">
        <w:rPr>
          <w:rFonts w:ascii="Arial" w:eastAsia="Calibri" w:hAnsi="Arial" w:cs="Arial"/>
          <w:color w:val="000000"/>
          <w:sz w:val="22"/>
          <w:szCs w:val="22"/>
        </w:rPr>
        <w:t>more general financial sector dispute resolution mechanisms.</w:t>
      </w:r>
    </w:p>
    <w:p w:rsidR="005761E3" w:rsidRPr="00AE17B6" w:rsidRDefault="005761E3" w:rsidP="00774961">
      <w:pPr>
        <w:rPr>
          <w:rFonts w:ascii="Arial" w:eastAsia="Calibri" w:hAnsi="Arial" w:cs="Arial"/>
          <w:color w:val="000000"/>
          <w:sz w:val="22"/>
          <w:szCs w:val="22"/>
          <w:lang w:eastAsia="en-AU"/>
        </w:rPr>
      </w:pPr>
    </w:p>
    <w:p w:rsidR="00774961" w:rsidRPr="00AE17B6" w:rsidRDefault="00774961" w:rsidP="00774961">
      <w:pPr>
        <w:pBdr>
          <w:top w:val="single" w:sz="4" w:space="1" w:color="auto"/>
          <w:left w:val="single" w:sz="4" w:space="1" w:color="auto"/>
          <w:bottom w:val="single" w:sz="4" w:space="1" w:color="auto"/>
          <w:right w:val="single" w:sz="4" w:space="1" w:color="auto"/>
          <w:bar w:val="single" w:sz="4" w:color="auto"/>
        </w:pBdr>
        <w:rPr>
          <w:rFonts w:ascii="Arial" w:eastAsia="Calibri" w:hAnsi="Arial" w:cs="Arial"/>
          <w:b/>
          <w:color w:val="000000"/>
          <w:sz w:val="22"/>
          <w:szCs w:val="22"/>
          <w:lang w:eastAsia="en-AU"/>
        </w:rPr>
      </w:pPr>
      <w:r w:rsidRPr="00AE17B6">
        <w:rPr>
          <w:rFonts w:ascii="Arial" w:eastAsia="Calibri" w:hAnsi="Arial" w:cs="Arial"/>
          <w:b/>
          <w:color w:val="000000"/>
          <w:sz w:val="22"/>
          <w:szCs w:val="22"/>
          <w:lang w:eastAsia="en-AU"/>
        </w:rPr>
        <w:t xml:space="preserve">Recommendation </w:t>
      </w:r>
      <w:r w:rsidR="0072137A" w:rsidRPr="00AE17B6">
        <w:rPr>
          <w:rFonts w:ascii="Arial" w:eastAsia="Calibri" w:hAnsi="Arial" w:cs="Arial"/>
          <w:b/>
          <w:color w:val="000000"/>
          <w:sz w:val="22"/>
          <w:szCs w:val="22"/>
          <w:lang w:eastAsia="en-AU"/>
        </w:rPr>
        <w:t>2</w:t>
      </w:r>
      <w:r w:rsidRPr="00AE17B6">
        <w:rPr>
          <w:rFonts w:ascii="Arial" w:eastAsia="Calibri" w:hAnsi="Arial" w:cs="Arial"/>
          <w:b/>
          <w:color w:val="000000"/>
          <w:sz w:val="22"/>
          <w:szCs w:val="22"/>
          <w:lang w:eastAsia="en-AU"/>
        </w:rPr>
        <w:t>:</w:t>
      </w:r>
    </w:p>
    <w:p w:rsidR="00774961" w:rsidRPr="00AE17B6" w:rsidRDefault="00774961" w:rsidP="00774961">
      <w:pPr>
        <w:pBdr>
          <w:top w:val="single" w:sz="4" w:space="1" w:color="auto"/>
          <w:left w:val="single" w:sz="4" w:space="1" w:color="auto"/>
          <w:bottom w:val="single" w:sz="4" w:space="1" w:color="auto"/>
          <w:right w:val="single" w:sz="4" w:space="1" w:color="auto"/>
          <w:bar w:val="single" w:sz="4" w:color="auto"/>
        </w:pBdr>
        <w:rPr>
          <w:rFonts w:ascii="Arial" w:eastAsia="Calibri" w:hAnsi="Arial" w:cs="Arial"/>
          <w:b/>
          <w:color w:val="000000"/>
          <w:sz w:val="22"/>
          <w:szCs w:val="22"/>
          <w:lang w:eastAsia="en-AU"/>
        </w:rPr>
      </w:pPr>
    </w:p>
    <w:p w:rsidR="00774961" w:rsidRPr="00AE17B6" w:rsidRDefault="00774961" w:rsidP="00774961">
      <w:pPr>
        <w:pBdr>
          <w:top w:val="single" w:sz="4" w:space="1" w:color="auto"/>
          <w:left w:val="single" w:sz="4" w:space="1" w:color="auto"/>
          <w:bottom w:val="single" w:sz="4" w:space="1" w:color="auto"/>
          <w:right w:val="single" w:sz="4" w:space="1" w:color="auto"/>
          <w:bar w:val="single" w:sz="4" w:color="auto"/>
        </w:pBdr>
        <w:rPr>
          <w:rFonts w:ascii="Arial" w:eastAsia="Calibri" w:hAnsi="Arial" w:cs="Arial"/>
          <w:b/>
          <w:color w:val="000000"/>
          <w:sz w:val="22"/>
          <w:szCs w:val="22"/>
          <w:lang w:eastAsia="en-AU"/>
        </w:rPr>
      </w:pPr>
      <w:r w:rsidRPr="00AE17B6">
        <w:rPr>
          <w:rFonts w:ascii="Arial" w:hAnsi="Arial" w:cs="Arial"/>
          <w:color w:val="000000"/>
          <w:sz w:val="22"/>
          <w:szCs w:val="22"/>
        </w:rPr>
        <w:t>ASFA recommends that:</w:t>
      </w:r>
    </w:p>
    <w:p w:rsidR="00774961" w:rsidRPr="00AE17B6" w:rsidRDefault="00774961" w:rsidP="00774961">
      <w:pPr>
        <w:pBdr>
          <w:top w:val="single" w:sz="4" w:space="1" w:color="auto"/>
          <w:left w:val="single" w:sz="4" w:space="1" w:color="auto"/>
          <w:bottom w:val="single" w:sz="4" w:space="1" w:color="auto"/>
          <w:right w:val="single" w:sz="4" w:space="1" w:color="auto"/>
          <w:bar w:val="single" w:sz="4" w:color="auto"/>
        </w:pBdr>
        <w:rPr>
          <w:rFonts w:ascii="Arial" w:eastAsia="Calibri" w:hAnsi="Arial" w:cs="Arial"/>
          <w:b/>
          <w:color w:val="000000"/>
          <w:sz w:val="22"/>
          <w:szCs w:val="22"/>
          <w:lang w:eastAsia="en-AU"/>
        </w:rPr>
      </w:pPr>
    </w:p>
    <w:p w:rsidR="00774961" w:rsidRPr="00AE17B6" w:rsidRDefault="00774961" w:rsidP="00774961">
      <w:pPr>
        <w:pBdr>
          <w:top w:val="single" w:sz="4" w:space="1" w:color="auto"/>
          <w:left w:val="single" w:sz="4" w:space="1" w:color="auto"/>
          <w:bottom w:val="single" w:sz="4" w:space="1" w:color="auto"/>
          <w:right w:val="single" w:sz="4" w:space="1" w:color="auto"/>
          <w:bar w:val="single" w:sz="4" w:color="auto"/>
        </w:pBdr>
        <w:rPr>
          <w:rFonts w:ascii="Arial" w:eastAsia="Calibri" w:hAnsi="Arial" w:cs="Arial"/>
          <w:color w:val="000000"/>
          <w:sz w:val="22"/>
          <w:szCs w:val="22"/>
          <w:lang w:eastAsia="en-AU"/>
        </w:rPr>
      </w:pPr>
      <w:r w:rsidRPr="00AE17B6">
        <w:rPr>
          <w:rFonts w:ascii="Arial" w:eastAsia="Calibri" w:hAnsi="Arial" w:cs="Arial"/>
          <w:color w:val="000000"/>
          <w:sz w:val="22"/>
          <w:szCs w:val="22"/>
          <w:lang w:eastAsia="en-AU"/>
        </w:rPr>
        <w:t>a) The amount of funding allocated to the SCT from the ASIC component of the 201</w:t>
      </w:r>
      <w:r w:rsidR="00652AAB" w:rsidRPr="00AE17B6">
        <w:rPr>
          <w:rFonts w:ascii="Arial" w:eastAsia="Calibri" w:hAnsi="Arial" w:cs="Arial"/>
          <w:color w:val="000000"/>
          <w:sz w:val="22"/>
          <w:szCs w:val="22"/>
          <w:lang w:eastAsia="en-AU"/>
        </w:rPr>
        <w:t>7-18</w:t>
      </w:r>
      <w:r w:rsidRPr="00AE17B6">
        <w:rPr>
          <w:rFonts w:ascii="Arial" w:eastAsia="Calibri" w:hAnsi="Arial" w:cs="Arial"/>
          <w:color w:val="000000"/>
          <w:sz w:val="22"/>
          <w:szCs w:val="22"/>
          <w:lang w:eastAsia="en-AU"/>
        </w:rPr>
        <w:t xml:space="preserve"> supervisory levy should be separately </w:t>
      </w:r>
      <w:r w:rsidR="00191063">
        <w:rPr>
          <w:rFonts w:ascii="Arial" w:eastAsia="Calibri" w:hAnsi="Arial" w:cs="Arial"/>
          <w:color w:val="000000"/>
          <w:sz w:val="22"/>
          <w:szCs w:val="22"/>
          <w:lang w:eastAsia="en-AU"/>
        </w:rPr>
        <w:t xml:space="preserve">considered, </w:t>
      </w:r>
      <w:r w:rsidRPr="00AE17B6">
        <w:rPr>
          <w:rFonts w:ascii="Arial" w:eastAsia="Calibri" w:hAnsi="Arial" w:cs="Arial"/>
          <w:color w:val="000000"/>
          <w:sz w:val="22"/>
          <w:szCs w:val="22"/>
          <w:lang w:eastAsia="en-AU"/>
        </w:rPr>
        <w:t>identified</w:t>
      </w:r>
      <w:r w:rsidR="00191063">
        <w:rPr>
          <w:rFonts w:ascii="Arial" w:eastAsia="Calibri" w:hAnsi="Arial" w:cs="Arial"/>
          <w:color w:val="000000"/>
          <w:sz w:val="22"/>
          <w:szCs w:val="22"/>
          <w:lang w:eastAsia="en-AU"/>
        </w:rPr>
        <w:t xml:space="preserve"> and made, and</w:t>
      </w:r>
      <w:r w:rsidRPr="00AE17B6">
        <w:rPr>
          <w:rFonts w:ascii="Arial" w:eastAsia="Calibri" w:hAnsi="Arial" w:cs="Arial"/>
          <w:color w:val="000000"/>
          <w:sz w:val="22"/>
          <w:szCs w:val="22"/>
          <w:lang w:eastAsia="en-AU"/>
        </w:rPr>
        <w:t xml:space="preserve"> </w:t>
      </w:r>
    </w:p>
    <w:p w:rsidR="00774961" w:rsidRPr="00AE17B6" w:rsidRDefault="00774961" w:rsidP="00774961">
      <w:pPr>
        <w:pBdr>
          <w:top w:val="single" w:sz="4" w:space="1" w:color="auto"/>
          <w:left w:val="single" w:sz="4" w:space="1" w:color="auto"/>
          <w:bottom w:val="single" w:sz="4" w:space="1" w:color="auto"/>
          <w:right w:val="single" w:sz="4" w:space="1" w:color="auto"/>
          <w:bar w:val="single" w:sz="4" w:color="auto"/>
        </w:pBdr>
        <w:rPr>
          <w:rFonts w:ascii="Arial" w:eastAsia="Calibri" w:hAnsi="Arial" w:cs="Arial"/>
          <w:color w:val="000000"/>
          <w:sz w:val="22"/>
          <w:szCs w:val="22"/>
          <w:lang w:eastAsia="en-AU"/>
        </w:rPr>
      </w:pPr>
    </w:p>
    <w:p w:rsidR="00774961" w:rsidRPr="000F06B8" w:rsidRDefault="00774961" w:rsidP="00774961">
      <w:pPr>
        <w:pBdr>
          <w:top w:val="single" w:sz="4" w:space="1" w:color="auto"/>
          <w:left w:val="single" w:sz="4" w:space="1" w:color="auto"/>
          <w:bottom w:val="single" w:sz="4" w:space="1" w:color="auto"/>
          <w:right w:val="single" w:sz="4" w:space="1" w:color="auto"/>
          <w:bar w:val="single" w:sz="4" w:color="auto"/>
        </w:pBdr>
        <w:rPr>
          <w:rFonts w:ascii="Arial" w:eastAsia="Calibri" w:hAnsi="Arial" w:cs="Arial"/>
          <w:color w:val="000000"/>
          <w:sz w:val="22"/>
          <w:szCs w:val="22"/>
          <w:lang w:eastAsia="en-AU"/>
        </w:rPr>
      </w:pPr>
      <w:r w:rsidRPr="00AE17B6">
        <w:rPr>
          <w:rFonts w:ascii="Arial" w:eastAsia="Calibri" w:hAnsi="Arial" w:cs="Arial"/>
          <w:color w:val="000000"/>
          <w:sz w:val="22"/>
          <w:szCs w:val="22"/>
          <w:lang w:eastAsia="en-AU"/>
        </w:rPr>
        <w:t xml:space="preserve">b) Treasury and ASIC should urgently review the SCT’s </w:t>
      </w:r>
      <w:r w:rsidR="00191063">
        <w:rPr>
          <w:rFonts w:ascii="Arial" w:eastAsia="Calibri" w:hAnsi="Arial" w:cs="Arial"/>
          <w:color w:val="000000"/>
          <w:sz w:val="22"/>
          <w:szCs w:val="22"/>
          <w:lang w:eastAsia="en-AU"/>
        </w:rPr>
        <w:t xml:space="preserve">current </w:t>
      </w:r>
      <w:r w:rsidRPr="00AE17B6">
        <w:rPr>
          <w:rFonts w:ascii="Arial" w:eastAsia="Calibri" w:hAnsi="Arial" w:cs="Arial"/>
          <w:color w:val="000000"/>
          <w:sz w:val="22"/>
          <w:szCs w:val="22"/>
          <w:lang w:eastAsia="en-AU"/>
        </w:rPr>
        <w:t xml:space="preserve">funding needs to ensure it is adequately resourced to address </w:t>
      </w:r>
      <w:r w:rsidR="00191063">
        <w:rPr>
          <w:rFonts w:ascii="Arial" w:eastAsia="Calibri" w:hAnsi="Arial" w:cs="Arial"/>
          <w:color w:val="000000"/>
          <w:sz w:val="22"/>
          <w:szCs w:val="22"/>
          <w:lang w:eastAsia="en-AU"/>
        </w:rPr>
        <w:t xml:space="preserve">both its existing and anticipated future </w:t>
      </w:r>
      <w:r w:rsidRPr="00AE17B6">
        <w:rPr>
          <w:rFonts w:ascii="Arial" w:eastAsia="Calibri" w:hAnsi="Arial" w:cs="Arial"/>
          <w:color w:val="000000"/>
          <w:sz w:val="22"/>
          <w:szCs w:val="22"/>
          <w:lang w:eastAsia="en-AU"/>
        </w:rPr>
        <w:t xml:space="preserve">workload and </w:t>
      </w:r>
      <w:r w:rsidR="00191063">
        <w:rPr>
          <w:rFonts w:ascii="Arial" w:eastAsia="Calibri" w:hAnsi="Arial" w:cs="Arial"/>
          <w:color w:val="000000"/>
          <w:sz w:val="22"/>
          <w:szCs w:val="22"/>
          <w:lang w:eastAsia="en-AU"/>
        </w:rPr>
        <w:t xml:space="preserve">to </w:t>
      </w:r>
      <w:r w:rsidRPr="00AE17B6">
        <w:rPr>
          <w:rFonts w:ascii="Arial" w:eastAsia="Calibri" w:hAnsi="Arial" w:cs="Arial"/>
          <w:color w:val="000000"/>
          <w:sz w:val="22"/>
          <w:szCs w:val="22"/>
          <w:lang w:eastAsia="en-AU"/>
        </w:rPr>
        <w:t>meet its statutory objectives.</w:t>
      </w:r>
    </w:p>
    <w:p w:rsidR="00774961" w:rsidRPr="000F06B8" w:rsidRDefault="00774961" w:rsidP="00774961">
      <w:pPr>
        <w:pBdr>
          <w:top w:val="single" w:sz="4" w:space="1" w:color="auto"/>
          <w:left w:val="single" w:sz="4" w:space="1" w:color="auto"/>
          <w:bottom w:val="single" w:sz="4" w:space="1" w:color="auto"/>
          <w:right w:val="single" w:sz="4" w:space="1" w:color="auto"/>
          <w:bar w:val="single" w:sz="4" w:color="auto"/>
        </w:pBdr>
        <w:rPr>
          <w:rFonts w:ascii="Arial" w:eastAsia="Calibri" w:hAnsi="Arial" w:cs="Arial"/>
          <w:b/>
          <w:color w:val="000000"/>
          <w:sz w:val="22"/>
          <w:szCs w:val="22"/>
          <w:lang w:eastAsia="en-AU"/>
        </w:rPr>
      </w:pPr>
    </w:p>
    <w:p w:rsidR="00774961" w:rsidRPr="00EE1521" w:rsidRDefault="00774961" w:rsidP="00774961">
      <w:pPr>
        <w:rPr>
          <w:rFonts w:ascii="Arial" w:eastAsia="Calibri" w:hAnsi="Arial" w:cs="Arial"/>
          <w:color w:val="000000"/>
          <w:sz w:val="22"/>
          <w:szCs w:val="22"/>
          <w:lang w:eastAsia="en-AU"/>
        </w:rPr>
      </w:pPr>
    </w:p>
    <w:p w:rsidR="0091004A" w:rsidRDefault="0091004A" w:rsidP="0091004A">
      <w:pPr>
        <w:rPr>
          <w:rFonts w:ascii="Arial" w:eastAsia="Calibri" w:hAnsi="Arial" w:cs="Arial"/>
          <w:color w:val="000000"/>
          <w:sz w:val="22"/>
          <w:szCs w:val="22"/>
        </w:rPr>
      </w:pPr>
      <w:r w:rsidRPr="00BC08AF">
        <w:rPr>
          <w:rFonts w:ascii="Arial" w:eastAsia="Calibri" w:hAnsi="Arial" w:cs="Arial"/>
          <w:color w:val="000000"/>
          <w:sz w:val="22"/>
          <w:szCs w:val="22"/>
        </w:rPr>
        <w:t xml:space="preserve">Given recent changes to superannuation reporting requirements that have enhanced the information </w:t>
      </w:r>
      <w:r w:rsidR="00967B6F">
        <w:rPr>
          <w:rFonts w:ascii="Arial" w:eastAsia="Calibri" w:hAnsi="Arial" w:cs="Arial"/>
          <w:color w:val="000000"/>
          <w:sz w:val="22"/>
          <w:szCs w:val="22"/>
        </w:rPr>
        <w:t xml:space="preserve">held by </w:t>
      </w:r>
      <w:r w:rsidR="00967B6F" w:rsidRPr="00BC08AF">
        <w:rPr>
          <w:rFonts w:ascii="Arial" w:eastAsia="Calibri" w:hAnsi="Arial" w:cs="Arial"/>
          <w:color w:val="000000"/>
          <w:sz w:val="22"/>
          <w:szCs w:val="22"/>
        </w:rPr>
        <w:t xml:space="preserve">the </w:t>
      </w:r>
      <w:r w:rsidR="00967B6F">
        <w:rPr>
          <w:rFonts w:ascii="Arial" w:eastAsia="Calibri" w:hAnsi="Arial" w:cs="Arial"/>
          <w:color w:val="000000"/>
          <w:sz w:val="22"/>
          <w:szCs w:val="22"/>
        </w:rPr>
        <w:t xml:space="preserve">Australian Taxation Office (ATO) </w:t>
      </w:r>
      <w:r w:rsidRPr="00BC08AF">
        <w:rPr>
          <w:rFonts w:ascii="Arial" w:eastAsia="Calibri" w:hAnsi="Arial" w:cs="Arial"/>
          <w:color w:val="000000"/>
          <w:sz w:val="22"/>
          <w:szCs w:val="22"/>
        </w:rPr>
        <w:t xml:space="preserve">about superannuation accounts, ASFA considers that </w:t>
      </w:r>
      <w:r w:rsidR="00967B6F">
        <w:rPr>
          <w:rFonts w:ascii="Arial" w:eastAsia="Calibri" w:hAnsi="Arial" w:cs="Arial"/>
          <w:color w:val="000000"/>
          <w:sz w:val="22"/>
          <w:szCs w:val="22"/>
        </w:rPr>
        <w:t xml:space="preserve">the ATO </w:t>
      </w:r>
      <w:r>
        <w:rPr>
          <w:rFonts w:ascii="Arial" w:eastAsia="Calibri" w:hAnsi="Arial" w:cs="Arial"/>
          <w:color w:val="000000"/>
          <w:sz w:val="22"/>
          <w:szCs w:val="22"/>
        </w:rPr>
        <w:t xml:space="preserve">should be empowered to </w:t>
      </w:r>
      <w:r w:rsidRPr="00BC08AF">
        <w:rPr>
          <w:rFonts w:ascii="Arial" w:eastAsia="Calibri" w:hAnsi="Arial" w:cs="Arial"/>
          <w:color w:val="000000"/>
          <w:sz w:val="22"/>
          <w:szCs w:val="22"/>
        </w:rPr>
        <w:t>initiate the repatriation of lost member accounts</w:t>
      </w:r>
      <w:r>
        <w:rPr>
          <w:rFonts w:ascii="Arial" w:eastAsia="Calibri" w:hAnsi="Arial" w:cs="Arial"/>
          <w:color w:val="000000"/>
          <w:sz w:val="22"/>
          <w:szCs w:val="22"/>
        </w:rPr>
        <w:t xml:space="preserve"> rather than just respond to member requests</w:t>
      </w:r>
      <w:r w:rsidRPr="00BC08AF">
        <w:rPr>
          <w:rFonts w:ascii="Arial" w:eastAsia="Calibri" w:hAnsi="Arial" w:cs="Arial"/>
          <w:color w:val="000000"/>
          <w:sz w:val="22"/>
          <w:szCs w:val="22"/>
        </w:rPr>
        <w:t>.  Such a change would be consistent with the policy objective of reducing the number of unnecessary accounts within the superannuation system.</w:t>
      </w:r>
    </w:p>
    <w:p w:rsidR="000552B2" w:rsidRPr="00397141" w:rsidRDefault="000552B2" w:rsidP="0091004A">
      <w:pPr>
        <w:rPr>
          <w:rFonts w:ascii="Arial" w:eastAsia="Calibri" w:hAnsi="Arial" w:cs="Arial"/>
          <w:color w:val="000000"/>
          <w:sz w:val="22"/>
          <w:szCs w:val="22"/>
        </w:rPr>
      </w:pPr>
    </w:p>
    <w:p w:rsidR="000552B2" w:rsidRDefault="000552B2" w:rsidP="000552B2">
      <w:pPr>
        <w:rPr>
          <w:rFonts w:ascii="Arial" w:eastAsia="Calibri" w:hAnsi="Arial" w:cs="Arial"/>
          <w:color w:val="000000"/>
          <w:sz w:val="22"/>
          <w:szCs w:val="22"/>
        </w:rPr>
      </w:pPr>
      <w:r w:rsidRPr="00EC60DE">
        <w:rPr>
          <w:rFonts w:ascii="Arial" w:eastAsia="Calibri" w:hAnsi="Arial" w:cs="Arial"/>
          <w:color w:val="000000"/>
          <w:sz w:val="22"/>
          <w:szCs w:val="22"/>
        </w:rPr>
        <w:t xml:space="preserve">While interest </w:t>
      </w:r>
      <w:r w:rsidR="00D9563D">
        <w:rPr>
          <w:rFonts w:ascii="Arial" w:eastAsia="Calibri" w:hAnsi="Arial" w:cs="Arial"/>
          <w:color w:val="000000"/>
          <w:sz w:val="22"/>
          <w:szCs w:val="22"/>
        </w:rPr>
        <w:t xml:space="preserve">is </w:t>
      </w:r>
      <w:r w:rsidRPr="00EC60DE">
        <w:rPr>
          <w:rFonts w:ascii="Arial" w:eastAsia="Calibri" w:hAnsi="Arial" w:cs="Arial"/>
          <w:color w:val="000000"/>
          <w:sz w:val="22"/>
          <w:szCs w:val="22"/>
        </w:rPr>
        <w:t>paid at the CPI rate on amounts held by the ATO, a member</w:t>
      </w:r>
      <w:r w:rsidR="00D9563D">
        <w:rPr>
          <w:rFonts w:ascii="Arial" w:eastAsia="Calibri" w:hAnsi="Arial" w:cs="Arial"/>
          <w:color w:val="000000"/>
          <w:sz w:val="22"/>
          <w:szCs w:val="22"/>
        </w:rPr>
        <w:t>,</w:t>
      </w:r>
      <w:r w:rsidRPr="00EC60DE">
        <w:rPr>
          <w:rFonts w:ascii="Arial" w:eastAsia="Calibri" w:hAnsi="Arial" w:cs="Arial"/>
          <w:color w:val="000000"/>
          <w:sz w:val="22"/>
          <w:szCs w:val="22"/>
        </w:rPr>
        <w:t xml:space="preserve"> </w:t>
      </w:r>
      <w:r w:rsidR="00D9563D">
        <w:rPr>
          <w:rFonts w:ascii="Arial" w:eastAsia="Calibri" w:hAnsi="Arial" w:cs="Arial"/>
          <w:color w:val="000000"/>
          <w:sz w:val="22"/>
          <w:szCs w:val="22"/>
        </w:rPr>
        <w:t xml:space="preserve">with a balance greater than $2,000, is better off </w:t>
      </w:r>
      <w:r w:rsidRPr="00EC60DE">
        <w:rPr>
          <w:rFonts w:ascii="Arial" w:eastAsia="Calibri" w:hAnsi="Arial" w:cs="Arial"/>
          <w:color w:val="000000"/>
          <w:sz w:val="22"/>
          <w:szCs w:val="22"/>
        </w:rPr>
        <w:t>in a</w:t>
      </w:r>
      <w:r w:rsidR="00D9563D">
        <w:rPr>
          <w:rFonts w:ascii="Arial" w:eastAsia="Calibri" w:hAnsi="Arial" w:cs="Arial"/>
          <w:color w:val="000000"/>
          <w:sz w:val="22"/>
          <w:szCs w:val="22"/>
        </w:rPr>
        <w:t xml:space="preserve">n average </w:t>
      </w:r>
      <w:r w:rsidRPr="00EC60DE">
        <w:rPr>
          <w:rFonts w:ascii="Arial" w:eastAsia="Calibri" w:hAnsi="Arial" w:cs="Arial"/>
          <w:color w:val="000000"/>
          <w:sz w:val="22"/>
          <w:szCs w:val="22"/>
        </w:rPr>
        <w:t>fund’s default investment option</w:t>
      </w:r>
      <w:r w:rsidR="00D9563D">
        <w:rPr>
          <w:rFonts w:ascii="Arial" w:eastAsia="Calibri" w:hAnsi="Arial" w:cs="Arial"/>
          <w:color w:val="000000"/>
          <w:sz w:val="22"/>
          <w:szCs w:val="22"/>
        </w:rPr>
        <w:t xml:space="preserve"> (based on long term average investment returns and fees). </w:t>
      </w:r>
    </w:p>
    <w:p w:rsidR="00446C6A" w:rsidRDefault="00446C6A" w:rsidP="000552B2">
      <w:pPr>
        <w:rPr>
          <w:rFonts w:ascii="Arial" w:eastAsia="Calibri" w:hAnsi="Arial" w:cs="Arial"/>
          <w:color w:val="000000"/>
          <w:sz w:val="22"/>
          <w:szCs w:val="22"/>
        </w:rPr>
      </w:pPr>
    </w:p>
    <w:p w:rsidR="00450DD5" w:rsidRDefault="00450DD5" w:rsidP="000552B2">
      <w:pPr>
        <w:rPr>
          <w:rFonts w:ascii="Arial" w:eastAsia="Calibri" w:hAnsi="Arial" w:cs="Arial"/>
          <w:color w:val="000000"/>
          <w:sz w:val="22"/>
          <w:szCs w:val="22"/>
        </w:rPr>
      </w:pPr>
    </w:p>
    <w:p w:rsidR="00450DD5" w:rsidRDefault="00450DD5" w:rsidP="000552B2">
      <w:pPr>
        <w:rPr>
          <w:rFonts w:ascii="Arial" w:eastAsia="Calibri" w:hAnsi="Arial" w:cs="Arial"/>
          <w:color w:val="000000"/>
          <w:sz w:val="22"/>
          <w:szCs w:val="22"/>
        </w:rPr>
      </w:pPr>
    </w:p>
    <w:p w:rsidR="00450DD5" w:rsidRDefault="00450DD5" w:rsidP="000552B2">
      <w:pPr>
        <w:rPr>
          <w:rFonts w:ascii="Arial" w:eastAsia="Calibri" w:hAnsi="Arial" w:cs="Arial"/>
          <w:color w:val="000000"/>
          <w:sz w:val="22"/>
          <w:szCs w:val="22"/>
        </w:rPr>
      </w:pPr>
    </w:p>
    <w:p w:rsidR="00450DD5" w:rsidRDefault="00450DD5" w:rsidP="000552B2">
      <w:pPr>
        <w:rPr>
          <w:rFonts w:ascii="Arial" w:eastAsia="Calibri" w:hAnsi="Arial" w:cs="Arial"/>
          <w:color w:val="000000"/>
          <w:sz w:val="22"/>
          <w:szCs w:val="22"/>
        </w:rPr>
      </w:pPr>
    </w:p>
    <w:p w:rsidR="00450DD5" w:rsidRDefault="00450DD5" w:rsidP="000552B2">
      <w:pPr>
        <w:rPr>
          <w:rFonts w:ascii="Arial" w:eastAsia="Calibri" w:hAnsi="Arial" w:cs="Arial"/>
          <w:color w:val="000000"/>
          <w:sz w:val="22"/>
          <w:szCs w:val="22"/>
        </w:rPr>
      </w:pPr>
    </w:p>
    <w:p w:rsidR="00450DD5" w:rsidRDefault="00450DD5" w:rsidP="000552B2">
      <w:pPr>
        <w:rPr>
          <w:rFonts w:ascii="Arial" w:eastAsia="Calibri" w:hAnsi="Arial" w:cs="Arial"/>
          <w:color w:val="000000"/>
          <w:sz w:val="22"/>
          <w:szCs w:val="22"/>
        </w:rPr>
      </w:pPr>
    </w:p>
    <w:p w:rsidR="00564637" w:rsidRPr="00EC60DE" w:rsidRDefault="00564637" w:rsidP="000552B2">
      <w:pPr>
        <w:rPr>
          <w:rFonts w:ascii="Arial" w:eastAsia="Calibri" w:hAnsi="Arial" w:cs="Arial"/>
          <w:color w:val="000000"/>
          <w:sz w:val="22"/>
          <w:szCs w:val="22"/>
        </w:rPr>
      </w:pPr>
    </w:p>
    <w:p w:rsidR="0091004A" w:rsidRDefault="0091004A" w:rsidP="0091004A">
      <w:pPr>
        <w:pBdr>
          <w:top w:val="single" w:sz="4" w:space="1" w:color="auto"/>
          <w:left w:val="single" w:sz="4" w:space="1" w:color="auto"/>
          <w:bottom w:val="single" w:sz="4" w:space="1" w:color="auto"/>
          <w:right w:val="single" w:sz="4" w:space="1" w:color="auto"/>
          <w:bar w:val="single" w:sz="4" w:color="auto"/>
        </w:pBdr>
        <w:rPr>
          <w:rFonts w:ascii="Arial" w:eastAsia="Calibri" w:hAnsi="Arial" w:cs="Arial"/>
          <w:b/>
          <w:color w:val="000000"/>
          <w:sz w:val="22"/>
          <w:szCs w:val="22"/>
          <w:lang w:eastAsia="en-AU"/>
        </w:rPr>
      </w:pPr>
      <w:r>
        <w:rPr>
          <w:rFonts w:ascii="Arial" w:eastAsia="Calibri" w:hAnsi="Arial" w:cs="Arial"/>
          <w:b/>
          <w:color w:val="000000"/>
          <w:sz w:val="22"/>
          <w:szCs w:val="22"/>
          <w:lang w:eastAsia="en-AU"/>
        </w:rPr>
        <w:lastRenderedPageBreak/>
        <w:t xml:space="preserve">Recommendation </w:t>
      </w:r>
      <w:r w:rsidR="00CA7B69">
        <w:rPr>
          <w:rFonts w:ascii="Arial" w:eastAsia="Calibri" w:hAnsi="Arial" w:cs="Arial"/>
          <w:b/>
          <w:color w:val="000000"/>
          <w:sz w:val="22"/>
          <w:szCs w:val="22"/>
          <w:lang w:eastAsia="en-AU"/>
        </w:rPr>
        <w:t>3</w:t>
      </w:r>
      <w:r>
        <w:rPr>
          <w:rFonts w:ascii="Arial" w:eastAsia="Calibri" w:hAnsi="Arial" w:cs="Arial"/>
          <w:b/>
          <w:color w:val="000000"/>
          <w:sz w:val="22"/>
          <w:szCs w:val="22"/>
          <w:lang w:eastAsia="en-AU"/>
        </w:rPr>
        <w:t>:</w:t>
      </w:r>
    </w:p>
    <w:p w:rsidR="0091004A" w:rsidRDefault="0091004A" w:rsidP="0091004A">
      <w:pPr>
        <w:pBdr>
          <w:top w:val="single" w:sz="4" w:space="1" w:color="auto"/>
          <w:left w:val="single" w:sz="4" w:space="1" w:color="auto"/>
          <w:bottom w:val="single" w:sz="4" w:space="1" w:color="auto"/>
          <w:right w:val="single" w:sz="4" w:space="1" w:color="auto"/>
          <w:bar w:val="single" w:sz="4" w:color="auto"/>
        </w:pBdr>
        <w:rPr>
          <w:rFonts w:ascii="Arial" w:eastAsia="Calibri" w:hAnsi="Arial" w:cs="Arial"/>
          <w:b/>
          <w:color w:val="000000"/>
          <w:sz w:val="22"/>
          <w:szCs w:val="22"/>
          <w:lang w:eastAsia="en-AU"/>
        </w:rPr>
      </w:pPr>
    </w:p>
    <w:p w:rsidR="0091004A" w:rsidRDefault="0091004A" w:rsidP="0091004A">
      <w:pPr>
        <w:pBdr>
          <w:top w:val="single" w:sz="4" w:space="1" w:color="auto"/>
          <w:left w:val="single" w:sz="4" w:space="1" w:color="auto"/>
          <w:bottom w:val="single" w:sz="4" w:space="1" w:color="auto"/>
          <w:right w:val="single" w:sz="4" w:space="1" w:color="auto"/>
          <w:bar w:val="single" w:sz="4" w:color="auto"/>
        </w:pBdr>
        <w:rPr>
          <w:rFonts w:ascii="Arial" w:eastAsia="Calibri" w:hAnsi="Arial" w:cs="Arial"/>
          <w:color w:val="000000"/>
          <w:sz w:val="22"/>
          <w:szCs w:val="22"/>
          <w:lang w:eastAsia="en-AU"/>
        </w:rPr>
      </w:pPr>
      <w:r>
        <w:rPr>
          <w:rFonts w:ascii="Arial" w:hAnsi="Arial" w:cs="Arial"/>
          <w:color w:val="000000"/>
          <w:sz w:val="22"/>
          <w:szCs w:val="22"/>
        </w:rPr>
        <w:t xml:space="preserve">ASFA </w:t>
      </w:r>
      <w:r w:rsidRPr="00801794">
        <w:rPr>
          <w:rFonts w:ascii="Arial" w:hAnsi="Arial" w:cs="Arial"/>
          <w:color w:val="000000"/>
          <w:sz w:val="22"/>
          <w:szCs w:val="22"/>
        </w:rPr>
        <w:t xml:space="preserve">recommends that priority be given to amending the </w:t>
      </w:r>
      <w:r w:rsidRPr="00801794">
        <w:rPr>
          <w:rFonts w:ascii="Arial" w:hAnsi="Arial" w:cs="Arial"/>
          <w:i/>
          <w:color w:val="000000"/>
          <w:sz w:val="22"/>
          <w:szCs w:val="22"/>
        </w:rPr>
        <w:t>Superannuation (Unclaimed Money and Lost Members) Act 1999 Act</w:t>
      </w:r>
      <w:r w:rsidRPr="00801794">
        <w:rPr>
          <w:rFonts w:ascii="Arial" w:hAnsi="Arial" w:cs="Arial"/>
          <w:color w:val="000000"/>
          <w:sz w:val="22"/>
          <w:szCs w:val="22"/>
        </w:rPr>
        <w:t xml:space="preserve"> so as to permit the Commissioner of Taxation to pay </w:t>
      </w:r>
      <w:r>
        <w:rPr>
          <w:rFonts w:ascii="Arial" w:hAnsi="Arial" w:cs="Arial"/>
          <w:color w:val="000000"/>
          <w:sz w:val="22"/>
          <w:szCs w:val="22"/>
        </w:rPr>
        <w:t xml:space="preserve">unclaimed money </w:t>
      </w:r>
      <w:r w:rsidRPr="00801794">
        <w:rPr>
          <w:rFonts w:ascii="Arial" w:hAnsi="Arial" w:cs="Arial"/>
          <w:color w:val="000000"/>
          <w:sz w:val="22"/>
          <w:szCs w:val="22"/>
        </w:rPr>
        <w:t xml:space="preserve">to a complying superannuation plan where the Commissioner is satisfied as to the identity of the lost member account owner and that the person holds an account in the proposed </w:t>
      </w:r>
      <w:r w:rsidR="00191063">
        <w:rPr>
          <w:rFonts w:ascii="Arial" w:hAnsi="Arial" w:cs="Arial"/>
          <w:color w:val="000000"/>
          <w:sz w:val="22"/>
          <w:szCs w:val="22"/>
        </w:rPr>
        <w:t xml:space="preserve">active </w:t>
      </w:r>
      <w:r w:rsidRPr="00801794">
        <w:rPr>
          <w:rFonts w:ascii="Arial" w:hAnsi="Arial" w:cs="Arial"/>
          <w:color w:val="000000"/>
          <w:sz w:val="22"/>
          <w:szCs w:val="22"/>
        </w:rPr>
        <w:t>destination fund</w:t>
      </w:r>
      <w:r>
        <w:rPr>
          <w:rFonts w:ascii="Arial" w:hAnsi="Arial" w:cs="Arial"/>
          <w:color w:val="000000"/>
          <w:sz w:val="22"/>
          <w:szCs w:val="22"/>
        </w:rPr>
        <w:t>.</w:t>
      </w:r>
    </w:p>
    <w:p w:rsidR="0091004A" w:rsidRPr="000F06B8" w:rsidRDefault="0091004A" w:rsidP="0091004A">
      <w:pPr>
        <w:pBdr>
          <w:top w:val="single" w:sz="4" w:space="1" w:color="auto"/>
          <w:left w:val="single" w:sz="4" w:space="1" w:color="auto"/>
          <w:bottom w:val="single" w:sz="4" w:space="1" w:color="auto"/>
          <w:right w:val="single" w:sz="4" w:space="1" w:color="auto"/>
          <w:bar w:val="single" w:sz="4" w:color="auto"/>
        </w:pBdr>
        <w:rPr>
          <w:rFonts w:ascii="Arial" w:eastAsia="Calibri" w:hAnsi="Arial" w:cs="Arial"/>
          <w:b/>
          <w:color w:val="000000"/>
          <w:sz w:val="22"/>
          <w:szCs w:val="22"/>
          <w:lang w:eastAsia="en-AU"/>
        </w:rPr>
      </w:pPr>
    </w:p>
    <w:p w:rsidR="0091004A" w:rsidRPr="00735616" w:rsidRDefault="0091004A" w:rsidP="0091004A">
      <w:pPr>
        <w:rPr>
          <w:rFonts w:ascii="Arial" w:hAnsi="Arial" w:cs="Arial"/>
          <w:sz w:val="22"/>
          <w:szCs w:val="22"/>
        </w:rPr>
      </w:pPr>
    </w:p>
    <w:p w:rsidR="0091004A" w:rsidRDefault="0091004A" w:rsidP="0091004A">
      <w:pPr>
        <w:rPr>
          <w:rFonts w:ascii="Arial" w:hAnsi="Arial" w:cs="Arial"/>
          <w:sz w:val="22"/>
          <w:szCs w:val="22"/>
        </w:rPr>
      </w:pPr>
      <w:r w:rsidRPr="00801794">
        <w:rPr>
          <w:rFonts w:ascii="Arial" w:hAnsi="Arial" w:cs="Arial"/>
          <w:sz w:val="22"/>
          <w:szCs w:val="22"/>
        </w:rPr>
        <w:t xml:space="preserve">The </w:t>
      </w:r>
      <w:r>
        <w:rPr>
          <w:rFonts w:ascii="Arial" w:hAnsi="Arial" w:cs="Arial"/>
          <w:sz w:val="22"/>
          <w:szCs w:val="22"/>
        </w:rPr>
        <w:t>Australian National Audit Office (</w:t>
      </w:r>
      <w:r w:rsidRPr="00801794">
        <w:rPr>
          <w:rFonts w:ascii="Arial" w:hAnsi="Arial" w:cs="Arial"/>
          <w:sz w:val="22"/>
          <w:szCs w:val="22"/>
        </w:rPr>
        <w:t>ANAO</w:t>
      </w:r>
      <w:r>
        <w:rPr>
          <w:rFonts w:ascii="Arial" w:hAnsi="Arial" w:cs="Arial"/>
          <w:sz w:val="22"/>
          <w:szCs w:val="22"/>
        </w:rPr>
        <w:t>) has</w:t>
      </w:r>
      <w:r w:rsidRPr="00801794">
        <w:rPr>
          <w:rFonts w:ascii="Arial" w:hAnsi="Arial" w:cs="Arial"/>
          <w:sz w:val="22"/>
          <w:szCs w:val="22"/>
        </w:rPr>
        <w:t xml:space="preserve"> found that audits undertaken by the </w:t>
      </w:r>
      <w:r>
        <w:rPr>
          <w:rFonts w:ascii="Arial" w:hAnsi="Arial" w:cs="Arial"/>
          <w:sz w:val="22"/>
          <w:szCs w:val="22"/>
        </w:rPr>
        <w:t>Australian Taxation Office have an</w:t>
      </w:r>
      <w:r w:rsidRPr="00801794">
        <w:rPr>
          <w:rFonts w:ascii="Arial" w:hAnsi="Arial" w:cs="Arial"/>
          <w:sz w:val="22"/>
          <w:szCs w:val="22"/>
        </w:rPr>
        <w:t xml:space="preserve"> excess of 70 per cent success rate in identifying SG obligations. </w:t>
      </w:r>
    </w:p>
    <w:p w:rsidR="0091004A" w:rsidRDefault="0091004A" w:rsidP="0091004A">
      <w:pPr>
        <w:rPr>
          <w:rFonts w:ascii="Arial" w:hAnsi="Arial" w:cs="Arial"/>
          <w:sz w:val="22"/>
          <w:szCs w:val="22"/>
        </w:rPr>
      </w:pPr>
    </w:p>
    <w:p w:rsidR="0091004A" w:rsidRDefault="0091004A" w:rsidP="0091004A">
      <w:pPr>
        <w:rPr>
          <w:rFonts w:ascii="Arial" w:hAnsi="Arial" w:cs="Arial"/>
          <w:sz w:val="22"/>
          <w:szCs w:val="22"/>
        </w:rPr>
      </w:pPr>
      <w:r w:rsidRPr="0091004A">
        <w:rPr>
          <w:rFonts w:ascii="Arial" w:hAnsi="Arial" w:cs="Arial"/>
          <w:sz w:val="22"/>
          <w:szCs w:val="22"/>
        </w:rPr>
        <w:t xml:space="preserve">The ANAO has also noted that most of the compliance resources of the ATO’s Superannuation Business Line </w:t>
      </w:r>
      <w:r w:rsidR="005761E3">
        <w:rPr>
          <w:rFonts w:ascii="Arial" w:hAnsi="Arial" w:cs="Arial"/>
          <w:sz w:val="22"/>
          <w:szCs w:val="22"/>
        </w:rPr>
        <w:t xml:space="preserve">(SBL) </w:t>
      </w:r>
      <w:r w:rsidRPr="0091004A">
        <w:rPr>
          <w:rFonts w:ascii="Arial" w:hAnsi="Arial" w:cs="Arial"/>
          <w:sz w:val="22"/>
          <w:szCs w:val="22"/>
        </w:rPr>
        <w:t>are dedicated to addressing employee notifications of potential SG non-compliance. While some audits are conducted by the Superannuation Business Line, the number is small.</w:t>
      </w:r>
    </w:p>
    <w:p w:rsidR="00191063" w:rsidRDefault="00191063" w:rsidP="0091004A">
      <w:pPr>
        <w:rPr>
          <w:rFonts w:ascii="Arial" w:hAnsi="Arial" w:cs="Arial"/>
          <w:sz w:val="22"/>
          <w:szCs w:val="22"/>
        </w:rPr>
      </w:pPr>
    </w:p>
    <w:p w:rsidR="00D9563D" w:rsidRDefault="00191063" w:rsidP="00D77B1A">
      <w:pPr>
        <w:rPr>
          <w:rFonts w:ascii="Arial" w:hAnsi="Arial" w:cs="Arial"/>
          <w:sz w:val="22"/>
          <w:szCs w:val="22"/>
        </w:rPr>
      </w:pPr>
      <w:r>
        <w:rPr>
          <w:rFonts w:ascii="Arial" w:hAnsi="Arial" w:cs="Arial"/>
          <w:sz w:val="22"/>
          <w:szCs w:val="22"/>
        </w:rPr>
        <w:t xml:space="preserve">ASFA contends and recommends that a greater focus and application by the SBL to audits would result in better </w:t>
      </w:r>
      <w:r w:rsidR="00D77B1A">
        <w:rPr>
          <w:rFonts w:ascii="Arial" w:hAnsi="Arial" w:cs="Arial"/>
          <w:sz w:val="22"/>
          <w:szCs w:val="22"/>
        </w:rPr>
        <w:t xml:space="preserve">long-term outcomes for Australians who are not presently receiving their superannuation guarantee entitlements from their employers. </w:t>
      </w:r>
    </w:p>
    <w:p w:rsidR="00D9563D" w:rsidRDefault="00D9563D" w:rsidP="00D77B1A">
      <w:pPr>
        <w:rPr>
          <w:rFonts w:ascii="Arial" w:hAnsi="Arial" w:cs="Arial"/>
          <w:sz w:val="22"/>
          <w:szCs w:val="22"/>
        </w:rPr>
      </w:pPr>
    </w:p>
    <w:p w:rsidR="00D77B1A" w:rsidRDefault="00D77B1A" w:rsidP="00D77B1A">
      <w:pPr>
        <w:rPr>
          <w:rFonts w:ascii="Arial" w:hAnsi="Arial" w:cs="Arial"/>
          <w:sz w:val="22"/>
          <w:szCs w:val="22"/>
        </w:rPr>
      </w:pPr>
      <w:r>
        <w:rPr>
          <w:rFonts w:ascii="Arial" w:hAnsi="Arial" w:cs="Arial"/>
          <w:sz w:val="22"/>
          <w:szCs w:val="22"/>
        </w:rPr>
        <w:t>ASFA believes that additional funding of $10 million per year applied across the 2017-18 forward estimate period (ie, 4 years) would materially improve and address this situation.</w:t>
      </w:r>
    </w:p>
    <w:p w:rsidR="0091004A" w:rsidRPr="00EE1521" w:rsidRDefault="00D77B1A" w:rsidP="00D77B1A">
      <w:pPr>
        <w:rPr>
          <w:rFonts w:ascii="Arial" w:eastAsia="Calibri" w:hAnsi="Arial" w:cs="Arial"/>
          <w:color w:val="000000"/>
          <w:sz w:val="22"/>
          <w:szCs w:val="22"/>
          <w:lang w:eastAsia="en-AU"/>
        </w:rPr>
      </w:pPr>
      <w:r>
        <w:rPr>
          <w:rFonts w:ascii="Arial" w:hAnsi="Arial" w:cs="Arial"/>
          <w:sz w:val="22"/>
          <w:szCs w:val="22"/>
        </w:rPr>
        <w:t xml:space="preserve"> </w:t>
      </w:r>
    </w:p>
    <w:p w:rsidR="0091004A" w:rsidRDefault="0091004A" w:rsidP="0091004A">
      <w:pPr>
        <w:pBdr>
          <w:top w:val="single" w:sz="4" w:space="1" w:color="auto"/>
          <w:left w:val="single" w:sz="4" w:space="1" w:color="auto"/>
          <w:bottom w:val="single" w:sz="4" w:space="1" w:color="auto"/>
          <w:right w:val="single" w:sz="4" w:space="1" w:color="auto"/>
          <w:bar w:val="single" w:sz="4" w:color="auto"/>
        </w:pBdr>
        <w:rPr>
          <w:rFonts w:ascii="Arial" w:eastAsia="Calibri" w:hAnsi="Arial" w:cs="Arial"/>
          <w:b/>
          <w:color w:val="000000"/>
          <w:sz w:val="22"/>
          <w:szCs w:val="22"/>
          <w:lang w:eastAsia="en-AU"/>
        </w:rPr>
      </w:pPr>
      <w:r>
        <w:rPr>
          <w:rFonts w:ascii="Arial" w:eastAsia="Calibri" w:hAnsi="Arial" w:cs="Arial"/>
          <w:b/>
          <w:color w:val="000000"/>
          <w:sz w:val="22"/>
          <w:szCs w:val="22"/>
          <w:lang w:eastAsia="en-AU"/>
        </w:rPr>
        <w:t>Recommendation</w:t>
      </w:r>
      <w:r w:rsidR="00CA7B69">
        <w:rPr>
          <w:rFonts w:ascii="Arial" w:eastAsia="Calibri" w:hAnsi="Arial" w:cs="Arial"/>
          <w:b/>
          <w:color w:val="000000"/>
          <w:sz w:val="22"/>
          <w:szCs w:val="22"/>
          <w:lang w:eastAsia="en-AU"/>
        </w:rPr>
        <w:t xml:space="preserve"> 4</w:t>
      </w:r>
      <w:r>
        <w:rPr>
          <w:rFonts w:ascii="Arial" w:eastAsia="Calibri" w:hAnsi="Arial" w:cs="Arial"/>
          <w:b/>
          <w:color w:val="000000"/>
          <w:sz w:val="22"/>
          <w:szCs w:val="22"/>
          <w:lang w:eastAsia="en-AU"/>
        </w:rPr>
        <w:t>:</w:t>
      </w:r>
    </w:p>
    <w:p w:rsidR="0091004A" w:rsidRDefault="0091004A" w:rsidP="0091004A">
      <w:pPr>
        <w:pBdr>
          <w:top w:val="single" w:sz="4" w:space="1" w:color="auto"/>
          <w:left w:val="single" w:sz="4" w:space="1" w:color="auto"/>
          <w:bottom w:val="single" w:sz="4" w:space="1" w:color="auto"/>
          <w:right w:val="single" w:sz="4" w:space="1" w:color="auto"/>
          <w:bar w:val="single" w:sz="4" w:color="auto"/>
        </w:pBdr>
        <w:rPr>
          <w:rFonts w:ascii="Arial" w:eastAsia="Calibri" w:hAnsi="Arial" w:cs="Arial"/>
          <w:b/>
          <w:color w:val="000000"/>
          <w:sz w:val="22"/>
          <w:szCs w:val="22"/>
          <w:lang w:eastAsia="en-AU"/>
        </w:rPr>
      </w:pPr>
    </w:p>
    <w:p w:rsidR="00564637" w:rsidRDefault="0091004A" w:rsidP="0091004A">
      <w:pPr>
        <w:pBdr>
          <w:top w:val="single" w:sz="4" w:space="1" w:color="auto"/>
          <w:left w:val="single" w:sz="4" w:space="1" w:color="auto"/>
          <w:bottom w:val="single" w:sz="4" w:space="1" w:color="auto"/>
          <w:right w:val="single" w:sz="4" w:space="1" w:color="auto"/>
          <w:bar w:val="single" w:sz="4" w:color="auto"/>
        </w:pBdr>
        <w:rPr>
          <w:rFonts w:ascii="Arial" w:hAnsi="Arial" w:cs="Arial"/>
          <w:color w:val="000000"/>
          <w:sz w:val="22"/>
          <w:szCs w:val="22"/>
        </w:rPr>
      </w:pPr>
      <w:r w:rsidRPr="00801794">
        <w:rPr>
          <w:rFonts w:ascii="Arial" w:hAnsi="Arial" w:cs="Arial"/>
          <w:color w:val="000000"/>
          <w:sz w:val="22"/>
          <w:szCs w:val="22"/>
        </w:rPr>
        <w:t xml:space="preserve">ASFA recommends that </w:t>
      </w:r>
      <w:r w:rsidRPr="005A0B3E">
        <w:rPr>
          <w:rFonts w:ascii="Arial" w:hAnsi="Arial" w:cs="Arial"/>
          <w:color w:val="000000"/>
          <w:sz w:val="22"/>
          <w:szCs w:val="22"/>
        </w:rPr>
        <w:t xml:space="preserve">the Australian Taxation Office be provided with an additional $10 million a year to conduct </w:t>
      </w:r>
      <w:r>
        <w:rPr>
          <w:rFonts w:ascii="Arial" w:hAnsi="Arial" w:cs="Arial"/>
          <w:color w:val="000000"/>
          <w:sz w:val="22"/>
          <w:szCs w:val="22"/>
        </w:rPr>
        <w:t xml:space="preserve">Superannuation Guarantee </w:t>
      </w:r>
      <w:r w:rsidRPr="005A0B3E">
        <w:rPr>
          <w:rFonts w:ascii="Arial" w:hAnsi="Arial" w:cs="Arial"/>
          <w:color w:val="000000"/>
          <w:sz w:val="22"/>
          <w:szCs w:val="22"/>
        </w:rPr>
        <w:t>audits</w:t>
      </w:r>
      <w:r>
        <w:rPr>
          <w:rFonts w:ascii="Arial" w:hAnsi="Arial" w:cs="Arial"/>
          <w:color w:val="000000"/>
          <w:sz w:val="22"/>
          <w:szCs w:val="22"/>
        </w:rPr>
        <w:t xml:space="preserve"> of businesses</w:t>
      </w:r>
      <w:r w:rsidRPr="005A0B3E">
        <w:rPr>
          <w:rFonts w:ascii="Arial" w:hAnsi="Arial" w:cs="Arial"/>
          <w:color w:val="000000"/>
          <w:sz w:val="22"/>
          <w:szCs w:val="22"/>
        </w:rPr>
        <w:t>.</w:t>
      </w:r>
    </w:p>
    <w:p w:rsidR="00446C6A" w:rsidRPr="00446C6A" w:rsidRDefault="00446C6A" w:rsidP="0091004A">
      <w:pPr>
        <w:pBdr>
          <w:top w:val="single" w:sz="4" w:space="1" w:color="auto"/>
          <w:left w:val="single" w:sz="4" w:space="1" w:color="auto"/>
          <w:bottom w:val="single" w:sz="4" w:space="1" w:color="auto"/>
          <w:right w:val="single" w:sz="4" w:space="1" w:color="auto"/>
          <w:bar w:val="single" w:sz="4" w:color="auto"/>
        </w:pBdr>
        <w:rPr>
          <w:rFonts w:ascii="Arial" w:hAnsi="Arial" w:cs="Arial"/>
          <w:color w:val="000000"/>
          <w:sz w:val="22"/>
          <w:szCs w:val="22"/>
        </w:rPr>
      </w:pPr>
    </w:p>
    <w:p w:rsidR="0091004A" w:rsidRPr="00EE1521" w:rsidRDefault="0091004A" w:rsidP="0091004A">
      <w:pPr>
        <w:rPr>
          <w:rFonts w:ascii="Arial" w:eastAsia="Calibri" w:hAnsi="Arial" w:cs="Arial"/>
          <w:color w:val="000000"/>
          <w:sz w:val="22"/>
          <w:szCs w:val="22"/>
          <w:lang w:eastAsia="en-AU"/>
        </w:rPr>
      </w:pPr>
    </w:p>
    <w:p w:rsidR="0091004A" w:rsidRDefault="0091004A" w:rsidP="0091004A">
      <w:pPr>
        <w:rPr>
          <w:rFonts w:ascii="Arial" w:hAnsi="Arial" w:cs="Arial"/>
          <w:sz w:val="22"/>
          <w:szCs w:val="22"/>
        </w:rPr>
      </w:pPr>
      <w:r w:rsidRPr="00801794">
        <w:rPr>
          <w:rFonts w:ascii="Arial" w:hAnsi="Arial" w:cs="Arial"/>
          <w:sz w:val="22"/>
          <w:szCs w:val="22"/>
        </w:rPr>
        <w:t xml:space="preserve">The treatment of unpaid superannuation in the case of an employer insolvency/bankruptcy is currently subject to a complex combination of legislative provisions. </w:t>
      </w:r>
    </w:p>
    <w:p w:rsidR="0091004A" w:rsidRPr="00801794" w:rsidRDefault="0091004A" w:rsidP="0091004A">
      <w:pPr>
        <w:rPr>
          <w:rFonts w:ascii="Arial" w:hAnsi="Arial" w:cs="Arial"/>
          <w:sz w:val="22"/>
          <w:szCs w:val="22"/>
        </w:rPr>
      </w:pPr>
    </w:p>
    <w:p w:rsidR="00564637" w:rsidRPr="00801794" w:rsidRDefault="0091004A" w:rsidP="0091004A">
      <w:pPr>
        <w:rPr>
          <w:rFonts w:ascii="Arial" w:hAnsi="Arial" w:cs="Arial"/>
          <w:sz w:val="22"/>
          <w:szCs w:val="22"/>
        </w:rPr>
      </w:pPr>
      <w:r w:rsidRPr="00801794">
        <w:rPr>
          <w:rFonts w:ascii="Arial" w:hAnsi="Arial" w:cs="Arial"/>
          <w:sz w:val="22"/>
          <w:szCs w:val="22"/>
        </w:rPr>
        <w:t>In ASFA’s view, there is merit in reviewing the treatment of unpaid SG entitlements in insolvency/bankruptcy, with the objective of considering how to achieve the maximum possible recovery on behalf of affected employees. ASFA estimates that it would cost around $150 million per year to include unpaid SG in the</w:t>
      </w:r>
      <w:r>
        <w:rPr>
          <w:rFonts w:ascii="Arial" w:hAnsi="Arial" w:cs="Arial"/>
          <w:sz w:val="22"/>
          <w:szCs w:val="22"/>
        </w:rPr>
        <w:t xml:space="preserve"> </w:t>
      </w:r>
      <w:r>
        <w:rPr>
          <w:rFonts w:ascii="Arial" w:hAnsi="Arial" w:cs="Arial"/>
          <w:color w:val="000000"/>
          <w:sz w:val="22"/>
          <w:szCs w:val="22"/>
        </w:rPr>
        <w:t>Fair Entitlements Guarantee administered by the Australian Government</w:t>
      </w:r>
      <w:r w:rsidRPr="00801794">
        <w:rPr>
          <w:rFonts w:ascii="Arial" w:hAnsi="Arial" w:cs="Arial"/>
          <w:sz w:val="22"/>
          <w:szCs w:val="22"/>
        </w:rPr>
        <w:t>, with around 55,000</w:t>
      </w:r>
      <w:r w:rsidR="00D77B1A">
        <w:rPr>
          <w:rFonts w:ascii="Arial" w:hAnsi="Arial" w:cs="Arial"/>
          <w:sz w:val="22"/>
          <w:szCs w:val="22"/>
        </w:rPr>
        <w:t xml:space="preserve"> affected </w:t>
      </w:r>
      <w:r w:rsidRPr="00801794">
        <w:rPr>
          <w:rFonts w:ascii="Arial" w:hAnsi="Arial" w:cs="Arial"/>
          <w:sz w:val="22"/>
          <w:szCs w:val="22"/>
        </w:rPr>
        <w:t>individuals</w:t>
      </w:r>
      <w:r w:rsidR="00D77B1A">
        <w:rPr>
          <w:rFonts w:ascii="Arial" w:hAnsi="Arial" w:cs="Arial"/>
          <w:sz w:val="22"/>
          <w:szCs w:val="22"/>
        </w:rPr>
        <w:t xml:space="preserve"> standing to benefit from this initiative</w:t>
      </w:r>
      <w:r w:rsidRPr="00801794">
        <w:rPr>
          <w:rFonts w:ascii="Arial" w:hAnsi="Arial" w:cs="Arial"/>
          <w:sz w:val="22"/>
          <w:szCs w:val="22"/>
        </w:rPr>
        <w:t>.</w:t>
      </w:r>
    </w:p>
    <w:p w:rsidR="0091004A" w:rsidRPr="00EE1521" w:rsidRDefault="0091004A" w:rsidP="0091004A">
      <w:pPr>
        <w:rPr>
          <w:rFonts w:ascii="Arial" w:eastAsia="Calibri" w:hAnsi="Arial" w:cs="Arial"/>
          <w:color w:val="000000"/>
          <w:sz w:val="22"/>
          <w:szCs w:val="22"/>
          <w:lang w:eastAsia="en-AU"/>
        </w:rPr>
      </w:pPr>
    </w:p>
    <w:p w:rsidR="0091004A" w:rsidRDefault="0091004A" w:rsidP="0091004A">
      <w:pPr>
        <w:pBdr>
          <w:top w:val="single" w:sz="4" w:space="1" w:color="auto"/>
          <w:left w:val="single" w:sz="4" w:space="1" w:color="auto"/>
          <w:bottom w:val="single" w:sz="4" w:space="1" w:color="auto"/>
          <w:right w:val="single" w:sz="4" w:space="1" w:color="auto"/>
          <w:bar w:val="single" w:sz="4" w:color="auto"/>
        </w:pBdr>
        <w:rPr>
          <w:rFonts w:ascii="Arial" w:eastAsia="Calibri" w:hAnsi="Arial" w:cs="Arial"/>
          <w:b/>
          <w:color w:val="000000"/>
          <w:sz w:val="22"/>
          <w:szCs w:val="22"/>
          <w:lang w:eastAsia="en-AU"/>
        </w:rPr>
      </w:pPr>
      <w:r>
        <w:rPr>
          <w:rFonts w:ascii="Arial" w:eastAsia="Calibri" w:hAnsi="Arial" w:cs="Arial"/>
          <w:b/>
          <w:color w:val="000000"/>
          <w:sz w:val="22"/>
          <w:szCs w:val="22"/>
          <w:lang w:eastAsia="en-AU"/>
        </w:rPr>
        <w:t xml:space="preserve">Recommendation </w:t>
      </w:r>
      <w:r w:rsidR="00CA7B69">
        <w:rPr>
          <w:rFonts w:ascii="Arial" w:eastAsia="Calibri" w:hAnsi="Arial" w:cs="Arial"/>
          <w:b/>
          <w:color w:val="000000"/>
          <w:sz w:val="22"/>
          <w:szCs w:val="22"/>
          <w:lang w:eastAsia="en-AU"/>
        </w:rPr>
        <w:t>5</w:t>
      </w:r>
      <w:r>
        <w:rPr>
          <w:rFonts w:ascii="Arial" w:eastAsia="Calibri" w:hAnsi="Arial" w:cs="Arial"/>
          <w:b/>
          <w:color w:val="000000"/>
          <w:sz w:val="22"/>
          <w:szCs w:val="22"/>
          <w:lang w:eastAsia="en-AU"/>
        </w:rPr>
        <w:t>:</w:t>
      </w:r>
    </w:p>
    <w:p w:rsidR="0091004A" w:rsidRDefault="0091004A" w:rsidP="0091004A">
      <w:pPr>
        <w:pBdr>
          <w:top w:val="single" w:sz="4" w:space="1" w:color="auto"/>
          <w:left w:val="single" w:sz="4" w:space="1" w:color="auto"/>
          <w:bottom w:val="single" w:sz="4" w:space="1" w:color="auto"/>
          <w:right w:val="single" w:sz="4" w:space="1" w:color="auto"/>
          <w:bar w:val="single" w:sz="4" w:color="auto"/>
        </w:pBdr>
        <w:rPr>
          <w:rFonts w:ascii="Arial" w:eastAsia="Calibri" w:hAnsi="Arial" w:cs="Arial"/>
          <w:b/>
          <w:color w:val="000000"/>
          <w:sz w:val="22"/>
          <w:szCs w:val="22"/>
          <w:lang w:eastAsia="en-AU"/>
        </w:rPr>
      </w:pPr>
    </w:p>
    <w:p w:rsidR="0091004A" w:rsidRDefault="0091004A" w:rsidP="0091004A">
      <w:pPr>
        <w:pBdr>
          <w:top w:val="single" w:sz="4" w:space="1" w:color="auto"/>
          <w:left w:val="single" w:sz="4" w:space="1" w:color="auto"/>
          <w:bottom w:val="single" w:sz="4" w:space="1" w:color="auto"/>
          <w:right w:val="single" w:sz="4" w:space="1" w:color="auto"/>
          <w:bar w:val="single" w:sz="4" w:color="auto"/>
        </w:pBdr>
        <w:rPr>
          <w:rFonts w:ascii="Arial" w:hAnsi="Arial" w:cs="Arial"/>
          <w:color w:val="000000"/>
          <w:sz w:val="22"/>
          <w:szCs w:val="22"/>
        </w:rPr>
      </w:pPr>
      <w:r w:rsidRPr="00801794">
        <w:rPr>
          <w:rFonts w:ascii="Arial" w:hAnsi="Arial" w:cs="Arial"/>
          <w:color w:val="000000"/>
          <w:sz w:val="22"/>
          <w:szCs w:val="22"/>
        </w:rPr>
        <w:t>ASFA recommends that</w:t>
      </w:r>
      <w:r>
        <w:rPr>
          <w:rFonts w:ascii="Arial" w:hAnsi="Arial" w:cs="Arial"/>
          <w:color w:val="000000"/>
          <w:sz w:val="22"/>
          <w:szCs w:val="22"/>
        </w:rPr>
        <w:t xml:space="preserve"> unpaid SG entitlements be included in the definition of unpaid employment entitlements for the purposes of the Fair Entitlements Guarantee</w:t>
      </w:r>
      <w:r w:rsidRPr="005A0B3E">
        <w:rPr>
          <w:rFonts w:ascii="Arial" w:hAnsi="Arial" w:cs="Arial"/>
          <w:color w:val="000000"/>
          <w:sz w:val="22"/>
          <w:szCs w:val="22"/>
        </w:rPr>
        <w:t>.</w:t>
      </w:r>
    </w:p>
    <w:p w:rsidR="00564637" w:rsidRPr="000F06B8" w:rsidRDefault="00564637" w:rsidP="0091004A">
      <w:pPr>
        <w:pBdr>
          <w:top w:val="single" w:sz="4" w:space="1" w:color="auto"/>
          <w:left w:val="single" w:sz="4" w:space="1" w:color="auto"/>
          <w:bottom w:val="single" w:sz="4" w:space="1" w:color="auto"/>
          <w:right w:val="single" w:sz="4" w:space="1" w:color="auto"/>
          <w:bar w:val="single" w:sz="4" w:color="auto"/>
        </w:pBdr>
        <w:rPr>
          <w:rFonts w:ascii="Arial" w:eastAsia="Calibri" w:hAnsi="Arial" w:cs="Arial"/>
          <w:b/>
          <w:color w:val="000000"/>
          <w:sz w:val="22"/>
          <w:szCs w:val="22"/>
          <w:lang w:eastAsia="en-AU"/>
        </w:rPr>
      </w:pPr>
    </w:p>
    <w:p w:rsidR="0091004A" w:rsidRPr="00EE1521" w:rsidRDefault="0091004A" w:rsidP="0091004A">
      <w:pPr>
        <w:rPr>
          <w:rFonts w:ascii="Arial" w:eastAsia="Calibri" w:hAnsi="Arial" w:cs="Arial"/>
          <w:color w:val="000000"/>
          <w:sz w:val="22"/>
          <w:szCs w:val="22"/>
          <w:lang w:eastAsia="en-AU"/>
        </w:rPr>
      </w:pPr>
    </w:p>
    <w:p w:rsidR="0086206F" w:rsidRDefault="00602EC8" w:rsidP="00564637">
      <w:pPr>
        <w:rPr>
          <w:rFonts w:ascii="Arial" w:hAnsi="Arial" w:cs="Arial"/>
          <w:sz w:val="22"/>
          <w:szCs w:val="22"/>
        </w:rPr>
      </w:pPr>
      <w:r w:rsidRPr="00564637">
        <w:rPr>
          <w:rFonts w:ascii="Arial" w:hAnsi="Arial" w:cs="Arial"/>
          <w:sz w:val="22"/>
          <w:szCs w:val="22"/>
        </w:rPr>
        <w:t xml:space="preserve">ASFA is strongly supportive of </w:t>
      </w:r>
      <w:r w:rsidR="005761E3" w:rsidRPr="00564637">
        <w:rPr>
          <w:rFonts w:ascii="Arial" w:hAnsi="Arial" w:cs="Arial"/>
          <w:sz w:val="22"/>
          <w:szCs w:val="22"/>
        </w:rPr>
        <w:t xml:space="preserve">a </w:t>
      </w:r>
      <w:r w:rsidRPr="00564637">
        <w:rPr>
          <w:rFonts w:ascii="Arial" w:hAnsi="Arial" w:cs="Arial"/>
          <w:sz w:val="22"/>
          <w:szCs w:val="22"/>
        </w:rPr>
        <w:t>superannuation industry that is competitive and that is continuously improving its efficiency and productivity.</w:t>
      </w:r>
    </w:p>
    <w:p w:rsidR="00564637" w:rsidRPr="00564637" w:rsidRDefault="00564637" w:rsidP="00564637">
      <w:pPr>
        <w:rPr>
          <w:rFonts w:ascii="Arial" w:hAnsi="Arial" w:cs="Arial"/>
          <w:sz w:val="22"/>
          <w:szCs w:val="22"/>
        </w:rPr>
      </w:pPr>
    </w:p>
    <w:p w:rsidR="00602EC8" w:rsidRDefault="00602EC8" w:rsidP="00564637">
      <w:pPr>
        <w:rPr>
          <w:rFonts w:ascii="Arial" w:hAnsi="Arial" w:cs="Arial"/>
          <w:sz w:val="22"/>
          <w:szCs w:val="22"/>
        </w:rPr>
      </w:pPr>
      <w:r w:rsidRPr="00564637">
        <w:rPr>
          <w:rFonts w:ascii="Arial" w:hAnsi="Arial" w:cs="Arial"/>
          <w:sz w:val="22"/>
          <w:szCs w:val="22"/>
        </w:rPr>
        <w:t>Mergers of funds, generally effected through a ‘successor fund transfer’, can be a means by which funds can realise efficiencies of scale.</w:t>
      </w:r>
      <w:r w:rsidR="0086206F" w:rsidRPr="00564637">
        <w:rPr>
          <w:rFonts w:ascii="Arial" w:hAnsi="Arial" w:cs="Arial"/>
          <w:sz w:val="22"/>
          <w:szCs w:val="22"/>
        </w:rPr>
        <w:t xml:space="preserve">  </w:t>
      </w:r>
      <w:r w:rsidRPr="00564637">
        <w:rPr>
          <w:rFonts w:ascii="Arial" w:hAnsi="Arial" w:cs="Arial"/>
          <w:sz w:val="22"/>
          <w:szCs w:val="22"/>
        </w:rPr>
        <w:t xml:space="preserve">The absence of ongoing </w:t>
      </w:r>
      <w:r w:rsidR="005761E3" w:rsidRPr="00564637">
        <w:rPr>
          <w:rFonts w:ascii="Arial" w:hAnsi="Arial" w:cs="Arial"/>
          <w:sz w:val="22"/>
          <w:szCs w:val="22"/>
        </w:rPr>
        <w:t>capital gains tax (</w:t>
      </w:r>
      <w:r w:rsidRPr="00564637">
        <w:rPr>
          <w:rFonts w:ascii="Arial" w:hAnsi="Arial" w:cs="Arial"/>
          <w:sz w:val="22"/>
          <w:szCs w:val="22"/>
        </w:rPr>
        <w:t>CGT</w:t>
      </w:r>
      <w:r w:rsidR="005761E3" w:rsidRPr="00564637">
        <w:rPr>
          <w:rFonts w:ascii="Arial" w:hAnsi="Arial" w:cs="Arial"/>
          <w:sz w:val="22"/>
          <w:szCs w:val="22"/>
        </w:rPr>
        <w:t>)</w:t>
      </w:r>
      <w:r w:rsidRPr="00564637">
        <w:rPr>
          <w:rFonts w:ascii="Arial" w:hAnsi="Arial" w:cs="Arial"/>
          <w:sz w:val="22"/>
          <w:szCs w:val="22"/>
        </w:rPr>
        <w:t xml:space="preserve"> relief can act as a </w:t>
      </w:r>
      <w:r w:rsidRPr="00602EC8">
        <w:rPr>
          <w:rFonts w:ascii="Arial" w:hAnsi="Arial" w:cs="Arial"/>
          <w:sz w:val="22"/>
          <w:szCs w:val="22"/>
        </w:rPr>
        <w:t>significant barrier to fund</w:t>
      </w:r>
      <w:r>
        <w:rPr>
          <w:rFonts w:ascii="Arial" w:hAnsi="Arial" w:cs="Arial"/>
          <w:sz w:val="22"/>
          <w:szCs w:val="22"/>
        </w:rPr>
        <w:t xml:space="preserve"> </w:t>
      </w:r>
      <w:r w:rsidRPr="00602EC8">
        <w:rPr>
          <w:rFonts w:ascii="Arial" w:hAnsi="Arial" w:cs="Arial"/>
          <w:sz w:val="22"/>
          <w:szCs w:val="22"/>
        </w:rPr>
        <w:t>mergers</w:t>
      </w:r>
      <w:r w:rsidR="005D666D">
        <w:rPr>
          <w:rFonts w:ascii="Arial" w:hAnsi="Arial" w:cs="Arial"/>
          <w:sz w:val="22"/>
          <w:szCs w:val="22"/>
        </w:rPr>
        <w:t xml:space="preserve"> </w:t>
      </w:r>
      <w:r>
        <w:rPr>
          <w:rFonts w:ascii="Arial" w:hAnsi="Arial" w:cs="Arial"/>
          <w:sz w:val="22"/>
          <w:szCs w:val="22"/>
        </w:rPr>
        <w:t xml:space="preserve">as </w:t>
      </w:r>
      <w:r w:rsidR="005761E3">
        <w:rPr>
          <w:rFonts w:ascii="Arial" w:hAnsi="Arial" w:cs="Arial"/>
          <w:sz w:val="22"/>
          <w:szCs w:val="22"/>
        </w:rPr>
        <w:t xml:space="preserve">a fund </w:t>
      </w:r>
      <w:r w:rsidR="0086206F">
        <w:rPr>
          <w:rFonts w:ascii="Arial" w:hAnsi="Arial" w:cs="Arial"/>
          <w:sz w:val="22"/>
          <w:szCs w:val="22"/>
        </w:rPr>
        <w:t xml:space="preserve">merger </w:t>
      </w:r>
      <w:r w:rsidR="005761E3">
        <w:rPr>
          <w:rFonts w:ascii="Arial" w:hAnsi="Arial" w:cs="Arial"/>
          <w:sz w:val="22"/>
          <w:szCs w:val="22"/>
        </w:rPr>
        <w:t xml:space="preserve">generally </w:t>
      </w:r>
      <w:r w:rsidRPr="00602EC8">
        <w:rPr>
          <w:rFonts w:ascii="Arial" w:hAnsi="Arial" w:cs="Arial"/>
          <w:sz w:val="22"/>
          <w:szCs w:val="22"/>
        </w:rPr>
        <w:t>trigger</w:t>
      </w:r>
      <w:r w:rsidR="0086206F">
        <w:rPr>
          <w:rFonts w:ascii="Arial" w:hAnsi="Arial" w:cs="Arial"/>
          <w:sz w:val="22"/>
          <w:szCs w:val="22"/>
        </w:rPr>
        <w:t xml:space="preserve">s </w:t>
      </w:r>
      <w:r w:rsidRPr="00602EC8">
        <w:rPr>
          <w:rFonts w:ascii="Arial" w:hAnsi="Arial" w:cs="Arial"/>
          <w:sz w:val="22"/>
          <w:szCs w:val="22"/>
        </w:rPr>
        <w:t>CGT events</w:t>
      </w:r>
      <w:r>
        <w:rPr>
          <w:rFonts w:ascii="Arial" w:hAnsi="Arial" w:cs="Arial"/>
          <w:sz w:val="22"/>
          <w:szCs w:val="22"/>
        </w:rPr>
        <w:t>.</w:t>
      </w:r>
    </w:p>
    <w:p w:rsidR="00564637" w:rsidRPr="00602EC8" w:rsidRDefault="00564637" w:rsidP="00564637">
      <w:pPr>
        <w:rPr>
          <w:rFonts w:ascii="Arial" w:hAnsi="Arial" w:cs="Arial"/>
          <w:sz w:val="22"/>
          <w:szCs w:val="22"/>
        </w:rPr>
      </w:pPr>
    </w:p>
    <w:p w:rsidR="00602EC8" w:rsidRDefault="00602EC8" w:rsidP="00564637">
      <w:pPr>
        <w:rPr>
          <w:rFonts w:ascii="Arial" w:hAnsi="Arial" w:cs="Arial"/>
          <w:sz w:val="22"/>
          <w:szCs w:val="22"/>
        </w:rPr>
      </w:pPr>
      <w:r w:rsidRPr="00602EC8">
        <w:rPr>
          <w:rFonts w:ascii="Arial" w:hAnsi="Arial" w:cs="Arial"/>
          <w:sz w:val="22"/>
          <w:szCs w:val="22"/>
        </w:rPr>
        <w:t>In determining whether to merge with another fund, a trustee of a superannuation fund is under a fiduciary duty to act in the best interests of the members of the fund. As such, the threshold decision as to whether or not to merge is made taking into consideration the various benefits and costs to members of the potential merger – includ</w:t>
      </w:r>
      <w:r>
        <w:rPr>
          <w:rFonts w:ascii="Arial" w:hAnsi="Arial" w:cs="Arial"/>
          <w:sz w:val="22"/>
          <w:szCs w:val="22"/>
        </w:rPr>
        <w:t>ing t</w:t>
      </w:r>
      <w:r w:rsidRPr="00602EC8">
        <w:rPr>
          <w:rFonts w:ascii="Arial" w:hAnsi="Arial" w:cs="Arial"/>
          <w:sz w:val="22"/>
          <w:szCs w:val="22"/>
        </w:rPr>
        <w:t>he effect of CGT.</w:t>
      </w:r>
    </w:p>
    <w:p w:rsidR="00564637" w:rsidRDefault="00564637" w:rsidP="00564637">
      <w:pPr>
        <w:rPr>
          <w:rFonts w:ascii="Arial" w:hAnsi="Arial" w:cs="Arial"/>
          <w:sz w:val="22"/>
          <w:szCs w:val="22"/>
        </w:rPr>
      </w:pPr>
    </w:p>
    <w:p w:rsidR="009F71D9" w:rsidRPr="00564637" w:rsidRDefault="009F71D9" w:rsidP="00564637">
      <w:pPr>
        <w:rPr>
          <w:rFonts w:ascii="Arial" w:hAnsi="Arial" w:cs="Arial"/>
          <w:sz w:val="22"/>
          <w:szCs w:val="22"/>
        </w:rPr>
      </w:pPr>
      <w:r w:rsidRPr="00564637">
        <w:rPr>
          <w:rFonts w:ascii="Arial" w:hAnsi="Arial" w:cs="Arial"/>
          <w:sz w:val="22"/>
          <w:szCs w:val="22"/>
        </w:rPr>
        <w:t>ASFA consistently has supported the position that the tax legislation should provide permanent CGT relief for mergers of superannuation funds, equivalent to that in Division 310 of the Income Tax Assessment Act 1997. In the context of the current work by the Productivity Commission on efficiency, there is an opportunity for the Federal Government to address a barrier to mergers by providing permanent CGT relief.</w:t>
      </w:r>
    </w:p>
    <w:p w:rsidR="00DA102A" w:rsidRPr="00967C54" w:rsidRDefault="00DA102A" w:rsidP="00DA102A">
      <w:pPr>
        <w:spacing w:before="120" w:after="120" w:line="288" w:lineRule="auto"/>
        <w:rPr>
          <w:rFonts w:ascii="Arial" w:hAnsi="Arial" w:cs="Arial"/>
          <w:sz w:val="22"/>
          <w:szCs w:val="22"/>
          <w:lang w:val="en-US"/>
        </w:rPr>
      </w:pPr>
    </w:p>
    <w:p w:rsidR="00EB5F92" w:rsidRPr="00EB5F92" w:rsidRDefault="00EB5F92" w:rsidP="00EB5F92">
      <w:pPr>
        <w:pBdr>
          <w:top w:val="single" w:sz="4" w:space="1" w:color="auto"/>
          <w:left w:val="single" w:sz="4" w:space="4" w:color="auto"/>
          <w:bottom w:val="single" w:sz="4" w:space="1" w:color="auto"/>
          <w:right w:val="single" w:sz="4" w:space="4" w:color="auto"/>
        </w:pBdr>
        <w:spacing w:before="120" w:after="120" w:line="288" w:lineRule="auto"/>
        <w:rPr>
          <w:rFonts w:ascii="Arial" w:hAnsi="Arial" w:cs="Arial"/>
          <w:b/>
          <w:sz w:val="22"/>
          <w:szCs w:val="22"/>
          <w:lang w:val="en-US"/>
        </w:rPr>
      </w:pPr>
      <w:r w:rsidRPr="00EB5F92">
        <w:rPr>
          <w:rFonts w:ascii="Arial" w:hAnsi="Arial" w:cs="Arial"/>
          <w:b/>
          <w:sz w:val="22"/>
          <w:szCs w:val="22"/>
          <w:lang w:val="en-US"/>
        </w:rPr>
        <w:t>Recommendation 6:</w:t>
      </w:r>
    </w:p>
    <w:p w:rsidR="00564637" w:rsidRDefault="00564637" w:rsidP="00EB5F92">
      <w:pPr>
        <w:pBdr>
          <w:top w:val="single" w:sz="4" w:space="1" w:color="auto"/>
          <w:left w:val="single" w:sz="4" w:space="4" w:color="auto"/>
          <w:bottom w:val="single" w:sz="4" w:space="1" w:color="auto"/>
          <w:right w:val="single" w:sz="4" w:space="4" w:color="auto"/>
        </w:pBdr>
        <w:spacing w:before="120" w:after="120" w:line="288" w:lineRule="auto"/>
        <w:rPr>
          <w:rFonts w:ascii="Arial" w:hAnsi="Arial" w:cs="Arial"/>
          <w:sz w:val="22"/>
          <w:szCs w:val="22"/>
          <w:lang w:val="en-US"/>
        </w:rPr>
      </w:pPr>
    </w:p>
    <w:p w:rsidR="00564637" w:rsidRDefault="00EB5F92" w:rsidP="00EB5F92">
      <w:pPr>
        <w:pBdr>
          <w:top w:val="single" w:sz="4" w:space="1" w:color="auto"/>
          <w:left w:val="single" w:sz="4" w:space="4" w:color="auto"/>
          <w:bottom w:val="single" w:sz="4" w:space="1" w:color="auto"/>
          <w:right w:val="single" w:sz="4" w:space="4" w:color="auto"/>
        </w:pBdr>
        <w:spacing w:before="120" w:after="120" w:line="288" w:lineRule="auto"/>
        <w:rPr>
          <w:rFonts w:ascii="Arial" w:hAnsi="Arial" w:cs="Arial"/>
          <w:i/>
          <w:sz w:val="22"/>
          <w:szCs w:val="22"/>
          <w:lang w:val="en-US"/>
        </w:rPr>
      </w:pPr>
      <w:r w:rsidRPr="00EB5F92">
        <w:rPr>
          <w:rFonts w:ascii="Arial" w:hAnsi="Arial" w:cs="Arial"/>
          <w:sz w:val="22"/>
          <w:szCs w:val="22"/>
          <w:lang w:val="en-US"/>
        </w:rPr>
        <w:t xml:space="preserve">ASFA recommends that the tax legislation should provide permanent CGT relief for mergers of superannuation funds, equivalent to that in Division 310 of the </w:t>
      </w:r>
      <w:r w:rsidRPr="00EB5F92">
        <w:rPr>
          <w:rFonts w:ascii="Arial" w:hAnsi="Arial" w:cs="Arial"/>
          <w:i/>
          <w:sz w:val="22"/>
          <w:szCs w:val="22"/>
          <w:lang w:val="en-US"/>
        </w:rPr>
        <w:t>Income Tax Assessment Act 1997</w:t>
      </w:r>
      <w:r>
        <w:rPr>
          <w:rFonts w:ascii="Arial" w:hAnsi="Arial" w:cs="Arial"/>
          <w:i/>
          <w:sz w:val="22"/>
          <w:szCs w:val="22"/>
          <w:lang w:val="en-US"/>
        </w:rPr>
        <w:t>.</w:t>
      </w:r>
    </w:p>
    <w:p w:rsidR="00450DD5" w:rsidRPr="00446C6A" w:rsidRDefault="00450DD5" w:rsidP="00EB5F92">
      <w:pPr>
        <w:pBdr>
          <w:top w:val="single" w:sz="4" w:space="1" w:color="auto"/>
          <w:left w:val="single" w:sz="4" w:space="4" w:color="auto"/>
          <w:bottom w:val="single" w:sz="4" w:space="1" w:color="auto"/>
          <w:right w:val="single" w:sz="4" w:space="4" w:color="auto"/>
        </w:pBdr>
        <w:spacing w:before="120" w:after="120" w:line="288" w:lineRule="auto"/>
        <w:rPr>
          <w:rFonts w:ascii="Arial" w:hAnsi="Arial" w:cs="Arial"/>
          <w:i/>
          <w:sz w:val="22"/>
          <w:szCs w:val="22"/>
          <w:lang w:val="en-US"/>
        </w:rPr>
      </w:pPr>
    </w:p>
    <w:p w:rsidR="0031794C" w:rsidRPr="00726024" w:rsidRDefault="00E0116A" w:rsidP="00726024">
      <w:pPr>
        <w:rPr>
          <w:rFonts w:ascii="Arial" w:eastAsia="Calibri" w:hAnsi="Arial" w:cs="Arial"/>
          <w:b/>
        </w:rPr>
      </w:pPr>
      <w:r w:rsidRPr="00801794">
        <w:rPr>
          <w:rFonts w:ascii="Arial" w:hAnsi="Arial" w:cs="Arial"/>
          <w:sz w:val="22"/>
          <w:szCs w:val="22"/>
        </w:rPr>
        <w:br w:type="page"/>
      </w:r>
      <w:r w:rsidR="003A1A50" w:rsidRPr="00726024">
        <w:rPr>
          <w:rFonts w:ascii="Arial" w:eastAsia="Calibri" w:hAnsi="Arial" w:cs="Arial"/>
          <w:b/>
        </w:rPr>
        <w:t>Reinforcing public confidence in the retirement income s</w:t>
      </w:r>
      <w:r w:rsidR="0031794C" w:rsidRPr="00726024">
        <w:rPr>
          <w:rFonts w:ascii="Arial" w:eastAsia="Calibri" w:hAnsi="Arial" w:cs="Arial"/>
          <w:b/>
        </w:rPr>
        <w:t>ystem</w:t>
      </w:r>
    </w:p>
    <w:p w:rsidR="0031794C" w:rsidRPr="00801794" w:rsidRDefault="0031794C" w:rsidP="00CE6682">
      <w:pPr>
        <w:rPr>
          <w:rFonts w:ascii="Arial" w:hAnsi="Arial" w:cs="Arial"/>
          <w:sz w:val="22"/>
          <w:szCs w:val="22"/>
        </w:rPr>
      </w:pPr>
    </w:p>
    <w:p w:rsidR="00F12F56" w:rsidRDefault="00F12F56" w:rsidP="00726024">
      <w:pPr>
        <w:rPr>
          <w:rFonts w:ascii="Arial" w:hAnsi="Arial" w:cs="Arial"/>
          <w:sz w:val="22"/>
          <w:szCs w:val="22"/>
        </w:rPr>
      </w:pPr>
      <w:r>
        <w:rPr>
          <w:rFonts w:ascii="Arial" w:hAnsi="Arial" w:cs="Arial"/>
          <w:sz w:val="22"/>
          <w:szCs w:val="22"/>
        </w:rPr>
        <w:t>ASFA considers that given substantial changes to the taxation of superannuation and the provision of the Age Pension in recent years, including in the 2013-14, 2014-15 and 2016-17     Budgets, there should now be a period of consolidation to allow the various changes to be bedded down.</w:t>
      </w:r>
    </w:p>
    <w:p w:rsidR="00726024" w:rsidRDefault="00726024" w:rsidP="00726024">
      <w:pPr>
        <w:rPr>
          <w:rFonts w:ascii="Arial" w:hAnsi="Arial" w:cs="Arial"/>
          <w:sz w:val="22"/>
          <w:szCs w:val="22"/>
        </w:rPr>
      </w:pPr>
    </w:p>
    <w:p w:rsidR="003A1A50" w:rsidRDefault="008032E6" w:rsidP="00726024">
      <w:pPr>
        <w:rPr>
          <w:rFonts w:ascii="Arial" w:hAnsi="Arial" w:cs="Arial"/>
          <w:sz w:val="22"/>
          <w:szCs w:val="22"/>
        </w:rPr>
      </w:pPr>
      <w:r>
        <w:rPr>
          <w:rFonts w:ascii="Arial" w:hAnsi="Arial" w:cs="Arial"/>
          <w:sz w:val="22"/>
          <w:szCs w:val="22"/>
        </w:rPr>
        <w:t xml:space="preserve">This position is supported by the views of Australians.  In a survey </w:t>
      </w:r>
      <w:r w:rsidR="00224EAF">
        <w:rPr>
          <w:rFonts w:ascii="Arial" w:hAnsi="Arial" w:cs="Arial"/>
          <w:sz w:val="22"/>
          <w:szCs w:val="22"/>
        </w:rPr>
        <w:t xml:space="preserve">of over 1,000 Australians </w:t>
      </w:r>
      <w:r>
        <w:rPr>
          <w:rFonts w:ascii="Arial" w:hAnsi="Arial" w:cs="Arial"/>
          <w:sz w:val="22"/>
          <w:szCs w:val="22"/>
        </w:rPr>
        <w:t xml:space="preserve">commissioned by ASFA </w:t>
      </w:r>
      <w:r w:rsidR="00224EAF">
        <w:rPr>
          <w:rFonts w:ascii="Arial" w:hAnsi="Arial" w:cs="Arial"/>
          <w:sz w:val="22"/>
          <w:szCs w:val="22"/>
        </w:rPr>
        <w:t xml:space="preserve">and </w:t>
      </w:r>
      <w:r>
        <w:rPr>
          <w:rFonts w:ascii="Arial" w:hAnsi="Arial" w:cs="Arial"/>
          <w:sz w:val="22"/>
          <w:szCs w:val="22"/>
        </w:rPr>
        <w:t>conducted in October 2016:</w:t>
      </w:r>
    </w:p>
    <w:p w:rsidR="00726024" w:rsidRDefault="00726024" w:rsidP="00726024">
      <w:pPr>
        <w:rPr>
          <w:rFonts w:ascii="Arial" w:hAnsi="Arial" w:cs="Arial"/>
          <w:sz w:val="22"/>
          <w:szCs w:val="22"/>
        </w:rPr>
      </w:pPr>
    </w:p>
    <w:p w:rsidR="008032E6" w:rsidRDefault="008032E6" w:rsidP="00551918">
      <w:pPr>
        <w:pStyle w:val="ListParagraph"/>
        <w:numPr>
          <w:ilvl w:val="0"/>
          <w:numId w:val="40"/>
        </w:numPr>
        <w:spacing w:line="360" w:lineRule="atLeast"/>
        <w:ind w:left="714" w:hanging="357"/>
        <w:rPr>
          <w:rFonts w:ascii="Arial" w:hAnsi="Arial" w:cs="Arial"/>
        </w:rPr>
      </w:pPr>
      <w:r>
        <w:rPr>
          <w:rFonts w:ascii="Arial" w:hAnsi="Arial" w:cs="Arial"/>
        </w:rPr>
        <w:t xml:space="preserve">54 per cent of respondents agreed with the statement that superannuation is a good way to save for retirement, </w:t>
      </w:r>
      <w:r w:rsidR="00D77B1A">
        <w:rPr>
          <w:rFonts w:ascii="Arial" w:hAnsi="Arial" w:cs="Arial"/>
        </w:rPr>
        <w:t xml:space="preserve">however, </w:t>
      </w:r>
      <w:r>
        <w:rPr>
          <w:rFonts w:ascii="Arial" w:hAnsi="Arial" w:cs="Arial"/>
        </w:rPr>
        <w:t xml:space="preserve">47 per cent </w:t>
      </w:r>
      <w:r w:rsidR="00D77B1A">
        <w:rPr>
          <w:rFonts w:ascii="Arial" w:hAnsi="Arial" w:cs="Arial"/>
        </w:rPr>
        <w:t xml:space="preserve">also </w:t>
      </w:r>
      <w:r>
        <w:rPr>
          <w:rFonts w:ascii="Arial" w:hAnsi="Arial" w:cs="Arial"/>
        </w:rPr>
        <w:t xml:space="preserve">indicated that the </w:t>
      </w:r>
      <w:r w:rsidR="00D77B1A">
        <w:rPr>
          <w:rFonts w:ascii="Arial" w:hAnsi="Arial" w:cs="Arial"/>
        </w:rPr>
        <w:t>G</w:t>
      </w:r>
      <w:r>
        <w:rPr>
          <w:rFonts w:ascii="Arial" w:hAnsi="Arial" w:cs="Arial"/>
        </w:rPr>
        <w:t>overnment makes too many changes to the rules for superannuation</w:t>
      </w:r>
    </w:p>
    <w:p w:rsidR="008032E6" w:rsidRDefault="008032E6" w:rsidP="00551918">
      <w:pPr>
        <w:pStyle w:val="ListParagraph"/>
        <w:numPr>
          <w:ilvl w:val="0"/>
          <w:numId w:val="40"/>
        </w:numPr>
        <w:spacing w:line="360" w:lineRule="atLeast"/>
        <w:ind w:left="714" w:hanging="357"/>
        <w:rPr>
          <w:rFonts w:ascii="Arial" w:hAnsi="Arial" w:cs="Arial"/>
        </w:rPr>
      </w:pPr>
      <w:r>
        <w:rPr>
          <w:rFonts w:ascii="Arial" w:hAnsi="Arial" w:cs="Arial"/>
        </w:rPr>
        <w:t>34 per cent of respondents indicated that they considered that s</w:t>
      </w:r>
      <w:r w:rsidR="00840B92">
        <w:rPr>
          <w:rFonts w:ascii="Arial" w:hAnsi="Arial" w:cs="Arial"/>
        </w:rPr>
        <w:t>uperannuation is taxed too much</w:t>
      </w:r>
    </w:p>
    <w:p w:rsidR="008032E6" w:rsidRDefault="008032E6" w:rsidP="00551918">
      <w:pPr>
        <w:pStyle w:val="ListParagraph"/>
        <w:numPr>
          <w:ilvl w:val="0"/>
          <w:numId w:val="40"/>
        </w:numPr>
        <w:spacing w:line="360" w:lineRule="atLeast"/>
        <w:ind w:left="714" w:hanging="357"/>
        <w:rPr>
          <w:rFonts w:ascii="Arial" w:hAnsi="Arial" w:cs="Arial"/>
        </w:rPr>
      </w:pPr>
      <w:r>
        <w:rPr>
          <w:rFonts w:ascii="Arial" w:hAnsi="Arial" w:cs="Arial"/>
        </w:rPr>
        <w:t>Only 3 per cent of respondents considered that superannuation is taxed too little</w:t>
      </w:r>
    </w:p>
    <w:p w:rsidR="008032E6" w:rsidRDefault="008032E6" w:rsidP="00551918">
      <w:pPr>
        <w:pStyle w:val="ListParagraph"/>
        <w:numPr>
          <w:ilvl w:val="0"/>
          <w:numId w:val="40"/>
        </w:numPr>
        <w:spacing w:line="360" w:lineRule="atLeast"/>
        <w:ind w:left="714" w:hanging="357"/>
        <w:rPr>
          <w:rFonts w:ascii="Arial" w:hAnsi="Arial" w:cs="Arial"/>
        </w:rPr>
      </w:pPr>
      <w:r>
        <w:rPr>
          <w:rFonts w:ascii="Arial" w:hAnsi="Arial" w:cs="Arial"/>
        </w:rPr>
        <w:t>On</w:t>
      </w:r>
      <w:r w:rsidR="00A17933">
        <w:rPr>
          <w:rFonts w:ascii="Arial" w:hAnsi="Arial" w:cs="Arial"/>
        </w:rPr>
        <w:t>ly</w:t>
      </w:r>
      <w:r>
        <w:rPr>
          <w:rFonts w:ascii="Arial" w:hAnsi="Arial" w:cs="Arial"/>
        </w:rPr>
        <w:t xml:space="preserve"> 9 per cent of respondents indicated that</w:t>
      </w:r>
      <w:r w:rsidR="00685E69">
        <w:rPr>
          <w:rFonts w:ascii="Arial" w:hAnsi="Arial" w:cs="Arial"/>
        </w:rPr>
        <w:t xml:space="preserve"> they would be willing to rely o</w:t>
      </w:r>
      <w:r>
        <w:rPr>
          <w:rFonts w:ascii="Arial" w:hAnsi="Arial" w:cs="Arial"/>
        </w:rPr>
        <w:t>n just the Age Pension alone</w:t>
      </w:r>
    </w:p>
    <w:p w:rsidR="008032E6" w:rsidRDefault="008032E6" w:rsidP="00551918">
      <w:pPr>
        <w:pStyle w:val="ListParagraph"/>
        <w:numPr>
          <w:ilvl w:val="0"/>
          <w:numId w:val="40"/>
        </w:numPr>
        <w:spacing w:line="360" w:lineRule="atLeast"/>
        <w:ind w:left="714" w:hanging="357"/>
        <w:rPr>
          <w:rFonts w:ascii="Arial" w:hAnsi="Arial" w:cs="Arial"/>
        </w:rPr>
      </w:pPr>
      <w:r>
        <w:rPr>
          <w:rFonts w:ascii="Arial" w:hAnsi="Arial" w:cs="Arial"/>
        </w:rPr>
        <w:t>Around 25 per cent of respondents indicated that the recent changes to the taxation of superannuation had reduced their confidence in superannuation</w:t>
      </w:r>
    </w:p>
    <w:p w:rsidR="00B9482B" w:rsidRDefault="00B9482B" w:rsidP="00551918">
      <w:pPr>
        <w:pStyle w:val="ListParagraph"/>
        <w:numPr>
          <w:ilvl w:val="0"/>
          <w:numId w:val="40"/>
        </w:numPr>
        <w:spacing w:line="360" w:lineRule="atLeast"/>
        <w:ind w:left="714" w:hanging="357"/>
        <w:rPr>
          <w:rFonts w:ascii="Arial" w:hAnsi="Arial" w:cs="Arial"/>
        </w:rPr>
      </w:pPr>
      <w:r>
        <w:rPr>
          <w:rFonts w:ascii="Arial" w:hAnsi="Arial" w:cs="Arial"/>
        </w:rPr>
        <w:t>Only 17 per cent of respondents considered that there should be any further changes to superannuation in the next five years</w:t>
      </w:r>
    </w:p>
    <w:p w:rsidR="00B9482B" w:rsidRDefault="00B9482B" w:rsidP="00551918">
      <w:pPr>
        <w:pStyle w:val="ListParagraph"/>
        <w:numPr>
          <w:ilvl w:val="0"/>
          <w:numId w:val="40"/>
        </w:numPr>
        <w:spacing w:line="360" w:lineRule="atLeast"/>
        <w:ind w:left="714" w:hanging="357"/>
        <w:rPr>
          <w:rFonts w:ascii="Arial" w:hAnsi="Arial" w:cs="Arial"/>
        </w:rPr>
      </w:pPr>
      <w:r>
        <w:rPr>
          <w:rFonts w:ascii="Arial" w:hAnsi="Arial" w:cs="Arial"/>
        </w:rPr>
        <w:t>63 per cent of respondents strongly supported or somewhat supported the eventual increase of the Superannuation Guarantee (SG) to 12 per cent of wages, with over 25 per cent of respondents somewhat opposed to or strongly opposed to the current pause in regard to increases in the SG</w:t>
      </w:r>
    </w:p>
    <w:p w:rsidR="00B9482B" w:rsidRPr="00D77B1A" w:rsidRDefault="00B9482B" w:rsidP="00B9482B">
      <w:pPr>
        <w:rPr>
          <w:rFonts w:ascii="Arial" w:hAnsi="Arial" w:cs="Arial"/>
          <w:sz w:val="22"/>
          <w:szCs w:val="22"/>
        </w:rPr>
      </w:pPr>
      <w:r w:rsidRPr="00D77B1A">
        <w:rPr>
          <w:rFonts w:ascii="Arial" w:hAnsi="Arial" w:cs="Arial"/>
          <w:sz w:val="22"/>
          <w:szCs w:val="22"/>
        </w:rPr>
        <w:t>Support for compulsory superannuation was par</w:t>
      </w:r>
      <w:r w:rsidR="003833D3" w:rsidRPr="00D77B1A">
        <w:rPr>
          <w:rFonts w:ascii="Arial" w:hAnsi="Arial" w:cs="Arial"/>
          <w:sz w:val="22"/>
          <w:szCs w:val="22"/>
        </w:rPr>
        <w:t>ticularly strong amongst those aged 40 and over.</w:t>
      </w:r>
    </w:p>
    <w:p w:rsidR="00B9482B" w:rsidRPr="00D77B1A" w:rsidRDefault="00B9482B" w:rsidP="00B9482B">
      <w:pPr>
        <w:rPr>
          <w:rFonts w:ascii="Arial" w:hAnsi="Arial" w:cs="Arial"/>
          <w:sz w:val="22"/>
          <w:szCs w:val="22"/>
        </w:rPr>
      </w:pPr>
    </w:p>
    <w:p w:rsidR="008032E6" w:rsidRPr="00D77B1A" w:rsidRDefault="008032E6" w:rsidP="008032E6">
      <w:pPr>
        <w:rPr>
          <w:rFonts w:ascii="Arial" w:hAnsi="Arial" w:cs="Arial"/>
          <w:sz w:val="22"/>
          <w:szCs w:val="22"/>
        </w:rPr>
      </w:pPr>
      <w:r w:rsidRPr="00D77B1A">
        <w:rPr>
          <w:rFonts w:ascii="Arial" w:hAnsi="Arial" w:cs="Arial"/>
          <w:sz w:val="22"/>
          <w:szCs w:val="22"/>
        </w:rPr>
        <w:t xml:space="preserve">Although the recent </w:t>
      </w:r>
      <w:r w:rsidR="003833D3" w:rsidRPr="00D77B1A">
        <w:rPr>
          <w:rFonts w:ascii="Arial" w:hAnsi="Arial" w:cs="Arial"/>
          <w:sz w:val="22"/>
          <w:szCs w:val="22"/>
        </w:rPr>
        <w:t xml:space="preserve">superannuation tax </w:t>
      </w:r>
      <w:r w:rsidRPr="00D77B1A">
        <w:rPr>
          <w:rFonts w:ascii="Arial" w:hAnsi="Arial" w:cs="Arial"/>
          <w:sz w:val="22"/>
          <w:szCs w:val="22"/>
        </w:rPr>
        <w:t>changes are targeted at individuals on higher incomes and relatively high account balances</w:t>
      </w:r>
      <w:r w:rsidR="006D288E" w:rsidRPr="00D77B1A">
        <w:rPr>
          <w:rFonts w:ascii="Arial" w:hAnsi="Arial" w:cs="Arial"/>
          <w:sz w:val="22"/>
          <w:szCs w:val="22"/>
        </w:rPr>
        <w:t xml:space="preserve"> and/or those making larger contributions, significant proportions of the population consider that the changes will impact on them personally over the next ten years:</w:t>
      </w:r>
    </w:p>
    <w:p w:rsidR="006D288E" w:rsidRPr="00D77B1A" w:rsidRDefault="006D288E" w:rsidP="008032E6">
      <w:pPr>
        <w:rPr>
          <w:rFonts w:ascii="Arial" w:hAnsi="Arial" w:cs="Arial"/>
          <w:sz w:val="22"/>
          <w:szCs w:val="22"/>
        </w:rPr>
      </w:pPr>
    </w:p>
    <w:p w:rsidR="006D288E" w:rsidRPr="00D77B1A" w:rsidRDefault="006D288E" w:rsidP="00551918">
      <w:pPr>
        <w:pStyle w:val="ListParagraph"/>
        <w:numPr>
          <w:ilvl w:val="0"/>
          <w:numId w:val="41"/>
        </w:numPr>
        <w:spacing w:line="360" w:lineRule="atLeast"/>
        <w:ind w:left="714" w:hanging="357"/>
        <w:rPr>
          <w:rFonts w:ascii="Arial" w:hAnsi="Arial" w:cs="Arial"/>
        </w:rPr>
      </w:pPr>
      <w:r w:rsidRPr="00D77B1A">
        <w:rPr>
          <w:rFonts w:ascii="Arial" w:hAnsi="Arial" w:cs="Arial"/>
        </w:rPr>
        <w:t>21 per cent of respondents indicated that they expected that the reduction in concessional contribution caps would impact on them personally in the next ten years</w:t>
      </w:r>
    </w:p>
    <w:p w:rsidR="006D288E" w:rsidRPr="00D77B1A" w:rsidRDefault="006D288E" w:rsidP="00551918">
      <w:pPr>
        <w:pStyle w:val="ListParagraph"/>
        <w:numPr>
          <w:ilvl w:val="0"/>
          <w:numId w:val="41"/>
        </w:numPr>
        <w:spacing w:line="360" w:lineRule="atLeast"/>
        <w:ind w:left="714" w:hanging="357"/>
        <w:rPr>
          <w:rFonts w:ascii="Arial" w:hAnsi="Arial" w:cs="Arial"/>
        </w:rPr>
      </w:pPr>
      <w:r w:rsidRPr="00D77B1A">
        <w:rPr>
          <w:rFonts w:ascii="Arial" w:hAnsi="Arial" w:cs="Arial"/>
        </w:rPr>
        <w:t>12 per cent indicated they would be impacted by the reduction in the non</w:t>
      </w:r>
      <w:r w:rsidR="00685E69">
        <w:rPr>
          <w:rFonts w:ascii="Arial" w:hAnsi="Arial" w:cs="Arial"/>
        </w:rPr>
        <w:noBreakHyphen/>
      </w:r>
      <w:r w:rsidRPr="00D77B1A">
        <w:rPr>
          <w:rFonts w:ascii="Arial" w:hAnsi="Arial" w:cs="Arial"/>
        </w:rPr>
        <w:t>concessional cap to $100,000 a year</w:t>
      </w:r>
    </w:p>
    <w:p w:rsidR="006D288E" w:rsidRPr="00D77B1A" w:rsidRDefault="006D288E" w:rsidP="00551918">
      <w:pPr>
        <w:pStyle w:val="ListParagraph"/>
        <w:numPr>
          <w:ilvl w:val="0"/>
          <w:numId w:val="41"/>
        </w:numPr>
        <w:spacing w:line="360" w:lineRule="atLeast"/>
        <w:ind w:left="714" w:hanging="357"/>
        <w:rPr>
          <w:rFonts w:ascii="Arial" w:hAnsi="Arial" w:cs="Arial"/>
        </w:rPr>
      </w:pPr>
      <w:r w:rsidRPr="00D77B1A">
        <w:rPr>
          <w:rFonts w:ascii="Arial" w:hAnsi="Arial" w:cs="Arial"/>
        </w:rPr>
        <w:t>12 per cent also indicated that they considered they would be affected by the $1.6</w:t>
      </w:r>
      <w:r w:rsidR="00685E69">
        <w:rPr>
          <w:rFonts w:ascii="Arial" w:hAnsi="Arial" w:cs="Arial"/>
        </w:rPr>
        <w:t> </w:t>
      </w:r>
      <w:r w:rsidRPr="00D77B1A">
        <w:rPr>
          <w:rFonts w:ascii="Arial" w:hAnsi="Arial" w:cs="Arial"/>
        </w:rPr>
        <w:t>million cap for totally tax free superannuation investment earnings in retirement</w:t>
      </w:r>
    </w:p>
    <w:p w:rsidR="006D288E" w:rsidRPr="00D77B1A" w:rsidRDefault="006D288E" w:rsidP="00551918">
      <w:pPr>
        <w:pStyle w:val="ListParagraph"/>
        <w:numPr>
          <w:ilvl w:val="0"/>
          <w:numId w:val="41"/>
        </w:numPr>
        <w:spacing w:line="360" w:lineRule="atLeast"/>
        <w:ind w:left="714" w:hanging="357"/>
        <w:rPr>
          <w:rFonts w:ascii="Arial" w:hAnsi="Arial" w:cs="Arial"/>
        </w:rPr>
      </w:pPr>
      <w:r w:rsidRPr="00D77B1A">
        <w:rPr>
          <w:rFonts w:ascii="Arial" w:hAnsi="Arial" w:cs="Arial"/>
        </w:rPr>
        <w:t>22 per cent of respondents indicated that they would be affected by the changes to transition to retirement pension arrangements</w:t>
      </w:r>
    </w:p>
    <w:p w:rsidR="006D288E" w:rsidRPr="00D77B1A" w:rsidRDefault="006D288E" w:rsidP="006D288E">
      <w:pPr>
        <w:rPr>
          <w:rFonts w:ascii="Arial" w:hAnsi="Arial" w:cs="Arial"/>
          <w:sz w:val="22"/>
          <w:szCs w:val="22"/>
        </w:rPr>
      </w:pPr>
      <w:r w:rsidRPr="00D77B1A">
        <w:rPr>
          <w:rFonts w:ascii="Arial" w:hAnsi="Arial" w:cs="Arial"/>
          <w:sz w:val="22"/>
          <w:szCs w:val="22"/>
        </w:rPr>
        <w:t xml:space="preserve">While </w:t>
      </w:r>
      <w:r w:rsidR="00BE0478" w:rsidRPr="00D77B1A">
        <w:rPr>
          <w:rFonts w:ascii="Arial" w:hAnsi="Arial" w:cs="Arial"/>
          <w:sz w:val="22"/>
          <w:szCs w:val="22"/>
        </w:rPr>
        <w:t>in reality the proportion affected by the various measures might be lower than indicated by the expectations of respondents, the results indicate that a very substantial minority of Australians consider that the changes are directly relevant to them.</w:t>
      </w:r>
    </w:p>
    <w:p w:rsidR="006D288E" w:rsidRPr="008032E6" w:rsidRDefault="006D288E" w:rsidP="008032E6">
      <w:pPr>
        <w:rPr>
          <w:rFonts w:ascii="Arial" w:hAnsi="Arial" w:cs="Arial"/>
        </w:rPr>
      </w:pPr>
    </w:p>
    <w:p w:rsidR="004E4B93" w:rsidRDefault="00343B31" w:rsidP="004E4B93">
      <w:pPr>
        <w:rPr>
          <w:rFonts w:ascii="Arial" w:hAnsi="Arial" w:cs="Arial"/>
          <w:sz w:val="22"/>
          <w:szCs w:val="22"/>
        </w:rPr>
      </w:pPr>
      <w:r>
        <w:rPr>
          <w:rFonts w:ascii="Arial" w:hAnsi="Arial" w:cs="Arial"/>
          <w:sz w:val="22"/>
          <w:szCs w:val="22"/>
        </w:rPr>
        <w:t>D</w:t>
      </w:r>
      <w:r w:rsidR="004E4B93" w:rsidRPr="004E4B93">
        <w:rPr>
          <w:rFonts w:ascii="Arial" w:hAnsi="Arial" w:cs="Arial"/>
          <w:sz w:val="22"/>
          <w:szCs w:val="22"/>
        </w:rPr>
        <w:t xml:space="preserve">iscussions and debate about the future of Australia's retirement incomes policy need to be had in a much broader context </w:t>
      </w:r>
      <w:r w:rsidR="00840B92">
        <w:rPr>
          <w:rFonts w:ascii="Arial" w:hAnsi="Arial" w:cs="Arial"/>
          <w:sz w:val="22"/>
          <w:szCs w:val="22"/>
        </w:rPr>
        <w:t xml:space="preserve">than the short term impact on the Budget </w:t>
      </w:r>
      <w:r w:rsidR="004E4B93" w:rsidRPr="004E4B93">
        <w:rPr>
          <w:rFonts w:ascii="Arial" w:hAnsi="Arial" w:cs="Arial"/>
          <w:sz w:val="22"/>
          <w:szCs w:val="22"/>
        </w:rPr>
        <w:t xml:space="preserve">and with input from industry, stakeholders and the broader community. </w:t>
      </w:r>
      <w:r w:rsidR="00CE5857">
        <w:rPr>
          <w:rFonts w:ascii="Arial" w:hAnsi="Arial" w:cs="Arial"/>
          <w:sz w:val="22"/>
          <w:szCs w:val="22"/>
        </w:rPr>
        <w:t>A</w:t>
      </w:r>
      <w:r w:rsidR="004E4B93" w:rsidRPr="004E4B93">
        <w:rPr>
          <w:rFonts w:ascii="Arial" w:hAnsi="Arial" w:cs="Arial"/>
          <w:sz w:val="22"/>
          <w:szCs w:val="22"/>
        </w:rPr>
        <w:t xml:space="preserve">ll Australians </w:t>
      </w:r>
      <w:r w:rsidR="00CE5857">
        <w:rPr>
          <w:rFonts w:ascii="Arial" w:hAnsi="Arial" w:cs="Arial"/>
          <w:sz w:val="22"/>
          <w:szCs w:val="22"/>
        </w:rPr>
        <w:t>should be given the opportunity to state what t</w:t>
      </w:r>
      <w:r w:rsidR="004E4B93" w:rsidRPr="004E4B93">
        <w:rPr>
          <w:rFonts w:ascii="Arial" w:hAnsi="Arial" w:cs="Arial"/>
          <w:sz w:val="22"/>
          <w:szCs w:val="22"/>
        </w:rPr>
        <w:t xml:space="preserve">hey want their retirement to look </w:t>
      </w:r>
      <w:r w:rsidR="00CE5857">
        <w:rPr>
          <w:rFonts w:ascii="Arial" w:hAnsi="Arial" w:cs="Arial"/>
          <w:sz w:val="22"/>
          <w:szCs w:val="22"/>
        </w:rPr>
        <w:t xml:space="preserve">like </w:t>
      </w:r>
      <w:r w:rsidR="004E4B93" w:rsidRPr="004E4B93">
        <w:rPr>
          <w:rFonts w:ascii="Arial" w:hAnsi="Arial" w:cs="Arial"/>
          <w:sz w:val="22"/>
          <w:szCs w:val="22"/>
        </w:rPr>
        <w:t>in the future and the p</w:t>
      </w:r>
      <w:r w:rsidR="00CE5857">
        <w:rPr>
          <w:rFonts w:ascii="Arial" w:hAnsi="Arial" w:cs="Arial"/>
          <w:sz w:val="22"/>
          <w:szCs w:val="22"/>
        </w:rPr>
        <w:t>olicies required to achieve it.</w:t>
      </w:r>
    </w:p>
    <w:p w:rsidR="00CE5857" w:rsidRPr="004E4B93" w:rsidRDefault="00CE5857" w:rsidP="004E4B93">
      <w:pPr>
        <w:rPr>
          <w:rFonts w:ascii="Arial" w:hAnsi="Arial" w:cs="Arial"/>
          <w:sz w:val="22"/>
          <w:szCs w:val="22"/>
        </w:rPr>
      </w:pPr>
    </w:p>
    <w:p w:rsidR="004E4B93" w:rsidRPr="004E4B93" w:rsidRDefault="004E4B93" w:rsidP="004E4B93">
      <w:pPr>
        <w:rPr>
          <w:rFonts w:ascii="Arial" w:hAnsi="Arial" w:cs="Arial"/>
          <w:sz w:val="22"/>
          <w:szCs w:val="22"/>
        </w:rPr>
      </w:pPr>
      <w:r w:rsidRPr="004E4B93">
        <w:rPr>
          <w:rFonts w:ascii="Arial" w:hAnsi="Arial" w:cs="Arial"/>
          <w:sz w:val="22"/>
          <w:szCs w:val="22"/>
        </w:rPr>
        <w:t>Superannuation is just one</w:t>
      </w:r>
      <w:r w:rsidR="00CE5857">
        <w:rPr>
          <w:rFonts w:ascii="Arial" w:hAnsi="Arial" w:cs="Arial"/>
          <w:sz w:val="22"/>
          <w:szCs w:val="22"/>
        </w:rPr>
        <w:t xml:space="preserve"> component of such policy review</w:t>
      </w:r>
      <w:r w:rsidRPr="004E4B93">
        <w:rPr>
          <w:rFonts w:ascii="Arial" w:hAnsi="Arial" w:cs="Arial"/>
          <w:sz w:val="22"/>
          <w:szCs w:val="22"/>
        </w:rPr>
        <w:t>. The role of other factors such as aged care, health care and access to the Age Pension must also be considered when con</w:t>
      </w:r>
      <w:r w:rsidR="00CE5857">
        <w:rPr>
          <w:rFonts w:ascii="Arial" w:hAnsi="Arial" w:cs="Arial"/>
          <w:sz w:val="22"/>
          <w:szCs w:val="22"/>
        </w:rPr>
        <w:t>templating the system's design.</w:t>
      </w:r>
    </w:p>
    <w:p w:rsidR="00CE5857" w:rsidRDefault="00CE5857" w:rsidP="004E4B93">
      <w:pPr>
        <w:rPr>
          <w:rFonts w:ascii="Arial" w:hAnsi="Arial" w:cs="Arial"/>
          <w:sz w:val="22"/>
          <w:szCs w:val="22"/>
        </w:rPr>
      </w:pPr>
    </w:p>
    <w:p w:rsidR="004E4B93" w:rsidRDefault="00CE5857" w:rsidP="004E4B93">
      <w:pPr>
        <w:rPr>
          <w:rFonts w:ascii="Arial" w:hAnsi="Arial" w:cs="Arial"/>
          <w:sz w:val="22"/>
          <w:szCs w:val="22"/>
        </w:rPr>
      </w:pPr>
      <w:r>
        <w:rPr>
          <w:rFonts w:ascii="Arial" w:hAnsi="Arial" w:cs="Arial"/>
          <w:sz w:val="22"/>
          <w:szCs w:val="22"/>
        </w:rPr>
        <w:t>P</w:t>
      </w:r>
      <w:r w:rsidR="004E4B93" w:rsidRPr="004E4B93">
        <w:rPr>
          <w:rFonts w:ascii="Arial" w:hAnsi="Arial" w:cs="Arial"/>
          <w:sz w:val="22"/>
          <w:szCs w:val="22"/>
        </w:rPr>
        <w:t xml:space="preserve">olicy decisions </w:t>
      </w:r>
      <w:r>
        <w:rPr>
          <w:rFonts w:ascii="Arial" w:hAnsi="Arial" w:cs="Arial"/>
          <w:sz w:val="22"/>
          <w:szCs w:val="22"/>
        </w:rPr>
        <w:t xml:space="preserve">in regard to both superannuation and the Age Pension </w:t>
      </w:r>
      <w:r w:rsidR="004E4B93" w:rsidRPr="004E4B93">
        <w:rPr>
          <w:rFonts w:ascii="Arial" w:hAnsi="Arial" w:cs="Arial"/>
          <w:sz w:val="22"/>
          <w:szCs w:val="22"/>
        </w:rPr>
        <w:t>will have an impact on the lifestyle of all Australians in retirement</w:t>
      </w:r>
      <w:r>
        <w:rPr>
          <w:rFonts w:ascii="Arial" w:hAnsi="Arial" w:cs="Arial"/>
          <w:sz w:val="22"/>
          <w:szCs w:val="22"/>
        </w:rPr>
        <w:t>. Superannuation tax settings and Age Pension arrangements should not be the product of a short term Budget process with little or no prior consultation or public analysis</w:t>
      </w:r>
      <w:r w:rsidR="004E4B93" w:rsidRPr="004E4B93">
        <w:rPr>
          <w:rFonts w:ascii="Arial" w:hAnsi="Arial" w:cs="Arial"/>
          <w:sz w:val="22"/>
          <w:szCs w:val="22"/>
        </w:rPr>
        <w:t xml:space="preserve">. </w:t>
      </w:r>
      <w:r w:rsidR="00C10CC3">
        <w:rPr>
          <w:rFonts w:ascii="Arial" w:hAnsi="Arial" w:cs="Arial"/>
          <w:sz w:val="22"/>
          <w:szCs w:val="22"/>
        </w:rPr>
        <w:t xml:space="preserve">A </w:t>
      </w:r>
      <w:r w:rsidR="004E4B93" w:rsidRPr="004E4B93">
        <w:rPr>
          <w:rFonts w:ascii="Arial" w:hAnsi="Arial" w:cs="Arial"/>
          <w:sz w:val="22"/>
          <w:szCs w:val="22"/>
        </w:rPr>
        <w:t>national consensus on how Australia's superannuation system will look in the future, drawing on feedback and ideas from a broad range of stakeholders in the community</w:t>
      </w:r>
      <w:r w:rsidR="00C10CC3">
        <w:rPr>
          <w:rFonts w:ascii="Arial" w:hAnsi="Arial" w:cs="Arial"/>
          <w:sz w:val="22"/>
          <w:szCs w:val="22"/>
        </w:rPr>
        <w:t xml:space="preserve"> is needed</w:t>
      </w:r>
      <w:r w:rsidR="004E4B93" w:rsidRPr="004E4B93">
        <w:rPr>
          <w:rFonts w:ascii="Arial" w:hAnsi="Arial" w:cs="Arial"/>
          <w:sz w:val="22"/>
          <w:szCs w:val="22"/>
        </w:rPr>
        <w:t>.</w:t>
      </w:r>
    </w:p>
    <w:p w:rsidR="00343B31" w:rsidRDefault="00343B31" w:rsidP="004E4B93">
      <w:pPr>
        <w:rPr>
          <w:rFonts w:ascii="Arial" w:hAnsi="Arial" w:cs="Arial"/>
          <w:sz w:val="22"/>
          <w:szCs w:val="22"/>
        </w:rPr>
      </w:pPr>
    </w:p>
    <w:p w:rsidR="00A17933" w:rsidRDefault="00A17933" w:rsidP="00224EAF">
      <w:pPr>
        <w:rPr>
          <w:rFonts w:ascii="Arial" w:hAnsi="Arial" w:cs="Arial"/>
          <w:sz w:val="22"/>
          <w:szCs w:val="22"/>
        </w:rPr>
      </w:pPr>
      <w:r>
        <w:rPr>
          <w:rFonts w:ascii="Arial" w:hAnsi="Arial" w:cs="Arial"/>
          <w:sz w:val="22"/>
          <w:szCs w:val="22"/>
        </w:rPr>
        <w:t xml:space="preserve">As shown by the following table, many Australians are now retiring with significant superannuation </w:t>
      </w:r>
      <w:r w:rsidR="005D7BE6">
        <w:rPr>
          <w:rFonts w:ascii="Arial" w:hAnsi="Arial" w:cs="Arial"/>
          <w:sz w:val="22"/>
          <w:szCs w:val="22"/>
        </w:rPr>
        <w:t xml:space="preserve">balances.  Many singles and perhaps most couples who are </w:t>
      </w:r>
      <w:r w:rsidR="004272F6">
        <w:rPr>
          <w:rFonts w:ascii="Arial" w:hAnsi="Arial" w:cs="Arial"/>
          <w:sz w:val="22"/>
          <w:szCs w:val="22"/>
        </w:rPr>
        <w:t>recent retirees from the paid labour force and have reached the qualifying age for the Age Pension will have assets sufficient to be affected by the assets test for the Age Pension.</w:t>
      </w:r>
    </w:p>
    <w:p w:rsidR="005D7BE6" w:rsidRDefault="005D7BE6" w:rsidP="00224EAF">
      <w:pPr>
        <w:rPr>
          <w:rFonts w:ascii="Arial" w:hAnsi="Arial" w:cs="Arial"/>
          <w:sz w:val="22"/>
          <w:szCs w:val="22"/>
        </w:rPr>
      </w:pPr>
    </w:p>
    <w:p w:rsidR="005D7BE6" w:rsidRDefault="005D7BE6" w:rsidP="00224EAF">
      <w:pPr>
        <w:rPr>
          <w:rFonts w:ascii="Arial" w:hAnsi="Arial" w:cs="Arial"/>
          <w:sz w:val="22"/>
          <w:szCs w:val="22"/>
        </w:rPr>
      </w:pPr>
    </w:p>
    <w:p w:rsidR="005D7BE6" w:rsidRDefault="005D7BE6" w:rsidP="00224EAF">
      <w:pPr>
        <w:rPr>
          <w:rFonts w:ascii="Arial" w:hAnsi="Arial" w:cs="Arial"/>
          <w:sz w:val="22"/>
          <w:szCs w:val="22"/>
        </w:rPr>
      </w:pPr>
    </w:p>
    <w:p w:rsidR="00840B92" w:rsidRDefault="00840B92" w:rsidP="00224EAF">
      <w:pPr>
        <w:rPr>
          <w:rFonts w:ascii="Arial" w:hAnsi="Arial" w:cs="Arial"/>
          <w:sz w:val="22"/>
          <w:szCs w:val="22"/>
        </w:rPr>
      </w:pPr>
      <w:r>
        <w:rPr>
          <w:rFonts w:ascii="Arial" w:hAnsi="Arial" w:cs="Arial"/>
          <w:sz w:val="22"/>
          <w:szCs w:val="22"/>
        </w:rPr>
        <w:br/>
      </w:r>
    </w:p>
    <w:p w:rsidR="00840B92" w:rsidRDefault="00840B92">
      <w:pPr>
        <w:widowControl/>
        <w:adjustRightInd/>
        <w:spacing w:line="240" w:lineRule="auto"/>
        <w:jc w:val="left"/>
        <w:textAlignment w:val="auto"/>
        <w:rPr>
          <w:rFonts w:ascii="Arial" w:hAnsi="Arial" w:cs="Arial"/>
          <w:sz w:val="22"/>
          <w:szCs w:val="22"/>
        </w:rPr>
      </w:pPr>
      <w:r>
        <w:rPr>
          <w:rFonts w:ascii="Arial" w:hAnsi="Arial" w:cs="Arial"/>
          <w:sz w:val="22"/>
          <w:szCs w:val="22"/>
        </w:rPr>
        <w:br w:type="page"/>
      </w:r>
    </w:p>
    <w:p w:rsidR="00A17933" w:rsidRDefault="00685E69" w:rsidP="00224EAF">
      <w:pPr>
        <w:rPr>
          <w:rFonts w:ascii="Arial" w:hAnsi="Arial" w:cs="Arial"/>
          <w:sz w:val="22"/>
          <w:szCs w:val="22"/>
        </w:rPr>
      </w:pPr>
      <w:r>
        <w:rPr>
          <w:rFonts w:ascii="Arial" w:hAnsi="Arial" w:cs="Arial"/>
          <w:b/>
          <w:sz w:val="22"/>
          <w:szCs w:val="22"/>
        </w:rPr>
        <w:t>Table 1</w:t>
      </w:r>
      <w:r w:rsidR="004272F6" w:rsidRPr="002436C2">
        <w:rPr>
          <w:rFonts w:ascii="Arial" w:hAnsi="Arial" w:cs="Arial"/>
          <w:b/>
          <w:sz w:val="22"/>
          <w:szCs w:val="22"/>
        </w:rPr>
        <w:t>: Mean and median superannuation balances of those who have recently retired from the labour force</w:t>
      </w:r>
      <w:r w:rsidR="00840B92">
        <w:rPr>
          <w:rFonts w:ascii="Arial" w:hAnsi="Arial" w:cs="Arial"/>
          <w:b/>
          <w:sz w:val="22"/>
          <w:szCs w:val="22"/>
        </w:rPr>
        <w:t>, 2014</w:t>
      </w:r>
    </w:p>
    <w:tbl>
      <w:tblPr>
        <w:tblW w:w="70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2300"/>
        <w:gridCol w:w="2720"/>
        <w:gridCol w:w="1050"/>
      </w:tblGrid>
      <w:tr w:rsidR="005D7BE6" w:rsidRPr="005D7BE6" w:rsidTr="002436C2">
        <w:trPr>
          <w:trHeight w:val="300"/>
        </w:trPr>
        <w:tc>
          <w:tcPr>
            <w:tcW w:w="1060" w:type="dxa"/>
            <w:shd w:val="clear" w:color="auto" w:fill="auto"/>
            <w:noWrap/>
            <w:vAlign w:val="bottom"/>
            <w:hideMark/>
          </w:tcPr>
          <w:p w:rsidR="005D7BE6" w:rsidRPr="005D7BE6" w:rsidRDefault="005D7BE6" w:rsidP="005D7BE6">
            <w:pPr>
              <w:rPr>
                <w:rFonts w:ascii="Calibri" w:hAnsi="Calibri"/>
                <w:color w:val="000000"/>
                <w:sz w:val="22"/>
                <w:szCs w:val="22"/>
                <w:lang w:eastAsia="en-AU"/>
              </w:rPr>
            </w:pPr>
            <w:r w:rsidRPr="005D7BE6">
              <w:rPr>
                <w:rFonts w:ascii="Calibri" w:hAnsi="Calibri"/>
                <w:color w:val="000000"/>
                <w:sz w:val="22"/>
                <w:szCs w:val="22"/>
                <w:lang w:eastAsia="en-AU"/>
              </w:rPr>
              <w:t>Age group</w:t>
            </w:r>
          </w:p>
        </w:tc>
        <w:tc>
          <w:tcPr>
            <w:tcW w:w="2300" w:type="dxa"/>
            <w:shd w:val="clear" w:color="auto" w:fill="auto"/>
            <w:noWrap/>
            <w:vAlign w:val="bottom"/>
            <w:hideMark/>
          </w:tcPr>
          <w:p w:rsidR="005D7BE6" w:rsidRPr="005D7BE6" w:rsidRDefault="005D7BE6" w:rsidP="005D7BE6">
            <w:pPr>
              <w:jc w:val="right"/>
              <w:rPr>
                <w:rFonts w:ascii="Calibri" w:hAnsi="Calibri"/>
                <w:color w:val="000000"/>
                <w:sz w:val="22"/>
                <w:szCs w:val="22"/>
                <w:lang w:eastAsia="en-AU"/>
              </w:rPr>
            </w:pPr>
          </w:p>
        </w:tc>
        <w:tc>
          <w:tcPr>
            <w:tcW w:w="2720" w:type="dxa"/>
            <w:shd w:val="clear" w:color="auto" w:fill="auto"/>
            <w:noWrap/>
            <w:vAlign w:val="bottom"/>
            <w:hideMark/>
          </w:tcPr>
          <w:p w:rsidR="005D7BE6" w:rsidRPr="005D7BE6" w:rsidRDefault="005D7BE6" w:rsidP="005D7BE6">
            <w:pPr>
              <w:rPr>
                <w:rFonts w:ascii="Calibri" w:hAnsi="Calibri"/>
                <w:color w:val="000000"/>
                <w:sz w:val="22"/>
                <w:szCs w:val="22"/>
                <w:lang w:eastAsia="en-AU"/>
              </w:rPr>
            </w:pPr>
          </w:p>
        </w:tc>
        <w:tc>
          <w:tcPr>
            <w:tcW w:w="995" w:type="dxa"/>
            <w:shd w:val="clear" w:color="auto" w:fill="auto"/>
            <w:noWrap/>
            <w:vAlign w:val="bottom"/>
            <w:hideMark/>
          </w:tcPr>
          <w:p w:rsidR="005D7BE6" w:rsidRPr="005D7BE6" w:rsidRDefault="005D7BE6" w:rsidP="005D7BE6">
            <w:pPr>
              <w:rPr>
                <w:rFonts w:ascii="Calibri" w:hAnsi="Calibri"/>
                <w:color w:val="000000"/>
                <w:sz w:val="22"/>
                <w:szCs w:val="22"/>
                <w:lang w:eastAsia="en-AU"/>
              </w:rPr>
            </w:pPr>
          </w:p>
        </w:tc>
      </w:tr>
      <w:tr w:rsidR="005D7BE6" w:rsidRPr="005D7BE6" w:rsidTr="002436C2">
        <w:trPr>
          <w:trHeight w:val="300"/>
        </w:trPr>
        <w:tc>
          <w:tcPr>
            <w:tcW w:w="1060" w:type="dxa"/>
            <w:shd w:val="clear" w:color="auto" w:fill="auto"/>
            <w:noWrap/>
            <w:vAlign w:val="bottom"/>
            <w:hideMark/>
          </w:tcPr>
          <w:p w:rsidR="005D7BE6" w:rsidRPr="005D7BE6" w:rsidRDefault="005D7BE6" w:rsidP="005D7BE6">
            <w:pPr>
              <w:rPr>
                <w:rFonts w:ascii="Calibri" w:hAnsi="Calibri"/>
                <w:color w:val="000000"/>
                <w:sz w:val="22"/>
                <w:szCs w:val="22"/>
                <w:lang w:eastAsia="en-AU"/>
              </w:rPr>
            </w:pPr>
          </w:p>
        </w:tc>
        <w:tc>
          <w:tcPr>
            <w:tcW w:w="2300" w:type="dxa"/>
            <w:shd w:val="clear" w:color="auto" w:fill="auto"/>
            <w:noWrap/>
            <w:vAlign w:val="bottom"/>
            <w:hideMark/>
          </w:tcPr>
          <w:p w:rsidR="005D7BE6" w:rsidRPr="005D7BE6" w:rsidRDefault="005D7BE6" w:rsidP="005D7BE6">
            <w:pPr>
              <w:rPr>
                <w:rFonts w:ascii="Calibri" w:hAnsi="Calibri"/>
                <w:color w:val="000000"/>
                <w:sz w:val="22"/>
                <w:szCs w:val="22"/>
                <w:lang w:eastAsia="en-AU"/>
              </w:rPr>
            </w:pPr>
            <w:r w:rsidRPr="005D7BE6">
              <w:rPr>
                <w:rFonts w:ascii="Calibri" w:hAnsi="Calibri"/>
                <w:color w:val="000000"/>
                <w:sz w:val="22"/>
                <w:szCs w:val="22"/>
                <w:lang w:eastAsia="en-AU"/>
              </w:rPr>
              <w:t>% with superannuation</w:t>
            </w:r>
          </w:p>
        </w:tc>
        <w:tc>
          <w:tcPr>
            <w:tcW w:w="2720" w:type="dxa"/>
            <w:shd w:val="clear" w:color="auto" w:fill="auto"/>
            <w:noWrap/>
            <w:vAlign w:val="bottom"/>
            <w:hideMark/>
          </w:tcPr>
          <w:p w:rsidR="005D7BE6" w:rsidRPr="005D7BE6" w:rsidRDefault="005D7BE6" w:rsidP="005D7BE6">
            <w:pPr>
              <w:rPr>
                <w:rFonts w:ascii="Calibri" w:hAnsi="Calibri"/>
                <w:color w:val="000000"/>
                <w:sz w:val="22"/>
                <w:szCs w:val="22"/>
                <w:lang w:eastAsia="en-AU"/>
              </w:rPr>
            </w:pPr>
            <w:r w:rsidRPr="005D7BE6">
              <w:rPr>
                <w:rFonts w:ascii="Calibri" w:hAnsi="Calibri"/>
                <w:color w:val="000000"/>
                <w:sz w:val="22"/>
                <w:szCs w:val="22"/>
                <w:lang w:eastAsia="en-AU"/>
              </w:rPr>
              <w:t>Superannuation balance ($)</w:t>
            </w:r>
          </w:p>
        </w:tc>
        <w:tc>
          <w:tcPr>
            <w:tcW w:w="995" w:type="dxa"/>
            <w:shd w:val="clear" w:color="auto" w:fill="auto"/>
            <w:noWrap/>
            <w:vAlign w:val="bottom"/>
            <w:hideMark/>
          </w:tcPr>
          <w:p w:rsidR="005D7BE6" w:rsidRPr="005D7BE6" w:rsidRDefault="005D7BE6" w:rsidP="005D7BE6">
            <w:pPr>
              <w:rPr>
                <w:rFonts w:ascii="Calibri" w:hAnsi="Calibri"/>
                <w:color w:val="000000"/>
                <w:sz w:val="22"/>
                <w:szCs w:val="22"/>
                <w:lang w:eastAsia="en-AU"/>
              </w:rPr>
            </w:pPr>
          </w:p>
        </w:tc>
      </w:tr>
      <w:tr w:rsidR="005D7BE6" w:rsidRPr="005D7BE6" w:rsidTr="002436C2">
        <w:trPr>
          <w:trHeight w:val="300"/>
        </w:trPr>
        <w:tc>
          <w:tcPr>
            <w:tcW w:w="1060" w:type="dxa"/>
            <w:shd w:val="clear" w:color="auto" w:fill="auto"/>
            <w:noWrap/>
            <w:vAlign w:val="bottom"/>
            <w:hideMark/>
          </w:tcPr>
          <w:p w:rsidR="005D7BE6" w:rsidRPr="005D7BE6" w:rsidRDefault="005D7BE6" w:rsidP="005D7BE6">
            <w:pPr>
              <w:rPr>
                <w:rFonts w:ascii="Calibri" w:hAnsi="Calibri"/>
                <w:color w:val="000000"/>
                <w:sz w:val="22"/>
                <w:szCs w:val="22"/>
                <w:lang w:eastAsia="en-AU"/>
              </w:rPr>
            </w:pPr>
          </w:p>
        </w:tc>
        <w:tc>
          <w:tcPr>
            <w:tcW w:w="2300" w:type="dxa"/>
            <w:shd w:val="clear" w:color="auto" w:fill="auto"/>
            <w:noWrap/>
            <w:vAlign w:val="bottom"/>
            <w:hideMark/>
          </w:tcPr>
          <w:p w:rsidR="005D7BE6" w:rsidRPr="005D7BE6" w:rsidRDefault="005D7BE6" w:rsidP="005D7BE6">
            <w:pPr>
              <w:rPr>
                <w:rFonts w:ascii="Calibri" w:hAnsi="Calibri"/>
                <w:color w:val="000000"/>
                <w:sz w:val="22"/>
                <w:szCs w:val="22"/>
                <w:lang w:eastAsia="en-AU"/>
              </w:rPr>
            </w:pPr>
          </w:p>
        </w:tc>
        <w:tc>
          <w:tcPr>
            <w:tcW w:w="2720" w:type="dxa"/>
            <w:shd w:val="clear" w:color="auto" w:fill="auto"/>
            <w:noWrap/>
            <w:vAlign w:val="bottom"/>
            <w:hideMark/>
          </w:tcPr>
          <w:p w:rsidR="005D7BE6" w:rsidRPr="005D7BE6" w:rsidRDefault="005D7BE6" w:rsidP="005D7BE6">
            <w:pPr>
              <w:jc w:val="right"/>
              <w:rPr>
                <w:rFonts w:ascii="Calibri" w:hAnsi="Calibri"/>
                <w:color w:val="000000"/>
                <w:sz w:val="22"/>
                <w:szCs w:val="22"/>
                <w:lang w:eastAsia="en-AU"/>
              </w:rPr>
            </w:pPr>
            <w:r w:rsidRPr="005D7BE6">
              <w:rPr>
                <w:rFonts w:ascii="Calibri" w:hAnsi="Calibri"/>
                <w:color w:val="000000"/>
                <w:sz w:val="22"/>
                <w:szCs w:val="22"/>
                <w:lang w:eastAsia="en-AU"/>
              </w:rPr>
              <w:t>Mean</w:t>
            </w:r>
          </w:p>
        </w:tc>
        <w:tc>
          <w:tcPr>
            <w:tcW w:w="995" w:type="dxa"/>
            <w:shd w:val="clear" w:color="auto" w:fill="auto"/>
            <w:noWrap/>
            <w:vAlign w:val="bottom"/>
            <w:hideMark/>
          </w:tcPr>
          <w:p w:rsidR="005D7BE6" w:rsidRPr="005D7BE6" w:rsidRDefault="005D7BE6" w:rsidP="005D7BE6">
            <w:pPr>
              <w:rPr>
                <w:rFonts w:ascii="Calibri" w:hAnsi="Calibri"/>
                <w:color w:val="000000"/>
                <w:sz w:val="22"/>
                <w:szCs w:val="22"/>
                <w:lang w:eastAsia="en-AU"/>
              </w:rPr>
            </w:pPr>
            <w:r w:rsidRPr="005D7BE6">
              <w:rPr>
                <w:rFonts w:ascii="Calibri" w:hAnsi="Calibri"/>
                <w:color w:val="000000"/>
                <w:sz w:val="22"/>
                <w:szCs w:val="22"/>
                <w:lang w:eastAsia="en-AU"/>
              </w:rPr>
              <w:t>Median</w:t>
            </w:r>
          </w:p>
        </w:tc>
      </w:tr>
      <w:tr w:rsidR="005D7BE6" w:rsidRPr="005D7BE6" w:rsidTr="002436C2">
        <w:trPr>
          <w:trHeight w:val="300"/>
        </w:trPr>
        <w:tc>
          <w:tcPr>
            <w:tcW w:w="1060" w:type="dxa"/>
            <w:shd w:val="clear" w:color="auto" w:fill="auto"/>
            <w:noWrap/>
            <w:vAlign w:val="bottom"/>
            <w:hideMark/>
          </w:tcPr>
          <w:p w:rsidR="005D7BE6" w:rsidRPr="005D7BE6" w:rsidRDefault="005D7BE6" w:rsidP="005D7BE6">
            <w:pPr>
              <w:rPr>
                <w:rFonts w:ascii="Calibri" w:hAnsi="Calibri"/>
                <w:color w:val="000000"/>
                <w:sz w:val="22"/>
                <w:szCs w:val="22"/>
                <w:lang w:eastAsia="en-AU"/>
              </w:rPr>
            </w:pPr>
            <w:r w:rsidRPr="005D7BE6">
              <w:rPr>
                <w:rFonts w:ascii="Calibri" w:hAnsi="Calibri"/>
                <w:color w:val="000000"/>
                <w:sz w:val="22"/>
                <w:szCs w:val="22"/>
                <w:lang w:eastAsia="en-AU"/>
              </w:rPr>
              <w:t>Men</w:t>
            </w:r>
          </w:p>
        </w:tc>
        <w:tc>
          <w:tcPr>
            <w:tcW w:w="2300" w:type="dxa"/>
            <w:shd w:val="clear" w:color="auto" w:fill="auto"/>
            <w:noWrap/>
            <w:vAlign w:val="bottom"/>
            <w:hideMark/>
          </w:tcPr>
          <w:p w:rsidR="005D7BE6" w:rsidRPr="005D7BE6" w:rsidRDefault="005D7BE6" w:rsidP="005D7BE6">
            <w:pPr>
              <w:rPr>
                <w:rFonts w:ascii="Calibri" w:hAnsi="Calibri"/>
                <w:color w:val="000000"/>
                <w:sz w:val="22"/>
                <w:szCs w:val="22"/>
                <w:lang w:eastAsia="en-AU"/>
              </w:rPr>
            </w:pPr>
          </w:p>
        </w:tc>
        <w:tc>
          <w:tcPr>
            <w:tcW w:w="2720" w:type="dxa"/>
            <w:shd w:val="clear" w:color="auto" w:fill="auto"/>
            <w:noWrap/>
            <w:vAlign w:val="bottom"/>
            <w:hideMark/>
          </w:tcPr>
          <w:p w:rsidR="005D7BE6" w:rsidRPr="005D7BE6" w:rsidRDefault="005D7BE6" w:rsidP="005D7BE6">
            <w:pPr>
              <w:rPr>
                <w:rFonts w:ascii="Calibri" w:hAnsi="Calibri"/>
                <w:color w:val="000000"/>
                <w:sz w:val="22"/>
                <w:szCs w:val="22"/>
                <w:lang w:eastAsia="en-AU"/>
              </w:rPr>
            </w:pPr>
          </w:p>
        </w:tc>
        <w:tc>
          <w:tcPr>
            <w:tcW w:w="995" w:type="dxa"/>
            <w:shd w:val="clear" w:color="auto" w:fill="auto"/>
            <w:noWrap/>
            <w:vAlign w:val="bottom"/>
            <w:hideMark/>
          </w:tcPr>
          <w:p w:rsidR="005D7BE6" w:rsidRPr="005D7BE6" w:rsidRDefault="005D7BE6" w:rsidP="005D7BE6">
            <w:pPr>
              <w:rPr>
                <w:rFonts w:ascii="Calibri" w:hAnsi="Calibri"/>
                <w:color w:val="000000"/>
                <w:sz w:val="22"/>
                <w:szCs w:val="22"/>
                <w:lang w:eastAsia="en-AU"/>
              </w:rPr>
            </w:pPr>
          </w:p>
        </w:tc>
      </w:tr>
      <w:tr w:rsidR="005D7BE6" w:rsidRPr="005D7BE6" w:rsidTr="002436C2">
        <w:trPr>
          <w:trHeight w:val="300"/>
        </w:trPr>
        <w:tc>
          <w:tcPr>
            <w:tcW w:w="1060" w:type="dxa"/>
            <w:shd w:val="clear" w:color="auto" w:fill="auto"/>
            <w:noWrap/>
            <w:vAlign w:val="bottom"/>
            <w:hideMark/>
          </w:tcPr>
          <w:p w:rsidR="005D7BE6" w:rsidRPr="005D7BE6" w:rsidRDefault="005D7BE6" w:rsidP="005D7BE6">
            <w:pPr>
              <w:rPr>
                <w:rFonts w:ascii="Calibri" w:hAnsi="Calibri"/>
                <w:color w:val="000000"/>
                <w:sz w:val="22"/>
                <w:szCs w:val="22"/>
                <w:lang w:eastAsia="en-AU"/>
              </w:rPr>
            </w:pPr>
            <w:r w:rsidRPr="005D7BE6">
              <w:rPr>
                <w:rFonts w:ascii="Calibri" w:hAnsi="Calibri"/>
                <w:color w:val="000000"/>
                <w:sz w:val="22"/>
                <w:szCs w:val="22"/>
                <w:lang w:eastAsia="en-AU"/>
              </w:rPr>
              <w:t>&lt;60</w:t>
            </w:r>
          </w:p>
        </w:tc>
        <w:tc>
          <w:tcPr>
            <w:tcW w:w="2300" w:type="dxa"/>
            <w:shd w:val="clear" w:color="auto" w:fill="auto"/>
            <w:noWrap/>
            <w:vAlign w:val="bottom"/>
            <w:hideMark/>
          </w:tcPr>
          <w:p w:rsidR="005D7BE6" w:rsidRPr="005D7BE6" w:rsidRDefault="005D7BE6" w:rsidP="005D7BE6">
            <w:pPr>
              <w:jc w:val="right"/>
              <w:rPr>
                <w:rFonts w:ascii="Calibri" w:hAnsi="Calibri"/>
                <w:color w:val="000000"/>
                <w:sz w:val="22"/>
                <w:szCs w:val="22"/>
                <w:lang w:eastAsia="en-AU"/>
              </w:rPr>
            </w:pPr>
            <w:r w:rsidRPr="005D7BE6">
              <w:rPr>
                <w:rFonts w:ascii="Calibri" w:hAnsi="Calibri"/>
                <w:color w:val="000000"/>
                <w:sz w:val="22"/>
                <w:szCs w:val="22"/>
                <w:lang w:eastAsia="en-AU"/>
              </w:rPr>
              <w:t>*66.4</w:t>
            </w:r>
          </w:p>
        </w:tc>
        <w:tc>
          <w:tcPr>
            <w:tcW w:w="2720" w:type="dxa"/>
            <w:shd w:val="clear" w:color="auto" w:fill="auto"/>
            <w:noWrap/>
            <w:vAlign w:val="bottom"/>
            <w:hideMark/>
          </w:tcPr>
          <w:p w:rsidR="005D7BE6" w:rsidRPr="005D7BE6" w:rsidRDefault="005D7BE6" w:rsidP="005D7BE6">
            <w:pPr>
              <w:jc w:val="right"/>
              <w:rPr>
                <w:rFonts w:ascii="Calibri" w:hAnsi="Calibri"/>
                <w:color w:val="000000"/>
                <w:sz w:val="22"/>
                <w:szCs w:val="22"/>
                <w:lang w:eastAsia="en-AU"/>
              </w:rPr>
            </w:pPr>
            <w:r w:rsidRPr="005D7BE6">
              <w:rPr>
                <w:rFonts w:ascii="Calibri" w:hAnsi="Calibri"/>
                <w:color w:val="000000"/>
                <w:sz w:val="22"/>
                <w:szCs w:val="22"/>
                <w:lang w:eastAsia="en-AU"/>
              </w:rPr>
              <w:t>249</w:t>
            </w:r>
            <w:r w:rsidR="00840B92">
              <w:rPr>
                <w:rFonts w:ascii="Calibri" w:hAnsi="Calibri"/>
                <w:color w:val="000000"/>
                <w:sz w:val="22"/>
                <w:szCs w:val="22"/>
                <w:lang w:eastAsia="en-AU"/>
              </w:rPr>
              <w:t>,</w:t>
            </w:r>
            <w:r w:rsidRPr="005D7BE6">
              <w:rPr>
                <w:rFonts w:ascii="Calibri" w:hAnsi="Calibri"/>
                <w:color w:val="000000"/>
                <w:sz w:val="22"/>
                <w:szCs w:val="22"/>
                <w:lang w:eastAsia="en-AU"/>
              </w:rPr>
              <w:t>324</w:t>
            </w:r>
          </w:p>
        </w:tc>
        <w:tc>
          <w:tcPr>
            <w:tcW w:w="995" w:type="dxa"/>
            <w:shd w:val="clear" w:color="auto" w:fill="auto"/>
            <w:noWrap/>
            <w:vAlign w:val="bottom"/>
            <w:hideMark/>
          </w:tcPr>
          <w:p w:rsidR="005D7BE6" w:rsidRPr="005D7BE6" w:rsidRDefault="005D7BE6" w:rsidP="005D7BE6">
            <w:pPr>
              <w:jc w:val="right"/>
              <w:rPr>
                <w:rFonts w:ascii="Calibri" w:hAnsi="Calibri"/>
                <w:color w:val="000000"/>
                <w:sz w:val="22"/>
                <w:szCs w:val="22"/>
                <w:lang w:eastAsia="en-AU"/>
              </w:rPr>
            </w:pPr>
            <w:r w:rsidRPr="005D7BE6">
              <w:rPr>
                <w:rFonts w:ascii="Calibri" w:hAnsi="Calibri"/>
                <w:color w:val="000000"/>
                <w:sz w:val="22"/>
                <w:szCs w:val="22"/>
                <w:lang w:eastAsia="en-AU"/>
              </w:rPr>
              <w:t>150</w:t>
            </w:r>
            <w:r w:rsidR="00840B92">
              <w:rPr>
                <w:rFonts w:ascii="Calibri" w:hAnsi="Calibri"/>
                <w:color w:val="000000"/>
                <w:sz w:val="22"/>
                <w:szCs w:val="22"/>
                <w:lang w:eastAsia="en-AU"/>
              </w:rPr>
              <w:t>,</w:t>
            </w:r>
            <w:r w:rsidRPr="005D7BE6">
              <w:rPr>
                <w:rFonts w:ascii="Calibri" w:hAnsi="Calibri"/>
                <w:color w:val="000000"/>
                <w:sz w:val="22"/>
                <w:szCs w:val="22"/>
                <w:lang w:eastAsia="en-AU"/>
              </w:rPr>
              <w:t>000</w:t>
            </w:r>
          </w:p>
        </w:tc>
      </w:tr>
      <w:tr w:rsidR="005D7BE6" w:rsidRPr="005D7BE6" w:rsidTr="002436C2">
        <w:trPr>
          <w:trHeight w:val="300"/>
        </w:trPr>
        <w:tc>
          <w:tcPr>
            <w:tcW w:w="1060" w:type="dxa"/>
            <w:shd w:val="clear" w:color="auto" w:fill="auto"/>
            <w:noWrap/>
            <w:vAlign w:val="bottom"/>
            <w:hideMark/>
          </w:tcPr>
          <w:p w:rsidR="005D7BE6" w:rsidRPr="005D7BE6" w:rsidRDefault="005D7BE6" w:rsidP="005D7BE6">
            <w:pPr>
              <w:rPr>
                <w:rFonts w:ascii="Calibri" w:hAnsi="Calibri"/>
                <w:color w:val="000000"/>
                <w:sz w:val="22"/>
                <w:szCs w:val="22"/>
                <w:lang w:eastAsia="en-AU"/>
              </w:rPr>
            </w:pPr>
            <w:r w:rsidRPr="005D7BE6">
              <w:rPr>
                <w:rFonts w:ascii="Calibri" w:hAnsi="Calibri"/>
                <w:color w:val="000000"/>
                <w:sz w:val="22"/>
                <w:szCs w:val="22"/>
                <w:lang w:eastAsia="en-AU"/>
              </w:rPr>
              <w:t>60–64</w:t>
            </w:r>
          </w:p>
        </w:tc>
        <w:tc>
          <w:tcPr>
            <w:tcW w:w="2300" w:type="dxa"/>
            <w:shd w:val="clear" w:color="auto" w:fill="auto"/>
            <w:noWrap/>
            <w:vAlign w:val="bottom"/>
            <w:hideMark/>
          </w:tcPr>
          <w:p w:rsidR="005D7BE6" w:rsidRPr="005D7BE6" w:rsidRDefault="005D7BE6" w:rsidP="005D7BE6">
            <w:pPr>
              <w:jc w:val="right"/>
              <w:rPr>
                <w:rFonts w:ascii="Calibri" w:hAnsi="Calibri"/>
                <w:color w:val="000000"/>
                <w:sz w:val="22"/>
                <w:szCs w:val="22"/>
                <w:lang w:eastAsia="en-AU"/>
              </w:rPr>
            </w:pPr>
            <w:r w:rsidRPr="005D7BE6">
              <w:rPr>
                <w:rFonts w:ascii="Calibri" w:hAnsi="Calibri"/>
                <w:color w:val="000000"/>
                <w:sz w:val="22"/>
                <w:szCs w:val="22"/>
                <w:lang w:eastAsia="en-AU"/>
              </w:rPr>
              <w:t>*79.3</w:t>
            </w:r>
          </w:p>
        </w:tc>
        <w:tc>
          <w:tcPr>
            <w:tcW w:w="2720" w:type="dxa"/>
            <w:shd w:val="clear" w:color="auto" w:fill="auto"/>
            <w:noWrap/>
            <w:vAlign w:val="bottom"/>
            <w:hideMark/>
          </w:tcPr>
          <w:p w:rsidR="005D7BE6" w:rsidRPr="005D7BE6" w:rsidRDefault="005D7BE6" w:rsidP="005D7BE6">
            <w:pPr>
              <w:jc w:val="right"/>
              <w:rPr>
                <w:rFonts w:ascii="Calibri" w:hAnsi="Calibri"/>
                <w:color w:val="000000"/>
                <w:sz w:val="22"/>
                <w:szCs w:val="22"/>
                <w:lang w:eastAsia="en-AU"/>
              </w:rPr>
            </w:pPr>
            <w:r w:rsidRPr="005D7BE6">
              <w:rPr>
                <w:rFonts w:ascii="Calibri" w:hAnsi="Calibri"/>
                <w:color w:val="000000"/>
                <w:sz w:val="22"/>
                <w:szCs w:val="22"/>
                <w:lang w:eastAsia="en-AU"/>
              </w:rPr>
              <w:t>450</w:t>
            </w:r>
            <w:r w:rsidR="00840B92">
              <w:rPr>
                <w:rFonts w:ascii="Calibri" w:hAnsi="Calibri"/>
                <w:color w:val="000000"/>
                <w:sz w:val="22"/>
                <w:szCs w:val="22"/>
                <w:lang w:eastAsia="en-AU"/>
              </w:rPr>
              <w:t>,</w:t>
            </w:r>
            <w:r w:rsidRPr="005D7BE6">
              <w:rPr>
                <w:rFonts w:ascii="Calibri" w:hAnsi="Calibri"/>
                <w:color w:val="000000"/>
                <w:sz w:val="22"/>
                <w:szCs w:val="22"/>
                <w:lang w:eastAsia="en-AU"/>
              </w:rPr>
              <w:t>748</w:t>
            </w:r>
          </w:p>
        </w:tc>
        <w:tc>
          <w:tcPr>
            <w:tcW w:w="995" w:type="dxa"/>
            <w:shd w:val="clear" w:color="auto" w:fill="auto"/>
            <w:noWrap/>
            <w:vAlign w:val="bottom"/>
            <w:hideMark/>
          </w:tcPr>
          <w:p w:rsidR="005D7BE6" w:rsidRPr="005D7BE6" w:rsidRDefault="005D7BE6" w:rsidP="005D7BE6">
            <w:pPr>
              <w:jc w:val="right"/>
              <w:rPr>
                <w:rFonts w:ascii="Calibri" w:hAnsi="Calibri"/>
                <w:color w:val="000000"/>
                <w:sz w:val="22"/>
                <w:szCs w:val="22"/>
                <w:lang w:eastAsia="en-AU"/>
              </w:rPr>
            </w:pPr>
            <w:r w:rsidRPr="005D7BE6">
              <w:rPr>
                <w:rFonts w:ascii="Calibri" w:hAnsi="Calibri"/>
                <w:color w:val="000000"/>
                <w:sz w:val="22"/>
                <w:szCs w:val="22"/>
                <w:lang w:eastAsia="en-AU"/>
              </w:rPr>
              <w:t>480</w:t>
            </w:r>
            <w:r w:rsidR="00840B92">
              <w:rPr>
                <w:rFonts w:ascii="Calibri" w:hAnsi="Calibri"/>
                <w:color w:val="000000"/>
                <w:sz w:val="22"/>
                <w:szCs w:val="22"/>
                <w:lang w:eastAsia="en-AU"/>
              </w:rPr>
              <w:t>,</w:t>
            </w:r>
            <w:r w:rsidRPr="005D7BE6">
              <w:rPr>
                <w:rFonts w:ascii="Calibri" w:hAnsi="Calibri"/>
                <w:color w:val="000000"/>
                <w:sz w:val="22"/>
                <w:szCs w:val="22"/>
                <w:lang w:eastAsia="en-AU"/>
              </w:rPr>
              <w:t>000</w:t>
            </w:r>
          </w:p>
        </w:tc>
      </w:tr>
      <w:tr w:rsidR="005D7BE6" w:rsidRPr="005D7BE6" w:rsidTr="002436C2">
        <w:trPr>
          <w:trHeight w:val="300"/>
        </w:trPr>
        <w:tc>
          <w:tcPr>
            <w:tcW w:w="1060" w:type="dxa"/>
            <w:shd w:val="clear" w:color="auto" w:fill="auto"/>
            <w:noWrap/>
            <w:vAlign w:val="bottom"/>
            <w:hideMark/>
          </w:tcPr>
          <w:p w:rsidR="005D7BE6" w:rsidRPr="005D7BE6" w:rsidRDefault="005D7BE6" w:rsidP="005D7BE6">
            <w:pPr>
              <w:rPr>
                <w:rFonts w:ascii="Calibri" w:hAnsi="Calibri"/>
                <w:color w:val="000000"/>
                <w:sz w:val="22"/>
                <w:szCs w:val="22"/>
                <w:lang w:eastAsia="en-AU"/>
              </w:rPr>
            </w:pPr>
            <w:r w:rsidRPr="005D7BE6">
              <w:rPr>
                <w:rFonts w:ascii="Calibri" w:hAnsi="Calibri"/>
                <w:color w:val="000000"/>
                <w:sz w:val="22"/>
                <w:szCs w:val="22"/>
                <w:lang w:eastAsia="en-AU"/>
              </w:rPr>
              <w:t>65–69</w:t>
            </w:r>
          </w:p>
        </w:tc>
        <w:tc>
          <w:tcPr>
            <w:tcW w:w="2300" w:type="dxa"/>
            <w:shd w:val="clear" w:color="auto" w:fill="auto"/>
            <w:noWrap/>
            <w:vAlign w:val="bottom"/>
            <w:hideMark/>
          </w:tcPr>
          <w:p w:rsidR="005D7BE6" w:rsidRPr="005D7BE6" w:rsidRDefault="005D7BE6" w:rsidP="005D7BE6">
            <w:pPr>
              <w:jc w:val="right"/>
              <w:rPr>
                <w:rFonts w:ascii="Calibri" w:hAnsi="Calibri"/>
                <w:color w:val="000000"/>
                <w:sz w:val="22"/>
                <w:szCs w:val="22"/>
                <w:lang w:eastAsia="en-AU"/>
              </w:rPr>
            </w:pPr>
            <w:r w:rsidRPr="005D7BE6">
              <w:rPr>
                <w:rFonts w:ascii="Calibri" w:hAnsi="Calibri"/>
                <w:color w:val="000000"/>
                <w:sz w:val="22"/>
                <w:szCs w:val="22"/>
                <w:lang w:eastAsia="en-AU"/>
              </w:rPr>
              <w:t>67.9</w:t>
            </w:r>
          </w:p>
        </w:tc>
        <w:tc>
          <w:tcPr>
            <w:tcW w:w="2720" w:type="dxa"/>
            <w:shd w:val="clear" w:color="auto" w:fill="auto"/>
            <w:noWrap/>
            <w:vAlign w:val="bottom"/>
            <w:hideMark/>
          </w:tcPr>
          <w:p w:rsidR="005D7BE6" w:rsidRPr="005D7BE6" w:rsidRDefault="005D7BE6" w:rsidP="005D7BE6">
            <w:pPr>
              <w:jc w:val="right"/>
              <w:rPr>
                <w:rFonts w:ascii="Calibri" w:hAnsi="Calibri"/>
                <w:color w:val="000000"/>
                <w:sz w:val="22"/>
                <w:szCs w:val="22"/>
                <w:lang w:eastAsia="en-AU"/>
              </w:rPr>
            </w:pPr>
            <w:r w:rsidRPr="005D7BE6">
              <w:rPr>
                <w:rFonts w:ascii="Calibri" w:hAnsi="Calibri"/>
                <w:color w:val="000000"/>
                <w:sz w:val="22"/>
                <w:szCs w:val="22"/>
                <w:lang w:eastAsia="en-AU"/>
              </w:rPr>
              <w:t>345</w:t>
            </w:r>
            <w:r w:rsidR="00840B92">
              <w:rPr>
                <w:rFonts w:ascii="Calibri" w:hAnsi="Calibri"/>
                <w:color w:val="000000"/>
                <w:sz w:val="22"/>
                <w:szCs w:val="22"/>
                <w:lang w:eastAsia="en-AU"/>
              </w:rPr>
              <w:t>,</w:t>
            </w:r>
            <w:r w:rsidRPr="005D7BE6">
              <w:rPr>
                <w:rFonts w:ascii="Calibri" w:hAnsi="Calibri"/>
                <w:color w:val="000000"/>
                <w:sz w:val="22"/>
                <w:szCs w:val="22"/>
                <w:lang w:eastAsia="en-AU"/>
              </w:rPr>
              <w:t>758</w:t>
            </w:r>
          </w:p>
        </w:tc>
        <w:tc>
          <w:tcPr>
            <w:tcW w:w="995" w:type="dxa"/>
            <w:shd w:val="clear" w:color="auto" w:fill="auto"/>
            <w:noWrap/>
            <w:vAlign w:val="bottom"/>
            <w:hideMark/>
          </w:tcPr>
          <w:p w:rsidR="005D7BE6" w:rsidRPr="005D7BE6" w:rsidRDefault="005D7BE6" w:rsidP="005D7BE6">
            <w:pPr>
              <w:jc w:val="right"/>
              <w:rPr>
                <w:rFonts w:ascii="Calibri" w:hAnsi="Calibri"/>
                <w:color w:val="000000"/>
                <w:sz w:val="22"/>
                <w:szCs w:val="22"/>
                <w:lang w:eastAsia="en-AU"/>
              </w:rPr>
            </w:pPr>
            <w:r w:rsidRPr="005D7BE6">
              <w:rPr>
                <w:rFonts w:ascii="Calibri" w:hAnsi="Calibri"/>
                <w:color w:val="000000"/>
                <w:sz w:val="22"/>
                <w:szCs w:val="22"/>
                <w:lang w:eastAsia="en-AU"/>
              </w:rPr>
              <w:t>200</w:t>
            </w:r>
            <w:r w:rsidR="00840B92">
              <w:rPr>
                <w:rFonts w:ascii="Calibri" w:hAnsi="Calibri"/>
                <w:color w:val="000000"/>
                <w:sz w:val="22"/>
                <w:szCs w:val="22"/>
                <w:lang w:eastAsia="en-AU"/>
              </w:rPr>
              <w:t>,</w:t>
            </w:r>
            <w:r w:rsidRPr="005D7BE6">
              <w:rPr>
                <w:rFonts w:ascii="Calibri" w:hAnsi="Calibri"/>
                <w:color w:val="000000"/>
                <w:sz w:val="22"/>
                <w:szCs w:val="22"/>
                <w:lang w:eastAsia="en-AU"/>
              </w:rPr>
              <w:t>000</w:t>
            </w:r>
          </w:p>
        </w:tc>
      </w:tr>
      <w:tr w:rsidR="005D7BE6" w:rsidRPr="005D7BE6" w:rsidTr="002436C2">
        <w:trPr>
          <w:trHeight w:val="300"/>
        </w:trPr>
        <w:tc>
          <w:tcPr>
            <w:tcW w:w="1060" w:type="dxa"/>
            <w:shd w:val="clear" w:color="auto" w:fill="auto"/>
            <w:noWrap/>
            <w:vAlign w:val="bottom"/>
            <w:hideMark/>
          </w:tcPr>
          <w:p w:rsidR="005D7BE6" w:rsidRPr="005D7BE6" w:rsidRDefault="005D7BE6" w:rsidP="005D7BE6">
            <w:pPr>
              <w:rPr>
                <w:rFonts w:ascii="Calibri" w:hAnsi="Calibri"/>
                <w:color w:val="000000"/>
                <w:sz w:val="22"/>
                <w:szCs w:val="22"/>
                <w:lang w:eastAsia="en-AU"/>
              </w:rPr>
            </w:pPr>
            <w:r w:rsidRPr="005D7BE6">
              <w:rPr>
                <w:rFonts w:ascii="Calibri" w:hAnsi="Calibri"/>
                <w:color w:val="000000"/>
                <w:sz w:val="22"/>
                <w:szCs w:val="22"/>
                <w:lang w:eastAsia="en-AU"/>
              </w:rPr>
              <w:t>70+</w:t>
            </w:r>
          </w:p>
        </w:tc>
        <w:tc>
          <w:tcPr>
            <w:tcW w:w="2300" w:type="dxa"/>
            <w:shd w:val="clear" w:color="auto" w:fill="auto"/>
            <w:noWrap/>
            <w:vAlign w:val="bottom"/>
            <w:hideMark/>
          </w:tcPr>
          <w:p w:rsidR="005D7BE6" w:rsidRPr="005D7BE6" w:rsidRDefault="005D7BE6" w:rsidP="005D7BE6">
            <w:pPr>
              <w:jc w:val="right"/>
              <w:rPr>
                <w:rFonts w:ascii="Calibri" w:hAnsi="Calibri"/>
                <w:color w:val="000000"/>
                <w:sz w:val="22"/>
                <w:szCs w:val="22"/>
                <w:lang w:eastAsia="en-AU"/>
              </w:rPr>
            </w:pPr>
            <w:r w:rsidRPr="005D7BE6">
              <w:rPr>
                <w:rFonts w:ascii="Calibri" w:hAnsi="Calibri"/>
                <w:color w:val="000000"/>
                <w:sz w:val="22"/>
                <w:szCs w:val="22"/>
                <w:lang w:eastAsia="en-AU"/>
              </w:rPr>
              <w:t>47.2</w:t>
            </w:r>
          </w:p>
        </w:tc>
        <w:tc>
          <w:tcPr>
            <w:tcW w:w="2720" w:type="dxa"/>
            <w:shd w:val="clear" w:color="auto" w:fill="auto"/>
            <w:noWrap/>
            <w:vAlign w:val="bottom"/>
            <w:hideMark/>
          </w:tcPr>
          <w:p w:rsidR="005D7BE6" w:rsidRPr="005D7BE6" w:rsidRDefault="005D7BE6" w:rsidP="005D7BE6">
            <w:pPr>
              <w:jc w:val="right"/>
              <w:rPr>
                <w:rFonts w:ascii="Calibri" w:hAnsi="Calibri"/>
                <w:color w:val="000000"/>
                <w:sz w:val="22"/>
                <w:szCs w:val="22"/>
                <w:lang w:eastAsia="en-AU"/>
              </w:rPr>
            </w:pPr>
            <w:r w:rsidRPr="005D7BE6">
              <w:rPr>
                <w:rFonts w:ascii="Calibri" w:hAnsi="Calibri"/>
                <w:color w:val="000000"/>
                <w:sz w:val="22"/>
                <w:szCs w:val="22"/>
                <w:lang w:eastAsia="en-AU"/>
              </w:rPr>
              <w:t>424</w:t>
            </w:r>
            <w:r w:rsidR="00840B92">
              <w:rPr>
                <w:rFonts w:ascii="Calibri" w:hAnsi="Calibri"/>
                <w:color w:val="000000"/>
                <w:sz w:val="22"/>
                <w:szCs w:val="22"/>
                <w:lang w:eastAsia="en-AU"/>
              </w:rPr>
              <w:t>,</w:t>
            </w:r>
            <w:r w:rsidRPr="005D7BE6">
              <w:rPr>
                <w:rFonts w:ascii="Calibri" w:hAnsi="Calibri"/>
                <w:color w:val="000000"/>
                <w:sz w:val="22"/>
                <w:szCs w:val="22"/>
                <w:lang w:eastAsia="en-AU"/>
              </w:rPr>
              <w:t>423</w:t>
            </w:r>
          </w:p>
        </w:tc>
        <w:tc>
          <w:tcPr>
            <w:tcW w:w="995" w:type="dxa"/>
            <w:shd w:val="clear" w:color="auto" w:fill="auto"/>
            <w:noWrap/>
            <w:vAlign w:val="bottom"/>
            <w:hideMark/>
          </w:tcPr>
          <w:p w:rsidR="005D7BE6" w:rsidRPr="005D7BE6" w:rsidRDefault="005D7BE6" w:rsidP="005D7BE6">
            <w:pPr>
              <w:jc w:val="right"/>
              <w:rPr>
                <w:rFonts w:ascii="Calibri" w:hAnsi="Calibri"/>
                <w:color w:val="000000"/>
                <w:sz w:val="22"/>
                <w:szCs w:val="22"/>
                <w:lang w:eastAsia="en-AU"/>
              </w:rPr>
            </w:pPr>
            <w:r w:rsidRPr="005D7BE6">
              <w:rPr>
                <w:rFonts w:ascii="Calibri" w:hAnsi="Calibri"/>
                <w:color w:val="000000"/>
                <w:sz w:val="22"/>
                <w:szCs w:val="22"/>
                <w:lang w:eastAsia="en-AU"/>
              </w:rPr>
              <w:t>420</w:t>
            </w:r>
            <w:r w:rsidR="00840B92">
              <w:rPr>
                <w:rFonts w:ascii="Calibri" w:hAnsi="Calibri"/>
                <w:color w:val="000000"/>
                <w:sz w:val="22"/>
                <w:szCs w:val="22"/>
                <w:lang w:eastAsia="en-AU"/>
              </w:rPr>
              <w:t>,</w:t>
            </w:r>
            <w:r w:rsidRPr="005D7BE6">
              <w:rPr>
                <w:rFonts w:ascii="Calibri" w:hAnsi="Calibri"/>
                <w:color w:val="000000"/>
                <w:sz w:val="22"/>
                <w:szCs w:val="22"/>
                <w:lang w:eastAsia="en-AU"/>
              </w:rPr>
              <w:t>000</w:t>
            </w:r>
          </w:p>
        </w:tc>
      </w:tr>
      <w:tr w:rsidR="005D7BE6" w:rsidRPr="005D7BE6" w:rsidTr="002436C2">
        <w:trPr>
          <w:trHeight w:val="300"/>
        </w:trPr>
        <w:tc>
          <w:tcPr>
            <w:tcW w:w="1060" w:type="dxa"/>
            <w:shd w:val="clear" w:color="auto" w:fill="auto"/>
            <w:noWrap/>
            <w:vAlign w:val="bottom"/>
            <w:hideMark/>
          </w:tcPr>
          <w:p w:rsidR="005D7BE6" w:rsidRPr="005D7BE6" w:rsidRDefault="005D7BE6" w:rsidP="005D7BE6">
            <w:pPr>
              <w:rPr>
                <w:rFonts w:ascii="Calibri" w:hAnsi="Calibri"/>
                <w:color w:val="000000"/>
                <w:sz w:val="22"/>
                <w:szCs w:val="22"/>
                <w:lang w:eastAsia="en-AU"/>
              </w:rPr>
            </w:pPr>
            <w:r w:rsidRPr="005D7BE6">
              <w:rPr>
                <w:rFonts w:ascii="Calibri" w:hAnsi="Calibri"/>
                <w:color w:val="000000"/>
                <w:sz w:val="22"/>
                <w:szCs w:val="22"/>
                <w:lang w:eastAsia="en-AU"/>
              </w:rPr>
              <w:t>Total</w:t>
            </w:r>
          </w:p>
        </w:tc>
        <w:tc>
          <w:tcPr>
            <w:tcW w:w="2300" w:type="dxa"/>
            <w:shd w:val="clear" w:color="auto" w:fill="auto"/>
            <w:noWrap/>
            <w:vAlign w:val="bottom"/>
            <w:hideMark/>
          </w:tcPr>
          <w:p w:rsidR="005D7BE6" w:rsidRPr="005D7BE6" w:rsidRDefault="005D7BE6" w:rsidP="005D7BE6">
            <w:pPr>
              <w:jc w:val="right"/>
              <w:rPr>
                <w:rFonts w:ascii="Calibri" w:hAnsi="Calibri"/>
                <w:color w:val="000000"/>
                <w:sz w:val="22"/>
                <w:szCs w:val="22"/>
                <w:lang w:eastAsia="en-AU"/>
              </w:rPr>
            </w:pPr>
            <w:r w:rsidRPr="005D7BE6">
              <w:rPr>
                <w:rFonts w:ascii="Calibri" w:hAnsi="Calibri"/>
                <w:color w:val="000000"/>
                <w:sz w:val="22"/>
                <w:szCs w:val="22"/>
                <w:lang w:eastAsia="en-AU"/>
              </w:rPr>
              <w:t>66</w:t>
            </w:r>
          </w:p>
        </w:tc>
        <w:tc>
          <w:tcPr>
            <w:tcW w:w="2720" w:type="dxa"/>
            <w:shd w:val="clear" w:color="auto" w:fill="auto"/>
            <w:noWrap/>
            <w:vAlign w:val="bottom"/>
            <w:hideMark/>
          </w:tcPr>
          <w:p w:rsidR="005D7BE6" w:rsidRPr="005D7BE6" w:rsidRDefault="005D7BE6" w:rsidP="005D7BE6">
            <w:pPr>
              <w:jc w:val="right"/>
              <w:rPr>
                <w:rFonts w:ascii="Calibri" w:hAnsi="Calibri"/>
                <w:color w:val="000000"/>
                <w:sz w:val="22"/>
                <w:szCs w:val="22"/>
                <w:lang w:eastAsia="en-AU"/>
              </w:rPr>
            </w:pPr>
            <w:r w:rsidRPr="005D7BE6">
              <w:rPr>
                <w:rFonts w:ascii="Calibri" w:hAnsi="Calibri"/>
                <w:color w:val="000000"/>
                <w:sz w:val="22"/>
                <w:szCs w:val="22"/>
                <w:lang w:eastAsia="en-AU"/>
              </w:rPr>
              <w:t>381</w:t>
            </w:r>
            <w:r w:rsidR="00840B92">
              <w:rPr>
                <w:rFonts w:ascii="Calibri" w:hAnsi="Calibri"/>
                <w:color w:val="000000"/>
                <w:sz w:val="22"/>
                <w:szCs w:val="22"/>
                <w:lang w:eastAsia="en-AU"/>
              </w:rPr>
              <w:t>,</w:t>
            </w:r>
            <w:r w:rsidRPr="005D7BE6">
              <w:rPr>
                <w:rFonts w:ascii="Calibri" w:hAnsi="Calibri"/>
                <w:color w:val="000000"/>
                <w:sz w:val="22"/>
                <w:szCs w:val="22"/>
                <w:lang w:eastAsia="en-AU"/>
              </w:rPr>
              <w:t>984</w:t>
            </w:r>
          </w:p>
        </w:tc>
        <w:tc>
          <w:tcPr>
            <w:tcW w:w="995" w:type="dxa"/>
            <w:shd w:val="clear" w:color="auto" w:fill="auto"/>
            <w:noWrap/>
            <w:vAlign w:val="bottom"/>
            <w:hideMark/>
          </w:tcPr>
          <w:p w:rsidR="005D7BE6" w:rsidRPr="005D7BE6" w:rsidRDefault="005D7BE6" w:rsidP="005D7BE6">
            <w:pPr>
              <w:jc w:val="right"/>
              <w:rPr>
                <w:rFonts w:ascii="Calibri" w:hAnsi="Calibri"/>
                <w:color w:val="000000"/>
                <w:sz w:val="22"/>
                <w:szCs w:val="22"/>
                <w:lang w:eastAsia="en-AU"/>
              </w:rPr>
            </w:pPr>
            <w:r w:rsidRPr="005D7BE6">
              <w:rPr>
                <w:rFonts w:ascii="Calibri" w:hAnsi="Calibri"/>
                <w:color w:val="000000"/>
                <w:sz w:val="22"/>
                <w:szCs w:val="22"/>
                <w:lang w:eastAsia="en-AU"/>
              </w:rPr>
              <w:t>300</w:t>
            </w:r>
            <w:r w:rsidR="00840B92">
              <w:rPr>
                <w:rFonts w:ascii="Calibri" w:hAnsi="Calibri"/>
                <w:color w:val="000000"/>
                <w:sz w:val="22"/>
                <w:szCs w:val="22"/>
                <w:lang w:eastAsia="en-AU"/>
              </w:rPr>
              <w:t>,</w:t>
            </w:r>
            <w:r w:rsidRPr="005D7BE6">
              <w:rPr>
                <w:rFonts w:ascii="Calibri" w:hAnsi="Calibri"/>
                <w:color w:val="000000"/>
                <w:sz w:val="22"/>
                <w:szCs w:val="22"/>
                <w:lang w:eastAsia="en-AU"/>
              </w:rPr>
              <w:t>000</w:t>
            </w:r>
          </w:p>
        </w:tc>
      </w:tr>
      <w:tr w:rsidR="005D7BE6" w:rsidRPr="005D7BE6" w:rsidTr="002436C2">
        <w:trPr>
          <w:trHeight w:val="300"/>
        </w:trPr>
        <w:tc>
          <w:tcPr>
            <w:tcW w:w="1060" w:type="dxa"/>
            <w:shd w:val="clear" w:color="auto" w:fill="auto"/>
            <w:noWrap/>
            <w:vAlign w:val="bottom"/>
            <w:hideMark/>
          </w:tcPr>
          <w:p w:rsidR="005D7BE6" w:rsidRPr="005D7BE6" w:rsidRDefault="005D7BE6" w:rsidP="005D7BE6">
            <w:pPr>
              <w:rPr>
                <w:rFonts w:ascii="Calibri" w:hAnsi="Calibri"/>
                <w:color w:val="000000"/>
                <w:sz w:val="22"/>
                <w:szCs w:val="22"/>
                <w:lang w:eastAsia="en-AU"/>
              </w:rPr>
            </w:pPr>
            <w:r w:rsidRPr="005D7BE6">
              <w:rPr>
                <w:rFonts w:ascii="Calibri" w:hAnsi="Calibri"/>
                <w:color w:val="000000"/>
                <w:sz w:val="22"/>
                <w:szCs w:val="22"/>
                <w:lang w:eastAsia="en-AU"/>
              </w:rPr>
              <w:t>Women</w:t>
            </w:r>
          </w:p>
        </w:tc>
        <w:tc>
          <w:tcPr>
            <w:tcW w:w="2300" w:type="dxa"/>
            <w:shd w:val="clear" w:color="auto" w:fill="auto"/>
            <w:noWrap/>
            <w:vAlign w:val="bottom"/>
            <w:hideMark/>
          </w:tcPr>
          <w:p w:rsidR="005D7BE6" w:rsidRPr="005D7BE6" w:rsidRDefault="005D7BE6" w:rsidP="005D7BE6">
            <w:pPr>
              <w:rPr>
                <w:rFonts w:ascii="Calibri" w:hAnsi="Calibri"/>
                <w:color w:val="000000"/>
                <w:sz w:val="22"/>
                <w:szCs w:val="22"/>
                <w:lang w:eastAsia="en-AU"/>
              </w:rPr>
            </w:pPr>
          </w:p>
        </w:tc>
        <w:tc>
          <w:tcPr>
            <w:tcW w:w="2720" w:type="dxa"/>
            <w:shd w:val="clear" w:color="auto" w:fill="auto"/>
            <w:noWrap/>
            <w:vAlign w:val="bottom"/>
            <w:hideMark/>
          </w:tcPr>
          <w:p w:rsidR="005D7BE6" w:rsidRPr="005D7BE6" w:rsidRDefault="005D7BE6" w:rsidP="005D7BE6">
            <w:pPr>
              <w:rPr>
                <w:rFonts w:ascii="Calibri" w:hAnsi="Calibri"/>
                <w:color w:val="000000"/>
                <w:sz w:val="22"/>
                <w:szCs w:val="22"/>
                <w:lang w:eastAsia="en-AU"/>
              </w:rPr>
            </w:pPr>
          </w:p>
        </w:tc>
        <w:tc>
          <w:tcPr>
            <w:tcW w:w="995" w:type="dxa"/>
            <w:shd w:val="clear" w:color="auto" w:fill="auto"/>
            <w:noWrap/>
            <w:vAlign w:val="bottom"/>
            <w:hideMark/>
          </w:tcPr>
          <w:p w:rsidR="005D7BE6" w:rsidRPr="005D7BE6" w:rsidRDefault="005D7BE6" w:rsidP="005D7BE6">
            <w:pPr>
              <w:rPr>
                <w:rFonts w:ascii="Calibri" w:hAnsi="Calibri"/>
                <w:color w:val="000000"/>
                <w:sz w:val="22"/>
                <w:szCs w:val="22"/>
                <w:lang w:eastAsia="en-AU"/>
              </w:rPr>
            </w:pPr>
          </w:p>
        </w:tc>
      </w:tr>
      <w:tr w:rsidR="005D7BE6" w:rsidRPr="005D7BE6" w:rsidTr="002436C2">
        <w:trPr>
          <w:trHeight w:val="300"/>
        </w:trPr>
        <w:tc>
          <w:tcPr>
            <w:tcW w:w="1060" w:type="dxa"/>
            <w:shd w:val="clear" w:color="auto" w:fill="auto"/>
            <w:noWrap/>
            <w:vAlign w:val="bottom"/>
            <w:hideMark/>
          </w:tcPr>
          <w:p w:rsidR="005D7BE6" w:rsidRPr="005D7BE6" w:rsidRDefault="005D7BE6" w:rsidP="005D7BE6">
            <w:pPr>
              <w:rPr>
                <w:rFonts w:ascii="Calibri" w:hAnsi="Calibri"/>
                <w:color w:val="000000"/>
                <w:sz w:val="22"/>
                <w:szCs w:val="22"/>
                <w:lang w:eastAsia="en-AU"/>
              </w:rPr>
            </w:pPr>
            <w:r w:rsidRPr="005D7BE6">
              <w:rPr>
                <w:rFonts w:ascii="Calibri" w:hAnsi="Calibri"/>
                <w:color w:val="000000"/>
                <w:sz w:val="22"/>
                <w:szCs w:val="22"/>
                <w:lang w:eastAsia="en-AU"/>
              </w:rPr>
              <w:t>&lt;60</w:t>
            </w:r>
          </w:p>
        </w:tc>
        <w:tc>
          <w:tcPr>
            <w:tcW w:w="2300" w:type="dxa"/>
            <w:shd w:val="clear" w:color="auto" w:fill="auto"/>
            <w:noWrap/>
            <w:vAlign w:val="bottom"/>
            <w:hideMark/>
          </w:tcPr>
          <w:p w:rsidR="005D7BE6" w:rsidRPr="005D7BE6" w:rsidRDefault="005D7BE6" w:rsidP="005D7BE6">
            <w:pPr>
              <w:jc w:val="right"/>
              <w:rPr>
                <w:rFonts w:ascii="Calibri" w:hAnsi="Calibri"/>
                <w:color w:val="000000"/>
                <w:sz w:val="22"/>
                <w:szCs w:val="22"/>
                <w:lang w:eastAsia="en-AU"/>
              </w:rPr>
            </w:pPr>
            <w:r w:rsidRPr="005D7BE6">
              <w:rPr>
                <w:rFonts w:ascii="Calibri" w:hAnsi="Calibri"/>
                <w:color w:val="000000"/>
                <w:sz w:val="22"/>
                <w:szCs w:val="22"/>
                <w:lang w:eastAsia="en-AU"/>
              </w:rPr>
              <w:t>70.3</w:t>
            </w:r>
          </w:p>
        </w:tc>
        <w:tc>
          <w:tcPr>
            <w:tcW w:w="2720" w:type="dxa"/>
            <w:shd w:val="clear" w:color="auto" w:fill="auto"/>
            <w:noWrap/>
            <w:vAlign w:val="bottom"/>
            <w:hideMark/>
          </w:tcPr>
          <w:p w:rsidR="005D7BE6" w:rsidRPr="005D7BE6" w:rsidRDefault="005D7BE6" w:rsidP="005D7BE6">
            <w:pPr>
              <w:jc w:val="right"/>
              <w:rPr>
                <w:rFonts w:ascii="Calibri" w:hAnsi="Calibri"/>
                <w:color w:val="000000"/>
                <w:sz w:val="22"/>
                <w:szCs w:val="22"/>
                <w:lang w:eastAsia="en-AU"/>
              </w:rPr>
            </w:pPr>
            <w:r w:rsidRPr="005D7BE6">
              <w:rPr>
                <w:rFonts w:ascii="Calibri" w:hAnsi="Calibri"/>
                <w:color w:val="000000"/>
                <w:sz w:val="22"/>
                <w:szCs w:val="22"/>
                <w:lang w:eastAsia="en-AU"/>
              </w:rPr>
              <w:t>252</w:t>
            </w:r>
            <w:r w:rsidR="00840B92">
              <w:rPr>
                <w:rFonts w:ascii="Calibri" w:hAnsi="Calibri"/>
                <w:color w:val="000000"/>
                <w:sz w:val="22"/>
                <w:szCs w:val="22"/>
                <w:lang w:eastAsia="en-AU"/>
              </w:rPr>
              <w:t>,</w:t>
            </w:r>
            <w:r w:rsidRPr="005D7BE6">
              <w:rPr>
                <w:rFonts w:ascii="Calibri" w:hAnsi="Calibri"/>
                <w:color w:val="000000"/>
                <w:sz w:val="22"/>
                <w:szCs w:val="22"/>
                <w:lang w:eastAsia="en-AU"/>
              </w:rPr>
              <w:t>046</w:t>
            </w:r>
          </w:p>
        </w:tc>
        <w:tc>
          <w:tcPr>
            <w:tcW w:w="995" w:type="dxa"/>
            <w:shd w:val="clear" w:color="auto" w:fill="auto"/>
            <w:noWrap/>
            <w:vAlign w:val="bottom"/>
            <w:hideMark/>
          </w:tcPr>
          <w:p w:rsidR="005D7BE6" w:rsidRPr="005D7BE6" w:rsidRDefault="005D7BE6" w:rsidP="005D7BE6">
            <w:pPr>
              <w:jc w:val="right"/>
              <w:rPr>
                <w:rFonts w:ascii="Calibri" w:hAnsi="Calibri"/>
                <w:color w:val="000000"/>
                <w:sz w:val="22"/>
                <w:szCs w:val="22"/>
                <w:lang w:eastAsia="en-AU"/>
              </w:rPr>
            </w:pPr>
            <w:r w:rsidRPr="005D7BE6">
              <w:rPr>
                <w:rFonts w:ascii="Calibri" w:hAnsi="Calibri"/>
                <w:color w:val="000000"/>
                <w:sz w:val="22"/>
                <w:szCs w:val="22"/>
                <w:lang w:eastAsia="en-AU"/>
              </w:rPr>
              <w:t>125</w:t>
            </w:r>
            <w:r w:rsidR="00840B92">
              <w:rPr>
                <w:rFonts w:ascii="Calibri" w:hAnsi="Calibri"/>
                <w:color w:val="000000"/>
                <w:sz w:val="22"/>
                <w:szCs w:val="22"/>
                <w:lang w:eastAsia="en-AU"/>
              </w:rPr>
              <w:t>,</w:t>
            </w:r>
            <w:r w:rsidRPr="005D7BE6">
              <w:rPr>
                <w:rFonts w:ascii="Calibri" w:hAnsi="Calibri"/>
                <w:color w:val="000000"/>
                <w:sz w:val="22"/>
                <w:szCs w:val="22"/>
                <w:lang w:eastAsia="en-AU"/>
              </w:rPr>
              <w:t>000</w:t>
            </w:r>
          </w:p>
        </w:tc>
      </w:tr>
      <w:tr w:rsidR="005D7BE6" w:rsidRPr="005D7BE6" w:rsidTr="002436C2">
        <w:trPr>
          <w:trHeight w:val="300"/>
        </w:trPr>
        <w:tc>
          <w:tcPr>
            <w:tcW w:w="1060" w:type="dxa"/>
            <w:shd w:val="clear" w:color="auto" w:fill="auto"/>
            <w:noWrap/>
            <w:vAlign w:val="bottom"/>
            <w:hideMark/>
          </w:tcPr>
          <w:p w:rsidR="005D7BE6" w:rsidRPr="005D7BE6" w:rsidRDefault="005D7BE6" w:rsidP="005D7BE6">
            <w:pPr>
              <w:rPr>
                <w:rFonts w:ascii="Calibri" w:hAnsi="Calibri"/>
                <w:color w:val="000000"/>
                <w:sz w:val="22"/>
                <w:szCs w:val="22"/>
                <w:lang w:eastAsia="en-AU"/>
              </w:rPr>
            </w:pPr>
            <w:r w:rsidRPr="005D7BE6">
              <w:rPr>
                <w:rFonts w:ascii="Calibri" w:hAnsi="Calibri"/>
                <w:color w:val="000000"/>
                <w:sz w:val="22"/>
                <w:szCs w:val="22"/>
                <w:lang w:eastAsia="en-AU"/>
              </w:rPr>
              <w:t>60–64</w:t>
            </w:r>
          </w:p>
        </w:tc>
        <w:tc>
          <w:tcPr>
            <w:tcW w:w="2300" w:type="dxa"/>
            <w:shd w:val="clear" w:color="auto" w:fill="auto"/>
            <w:noWrap/>
            <w:vAlign w:val="bottom"/>
            <w:hideMark/>
          </w:tcPr>
          <w:p w:rsidR="005D7BE6" w:rsidRPr="005D7BE6" w:rsidRDefault="005D7BE6" w:rsidP="005D7BE6">
            <w:pPr>
              <w:jc w:val="right"/>
              <w:rPr>
                <w:rFonts w:ascii="Calibri" w:hAnsi="Calibri"/>
                <w:color w:val="000000"/>
                <w:sz w:val="22"/>
                <w:szCs w:val="22"/>
                <w:lang w:eastAsia="en-AU"/>
              </w:rPr>
            </w:pPr>
            <w:r w:rsidRPr="005D7BE6">
              <w:rPr>
                <w:rFonts w:ascii="Calibri" w:hAnsi="Calibri"/>
                <w:color w:val="000000"/>
                <w:sz w:val="22"/>
                <w:szCs w:val="22"/>
                <w:lang w:eastAsia="en-AU"/>
              </w:rPr>
              <w:t>69.4</w:t>
            </w:r>
          </w:p>
        </w:tc>
        <w:tc>
          <w:tcPr>
            <w:tcW w:w="2720" w:type="dxa"/>
            <w:shd w:val="clear" w:color="auto" w:fill="auto"/>
            <w:noWrap/>
            <w:vAlign w:val="bottom"/>
            <w:hideMark/>
          </w:tcPr>
          <w:p w:rsidR="005D7BE6" w:rsidRPr="005D7BE6" w:rsidRDefault="005D7BE6" w:rsidP="005D7BE6">
            <w:pPr>
              <w:jc w:val="right"/>
              <w:rPr>
                <w:rFonts w:ascii="Calibri" w:hAnsi="Calibri"/>
                <w:color w:val="000000"/>
                <w:sz w:val="22"/>
                <w:szCs w:val="22"/>
                <w:lang w:eastAsia="en-AU"/>
              </w:rPr>
            </w:pPr>
            <w:r w:rsidRPr="005D7BE6">
              <w:rPr>
                <w:rFonts w:ascii="Calibri" w:hAnsi="Calibri"/>
                <w:color w:val="000000"/>
                <w:sz w:val="22"/>
                <w:szCs w:val="22"/>
                <w:lang w:eastAsia="en-AU"/>
              </w:rPr>
              <w:t>432</w:t>
            </w:r>
            <w:r w:rsidR="00840B92">
              <w:rPr>
                <w:rFonts w:ascii="Calibri" w:hAnsi="Calibri"/>
                <w:color w:val="000000"/>
                <w:sz w:val="22"/>
                <w:szCs w:val="22"/>
                <w:lang w:eastAsia="en-AU"/>
              </w:rPr>
              <w:t>,</w:t>
            </w:r>
            <w:r w:rsidRPr="005D7BE6">
              <w:rPr>
                <w:rFonts w:ascii="Calibri" w:hAnsi="Calibri"/>
                <w:color w:val="000000"/>
                <w:sz w:val="22"/>
                <w:szCs w:val="22"/>
                <w:lang w:eastAsia="en-AU"/>
              </w:rPr>
              <w:t>838</w:t>
            </w:r>
          </w:p>
        </w:tc>
        <w:tc>
          <w:tcPr>
            <w:tcW w:w="995" w:type="dxa"/>
            <w:shd w:val="clear" w:color="auto" w:fill="auto"/>
            <w:noWrap/>
            <w:vAlign w:val="bottom"/>
            <w:hideMark/>
          </w:tcPr>
          <w:p w:rsidR="005D7BE6" w:rsidRPr="005D7BE6" w:rsidRDefault="005D7BE6" w:rsidP="005D7BE6">
            <w:pPr>
              <w:jc w:val="right"/>
              <w:rPr>
                <w:rFonts w:ascii="Calibri" w:hAnsi="Calibri"/>
                <w:color w:val="000000"/>
                <w:sz w:val="22"/>
                <w:szCs w:val="22"/>
                <w:lang w:eastAsia="en-AU"/>
              </w:rPr>
            </w:pPr>
            <w:r w:rsidRPr="005D7BE6">
              <w:rPr>
                <w:rFonts w:ascii="Calibri" w:hAnsi="Calibri"/>
                <w:color w:val="000000"/>
                <w:sz w:val="22"/>
                <w:szCs w:val="22"/>
                <w:lang w:eastAsia="en-AU"/>
              </w:rPr>
              <w:t>250</w:t>
            </w:r>
            <w:r w:rsidR="00840B92">
              <w:rPr>
                <w:rFonts w:ascii="Calibri" w:hAnsi="Calibri"/>
                <w:color w:val="000000"/>
                <w:sz w:val="22"/>
                <w:szCs w:val="22"/>
                <w:lang w:eastAsia="en-AU"/>
              </w:rPr>
              <w:t>,</w:t>
            </w:r>
            <w:r w:rsidRPr="005D7BE6">
              <w:rPr>
                <w:rFonts w:ascii="Calibri" w:hAnsi="Calibri"/>
                <w:color w:val="000000"/>
                <w:sz w:val="22"/>
                <w:szCs w:val="22"/>
                <w:lang w:eastAsia="en-AU"/>
              </w:rPr>
              <w:t>000</w:t>
            </w:r>
          </w:p>
        </w:tc>
      </w:tr>
      <w:tr w:rsidR="005D7BE6" w:rsidRPr="005D7BE6" w:rsidTr="002436C2">
        <w:trPr>
          <w:trHeight w:val="300"/>
        </w:trPr>
        <w:tc>
          <w:tcPr>
            <w:tcW w:w="1060" w:type="dxa"/>
            <w:shd w:val="clear" w:color="auto" w:fill="auto"/>
            <w:noWrap/>
            <w:vAlign w:val="bottom"/>
            <w:hideMark/>
          </w:tcPr>
          <w:p w:rsidR="005D7BE6" w:rsidRPr="005D7BE6" w:rsidRDefault="005D7BE6" w:rsidP="005D7BE6">
            <w:pPr>
              <w:rPr>
                <w:rFonts w:ascii="Calibri" w:hAnsi="Calibri"/>
                <w:color w:val="000000"/>
                <w:sz w:val="22"/>
                <w:szCs w:val="22"/>
                <w:lang w:eastAsia="en-AU"/>
              </w:rPr>
            </w:pPr>
            <w:r w:rsidRPr="005D7BE6">
              <w:rPr>
                <w:rFonts w:ascii="Calibri" w:hAnsi="Calibri"/>
                <w:color w:val="000000"/>
                <w:sz w:val="22"/>
                <w:szCs w:val="22"/>
                <w:lang w:eastAsia="en-AU"/>
              </w:rPr>
              <w:t>65–69</w:t>
            </w:r>
          </w:p>
        </w:tc>
        <w:tc>
          <w:tcPr>
            <w:tcW w:w="2300" w:type="dxa"/>
            <w:shd w:val="clear" w:color="auto" w:fill="auto"/>
            <w:noWrap/>
            <w:vAlign w:val="bottom"/>
            <w:hideMark/>
          </w:tcPr>
          <w:p w:rsidR="005D7BE6" w:rsidRPr="005D7BE6" w:rsidRDefault="005D7BE6" w:rsidP="005D7BE6">
            <w:pPr>
              <w:jc w:val="right"/>
              <w:rPr>
                <w:rFonts w:ascii="Calibri" w:hAnsi="Calibri"/>
                <w:color w:val="000000"/>
                <w:sz w:val="22"/>
                <w:szCs w:val="22"/>
                <w:lang w:eastAsia="en-AU"/>
              </w:rPr>
            </w:pPr>
            <w:r w:rsidRPr="005D7BE6">
              <w:rPr>
                <w:rFonts w:ascii="Calibri" w:hAnsi="Calibri"/>
                <w:color w:val="000000"/>
                <w:sz w:val="22"/>
                <w:szCs w:val="22"/>
                <w:lang w:eastAsia="en-AU"/>
              </w:rPr>
              <w:t>41</w:t>
            </w:r>
          </w:p>
        </w:tc>
        <w:tc>
          <w:tcPr>
            <w:tcW w:w="2720" w:type="dxa"/>
            <w:shd w:val="clear" w:color="auto" w:fill="auto"/>
            <w:noWrap/>
            <w:vAlign w:val="bottom"/>
            <w:hideMark/>
          </w:tcPr>
          <w:p w:rsidR="005D7BE6" w:rsidRPr="005D7BE6" w:rsidRDefault="005D7BE6" w:rsidP="005D7BE6">
            <w:pPr>
              <w:jc w:val="right"/>
              <w:rPr>
                <w:rFonts w:ascii="Calibri" w:hAnsi="Calibri"/>
                <w:color w:val="000000"/>
                <w:sz w:val="22"/>
                <w:szCs w:val="22"/>
                <w:lang w:eastAsia="en-AU"/>
              </w:rPr>
            </w:pPr>
            <w:r w:rsidRPr="005D7BE6">
              <w:rPr>
                <w:rFonts w:ascii="Calibri" w:hAnsi="Calibri"/>
                <w:color w:val="000000"/>
                <w:sz w:val="22"/>
                <w:szCs w:val="22"/>
                <w:lang w:eastAsia="en-AU"/>
              </w:rPr>
              <w:t>369</w:t>
            </w:r>
            <w:r w:rsidR="00840B92">
              <w:rPr>
                <w:rFonts w:ascii="Calibri" w:hAnsi="Calibri"/>
                <w:color w:val="000000"/>
                <w:sz w:val="22"/>
                <w:szCs w:val="22"/>
                <w:lang w:eastAsia="en-AU"/>
              </w:rPr>
              <w:t>,</w:t>
            </w:r>
            <w:r w:rsidRPr="005D7BE6">
              <w:rPr>
                <w:rFonts w:ascii="Calibri" w:hAnsi="Calibri"/>
                <w:color w:val="000000"/>
                <w:sz w:val="22"/>
                <w:szCs w:val="22"/>
                <w:lang w:eastAsia="en-AU"/>
              </w:rPr>
              <w:t>099</w:t>
            </w:r>
          </w:p>
        </w:tc>
        <w:tc>
          <w:tcPr>
            <w:tcW w:w="995" w:type="dxa"/>
            <w:shd w:val="clear" w:color="auto" w:fill="auto"/>
            <w:noWrap/>
            <w:vAlign w:val="bottom"/>
            <w:hideMark/>
          </w:tcPr>
          <w:p w:rsidR="005D7BE6" w:rsidRPr="005D7BE6" w:rsidRDefault="005D7BE6" w:rsidP="005D7BE6">
            <w:pPr>
              <w:jc w:val="right"/>
              <w:rPr>
                <w:rFonts w:ascii="Calibri" w:hAnsi="Calibri"/>
                <w:color w:val="000000"/>
                <w:sz w:val="22"/>
                <w:szCs w:val="22"/>
                <w:lang w:eastAsia="en-AU"/>
              </w:rPr>
            </w:pPr>
            <w:r w:rsidRPr="005D7BE6">
              <w:rPr>
                <w:rFonts w:ascii="Calibri" w:hAnsi="Calibri"/>
                <w:color w:val="000000"/>
                <w:sz w:val="22"/>
                <w:szCs w:val="22"/>
                <w:lang w:eastAsia="en-AU"/>
              </w:rPr>
              <w:t>250</w:t>
            </w:r>
            <w:r w:rsidR="00840B92">
              <w:rPr>
                <w:rFonts w:ascii="Calibri" w:hAnsi="Calibri"/>
                <w:color w:val="000000"/>
                <w:sz w:val="22"/>
                <w:szCs w:val="22"/>
                <w:lang w:eastAsia="en-AU"/>
              </w:rPr>
              <w:t>,</w:t>
            </w:r>
            <w:r w:rsidRPr="005D7BE6">
              <w:rPr>
                <w:rFonts w:ascii="Calibri" w:hAnsi="Calibri"/>
                <w:color w:val="000000"/>
                <w:sz w:val="22"/>
                <w:szCs w:val="22"/>
                <w:lang w:eastAsia="en-AU"/>
              </w:rPr>
              <w:t>000</w:t>
            </w:r>
          </w:p>
        </w:tc>
      </w:tr>
      <w:tr w:rsidR="005D7BE6" w:rsidRPr="005D7BE6" w:rsidTr="002436C2">
        <w:trPr>
          <w:trHeight w:val="300"/>
        </w:trPr>
        <w:tc>
          <w:tcPr>
            <w:tcW w:w="1060" w:type="dxa"/>
            <w:shd w:val="clear" w:color="auto" w:fill="auto"/>
            <w:noWrap/>
            <w:vAlign w:val="bottom"/>
            <w:hideMark/>
          </w:tcPr>
          <w:p w:rsidR="005D7BE6" w:rsidRPr="005D7BE6" w:rsidRDefault="005D7BE6" w:rsidP="005D7BE6">
            <w:pPr>
              <w:rPr>
                <w:rFonts w:ascii="Calibri" w:hAnsi="Calibri"/>
                <w:color w:val="000000"/>
                <w:sz w:val="22"/>
                <w:szCs w:val="22"/>
                <w:lang w:eastAsia="en-AU"/>
              </w:rPr>
            </w:pPr>
            <w:r w:rsidRPr="005D7BE6">
              <w:rPr>
                <w:rFonts w:ascii="Calibri" w:hAnsi="Calibri"/>
                <w:color w:val="000000"/>
                <w:sz w:val="22"/>
                <w:szCs w:val="22"/>
                <w:lang w:eastAsia="en-AU"/>
              </w:rPr>
              <w:t>70+</w:t>
            </w:r>
          </w:p>
        </w:tc>
        <w:tc>
          <w:tcPr>
            <w:tcW w:w="2300" w:type="dxa"/>
            <w:shd w:val="clear" w:color="auto" w:fill="auto"/>
            <w:noWrap/>
            <w:vAlign w:val="bottom"/>
            <w:hideMark/>
          </w:tcPr>
          <w:p w:rsidR="005D7BE6" w:rsidRPr="005D7BE6" w:rsidRDefault="005D7BE6" w:rsidP="005D7BE6">
            <w:pPr>
              <w:jc w:val="right"/>
              <w:rPr>
                <w:rFonts w:ascii="Calibri" w:hAnsi="Calibri"/>
                <w:color w:val="000000"/>
                <w:sz w:val="22"/>
                <w:szCs w:val="22"/>
                <w:lang w:eastAsia="en-AU"/>
              </w:rPr>
            </w:pPr>
            <w:r w:rsidRPr="005D7BE6">
              <w:rPr>
                <w:rFonts w:ascii="Calibri" w:hAnsi="Calibri"/>
                <w:color w:val="000000"/>
                <w:sz w:val="22"/>
                <w:szCs w:val="22"/>
                <w:lang w:eastAsia="en-AU"/>
              </w:rPr>
              <w:t>*58.6</w:t>
            </w:r>
          </w:p>
        </w:tc>
        <w:tc>
          <w:tcPr>
            <w:tcW w:w="2720" w:type="dxa"/>
            <w:shd w:val="clear" w:color="auto" w:fill="auto"/>
            <w:noWrap/>
            <w:vAlign w:val="bottom"/>
            <w:hideMark/>
          </w:tcPr>
          <w:p w:rsidR="005D7BE6" w:rsidRPr="005D7BE6" w:rsidRDefault="005D7BE6" w:rsidP="005D7BE6">
            <w:pPr>
              <w:jc w:val="right"/>
              <w:rPr>
                <w:rFonts w:ascii="Calibri" w:hAnsi="Calibri"/>
                <w:color w:val="000000"/>
                <w:sz w:val="22"/>
                <w:szCs w:val="22"/>
                <w:lang w:eastAsia="en-AU"/>
              </w:rPr>
            </w:pPr>
            <w:r w:rsidRPr="005D7BE6">
              <w:rPr>
                <w:rFonts w:ascii="Calibri" w:hAnsi="Calibri"/>
                <w:color w:val="000000"/>
                <w:sz w:val="22"/>
                <w:szCs w:val="22"/>
                <w:lang w:eastAsia="en-AU"/>
              </w:rPr>
              <w:t>*549</w:t>
            </w:r>
            <w:r w:rsidR="00840B92">
              <w:rPr>
                <w:rFonts w:ascii="Calibri" w:hAnsi="Calibri"/>
                <w:color w:val="000000"/>
                <w:sz w:val="22"/>
                <w:szCs w:val="22"/>
                <w:lang w:eastAsia="en-AU"/>
              </w:rPr>
              <w:t>,</w:t>
            </w:r>
            <w:r w:rsidRPr="005D7BE6">
              <w:rPr>
                <w:rFonts w:ascii="Calibri" w:hAnsi="Calibri"/>
                <w:color w:val="000000"/>
                <w:sz w:val="22"/>
                <w:szCs w:val="22"/>
                <w:lang w:eastAsia="en-AU"/>
              </w:rPr>
              <w:t>637</w:t>
            </w:r>
          </w:p>
        </w:tc>
        <w:tc>
          <w:tcPr>
            <w:tcW w:w="995" w:type="dxa"/>
            <w:shd w:val="clear" w:color="auto" w:fill="auto"/>
            <w:noWrap/>
            <w:vAlign w:val="bottom"/>
            <w:hideMark/>
          </w:tcPr>
          <w:p w:rsidR="005D7BE6" w:rsidRPr="005D7BE6" w:rsidRDefault="005D7BE6" w:rsidP="005D7BE6">
            <w:pPr>
              <w:rPr>
                <w:rFonts w:ascii="Calibri" w:hAnsi="Calibri"/>
                <w:color w:val="000000"/>
                <w:sz w:val="22"/>
                <w:szCs w:val="22"/>
                <w:lang w:eastAsia="en-AU"/>
              </w:rPr>
            </w:pPr>
            <w:r w:rsidRPr="005D7BE6">
              <w:rPr>
                <w:rFonts w:ascii="Calibri" w:hAnsi="Calibri"/>
                <w:color w:val="000000"/>
                <w:sz w:val="22"/>
                <w:szCs w:val="22"/>
                <w:lang w:eastAsia="en-AU"/>
              </w:rPr>
              <w:t>*200</w:t>
            </w:r>
            <w:r w:rsidR="00840B92">
              <w:rPr>
                <w:rFonts w:ascii="Calibri" w:hAnsi="Calibri"/>
                <w:color w:val="000000"/>
                <w:sz w:val="22"/>
                <w:szCs w:val="22"/>
                <w:lang w:eastAsia="en-AU"/>
              </w:rPr>
              <w:t>,</w:t>
            </w:r>
            <w:r w:rsidRPr="005D7BE6">
              <w:rPr>
                <w:rFonts w:ascii="Calibri" w:hAnsi="Calibri"/>
                <w:color w:val="000000"/>
                <w:sz w:val="22"/>
                <w:szCs w:val="22"/>
                <w:lang w:eastAsia="en-AU"/>
              </w:rPr>
              <w:t>000</w:t>
            </w:r>
          </w:p>
        </w:tc>
      </w:tr>
      <w:tr w:rsidR="005D7BE6" w:rsidRPr="005D7BE6" w:rsidTr="002436C2">
        <w:trPr>
          <w:trHeight w:val="300"/>
        </w:trPr>
        <w:tc>
          <w:tcPr>
            <w:tcW w:w="1060" w:type="dxa"/>
            <w:shd w:val="clear" w:color="auto" w:fill="auto"/>
            <w:noWrap/>
            <w:vAlign w:val="bottom"/>
            <w:hideMark/>
          </w:tcPr>
          <w:p w:rsidR="005D7BE6" w:rsidRPr="005D7BE6" w:rsidRDefault="005D7BE6" w:rsidP="005D7BE6">
            <w:pPr>
              <w:rPr>
                <w:rFonts w:ascii="Calibri" w:hAnsi="Calibri"/>
                <w:color w:val="000000"/>
                <w:sz w:val="22"/>
                <w:szCs w:val="22"/>
                <w:lang w:eastAsia="en-AU"/>
              </w:rPr>
            </w:pPr>
            <w:r w:rsidRPr="005D7BE6">
              <w:rPr>
                <w:rFonts w:ascii="Calibri" w:hAnsi="Calibri"/>
                <w:color w:val="000000"/>
                <w:sz w:val="22"/>
                <w:szCs w:val="22"/>
                <w:lang w:eastAsia="en-AU"/>
              </w:rPr>
              <w:t>Total</w:t>
            </w:r>
          </w:p>
        </w:tc>
        <w:tc>
          <w:tcPr>
            <w:tcW w:w="2300" w:type="dxa"/>
            <w:shd w:val="clear" w:color="auto" w:fill="auto"/>
            <w:noWrap/>
            <w:vAlign w:val="bottom"/>
            <w:hideMark/>
          </w:tcPr>
          <w:p w:rsidR="005D7BE6" w:rsidRPr="005D7BE6" w:rsidRDefault="005D7BE6" w:rsidP="005D7BE6">
            <w:pPr>
              <w:jc w:val="right"/>
              <w:rPr>
                <w:rFonts w:ascii="Calibri" w:hAnsi="Calibri"/>
                <w:color w:val="000000"/>
                <w:sz w:val="22"/>
                <w:szCs w:val="22"/>
                <w:lang w:eastAsia="en-AU"/>
              </w:rPr>
            </w:pPr>
            <w:r w:rsidRPr="005D7BE6">
              <w:rPr>
                <w:rFonts w:ascii="Calibri" w:hAnsi="Calibri"/>
                <w:color w:val="000000"/>
                <w:sz w:val="22"/>
                <w:szCs w:val="22"/>
                <w:lang w:eastAsia="en-AU"/>
              </w:rPr>
              <w:t>60.1</w:t>
            </w:r>
          </w:p>
        </w:tc>
        <w:tc>
          <w:tcPr>
            <w:tcW w:w="2720" w:type="dxa"/>
            <w:shd w:val="clear" w:color="auto" w:fill="auto"/>
            <w:noWrap/>
            <w:vAlign w:val="bottom"/>
            <w:hideMark/>
          </w:tcPr>
          <w:p w:rsidR="005D7BE6" w:rsidRPr="005D7BE6" w:rsidRDefault="005D7BE6" w:rsidP="005D7BE6">
            <w:pPr>
              <w:jc w:val="right"/>
              <w:rPr>
                <w:rFonts w:ascii="Calibri" w:hAnsi="Calibri"/>
                <w:color w:val="000000"/>
                <w:sz w:val="22"/>
                <w:szCs w:val="22"/>
                <w:lang w:eastAsia="en-AU"/>
              </w:rPr>
            </w:pPr>
            <w:r w:rsidRPr="005D7BE6">
              <w:rPr>
                <w:rFonts w:ascii="Calibri" w:hAnsi="Calibri"/>
                <w:color w:val="000000"/>
                <w:sz w:val="22"/>
                <w:szCs w:val="22"/>
                <w:lang w:eastAsia="en-AU"/>
              </w:rPr>
              <w:t>367</w:t>
            </w:r>
            <w:r w:rsidR="00840B92">
              <w:rPr>
                <w:rFonts w:ascii="Calibri" w:hAnsi="Calibri"/>
                <w:color w:val="000000"/>
                <w:sz w:val="22"/>
                <w:szCs w:val="22"/>
                <w:lang w:eastAsia="en-AU"/>
              </w:rPr>
              <w:t>,</w:t>
            </w:r>
            <w:r w:rsidRPr="005D7BE6">
              <w:rPr>
                <w:rFonts w:ascii="Calibri" w:hAnsi="Calibri"/>
                <w:color w:val="000000"/>
                <w:sz w:val="22"/>
                <w:szCs w:val="22"/>
                <w:lang w:eastAsia="en-AU"/>
              </w:rPr>
              <w:t>707</w:t>
            </w:r>
          </w:p>
        </w:tc>
        <w:tc>
          <w:tcPr>
            <w:tcW w:w="995" w:type="dxa"/>
            <w:shd w:val="clear" w:color="auto" w:fill="auto"/>
            <w:noWrap/>
            <w:vAlign w:val="bottom"/>
            <w:hideMark/>
          </w:tcPr>
          <w:p w:rsidR="005D7BE6" w:rsidRPr="005D7BE6" w:rsidRDefault="005D7BE6" w:rsidP="005D7BE6">
            <w:pPr>
              <w:jc w:val="right"/>
              <w:rPr>
                <w:rFonts w:ascii="Calibri" w:hAnsi="Calibri"/>
                <w:color w:val="000000"/>
                <w:sz w:val="22"/>
                <w:szCs w:val="22"/>
                <w:lang w:eastAsia="en-AU"/>
              </w:rPr>
            </w:pPr>
            <w:r w:rsidRPr="005D7BE6">
              <w:rPr>
                <w:rFonts w:ascii="Calibri" w:hAnsi="Calibri"/>
                <w:color w:val="000000"/>
                <w:sz w:val="22"/>
                <w:szCs w:val="22"/>
                <w:lang w:eastAsia="en-AU"/>
              </w:rPr>
              <w:t>200</w:t>
            </w:r>
            <w:r w:rsidR="00840B92">
              <w:rPr>
                <w:rFonts w:ascii="Calibri" w:hAnsi="Calibri"/>
                <w:color w:val="000000"/>
                <w:sz w:val="22"/>
                <w:szCs w:val="22"/>
                <w:lang w:eastAsia="en-AU"/>
              </w:rPr>
              <w:t>,</w:t>
            </w:r>
            <w:r w:rsidRPr="005D7BE6">
              <w:rPr>
                <w:rFonts w:ascii="Calibri" w:hAnsi="Calibri"/>
                <w:color w:val="000000"/>
                <w:sz w:val="22"/>
                <w:szCs w:val="22"/>
                <w:lang w:eastAsia="en-AU"/>
              </w:rPr>
              <w:t>000</w:t>
            </w:r>
          </w:p>
        </w:tc>
      </w:tr>
      <w:tr w:rsidR="002436C2" w:rsidRPr="005D7BE6" w:rsidTr="002436C2">
        <w:trPr>
          <w:trHeight w:val="300"/>
        </w:trPr>
        <w:tc>
          <w:tcPr>
            <w:tcW w:w="1060" w:type="dxa"/>
            <w:shd w:val="clear" w:color="auto" w:fill="auto"/>
            <w:noWrap/>
            <w:vAlign w:val="bottom"/>
          </w:tcPr>
          <w:p w:rsidR="002436C2" w:rsidRPr="005D7BE6" w:rsidRDefault="002436C2" w:rsidP="005D7BE6">
            <w:pPr>
              <w:rPr>
                <w:rFonts w:ascii="Calibri" w:hAnsi="Calibri"/>
                <w:color w:val="000000"/>
                <w:sz w:val="22"/>
                <w:szCs w:val="22"/>
                <w:lang w:eastAsia="en-AU"/>
              </w:rPr>
            </w:pPr>
          </w:p>
        </w:tc>
        <w:tc>
          <w:tcPr>
            <w:tcW w:w="2300" w:type="dxa"/>
            <w:shd w:val="clear" w:color="auto" w:fill="auto"/>
            <w:noWrap/>
            <w:vAlign w:val="bottom"/>
          </w:tcPr>
          <w:p w:rsidR="002436C2" w:rsidRPr="005D7BE6" w:rsidRDefault="002436C2" w:rsidP="005D7BE6">
            <w:pPr>
              <w:jc w:val="right"/>
              <w:rPr>
                <w:rFonts w:ascii="Calibri" w:hAnsi="Calibri"/>
                <w:color w:val="000000"/>
                <w:sz w:val="22"/>
                <w:szCs w:val="22"/>
                <w:lang w:eastAsia="en-AU"/>
              </w:rPr>
            </w:pPr>
          </w:p>
        </w:tc>
        <w:tc>
          <w:tcPr>
            <w:tcW w:w="2720" w:type="dxa"/>
            <w:shd w:val="clear" w:color="auto" w:fill="auto"/>
            <w:noWrap/>
            <w:vAlign w:val="bottom"/>
          </w:tcPr>
          <w:p w:rsidR="002436C2" w:rsidRPr="005D7BE6" w:rsidRDefault="002436C2" w:rsidP="005D7BE6">
            <w:pPr>
              <w:jc w:val="right"/>
              <w:rPr>
                <w:rFonts w:ascii="Calibri" w:hAnsi="Calibri"/>
                <w:color w:val="000000"/>
                <w:sz w:val="22"/>
                <w:szCs w:val="22"/>
                <w:lang w:eastAsia="en-AU"/>
              </w:rPr>
            </w:pPr>
          </w:p>
        </w:tc>
        <w:tc>
          <w:tcPr>
            <w:tcW w:w="995" w:type="dxa"/>
            <w:shd w:val="clear" w:color="auto" w:fill="auto"/>
            <w:noWrap/>
            <w:vAlign w:val="bottom"/>
          </w:tcPr>
          <w:p w:rsidR="002436C2" w:rsidRPr="005D7BE6" w:rsidRDefault="002436C2" w:rsidP="005D7BE6">
            <w:pPr>
              <w:jc w:val="right"/>
              <w:rPr>
                <w:rFonts w:ascii="Calibri" w:hAnsi="Calibri"/>
                <w:color w:val="000000"/>
                <w:sz w:val="22"/>
                <w:szCs w:val="22"/>
                <w:lang w:eastAsia="en-AU"/>
              </w:rPr>
            </w:pPr>
          </w:p>
        </w:tc>
      </w:tr>
    </w:tbl>
    <w:p w:rsidR="00726024" w:rsidRDefault="00726024" w:rsidP="00726024">
      <w:pPr>
        <w:spacing w:line="240" w:lineRule="auto"/>
        <w:rPr>
          <w:rFonts w:ascii="Arial" w:hAnsi="Arial" w:cs="Arial"/>
          <w:sz w:val="16"/>
          <w:szCs w:val="18"/>
        </w:rPr>
      </w:pPr>
    </w:p>
    <w:p w:rsidR="00726024" w:rsidRDefault="004272F6" w:rsidP="00726024">
      <w:pPr>
        <w:spacing w:line="240" w:lineRule="auto"/>
        <w:rPr>
          <w:rFonts w:ascii="Arial" w:hAnsi="Arial" w:cs="Arial"/>
          <w:sz w:val="16"/>
          <w:szCs w:val="18"/>
        </w:rPr>
      </w:pPr>
      <w:r w:rsidRPr="002436C2">
        <w:rPr>
          <w:rFonts w:ascii="Arial" w:hAnsi="Arial" w:cs="Arial"/>
          <w:sz w:val="16"/>
          <w:szCs w:val="18"/>
        </w:rPr>
        <w:t>* Estimate not reliable. ‘Recently retired’ if ‘currently retired and observed not retired (i.e., employed) at some stage in the last three years’.</w:t>
      </w:r>
      <w:r w:rsidR="002436C2" w:rsidRPr="002436C2">
        <w:rPr>
          <w:rFonts w:ascii="Arial" w:hAnsi="Arial" w:cs="Arial"/>
          <w:sz w:val="16"/>
          <w:szCs w:val="18"/>
        </w:rPr>
        <w:t xml:space="preserve"> </w:t>
      </w:r>
    </w:p>
    <w:p w:rsidR="002436C2" w:rsidRPr="002436C2" w:rsidRDefault="002436C2" w:rsidP="00726024">
      <w:pPr>
        <w:spacing w:line="240" w:lineRule="auto"/>
        <w:rPr>
          <w:rFonts w:ascii="Arial" w:hAnsi="Arial" w:cs="Arial"/>
          <w:sz w:val="16"/>
          <w:szCs w:val="18"/>
        </w:rPr>
      </w:pPr>
      <w:r w:rsidRPr="002436C2">
        <w:rPr>
          <w:rFonts w:ascii="Arial" w:hAnsi="Arial" w:cs="Arial"/>
          <w:sz w:val="16"/>
          <w:szCs w:val="18"/>
        </w:rPr>
        <w:t>Source: HILDA unit record data extracted for ASFA</w:t>
      </w:r>
      <w:r w:rsidR="00374BDA">
        <w:rPr>
          <w:rFonts w:ascii="Arial" w:hAnsi="Arial" w:cs="Arial"/>
          <w:sz w:val="16"/>
          <w:szCs w:val="18"/>
        </w:rPr>
        <w:t>.</w:t>
      </w:r>
    </w:p>
    <w:p w:rsidR="00A17933" w:rsidRPr="002436C2" w:rsidRDefault="00A17933" w:rsidP="00224EAF">
      <w:pPr>
        <w:rPr>
          <w:rFonts w:ascii="Arial" w:hAnsi="Arial" w:cs="Arial"/>
          <w:sz w:val="16"/>
          <w:szCs w:val="18"/>
        </w:rPr>
      </w:pPr>
    </w:p>
    <w:p w:rsidR="00C4724E" w:rsidRDefault="00C4724E" w:rsidP="00224EAF">
      <w:pPr>
        <w:rPr>
          <w:rFonts w:ascii="Arial" w:hAnsi="Arial" w:cs="Arial"/>
          <w:sz w:val="22"/>
          <w:szCs w:val="22"/>
        </w:rPr>
      </w:pPr>
      <w:r>
        <w:rPr>
          <w:rFonts w:ascii="Arial" w:hAnsi="Arial" w:cs="Arial"/>
          <w:sz w:val="22"/>
          <w:szCs w:val="22"/>
        </w:rPr>
        <w:t xml:space="preserve">Australia is unusual in international terms in regard to having a means test for publicly provided retirement incomes.  The means test in conjunction with growing average superannuation balances means that </w:t>
      </w:r>
      <w:r w:rsidR="00843D45">
        <w:rPr>
          <w:rFonts w:ascii="Arial" w:hAnsi="Arial" w:cs="Arial"/>
          <w:sz w:val="22"/>
          <w:szCs w:val="22"/>
        </w:rPr>
        <w:t>Age Pension expenditures will be largely stable as a percentage of GDP over the next 40 years.  The phased increase in the eligibility age for the Age Pension also will play a role in containing Age Pension expenditures.</w:t>
      </w:r>
    </w:p>
    <w:p w:rsidR="00843D45" w:rsidRDefault="00843D45" w:rsidP="00224EAF">
      <w:pPr>
        <w:rPr>
          <w:rFonts w:ascii="Arial" w:hAnsi="Arial" w:cs="Arial"/>
          <w:sz w:val="22"/>
          <w:szCs w:val="22"/>
        </w:rPr>
      </w:pPr>
    </w:p>
    <w:p w:rsidR="00843D45" w:rsidRDefault="00843D45" w:rsidP="00224EAF">
      <w:pPr>
        <w:rPr>
          <w:rFonts w:ascii="Arial" w:hAnsi="Arial" w:cs="Arial"/>
          <w:sz w:val="22"/>
          <w:szCs w:val="22"/>
        </w:rPr>
      </w:pPr>
      <w:r>
        <w:rPr>
          <w:rFonts w:ascii="Arial" w:hAnsi="Arial" w:cs="Arial"/>
          <w:sz w:val="22"/>
          <w:szCs w:val="22"/>
        </w:rPr>
        <w:t>As shown by Chart 1, despite an ageing population structure in Australia, total government assistance for retirement income is projected to grow only modestly in terms of percentage of GDP.</w:t>
      </w:r>
    </w:p>
    <w:p w:rsidR="00840B92" w:rsidRDefault="00840B92">
      <w:pPr>
        <w:widowControl/>
        <w:adjustRightInd/>
        <w:spacing w:line="240" w:lineRule="auto"/>
        <w:jc w:val="left"/>
        <w:textAlignment w:val="auto"/>
        <w:rPr>
          <w:rFonts w:ascii="Arial" w:hAnsi="Arial" w:cs="Arial"/>
          <w:sz w:val="22"/>
          <w:szCs w:val="22"/>
        </w:rPr>
      </w:pPr>
      <w:r>
        <w:rPr>
          <w:rFonts w:ascii="Arial" w:hAnsi="Arial" w:cs="Arial"/>
          <w:sz w:val="22"/>
          <w:szCs w:val="22"/>
        </w:rPr>
        <w:br w:type="page"/>
      </w:r>
    </w:p>
    <w:p w:rsidR="00C4724E" w:rsidRPr="00685E69" w:rsidRDefault="00C4724E" w:rsidP="00224EAF">
      <w:pPr>
        <w:rPr>
          <w:rFonts w:ascii="Arial" w:hAnsi="Arial" w:cs="Arial"/>
          <w:b/>
          <w:sz w:val="22"/>
          <w:szCs w:val="22"/>
        </w:rPr>
      </w:pPr>
      <w:r w:rsidRPr="00685E69">
        <w:rPr>
          <w:rFonts w:ascii="Arial" w:hAnsi="Arial" w:cs="Arial"/>
          <w:b/>
          <w:sz w:val="22"/>
          <w:szCs w:val="22"/>
        </w:rPr>
        <w:t>Chart 1: Age Pension expenditure and tax expenditures on superannuation as a percentage of GDP</w:t>
      </w:r>
    </w:p>
    <w:p w:rsidR="002436C2" w:rsidRDefault="002436C2" w:rsidP="00224EAF">
      <w:pPr>
        <w:rPr>
          <w:rFonts w:ascii="Arial" w:hAnsi="Arial" w:cs="Arial"/>
          <w:sz w:val="22"/>
          <w:szCs w:val="22"/>
        </w:rPr>
      </w:pPr>
    </w:p>
    <w:p w:rsidR="00C4724E" w:rsidRDefault="00C4724E" w:rsidP="00224EAF">
      <w:pPr>
        <w:rPr>
          <w:rFonts w:ascii="Arial" w:hAnsi="Arial" w:cs="Arial"/>
          <w:sz w:val="22"/>
          <w:szCs w:val="22"/>
        </w:rPr>
      </w:pPr>
      <w:r w:rsidRPr="00C4724E">
        <w:rPr>
          <w:rFonts w:ascii="Arial" w:hAnsi="Arial" w:cs="Arial"/>
          <w:noProof/>
          <w:sz w:val="22"/>
          <w:szCs w:val="22"/>
          <w:lang w:eastAsia="en-AU"/>
        </w:rPr>
        <w:drawing>
          <wp:inline distT="0" distB="0" distL="0" distR="0" wp14:anchorId="04BAFAC8" wp14:editId="1433713F">
            <wp:extent cx="5486400" cy="2402238"/>
            <wp:effectExtent l="0" t="0" r="19050" b="1714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50DD5" w:rsidRDefault="00450DD5" w:rsidP="00224EAF">
      <w:pPr>
        <w:rPr>
          <w:rFonts w:ascii="Arial" w:hAnsi="Arial" w:cs="Arial"/>
          <w:sz w:val="22"/>
          <w:szCs w:val="22"/>
        </w:rPr>
      </w:pPr>
    </w:p>
    <w:p w:rsidR="00726024" w:rsidRDefault="00726024" w:rsidP="00224EAF">
      <w:pPr>
        <w:rPr>
          <w:rFonts w:ascii="Arial" w:hAnsi="Arial" w:cs="Arial"/>
          <w:sz w:val="22"/>
          <w:szCs w:val="22"/>
        </w:rPr>
      </w:pPr>
    </w:p>
    <w:p w:rsidR="00C4724E" w:rsidRDefault="00843D45" w:rsidP="00224EAF">
      <w:pPr>
        <w:rPr>
          <w:rFonts w:ascii="Arial" w:hAnsi="Arial" w:cs="Arial"/>
          <w:sz w:val="22"/>
          <w:szCs w:val="22"/>
        </w:rPr>
      </w:pPr>
      <w:r>
        <w:rPr>
          <w:rFonts w:ascii="Arial" w:hAnsi="Arial" w:cs="Arial"/>
          <w:sz w:val="22"/>
          <w:szCs w:val="22"/>
        </w:rPr>
        <w:t>The combination of a means tested government funded Age Pension and a tax assisted compulsory superannuation system means that projected direct and tax expenditures for retirement saving will be below, in some cases substantially below, projected direct expenditure for public income support for  the aged</w:t>
      </w:r>
      <w:r w:rsidR="00CB793B">
        <w:rPr>
          <w:rFonts w:ascii="Arial" w:hAnsi="Arial" w:cs="Arial"/>
          <w:sz w:val="22"/>
          <w:szCs w:val="22"/>
        </w:rPr>
        <w:t xml:space="preserve"> in other developed countries</w:t>
      </w:r>
      <w:r>
        <w:rPr>
          <w:rFonts w:ascii="Arial" w:hAnsi="Arial" w:cs="Arial"/>
          <w:sz w:val="22"/>
          <w:szCs w:val="22"/>
        </w:rPr>
        <w:t>.</w:t>
      </w:r>
    </w:p>
    <w:p w:rsidR="00840B92" w:rsidRDefault="00840B92" w:rsidP="00224EAF">
      <w:pPr>
        <w:rPr>
          <w:rFonts w:ascii="Arial" w:hAnsi="Arial" w:cs="Arial"/>
          <w:sz w:val="22"/>
          <w:szCs w:val="22"/>
        </w:rPr>
      </w:pPr>
    </w:p>
    <w:p w:rsidR="00C4724E" w:rsidRPr="00685E69" w:rsidRDefault="00685E69" w:rsidP="00224EAF">
      <w:pPr>
        <w:rPr>
          <w:rFonts w:ascii="Arial" w:hAnsi="Arial" w:cs="Arial"/>
          <w:b/>
          <w:sz w:val="22"/>
          <w:szCs w:val="22"/>
        </w:rPr>
      </w:pPr>
      <w:r w:rsidRPr="00685E69">
        <w:rPr>
          <w:rFonts w:ascii="Arial" w:hAnsi="Arial" w:cs="Arial"/>
          <w:b/>
          <w:sz w:val="22"/>
          <w:szCs w:val="22"/>
        </w:rPr>
        <w:t>Table 2</w:t>
      </w:r>
      <w:r w:rsidR="00840B92" w:rsidRPr="00685E69">
        <w:rPr>
          <w:rFonts w:ascii="Arial" w:hAnsi="Arial" w:cs="Arial"/>
          <w:b/>
          <w:sz w:val="22"/>
          <w:szCs w:val="22"/>
        </w:rPr>
        <w:t>: Projected government expenditure on income assistance to the aged, per cent of national GDP</w:t>
      </w:r>
    </w:p>
    <w:p w:rsidR="00224EAF" w:rsidRDefault="00776C28" w:rsidP="00224EAF">
      <w:pPr>
        <w:rPr>
          <w:rFonts w:ascii="Arial" w:hAnsi="Arial" w:cs="Arial"/>
          <w:sz w:val="22"/>
          <w:szCs w:val="22"/>
        </w:rPr>
      </w:pPr>
      <w:r>
        <w:rPr>
          <w:rFonts w:ascii="Arial" w:hAnsi="Arial" w:cs="Arial"/>
          <w:noProof/>
          <w:sz w:val="22"/>
          <w:szCs w:val="22"/>
          <w:lang w:eastAsia="en-AU"/>
        </w:rPr>
        <w:pict w14:anchorId="30D0C3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1028" type="#_x0000_t75" style="position:absolute;left:0;text-align:left;margin-left:2pt;margin-top:10.75pt;width:448.55pt;height:150.75pt;z-index:251658240;visibility:visible">
            <v:imagedata r:id="rId15" o:title=""/>
          </v:shape>
          <o:OLEObject Type="Embed" ProgID="Excel.Sheet.8" ShapeID="Object 3" DrawAspect="Content" ObjectID="_1548570764" r:id="rId16"/>
        </w:pict>
      </w:r>
    </w:p>
    <w:p w:rsidR="00C4724E" w:rsidRDefault="00C4724E" w:rsidP="00224EAF">
      <w:pPr>
        <w:rPr>
          <w:rFonts w:ascii="Arial" w:hAnsi="Arial" w:cs="Arial"/>
          <w:sz w:val="22"/>
          <w:szCs w:val="22"/>
        </w:rPr>
      </w:pPr>
    </w:p>
    <w:p w:rsidR="00C4724E" w:rsidRDefault="00C4724E" w:rsidP="00224EAF">
      <w:pPr>
        <w:rPr>
          <w:rFonts w:ascii="Arial" w:hAnsi="Arial" w:cs="Arial"/>
          <w:sz w:val="22"/>
          <w:szCs w:val="22"/>
        </w:rPr>
      </w:pPr>
    </w:p>
    <w:p w:rsidR="00C4724E" w:rsidRDefault="00C4724E" w:rsidP="00224EAF">
      <w:pPr>
        <w:rPr>
          <w:rFonts w:ascii="Arial" w:hAnsi="Arial" w:cs="Arial"/>
          <w:sz w:val="22"/>
          <w:szCs w:val="22"/>
        </w:rPr>
      </w:pPr>
    </w:p>
    <w:p w:rsidR="00C4724E" w:rsidRPr="004E4B93" w:rsidRDefault="00C4724E" w:rsidP="00224EAF">
      <w:pPr>
        <w:rPr>
          <w:rFonts w:ascii="Arial" w:hAnsi="Arial" w:cs="Arial"/>
          <w:sz w:val="22"/>
          <w:szCs w:val="22"/>
        </w:rPr>
      </w:pPr>
    </w:p>
    <w:p w:rsidR="00C4724E" w:rsidRDefault="00C4724E" w:rsidP="00343B31">
      <w:pPr>
        <w:rPr>
          <w:rFonts w:ascii="Arial" w:eastAsia="Calibri" w:hAnsi="Arial" w:cs="Arial"/>
          <w:color w:val="000000"/>
          <w:sz w:val="22"/>
          <w:szCs w:val="22"/>
          <w:lang w:eastAsia="en-AU"/>
        </w:rPr>
      </w:pPr>
    </w:p>
    <w:p w:rsidR="00C4724E" w:rsidRDefault="00C4724E" w:rsidP="00343B31">
      <w:pPr>
        <w:rPr>
          <w:rFonts w:ascii="Arial" w:eastAsia="Calibri" w:hAnsi="Arial" w:cs="Arial"/>
          <w:color w:val="000000"/>
          <w:sz w:val="22"/>
          <w:szCs w:val="22"/>
          <w:lang w:eastAsia="en-AU"/>
        </w:rPr>
      </w:pPr>
    </w:p>
    <w:p w:rsidR="00C4724E" w:rsidRDefault="00C4724E" w:rsidP="00343B31">
      <w:pPr>
        <w:rPr>
          <w:rFonts w:ascii="Arial" w:eastAsia="Calibri" w:hAnsi="Arial" w:cs="Arial"/>
          <w:color w:val="000000"/>
          <w:sz w:val="22"/>
          <w:szCs w:val="22"/>
          <w:lang w:eastAsia="en-AU"/>
        </w:rPr>
      </w:pPr>
    </w:p>
    <w:p w:rsidR="00C4724E" w:rsidRDefault="00C4724E" w:rsidP="00343B31">
      <w:pPr>
        <w:rPr>
          <w:rFonts w:ascii="Arial" w:eastAsia="Calibri" w:hAnsi="Arial" w:cs="Arial"/>
          <w:color w:val="000000"/>
          <w:sz w:val="22"/>
          <w:szCs w:val="22"/>
          <w:lang w:eastAsia="en-AU"/>
        </w:rPr>
      </w:pPr>
    </w:p>
    <w:p w:rsidR="00C4724E" w:rsidRDefault="00C4724E" w:rsidP="00343B31">
      <w:pPr>
        <w:rPr>
          <w:rFonts w:ascii="Arial" w:eastAsia="Calibri" w:hAnsi="Arial" w:cs="Arial"/>
          <w:color w:val="000000"/>
          <w:sz w:val="22"/>
          <w:szCs w:val="22"/>
          <w:lang w:eastAsia="en-AU"/>
        </w:rPr>
      </w:pPr>
    </w:p>
    <w:p w:rsidR="00C4724E" w:rsidRDefault="00CB793B" w:rsidP="00343B31">
      <w:pPr>
        <w:rPr>
          <w:rFonts w:ascii="Arial" w:eastAsia="Calibri" w:hAnsi="Arial" w:cs="Arial"/>
          <w:color w:val="000000"/>
          <w:sz w:val="22"/>
          <w:szCs w:val="22"/>
          <w:lang w:eastAsia="en-AU"/>
        </w:rPr>
      </w:pPr>
      <w:r>
        <w:rPr>
          <w:rFonts w:ascii="Arial" w:eastAsia="Calibri" w:hAnsi="Arial" w:cs="Arial"/>
          <w:color w:val="000000"/>
          <w:sz w:val="22"/>
          <w:szCs w:val="22"/>
          <w:lang w:eastAsia="en-AU"/>
        </w:rPr>
        <w:t>Both in absolute terms and relative to other countries it could be argued that current government support for retirement income is sustainable and will continue to be sustainable for the foreseeable future.</w:t>
      </w:r>
    </w:p>
    <w:p w:rsidR="00E04190" w:rsidRDefault="00E04190" w:rsidP="00343B31">
      <w:pPr>
        <w:rPr>
          <w:rFonts w:ascii="Arial" w:eastAsia="Calibri" w:hAnsi="Arial" w:cs="Arial"/>
          <w:color w:val="000000"/>
          <w:sz w:val="22"/>
          <w:szCs w:val="22"/>
          <w:lang w:eastAsia="en-AU"/>
        </w:rPr>
      </w:pPr>
    </w:p>
    <w:p w:rsidR="00DC2183" w:rsidRDefault="00C10CC3" w:rsidP="00343B31">
      <w:pPr>
        <w:rPr>
          <w:rFonts w:ascii="Arial" w:eastAsia="Calibri" w:hAnsi="Arial" w:cs="Arial"/>
          <w:color w:val="000000"/>
          <w:sz w:val="22"/>
          <w:szCs w:val="22"/>
          <w:lang w:eastAsia="en-AU"/>
        </w:rPr>
      </w:pPr>
      <w:r>
        <w:rPr>
          <w:rFonts w:ascii="Arial" w:eastAsia="Calibri" w:hAnsi="Arial" w:cs="Arial"/>
          <w:color w:val="000000"/>
          <w:sz w:val="22"/>
          <w:szCs w:val="22"/>
          <w:lang w:eastAsia="en-AU"/>
        </w:rPr>
        <w:t xml:space="preserve">ASFA notes a significant number of Australians </w:t>
      </w:r>
      <w:r w:rsidR="0071149F">
        <w:rPr>
          <w:rFonts w:ascii="Arial" w:eastAsia="Calibri" w:hAnsi="Arial" w:cs="Arial"/>
          <w:color w:val="000000"/>
          <w:sz w:val="22"/>
          <w:szCs w:val="22"/>
          <w:lang w:eastAsia="en-AU"/>
        </w:rPr>
        <w:t xml:space="preserve">are </w:t>
      </w:r>
      <w:r>
        <w:rPr>
          <w:rFonts w:ascii="Arial" w:eastAsia="Calibri" w:hAnsi="Arial" w:cs="Arial"/>
          <w:color w:val="000000"/>
          <w:sz w:val="22"/>
          <w:szCs w:val="22"/>
          <w:lang w:eastAsia="en-AU"/>
        </w:rPr>
        <w:t xml:space="preserve">impacted by the </w:t>
      </w:r>
      <w:r w:rsidR="0071149F">
        <w:rPr>
          <w:rFonts w:ascii="Arial" w:eastAsia="Calibri" w:hAnsi="Arial" w:cs="Arial"/>
          <w:color w:val="000000"/>
          <w:sz w:val="22"/>
          <w:szCs w:val="22"/>
          <w:lang w:eastAsia="en-AU"/>
        </w:rPr>
        <w:t xml:space="preserve">recent </w:t>
      </w:r>
      <w:r w:rsidR="00840B92">
        <w:rPr>
          <w:rFonts w:ascii="Arial" w:eastAsia="Calibri" w:hAnsi="Arial" w:cs="Arial"/>
          <w:color w:val="000000"/>
          <w:sz w:val="22"/>
          <w:szCs w:val="22"/>
          <w:lang w:eastAsia="en-AU"/>
        </w:rPr>
        <w:t>A</w:t>
      </w:r>
      <w:r>
        <w:rPr>
          <w:rFonts w:ascii="Arial" w:eastAsia="Calibri" w:hAnsi="Arial" w:cs="Arial"/>
          <w:color w:val="000000"/>
          <w:sz w:val="22"/>
          <w:szCs w:val="22"/>
          <w:lang w:eastAsia="en-AU"/>
        </w:rPr>
        <w:t xml:space="preserve">ge </w:t>
      </w:r>
      <w:r w:rsidR="00840B92">
        <w:rPr>
          <w:rFonts w:ascii="Arial" w:eastAsia="Calibri" w:hAnsi="Arial" w:cs="Arial"/>
          <w:color w:val="000000"/>
          <w:sz w:val="22"/>
          <w:szCs w:val="22"/>
          <w:lang w:eastAsia="en-AU"/>
        </w:rPr>
        <w:t>P</w:t>
      </w:r>
      <w:r>
        <w:rPr>
          <w:rFonts w:ascii="Arial" w:eastAsia="Calibri" w:hAnsi="Arial" w:cs="Arial"/>
          <w:color w:val="000000"/>
          <w:sz w:val="22"/>
          <w:szCs w:val="22"/>
          <w:lang w:eastAsia="en-AU"/>
        </w:rPr>
        <w:t xml:space="preserve">ension </w:t>
      </w:r>
      <w:r w:rsidR="00840B92">
        <w:rPr>
          <w:rFonts w:ascii="Arial" w:eastAsia="Calibri" w:hAnsi="Arial" w:cs="Arial"/>
          <w:color w:val="000000"/>
          <w:sz w:val="22"/>
          <w:szCs w:val="22"/>
          <w:lang w:eastAsia="en-AU"/>
        </w:rPr>
        <w:t xml:space="preserve">means test </w:t>
      </w:r>
      <w:r>
        <w:rPr>
          <w:rFonts w:ascii="Arial" w:eastAsia="Calibri" w:hAnsi="Arial" w:cs="Arial"/>
          <w:color w:val="000000"/>
          <w:sz w:val="22"/>
          <w:szCs w:val="22"/>
          <w:lang w:eastAsia="en-AU"/>
        </w:rPr>
        <w:t xml:space="preserve">changes and </w:t>
      </w:r>
      <w:r w:rsidR="00536B5E">
        <w:rPr>
          <w:rFonts w:ascii="Arial" w:eastAsia="Calibri" w:hAnsi="Arial" w:cs="Arial"/>
          <w:color w:val="000000"/>
          <w:sz w:val="22"/>
          <w:szCs w:val="22"/>
          <w:lang w:eastAsia="en-AU"/>
        </w:rPr>
        <w:t xml:space="preserve">a considered review by government, including appropriate public consultation, should be undertaken in regard to the structure of the means test before any further changes are made.  </w:t>
      </w:r>
    </w:p>
    <w:p w:rsidR="00E04190" w:rsidRDefault="00E04190" w:rsidP="00343B31">
      <w:pPr>
        <w:rPr>
          <w:rFonts w:ascii="Arial" w:eastAsia="Calibri" w:hAnsi="Arial" w:cs="Arial"/>
          <w:color w:val="000000"/>
          <w:sz w:val="22"/>
          <w:szCs w:val="22"/>
          <w:lang w:eastAsia="en-AU"/>
        </w:rPr>
      </w:pPr>
    </w:p>
    <w:p w:rsidR="00DC2183" w:rsidRDefault="00C10CC3" w:rsidP="00343B31">
      <w:pPr>
        <w:rPr>
          <w:rFonts w:ascii="Arial" w:eastAsia="Calibri" w:hAnsi="Arial" w:cs="Arial"/>
          <w:color w:val="000000"/>
          <w:sz w:val="22"/>
          <w:szCs w:val="22"/>
          <w:lang w:eastAsia="en-AU"/>
        </w:rPr>
      </w:pPr>
      <w:r>
        <w:rPr>
          <w:rFonts w:ascii="Arial" w:eastAsia="Calibri" w:hAnsi="Arial" w:cs="Arial"/>
          <w:color w:val="000000"/>
          <w:sz w:val="22"/>
          <w:szCs w:val="22"/>
          <w:lang w:eastAsia="en-AU"/>
        </w:rPr>
        <w:t>In the same</w:t>
      </w:r>
      <w:r w:rsidR="00840B92">
        <w:rPr>
          <w:rFonts w:ascii="Arial" w:eastAsia="Calibri" w:hAnsi="Arial" w:cs="Arial"/>
          <w:color w:val="000000"/>
          <w:sz w:val="22"/>
          <w:szCs w:val="22"/>
          <w:lang w:eastAsia="en-AU"/>
        </w:rPr>
        <w:t xml:space="preserve"> context</w:t>
      </w:r>
      <w:r>
        <w:rPr>
          <w:rFonts w:ascii="Arial" w:eastAsia="Calibri" w:hAnsi="Arial" w:cs="Arial"/>
          <w:color w:val="000000"/>
          <w:sz w:val="22"/>
          <w:szCs w:val="22"/>
          <w:lang w:eastAsia="en-AU"/>
        </w:rPr>
        <w:t>, t</w:t>
      </w:r>
      <w:r w:rsidR="00DC2183">
        <w:rPr>
          <w:rFonts w:ascii="Arial" w:eastAsia="Calibri" w:hAnsi="Arial" w:cs="Arial"/>
          <w:color w:val="000000"/>
          <w:sz w:val="22"/>
          <w:szCs w:val="22"/>
          <w:lang w:eastAsia="en-AU"/>
        </w:rPr>
        <w:t>he lack of an agreed clear and unambiguous framework for the design of the means test for the Age Pension also means that there will be challenges for government in developing appropriate means test arrangements for new financial products designed to provide protection against the financial consequences of longevity.</w:t>
      </w:r>
    </w:p>
    <w:p w:rsidR="00C4724E" w:rsidRDefault="00C4724E" w:rsidP="00343B31">
      <w:pPr>
        <w:rPr>
          <w:rFonts w:ascii="Arial" w:eastAsia="Calibri" w:hAnsi="Arial" w:cs="Arial"/>
          <w:color w:val="000000"/>
          <w:sz w:val="22"/>
          <w:szCs w:val="22"/>
          <w:lang w:eastAsia="en-AU"/>
        </w:rPr>
      </w:pPr>
    </w:p>
    <w:p w:rsidR="002436C2" w:rsidRDefault="00840B92" w:rsidP="00343B31">
      <w:pPr>
        <w:rPr>
          <w:rFonts w:ascii="Arial" w:eastAsia="Calibri" w:hAnsi="Arial" w:cs="Arial"/>
          <w:color w:val="000000"/>
          <w:sz w:val="22"/>
          <w:szCs w:val="22"/>
          <w:lang w:eastAsia="en-AU"/>
        </w:rPr>
      </w:pPr>
      <w:r>
        <w:rPr>
          <w:rFonts w:ascii="Arial" w:eastAsia="Calibri" w:hAnsi="Arial" w:cs="Arial"/>
          <w:color w:val="000000"/>
          <w:sz w:val="22"/>
          <w:szCs w:val="22"/>
          <w:lang w:eastAsia="en-AU"/>
        </w:rPr>
        <w:t xml:space="preserve">Accordingly, </w:t>
      </w:r>
      <w:r w:rsidR="00C10CC3">
        <w:rPr>
          <w:rFonts w:ascii="Arial" w:eastAsia="Calibri" w:hAnsi="Arial" w:cs="Arial"/>
          <w:color w:val="000000"/>
          <w:sz w:val="22"/>
          <w:szCs w:val="22"/>
          <w:lang w:eastAsia="en-AU"/>
        </w:rPr>
        <w:t xml:space="preserve">ASFA </w:t>
      </w:r>
      <w:r w:rsidR="00343B31" w:rsidRPr="00343B31">
        <w:rPr>
          <w:rFonts w:ascii="Arial" w:eastAsia="Calibri" w:hAnsi="Arial" w:cs="Arial"/>
          <w:color w:val="000000"/>
          <w:sz w:val="22"/>
          <w:szCs w:val="22"/>
          <w:lang w:eastAsia="en-AU"/>
        </w:rPr>
        <w:t>recommend</w:t>
      </w:r>
      <w:r w:rsidR="00C10CC3">
        <w:rPr>
          <w:rFonts w:ascii="Arial" w:eastAsia="Calibri" w:hAnsi="Arial" w:cs="Arial"/>
          <w:color w:val="000000"/>
          <w:sz w:val="22"/>
          <w:szCs w:val="22"/>
          <w:lang w:eastAsia="en-AU"/>
        </w:rPr>
        <w:t>s</w:t>
      </w:r>
      <w:r>
        <w:rPr>
          <w:rFonts w:ascii="Arial" w:eastAsia="Calibri" w:hAnsi="Arial" w:cs="Arial"/>
          <w:color w:val="000000"/>
          <w:sz w:val="22"/>
          <w:szCs w:val="22"/>
          <w:lang w:eastAsia="en-AU"/>
        </w:rPr>
        <w:t xml:space="preserve"> </w:t>
      </w:r>
      <w:r w:rsidR="00343B31" w:rsidRPr="00343B31">
        <w:rPr>
          <w:rFonts w:ascii="Arial" w:eastAsia="Calibri" w:hAnsi="Arial" w:cs="Arial"/>
          <w:color w:val="000000"/>
          <w:sz w:val="22"/>
          <w:szCs w:val="22"/>
          <w:lang w:eastAsia="en-AU"/>
        </w:rPr>
        <w:t>that any further substantive changes to either superannuation or the Age Pension only be made after there has been a holistic consideration of retirement incomes policy in the context of the Inter</w:t>
      </w:r>
      <w:r w:rsidR="00C10CC3">
        <w:rPr>
          <w:rFonts w:ascii="Arial" w:eastAsia="Calibri" w:hAnsi="Arial" w:cs="Arial"/>
          <w:color w:val="000000"/>
          <w:sz w:val="22"/>
          <w:szCs w:val="22"/>
          <w:lang w:eastAsia="en-AU"/>
        </w:rPr>
        <w:t>g</w:t>
      </w:r>
      <w:r w:rsidR="00343B31" w:rsidRPr="00343B31">
        <w:rPr>
          <w:rFonts w:ascii="Arial" w:eastAsia="Calibri" w:hAnsi="Arial" w:cs="Arial"/>
          <w:color w:val="000000"/>
          <w:sz w:val="22"/>
          <w:szCs w:val="22"/>
          <w:lang w:eastAsia="en-AU"/>
        </w:rPr>
        <w:t>enerational Re</w:t>
      </w:r>
      <w:r w:rsidR="0071149F">
        <w:rPr>
          <w:rFonts w:ascii="Arial" w:eastAsia="Calibri" w:hAnsi="Arial" w:cs="Arial"/>
          <w:color w:val="000000"/>
          <w:sz w:val="22"/>
          <w:szCs w:val="22"/>
          <w:lang w:eastAsia="en-AU"/>
        </w:rPr>
        <w:t>port</w:t>
      </w:r>
      <w:r w:rsidR="00343B31" w:rsidRPr="00343B31">
        <w:rPr>
          <w:rFonts w:ascii="Arial" w:eastAsia="Calibri" w:hAnsi="Arial" w:cs="Arial"/>
          <w:color w:val="000000"/>
          <w:sz w:val="22"/>
          <w:szCs w:val="22"/>
          <w:lang w:eastAsia="en-AU"/>
        </w:rPr>
        <w:t xml:space="preserve">.  </w:t>
      </w:r>
      <w:r w:rsidR="0071149F">
        <w:rPr>
          <w:rFonts w:ascii="Arial" w:eastAsia="Calibri" w:hAnsi="Arial" w:cs="Arial"/>
          <w:color w:val="000000"/>
          <w:sz w:val="22"/>
          <w:szCs w:val="22"/>
          <w:lang w:eastAsia="en-AU"/>
        </w:rPr>
        <w:t>We understand the next IGR i</w:t>
      </w:r>
      <w:r w:rsidR="00C10CC3">
        <w:rPr>
          <w:rFonts w:ascii="Arial" w:eastAsia="Calibri" w:hAnsi="Arial" w:cs="Arial"/>
          <w:color w:val="000000"/>
          <w:sz w:val="22"/>
          <w:szCs w:val="22"/>
          <w:lang w:eastAsia="en-AU"/>
        </w:rPr>
        <w:t xml:space="preserve">s scheduled for </w:t>
      </w:r>
      <w:r w:rsidR="00343B31" w:rsidRPr="00343B31">
        <w:rPr>
          <w:rFonts w:ascii="Arial" w:eastAsia="Calibri" w:hAnsi="Arial" w:cs="Arial"/>
          <w:color w:val="000000"/>
          <w:sz w:val="22"/>
          <w:szCs w:val="22"/>
          <w:lang w:eastAsia="en-AU"/>
        </w:rPr>
        <w:t>early 2020.</w:t>
      </w:r>
    </w:p>
    <w:p w:rsidR="0072137A" w:rsidRDefault="0072137A" w:rsidP="00343B31">
      <w:pPr>
        <w:rPr>
          <w:rFonts w:ascii="Arial" w:eastAsia="Calibri" w:hAnsi="Arial" w:cs="Arial"/>
          <w:color w:val="000000"/>
          <w:sz w:val="22"/>
          <w:szCs w:val="22"/>
          <w:lang w:eastAsia="en-AU"/>
        </w:rPr>
      </w:pPr>
    </w:p>
    <w:p w:rsidR="0072137A" w:rsidRDefault="0072137A" w:rsidP="0072137A">
      <w:pPr>
        <w:pBdr>
          <w:top w:val="single" w:sz="4" w:space="1" w:color="auto"/>
          <w:left w:val="single" w:sz="4" w:space="4" w:color="auto"/>
          <w:bottom w:val="single" w:sz="4" w:space="1" w:color="auto"/>
          <w:right w:val="single" w:sz="4" w:space="4" w:color="auto"/>
        </w:pBdr>
        <w:rPr>
          <w:rFonts w:ascii="Arial" w:eastAsia="Calibri" w:hAnsi="Arial" w:cs="Arial"/>
          <w:b/>
          <w:color w:val="000000"/>
          <w:sz w:val="22"/>
          <w:szCs w:val="22"/>
          <w:lang w:eastAsia="en-AU"/>
        </w:rPr>
      </w:pPr>
      <w:r>
        <w:rPr>
          <w:rFonts w:ascii="Arial" w:eastAsia="Calibri" w:hAnsi="Arial" w:cs="Arial"/>
          <w:b/>
          <w:color w:val="000000"/>
          <w:sz w:val="22"/>
          <w:szCs w:val="22"/>
          <w:lang w:eastAsia="en-AU"/>
        </w:rPr>
        <w:t>Recommendation 1:</w:t>
      </w:r>
    </w:p>
    <w:p w:rsidR="00C43198" w:rsidRPr="00EE1521" w:rsidRDefault="00C43198" w:rsidP="0072137A">
      <w:pPr>
        <w:pBdr>
          <w:top w:val="single" w:sz="4" w:space="1" w:color="auto"/>
          <w:left w:val="single" w:sz="4" w:space="4" w:color="auto"/>
          <w:bottom w:val="single" w:sz="4" w:space="1" w:color="auto"/>
          <w:right w:val="single" w:sz="4" w:space="4" w:color="auto"/>
        </w:pBdr>
        <w:rPr>
          <w:rFonts w:ascii="Arial" w:eastAsia="Calibri" w:hAnsi="Arial" w:cs="Arial"/>
          <w:b/>
          <w:color w:val="000000"/>
          <w:sz w:val="22"/>
          <w:szCs w:val="22"/>
          <w:lang w:eastAsia="en-AU"/>
        </w:rPr>
      </w:pPr>
    </w:p>
    <w:p w:rsidR="00990FC8" w:rsidRDefault="00990FC8" w:rsidP="00990FC8">
      <w:pPr>
        <w:pBdr>
          <w:top w:val="single" w:sz="4" w:space="1" w:color="auto"/>
          <w:left w:val="single" w:sz="4" w:space="4" w:color="auto"/>
          <w:bottom w:val="single" w:sz="4" w:space="1" w:color="auto"/>
          <w:right w:val="single" w:sz="4" w:space="4" w:color="auto"/>
        </w:pBdr>
        <w:rPr>
          <w:rFonts w:ascii="Arial" w:eastAsia="Calibri" w:hAnsi="Arial" w:cs="Arial"/>
          <w:color w:val="000000"/>
          <w:sz w:val="22"/>
          <w:szCs w:val="22"/>
          <w:lang w:eastAsia="en-AU"/>
        </w:rPr>
      </w:pPr>
      <w:r w:rsidRPr="00FE29C0">
        <w:rPr>
          <w:rFonts w:ascii="Arial" w:eastAsia="Calibri" w:hAnsi="Arial" w:cs="Arial"/>
          <w:color w:val="000000"/>
          <w:sz w:val="22"/>
          <w:szCs w:val="22"/>
          <w:lang w:eastAsia="en-AU"/>
        </w:rPr>
        <w:t>ASFA recommends that</w:t>
      </w:r>
      <w:r>
        <w:rPr>
          <w:rFonts w:ascii="Arial" w:eastAsia="Calibri" w:hAnsi="Arial" w:cs="Arial"/>
          <w:color w:val="000000"/>
          <w:sz w:val="22"/>
          <w:szCs w:val="22"/>
          <w:lang w:eastAsia="en-AU"/>
        </w:rPr>
        <w:t xml:space="preserve"> no further adverse changes be made to superannuation tax provisions or to the Age Pension without a holistic review being undertaken in the context of, and aligned to, scheduled Inter</w:t>
      </w:r>
      <w:r w:rsidR="00840B92">
        <w:rPr>
          <w:rFonts w:ascii="Arial" w:eastAsia="Calibri" w:hAnsi="Arial" w:cs="Arial"/>
          <w:color w:val="000000"/>
          <w:sz w:val="22"/>
          <w:szCs w:val="22"/>
          <w:lang w:eastAsia="en-AU"/>
        </w:rPr>
        <w:t>g</w:t>
      </w:r>
      <w:r>
        <w:rPr>
          <w:rFonts w:ascii="Arial" w:eastAsia="Calibri" w:hAnsi="Arial" w:cs="Arial"/>
          <w:color w:val="000000"/>
          <w:sz w:val="22"/>
          <w:szCs w:val="22"/>
          <w:lang w:eastAsia="en-AU"/>
        </w:rPr>
        <w:t>enerational Reviews.</w:t>
      </w:r>
    </w:p>
    <w:p w:rsidR="00C43198" w:rsidRPr="00FE29C0" w:rsidRDefault="00C43198" w:rsidP="00990FC8">
      <w:pPr>
        <w:pBdr>
          <w:top w:val="single" w:sz="4" w:space="1" w:color="auto"/>
          <w:left w:val="single" w:sz="4" w:space="4" w:color="auto"/>
          <w:bottom w:val="single" w:sz="4" w:space="1" w:color="auto"/>
          <w:right w:val="single" w:sz="4" w:space="4" w:color="auto"/>
        </w:pBdr>
        <w:rPr>
          <w:rFonts w:ascii="Arial" w:eastAsia="Calibri" w:hAnsi="Arial" w:cs="Arial"/>
          <w:color w:val="000000"/>
          <w:sz w:val="22"/>
          <w:szCs w:val="22"/>
          <w:lang w:eastAsia="en-AU"/>
        </w:rPr>
      </w:pPr>
    </w:p>
    <w:p w:rsidR="0072137A" w:rsidRPr="00343B31" w:rsidRDefault="0072137A" w:rsidP="00343B31">
      <w:pPr>
        <w:rPr>
          <w:rFonts w:ascii="Arial" w:eastAsia="Calibri" w:hAnsi="Arial" w:cs="Arial"/>
          <w:color w:val="000000"/>
          <w:sz w:val="22"/>
          <w:szCs w:val="22"/>
          <w:lang w:eastAsia="en-AU"/>
        </w:rPr>
      </w:pPr>
    </w:p>
    <w:p w:rsidR="00DC2183" w:rsidRPr="00EE1521" w:rsidRDefault="00DC2183" w:rsidP="00EE1521">
      <w:pPr>
        <w:rPr>
          <w:rFonts w:ascii="Arial" w:eastAsia="Calibri" w:hAnsi="Arial" w:cs="Arial"/>
          <w:color w:val="000000"/>
          <w:sz w:val="22"/>
          <w:szCs w:val="22"/>
          <w:lang w:eastAsia="en-AU"/>
        </w:rPr>
      </w:pPr>
      <w:r>
        <w:rPr>
          <w:rFonts w:ascii="Arial" w:eastAsia="Calibri" w:hAnsi="Arial" w:cs="Arial"/>
          <w:color w:val="000000"/>
          <w:sz w:val="22"/>
          <w:szCs w:val="22"/>
          <w:lang w:eastAsia="en-AU"/>
        </w:rPr>
        <w:t>The remainder of this pre-Budget submission addresses a number of relatively modest proposals aimed at enhancing the current superannuation system.</w:t>
      </w:r>
    </w:p>
    <w:p w:rsidR="00493857" w:rsidRPr="00801794" w:rsidRDefault="00493857" w:rsidP="0010264F">
      <w:pPr>
        <w:rPr>
          <w:rFonts w:ascii="Arial" w:hAnsi="Arial" w:cs="Arial"/>
          <w:b/>
          <w:sz w:val="22"/>
          <w:szCs w:val="22"/>
        </w:rPr>
      </w:pPr>
    </w:p>
    <w:p w:rsidR="002D0606" w:rsidRPr="00726024" w:rsidRDefault="00A70295" w:rsidP="00EC60DE">
      <w:pPr>
        <w:rPr>
          <w:rFonts w:ascii="Arial" w:eastAsia="Calibri" w:hAnsi="Arial" w:cs="Arial"/>
          <w:b/>
        </w:rPr>
      </w:pPr>
      <w:r w:rsidRPr="00726024">
        <w:rPr>
          <w:rFonts w:ascii="Arial" w:eastAsia="Calibri" w:hAnsi="Arial" w:cs="Arial"/>
          <w:b/>
        </w:rPr>
        <w:t xml:space="preserve">Providing adequate funding for </w:t>
      </w:r>
      <w:r w:rsidR="002D0606" w:rsidRPr="00726024">
        <w:rPr>
          <w:rFonts w:ascii="Arial" w:eastAsia="Calibri" w:hAnsi="Arial" w:cs="Arial"/>
          <w:b/>
        </w:rPr>
        <w:t xml:space="preserve">the </w:t>
      </w:r>
      <w:r w:rsidRPr="00726024">
        <w:rPr>
          <w:rFonts w:ascii="Arial" w:eastAsia="Calibri" w:hAnsi="Arial" w:cs="Arial"/>
          <w:b/>
        </w:rPr>
        <w:t>Superannuation Complaints Tribunal (</w:t>
      </w:r>
      <w:r w:rsidR="002D0606" w:rsidRPr="00726024">
        <w:rPr>
          <w:rFonts w:ascii="Arial" w:eastAsia="Calibri" w:hAnsi="Arial" w:cs="Arial"/>
          <w:b/>
        </w:rPr>
        <w:t>SCT</w:t>
      </w:r>
      <w:r w:rsidRPr="00726024">
        <w:rPr>
          <w:rFonts w:ascii="Arial" w:eastAsia="Calibri" w:hAnsi="Arial" w:cs="Arial"/>
          <w:b/>
        </w:rPr>
        <w:t>)</w:t>
      </w:r>
    </w:p>
    <w:p w:rsidR="00A70295" w:rsidRDefault="00A70295" w:rsidP="002D0606">
      <w:pPr>
        <w:rPr>
          <w:rFonts w:ascii="Arial" w:eastAsia="Calibri" w:hAnsi="Arial" w:cs="Arial"/>
          <w:color w:val="000000"/>
          <w:sz w:val="22"/>
          <w:szCs w:val="22"/>
        </w:rPr>
      </w:pPr>
    </w:p>
    <w:p w:rsidR="00DC2183" w:rsidRDefault="00A70295" w:rsidP="002D0606">
      <w:pPr>
        <w:rPr>
          <w:rFonts w:ascii="Arial" w:eastAsia="Calibri" w:hAnsi="Arial" w:cs="Arial"/>
          <w:color w:val="000000"/>
          <w:sz w:val="22"/>
          <w:szCs w:val="22"/>
        </w:rPr>
      </w:pPr>
      <w:r>
        <w:rPr>
          <w:rFonts w:ascii="Arial" w:eastAsia="Calibri" w:hAnsi="Arial" w:cs="Arial"/>
          <w:color w:val="000000"/>
          <w:sz w:val="22"/>
          <w:szCs w:val="22"/>
        </w:rPr>
        <w:t xml:space="preserve">Timely and efficient dispute resolution in regard to </w:t>
      </w:r>
      <w:r w:rsidR="004E65F0">
        <w:rPr>
          <w:rFonts w:ascii="Arial" w:eastAsia="Calibri" w:hAnsi="Arial" w:cs="Arial"/>
          <w:color w:val="000000"/>
          <w:sz w:val="22"/>
          <w:szCs w:val="22"/>
        </w:rPr>
        <w:t xml:space="preserve">decisions and conduct of trustees and insurers of superannuation funds is important for the effective operation of the superannuation system and for consumer confidence in the system.  </w:t>
      </w:r>
    </w:p>
    <w:p w:rsidR="00840B92" w:rsidRDefault="00840B92" w:rsidP="00652AAB">
      <w:pPr>
        <w:rPr>
          <w:rFonts w:ascii="Arial" w:eastAsia="Calibri" w:hAnsi="Arial" w:cs="Arial"/>
          <w:color w:val="000000"/>
          <w:sz w:val="22"/>
          <w:szCs w:val="22"/>
        </w:rPr>
      </w:pPr>
    </w:p>
    <w:p w:rsidR="00F3123B" w:rsidRPr="00652AAB" w:rsidRDefault="00652AAB" w:rsidP="00652AAB">
      <w:pPr>
        <w:rPr>
          <w:rFonts w:ascii="Arial" w:eastAsia="Calibri" w:hAnsi="Arial" w:cs="Arial"/>
          <w:color w:val="000000"/>
          <w:sz w:val="22"/>
          <w:szCs w:val="22"/>
        </w:rPr>
      </w:pPr>
      <w:r w:rsidRPr="00652AAB">
        <w:rPr>
          <w:rFonts w:ascii="Arial" w:eastAsia="Calibri" w:hAnsi="Arial" w:cs="Arial"/>
          <w:color w:val="000000"/>
          <w:sz w:val="22"/>
          <w:szCs w:val="22"/>
        </w:rPr>
        <w:t>The SCT is a service of critical importance to APRA</w:t>
      </w:r>
      <w:r w:rsidRPr="00652AAB">
        <w:rPr>
          <w:rFonts w:ascii="Arial" w:eastAsia="Calibri" w:hAnsi="Arial" w:cs="Arial"/>
          <w:color w:val="000000"/>
          <w:sz w:val="22"/>
          <w:szCs w:val="22"/>
        </w:rPr>
        <w:noBreakHyphen/>
        <w:t xml:space="preserve">regulated superannuation funds and their members and the time taken to resolve complaints is an issue which impacts on consumers’ confidence in the superannuation system. </w:t>
      </w:r>
    </w:p>
    <w:p w:rsidR="00840B92" w:rsidRDefault="00840B92" w:rsidP="00C0025A">
      <w:pPr>
        <w:rPr>
          <w:rFonts w:ascii="Arial" w:eastAsia="Calibri" w:hAnsi="Arial" w:cs="Arial"/>
          <w:color w:val="000000"/>
          <w:sz w:val="22"/>
          <w:szCs w:val="22"/>
        </w:rPr>
      </w:pPr>
    </w:p>
    <w:p w:rsidR="00C0025A" w:rsidRDefault="00C0025A" w:rsidP="00C0025A">
      <w:pPr>
        <w:rPr>
          <w:rFonts w:ascii="Arial" w:eastAsia="Calibri" w:hAnsi="Arial" w:cs="Arial"/>
          <w:color w:val="000000"/>
          <w:sz w:val="22"/>
          <w:szCs w:val="22"/>
        </w:rPr>
      </w:pPr>
      <w:r>
        <w:rPr>
          <w:rFonts w:ascii="Arial" w:eastAsia="Calibri" w:hAnsi="Arial" w:cs="Arial"/>
          <w:color w:val="000000"/>
          <w:sz w:val="22"/>
          <w:szCs w:val="22"/>
        </w:rPr>
        <w:t>A panel led by Professor Ian Ramsay is currently reviewing the financial system’s external dispute resolution and complaints framework, including the SCT (Ramsay Review).  The Review is not due to provide its final report until 31 March, and any reforms the Government elects to make in response are likely to take some time to implement.</w:t>
      </w:r>
      <w:r w:rsidR="006620E4">
        <w:rPr>
          <w:rFonts w:ascii="Arial" w:eastAsia="Calibri" w:hAnsi="Arial" w:cs="Arial"/>
          <w:color w:val="000000"/>
          <w:sz w:val="22"/>
          <w:szCs w:val="22"/>
        </w:rPr>
        <w:t xml:space="preserve"> </w:t>
      </w:r>
      <w:r>
        <w:rPr>
          <w:rFonts w:ascii="Arial" w:eastAsia="Calibri" w:hAnsi="Arial" w:cs="Arial"/>
          <w:color w:val="000000"/>
          <w:sz w:val="22"/>
          <w:szCs w:val="22"/>
        </w:rPr>
        <w:t xml:space="preserve"> As a result, there is an immediate need to deal with the current backlog of cases before the SCT. </w:t>
      </w:r>
    </w:p>
    <w:p w:rsidR="00C0025A" w:rsidRDefault="00C0025A" w:rsidP="00C0025A">
      <w:pPr>
        <w:rPr>
          <w:rFonts w:ascii="Arial" w:eastAsia="Calibri" w:hAnsi="Arial" w:cs="Arial"/>
          <w:color w:val="000000"/>
          <w:sz w:val="22"/>
          <w:szCs w:val="22"/>
        </w:rPr>
      </w:pPr>
    </w:p>
    <w:p w:rsidR="00F3123B" w:rsidRDefault="00C0025A" w:rsidP="00652AAB">
      <w:pPr>
        <w:rPr>
          <w:rFonts w:ascii="Arial" w:eastAsia="Calibri" w:hAnsi="Arial" w:cs="Arial"/>
          <w:color w:val="000000"/>
          <w:sz w:val="22"/>
          <w:szCs w:val="22"/>
        </w:rPr>
      </w:pPr>
      <w:r>
        <w:rPr>
          <w:rFonts w:ascii="Arial" w:eastAsia="Calibri" w:hAnsi="Arial" w:cs="Arial"/>
          <w:color w:val="000000"/>
          <w:sz w:val="22"/>
          <w:szCs w:val="22"/>
        </w:rPr>
        <w:t>In this context ASFA welcomed</w:t>
      </w:r>
      <w:r w:rsidRPr="00652AAB">
        <w:rPr>
          <w:rFonts w:ascii="Arial" w:eastAsia="Calibri" w:hAnsi="Arial" w:cs="Arial"/>
          <w:color w:val="000000"/>
          <w:sz w:val="22"/>
          <w:szCs w:val="22"/>
        </w:rPr>
        <w:t xml:space="preserve"> the Government’s announcement </w:t>
      </w:r>
      <w:r w:rsidR="00F61E04">
        <w:rPr>
          <w:rFonts w:ascii="Arial" w:eastAsia="Calibri" w:hAnsi="Arial" w:cs="Arial"/>
          <w:color w:val="000000"/>
          <w:sz w:val="22"/>
          <w:szCs w:val="22"/>
        </w:rPr>
        <w:t xml:space="preserve">on 20 April 2016 </w:t>
      </w:r>
      <w:r w:rsidRPr="00652AAB">
        <w:rPr>
          <w:rFonts w:ascii="Arial" w:eastAsia="Calibri" w:hAnsi="Arial" w:cs="Arial"/>
          <w:color w:val="000000"/>
          <w:sz w:val="22"/>
          <w:szCs w:val="22"/>
        </w:rPr>
        <w:t xml:space="preserve">that the SCT </w:t>
      </w:r>
      <w:r>
        <w:rPr>
          <w:rFonts w:ascii="Arial" w:eastAsia="Calibri" w:hAnsi="Arial" w:cs="Arial"/>
          <w:color w:val="000000"/>
          <w:sz w:val="22"/>
          <w:szCs w:val="22"/>
        </w:rPr>
        <w:t xml:space="preserve">would </w:t>
      </w:r>
      <w:r w:rsidRPr="00652AAB">
        <w:rPr>
          <w:rFonts w:ascii="Arial" w:eastAsia="Calibri" w:hAnsi="Arial" w:cs="Arial"/>
          <w:color w:val="000000"/>
          <w:sz w:val="22"/>
          <w:szCs w:val="22"/>
        </w:rPr>
        <w:t>be provided with an ad hoc funding increase of $5.2 million to deal with legacy complaints and improve its processes and infrastructure.</w:t>
      </w:r>
      <w:r w:rsidR="006620E4">
        <w:rPr>
          <w:rFonts w:ascii="Arial" w:eastAsia="Calibri" w:hAnsi="Arial" w:cs="Arial"/>
          <w:color w:val="000000"/>
          <w:sz w:val="22"/>
          <w:szCs w:val="22"/>
        </w:rPr>
        <w:t xml:space="preserve"> </w:t>
      </w:r>
      <w:r w:rsidRPr="00652AAB">
        <w:rPr>
          <w:rFonts w:ascii="Arial" w:eastAsia="Calibri" w:hAnsi="Arial" w:cs="Arial"/>
          <w:color w:val="000000"/>
          <w:sz w:val="22"/>
          <w:szCs w:val="22"/>
        </w:rPr>
        <w:t xml:space="preserve"> </w:t>
      </w:r>
      <w:r>
        <w:rPr>
          <w:rFonts w:ascii="Arial" w:eastAsia="Calibri" w:hAnsi="Arial" w:cs="Arial"/>
          <w:color w:val="000000"/>
          <w:sz w:val="22"/>
          <w:szCs w:val="22"/>
        </w:rPr>
        <w:t>However, i</w:t>
      </w:r>
      <w:r w:rsidR="00F3123B">
        <w:rPr>
          <w:rFonts w:ascii="Arial" w:eastAsia="Calibri" w:hAnsi="Arial" w:cs="Arial"/>
          <w:color w:val="000000"/>
          <w:sz w:val="22"/>
          <w:szCs w:val="22"/>
        </w:rPr>
        <w:t xml:space="preserve">n </w:t>
      </w:r>
      <w:r w:rsidR="00652AAB" w:rsidRPr="00652AAB">
        <w:rPr>
          <w:rFonts w:ascii="Arial" w:eastAsia="Calibri" w:hAnsi="Arial" w:cs="Arial"/>
          <w:color w:val="000000"/>
          <w:sz w:val="22"/>
          <w:szCs w:val="22"/>
        </w:rPr>
        <w:t>ASFA</w:t>
      </w:r>
      <w:r w:rsidR="00F3123B">
        <w:rPr>
          <w:rFonts w:ascii="Arial" w:eastAsia="Calibri" w:hAnsi="Arial" w:cs="Arial"/>
          <w:color w:val="000000"/>
          <w:sz w:val="22"/>
          <w:szCs w:val="22"/>
        </w:rPr>
        <w:t>’s view</w:t>
      </w:r>
      <w:r w:rsidR="00652AAB" w:rsidRPr="00652AAB">
        <w:rPr>
          <w:rFonts w:ascii="Arial" w:eastAsia="Calibri" w:hAnsi="Arial" w:cs="Arial"/>
          <w:color w:val="000000"/>
          <w:sz w:val="22"/>
          <w:szCs w:val="22"/>
        </w:rPr>
        <w:t xml:space="preserve"> the one</w:t>
      </w:r>
      <w:r w:rsidR="00F61E04">
        <w:rPr>
          <w:rFonts w:ascii="Arial" w:eastAsia="Calibri" w:hAnsi="Arial" w:cs="Arial"/>
          <w:color w:val="000000"/>
          <w:sz w:val="22"/>
          <w:szCs w:val="22"/>
        </w:rPr>
        <w:noBreakHyphen/>
      </w:r>
      <w:r w:rsidR="00652AAB" w:rsidRPr="00652AAB">
        <w:rPr>
          <w:rFonts w:ascii="Arial" w:eastAsia="Calibri" w:hAnsi="Arial" w:cs="Arial"/>
          <w:color w:val="000000"/>
          <w:sz w:val="22"/>
          <w:szCs w:val="22"/>
        </w:rPr>
        <w:t xml:space="preserve">off nature of the </w:t>
      </w:r>
      <w:r w:rsidR="00F3123B">
        <w:rPr>
          <w:rFonts w:ascii="Arial" w:eastAsia="Calibri" w:hAnsi="Arial" w:cs="Arial"/>
          <w:color w:val="000000"/>
          <w:sz w:val="22"/>
          <w:szCs w:val="22"/>
        </w:rPr>
        <w:t xml:space="preserve">2016-17 </w:t>
      </w:r>
      <w:r w:rsidR="00652AAB" w:rsidRPr="00652AAB">
        <w:rPr>
          <w:rFonts w:ascii="Arial" w:eastAsia="Calibri" w:hAnsi="Arial" w:cs="Arial"/>
          <w:color w:val="000000"/>
          <w:sz w:val="22"/>
          <w:szCs w:val="22"/>
        </w:rPr>
        <w:t xml:space="preserve">funding injection does not adequately address the deficiency in funding of the SCT’s ongoing needs. </w:t>
      </w:r>
    </w:p>
    <w:p w:rsidR="00C0025A" w:rsidRDefault="00C0025A" w:rsidP="00652AAB">
      <w:pPr>
        <w:rPr>
          <w:rFonts w:ascii="Arial" w:eastAsia="Calibri" w:hAnsi="Arial" w:cs="Arial"/>
          <w:color w:val="000000"/>
          <w:sz w:val="22"/>
          <w:szCs w:val="22"/>
        </w:rPr>
      </w:pPr>
    </w:p>
    <w:p w:rsidR="00C0025A" w:rsidRDefault="006620E4" w:rsidP="00652AAB">
      <w:pPr>
        <w:rPr>
          <w:rFonts w:ascii="Arial" w:eastAsia="Calibri" w:hAnsi="Arial" w:cs="Arial"/>
          <w:color w:val="000000"/>
          <w:sz w:val="22"/>
          <w:szCs w:val="22"/>
        </w:rPr>
      </w:pPr>
      <w:r>
        <w:rPr>
          <w:rFonts w:ascii="Arial" w:eastAsia="Calibri" w:hAnsi="Arial" w:cs="Arial"/>
          <w:color w:val="000000"/>
          <w:sz w:val="22"/>
          <w:szCs w:val="22"/>
        </w:rPr>
        <w:t xml:space="preserve">Submissions to </w:t>
      </w:r>
      <w:r w:rsidR="00C0025A">
        <w:rPr>
          <w:rFonts w:ascii="Arial" w:eastAsia="Calibri" w:hAnsi="Arial" w:cs="Arial"/>
          <w:color w:val="000000"/>
          <w:sz w:val="22"/>
          <w:szCs w:val="22"/>
        </w:rPr>
        <w:t xml:space="preserve">the Ramsay Review </w:t>
      </w:r>
      <w:r>
        <w:rPr>
          <w:rFonts w:ascii="Arial" w:eastAsia="Calibri" w:hAnsi="Arial" w:cs="Arial"/>
          <w:color w:val="000000"/>
          <w:sz w:val="22"/>
          <w:szCs w:val="22"/>
        </w:rPr>
        <w:t xml:space="preserve">demonstrate </w:t>
      </w:r>
      <w:r w:rsidR="00C0025A">
        <w:rPr>
          <w:rFonts w:ascii="Arial" w:eastAsia="Calibri" w:hAnsi="Arial" w:cs="Arial"/>
          <w:color w:val="000000"/>
          <w:sz w:val="22"/>
          <w:szCs w:val="22"/>
        </w:rPr>
        <w:t xml:space="preserve">that </w:t>
      </w:r>
      <w:r>
        <w:rPr>
          <w:rFonts w:ascii="Arial" w:eastAsia="Calibri" w:hAnsi="Arial" w:cs="Arial"/>
          <w:color w:val="000000"/>
          <w:sz w:val="22"/>
          <w:szCs w:val="22"/>
        </w:rPr>
        <w:t>consistent underfunding of the SCT has created a situation where complaints backlogs inevitably build up.</w:t>
      </w:r>
      <w:r w:rsidR="00C825E8">
        <w:rPr>
          <w:rFonts w:ascii="Arial" w:eastAsia="Calibri" w:hAnsi="Arial" w:cs="Arial"/>
          <w:color w:val="000000"/>
          <w:sz w:val="22"/>
          <w:szCs w:val="22"/>
        </w:rPr>
        <w:t xml:space="preserve"> </w:t>
      </w:r>
      <w:r>
        <w:rPr>
          <w:rFonts w:ascii="Arial" w:eastAsia="Calibri" w:hAnsi="Arial" w:cs="Arial"/>
          <w:color w:val="000000"/>
          <w:sz w:val="22"/>
          <w:szCs w:val="22"/>
        </w:rPr>
        <w:t xml:space="preserve"> </w:t>
      </w:r>
      <w:r w:rsidR="00AE17B6">
        <w:rPr>
          <w:rFonts w:ascii="Arial" w:eastAsia="Calibri" w:hAnsi="Arial" w:cs="Arial"/>
          <w:color w:val="000000"/>
          <w:sz w:val="22"/>
          <w:szCs w:val="22"/>
        </w:rPr>
        <w:t>In contrast f</w:t>
      </w:r>
      <w:r>
        <w:rPr>
          <w:rFonts w:ascii="Arial" w:eastAsia="Calibri" w:hAnsi="Arial" w:cs="Arial"/>
          <w:color w:val="000000"/>
          <w:sz w:val="22"/>
          <w:szCs w:val="22"/>
        </w:rPr>
        <w:t xml:space="preserve">unding </w:t>
      </w:r>
      <w:r w:rsidR="00AE17B6">
        <w:rPr>
          <w:rFonts w:ascii="Arial" w:eastAsia="Calibri" w:hAnsi="Arial" w:cs="Arial"/>
          <w:color w:val="000000"/>
          <w:sz w:val="22"/>
          <w:szCs w:val="22"/>
        </w:rPr>
        <w:t xml:space="preserve">should be </w:t>
      </w:r>
      <w:r>
        <w:rPr>
          <w:rFonts w:ascii="Arial" w:eastAsia="Calibri" w:hAnsi="Arial" w:cs="Arial"/>
          <w:color w:val="000000"/>
          <w:sz w:val="22"/>
          <w:szCs w:val="22"/>
        </w:rPr>
        <w:t xml:space="preserve">determined </w:t>
      </w:r>
      <w:r w:rsidR="00AE17B6">
        <w:rPr>
          <w:rFonts w:ascii="Arial" w:eastAsia="Calibri" w:hAnsi="Arial" w:cs="Arial"/>
          <w:color w:val="000000"/>
          <w:sz w:val="22"/>
          <w:szCs w:val="22"/>
        </w:rPr>
        <w:t xml:space="preserve">on the basis of </w:t>
      </w:r>
      <w:r>
        <w:rPr>
          <w:rFonts w:ascii="Arial" w:eastAsia="Calibri" w:hAnsi="Arial" w:cs="Arial"/>
          <w:color w:val="000000"/>
          <w:sz w:val="22"/>
          <w:szCs w:val="22"/>
        </w:rPr>
        <w:t xml:space="preserve">consideration of complaint volumes. </w:t>
      </w:r>
      <w:r w:rsidR="00C825E8">
        <w:rPr>
          <w:rFonts w:ascii="Arial" w:eastAsia="Calibri" w:hAnsi="Arial" w:cs="Arial"/>
          <w:color w:val="000000"/>
          <w:sz w:val="22"/>
          <w:szCs w:val="22"/>
        </w:rPr>
        <w:t xml:space="preserve"> </w:t>
      </w:r>
      <w:r w:rsidR="00AE17B6">
        <w:rPr>
          <w:rFonts w:ascii="Arial" w:eastAsia="Calibri" w:hAnsi="Arial" w:cs="Arial"/>
          <w:color w:val="000000"/>
          <w:sz w:val="22"/>
          <w:szCs w:val="22"/>
        </w:rPr>
        <w:t xml:space="preserve">Additional funding is also needed to automate and </w:t>
      </w:r>
      <w:r w:rsidR="008667E4">
        <w:rPr>
          <w:rFonts w:ascii="Arial" w:eastAsia="Calibri" w:hAnsi="Arial" w:cs="Arial"/>
          <w:color w:val="000000"/>
          <w:sz w:val="22"/>
          <w:szCs w:val="22"/>
        </w:rPr>
        <w:t xml:space="preserve">improve </w:t>
      </w:r>
      <w:r>
        <w:rPr>
          <w:rFonts w:ascii="Arial" w:eastAsia="Calibri" w:hAnsi="Arial" w:cs="Arial"/>
          <w:color w:val="000000"/>
          <w:sz w:val="22"/>
          <w:szCs w:val="22"/>
        </w:rPr>
        <w:t>internal processes and systems</w:t>
      </w:r>
      <w:r w:rsidR="00AE17B6">
        <w:rPr>
          <w:rFonts w:ascii="Arial" w:eastAsia="Calibri" w:hAnsi="Arial" w:cs="Arial"/>
          <w:color w:val="000000"/>
          <w:sz w:val="22"/>
          <w:szCs w:val="22"/>
        </w:rPr>
        <w:t xml:space="preserve"> which</w:t>
      </w:r>
      <w:r>
        <w:rPr>
          <w:rFonts w:ascii="Arial" w:eastAsia="Calibri" w:hAnsi="Arial" w:cs="Arial"/>
          <w:color w:val="000000"/>
          <w:sz w:val="22"/>
          <w:szCs w:val="22"/>
        </w:rPr>
        <w:t xml:space="preserve"> </w:t>
      </w:r>
      <w:r w:rsidR="008667E4">
        <w:rPr>
          <w:rFonts w:ascii="Arial" w:eastAsia="Calibri" w:hAnsi="Arial" w:cs="Arial"/>
          <w:color w:val="000000"/>
          <w:sz w:val="22"/>
          <w:szCs w:val="22"/>
        </w:rPr>
        <w:t xml:space="preserve">currently </w:t>
      </w:r>
      <w:r>
        <w:rPr>
          <w:rFonts w:ascii="Arial" w:eastAsia="Calibri" w:hAnsi="Arial" w:cs="Arial"/>
          <w:color w:val="000000"/>
          <w:sz w:val="22"/>
          <w:szCs w:val="22"/>
        </w:rPr>
        <w:t>are inefficient and largely manual in nature.</w:t>
      </w:r>
    </w:p>
    <w:p w:rsidR="00F61E04" w:rsidRDefault="00F61E04" w:rsidP="00652AAB">
      <w:pPr>
        <w:rPr>
          <w:rFonts w:ascii="Arial" w:eastAsia="Calibri" w:hAnsi="Arial" w:cs="Arial"/>
          <w:color w:val="000000"/>
          <w:sz w:val="22"/>
          <w:szCs w:val="22"/>
        </w:rPr>
      </w:pPr>
    </w:p>
    <w:p w:rsidR="00652AAB" w:rsidRDefault="00652AAB" w:rsidP="00652AAB">
      <w:pPr>
        <w:rPr>
          <w:rFonts w:ascii="Arial" w:eastAsia="Calibri" w:hAnsi="Arial" w:cs="Arial"/>
          <w:color w:val="000000"/>
          <w:sz w:val="22"/>
          <w:szCs w:val="22"/>
        </w:rPr>
      </w:pPr>
      <w:r w:rsidRPr="00652AAB">
        <w:rPr>
          <w:rFonts w:ascii="Arial" w:eastAsia="Calibri" w:hAnsi="Arial" w:cs="Arial"/>
          <w:color w:val="000000"/>
          <w:sz w:val="22"/>
          <w:szCs w:val="22"/>
        </w:rPr>
        <w:t>ASFA strongly urges Treasury and ASIC to urgently review the SCT</w:t>
      </w:r>
      <w:r w:rsidR="00685E69">
        <w:rPr>
          <w:rFonts w:ascii="Arial" w:eastAsia="Calibri" w:hAnsi="Arial" w:cs="Arial"/>
          <w:color w:val="000000"/>
          <w:sz w:val="22"/>
          <w:szCs w:val="22"/>
        </w:rPr>
        <w:t>’s funding needs to ensure it</w:t>
      </w:r>
      <w:r w:rsidRPr="00652AAB">
        <w:rPr>
          <w:rFonts w:ascii="Arial" w:eastAsia="Calibri" w:hAnsi="Arial" w:cs="Arial"/>
          <w:color w:val="000000"/>
          <w:sz w:val="22"/>
          <w:szCs w:val="22"/>
        </w:rPr>
        <w:t xml:space="preserve"> receives adequate resources on an ongoing basis to address its workload and meet its statutory objectives, without the need to rely on ad hoc funding increases.</w:t>
      </w:r>
    </w:p>
    <w:p w:rsidR="00CA7B69" w:rsidRPr="00EE1521" w:rsidRDefault="00CA7B69" w:rsidP="00CA7B69">
      <w:pPr>
        <w:rPr>
          <w:rFonts w:ascii="Arial" w:eastAsia="Calibri" w:hAnsi="Arial" w:cs="Arial"/>
          <w:color w:val="000000"/>
          <w:sz w:val="22"/>
          <w:szCs w:val="22"/>
          <w:lang w:eastAsia="en-AU"/>
        </w:rPr>
      </w:pPr>
    </w:p>
    <w:p w:rsidR="00CA7B69" w:rsidRDefault="00CA7B69" w:rsidP="00CA7B69">
      <w:pPr>
        <w:pBdr>
          <w:top w:val="single" w:sz="4" w:space="1" w:color="auto"/>
          <w:left w:val="single" w:sz="4" w:space="1" w:color="auto"/>
          <w:bottom w:val="single" w:sz="4" w:space="1" w:color="auto"/>
          <w:right w:val="single" w:sz="4" w:space="1" w:color="auto"/>
          <w:bar w:val="single" w:sz="4" w:color="auto"/>
        </w:pBdr>
        <w:rPr>
          <w:rFonts w:ascii="Arial" w:eastAsia="Calibri" w:hAnsi="Arial" w:cs="Arial"/>
          <w:b/>
          <w:color w:val="000000"/>
          <w:sz w:val="22"/>
          <w:szCs w:val="22"/>
          <w:lang w:eastAsia="en-AU"/>
        </w:rPr>
      </w:pPr>
      <w:r>
        <w:rPr>
          <w:rFonts w:ascii="Arial" w:eastAsia="Calibri" w:hAnsi="Arial" w:cs="Arial"/>
          <w:b/>
          <w:color w:val="000000"/>
          <w:sz w:val="22"/>
          <w:szCs w:val="22"/>
          <w:lang w:eastAsia="en-AU"/>
        </w:rPr>
        <w:t>Recommendation 2:</w:t>
      </w:r>
    </w:p>
    <w:p w:rsidR="00CA7B69" w:rsidRDefault="00CA7B69" w:rsidP="00CA7B69">
      <w:pPr>
        <w:pBdr>
          <w:top w:val="single" w:sz="4" w:space="1" w:color="auto"/>
          <w:left w:val="single" w:sz="4" w:space="1" w:color="auto"/>
          <w:bottom w:val="single" w:sz="4" w:space="1" w:color="auto"/>
          <w:right w:val="single" w:sz="4" w:space="1" w:color="auto"/>
          <w:bar w:val="single" w:sz="4" w:color="auto"/>
        </w:pBdr>
        <w:rPr>
          <w:rFonts w:ascii="Arial" w:eastAsia="Calibri" w:hAnsi="Arial" w:cs="Arial"/>
          <w:b/>
          <w:color w:val="000000"/>
          <w:sz w:val="22"/>
          <w:szCs w:val="22"/>
          <w:lang w:eastAsia="en-AU"/>
        </w:rPr>
      </w:pPr>
    </w:p>
    <w:p w:rsidR="00CA7B69" w:rsidRDefault="00CA7B69" w:rsidP="00CA7B69">
      <w:pPr>
        <w:pBdr>
          <w:top w:val="single" w:sz="4" w:space="1" w:color="auto"/>
          <w:left w:val="single" w:sz="4" w:space="1" w:color="auto"/>
          <w:bottom w:val="single" w:sz="4" w:space="1" w:color="auto"/>
          <w:right w:val="single" w:sz="4" w:space="1" w:color="auto"/>
          <w:bar w:val="single" w:sz="4" w:color="auto"/>
        </w:pBdr>
        <w:rPr>
          <w:rFonts w:ascii="Arial" w:eastAsia="Calibri" w:hAnsi="Arial" w:cs="Arial"/>
          <w:b/>
          <w:color w:val="000000"/>
          <w:sz w:val="22"/>
          <w:szCs w:val="22"/>
          <w:lang w:eastAsia="en-AU"/>
        </w:rPr>
      </w:pPr>
      <w:r>
        <w:rPr>
          <w:rFonts w:ascii="Arial" w:hAnsi="Arial" w:cs="Arial"/>
          <w:color w:val="000000"/>
          <w:sz w:val="22"/>
          <w:szCs w:val="22"/>
        </w:rPr>
        <w:t xml:space="preserve">ASFA </w:t>
      </w:r>
      <w:r w:rsidRPr="00801794">
        <w:rPr>
          <w:rFonts w:ascii="Arial" w:hAnsi="Arial" w:cs="Arial"/>
          <w:color w:val="000000"/>
          <w:sz w:val="22"/>
          <w:szCs w:val="22"/>
        </w:rPr>
        <w:t>recommends that</w:t>
      </w:r>
      <w:r>
        <w:rPr>
          <w:rFonts w:ascii="Arial" w:hAnsi="Arial" w:cs="Arial"/>
          <w:color w:val="000000"/>
          <w:sz w:val="22"/>
          <w:szCs w:val="22"/>
        </w:rPr>
        <w:t>:</w:t>
      </w:r>
    </w:p>
    <w:p w:rsidR="00CA7B69" w:rsidRDefault="00CA7B69" w:rsidP="00CA7B69">
      <w:pPr>
        <w:pBdr>
          <w:top w:val="single" w:sz="4" w:space="1" w:color="auto"/>
          <w:left w:val="single" w:sz="4" w:space="1" w:color="auto"/>
          <w:bottom w:val="single" w:sz="4" w:space="1" w:color="auto"/>
          <w:right w:val="single" w:sz="4" w:space="1" w:color="auto"/>
          <w:bar w:val="single" w:sz="4" w:color="auto"/>
        </w:pBdr>
        <w:rPr>
          <w:rFonts w:ascii="Arial" w:eastAsia="Calibri" w:hAnsi="Arial" w:cs="Arial"/>
          <w:b/>
          <w:color w:val="000000"/>
          <w:sz w:val="22"/>
          <w:szCs w:val="22"/>
          <w:lang w:eastAsia="en-AU"/>
        </w:rPr>
      </w:pPr>
    </w:p>
    <w:p w:rsidR="00B70B73" w:rsidRPr="00AE17B6" w:rsidRDefault="00B70B73" w:rsidP="00B70B73">
      <w:pPr>
        <w:pBdr>
          <w:top w:val="single" w:sz="4" w:space="1" w:color="auto"/>
          <w:left w:val="single" w:sz="4" w:space="1" w:color="auto"/>
          <w:bottom w:val="single" w:sz="4" w:space="1" w:color="auto"/>
          <w:right w:val="single" w:sz="4" w:space="1" w:color="auto"/>
          <w:bar w:val="single" w:sz="4" w:color="auto"/>
        </w:pBdr>
        <w:rPr>
          <w:rFonts w:ascii="Arial" w:eastAsia="Calibri" w:hAnsi="Arial" w:cs="Arial"/>
          <w:color w:val="000000"/>
          <w:sz w:val="22"/>
          <w:szCs w:val="22"/>
          <w:lang w:eastAsia="en-AU"/>
        </w:rPr>
      </w:pPr>
      <w:r w:rsidRPr="00AE17B6">
        <w:rPr>
          <w:rFonts w:ascii="Arial" w:eastAsia="Calibri" w:hAnsi="Arial" w:cs="Arial"/>
          <w:color w:val="000000"/>
          <w:sz w:val="22"/>
          <w:szCs w:val="22"/>
          <w:lang w:eastAsia="en-AU"/>
        </w:rPr>
        <w:t xml:space="preserve">a) The amount of funding allocated to the SCT from the ASIC component of the 2017-18 supervisory levy should be separately </w:t>
      </w:r>
      <w:r>
        <w:rPr>
          <w:rFonts w:ascii="Arial" w:eastAsia="Calibri" w:hAnsi="Arial" w:cs="Arial"/>
          <w:color w:val="000000"/>
          <w:sz w:val="22"/>
          <w:szCs w:val="22"/>
          <w:lang w:eastAsia="en-AU"/>
        </w:rPr>
        <w:t xml:space="preserve">considered, </w:t>
      </w:r>
      <w:r w:rsidRPr="001C4A25">
        <w:rPr>
          <w:rFonts w:ascii="Arial" w:eastAsia="Calibri" w:hAnsi="Arial" w:cs="Arial"/>
          <w:color w:val="000000"/>
          <w:sz w:val="22"/>
          <w:szCs w:val="22"/>
          <w:lang w:eastAsia="en-AU"/>
        </w:rPr>
        <w:t>identified and made</w:t>
      </w:r>
      <w:r>
        <w:rPr>
          <w:rFonts w:ascii="Arial" w:eastAsia="Calibri" w:hAnsi="Arial" w:cs="Arial"/>
          <w:color w:val="000000"/>
          <w:sz w:val="22"/>
          <w:szCs w:val="22"/>
          <w:lang w:eastAsia="en-AU"/>
        </w:rPr>
        <w:t>;</w:t>
      </w:r>
      <w:r w:rsidRPr="001C4A25">
        <w:rPr>
          <w:rFonts w:ascii="Arial" w:eastAsia="Calibri" w:hAnsi="Arial" w:cs="Arial"/>
          <w:color w:val="000000"/>
          <w:sz w:val="22"/>
          <w:szCs w:val="22"/>
          <w:lang w:eastAsia="en-AU"/>
        </w:rPr>
        <w:t xml:space="preserve"> and</w:t>
      </w:r>
      <w:r w:rsidRPr="00AE17B6">
        <w:rPr>
          <w:rFonts w:ascii="Arial" w:eastAsia="Calibri" w:hAnsi="Arial" w:cs="Arial"/>
          <w:color w:val="000000"/>
          <w:sz w:val="22"/>
          <w:szCs w:val="22"/>
          <w:lang w:eastAsia="en-AU"/>
        </w:rPr>
        <w:t xml:space="preserve"> </w:t>
      </w:r>
    </w:p>
    <w:p w:rsidR="00B70B73" w:rsidRPr="00AE17B6" w:rsidRDefault="00B70B73" w:rsidP="00B70B73">
      <w:pPr>
        <w:pBdr>
          <w:top w:val="single" w:sz="4" w:space="1" w:color="auto"/>
          <w:left w:val="single" w:sz="4" w:space="1" w:color="auto"/>
          <w:bottom w:val="single" w:sz="4" w:space="1" w:color="auto"/>
          <w:right w:val="single" w:sz="4" w:space="1" w:color="auto"/>
          <w:bar w:val="single" w:sz="4" w:color="auto"/>
        </w:pBdr>
        <w:rPr>
          <w:rFonts w:ascii="Arial" w:eastAsia="Calibri" w:hAnsi="Arial" w:cs="Arial"/>
          <w:color w:val="000000"/>
          <w:sz w:val="22"/>
          <w:szCs w:val="22"/>
          <w:lang w:eastAsia="en-AU"/>
        </w:rPr>
      </w:pPr>
    </w:p>
    <w:p w:rsidR="00B70B73" w:rsidRPr="000F06B8" w:rsidRDefault="00B70B73" w:rsidP="00CA7B69">
      <w:pPr>
        <w:pBdr>
          <w:top w:val="single" w:sz="4" w:space="1" w:color="auto"/>
          <w:left w:val="single" w:sz="4" w:space="1" w:color="auto"/>
          <w:bottom w:val="single" w:sz="4" w:space="1" w:color="auto"/>
          <w:right w:val="single" w:sz="4" w:space="1" w:color="auto"/>
          <w:bar w:val="single" w:sz="4" w:color="auto"/>
        </w:pBdr>
        <w:rPr>
          <w:rFonts w:ascii="Arial" w:eastAsia="Calibri" w:hAnsi="Arial" w:cs="Arial"/>
          <w:color w:val="000000"/>
          <w:sz w:val="22"/>
          <w:szCs w:val="22"/>
          <w:lang w:eastAsia="en-AU"/>
        </w:rPr>
      </w:pPr>
      <w:r w:rsidRPr="00AE17B6">
        <w:rPr>
          <w:rFonts w:ascii="Arial" w:eastAsia="Calibri" w:hAnsi="Arial" w:cs="Arial"/>
          <w:color w:val="000000"/>
          <w:sz w:val="22"/>
          <w:szCs w:val="22"/>
          <w:lang w:eastAsia="en-AU"/>
        </w:rPr>
        <w:t xml:space="preserve">b) Treasury and ASIC should urgently review the SCT’s </w:t>
      </w:r>
      <w:r>
        <w:rPr>
          <w:rFonts w:ascii="Arial" w:eastAsia="Calibri" w:hAnsi="Arial" w:cs="Arial"/>
          <w:color w:val="000000"/>
          <w:sz w:val="22"/>
          <w:szCs w:val="22"/>
          <w:lang w:eastAsia="en-AU"/>
        </w:rPr>
        <w:t xml:space="preserve">current </w:t>
      </w:r>
      <w:r w:rsidRPr="00AE17B6">
        <w:rPr>
          <w:rFonts w:ascii="Arial" w:eastAsia="Calibri" w:hAnsi="Arial" w:cs="Arial"/>
          <w:color w:val="000000"/>
          <w:sz w:val="22"/>
          <w:szCs w:val="22"/>
          <w:lang w:eastAsia="en-AU"/>
        </w:rPr>
        <w:t xml:space="preserve">funding needs to ensure it is adequately resourced to address </w:t>
      </w:r>
      <w:r>
        <w:rPr>
          <w:rFonts w:ascii="Arial" w:eastAsia="Calibri" w:hAnsi="Arial" w:cs="Arial"/>
          <w:color w:val="000000"/>
          <w:sz w:val="22"/>
          <w:szCs w:val="22"/>
          <w:lang w:eastAsia="en-AU"/>
        </w:rPr>
        <w:t xml:space="preserve">both its existing and anticipated future </w:t>
      </w:r>
      <w:r w:rsidRPr="00AE17B6">
        <w:rPr>
          <w:rFonts w:ascii="Arial" w:eastAsia="Calibri" w:hAnsi="Arial" w:cs="Arial"/>
          <w:color w:val="000000"/>
          <w:sz w:val="22"/>
          <w:szCs w:val="22"/>
          <w:lang w:eastAsia="en-AU"/>
        </w:rPr>
        <w:t xml:space="preserve">workload and </w:t>
      </w:r>
      <w:r>
        <w:rPr>
          <w:rFonts w:ascii="Arial" w:eastAsia="Calibri" w:hAnsi="Arial" w:cs="Arial"/>
          <w:color w:val="000000"/>
          <w:sz w:val="22"/>
          <w:szCs w:val="22"/>
          <w:lang w:eastAsia="en-AU"/>
        </w:rPr>
        <w:t xml:space="preserve">to </w:t>
      </w:r>
      <w:r w:rsidRPr="00AE17B6">
        <w:rPr>
          <w:rFonts w:ascii="Arial" w:eastAsia="Calibri" w:hAnsi="Arial" w:cs="Arial"/>
          <w:color w:val="000000"/>
          <w:sz w:val="22"/>
          <w:szCs w:val="22"/>
          <w:lang w:eastAsia="en-AU"/>
        </w:rPr>
        <w:t>meet its statutory objectives.</w:t>
      </w:r>
    </w:p>
    <w:p w:rsidR="00CA7B69" w:rsidRPr="000F06B8" w:rsidRDefault="00CA7B69" w:rsidP="00CA7B69">
      <w:pPr>
        <w:pBdr>
          <w:top w:val="single" w:sz="4" w:space="1" w:color="auto"/>
          <w:left w:val="single" w:sz="4" w:space="1" w:color="auto"/>
          <w:bottom w:val="single" w:sz="4" w:space="1" w:color="auto"/>
          <w:right w:val="single" w:sz="4" w:space="1" w:color="auto"/>
          <w:bar w:val="single" w:sz="4" w:color="auto"/>
        </w:pBdr>
        <w:rPr>
          <w:rFonts w:ascii="Arial" w:eastAsia="Calibri" w:hAnsi="Arial" w:cs="Arial"/>
          <w:b/>
          <w:color w:val="000000"/>
          <w:sz w:val="22"/>
          <w:szCs w:val="22"/>
          <w:lang w:eastAsia="en-AU"/>
        </w:rPr>
      </w:pPr>
    </w:p>
    <w:p w:rsidR="00CA7B69" w:rsidRPr="00EE1521" w:rsidRDefault="00CA7B69" w:rsidP="00CA7B69">
      <w:pPr>
        <w:rPr>
          <w:rFonts w:ascii="Arial" w:eastAsia="Calibri" w:hAnsi="Arial" w:cs="Arial"/>
          <w:color w:val="000000"/>
          <w:sz w:val="22"/>
          <w:szCs w:val="22"/>
          <w:lang w:eastAsia="en-AU"/>
        </w:rPr>
      </w:pPr>
    </w:p>
    <w:p w:rsidR="00D92F85" w:rsidRPr="00571284" w:rsidRDefault="00D92F85" w:rsidP="00571284">
      <w:pPr>
        <w:rPr>
          <w:rFonts w:ascii="Arial" w:eastAsia="Calibri" w:hAnsi="Arial" w:cs="Arial"/>
          <w:b/>
        </w:rPr>
      </w:pPr>
      <w:r w:rsidRPr="00571284">
        <w:rPr>
          <w:rFonts w:ascii="Arial" w:eastAsia="Calibri" w:hAnsi="Arial" w:cs="Arial"/>
          <w:b/>
        </w:rPr>
        <w:t xml:space="preserve">Small inactive </w:t>
      </w:r>
      <w:r w:rsidR="003047B7" w:rsidRPr="00571284">
        <w:rPr>
          <w:rFonts w:ascii="Arial" w:eastAsia="Calibri" w:hAnsi="Arial" w:cs="Arial"/>
          <w:b/>
        </w:rPr>
        <w:t xml:space="preserve">superannuation </w:t>
      </w:r>
      <w:r w:rsidRPr="00571284">
        <w:rPr>
          <w:rFonts w:ascii="Arial" w:eastAsia="Calibri" w:hAnsi="Arial" w:cs="Arial"/>
          <w:b/>
        </w:rPr>
        <w:t>accounts and unclaimed monies</w:t>
      </w:r>
    </w:p>
    <w:p w:rsidR="00571284" w:rsidRPr="00571284" w:rsidRDefault="00571284" w:rsidP="00571284">
      <w:pPr>
        <w:rPr>
          <w:rFonts w:ascii="Arial" w:eastAsia="Calibri" w:hAnsi="Arial" w:cs="Arial"/>
          <w:b/>
          <w:i/>
        </w:rPr>
      </w:pPr>
    </w:p>
    <w:p w:rsidR="00717085" w:rsidRDefault="00D92F85" w:rsidP="00EC60DE">
      <w:pPr>
        <w:rPr>
          <w:rFonts w:ascii="Arial" w:eastAsia="Calibri" w:hAnsi="Arial" w:cs="Arial"/>
          <w:color w:val="000000"/>
          <w:sz w:val="22"/>
          <w:szCs w:val="22"/>
        </w:rPr>
      </w:pPr>
      <w:r w:rsidRPr="00EC60DE">
        <w:rPr>
          <w:rFonts w:ascii="Arial" w:eastAsia="Calibri" w:hAnsi="Arial" w:cs="Arial"/>
          <w:color w:val="000000"/>
          <w:sz w:val="22"/>
          <w:szCs w:val="22"/>
        </w:rPr>
        <w:t xml:space="preserve">As a result of decisions by the current and previous government, </w:t>
      </w:r>
      <w:r w:rsidR="00717085" w:rsidRPr="00EC60DE">
        <w:rPr>
          <w:rFonts w:ascii="Arial" w:eastAsia="Calibri" w:hAnsi="Arial" w:cs="Arial"/>
          <w:color w:val="000000"/>
          <w:sz w:val="22"/>
          <w:szCs w:val="22"/>
        </w:rPr>
        <w:t xml:space="preserve">the threshold below which small inactive superannuation accounts are required to be transferred to the Australian Taxation Office </w:t>
      </w:r>
      <w:r w:rsidRPr="00EC60DE">
        <w:rPr>
          <w:rFonts w:ascii="Arial" w:eastAsia="Calibri" w:hAnsi="Arial" w:cs="Arial"/>
          <w:color w:val="000000"/>
          <w:sz w:val="22"/>
          <w:szCs w:val="22"/>
        </w:rPr>
        <w:t xml:space="preserve">has </w:t>
      </w:r>
      <w:r w:rsidR="00717085" w:rsidRPr="00EC60DE">
        <w:rPr>
          <w:rFonts w:ascii="Arial" w:eastAsia="Calibri" w:hAnsi="Arial" w:cs="Arial"/>
          <w:color w:val="000000"/>
          <w:sz w:val="22"/>
          <w:szCs w:val="22"/>
        </w:rPr>
        <w:t>be</w:t>
      </w:r>
      <w:r w:rsidRPr="00EC60DE">
        <w:rPr>
          <w:rFonts w:ascii="Arial" w:eastAsia="Calibri" w:hAnsi="Arial" w:cs="Arial"/>
          <w:color w:val="000000"/>
          <w:sz w:val="22"/>
          <w:szCs w:val="22"/>
        </w:rPr>
        <w:t>en</w:t>
      </w:r>
      <w:r w:rsidR="00717085" w:rsidRPr="00EC60DE">
        <w:rPr>
          <w:rFonts w:ascii="Arial" w:eastAsia="Calibri" w:hAnsi="Arial" w:cs="Arial"/>
          <w:color w:val="000000"/>
          <w:sz w:val="22"/>
          <w:szCs w:val="22"/>
        </w:rPr>
        <w:t xml:space="preserve"> increased from $2,000 to $4,</w:t>
      </w:r>
      <w:r w:rsidRPr="00EC60DE">
        <w:rPr>
          <w:rFonts w:ascii="Arial" w:eastAsia="Calibri" w:hAnsi="Arial" w:cs="Arial"/>
          <w:color w:val="000000"/>
          <w:sz w:val="22"/>
          <w:szCs w:val="22"/>
        </w:rPr>
        <w:t xml:space="preserve">000 from 31 December 2015, and </w:t>
      </w:r>
      <w:r w:rsidR="00717085" w:rsidRPr="00EC60DE">
        <w:rPr>
          <w:rFonts w:ascii="Arial" w:eastAsia="Calibri" w:hAnsi="Arial" w:cs="Arial"/>
          <w:color w:val="000000"/>
          <w:sz w:val="22"/>
          <w:szCs w:val="22"/>
        </w:rPr>
        <w:t>to $6,000 from 31 December 2016.</w:t>
      </w:r>
    </w:p>
    <w:p w:rsidR="00EC60DE" w:rsidRPr="00EC60DE" w:rsidRDefault="00EC60DE" w:rsidP="00EC60DE">
      <w:pPr>
        <w:rPr>
          <w:rFonts w:ascii="Arial" w:eastAsia="Calibri" w:hAnsi="Arial" w:cs="Arial"/>
          <w:color w:val="000000"/>
          <w:sz w:val="22"/>
          <w:szCs w:val="22"/>
        </w:rPr>
      </w:pPr>
    </w:p>
    <w:p w:rsidR="00717085" w:rsidRPr="00F3123B" w:rsidRDefault="00D92F85" w:rsidP="00D71B8E">
      <w:pPr>
        <w:rPr>
          <w:rFonts w:ascii="Arial" w:hAnsi="Arial" w:cs="Arial"/>
          <w:sz w:val="22"/>
          <w:szCs w:val="22"/>
        </w:rPr>
      </w:pPr>
      <w:r w:rsidRPr="00EC60DE">
        <w:rPr>
          <w:rFonts w:ascii="Arial" w:hAnsi="Arial" w:cs="Arial"/>
          <w:sz w:val="22"/>
          <w:szCs w:val="22"/>
        </w:rPr>
        <w:t>T</w:t>
      </w:r>
      <w:r w:rsidR="00717085" w:rsidRPr="00EC60DE">
        <w:rPr>
          <w:rFonts w:ascii="Arial" w:hAnsi="Arial" w:cs="Arial"/>
          <w:sz w:val="22"/>
          <w:szCs w:val="22"/>
        </w:rPr>
        <w:t xml:space="preserve">he stated aim of the measure </w:t>
      </w:r>
      <w:r w:rsidR="003047B7" w:rsidRPr="00EC60DE">
        <w:rPr>
          <w:rFonts w:ascii="Arial" w:hAnsi="Arial" w:cs="Arial"/>
          <w:sz w:val="22"/>
          <w:szCs w:val="22"/>
        </w:rPr>
        <w:t>i</w:t>
      </w:r>
      <w:r w:rsidR="00717085" w:rsidRPr="00EC60DE">
        <w:rPr>
          <w:rFonts w:ascii="Arial" w:hAnsi="Arial" w:cs="Arial"/>
          <w:sz w:val="22"/>
          <w:szCs w:val="22"/>
        </w:rPr>
        <w:t xml:space="preserve">s to protect the real value of these small transferred accounts. </w:t>
      </w:r>
      <w:r w:rsidR="00717085" w:rsidRPr="00EC60DE">
        <w:rPr>
          <w:rFonts w:ascii="Arial" w:eastAsia="Calibri" w:hAnsi="Arial" w:cs="Arial"/>
          <w:color w:val="000000"/>
          <w:sz w:val="22"/>
          <w:szCs w:val="22"/>
        </w:rPr>
        <w:t>While the aim of protecting account balances may be appropriate for account balances under $2,000, there is far less certainty about the need for such protection under t</w:t>
      </w:r>
      <w:r w:rsidR="00B337D1">
        <w:rPr>
          <w:rFonts w:ascii="Arial" w:eastAsia="Calibri" w:hAnsi="Arial" w:cs="Arial"/>
          <w:color w:val="000000"/>
          <w:sz w:val="22"/>
          <w:szCs w:val="22"/>
        </w:rPr>
        <w:t>he higher thresholds.</w:t>
      </w:r>
    </w:p>
    <w:p w:rsidR="00EC60DE" w:rsidRPr="00EC60DE" w:rsidRDefault="00EC60DE" w:rsidP="00EC60DE">
      <w:pPr>
        <w:rPr>
          <w:rFonts w:ascii="Arial" w:eastAsia="Calibri" w:hAnsi="Arial" w:cs="Arial"/>
          <w:color w:val="000000"/>
          <w:sz w:val="22"/>
          <w:szCs w:val="22"/>
        </w:rPr>
      </w:pPr>
    </w:p>
    <w:p w:rsidR="00717085" w:rsidRDefault="0082407A" w:rsidP="00EC60DE">
      <w:pPr>
        <w:rPr>
          <w:rFonts w:ascii="Arial" w:eastAsia="Calibri" w:hAnsi="Arial" w:cs="Arial"/>
          <w:color w:val="000000"/>
          <w:sz w:val="22"/>
          <w:szCs w:val="22"/>
        </w:rPr>
      </w:pPr>
      <w:r w:rsidRPr="00EC60DE">
        <w:rPr>
          <w:rFonts w:ascii="Arial" w:eastAsia="Calibri" w:hAnsi="Arial" w:cs="Arial"/>
          <w:color w:val="000000"/>
          <w:sz w:val="22"/>
          <w:szCs w:val="22"/>
        </w:rPr>
        <w:t xml:space="preserve">While </w:t>
      </w:r>
      <w:r w:rsidR="00717085" w:rsidRPr="00EC60DE">
        <w:rPr>
          <w:rFonts w:ascii="Arial" w:eastAsia="Calibri" w:hAnsi="Arial" w:cs="Arial"/>
          <w:color w:val="000000"/>
          <w:sz w:val="22"/>
          <w:szCs w:val="22"/>
        </w:rPr>
        <w:t xml:space="preserve">interest will be paid at the CPI rate on amounts held by the ATO, for a member invested in a fund’s default investment option, based on long term average investment returns, it is probable that for account balances greater than $2,000 the member would be better off financially were the account balance to </w:t>
      </w:r>
      <w:r w:rsidR="00B337D1">
        <w:rPr>
          <w:rFonts w:ascii="Arial" w:eastAsia="Calibri" w:hAnsi="Arial" w:cs="Arial"/>
          <w:color w:val="000000"/>
          <w:sz w:val="22"/>
          <w:szCs w:val="22"/>
        </w:rPr>
        <w:t xml:space="preserve">remain invested </w:t>
      </w:r>
      <w:r w:rsidR="00F3123B">
        <w:rPr>
          <w:rFonts w:ascii="Arial" w:eastAsia="Calibri" w:hAnsi="Arial" w:cs="Arial"/>
          <w:color w:val="000000"/>
          <w:sz w:val="22"/>
          <w:szCs w:val="22"/>
        </w:rPr>
        <w:t>in an active superannuation account held by the member</w:t>
      </w:r>
      <w:r w:rsidR="00B337D1">
        <w:rPr>
          <w:rFonts w:ascii="Arial" w:eastAsia="Calibri" w:hAnsi="Arial" w:cs="Arial"/>
          <w:color w:val="000000"/>
          <w:sz w:val="22"/>
          <w:szCs w:val="22"/>
        </w:rPr>
        <w:t>.</w:t>
      </w:r>
    </w:p>
    <w:p w:rsidR="00EC60DE" w:rsidRPr="00EC60DE" w:rsidRDefault="00EC60DE" w:rsidP="00EC60DE">
      <w:pPr>
        <w:rPr>
          <w:rFonts w:ascii="Arial" w:eastAsia="Calibri" w:hAnsi="Arial" w:cs="Arial"/>
          <w:color w:val="000000"/>
          <w:sz w:val="22"/>
          <w:szCs w:val="22"/>
        </w:rPr>
      </w:pPr>
    </w:p>
    <w:p w:rsidR="0082407A" w:rsidRDefault="00717085" w:rsidP="00EC60DE">
      <w:pPr>
        <w:rPr>
          <w:rFonts w:ascii="Arial" w:eastAsia="Calibri" w:hAnsi="Arial" w:cs="Arial"/>
          <w:color w:val="000000"/>
          <w:sz w:val="22"/>
          <w:szCs w:val="22"/>
        </w:rPr>
      </w:pPr>
      <w:r w:rsidRPr="00EC60DE">
        <w:rPr>
          <w:rFonts w:ascii="Arial" w:eastAsia="Calibri" w:hAnsi="Arial" w:cs="Arial"/>
          <w:color w:val="000000"/>
          <w:sz w:val="22"/>
          <w:szCs w:val="22"/>
        </w:rPr>
        <w:t xml:space="preserve">A further concern is that these higher account balances are more likely to hold insured benefits.  There is also an increased likelihood that the member has consciously maintained an account for the explicit purpose of retaining insurance through that account. A significant number of superannuation funds, under their partial portability rules, have a “retained balance” threshold – generally around $5,000 </w:t>
      </w:r>
      <w:r w:rsidR="00614966" w:rsidRPr="00EC60DE">
        <w:rPr>
          <w:rFonts w:ascii="Arial" w:eastAsia="Calibri" w:hAnsi="Arial" w:cs="Arial"/>
          <w:color w:val="000000"/>
          <w:sz w:val="22"/>
          <w:szCs w:val="22"/>
        </w:rPr>
        <w:t>–</w:t>
      </w:r>
      <w:r w:rsidRPr="00EC60DE">
        <w:rPr>
          <w:rFonts w:ascii="Arial" w:eastAsia="Calibri" w:hAnsi="Arial" w:cs="Arial"/>
          <w:color w:val="000000"/>
          <w:sz w:val="22"/>
          <w:szCs w:val="22"/>
        </w:rPr>
        <w:t xml:space="preserve"> which insured members avail themselves of in order to retain insurance cover through their account.  Some funds will also allow members to let their account balance fall below the threshold before they require them to top up the account</w:t>
      </w:r>
      <w:r w:rsidR="003A52C7">
        <w:rPr>
          <w:rFonts w:ascii="Arial" w:eastAsia="Calibri" w:hAnsi="Arial" w:cs="Arial"/>
          <w:color w:val="000000"/>
          <w:sz w:val="22"/>
          <w:szCs w:val="22"/>
        </w:rPr>
        <w:t xml:space="preserve"> </w:t>
      </w:r>
      <w:r w:rsidRPr="00EC60DE">
        <w:rPr>
          <w:rFonts w:ascii="Arial" w:eastAsia="Calibri" w:hAnsi="Arial" w:cs="Arial"/>
          <w:color w:val="000000"/>
          <w:sz w:val="22"/>
          <w:szCs w:val="22"/>
        </w:rPr>
        <w:t>in order</w:t>
      </w:r>
      <w:r w:rsidR="00B337D1">
        <w:rPr>
          <w:rFonts w:ascii="Arial" w:eastAsia="Calibri" w:hAnsi="Arial" w:cs="Arial"/>
          <w:color w:val="000000"/>
          <w:sz w:val="22"/>
          <w:szCs w:val="22"/>
        </w:rPr>
        <w:t xml:space="preserve"> to retain the insurance cover.</w:t>
      </w:r>
    </w:p>
    <w:p w:rsidR="00EC60DE" w:rsidRPr="00EC60DE" w:rsidRDefault="00EC60DE" w:rsidP="00EC60DE">
      <w:pPr>
        <w:rPr>
          <w:rFonts w:ascii="Arial" w:eastAsia="Calibri" w:hAnsi="Arial" w:cs="Arial"/>
          <w:color w:val="000000"/>
          <w:sz w:val="22"/>
          <w:szCs w:val="22"/>
        </w:rPr>
      </w:pPr>
    </w:p>
    <w:p w:rsidR="00717085" w:rsidRDefault="00717085" w:rsidP="00EC60DE">
      <w:pPr>
        <w:rPr>
          <w:rFonts w:ascii="Arial" w:eastAsia="Calibri" w:hAnsi="Arial" w:cs="Arial"/>
          <w:color w:val="000000"/>
          <w:sz w:val="22"/>
          <w:szCs w:val="22"/>
        </w:rPr>
      </w:pPr>
      <w:r w:rsidRPr="00EC60DE">
        <w:rPr>
          <w:rFonts w:ascii="Arial" w:eastAsia="Calibri" w:hAnsi="Arial" w:cs="Arial"/>
          <w:color w:val="000000"/>
          <w:sz w:val="22"/>
          <w:szCs w:val="22"/>
        </w:rPr>
        <w:t>Whilst the ATO is active in identifying and contacting account owners and encouraging them to consolidate these lost accounts with their other superannuation holdings,</w:t>
      </w:r>
      <w:r w:rsidR="00E85F87">
        <w:rPr>
          <w:rFonts w:ascii="Arial" w:eastAsia="Calibri" w:hAnsi="Arial" w:cs="Arial"/>
          <w:color w:val="000000"/>
          <w:sz w:val="22"/>
          <w:szCs w:val="22"/>
        </w:rPr>
        <w:t xml:space="preserve"> the amount of superannuation held by the ATO as unclaimed or as small and inactive continues to grow</w:t>
      </w:r>
      <w:r w:rsidR="00BC08AF">
        <w:rPr>
          <w:rFonts w:ascii="Arial" w:eastAsia="Calibri" w:hAnsi="Arial" w:cs="Arial"/>
          <w:color w:val="000000"/>
          <w:sz w:val="22"/>
          <w:szCs w:val="22"/>
        </w:rPr>
        <w:t>.</w:t>
      </w:r>
      <w:r w:rsidR="00E85F87">
        <w:rPr>
          <w:rFonts w:ascii="Arial" w:eastAsia="Calibri" w:hAnsi="Arial" w:cs="Arial"/>
          <w:color w:val="000000"/>
          <w:sz w:val="22"/>
          <w:szCs w:val="22"/>
        </w:rPr>
        <w:t xml:space="preserve"> The number of such accounts grew from 3.8 million in 2014-15 to 4.1 million, with the aggregate balances growing from $2 billion to $2.5 billion. In most cases the individuals concerned will have </w:t>
      </w:r>
      <w:r w:rsidR="00685E69">
        <w:rPr>
          <w:rFonts w:ascii="Arial" w:eastAsia="Calibri" w:hAnsi="Arial" w:cs="Arial"/>
          <w:color w:val="000000"/>
          <w:sz w:val="22"/>
          <w:szCs w:val="22"/>
        </w:rPr>
        <w:t xml:space="preserve">a </w:t>
      </w:r>
      <w:r w:rsidR="00E85F87">
        <w:rPr>
          <w:rFonts w:ascii="Arial" w:eastAsia="Calibri" w:hAnsi="Arial" w:cs="Arial"/>
          <w:color w:val="000000"/>
          <w:sz w:val="22"/>
          <w:szCs w:val="22"/>
        </w:rPr>
        <w:t>superannuation account that is active and which they are aware of.</w:t>
      </w:r>
    </w:p>
    <w:p w:rsidR="00BC08AF" w:rsidRPr="00EC60DE" w:rsidRDefault="00BC08AF" w:rsidP="00EC60DE">
      <w:pPr>
        <w:rPr>
          <w:rFonts w:ascii="Arial" w:eastAsia="Calibri" w:hAnsi="Arial" w:cs="Arial"/>
          <w:color w:val="000000"/>
          <w:sz w:val="22"/>
          <w:szCs w:val="22"/>
        </w:rPr>
      </w:pPr>
    </w:p>
    <w:p w:rsidR="000F06B8" w:rsidRDefault="00717085" w:rsidP="00397141">
      <w:pPr>
        <w:rPr>
          <w:rFonts w:ascii="Arial" w:eastAsia="Calibri" w:hAnsi="Arial" w:cs="Arial"/>
          <w:color w:val="000000"/>
          <w:sz w:val="22"/>
          <w:szCs w:val="22"/>
        </w:rPr>
      </w:pPr>
      <w:r w:rsidRPr="00BC08AF">
        <w:rPr>
          <w:rFonts w:ascii="Arial" w:eastAsia="Calibri" w:hAnsi="Arial" w:cs="Arial"/>
          <w:color w:val="000000"/>
          <w:sz w:val="22"/>
          <w:szCs w:val="22"/>
        </w:rPr>
        <w:t xml:space="preserve">Given recent changes to superannuation reporting requirements that have enhanced the </w:t>
      </w:r>
      <w:r w:rsidR="00E85F87" w:rsidRPr="00BC08AF">
        <w:rPr>
          <w:rFonts w:ascii="Arial" w:eastAsia="Calibri" w:hAnsi="Arial" w:cs="Arial"/>
          <w:color w:val="000000"/>
          <w:sz w:val="22"/>
          <w:szCs w:val="22"/>
        </w:rPr>
        <w:t xml:space="preserve">information </w:t>
      </w:r>
      <w:r w:rsidR="00E85F87">
        <w:rPr>
          <w:rFonts w:ascii="Arial" w:eastAsia="Calibri" w:hAnsi="Arial" w:cs="Arial"/>
          <w:color w:val="000000"/>
          <w:sz w:val="22"/>
          <w:szCs w:val="22"/>
        </w:rPr>
        <w:t xml:space="preserve">held by the </w:t>
      </w:r>
      <w:r w:rsidRPr="00BC08AF">
        <w:rPr>
          <w:rFonts w:ascii="Arial" w:eastAsia="Calibri" w:hAnsi="Arial" w:cs="Arial"/>
          <w:color w:val="000000"/>
          <w:sz w:val="22"/>
          <w:szCs w:val="22"/>
        </w:rPr>
        <w:t>Commissioner</w:t>
      </w:r>
      <w:r w:rsidR="00E85F87">
        <w:rPr>
          <w:rFonts w:ascii="Arial" w:eastAsia="Calibri" w:hAnsi="Arial" w:cs="Arial"/>
          <w:color w:val="000000"/>
          <w:sz w:val="22"/>
          <w:szCs w:val="22"/>
        </w:rPr>
        <w:t xml:space="preserve"> in regard to</w:t>
      </w:r>
      <w:r w:rsidRPr="00BC08AF">
        <w:rPr>
          <w:rFonts w:ascii="Arial" w:eastAsia="Calibri" w:hAnsi="Arial" w:cs="Arial"/>
          <w:color w:val="000000"/>
          <w:sz w:val="22"/>
          <w:szCs w:val="22"/>
        </w:rPr>
        <w:t xml:space="preserve"> superannuation accounts</w:t>
      </w:r>
      <w:r w:rsidR="005F6801" w:rsidRPr="00BC08AF">
        <w:rPr>
          <w:rFonts w:ascii="Arial" w:eastAsia="Calibri" w:hAnsi="Arial" w:cs="Arial"/>
          <w:color w:val="000000"/>
          <w:sz w:val="22"/>
          <w:szCs w:val="22"/>
        </w:rPr>
        <w:t>, ASFA considers that</w:t>
      </w:r>
      <w:r w:rsidRPr="00BC08AF">
        <w:rPr>
          <w:rFonts w:ascii="Arial" w:eastAsia="Calibri" w:hAnsi="Arial" w:cs="Arial"/>
          <w:color w:val="000000"/>
          <w:sz w:val="22"/>
          <w:szCs w:val="22"/>
        </w:rPr>
        <w:t xml:space="preserve"> the opportunity should be taken to amend section 24G of the SUMLM Act to empower the Commissioner to initiate the repatriation of lost member accounts.  </w:t>
      </w:r>
    </w:p>
    <w:p w:rsidR="000F06B8" w:rsidRPr="00EE1521" w:rsidRDefault="000F06B8" w:rsidP="000F06B8">
      <w:pPr>
        <w:rPr>
          <w:rFonts w:ascii="Arial" w:eastAsia="Calibri" w:hAnsi="Arial" w:cs="Arial"/>
          <w:color w:val="000000"/>
          <w:sz w:val="22"/>
          <w:szCs w:val="22"/>
          <w:lang w:eastAsia="en-AU"/>
        </w:rPr>
      </w:pPr>
    </w:p>
    <w:p w:rsidR="000F06B8" w:rsidRDefault="000F06B8" w:rsidP="000F06B8">
      <w:pPr>
        <w:pBdr>
          <w:top w:val="single" w:sz="4" w:space="1" w:color="auto"/>
          <w:left w:val="single" w:sz="4" w:space="1" w:color="auto"/>
          <w:bottom w:val="single" w:sz="4" w:space="1" w:color="auto"/>
          <w:right w:val="single" w:sz="4" w:space="1" w:color="auto"/>
          <w:bar w:val="single" w:sz="4" w:color="auto"/>
        </w:pBdr>
        <w:rPr>
          <w:rFonts w:ascii="Arial" w:eastAsia="Calibri" w:hAnsi="Arial" w:cs="Arial"/>
          <w:b/>
          <w:color w:val="000000"/>
          <w:sz w:val="22"/>
          <w:szCs w:val="22"/>
          <w:lang w:eastAsia="en-AU"/>
        </w:rPr>
      </w:pPr>
      <w:r>
        <w:rPr>
          <w:rFonts w:ascii="Arial" w:eastAsia="Calibri" w:hAnsi="Arial" w:cs="Arial"/>
          <w:b/>
          <w:color w:val="000000"/>
          <w:sz w:val="22"/>
          <w:szCs w:val="22"/>
          <w:lang w:eastAsia="en-AU"/>
        </w:rPr>
        <w:t xml:space="preserve">Recommendation </w:t>
      </w:r>
      <w:r w:rsidR="00F3123B">
        <w:rPr>
          <w:rFonts w:ascii="Arial" w:eastAsia="Calibri" w:hAnsi="Arial" w:cs="Arial"/>
          <w:b/>
          <w:color w:val="000000"/>
          <w:sz w:val="22"/>
          <w:szCs w:val="22"/>
          <w:lang w:eastAsia="en-AU"/>
        </w:rPr>
        <w:t>3</w:t>
      </w:r>
      <w:r>
        <w:rPr>
          <w:rFonts w:ascii="Arial" w:eastAsia="Calibri" w:hAnsi="Arial" w:cs="Arial"/>
          <w:b/>
          <w:color w:val="000000"/>
          <w:sz w:val="22"/>
          <w:szCs w:val="22"/>
          <w:lang w:eastAsia="en-AU"/>
        </w:rPr>
        <w:t>:</w:t>
      </w:r>
    </w:p>
    <w:p w:rsidR="000F06B8" w:rsidRDefault="000F06B8" w:rsidP="000F06B8">
      <w:pPr>
        <w:pBdr>
          <w:top w:val="single" w:sz="4" w:space="1" w:color="auto"/>
          <w:left w:val="single" w:sz="4" w:space="1" w:color="auto"/>
          <w:bottom w:val="single" w:sz="4" w:space="1" w:color="auto"/>
          <w:right w:val="single" w:sz="4" w:space="1" w:color="auto"/>
          <w:bar w:val="single" w:sz="4" w:color="auto"/>
        </w:pBdr>
        <w:rPr>
          <w:rFonts w:ascii="Arial" w:eastAsia="Calibri" w:hAnsi="Arial" w:cs="Arial"/>
          <w:b/>
          <w:color w:val="000000"/>
          <w:sz w:val="22"/>
          <w:szCs w:val="22"/>
          <w:lang w:eastAsia="en-AU"/>
        </w:rPr>
      </w:pPr>
    </w:p>
    <w:p w:rsidR="000F06B8" w:rsidRDefault="000F06B8" w:rsidP="000F06B8">
      <w:pPr>
        <w:pBdr>
          <w:top w:val="single" w:sz="4" w:space="1" w:color="auto"/>
          <w:left w:val="single" w:sz="4" w:space="1" w:color="auto"/>
          <w:bottom w:val="single" w:sz="4" w:space="1" w:color="auto"/>
          <w:right w:val="single" w:sz="4" w:space="1" w:color="auto"/>
          <w:bar w:val="single" w:sz="4" w:color="auto"/>
        </w:pBdr>
        <w:rPr>
          <w:rFonts w:ascii="Arial" w:eastAsia="Calibri" w:hAnsi="Arial" w:cs="Arial"/>
          <w:color w:val="000000"/>
          <w:sz w:val="22"/>
          <w:szCs w:val="22"/>
          <w:lang w:eastAsia="en-AU"/>
        </w:rPr>
      </w:pPr>
      <w:r>
        <w:rPr>
          <w:rFonts w:ascii="Arial" w:hAnsi="Arial" w:cs="Arial"/>
          <w:color w:val="000000"/>
          <w:sz w:val="22"/>
          <w:szCs w:val="22"/>
        </w:rPr>
        <w:t xml:space="preserve">ASFA </w:t>
      </w:r>
      <w:r w:rsidRPr="00801794">
        <w:rPr>
          <w:rFonts w:ascii="Arial" w:hAnsi="Arial" w:cs="Arial"/>
          <w:color w:val="000000"/>
          <w:sz w:val="22"/>
          <w:szCs w:val="22"/>
        </w:rPr>
        <w:t xml:space="preserve">recommends that priority be given to amending the </w:t>
      </w:r>
      <w:r w:rsidRPr="00801794">
        <w:rPr>
          <w:rFonts w:ascii="Arial" w:hAnsi="Arial" w:cs="Arial"/>
          <w:i/>
          <w:color w:val="000000"/>
          <w:sz w:val="22"/>
          <w:szCs w:val="22"/>
        </w:rPr>
        <w:t>Superannuation (Unclaimed Money and Lost Members) Act 1999 Act</w:t>
      </w:r>
      <w:r w:rsidRPr="00801794">
        <w:rPr>
          <w:rFonts w:ascii="Arial" w:hAnsi="Arial" w:cs="Arial"/>
          <w:color w:val="000000"/>
          <w:sz w:val="22"/>
          <w:szCs w:val="22"/>
        </w:rPr>
        <w:t xml:space="preserve"> so as to permit the Commissioner of Taxation to pay </w:t>
      </w:r>
      <w:r w:rsidR="0091004A">
        <w:rPr>
          <w:rFonts w:ascii="Arial" w:hAnsi="Arial" w:cs="Arial"/>
          <w:color w:val="000000"/>
          <w:sz w:val="22"/>
          <w:szCs w:val="22"/>
        </w:rPr>
        <w:t xml:space="preserve">unclaimed money </w:t>
      </w:r>
      <w:r w:rsidRPr="00801794">
        <w:rPr>
          <w:rFonts w:ascii="Arial" w:hAnsi="Arial" w:cs="Arial"/>
          <w:color w:val="000000"/>
          <w:sz w:val="22"/>
          <w:szCs w:val="22"/>
        </w:rPr>
        <w:t xml:space="preserve">to a complying superannuation plan where the Commissioner is satisfied as to the identity of the lost member account owner and that the person holds an account in the proposed </w:t>
      </w:r>
      <w:r w:rsidR="0096049D">
        <w:rPr>
          <w:rFonts w:ascii="Arial" w:hAnsi="Arial" w:cs="Arial"/>
          <w:color w:val="000000"/>
          <w:sz w:val="22"/>
          <w:szCs w:val="22"/>
        </w:rPr>
        <w:t xml:space="preserve">active </w:t>
      </w:r>
      <w:r w:rsidRPr="00801794">
        <w:rPr>
          <w:rFonts w:ascii="Arial" w:hAnsi="Arial" w:cs="Arial"/>
          <w:color w:val="000000"/>
          <w:sz w:val="22"/>
          <w:szCs w:val="22"/>
        </w:rPr>
        <w:t>destination fund</w:t>
      </w:r>
      <w:r>
        <w:rPr>
          <w:rFonts w:ascii="Arial" w:hAnsi="Arial" w:cs="Arial"/>
          <w:color w:val="000000"/>
          <w:sz w:val="22"/>
          <w:szCs w:val="22"/>
        </w:rPr>
        <w:t>.</w:t>
      </w:r>
    </w:p>
    <w:p w:rsidR="000F06B8" w:rsidRPr="000F06B8" w:rsidRDefault="000F06B8" w:rsidP="000F06B8">
      <w:pPr>
        <w:pBdr>
          <w:top w:val="single" w:sz="4" w:space="1" w:color="auto"/>
          <w:left w:val="single" w:sz="4" w:space="1" w:color="auto"/>
          <w:bottom w:val="single" w:sz="4" w:space="1" w:color="auto"/>
          <w:right w:val="single" w:sz="4" w:space="1" w:color="auto"/>
          <w:bar w:val="single" w:sz="4" w:color="auto"/>
        </w:pBdr>
        <w:rPr>
          <w:rFonts w:ascii="Arial" w:eastAsia="Calibri" w:hAnsi="Arial" w:cs="Arial"/>
          <w:b/>
          <w:color w:val="000000"/>
          <w:sz w:val="22"/>
          <w:szCs w:val="22"/>
          <w:lang w:eastAsia="en-AU"/>
        </w:rPr>
      </w:pPr>
    </w:p>
    <w:p w:rsidR="005F6801" w:rsidRPr="00571284" w:rsidRDefault="005F6801" w:rsidP="00571284">
      <w:pPr>
        <w:rPr>
          <w:rFonts w:ascii="Arial" w:eastAsia="Calibri" w:hAnsi="Arial" w:cs="Arial"/>
          <w:b/>
        </w:rPr>
      </w:pPr>
      <w:r w:rsidRPr="00571284">
        <w:rPr>
          <w:rFonts w:ascii="Arial" w:eastAsia="Calibri" w:hAnsi="Arial" w:cs="Arial"/>
          <w:b/>
        </w:rPr>
        <w:t>Enforcement of the Superannuation Guarantee</w:t>
      </w:r>
    </w:p>
    <w:p w:rsidR="00571284" w:rsidRPr="00571284" w:rsidRDefault="00571284" w:rsidP="00571284">
      <w:pPr>
        <w:rPr>
          <w:rFonts w:ascii="Arial" w:eastAsia="Calibri" w:hAnsi="Arial" w:cs="Arial"/>
          <w:b/>
          <w:i/>
        </w:rPr>
      </w:pPr>
    </w:p>
    <w:p w:rsidR="00717085" w:rsidRDefault="003A52C7" w:rsidP="00BC08AF">
      <w:pPr>
        <w:rPr>
          <w:rFonts w:ascii="Arial" w:hAnsi="Arial" w:cs="Arial"/>
          <w:sz w:val="22"/>
          <w:szCs w:val="22"/>
        </w:rPr>
      </w:pPr>
      <w:r>
        <w:rPr>
          <w:rFonts w:ascii="Arial" w:hAnsi="Arial" w:cs="Arial"/>
          <w:sz w:val="22"/>
          <w:szCs w:val="22"/>
        </w:rPr>
        <w:t>While we note and welcome the increased focus from the ATO, t</w:t>
      </w:r>
      <w:r w:rsidR="00717085" w:rsidRPr="00801794">
        <w:rPr>
          <w:rFonts w:ascii="Arial" w:hAnsi="Arial" w:cs="Arial"/>
          <w:sz w:val="22"/>
          <w:szCs w:val="22"/>
        </w:rPr>
        <w:t xml:space="preserve">he non-payment of SG contributions by employers is a critical issue impacting on the retirement outcomes of Australians. </w:t>
      </w:r>
    </w:p>
    <w:p w:rsidR="00BC08AF" w:rsidRPr="00801794" w:rsidRDefault="00BC08AF" w:rsidP="00BC08AF">
      <w:pPr>
        <w:rPr>
          <w:rFonts w:ascii="Arial" w:hAnsi="Arial" w:cs="Arial"/>
          <w:sz w:val="22"/>
          <w:szCs w:val="22"/>
        </w:rPr>
      </w:pPr>
    </w:p>
    <w:p w:rsidR="00717085" w:rsidRDefault="00F3123B" w:rsidP="00BC08AF">
      <w:pPr>
        <w:rPr>
          <w:rFonts w:ascii="Arial" w:hAnsi="Arial" w:cs="Arial"/>
          <w:sz w:val="22"/>
          <w:szCs w:val="22"/>
        </w:rPr>
      </w:pPr>
      <w:r>
        <w:rPr>
          <w:rFonts w:ascii="Arial" w:hAnsi="Arial" w:cs="Arial"/>
          <w:sz w:val="22"/>
          <w:szCs w:val="22"/>
        </w:rPr>
        <w:t>R</w:t>
      </w:r>
      <w:r w:rsidR="00717085" w:rsidRPr="00801794">
        <w:rPr>
          <w:rFonts w:ascii="Arial" w:hAnsi="Arial" w:cs="Arial"/>
          <w:sz w:val="22"/>
          <w:szCs w:val="22"/>
        </w:rPr>
        <w:t xml:space="preserve">eports </w:t>
      </w:r>
      <w:r w:rsidR="00E402DF">
        <w:rPr>
          <w:rFonts w:ascii="Arial" w:hAnsi="Arial" w:cs="Arial"/>
          <w:sz w:val="22"/>
          <w:szCs w:val="22"/>
        </w:rPr>
        <w:t xml:space="preserve">prepared by Tria Investment Partners </w:t>
      </w:r>
      <w:r w:rsidR="00717085" w:rsidRPr="00801794">
        <w:rPr>
          <w:rFonts w:ascii="Arial" w:hAnsi="Arial" w:cs="Arial"/>
          <w:sz w:val="22"/>
          <w:szCs w:val="22"/>
        </w:rPr>
        <w:t>show an increase in SG non-compliance, and the significant impact that this can have on the retirement outcomes of aff</w:t>
      </w:r>
      <w:r w:rsidR="00E402DF">
        <w:rPr>
          <w:rFonts w:ascii="Arial" w:hAnsi="Arial" w:cs="Arial"/>
          <w:sz w:val="22"/>
          <w:szCs w:val="22"/>
        </w:rPr>
        <w:t>ected employees. In particular</w:t>
      </w:r>
      <w:r w:rsidR="00717085" w:rsidRPr="00801794">
        <w:rPr>
          <w:rFonts w:ascii="Arial" w:hAnsi="Arial" w:cs="Arial"/>
          <w:sz w:val="22"/>
          <w:szCs w:val="22"/>
        </w:rPr>
        <w:t>:</w:t>
      </w:r>
    </w:p>
    <w:p w:rsidR="00BC08AF" w:rsidRPr="00801794" w:rsidRDefault="00BC08AF" w:rsidP="00BC08AF">
      <w:pPr>
        <w:rPr>
          <w:rFonts w:ascii="Arial" w:hAnsi="Arial" w:cs="Arial"/>
          <w:sz w:val="22"/>
          <w:szCs w:val="22"/>
        </w:rPr>
      </w:pPr>
    </w:p>
    <w:p w:rsidR="00717085" w:rsidRDefault="00717085" w:rsidP="00397141">
      <w:pPr>
        <w:numPr>
          <w:ilvl w:val="0"/>
          <w:numId w:val="23"/>
        </w:numPr>
        <w:ind w:left="714" w:hanging="357"/>
        <w:contextualSpacing/>
        <w:rPr>
          <w:rFonts w:ascii="Arial" w:hAnsi="Arial" w:cs="Arial"/>
          <w:sz w:val="22"/>
          <w:szCs w:val="22"/>
        </w:rPr>
      </w:pPr>
      <w:r w:rsidRPr="00801794">
        <w:rPr>
          <w:rFonts w:ascii="Arial" w:hAnsi="Arial" w:cs="Arial"/>
          <w:sz w:val="22"/>
          <w:szCs w:val="22"/>
        </w:rPr>
        <w:t>SG non-compliance was assessed to be a $2.5 billion per annum problem in the 2014 Tria report, rising to $2.6 billion pe</w:t>
      </w:r>
      <w:r w:rsidR="00E402DF">
        <w:rPr>
          <w:rFonts w:ascii="Arial" w:hAnsi="Arial" w:cs="Arial"/>
          <w:sz w:val="22"/>
          <w:szCs w:val="22"/>
        </w:rPr>
        <w:t>r annum in the 2015 Tria report.</w:t>
      </w:r>
    </w:p>
    <w:p w:rsidR="00397141" w:rsidRPr="00801794" w:rsidRDefault="00397141" w:rsidP="00397141">
      <w:pPr>
        <w:ind w:left="714"/>
        <w:contextualSpacing/>
        <w:rPr>
          <w:rFonts w:ascii="Arial" w:hAnsi="Arial" w:cs="Arial"/>
          <w:sz w:val="22"/>
          <w:szCs w:val="22"/>
        </w:rPr>
      </w:pPr>
    </w:p>
    <w:p w:rsidR="00717085" w:rsidRDefault="00717085" w:rsidP="00397141">
      <w:pPr>
        <w:numPr>
          <w:ilvl w:val="0"/>
          <w:numId w:val="23"/>
        </w:numPr>
        <w:ind w:left="714" w:hanging="357"/>
        <w:contextualSpacing/>
        <w:rPr>
          <w:rFonts w:ascii="Arial" w:hAnsi="Arial" w:cs="Arial"/>
          <w:sz w:val="22"/>
          <w:szCs w:val="22"/>
        </w:rPr>
      </w:pPr>
      <w:r w:rsidRPr="00801794">
        <w:rPr>
          <w:rFonts w:ascii="Arial" w:hAnsi="Arial" w:cs="Arial"/>
          <w:sz w:val="22"/>
          <w:szCs w:val="22"/>
        </w:rPr>
        <w:t>The number of Australians affected by SG non-compliance is growing. The 201</w:t>
      </w:r>
      <w:r w:rsidR="00AE17B6">
        <w:rPr>
          <w:rFonts w:ascii="Arial" w:hAnsi="Arial" w:cs="Arial"/>
          <w:sz w:val="22"/>
          <w:szCs w:val="22"/>
        </w:rPr>
        <w:t>5</w:t>
      </w:r>
      <w:r w:rsidRPr="00801794">
        <w:rPr>
          <w:rFonts w:ascii="Arial" w:hAnsi="Arial" w:cs="Arial"/>
          <w:sz w:val="22"/>
          <w:szCs w:val="22"/>
        </w:rPr>
        <w:t xml:space="preserve"> Tria report found that around 6</w:t>
      </w:r>
      <w:r w:rsidR="00AE17B6">
        <w:rPr>
          <w:rFonts w:ascii="Arial" w:hAnsi="Arial" w:cs="Arial"/>
          <w:sz w:val="22"/>
          <w:szCs w:val="22"/>
        </w:rPr>
        <w:t>9</w:t>
      </w:r>
      <w:r w:rsidRPr="00801794">
        <w:rPr>
          <w:rFonts w:ascii="Arial" w:hAnsi="Arial" w:cs="Arial"/>
          <w:sz w:val="22"/>
          <w:szCs w:val="22"/>
        </w:rPr>
        <w:t xml:space="preserve">0,000 Australians – 6.5% of the workforce </w:t>
      </w:r>
      <w:r w:rsidR="00614966" w:rsidRPr="00801794">
        <w:rPr>
          <w:rFonts w:ascii="Arial" w:hAnsi="Arial" w:cs="Arial"/>
          <w:sz w:val="22"/>
          <w:szCs w:val="22"/>
        </w:rPr>
        <w:t xml:space="preserve">– </w:t>
      </w:r>
      <w:r w:rsidRPr="00801794">
        <w:rPr>
          <w:rFonts w:ascii="Arial" w:hAnsi="Arial" w:cs="Arial"/>
          <w:sz w:val="22"/>
          <w:szCs w:val="22"/>
        </w:rPr>
        <w:t>were affected</w:t>
      </w:r>
      <w:r w:rsidR="00E402DF">
        <w:rPr>
          <w:rFonts w:ascii="Arial" w:hAnsi="Arial" w:cs="Arial"/>
          <w:sz w:val="22"/>
          <w:szCs w:val="22"/>
        </w:rPr>
        <w:t xml:space="preserve"> by SG non</w:t>
      </w:r>
      <w:r w:rsidR="00E402DF">
        <w:rPr>
          <w:rFonts w:ascii="Arial" w:hAnsi="Arial" w:cs="Arial"/>
          <w:sz w:val="22"/>
          <w:szCs w:val="22"/>
        </w:rPr>
        <w:noBreakHyphen/>
        <w:t>compliance annually.</w:t>
      </w:r>
    </w:p>
    <w:p w:rsidR="00397141" w:rsidRPr="00801794" w:rsidRDefault="00397141" w:rsidP="00397141">
      <w:pPr>
        <w:ind w:left="714"/>
        <w:contextualSpacing/>
        <w:rPr>
          <w:rFonts w:ascii="Arial" w:hAnsi="Arial" w:cs="Arial"/>
          <w:sz w:val="22"/>
          <w:szCs w:val="22"/>
        </w:rPr>
      </w:pPr>
    </w:p>
    <w:p w:rsidR="00717085" w:rsidRDefault="00717085" w:rsidP="00397141">
      <w:pPr>
        <w:numPr>
          <w:ilvl w:val="0"/>
          <w:numId w:val="23"/>
        </w:numPr>
        <w:ind w:left="714" w:hanging="357"/>
        <w:contextualSpacing/>
        <w:rPr>
          <w:rFonts w:ascii="Arial" w:hAnsi="Arial" w:cs="Arial"/>
          <w:sz w:val="22"/>
          <w:szCs w:val="22"/>
        </w:rPr>
      </w:pPr>
      <w:r w:rsidRPr="00801794">
        <w:rPr>
          <w:rFonts w:ascii="Arial" w:hAnsi="Arial" w:cs="Arial"/>
          <w:sz w:val="22"/>
          <w:szCs w:val="22"/>
        </w:rPr>
        <w:t xml:space="preserve">The impact on Australians affected by SG non-compliance is </w:t>
      </w:r>
      <w:r w:rsidR="00E402DF">
        <w:rPr>
          <w:rFonts w:ascii="Arial" w:hAnsi="Arial" w:cs="Arial"/>
          <w:sz w:val="22"/>
          <w:szCs w:val="22"/>
        </w:rPr>
        <w:t>significant</w:t>
      </w:r>
      <w:r w:rsidRPr="00801794">
        <w:rPr>
          <w:rFonts w:ascii="Arial" w:hAnsi="Arial" w:cs="Arial"/>
          <w:sz w:val="22"/>
          <w:szCs w:val="22"/>
        </w:rPr>
        <w:t>. The 201</w:t>
      </w:r>
      <w:r w:rsidR="00AE17B6">
        <w:rPr>
          <w:rFonts w:ascii="Arial" w:hAnsi="Arial" w:cs="Arial"/>
          <w:sz w:val="22"/>
          <w:szCs w:val="22"/>
        </w:rPr>
        <w:t>5</w:t>
      </w:r>
      <w:r w:rsidRPr="00801794">
        <w:rPr>
          <w:rFonts w:ascii="Arial" w:hAnsi="Arial" w:cs="Arial"/>
          <w:sz w:val="22"/>
          <w:szCs w:val="22"/>
        </w:rPr>
        <w:t xml:space="preserve"> Tria report found that Australians affected by non-compliance lost an average of $3,</w:t>
      </w:r>
      <w:r w:rsidR="00AE17B6">
        <w:rPr>
          <w:rFonts w:ascii="Arial" w:hAnsi="Arial" w:cs="Arial"/>
          <w:sz w:val="22"/>
          <w:szCs w:val="22"/>
        </w:rPr>
        <w:t>80</w:t>
      </w:r>
      <w:r w:rsidRPr="00801794">
        <w:rPr>
          <w:rFonts w:ascii="Arial" w:hAnsi="Arial" w:cs="Arial"/>
          <w:sz w:val="22"/>
          <w:szCs w:val="22"/>
        </w:rPr>
        <w:t>0 per annum in SG contributions – 9 months’ worth for someone on average weekly earnings, more for low income earners.</w:t>
      </w:r>
    </w:p>
    <w:p w:rsidR="00397141" w:rsidRPr="00801794" w:rsidRDefault="00397141" w:rsidP="00397141">
      <w:pPr>
        <w:ind w:left="714"/>
        <w:contextualSpacing/>
        <w:rPr>
          <w:rFonts w:ascii="Arial" w:hAnsi="Arial" w:cs="Arial"/>
          <w:sz w:val="22"/>
          <w:szCs w:val="22"/>
        </w:rPr>
      </w:pPr>
    </w:p>
    <w:p w:rsidR="00717085" w:rsidRDefault="00717085" w:rsidP="00397141">
      <w:pPr>
        <w:numPr>
          <w:ilvl w:val="0"/>
          <w:numId w:val="25"/>
        </w:numPr>
        <w:ind w:left="714" w:hanging="357"/>
        <w:contextualSpacing/>
        <w:rPr>
          <w:rFonts w:ascii="Arial" w:hAnsi="Arial" w:cs="Arial"/>
          <w:sz w:val="22"/>
          <w:szCs w:val="22"/>
        </w:rPr>
      </w:pPr>
      <w:r w:rsidRPr="00801794">
        <w:rPr>
          <w:rFonts w:ascii="Arial" w:hAnsi="Arial" w:cs="Arial"/>
          <w:sz w:val="22"/>
          <w:szCs w:val="22"/>
        </w:rPr>
        <w:t>The cumulative impact of this loss on Australians’ retirement outcomes is also</w:t>
      </w:r>
      <w:r w:rsidR="00E402DF">
        <w:rPr>
          <w:rFonts w:ascii="Arial" w:hAnsi="Arial" w:cs="Arial"/>
          <w:sz w:val="22"/>
          <w:szCs w:val="22"/>
        </w:rPr>
        <w:t xml:space="preserve"> substantial</w:t>
      </w:r>
      <w:r w:rsidRPr="00801794">
        <w:rPr>
          <w:rFonts w:ascii="Arial" w:hAnsi="Arial" w:cs="Arial"/>
          <w:sz w:val="22"/>
          <w:szCs w:val="22"/>
        </w:rPr>
        <w:t xml:space="preserve">. </w:t>
      </w:r>
      <w:r w:rsidR="00E402DF">
        <w:rPr>
          <w:rFonts w:ascii="Arial" w:hAnsi="Arial" w:cs="Arial"/>
          <w:sz w:val="22"/>
          <w:szCs w:val="22"/>
        </w:rPr>
        <w:t>A</w:t>
      </w:r>
      <w:r w:rsidRPr="00801794">
        <w:rPr>
          <w:rFonts w:ascii="Arial" w:hAnsi="Arial" w:cs="Arial"/>
          <w:sz w:val="22"/>
          <w:szCs w:val="22"/>
        </w:rPr>
        <w:t>n average 25 year old impacted by SG non</w:t>
      </w:r>
      <w:r w:rsidRPr="00801794">
        <w:rPr>
          <w:rFonts w:ascii="Arial" w:hAnsi="Arial" w:cs="Arial"/>
          <w:sz w:val="22"/>
          <w:szCs w:val="22"/>
        </w:rPr>
        <w:noBreakHyphen/>
        <w:t>compliance for 5 years loses 14% of their retirement income - $8,000 per annum. ASFA estimates show that for a 25 year old, a one-off loss of $4,000 in superannuation contributions could equate to a loss of over $14,000 at retirement, in today’s dollars.</w:t>
      </w:r>
    </w:p>
    <w:p w:rsidR="00397141" w:rsidRPr="00801794" w:rsidRDefault="00397141" w:rsidP="00397141">
      <w:pPr>
        <w:ind w:left="714"/>
        <w:contextualSpacing/>
        <w:rPr>
          <w:rFonts w:ascii="Arial" w:hAnsi="Arial" w:cs="Arial"/>
          <w:sz w:val="22"/>
          <w:szCs w:val="22"/>
        </w:rPr>
      </w:pPr>
    </w:p>
    <w:p w:rsidR="00717085" w:rsidRDefault="00717085" w:rsidP="00BC08AF">
      <w:pPr>
        <w:rPr>
          <w:rFonts w:ascii="Arial" w:hAnsi="Arial" w:cs="Arial"/>
          <w:sz w:val="22"/>
          <w:szCs w:val="22"/>
        </w:rPr>
      </w:pPr>
      <w:r w:rsidRPr="00BC08AF">
        <w:rPr>
          <w:rFonts w:ascii="Arial" w:hAnsi="Arial" w:cs="Arial"/>
          <w:sz w:val="22"/>
          <w:szCs w:val="22"/>
        </w:rPr>
        <w:t>SG non-compliance is clearly a serious issue, one which represents a significant risk to the retirement security of a large number of Australians.</w:t>
      </w:r>
    </w:p>
    <w:p w:rsidR="00BC08AF" w:rsidRPr="00BC08AF" w:rsidRDefault="00BC08AF" w:rsidP="00BC08AF">
      <w:pPr>
        <w:rPr>
          <w:rFonts w:ascii="Arial" w:hAnsi="Arial" w:cs="Arial"/>
          <w:sz w:val="22"/>
          <w:szCs w:val="22"/>
        </w:rPr>
      </w:pPr>
    </w:p>
    <w:p w:rsidR="00BC08AF" w:rsidRDefault="00717085" w:rsidP="00BC08AF">
      <w:pPr>
        <w:rPr>
          <w:rFonts w:ascii="Arial" w:hAnsi="Arial" w:cs="Arial"/>
          <w:sz w:val="22"/>
          <w:szCs w:val="22"/>
        </w:rPr>
      </w:pPr>
      <w:r w:rsidRPr="00BC08AF">
        <w:rPr>
          <w:rFonts w:ascii="Arial" w:hAnsi="Arial" w:cs="Arial"/>
          <w:sz w:val="22"/>
          <w:szCs w:val="22"/>
        </w:rPr>
        <w:t xml:space="preserve">In this context </w:t>
      </w:r>
      <w:r w:rsidR="00E402DF" w:rsidRPr="00BC08AF">
        <w:rPr>
          <w:rFonts w:ascii="Arial" w:hAnsi="Arial" w:cs="Arial"/>
          <w:sz w:val="22"/>
          <w:szCs w:val="22"/>
        </w:rPr>
        <w:t xml:space="preserve">ASFA </w:t>
      </w:r>
      <w:r w:rsidRPr="00BC08AF">
        <w:rPr>
          <w:rFonts w:ascii="Arial" w:hAnsi="Arial" w:cs="Arial"/>
          <w:sz w:val="22"/>
          <w:szCs w:val="22"/>
        </w:rPr>
        <w:t>consider</w:t>
      </w:r>
      <w:r w:rsidR="00E402DF" w:rsidRPr="00BC08AF">
        <w:rPr>
          <w:rFonts w:ascii="Arial" w:hAnsi="Arial" w:cs="Arial"/>
          <w:sz w:val="22"/>
          <w:szCs w:val="22"/>
        </w:rPr>
        <w:t>s</w:t>
      </w:r>
      <w:r w:rsidRPr="00BC08AF">
        <w:rPr>
          <w:rFonts w:ascii="Arial" w:hAnsi="Arial" w:cs="Arial"/>
          <w:sz w:val="22"/>
          <w:szCs w:val="22"/>
        </w:rPr>
        <w:t xml:space="preserve"> that </w:t>
      </w:r>
      <w:r w:rsidR="00E402DF" w:rsidRPr="00BC08AF">
        <w:rPr>
          <w:rFonts w:ascii="Arial" w:hAnsi="Arial" w:cs="Arial"/>
          <w:sz w:val="22"/>
          <w:szCs w:val="22"/>
        </w:rPr>
        <w:t>dealing with SG non-compliance should be</w:t>
      </w:r>
      <w:r w:rsidRPr="00BC08AF">
        <w:rPr>
          <w:rFonts w:ascii="Arial" w:hAnsi="Arial" w:cs="Arial"/>
          <w:sz w:val="22"/>
          <w:szCs w:val="22"/>
        </w:rPr>
        <w:t xml:space="preserve"> more highly prioritised within the ATO and that the relevant areas within the ATO </w:t>
      </w:r>
      <w:r w:rsidR="00E402DF" w:rsidRPr="00BC08AF">
        <w:rPr>
          <w:rFonts w:ascii="Arial" w:hAnsi="Arial" w:cs="Arial"/>
          <w:sz w:val="22"/>
          <w:szCs w:val="22"/>
        </w:rPr>
        <w:t xml:space="preserve">be </w:t>
      </w:r>
      <w:r w:rsidRPr="00BC08AF">
        <w:rPr>
          <w:rFonts w:ascii="Arial" w:hAnsi="Arial" w:cs="Arial"/>
          <w:sz w:val="22"/>
          <w:szCs w:val="22"/>
        </w:rPr>
        <w:t xml:space="preserve">more appropriately funded. </w:t>
      </w:r>
    </w:p>
    <w:p w:rsidR="0072137A" w:rsidRPr="00801794" w:rsidRDefault="0072137A" w:rsidP="00BC08AF">
      <w:pPr>
        <w:rPr>
          <w:rFonts w:ascii="Arial" w:hAnsi="Arial" w:cs="Arial"/>
          <w:sz w:val="22"/>
          <w:szCs w:val="22"/>
        </w:rPr>
      </w:pPr>
    </w:p>
    <w:p w:rsidR="00BC08AF" w:rsidRDefault="00717085" w:rsidP="00BC08AF">
      <w:pPr>
        <w:rPr>
          <w:rFonts w:ascii="Arial" w:hAnsi="Arial" w:cs="Arial"/>
          <w:sz w:val="22"/>
          <w:szCs w:val="22"/>
        </w:rPr>
      </w:pPr>
      <w:r w:rsidRPr="00801794">
        <w:rPr>
          <w:rFonts w:ascii="Arial" w:hAnsi="Arial" w:cs="Arial"/>
          <w:sz w:val="22"/>
          <w:szCs w:val="22"/>
        </w:rPr>
        <w:t xml:space="preserve">In encouraging compliance, the ATO has predominantly focussed on communicating recent legislative changes affecting SG. </w:t>
      </w:r>
    </w:p>
    <w:p w:rsidR="0072137A" w:rsidRPr="00801794" w:rsidRDefault="0072137A" w:rsidP="00BC08AF">
      <w:pPr>
        <w:rPr>
          <w:rFonts w:ascii="Arial" w:hAnsi="Arial" w:cs="Arial"/>
          <w:sz w:val="22"/>
          <w:szCs w:val="22"/>
        </w:rPr>
      </w:pPr>
    </w:p>
    <w:p w:rsidR="000E2640" w:rsidRDefault="00AC5F49" w:rsidP="00BC08AF">
      <w:pPr>
        <w:rPr>
          <w:rFonts w:ascii="Arial" w:hAnsi="Arial" w:cs="Arial"/>
          <w:sz w:val="22"/>
          <w:szCs w:val="22"/>
        </w:rPr>
      </w:pPr>
      <w:r>
        <w:rPr>
          <w:rFonts w:ascii="Arial" w:hAnsi="Arial" w:cs="Arial"/>
          <w:sz w:val="22"/>
          <w:szCs w:val="22"/>
        </w:rPr>
        <w:t xml:space="preserve">A </w:t>
      </w:r>
      <w:r w:rsidR="00386160">
        <w:rPr>
          <w:rFonts w:ascii="Arial" w:hAnsi="Arial" w:cs="Arial"/>
          <w:sz w:val="22"/>
          <w:szCs w:val="22"/>
        </w:rPr>
        <w:t xml:space="preserve">relatively </w:t>
      </w:r>
      <w:r w:rsidR="0072137A">
        <w:rPr>
          <w:rFonts w:ascii="Arial" w:hAnsi="Arial" w:cs="Arial"/>
          <w:sz w:val="22"/>
          <w:szCs w:val="22"/>
        </w:rPr>
        <w:t xml:space="preserve">recent </w:t>
      </w:r>
      <w:r w:rsidR="00717085" w:rsidRPr="00801794">
        <w:rPr>
          <w:rFonts w:ascii="Arial" w:hAnsi="Arial" w:cs="Arial"/>
          <w:sz w:val="22"/>
          <w:szCs w:val="22"/>
        </w:rPr>
        <w:t xml:space="preserve">ANAO audit report </w:t>
      </w:r>
      <w:r w:rsidR="0072137A">
        <w:rPr>
          <w:rFonts w:ascii="Arial" w:hAnsi="Arial" w:cs="Arial"/>
          <w:sz w:val="22"/>
          <w:szCs w:val="22"/>
        </w:rPr>
        <w:t xml:space="preserve">on ATO activity in regard to SG compliance </w:t>
      </w:r>
      <w:r w:rsidR="00717085" w:rsidRPr="00801794">
        <w:rPr>
          <w:rFonts w:ascii="Arial" w:hAnsi="Arial" w:cs="Arial"/>
          <w:sz w:val="22"/>
          <w:szCs w:val="22"/>
        </w:rPr>
        <w:t xml:space="preserve">notes that most of the compliance resources of the ATO’s Superannuation Business Line are dedicated to addressing employee notifications of potential SG non-compliance. While some audits are conducted by the Superannuation Business Line, the number is small when compared to those undertaken by the Small Business and Individual Taxpayer business lines. </w:t>
      </w:r>
    </w:p>
    <w:p w:rsidR="00BC08AF" w:rsidRDefault="00BC08AF" w:rsidP="00BC08AF">
      <w:pPr>
        <w:rPr>
          <w:rFonts w:ascii="Arial" w:hAnsi="Arial" w:cs="Arial"/>
          <w:sz w:val="22"/>
          <w:szCs w:val="22"/>
        </w:rPr>
      </w:pPr>
    </w:p>
    <w:p w:rsidR="00717085" w:rsidRDefault="00717085" w:rsidP="00BC08AF">
      <w:pPr>
        <w:rPr>
          <w:rFonts w:ascii="Arial" w:hAnsi="Arial" w:cs="Arial"/>
          <w:sz w:val="22"/>
          <w:szCs w:val="22"/>
        </w:rPr>
      </w:pPr>
      <w:r w:rsidRPr="00801794">
        <w:rPr>
          <w:rFonts w:ascii="Arial" w:hAnsi="Arial" w:cs="Arial"/>
          <w:sz w:val="22"/>
          <w:szCs w:val="22"/>
        </w:rPr>
        <w:t>The ANAO found that audits undertaken by the three business lines have in excess of 70 per cent success rate in identifying SG obligations. Accordi</w:t>
      </w:r>
      <w:r w:rsidR="000E2640">
        <w:rPr>
          <w:rFonts w:ascii="Arial" w:hAnsi="Arial" w:cs="Arial"/>
          <w:sz w:val="22"/>
          <w:szCs w:val="22"/>
        </w:rPr>
        <w:t xml:space="preserve">ngly, the ANAO recommended that </w:t>
      </w:r>
      <w:r w:rsidRPr="00801794">
        <w:rPr>
          <w:rFonts w:ascii="Arial" w:hAnsi="Arial" w:cs="Arial"/>
          <w:sz w:val="22"/>
          <w:szCs w:val="22"/>
        </w:rPr>
        <w:t>to improve the effectiveness of the ATO’s SG compliance activities, the Superannuation Business Line should better align its SG compliance strategy with the compliance activities undertaken by other relevant business lines</w:t>
      </w:r>
      <w:r w:rsidR="000E2640">
        <w:rPr>
          <w:rFonts w:ascii="Arial" w:hAnsi="Arial" w:cs="Arial"/>
          <w:sz w:val="22"/>
          <w:szCs w:val="22"/>
        </w:rPr>
        <w:t>.</w:t>
      </w:r>
    </w:p>
    <w:p w:rsidR="00386160" w:rsidRDefault="00386160" w:rsidP="00BC08AF">
      <w:pPr>
        <w:rPr>
          <w:rFonts w:ascii="Arial" w:hAnsi="Arial" w:cs="Arial"/>
          <w:sz w:val="22"/>
          <w:szCs w:val="22"/>
        </w:rPr>
      </w:pPr>
    </w:p>
    <w:p w:rsidR="00386160" w:rsidRDefault="00386160" w:rsidP="00BC08AF">
      <w:pPr>
        <w:rPr>
          <w:rFonts w:ascii="Arial" w:hAnsi="Arial" w:cs="Arial"/>
          <w:sz w:val="22"/>
          <w:szCs w:val="22"/>
        </w:rPr>
      </w:pPr>
      <w:r>
        <w:rPr>
          <w:rFonts w:ascii="Arial" w:hAnsi="Arial" w:cs="Arial"/>
          <w:sz w:val="22"/>
          <w:szCs w:val="22"/>
        </w:rPr>
        <w:t>More recent information provided by the ATO indicates that the proportion of SG compliance cases arising from ATO initiated activity has increased, reaching 30 per cent of total cases in 2015-16.</w:t>
      </w:r>
    </w:p>
    <w:p w:rsidR="00386160" w:rsidRPr="00386160" w:rsidRDefault="00386160" w:rsidP="00386160">
      <w:pPr>
        <w:rPr>
          <w:rFonts w:ascii="Arial" w:hAnsi="Arial" w:cs="Arial"/>
          <w:sz w:val="22"/>
          <w:szCs w:val="22"/>
        </w:rPr>
      </w:pPr>
    </w:p>
    <w:p w:rsidR="00386160" w:rsidRDefault="00386160" w:rsidP="00386160">
      <w:pPr>
        <w:rPr>
          <w:rFonts w:ascii="Arial" w:hAnsi="Arial" w:cs="Arial"/>
          <w:sz w:val="22"/>
          <w:szCs w:val="22"/>
        </w:rPr>
      </w:pPr>
      <w:r>
        <w:rPr>
          <w:rFonts w:ascii="Arial" w:hAnsi="Arial" w:cs="Arial"/>
          <w:sz w:val="22"/>
          <w:szCs w:val="22"/>
        </w:rPr>
        <w:t>ATO initiated cases identified</w:t>
      </w:r>
      <w:r w:rsidRPr="00386160">
        <w:rPr>
          <w:rFonts w:ascii="Arial" w:hAnsi="Arial" w:cs="Arial"/>
          <w:sz w:val="22"/>
          <w:szCs w:val="22"/>
        </w:rPr>
        <w:t xml:space="preserve"> non-payment of SG in 82 per cent of </w:t>
      </w:r>
      <w:r>
        <w:rPr>
          <w:rFonts w:ascii="Arial" w:hAnsi="Arial" w:cs="Arial"/>
          <w:sz w:val="22"/>
          <w:szCs w:val="22"/>
        </w:rPr>
        <w:t xml:space="preserve">ATO initiated </w:t>
      </w:r>
      <w:r w:rsidRPr="00386160">
        <w:rPr>
          <w:rFonts w:ascii="Arial" w:hAnsi="Arial" w:cs="Arial"/>
          <w:sz w:val="22"/>
          <w:szCs w:val="22"/>
        </w:rPr>
        <w:t>cases, and result</w:t>
      </w:r>
      <w:r>
        <w:rPr>
          <w:rFonts w:ascii="Arial" w:hAnsi="Arial" w:cs="Arial"/>
          <w:sz w:val="22"/>
          <w:szCs w:val="22"/>
        </w:rPr>
        <w:t>ed</w:t>
      </w:r>
      <w:r w:rsidRPr="00386160">
        <w:rPr>
          <w:rFonts w:ascii="Arial" w:hAnsi="Arial" w:cs="Arial"/>
          <w:sz w:val="22"/>
          <w:szCs w:val="22"/>
        </w:rPr>
        <w:t xml:space="preserve"> in higher adjustments to SGC </w:t>
      </w:r>
      <w:r>
        <w:rPr>
          <w:rFonts w:ascii="Arial" w:hAnsi="Arial" w:cs="Arial"/>
          <w:sz w:val="22"/>
          <w:szCs w:val="22"/>
        </w:rPr>
        <w:t xml:space="preserve">than employee notification cases </w:t>
      </w:r>
      <w:r w:rsidRPr="00386160">
        <w:rPr>
          <w:rFonts w:ascii="Arial" w:hAnsi="Arial" w:cs="Arial"/>
          <w:sz w:val="22"/>
          <w:szCs w:val="22"/>
        </w:rPr>
        <w:t xml:space="preserve">with an average adjustment $68,000 per employer. </w:t>
      </w:r>
      <w:r>
        <w:rPr>
          <w:rFonts w:ascii="Arial" w:hAnsi="Arial" w:cs="Arial"/>
          <w:sz w:val="22"/>
          <w:szCs w:val="22"/>
        </w:rPr>
        <w:t>The high SG “strike rate” for ATO initiated cases suggests that a further expansion of this activity would lead to recovery of superannuation contributions for a large number of employees.</w:t>
      </w:r>
    </w:p>
    <w:p w:rsidR="00386160" w:rsidRDefault="00386160" w:rsidP="00386160">
      <w:pPr>
        <w:rPr>
          <w:rFonts w:ascii="Arial" w:hAnsi="Arial" w:cs="Arial"/>
          <w:sz w:val="22"/>
          <w:szCs w:val="22"/>
        </w:rPr>
      </w:pPr>
    </w:p>
    <w:p w:rsidR="00386160" w:rsidRDefault="00386160" w:rsidP="00BC08AF">
      <w:pPr>
        <w:rPr>
          <w:rFonts w:ascii="Arial" w:hAnsi="Arial" w:cs="Arial"/>
          <w:sz w:val="22"/>
          <w:szCs w:val="22"/>
        </w:rPr>
      </w:pPr>
      <w:r>
        <w:rPr>
          <w:rFonts w:ascii="Arial" w:hAnsi="Arial" w:cs="Arial"/>
          <w:sz w:val="22"/>
          <w:szCs w:val="22"/>
        </w:rPr>
        <w:t>The ATO also has a greater chance of collecting unpaid SG from employers who are currently in business and solvent.  In 2015-16 some 36 per cent of employee notifications related to employers who demonstrated indications of insolvency.  As well, the ATO generally has difficulty addressing unpaid SG entitlements more than five years old given that employers are not generally required to keep records for more than five years.</w:t>
      </w:r>
    </w:p>
    <w:p w:rsidR="005A0B3E" w:rsidRPr="00EE1521" w:rsidRDefault="005A0B3E" w:rsidP="005A0B3E">
      <w:pPr>
        <w:rPr>
          <w:rFonts w:ascii="Arial" w:eastAsia="Calibri" w:hAnsi="Arial" w:cs="Arial"/>
          <w:color w:val="000000"/>
          <w:sz w:val="22"/>
          <w:szCs w:val="22"/>
          <w:lang w:eastAsia="en-AU"/>
        </w:rPr>
      </w:pPr>
    </w:p>
    <w:p w:rsidR="005A0B3E" w:rsidRDefault="005A0B3E" w:rsidP="005A0B3E">
      <w:pPr>
        <w:pBdr>
          <w:top w:val="single" w:sz="4" w:space="1" w:color="auto"/>
          <w:left w:val="single" w:sz="4" w:space="1" w:color="auto"/>
          <w:bottom w:val="single" w:sz="4" w:space="1" w:color="auto"/>
          <w:right w:val="single" w:sz="4" w:space="1" w:color="auto"/>
          <w:bar w:val="single" w:sz="4" w:color="auto"/>
        </w:pBdr>
        <w:rPr>
          <w:rFonts w:ascii="Arial" w:eastAsia="Calibri" w:hAnsi="Arial" w:cs="Arial"/>
          <w:b/>
          <w:color w:val="000000"/>
          <w:sz w:val="22"/>
          <w:szCs w:val="22"/>
          <w:lang w:eastAsia="en-AU"/>
        </w:rPr>
      </w:pPr>
      <w:r>
        <w:rPr>
          <w:rFonts w:ascii="Arial" w:eastAsia="Calibri" w:hAnsi="Arial" w:cs="Arial"/>
          <w:b/>
          <w:color w:val="000000"/>
          <w:sz w:val="22"/>
          <w:szCs w:val="22"/>
          <w:lang w:eastAsia="en-AU"/>
        </w:rPr>
        <w:t xml:space="preserve">Recommendation </w:t>
      </w:r>
      <w:r w:rsidR="0072137A">
        <w:rPr>
          <w:rFonts w:ascii="Arial" w:eastAsia="Calibri" w:hAnsi="Arial" w:cs="Arial"/>
          <w:b/>
          <w:color w:val="000000"/>
          <w:sz w:val="22"/>
          <w:szCs w:val="22"/>
          <w:lang w:eastAsia="en-AU"/>
        </w:rPr>
        <w:t>4</w:t>
      </w:r>
      <w:r>
        <w:rPr>
          <w:rFonts w:ascii="Arial" w:eastAsia="Calibri" w:hAnsi="Arial" w:cs="Arial"/>
          <w:b/>
          <w:color w:val="000000"/>
          <w:sz w:val="22"/>
          <w:szCs w:val="22"/>
          <w:lang w:eastAsia="en-AU"/>
        </w:rPr>
        <w:t>:</w:t>
      </w:r>
    </w:p>
    <w:p w:rsidR="005A0B3E" w:rsidRDefault="005A0B3E" w:rsidP="005A0B3E">
      <w:pPr>
        <w:pBdr>
          <w:top w:val="single" w:sz="4" w:space="1" w:color="auto"/>
          <w:left w:val="single" w:sz="4" w:space="1" w:color="auto"/>
          <w:bottom w:val="single" w:sz="4" w:space="1" w:color="auto"/>
          <w:right w:val="single" w:sz="4" w:space="1" w:color="auto"/>
          <w:bar w:val="single" w:sz="4" w:color="auto"/>
        </w:pBdr>
        <w:rPr>
          <w:rFonts w:ascii="Arial" w:eastAsia="Calibri" w:hAnsi="Arial" w:cs="Arial"/>
          <w:b/>
          <w:color w:val="000000"/>
          <w:sz w:val="22"/>
          <w:szCs w:val="22"/>
          <w:lang w:eastAsia="en-AU"/>
        </w:rPr>
      </w:pPr>
    </w:p>
    <w:p w:rsidR="005A0B3E" w:rsidRDefault="005A0B3E" w:rsidP="005A0B3E">
      <w:pPr>
        <w:pBdr>
          <w:top w:val="single" w:sz="4" w:space="1" w:color="auto"/>
          <w:left w:val="single" w:sz="4" w:space="1" w:color="auto"/>
          <w:bottom w:val="single" w:sz="4" w:space="1" w:color="auto"/>
          <w:right w:val="single" w:sz="4" w:space="1" w:color="auto"/>
          <w:bar w:val="single" w:sz="4" w:color="auto"/>
        </w:pBdr>
        <w:rPr>
          <w:rFonts w:ascii="Arial" w:hAnsi="Arial" w:cs="Arial"/>
          <w:color w:val="000000"/>
          <w:sz w:val="22"/>
          <w:szCs w:val="22"/>
        </w:rPr>
      </w:pPr>
      <w:r w:rsidRPr="00801794">
        <w:rPr>
          <w:rFonts w:ascii="Arial" w:hAnsi="Arial" w:cs="Arial"/>
          <w:color w:val="000000"/>
          <w:sz w:val="22"/>
          <w:szCs w:val="22"/>
        </w:rPr>
        <w:t xml:space="preserve">ASFA recommends that </w:t>
      </w:r>
      <w:r w:rsidRPr="005A0B3E">
        <w:rPr>
          <w:rFonts w:ascii="Arial" w:hAnsi="Arial" w:cs="Arial"/>
          <w:color w:val="000000"/>
          <w:sz w:val="22"/>
          <w:szCs w:val="22"/>
        </w:rPr>
        <w:t xml:space="preserve">the Australian Taxation Office be provided with an additional $10 million a year to conduct </w:t>
      </w:r>
      <w:r>
        <w:rPr>
          <w:rFonts w:ascii="Arial" w:hAnsi="Arial" w:cs="Arial"/>
          <w:color w:val="000000"/>
          <w:sz w:val="22"/>
          <w:szCs w:val="22"/>
        </w:rPr>
        <w:t xml:space="preserve">Superannuation Guarantee </w:t>
      </w:r>
      <w:r w:rsidRPr="005A0B3E">
        <w:rPr>
          <w:rFonts w:ascii="Arial" w:hAnsi="Arial" w:cs="Arial"/>
          <w:color w:val="000000"/>
          <w:sz w:val="22"/>
          <w:szCs w:val="22"/>
        </w:rPr>
        <w:t>audits</w:t>
      </w:r>
      <w:r>
        <w:rPr>
          <w:rFonts w:ascii="Arial" w:hAnsi="Arial" w:cs="Arial"/>
          <w:color w:val="000000"/>
          <w:sz w:val="22"/>
          <w:szCs w:val="22"/>
        </w:rPr>
        <w:t xml:space="preserve"> of businesses</w:t>
      </w:r>
      <w:r w:rsidRPr="005A0B3E">
        <w:rPr>
          <w:rFonts w:ascii="Arial" w:hAnsi="Arial" w:cs="Arial"/>
          <w:color w:val="000000"/>
          <w:sz w:val="22"/>
          <w:szCs w:val="22"/>
        </w:rPr>
        <w:t>.</w:t>
      </w:r>
    </w:p>
    <w:p w:rsidR="00C43198" w:rsidRPr="000F06B8" w:rsidRDefault="00C43198" w:rsidP="005A0B3E">
      <w:pPr>
        <w:pBdr>
          <w:top w:val="single" w:sz="4" w:space="1" w:color="auto"/>
          <w:left w:val="single" w:sz="4" w:space="1" w:color="auto"/>
          <w:bottom w:val="single" w:sz="4" w:space="1" w:color="auto"/>
          <w:right w:val="single" w:sz="4" w:space="1" w:color="auto"/>
          <w:bar w:val="single" w:sz="4" w:color="auto"/>
        </w:pBdr>
        <w:rPr>
          <w:rFonts w:ascii="Arial" w:eastAsia="Calibri" w:hAnsi="Arial" w:cs="Arial"/>
          <w:b/>
          <w:color w:val="000000"/>
          <w:sz w:val="22"/>
          <w:szCs w:val="22"/>
          <w:lang w:eastAsia="en-AU"/>
        </w:rPr>
      </w:pPr>
    </w:p>
    <w:p w:rsidR="005A0B3E" w:rsidRPr="00EE1521" w:rsidRDefault="005A0B3E" w:rsidP="005A0B3E">
      <w:pPr>
        <w:rPr>
          <w:rFonts w:ascii="Arial" w:eastAsia="Calibri" w:hAnsi="Arial" w:cs="Arial"/>
          <w:color w:val="000000"/>
          <w:sz w:val="22"/>
          <w:szCs w:val="22"/>
          <w:lang w:eastAsia="en-AU"/>
        </w:rPr>
      </w:pPr>
    </w:p>
    <w:p w:rsidR="00717085" w:rsidRPr="00B337D1" w:rsidRDefault="000E2640" w:rsidP="00571284">
      <w:pPr>
        <w:rPr>
          <w:rFonts w:ascii="Arial" w:eastAsia="Calibri" w:hAnsi="Arial" w:cs="Arial"/>
          <w:b/>
        </w:rPr>
      </w:pPr>
      <w:r w:rsidRPr="00B337D1">
        <w:rPr>
          <w:rFonts w:ascii="Arial" w:eastAsia="Calibri" w:hAnsi="Arial" w:cs="Arial"/>
          <w:b/>
        </w:rPr>
        <w:t>Superannuation payments owed by insolvent employers</w:t>
      </w:r>
    </w:p>
    <w:p w:rsidR="00571284" w:rsidRPr="00571284" w:rsidRDefault="00571284" w:rsidP="00571284">
      <w:pPr>
        <w:rPr>
          <w:rFonts w:ascii="Arial" w:eastAsia="Calibri" w:hAnsi="Arial" w:cs="Arial"/>
          <w:b/>
          <w:i/>
        </w:rPr>
      </w:pPr>
    </w:p>
    <w:p w:rsidR="00717085" w:rsidRDefault="00717085" w:rsidP="00BC08AF">
      <w:pPr>
        <w:rPr>
          <w:rFonts w:ascii="Arial" w:hAnsi="Arial" w:cs="Arial"/>
          <w:sz w:val="22"/>
          <w:szCs w:val="22"/>
        </w:rPr>
      </w:pPr>
      <w:r w:rsidRPr="00801794">
        <w:rPr>
          <w:rFonts w:ascii="Arial" w:hAnsi="Arial" w:cs="Arial"/>
          <w:sz w:val="22"/>
          <w:szCs w:val="22"/>
        </w:rPr>
        <w:t>The Fair Entitlements Guarantee (FEG) provides for the Commonwealth to pay an ‘advance’ on account of certain unpaid ‘employment entitlements’ in cases where an individual’s employment ended in circumstances connected with the insolvency or bankruptcy of their employer and the individual cannot obtain payment of their entitlements from other sources.</w:t>
      </w:r>
    </w:p>
    <w:p w:rsidR="00BC08AF" w:rsidRPr="00801794" w:rsidRDefault="00BC08AF" w:rsidP="00BC08AF">
      <w:pPr>
        <w:rPr>
          <w:rFonts w:ascii="Arial" w:hAnsi="Arial" w:cs="Arial"/>
          <w:sz w:val="22"/>
          <w:szCs w:val="22"/>
        </w:rPr>
      </w:pPr>
    </w:p>
    <w:p w:rsidR="000E2640" w:rsidRDefault="000E2640" w:rsidP="00BC08AF">
      <w:pPr>
        <w:rPr>
          <w:rFonts w:ascii="Arial" w:hAnsi="Arial" w:cs="Arial"/>
          <w:sz w:val="22"/>
          <w:szCs w:val="22"/>
        </w:rPr>
      </w:pPr>
      <w:r w:rsidRPr="00801794">
        <w:rPr>
          <w:rFonts w:ascii="Arial" w:hAnsi="Arial" w:cs="Arial"/>
          <w:sz w:val="22"/>
          <w:szCs w:val="22"/>
        </w:rPr>
        <w:t xml:space="preserve">The treatment of unpaid superannuation in the case of an employer insolvency/bankruptcy is currently subject to a complex combination of legislative provisions, including the </w:t>
      </w:r>
      <w:r w:rsidRPr="00BC08AF">
        <w:rPr>
          <w:rFonts w:ascii="Arial" w:hAnsi="Arial" w:cs="Arial"/>
          <w:sz w:val="22"/>
          <w:szCs w:val="22"/>
        </w:rPr>
        <w:t>Superannuation Guarantee (Administration) Act 1992</w:t>
      </w:r>
      <w:r w:rsidRPr="00801794">
        <w:rPr>
          <w:rFonts w:ascii="Arial" w:hAnsi="Arial" w:cs="Arial"/>
          <w:sz w:val="22"/>
          <w:szCs w:val="22"/>
        </w:rPr>
        <w:t xml:space="preserve">, the </w:t>
      </w:r>
      <w:r w:rsidRPr="00BC08AF">
        <w:rPr>
          <w:rFonts w:ascii="Arial" w:hAnsi="Arial" w:cs="Arial"/>
          <w:sz w:val="22"/>
          <w:szCs w:val="22"/>
        </w:rPr>
        <w:t>Corporations Act 2001</w:t>
      </w:r>
      <w:r w:rsidRPr="00801794">
        <w:rPr>
          <w:rFonts w:ascii="Arial" w:hAnsi="Arial" w:cs="Arial"/>
          <w:sz w:val="22"/>
          <w:szCs w:val="22"/>
        </w:rPr>
        <w:t xml:space="preserve">, the </w:t>
      </w:r>
      <w:r w:rsidRPr="00BC08AF">
        <w:rPr>
          <w:rFonts w:ascii="Arial" w:hAnsi="Arial" w:cs="Arial"/>
          <w:sz w:val="22"/>
          <w:szCs w:val="22"/>
        </w:rPr>
        <w:t>Bankruptcy Act 1966</w:t>
      </w:r>
      <w:r w:rsidRPr="00801794">
        <w:rPr>
          <w:rFonts w:ascii="Arial" w:hAnsi="Arial" w:cs="Arial"/>
          <w:sz w:val="22"/>
          <w:szCs w:val="22"/>
        </w:rPr>
        <w:t xml:space="preserve">, and the ‘director penalty notice’ provisions of the </w:t>
      </w:r>
      <w:r w:rsidRPr="00BC08AF">
        <w:rPr>
          <w:rFonts w:ascii="Arial" w:hAnsi="Arial" w:cs="Arial"/>
          <w:sz w:val="22"/>
          <w:szCs w:val="22"/>
        </w:rPr>
        <w:t>Taxation Administration Act 1953</w:t>
      </w:r>
      <w:r w:rsidRPr="00801794">
        <w:rPr>
          <w:rFonts w:ascii="Arial" w:hAnsi="Arial" w:cs="Arial"/>
          <w:sz w:val="22"/>
          <w:szCs w:val="22"/>
        </w:rPr>
        <w:t xml:space="preserve">. </w:t>
      </w:r>
    </w:p>
    <w:p w:rsidR="00BC08AF" w:rsidRPr="00801794" w:rsidRDefault="00BC08AF" w:rsidP="00BC08AF">
      <w:pPr>
        <w:rPr>
          <w:rFonts w:ascii="Arial" w:hAnsi="Arial" w:cs="Arial"/>
          <w:sz w:val="22"/>
          <w:szCs w:val="22"/>
        </w:rPr>
      </w:pPr>
    </w:p>
    <w:p w:rsidR="005725AD" w:rsidRDefault="00717085" w:rsidP="00BC08AF">
      <w:pPr>
        <w:rPr>
          <w:rFonts w:ascii="Arial" w:hAnsi="Arial" w:cs="Arial"/>
          <w:sz w:val="22"/>
          <w:szCs w:val="22"/>
        </w:rPr>
      </w:pPr>
      <w:r w:rsidRPr="00801794">
        <w:rPr>
          <w:rFonts w:ascii="Arial" w:hAnsi="Arial" w:cs="Arial"/>
          <w:sz w:val="22"/>
          <w:szCs w:val="22"/>
        </w:rPr>
        <w:t xml:space="preserve">The types of ‘employee entitlements’ currently covered by the FEG are limited, and do not include unpaid superannuation contributions. </w:t>
      </w:r>
      <w:r w:rsidR="005725AD">
        <w:rPr>
          <w:rFonts w:ascii="Arial" w:hAnsi="Arial" w:cs="Arial"/>
          <w:sz w:val="22"/>
          <w:szCs w:val="22"/>
        </w:rPr>
        <w:t>However, the entitlements that can be claimed include forms of employee remuneration not dissimilar to superannuation contributions:</w:t>
      </w:r>
    </w:p>
    <w:p w:rsidR="005725AD" w:rsidRPr="005725AD" w:rsidRDefault="005725AD" w:rsidP="00551918">
      <w:pPr>
        <w:numPr>
          <w:ilvl w:val="0"/>
          <w:numId w:val="42"/>
        </w:numPr>
        <w:ind w:left="714" w:hanging="357"/>
        <w:rPr>
          <w:rFonts w:ascii="Arial" w:hAnsi="Arial" w:cs="Arial"/>
          <w:sz w:val="22"/>
          <w:szCs w:val="22"/>
        </w:rPr>
      </w:pPr>
      <w:r w:rsidRPr="005725AD">
        <w:rPr>
          <w:rFonts w:ascii="Arial" w:hAnsi="Arial" w:cs="Arial"/>
          <w:sz w:val="22"/>
          <w:szCs w:val="22"/>
        </w:rPr>
        <w:t>unpaid wages—up to 13 weeks</w:t>
      </w:r>
    </w:p>
    <w:p w:rsidR="005725AD" w:rsidRPr="005725AD" w:rsidRDefault="005725AD" w:rsidP="00551918">
      <w:pPr>
        <w:numPr>
          <w:ilvl w:val="0"/>
          <w:numId w:val="42"/>
        </w:numPr>
        <w:ind w:left="714" w:hanging="357"/>
        <w:rPr>
          <w:rFonts w:ascii="Arial" w:hAnsi="Arial" w:cs="Arial"/>
          <w:sz w:val="22"/>
          <w:szCs w:val="22"/>
        </w:rPr>
      </w:pPr>
      <w:r w:rsidRPr="005725AD">
        <w:rPr>
          <w:rFonts w:ascii="Arial" w:hAnsi="Arial" w:cs="Arial"/>
          <w:sz w:val="22"/>
          <w:szCs w:val="22"/>
        </w:rPr>
        <w:t>unpaid annual leave and long service leave</w:t>
      </w:r>
    </w:p>
    <w:p w:rsidR="005725AD" w:rsidRPr="005725AD" w:rsidRDefault="005725AD" w:rsidP="00551918">
      <w:pPr>
        <w:numPr>
          <w:ilvl w:val="0"/>
          <w:numId w:val="42"/>
        </w:numPr>
        <w:ind w:left="714" w:hanging="357"/>
        <w:rPr>
          <w:rFonts w:ascii="Arial" w:hAnsi="Arial" w:cs="Arial"/>
          <w:sz w:val="22"/>
          <w:szCs w:val="22"/>
        </w:rPr>
      </w:pPr>
      <w:r w:rsidRPr="005725AD">
        <w:rPr>
          <w:rFonts w:ascii="Arial" w:hAnsi="Arial" w:cs="Arial"/>
          <w:sz w:val="22"/>
          <w:szCs w:val="22"/>
        </w:rPr>
        <w:t>payment in lieu of notice—up to five weeks</w:t>
      </w:r>
    </w:p>
    <w:p w:rsidR="005725AD" w:rsidRPr="005725AD" w:rsidRDefault="005725AD" w:rsidP="00551918">
      <w:pPr>
        <w:numPr>
          <w:ilvl w:val="0"/>
          <w:numId w:val="42"/>
        </w:numPr>
        <w:ind w:left="714" w:hanging="357"/>
        <w:rPr>
          <w:rFonts w:ascii="Arial" w:hAnsi="Arial" w:cs="Arial"/>
          <w:sz w:val="22"/>
          <w:szCs w:val="22"/>
        </w:rPr>
      </w:pPr>
      <w:r w:rsidRPr="005725AD">
        <w:rPr>
          <w:rFonts w:ascii="Arial" w:hAnsi="Arial" w:cs="Arial"/>
          <w:sz w:val="22"/>
          <w:szCs w:val="22"/>
        </w:rPr>
        <w:t>redundancy pay—up to four weeks per full year of service.</w:t>
      </w:r>
    </w:p>
    <w:p w:rsidR="00BC08AF" w:rsidRPr="00801794" w:rsidRDefault="00BC08AF" w:rsidP="00BC08AF">
      <w:pPr>
        <w:rPr>
          <w:rFonts w:ascii="Arial" w:hAnsi="Arial" w:cs="Arial"/>
          <w:sz w:val="22"/>
          <w:szCs w:val="22"/>
        </w:rPr>
      </w:pPr>
    </w:p>
    <w:p w:rsidR="00EB1F36" w:rsidRDefault="00EB1F36" w:rsidP="00BC08AF">
      <w:pPr>
        <w:rPr>
          <w:rFonts w:ascii="Arial" w:hAnsi="Arial" w:cs="Arial"/>
          <w:sz w:val="22"/>
          <w:szCs w:val="22"/>
        </w:rPr>
      </w:pPr>
      <w:r>
        <w:rPr>
          <w:rFonts w:ascii="Arial" w:hAnsi="Arial" w:cs="Arial"/>
          <w:sz w:val="22"/>
          <w:szCs w:val="22"/>
        </w:rPr>
        <w:t>The Australian Taxation Office has indicated that some 50 per cent of superannuation debts that they deal with relate to insolvency.</w:t>
      </w:r>
    </w:p>
    <w:p w:rsidR="00EB1F36" w:rsidRDefault="00EB1F36" w:rsidP="00BC08AF">
      <w:pPr>
        <w:rPr>
          <w:rFonts w:ascii="Arial" w:hAnsi="Arial" w:cs="Arial"/>
          <w:sz w:val="22"/>
          <w:szCs w:val="22"/>
        </w:rPr>
      </w:pPr>
    </w:p>
    <w:p w:rsidR="00717085" w:rsidRDefault="00717085" w:rsidP="00BC08AF">
      <w:pPr>
        <w:rPr>
          <w:rFonts w:ascii="Arial" w:hAnsi="Arial" w:cs="Arial"/>
          <w:sz w:val="22"/>
          <w:szCs w:val="22"/>
        </w:rPr>
      </w:pPr>
      <w:r w:rsidRPr="00801794">
        <w:rPr>
          <w:rFonts w:ascii="Arial" w:hAnsi="Arial" w:cs="Arial"/>
          <w:sz w:val="22"/>
          <w:szCs w:val="22"/>
        </w:rPr>
        <w:t xml:space="preserve">In ASFA’s view, there is merit in reviewing the treatment of unpaid SG entitlements in insolvency/bankruptcy, with the objective of considering how to achieve the maximum possible recovery on behalf of affected employees. </w:t>
      </w:r>
      <w:r w:rsidR="000E2640" w:rsidRPr="00801794">
        <w:rPr>
          <w:rFonts w:ascii="Arial" w:hAnsi="Arial" w:cs="Arial"/>
          <w:sz w:val="22"/>
          <w:szCs w:val="22"/>
        </w:rPr>
        <w:t>ASFA estimates that it would cost around $150 million per year to include unpaid SG in the FEG, with around 55,000 individuals affected.</w:t>
      </w:r>
    </w:p>
    <w:p w:rsidR="005A0B3E" w:rsidRPr="00EE1521" w:rsidRDefault="005A0B3E" w:rsidP="005A0B3E">
      <w:pPr>
        <w:rPr>
          <w:rFonts w:ascii="Arial" w:eastAsia="Calibri" w:hAnsi="Arial" w:cs="Arial"/>
          <w:color w:val="000000"/>
          <w:sz w:val="22"/>
          <w:szCs w:val="22"/>
          <w:lang w:eastAsia="en-AU"/>
        </w:rPr>
      </w:pPr>
    </w:p>
    <w:p w:rsidR="005A0B3E" w:rsidRDefault="005A0B3E" w:rsidP="005A0B3E">
      <w:pPr>
        <w:pBdr>
          <w:top w:val="single" w:sz="4" w:space="1" w:color="auto"/>
          <w:left w:val="single" w:sz="4" w:space="1" w:color="auto"/>
          <w:bottom w:val="single" w:sz="4" w:space="1" w:color="auto"/>
          <w:right w:val="single" w:sz="4" w:space="1" w:color="auto"/>
          <w:bar w:val="single" w:sz="4" w:color="auto"/>
        </w:pBdr>
        <w:rPr>
          <w:rFonts w:ascii="Arial" w:eastAsia="Calibri" w:hAnsi="Arial" w:cs="Arial"/>
          <w:b/>
          <w:color w:val="000000"/>
          <w:sz w:val="22"/>
          <w:szCs w:val="22"/>
          <w:lang w:eastAsia="en-AU"/>
        </w:rPr>
      </w:pPr>
      <w:r>
        <w:rPr>
          <w:rFonts w:ascii="Arial" w:eastAsia="Calibri" w:hAnsi="Arial" w:cs="Arial"/>
          <w:b/>
          <w:color w:val="000000"/>
          <w:sz w:val="22"/>
          <w:szCs w:val="22"/>
          <w:lang w:eastAsia="en-AU"/>
        </w:rPr>
        <w:t xml:space="preserve">Recommendation </w:t>
      </w:r>
      <w:r w:rsidR="0072137A">
        <w:rPr>
          <w:rFonts w:ascii="Arial" w:eastAsia="Calibri" w:hAnsi="Arial" w:cs="Arial"/>
          <w:b/>
          <w:color w:val="000000"/>
          <w:sz w:val="22"/>
          <w:szCs w:val="22"/>
          <w:lang w:eastAsia="en-AU"/>
        </w:rPr>
        <w:t>5</w:t>
      </w:r>
      <w:r>
        <w:rPr>
          <w:rFonts w:ascii="Arial" w:eastAsia="Calibri" w:hAnsi="Arial" w:cs="Arial"/>
          <w:b/>
          <w:color w:val="000000"/>
          <w:sz w:val="22"/>
          <w:szCs w:val="22"/>
          <w:lang w:eastAsia="en-AU"/>
        </w:rPr>
        <w:t>:</w:t>
      </w:r>
    </w:p>
    <w:p w:rsidR="005A0B3E" w:rsidRDefault="005A0B3E" w:rsidP="005A0B3E">
      <w:pPr>
        <w:pBdr>
          <w:top w:val="single" w:sz="4" w:space="1" w:color="auto"/>
          <w:left w:val="single" w:sz="4" w:space="1" w:color="auto"/>
          <w:bottom w:val="single" w:sz="4" w:space="1" w:color="auto"/>
          <w:right w:val="single" w:sz="4" w:space="1" w:color="auto"/>
          <w:bar w:val="single" w:sz="4" w:color="auto"/>
        </w:pBdr>
        <w:rPr>
          <w:rFonts w:ascii="Arial" w:eastAsia="Calibri" w:hAnsi="Arial" w:cs="Arial"/>
          <w:b/>
          <w:color w:val="000000"/>
          <w:sz w:val="22"/>
          <w:szCs w:val="22"/>
          <w:lang w:eastAsia="en-AU"/>
        </w:rPr>
      </w:pPr>
    </w:p>
    <w:p w:rsidR="005A0B3E" w:rsidRDefault="005A0B3E" w:rsidP="005A0B3E">
      <w:pPr>
        <w:pBdr>
          <w:top w:val="single" w:sz="4" w:space="1" w:color="auto"/>
          <w:left w:val="single" w:sz="4" w:space="1" w:color="auto"/>
          <w:bottom w:val="single" w:sz="4" w:space="1" w:color="auto"/>
          <w:right w:val="single" w:sz="4" w:space="1" w:color="auto"/>
          <w:bar w:val="single" w:sz="4" w:color="auto"/>
        </w:pBdr>
        <w:rPr>
          <w:rFonts w:ascii="Arial" w:hAnsi="Arial" w:cs="Arial"/>
          <w:color w:val="000000"/>
          <w:sz w:val="22"/>
          <w:szCs w:val="22"/>
        </w:rPr>
      </w:pPr>
      <w:r w:rsidRPr="00801794">
        <w:rPr>
          <w:rFonts w:ascii="Arial" w:hAnsi="Arial" w:cs="Arial"/>
          <w:color w:val="000000"/>
          <w:sz w:val="22"/>
          <w:szCs w:val="22"/>
        </w:rPr>
        <w:t>ASFA recommends that</w:t>
      </w:r>
      <w:r>
        <w:rPr>
          <w:rFonts w:ascii="Arial" w:hAnsi="Arial" w:cs="Arial"/>
          <w:color w:val="000000"/>
          <w:sz w:val="22"/>
          <w:szCs w:val="22"/>
        </w:rPr>
        <w:t xml:space="preserve"> unpaid SG entitlements be included in the definition of unpaid employment entitlements for the purposes of the Fair Entitlements Guarantee</w:t>
      </w:r>
      <w:r w:rsidRPr="005A0B3E">
        <w:rPr>
          <w:rFonts w:ascii="Arial" w:hAnsi="Arial" w:cs="Arial"/>
          <w:color w:val="000000"/>
          <w:sz w:val="22"/>
          <w:szCs w:val="22"/>
        </w:rPr>
        <w:t>.</w:t>
      </w:r>
    </w:p>
    <w:p w:rsidR="00C43198" w:rsidRPr="000F06B8" w:rsidRDefault="00C43198" w:rsidP="005A0B3E">
      <w:pPr>
        <w:pBdr>
          <w:top w:val="single" w:sz="4" w:space="1" w:color="auto"/>
          <w:left w:val="single" w:sz="4" w:space="1" w:color="auto"/>
          <w:bottom w:val="single" w:sz="4" w:space="1" w:color="auto"/>
          <w:right w:val="single" w:sz="4" w:space="1" w:color="auto"/>
          <w:bar w:val="single" w:sz="4" w:color="auto"/>
        </w:pBdr>
        <w:rPr>
          <w:rFonts w:ascii="Arial" w:eastAsia="Calibri" w:hAnsi="Arial" w:cs="Arial"/>
          <w:b/>
          <w:color w:val="000000"/>
          <w:sz w:val="22"/>
          <w:szCs w:val="22"/>
          <w:lang w:eastAsia="en-AU"/>
        </w:rPr>
      </w:pPr>
    </w:p>
    <w:p w:rsidR="005A0B3E" w:rsidRDefault="005A0B3E" w:rsidP="005A0B3E">
      <w:pPr>
        <w:rPr>
          <w:rFonts w:ascii="Arial" w:eastAsia="Calibri" w:hAnsi="Arial" w:cs="Arial"/>
          <w:color w:val="000000"/>
          <w:sz w:val="22"/>
          <w:szCs w:val="22"/>
          <w:lang w:eastAsia="en-AU"/>
        </w:rPr>
      </w:pPr>
    </w:p>
    <w:p w:rsidR="00636ABB" w:rsidRDefault="00636ABB">
      <w:pPr>
        <w:widowControl/>
        <w:adjustRightInd/>
        <w:spacing w:line="240" w:lineRule="auto"/>
        <w:jc w:val="left"/>
        <w:textAlignment w:val="auto"/>
        <w:rPr>
          <w:rFonts w:ascii="Arial" w:eastAsia="Calibri" w:hAnsi="Arial" w:cs="Arial"/>
          <w:color w:val="000000"/>
          <w:sz w:val="22"/>
          <w:szCs w:val="22"/>
          <w:lang w:eastAsia="en-AU"/>
        </w:rPr>
      </w:pPr>
      <w:r>
        <w:rPr>
          <w:rFonts w:ascii="Arial" w:eastAsia="Calibri" w:hAnsi="Arial" w:cs="Arial"/>
          <w:color w:val="000000"/>
          <w:sz w:val="22"/>
          <w:szCs w:val="22"/>
          <w:lang w:eastAsia="en-AU"/>
        </w:rPr>
        <w:br w:type="page"/>
      </w:r>
    </w:p>
    <w:p w:rsidR="00260A5F" w:rsidRPr="00726024" w:rsidRDefault="00260A5F" w:rsidP="00260A5F">
      <w:pPr>
        <w:rPr>
          <w:rFonts w:ascii="Arial" w:eastAsia="Calibri" w:hAnsi="Arial" w:cs="Arial"/>
          <w:b/>
        </w:rPr>
      </w:pPr>
      <w:r w:rsidRPr="00726024">
        <w:rPr>
          <w:rFonts w:ascii="Arial" w:eastAsia="Calibri" w:hAnsi="Arial" w:cs="Arial"/>
          <w:b/>
        </w:rPr>
        <w:t xml:space="preserve">Capital Gains Tax </w:t>
      </w:r>
      <w:r w:rsidR="00E85F87" w:rsidRPr="00726024">
        <w:rPr>
          <w:rFonts w:ascii="Arial" w:eastAsia="Calibri" w:hAnsi="Arial" w:cs="Arial"/>
          <w:b/>
        </w:rPr>
        <w:t xml:space="preserve">(CGT) </w:t>
      </w:r>
      <w:r w:rsidRPr="00726024">
        <w:rPr>
          <w:rFonts w:ascii="Arial" w:eastAsia="Calibri" w:hAnsi="Arial" w:cs="Arial"/>
          <w:b/>
        </w:rPr>
        <w:t>rollover relief for mergers of superannuation funds</w:t>
      </w:r>
    </w:p>
    <w:p w:rsidR="00260A5F" w:rsidRDefault="00260A5F" w:rsidP="00260A5F">
      <w:pPr>
        <w:rPr>
          <w:rFonts w:ascii="Arial" w:hAnsi="Arial" w:cs="Arial"/>
          <w:sz w:val="22"/>
          <w:szCs w:val="22"/>
        </w:rPr>
      </w:pPr>
    </w:p>
    <w:p w:rsidR="00260A5F" w:rsidRDefault="00260A5F" w:rsidP="00260A5F">
      <w:pPr>
        <w:rPr>
          <w:rFonts w:ascii="Arial" w:hAnsi="Arial" w:cs="Arial"/>
          <w:sz w:val="22"/>
          <w:szCs w:val="22"/>
        </w:rPr>
      </w:pPr>
      <w:r w:rsidRPr="00260A5F">
        <w:rPr>
          <w:rFonts w:ascii="Arial" w:hAnsi="Arial" w:cs="Arial"/>
          <w:sz w:val="22"/>
          <w:szCs w:val="22"/>
        </w:rPr>
        <w:t>ASFA consistently has supported the position that the tax legislation should provide permanent CGT relief for mergers of superannuation funds, equivalent to that in Division 310 of the Income Tax Assessment Act 1997.</w:t>
      </w:r>
    </w:p>
    <w:p w:rsidR="00260A5F" w:rsidRPr="00260A5F" w:rsidRDefault="00260A5F" w:rsidP="00260A5F">
      <w:pPr>
        <w:rPr>
          <w:rFonts w:ascii="Arial" w:hAnsi="Arial" w:cs="Arial"/>
          <w:sz w:val="22"/>
          <w:szCs w:val="22"/>
        </w:rPr>
      </w:pPr>
    </w:p>
    <w:p w:rsidR="00260A5F" w:rsidRPr="00260A5F" w:rsidRDefault="00260A5F" w:rsidP="00260A5F">
      <w:pPr>
        <w:rPr>
          <w:rFonts w:ascii="Arial" w:hAnsi="Arial" w:cs="Arial"/>
          <w:sz w:val="22"/>
          <w:szCs w:val="22"/>
        </w:rPr>
      </w:pPr>
      <w:r w:rsidRPr="00260A5F">
        <w:rPr>
          <w:rFonts w:ascii="Arial" w:hAnsi="Arial" w:cs="Arial"/>
          <w:sz w:val="22"/>
          <w:szCs w:val="22"/>
        </w:rPr>
        <w:t>There are four mains reasons why consideration should be given to providing permanent CGT relief:</w:t>
      </w:r>
    </w:p>
    <w:p w:rsidR="00260A5F" w:rsidRPr="00260A5F" w:rsidRDefault="00260A5F" w:rsidP="00260A5F">
      <w:pPr>
        <w:rPr>
          <w:rFonts w:ascii="Arial" w:hAnsi="Arial" w:cs="Arial"/>
          <w:sz w:val="22"/>
          <w:szCs w:val="22"/>
        </w:rPr>
      </w:pPr>
      <w:r w:rsidRPr="00260A5F">
        <w:rPr>
          <w:rFonts w:ascii="Arial" w:hAnsi="Arial" w:cs="Arial"/>
          <w:sz w:val="22"/>
          <w:szCs w:val="22"/>
        </w:rPr>
        <w:t>1</w:t>
      </w:r>
      <w:r w:rsidRPr="00260A5F">
        <w:rPr>
          <w:rFonts w:ascii="Arial" w:hAnsi="Arial" w:cs="Arial"/>
          <w:sz w:val="22"/>
          <w:szCs w:val="22"/>
        </w:rPr>
        <w:tab/>
        <w:t>The barrier to fund mergers is virtually insurmountable during any periods where the closing fund’s balance sheet is in a deferred tax asset (“DTA”) position, and continues to be a potential impediment in present times where the closing fund’s balance sheet is in a deferred tax liability (“DTL”) position.</w:t>
      </w:r>
      <w:r w:rsidR="00CC4543">
        <w:rPr>
          <w:rFonts w:ascii="Arial" w:hAnsi="Arial" w:cs="Arial"/>
          <w:sz w:val="22"/>
          <w:szCs w:val="22"/>
        </w:rPr>
        <w:t xml:space="preserve"> In September 2016 APRA regulated funds had a total of $672 million in deferred ta</w:t>
      </w:r>
      <w:r w:rsidR="00EB1F36">
        <w:rPr>
          <w:rFonts w:ascii="Arial" w:hAnsi="Arial" w:cs="Arial"/>
          <w:sz w:val="22"/>
          <w:szCs w:val="22"/>
        </w:rPr>
        <w:t>x assets.</w:t>
      </w:r>
    </w:p>
    <w:p w:rsidR="00260A5F" w:rsidRPr="00260A5F" w:rsidRDefault="00260A5F" w:rsidP="00260A5F">
      <w:pPr>
        <w:rPr>
          <w:rFonts w:ascii="Arial" w:hAnsi="Arial" w:cs="Arial"/>
          <w:sz w:val="22"/>
          <w:szCs w:val="22"/>
        </w:rPr>
      </w:pPr>
      <w:r w:rsidRPr="00260A5F">
        <w:rPr>
          <w:rFonts w:ascii="Arial" w:hAnsi="Arial" w:cs="Arial"/>
          <w:sz w:val="22"/>
          <w:szCs w:val="22"/>
        </w:rPr>
        <w:t>2</w:t>
      </w:r>
      <w:r w:rsidRPr="00260A5F">
        <w:rPr>
          <w:rFonts w:ascii="Arial" w:hAnsi="Arial" w:cs="Arial"/>
          <w:sz w:val="22"/>
          <w:szCs w:val="22"/>
        </w:rPr>
        <w:tab/>
        <w:t>It is not considered that permanent relief would represent an overall cost to revenue, as in the short term the absence of relief may preclude mergers from occurring, and in the medium to long term mergers will result in a more efficient industry which would deliver higher revenues and broader economic benefits to the community.</w:t>
      </w:r>
    </w:p>
    <w:p w:rsidR="00260A5F" w:rsidRPr="00260A5F" w:rsidRDefault="00260A5F" w:rsidP="00260A5F">
      <w:pPr>
        <w:rPr>
          <w:rFonts w:ascii="Arial" w:hAnsi="Arial" w:cs="Arial"/>
          <w:sz w:val="22"/>
          <w:szCs w:val="22"/>
        </w:rPr>
      </w:pPr>
      <w:r w:rsidRPr="00260A5F">
        <w:rPr>
          <w:rFonts w:ascii="Arial" w:hAnsi="Arial" w:cs="Arial"/>
          <w:sz w:val="22"/>
          <w:szCs w:val="22"/>
        </w:rPr>
        <w:t>3</w:t>
      </w:r>
      <w:r w:rsidRPr="00260A5F">
        <w:rPr>
          <w:rFonts w:ascii="Arial" w:hAnsi="Arial" w:cs="Arial"/>
          <w:sz w:val="22"/>
          <w:szCs w:val="22"/>
        </w:rPr>
        <w:tab/>
        <w:t>Permanent relief would be consistent with the broad structure of Australia’s CGT provisions, as comparable relief is available to corporate mergers and for a range of other business reorganisations.</w:t>
      </w:r>
    </w:p>
    <w:p w:rsidR="00260A5F" w:rsidRPr="00260A5F" w:rsidRDefault="00260A5F" w:rsidP="00260A5F">
      <w:pPr>
        <w:rPr>
          <w:rFonts w:ascii="Arial" w:hAnsi="Arial" w:cs="Arial"/>
          <w:sz w:val="22"/>
          <w:szCs w:val="22"/>
        </w:rPr>
      </w:pPr>
      <w:r w:rsidRPr="00260A5F">
        <w:rPr>
          <w:rFonts w:ascii="Arial" w:hAnsi="Arial" w:cs="Arial"/>
          <w:sz w:val="22"/>
          <w:szCs w:val="22"/>
        </w:rPr>
        <w:t>4</w:t>
      </w:r>
      <w:r w:rsidRPr="00260A5F">
        <w:rPr>
          <w:rFonts w:ascii="Arial" w:hAnsi="Arial" w:cs="Arial"/>
          <w:sz w:val="22"/>
          <w:szCs w:val="22"/>
        </w:rPr>
        <w:tab/>
        <w:t xml:space="preserve">The absence of permanent relief means this issue must be revisited in conjunction with Government initiatives to encourage fund consolidation – ad hoc temporary relief has the potential to create significant inequities between members of funds that merge during periods of relief and funds that merge when there is no relief. </w:t>
      </w:r>
    </w:p>
    <w:p w:rsidR="00260A5F" w:rsidRPr="00260A5F" w:rsidRDefault="00260A5F" w:rsidP="00260A5F">
      <w:pPr>
        <w:rPr>
          <w:rFonts w:ascii="Arial" w:hAnsi="Arial" w:cs="Arial"/>
          <w:sz w:val="22"/>
          <w:szCs w:val="22"/>
        </w:rPr>
      </w:pPr>
    </w:p>
    <w:p w:rsidR="00260A5F" w:rsidRPr="00C43198" w:rsidRDefault="00260A5F" w:rsidP="00260A5F">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C43198">
        <w:rPr>
          <w:rFonts w:ascii="Arial" w:hAnsi="Arial" w:cs="Arial"/>
          <w:b/>
          <w:sz w:val="22"/>
          <w:szCs w:val="22"/>
        </w:rPr>
        <w:t>Recommendation 6:</w:t>
      </w:r>
    </w:p>
    <w:p w:rsidR="00260A5F" w:rsidRPr="00260A5F" w:rsidRDefault="00260A5F" w:rsidP="00260A5F">
      <w:pPr>
        <w:pBdr>
          <w:top w:val="single" w:sz="4" w:space="1" w:color="auto"/>
          <w:left w:val="single" w:sz="4" w:space="4" w:color="auto"/>
          <w:bottom w:val="single" w:sz="4" w:space="1" w:color="auto"/>
          <w:right w:val="single" w:sz="4" w:space="4" w:color="auto"/>
        </w:pBdr>
        <w:rPr>
          <w:rFonts w:ascii="Arial" w:hAnsi="Arial" w:cs="Arial"/>
          <w:sz w:val="22"/>
          <w:szCs w:val="22"/>
        </w:rPr>
      </w:pPr>
    </w:p>
    <w:p w:rsidR="00260A5F" w:rsidRDefault="00260A5F" w:rsidP="00260A5F">
      <w:pPr>
        <w:pBdr>
          <w:top w:val="single" w:sz="4" w:space="1" w:color="auto"/>
          <w:left w:val="single" w:sz="4" w:space="4" w:color="auto"/>
          <w:bottom w:val="single" w:sz="4" w:space="1" w:color="auto"/>
          <w:right w:val="single" w:sz="4" w:space="4" w:color="auto"/>
        </w:pBdr>
        <w:rPr>
          <w:rFonts w:ascii="Arial" w:hAnsi="Arial" w:cs="Arial"/>
          <w:sz w:val="22"/>
          <w:szCs w:val="22"/>
        </w:rPr>
      </w:pPr>
      <w:r w:rsidRPr="00260A5F">
        <w:rPr>
          <w:rFonts w:ascii="Arial" w:hAnsi="Arial" w:cs="Arial"/>
          <w:sz w:val="22"/>
          <w:szCs w:val="22"/>
        </w:rPr>
        <w:t>ASFA recommends that the tax legislation should provide permanent CGT relief for mergers of superannuation funds, equivalent to that in Division 310 of the Income Tax Assessment Act 1997.</w:t>
      </w:r>
    </w:p>
    <w:p w:rsidR="00C43198" w:rsidRPr="00801794" w:rsidRDefault="00C43198" w:rsidP="00260A5F">
      <w:pPr>
        <w:pBdr>
          <w:top w:val="single" w:sz="4" w:space="1" w:color="auto"/>
          <w:left w:val="single" w:sz="4" w:space="4" w:color="auto"/>
          <w:bottom w:val="single" w:sz="4" w:space="1" w:color="auto"/>
          <w:right w:val="single" w:sz="4" w:space="4" w:color="auto"/>
        </w:pBdr>
        <w:rPr>
          <w:rFonts w:ascii="Arial" w:hAnsi="Arial" w:cs="Arial"/>
          <w:sz w:val="22"/>
          <w:szCs w:val="22"/>
        </w:rPr>
      </w:pPr>
    </w:p>
    <w:sectPr w:rsidR="00C43198" w:rsidRPr="00801794" w:rsidSect="00C33C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0AB" w:rsidRDefault="00FB40AB" w:rsidP="009A56EE">
      <w:r>
        <w:separator/>
      </w:r>
    </w:p>
  </w:endnote>
  <w:endnote w:type="continuationSeparator" w:id="0">
    <w:p w:rsidR="00FB40AB" w:rsidRDefault="00FB40AB" w:rsidP="009A5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0AB" w:rsidRDefault="00FB40AB" w:rsidP="009A56EE">
      <w:r>
        <w:separator/>
      </w:r>
    </w:p>
  </w:footnote>
  <w:footnote w:type="continuationSeparator" w:id="0">
    <w:p w:rsidR="00FB40AB" w:rsidRDefault="00FB40AB" w:rsidP="009A56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5C537D"/>
    <w:multiLevelType w:val="hybridMultilevel"/>
    <w:tmpl w:val="8D62476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FE"/>
    <w:multiLevelType w:val="singleLevel"/>
    <w:tmpl w:val="FFFFFFFF"/>
    <w:lvl w:ilvl="0">
      <w:numFmt w:val="decimal"/>
      <w:lvlText w:val="*"/>
      <w:lvlJc w:val="left"/>
      <w:rPr>
        <w:rFonts w:cs="Times New Roman"/>
      </w:rPr>
    </w:lvl>
  </w:abstractNum>
  <w:abstractNum w:abstractNumId="2">
    <w:nsid w:val="02330ACE"/>
    <w:multiLevelType w:val="multilevel"/>
    <w:tmpl w:val="7ECA7B2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cs="Arial" w:hint="default"/>
      </w:rPr>
    </w:lvl>
    <w:lvl w:ilvl="2">
      <w:start w:val="1"/>
      <w:numFmt w:val="decimal"/>
      <w:isLgl/>
      <w:lvlText w:val="%1.%2.%3"/>
      <w:lvlJc w:val="left"/>
      <w:pPr>
        <w:ind w:left="1440" w:hanging="720"/>
      </w:pPr>
      <w:rPr>
        <w:rFonts w:cs="Arial" w:hint="default"/>
      </w:rPr>
    </w:lvl>
    <w:lvl w:ilvl="3">
      <w:start w:val="1"/>
      <w:numFmt w:val="decimal"/>
      <w:isLgl/>
      <w:lvlText w:val="%1.%2.%3.%4"/>
      <w:lvlJc w:val="left"/>
      <w:pPr>
        <w:ind w:left="1800" w:hanging="720"/>
      </w:pPr>
      <w:rPr>
        <w:rFonts w:cs="Arial" w:hint="default"/>
      </w:rPr>
    </w:lvl>
    <w:lvl w:ilvl="4">
      <w:start w:val="1"/>
      <w:numFmt w:val="decimal"/>
      <w:isLgl/>
      <w:lvlText w:val="%1.%2.%3.%4.%5"/>
      <w:lvlJc w:val="left"/>
      <w:pPr>
        <w:ind w:left="2520" w:hanging="1080"/>
      </w:pPr>
      <w:rPr>
        <w:rFonts w:cs="Arial" w:hint="default"/>
      </w:rPr>
    </w:lvl>
    <w:lvl w:ilvl="5">
      <w:start w:val="1"/>
      <w:numFmt w:val="decimal"/>
      <w:isLgl/>
      <w:lvlText w:val="%1.%2.%3.%4.%5.%6"/>
      <w:lvlJc w:val="left"/>
      <w:pPr>
        <w:ind w:left="2880" w:hanging="1080"/>
      </w:pPr>
      <w:rPr>
        <w:rFonts w:cs="Arial" w:hint="default"/>
      </w:rPr>
    </w:lvl>
    <w:lvl w:ilvl="6">
      <w:start w:val="1"/>
      <w:numFmt w:val="decimal"/>
      <w:isLgl/>
      <w:lvlText w:val="%1.%2.%3.%4.%5.%6.%7"/>
      <w:lvlJc w:val="left"/>
      <w:pPr>
        <w:ind w:left="3600" w:hanging="1440"/>
      </w:pPr>
      <w:rPr>
        <w:rFonts w:cs="Arial" w:hint="default"/>
      </w:rPr>
    </w:lvl>
    <w:lvl w:ilvl="7">
      <w:start w:val="1"/>
      <w:numFmt w:val="decimal"/>
      <w:isLgl/>
      <w:lvlText w:val="%1.%2.%3.%4.%5.%6.%7.%8"/>
      <w:lvlJc w:val="left"/>
      <w:pPr>
        <w:ind w:left="3960" w:hanging="1440"/>
      </w:pPr>
      <w:rPr>
        <w:rFonts w:cs="Arial" w:hint="default"/>
      </w:rPr>
    </w:lvl>
    <w:lvl w:ilvl="8">
      <w:start w:val="1"/>
      <w:numFmt w:val="decimal"/>
      <w:isLgl/>
      <w:lvlText w:val="%1.%2.%3.%4.%5.%6.%7.%8.%9"/>
      <w:lvlJc w:val="left"/>
      <w:pPr>
        <w:ind w:left="4680" w:hanging="1800"/>
      </w:pPr>
      <w:rPr>
        <w:rFonts w:cs="Arial" w:hint="default"/>
      </w:rPr>
    </w:lvl>
  </w:abstractNum>
  <w:abstractNum w:abstractNumId="3">
    <w:nsid w:val="08F60366"/>
    <w:multiLevelType w:val="hybridMultilevel"/>
    <w:tmpl w:val="11B4A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D07093A"/>
    <w:multiLevelType w:val="multilevel"/>
    <w:tmpl w:val="287A39C4"/>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0FB30B2C"/>
    <w:multiLevelType w:val="hybridMultilevel"/>
    <w:tmpl w:val="8C92353E"/>
    <w:lvl w:ilvl="0" w:tplc="0C090001">
      <w:numFmt w:val="decimal"/>
      <w:lvlText w:val=""/>
      <w:lvlJc w:val="left"/>
      <w:rPr>
        <w:rFonts w:cs="Times New Roman"/>
      </w:rPr>
    </w:lvl>
    <w:lvl w:ilvl="1" w:tplc="0C090003">
      <w:numFmt w:val="decimal"/>
      <w:lvlText w:val=""/>
      <w:lvlJc w:val="left"/>
      <w:rPr>
        <w:rFonts w:cs="Times New Roman"/>
      </w:rPr>
    </w:lvl>
    <w:lvl w:ilvl="2" w:tplc="0C090005">
      <w:numFmt w:val="decimal"/>
      <w:lvlText w:val=""/>
      <w:lvlJc w:val="left"/>
      <w:rPr>
        <w:rFonts w:cs="Times New Roman"/>
      </w:rPr>
    </w:lvl>
    <w:lvl w:ilvl="3" w:tplc="0C090001">
      <w:numFmt w:val="decimal"/>
      <w:lvlText w:val=""/>
      <w:lvlJc w:val="left"/>
      <w:rPr>
        <w:rFonts w:cs="Times New Roman"/>
      </w:rPr>
    </w:lvl>
    <w:lvl w:ilvl="4" w:tplc="0C090003">
      <w:numFmt w:val="decimal"/>
      <w:lvlText w:val=""/>
      <w:lvlJc w:val="left"/>
      <w:rPr>
        <w:rFonts w:cs="Times New Roman"/>
      </w:rPr>
    </w:lvl>
    <w:lvl w:ilvl="5" w:tplc="0C090005">
      <w:numFmt w:val="decimal"/>
      <w:lvlText w:val=""/>
      <w:lvlJc w:val="left"/>
      <w:rPr>
        <w:rFonts w:cs="Times New Roman"/>
      </w:rPr>
    </w:lvl>
    <w:lvl w:ilvl="6" w:tplc="0C090001">
      <w:numFmt w:val="decimal"/>
      <w:lvlText w:val=""/>
      <w:lvlJc w:val="left"/>
      <w:rPr>
        <w:rFonts w:cs="Times New Roman"/>
      </w:rPr>
    </w:lvl>
    <w:lvl w:ilvl="7" w:tplc="0C090003">
      <w:numFmt w:val="decimal"/>
      <w:lvlText w:val=""/>
      <w:lvlJc w:val="left"/>
      <w:rPr>
        <w:rFonts w:cs="Times New Roman"/>
      </w:rPr>
    </w:lvl>
    <w:lvl w:ilvl="8" w:tplc="0C090005">
      <w:numFmt w:val="decimal"/>
      <w:lvlText w:val=""/>
      <w:lvlJc w:val="left"/>
      <w:rPr>
        <w:rFonts w:cs="Times New Roman"/>
      </w:rPr>
    </w:lvl>
  </w:abstractNum>
  <w:abstractNum w:abstractNumId="6">
    <w:nsid w:val="15261948"/>
    <w:multiLevelType w:val="hybridMultilevel"/>
    <w:tmpl w:val="2D823F2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168B7737"/>
    <w:multiLevelType w:val="multilevel"/>
    <w:tmpl w:val="A706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B63067"/>
    <w:multiLevelType w:val="hybridMultilevel"/>
    <w:tmpl w:val="21FAD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EA43E1E"/>
    <w:multiLevelType w:val="hybridMultilevel"/>
    <w:tmpl w:val="8AD0EDA0"/>
    <w:lvl w:ilvl="0" w:tplc="0C090001">
      <w:start w:val="1"/>
      <w:numFmt w:val="bullet"/>
      <w:lvlText w:val=""/>
      <w:lvlJc w:val="left"/>
      <w:pPr>
        <w:ind w:left="1118" w:hanging="360"/>
      </w:pPr>
      <w:rPr>
        <w:rFonts w:ascii="Symbol" w:hAnsi="Symbol" w:hint="default"/>
      </w:rPr>
    </w:lvl>
    <w:lvl w:ilvl="1" w:tplc="0C090003" w:tentative="1">
      <w:start w:val="1"/>
      <w:numFmt w:val="bullet"/>
      <w:lvlText w:val="o"/>
      <w:lvlJc w:val="left"/>
      <w:pPr>
        <w:ind w:left="1838" w:hanging="360"/>
      </w:pPr>
      <w:rPr>
        <w:rFonts w:ascii="Courier New" w:hAnsi="Courier New" w:cs="Courier New" w:hint="default"/>
      </w:rPr>
    </w:lvl>
    <w:lvl w:ilvl="2" w:tplc="0C090005" w:tentative="1">
      <w:start w:val="1"/>
      <w:numFmt w:val="bullet"/>
      <w:lvlText w:val=""/>
      <w:lvlJc w:val="left"/>
      <w:pPr>
        <w:ind w:left="2558" w:hanging="360"/>
      </w:pPr>
      <w:rPr>
        <w:rFonts w:ascii="Wingdings" w:hAnsi="Wingdings" w:hint="default"/>
      </w:rPr>
    </w:lvl>
    <w:lvl w:ilvl="3" w:tplc="0C090001" w:tentative="1">
      <w:start w:val="1"/>
      <w:numFmt w:val="bullet"/>
      <w:lvlText w:val=""/>
      <w:lvlJc w:val="left"/>
      <w:pPr>
        <w:ind w:left="3278" w:hanging="360"/>
      </w:pPr>
      <w:rPr>
        <w:rFonts w:ascii="Symbol" w:hAnsi="Symbol" w:hint="default"/>
      </w:rPr>
    </w:lvl>
    <w:lvl w:ilvl="4" w:tplc="0C090003" w:tentative="1">
      <w:start w:val="1"/>
      <w:numFmt w:val="bullet"/>
      <w:lvlText w:val="o"/>
      <w:lvlJc w:val="left"/>
      <w:pPr>
        <w:ind w:left="3998" w:hanging="360"/>
      </w:pPr>
      <w:rPr>
        <w:rFonts w:ascii="Courier New" w:hAnsi="Courier New" w:cs="Courier New" w:hint="default"/>
      </w:rPr>
    </w:lvl>
    <w:lvl w:ilvl="5" w:tplc="0C090005" w:tentative="1">
      <w:start w:val="1"/>
      <w:numFmt w:val="bullet"/>
      <w:lvlText w:val=""/>
      <w:lvlJc w:val="left"/>
      <w:pPr>
        <w:ind w:left="4718" w:hanging="360"/>
      </w:pPr>
      <w:rPr>
        <w:rFonts w:ascii="Wingdings" w:hAnsi="Wingdings" w:hint="default"/>
      </w:rPr>
    </w:lvl>
    <w:lvl w:ilvl="6" w:tplc="0C090001" w:tentative="1">
      <w:start w:val="1"/>
      <w:numFmt w:val="bullet"/>
      <w:lvlText w:val=""/>
      <w:lvlJc w:val="left"/>
      <w:pPr>
        <w:ind w:left="5438" w:hanging="360"/>
      </w:pPr>
      <w:rPr>
        <w:rFonts w:ascii="Symbol" w:hAnsi="Symbol" w:hint="default"/>
      </w:rPr>
    </w:lvl>
    <w:lvl w:ilvl="7" w:tplc="0C090003" w:tentative="1">
      <w:start w:val="1"/>
      <w:numFmt w:val="bullet"/>
      <w:lvlText w:val="o"/>
      <w:lvlJc w:val="left"/>
      <w:pPr>
        <w:ind w:left="6158" w:hanging="360"/>
      </w:pPr>
      <w:rPr>
        <w:rFonts w:ascii="Courier New" w:hAnsi="Courier New" w:cs="Courier New" w:hint="default"/>
      </w:rPr>
    </w:lvl>
    <w:lvl w:ilvl="8" w:tplc="0C090005" w:tentative="1">
      <w:start w:val="1"/>
      <w:numFmt w:val="bullet"/>
      <w:lvlText w:val=""/>
      <w:lvlJc w:val="left"/>
      <w:pPr>
        <w:ind w:left="6878" w:hanging="360"/>
      </w:pPr>
      <w:rPr>
        <w:rFonts w:ascii="Wingdings" w:hAnsi="Wingdings" w:hint="default"/>
      </w:rPr>
    </w:lvl>
  </w:abstractNum>
  <w:abstractNum w:abstractNumId="10">
    <w:nsid w:val="1F2A581A"/>
    <w:multiLevelType w:val="hybridMultilevel"/>
    <w:tmpl w:val="C1DCA8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6217C0C"/>
    <w:multiLevelType w:val="hybridMultilevel"/>
    <w:tmpl w:val="386E5C28"/>
    <w:lvl w:ilvl="0" w:tplc="F540540C">
      <w:start w:val="1"/>
      <w:numFmt w:val="decimal"/>
      <w:lvlText w:val="%1."/>
      <w:lvlJc w:val="left"/>
      <w:pPr>
        <w:tabs>
          <w:tab w:val="num" w:pos="1080"/>
        </w:tabs>
        <w:ind w:left="108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nsid w:val="26346092"/>
    <w:multiLevelType w:val="hybridMultilevel"/>
    <w:tmpl w:val="10001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A63411E"/>
    <w:multiLevelType w:val="multilevel"/>
    <w:tmpl w:val="1D98C7B6"/>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2C532A5B"/>
    <w:multiLevelType w:val="multilevel"/>
    <w:tmpl w:val="E3586176"/>
    <w:lvl w:ilvl="0">
      <w:start w:val="1"/>
      <w:numFmt w:val="decimal"/>
      <w:lvlText w:val="%1"/>
      <w:lvlJc w:val="left"/>
      <w:pPr>
        <w:tabs>
          <w:tab w:val="num" w:pos="340"/>
        </w:tabs>
        <w:ind w:left="340" w:hanging="340"/>
      </w:pPr>
      <w:rPr>
        <w:rFonts w:ascii="9999999" w:hAnsi="9999999"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5">
    <w:nsid w:val="2DE617F0"/>
    <w:multiLevelType w:val="hybridMultilevel"/>
    <w:tmpl w:val="06A89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1B9335A"/>
    <w:multiLevelType w:val="hybridMultilevel"/>
    <w:tmpl w:val="224AD65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nsid w:val="350954BA"/>
    <w:multiLevelType w:val="hybridMultilevel"/>
    <w:tmpl w:val="7180C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5803633"/>
    <w:multiLevelType w:val="hybridMultilevel"/>
    <w:tmpl w:val="F574FB68"/>
    <w:lvl w:ilvl="0" w:tplc="0C090001">
      <w:start w:val="1"/>
      <w:numFmt w:val="bullet"/>
      <w:lvlText w:val=""/>
      <w:lvlJc w:val="left"/>
      <w:pPr>
        <w:ind w:left="758" w:hanging="360"/>
      </w:pPr>
      <w:rPr>
        <w:rFonts w:ascii="Symbol" w:hAnsi="Symbol" w:hint="default"/>
      </w:rPr>
    </w:lvl>
    <w:lvl w:ilvl="1" w:tplc="0C090003">
      <w:start w:val="1"/>
      <w:numFmt w:val="bullet"/>
      <w:lvlText w:val="o"/>
      <w:lvlJc w:val="left"/>
      <w:pPr>
        <w:ind w:left="1478" w:hanging="360"/>
      </w:pPr>
      <w:rPr>
        <w:rFonts w:ascii="Courier New" w:hAnsi="Courier New" w:cs="Courier New" w:hint="default"/>
      </w:rPr>
    </w:lvl>
    <w:lvl w:ilvl="2" w:tplc="0C090005" w:tentative="1">
      <w:start w:val="1"/>
      <w:numFmt w:val="bullet"/>
      <w:lvlText w:val=""/>
      <w:lvlJc w:val="left"/>
      <w:pPr>
        <w:ind w:left="2198" w:hanging="360"/>
      </w:pPr>
      <w:rPr>
        <w:rFonts w:ascii="Wingdings" w:hAnsi="Wingdings" w:hint="default"/>
      </w:rPr>
    </w:lvl>
    <w:lvl w:ilvl="3" w:tplc="0C090001" w:tentative="1">
      <w:start w:val="1"/>
      <w:numFmt w:val="bullet"/>
      <w:lvlText w:val=""/>
      <w:lvlJc w:val="left"/>
      <w:pPr>
        <w:ind w:left="2918" w:hanging="360"/>
      </w:pPr>
      <w:rPr>
        <w:rFonts w:ascii="Symbol" w:hAnsi="Symbol" w:hint="default"/>
      </w:rPr>
    </w:lvl>
    <w:lvl w:ilvl="4" w:tplc="0C090003" w:tentative="1">
      <w:start w:val="1"/>
      <w:numFmt w:val="bullet"/>
      <w:lvlText w:val="o"/>
      <w:lvlJc w:val="left"/>
      <w:pPr>
        <w:ind w:left="3638" w:hanging="360"/>
      </w:pPr>
      <w:rPr>
        <w:rFonts w:ascii="Courier New" w:hAnsi="Courier New" w:cs="Courier New" w:hint="default"/>
      </w:rPr>
    </w:lvl>
    <w:lvl w:ilvl="5" w:tplc="0C090005" w:tentative="1">
      <w:start w:val="1"/>
      <w:numFmt w:val="bullet"/>
      <w:lvlText w:val=""/>
      <w:lvlJc w:val="left"/>
      <w:pPr>
        <w:ind w:left="4358" w:hanging="360"/>
      </w:pPr>
      <w:rPr>
        <w:rFonts w:ascii="Wingdings" w:hAnsi="Wingdings" w:hint="default"/>
      </w:rPr>
    </w:lvl>
    <w:lvl w:ilvl="6" w:tplc="0C090001" w:tentative="1">
      <w:start w:val="1"/>
      <w:numFmt w:val="bullet"/>
      <w:lvlText w:val=""/>
      <w:lvlJc w:val="left"/>
      <w:pPr>
        <w:ind w:left="5078" w:hanging="360"/>
      </w:pPr>
      <w:rPr>
        <w:rFonts w:ascii="Symbol" w:hAnsi="Symbol" w:hint="default"/>
      </w:rPr>
    </w:lvl>
    <w:lvl w:ilvl="7" w:tplc="0C090003" w:tentative="1">
      <w:start w:val="1"/>
      <w:numFmt w:val="bullet"/>
      <w:lvlText w:val="o"/>
      <w:lvlJc w:val="left"/>
      <w:pPr>
        <w:ind w:left="5798" w:hanging="360"/>
      </w:pPr>
      <w:rPr>
        <w:rFonts w:ascii="Courier New" w:hAnsi="Courier New" w:cs="Courier New" w:hint="default"/>
      </w:rPr>
    </w:lvl>
    <w:lvl w:ilvl="8" w:tplc="0C090005" w:tentative="1">
      <w:start w:val="1"/>
      <w:numFmt w:val="bullet"/>
      <w:lvlText w:val=""/>
      <w:lvlJc w:val="left"/>
      <w:pPr>
        <w:ind w:left="6518" w:hanging="360"/>
      </w:pPr>
      <w:rPr>
        <w:rFonts w:ascii="Wingdings" w:hAnsi="Wingdings" w:hint="default"/>
      </w:rPr>
    </w:lvl>
  </w:abstractNum>
  <w:abstractNum w:abstractNumId="19">
    <w:nsid w:val="35BA5102"/>
    <w:multiLevelType w:val="hybridMultilevel"/>
    <w:tmpl w:val="0132332C"/>
    <w:lvl w:ilvl="0" w:tplc="FB0EE35C">
      <w:start w:val="1"/>
      <w:numFmt w:val="bullet"/>
      <w:lvlText w:val=""/>
      <w:lvlJc w:val="left"/>
      <w:pPr>
        <w:ind w:left="720" w:hanging="360"/>
      </w:pPr>
      <w:rPr>
        <w:rFonts w:ascii="Symbol" w:hAnsi="Symbol" w:hint="default"/>
      </w:rPr>
    </w:lvl>
    <w:lvl w:ilvl="1" w:tplc="0C090019">
      <w:start w:val="1"/>
      <w:numFmt w:val="bullet"/>
      <w:lvlText w:val="o"/>
      <w:lvlJc w:val="left"/>
      <w:pPr>
        <w:ind w:left="1440" w:hanging="360"/>
      </w:pPr>
      <w:rPr>
        <w:rFonts w:ascii="Courier New" w:hAnsi="Courier New" w:cs="Times New Roman" w:hint="default"/>
      </w:rPr>
    </w:lvl>
    <w:lvl w:ilvl="2" w:tplc="0C09001B">
      <w:start w:val="1"/>
      <w:numFmt w:val="bullet"/>
      <w:lvlText w:val=""/>
      <w:lvlJc w:val="left"/>
      <w:pPr>
        <w:ind w:left="2160" w:hanging="360"/>
      </w:pPr>
      <w:rPr>
        <w:rFonts w:ascii="Wingdings" w:hAnsi="Wingdings" w:hint="default"/>
      </w:rPr>
    </w:lvl>
    <w:lvl w:ilvl="3" w:tplc="0C09000F">
      <w:start w:val="1"/>
      <w:numFmt w:val="bullet"/>
      <w:lvlText w:val=""/>
      <w:lvlJc w:val="left"/>
      <w:pPr>
        <w:ind w:left="2880" w:hanging="360"/>
      </w:pPr>
      <w:rPr>
        <w:rFonts w:ascii="Symbol" w:hAnsi="Symbol" w:hint="default"/>
      </w:rPr>
    </w:lvl>
    <w:lvl w:ilvl="4" w:tplc="0C090019">
      <w:start w:val="1"/>
      <w:numFmt w:val="bullet"/>
      <w:lvlText w:val="o"/>
      <w:lvlJc w:val="left"/>
      <w:pPr>
        <w:ind w:left="3600" w:hanging="360"/>
      </w:pPr>
      <w:rPr>
        <w:rFonts w:ascii="Courier New" w:hAnsi="Courier New" w:cs="Times New Roman" w:hint="default"/>
      </w:rPr>
    </w:lvl>
    <w:lvl w:ilvl="5" w:tplc="0C09001B">
      <w:start w:val="1"/>
      <w:numFmt w:val="bullet"/>
      <w:lvlText w:val=""/>
      <w:lvlJc w:val="left"/>
      <w:pPr>
        <w:ind w:left="4320" w:hanging="360"/>
      </w:pPr>
      <w:rPr>
        <w:rFonts w:ascii="Wingdings" w:hAnsi="Wingdings" w:hint="default"/>
      </w:rPr>
    </w:lvl>
    <w:lvl w:ilvl="6" w:tplc="0C09000F">
      <w:start w:val="1"/>
      <w:numFmt w:val="bullet"/>
      <w:lvlText w:val=""/>
      <w:lvlJc w:val="left"/>
      <w:pPr>
        <w:ind w:left="5040" w:hanging="360"/>
      </w:pPr>
      <w:rPr>
        <w:rFonts w:ascii="Symbol" w:hAnsi="Symbol" w:hint="default"/>
      </w:rPr>
    </w:lvl>
    <w:lvl w:ilvl="7" w:tplc="0C090019">
      <w:start w:val="1"/>
      <w:numFmt w:val="bullet"/>
      <w:lvlText w:val="o"/>
      <w:lvlJc w:val="left"/>
      <w:pPr>
        <w:ind w:left="5760" w:hanging="360"/>
      </w:pPr>
      <w:rPr>
        <w:rFonts w:ascii="Courier New" w:hAnsi="Courier New" w:cs="Times New Roman" w:hint="default"/>
      </w:rPr>
    </w:lvl>
    <w:lvl w:ilvl="8" w:tplc="0C09001B">
      <w:start w:val="1"/>
      <w:numFmt w:val="bullet"/>
      <w:lvlText w:val=""/>
      <w:lvlJc w:val="left"/>
      <w:pPr>
        <w:ind w:left="6480" w:hanging="360"/>
      </w:pPr>
      <w:rPr>
        <w:rFonts w:ascii="Wingdings" w:hAnsi="Wingdings" w:hint="default"/>
      </w:rPr>
    </w:lvl>
  </w:abstractNum>
  <w:abstractNum w:abstractNumId="20">
    <w:nsid w:val="3F07312C"/>
    <w:multiLevelType w:val="hybridMultilevel"/>
    <w:tmpl w:val="D9BCC53C"/>
    <w:lvl w:ilvl="0" w:tplc="2A0A3872">
      <w:start w:val="1"/>
      <w:numFmt w:val="decimal"/>
      <w:lvlText w:val="%1."/>
      <w:lvlJc w:val="left"/>
      <w:pPr>
        <w:ind w:left="870" w:hanging="360"/>
      </w:pPr>
      <w:rPr>
        <w:rFonts w:hint="default"/>
        <w:color w:val="000000"/>
      </w:rPr>
    </w:lvl>
    <w:lvl w:ilvl="1" w:tplc="0C090019" w:tentative="1">
      <w:start w:val="1"/>
      <w:numFmt w:val="lowerLetter"/>
      <w:lvlText w:val="%2."/>
      <w:lvlJc w:val="left"/>
      <w:pPr>
        <w:ind w:left="1590" w:hanging="360"/>
      </w:pPr>
    </w:lvl>
    <w:lvl w:ilvl="2" w:tplc="0C09001B" w:tentative="1">
      <w:start w:val="1"/>
      <w:numFmt w:val="lowerRoman"/>
      <w:lvlText w:val="%3."/>
      <w:lvlJc w:val="right"/>
      <w:pPr>
        <w:ind w:left="2310" w:hanging="180"/>
      </w:pPr>
    </w:lvl>
    <w:lvl w:ilvl="3" w:tplc="0C09000F" w:tentative="1">
      <w:start w:val="1"/>
      <w:numFmt w:val="decimal"/>
      <w:lvlText w:val="%4."/>
      <w:lvlJc w:val="left"/>
      <w:pPr>
        <w:ind w:left="3030" w:hanging="360"/>
      </w:pPr>
    </w:lvl>
    <w:lvl w:ilvl="4" w:tplc="0C090019" w:tentative="1">
      <w:start w:val="1"/>
      <w:numFmt w:val="lowerLetter"/>
      <w:lvlText w:val="%5."/>
      <w:lvlJc w:val="left"/>
      <w:pPr>
        <w:ind w:left="3750" w:hanging="360"/>
      </w:pPr>
    </w:lvl>
    <w:lvl w:ilvl="5" w:tplc="0C09001B" w:tentative="1">
      <w:start w:val="1"/>
      <w:numFmt w:val="lowerRoman"/>
      <w:lvlText w:val="%6."/>
      <w:lvlJc w:val="right"/>
      <w:pPr>
        <w:ind w:left="4470" w:hanging="180"/>
      </w:pPr>
    </w:lvl>
    <w:lvl w:ilvl="6" w:tplc="0C09000F" w:tentative="1">
      <w:start w:val="1"/>
      <w:numFmt w:val="decimal"/>
      <w:lvlText w:val="%7."/>
      <w:lvlJc w:val="left"/>
      <w:pPr>
        <w:ind w:left="5190" w:hanging="360"/>
      </w:pPr>
    </w:lvl>
    <w:lvl w:ilvl="7" w:tplc="0C090019" w:tentative="1">
      <w:start w:val="1"/>
      <w:numFmt w:val="lowerLetter"/>
      <w:lvlText w:val="%8."/>
      <w:lvlJc w:val="left"/>
      <w:pPr>
        <w:ind w:left="5910" w:hanging="360"/>
      </w:pPr>
    </w:lvl>
    <w:lvl w:ilvl="8" w:tplc="0C09001B" w:tentative="1">
      <w:start w:val="1"/>
      <w:numFmt w:val="lowerRoman"/>
      <w:lvlText w:val="%9."/>
      <w:lvlJc w:val="right"/>
      <w:pPr>
        <w:ind w:left="6630" w:hanging="180"/>
      </w:pPr>
    </w:lvl>
  </w:abstractNum>
  <w:abstractNum w:abstractNumId="21">
    <w:nsid w:val="42684590"/>
    <w:multiLevelType w:val="hybridMultilevel"/>
    <w:tmpl w:val="BD4ED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3C2D44"/>
    <w:multiLevelType w:val="hybridMultilevel"/>
    <w:tmpl w:val="9D9A9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D213CAA"/>
    <w:multiLevelType w:val="hybridMultilevel"/>
    <w:tmpl w:val="D4F419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20F6053"/>
    <w:multiLevelType w:val="hybridMultilevel"/>
    <w:tmpl w:val="F2AEA208"/>
    <w:lvl w:ilvl="0" w:tplc="9F342BC0">
      <w:start w:val="1"/>
      <w:numFmt w:val="decimal"/>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5">
    <w:nsid w:val="542E254C"/>
    <w:multiLevelType w:val="hybridMultilevel"/>
    <w:tmpl w:val="242AAA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54D41930"/>
    <w:multiLevelType w:val="hybridMultilevel"/>
    <w:tmpl w:val="E910C300"/>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nsid w:val="56275DE9"/>
    <w:multiLevelType w:val="hybridMultilevel"/>
    <w:tmpl w:val="E8080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6A65923"/>
    <w:multiLevelType w:val="hybridMultilevel"/>
    <w:tmpl w:val="A3324FC8"/>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9">
    <w:nsid w:val="57DA7E94"/>
    <w:multiLevelType w:val="hybridMultilevel"/>
    <w:tmpl w:val="858CDA48"/>
    <w:lvl w:ilvl="0" w:tplc="0C09000F">
      <w:start w:val="1"/>
      <w:numFmt w:val="decimal"/>
      <w:lvlText w:val="%1."/>
      <w:lvlJc w:val="left"/>
      <w:pPr>
        <w:ind w:left="1230" w:hanging="360"/>
      </w:pPr>
    </w:lvl>
    <w:lvl w:ilvl="1" w:tplc="0C090019" w:tentative="1">
      <w:start w:val="1"/>
      <w:numFmt w:val="lowerLetter"/>
      <w:lvlText w:val="%2."/>
      <w:lvlJc w:val="left"/>
      <w:pPr>
        <w:ind w:left="1950" w:hanging="360"/>
      </w:pPr>
    </w:lvl>
    <w:lvl w:ilvl="2" w:tplc="0C09001B" w:tentative="1">
      <w:start w:val="1"/>
      <w:numFmt w:val="lowerRoman"/>
      <w:lvlText w:val="%3."/>
      <w:lvlJc w:val="right"/>
      <w:pPr>
        <w:ind w:left="2670" w:hanging="180"/>
      </w:pPr>
    </w:lvl>
    <w:lvl w:ilvl="3" w:tplc="0C09000F" w:tentative="1">
      <w:start w:val="1"/>
      <w:numFmt w:val="decimal"/>
      <w:lvlText w:val="%4."/>
      <w:lvlJc w:val="left"/>
      <w:pPr>
        <w:ind w:left="3390" w:hanging="360"/>
      </w:pPr>
    </w:lvl>
    <w:lvl w:ilvl="4" w:tplc="0C090019" w:tentative="1">
      <w:start w:val="1"/>
      <w:numFmt w:val="lowerLetter"/>
      <w:lvlText w:val="%5."/>
      <w:lvlJc w:val="left"/>
      <w:pPr>
        <w:ind w:left="4110" w:hanging="360"/>
      </w:pPr>
    </w:lvl>
    <w:lvl w:ilvl="5" w:tplc="0C09001B" w:tentative="1">
      <w:start w:val="1"/>
      <w:numFmt w:val="lowerRoman"/>
      <w:lvlText w:val="%6."/>
      <w:lvlJc w:val="right"/>
      <w:pPr>
        <w:ind w:left="4830" w:hanging="180"/>
      </w:pPr>
    </w:lvl>
    <w:lvl w:ilvl="6" w:tplc="0C09000F" w:tentative="1">
      <w:start w:val="1"/>
      <w:numFmt w:val="decimal"/>
      <w:lvlText w:val="%7."/>
      <w:lvlJc w:val="left"/>
      <w:pPr>
        <w:ind w:left="5550" w:hanging="360"/>
      </w:pPr>
    </w:lvl>
    <w:lvl w:ilvl="7" w:tplc="0C090019" w:tentative="1">
      <w:start w:val="1"/>
      <w:numFmt w:val="lowerLetter"/>
      <w:lvlText w:val="%8."/>
      <w:lvlJc w:val="left"/>
      <w:pPr>
        <w:ind w:left="6270" w:hanging="360"/>
      </w:pPr>
    </w:lvl>
    <w:lvl w:ilvl="8" w:tplc="0C09001B" w:tentative="1">
      <w:start w:val="1"/>
      <w:numFmt w:val="lowerRoman"/>
      <w:lvlText w:val="%9."/>
      <w:lvlJc w:val="right"/>
      <w:pPr>
        <w:ind w:left="6990" w:hanging="180"/>
      </w:pPr>
    </w:lvl>
  </w:abstractNum>
  <w:abstractNum w:abstractNumId="30">
    <w:nsid w:val="5BC30387"/>
    <w:multiLevelType w:val="hybridMultilevel"/>
    <w:tmpl w:val="E9C24962"/>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1">
    <w:nsid w:val="5F9102F2"/>
    <w:multiLevelType w:val="hybridMultilevel"/>
    <w:tmpl w:val="6F7A34D6"/>
    <w:lvl w:ilvl="0" w:tplc="2A0A3872">
      <w:start w:val="1"/>
      <w:numFmt w:val="decimal"/>
      <w:lvlText w:val="%1."/>
      <w:lvlJc w:val="left"/>
      <w:pPr>
        <w:ind w:left="870"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647350EA"/>
    <w:multiLevelType w:val="hybridMultilevel"/>
    <w:tmpl w:val="C52A6C84"/>
    <w:lvl w:ilvl="0" w:tplc="0C090001">
      <w:numFmt w:val="decimal"/>
      <w:lvlText w:val=""/>
      <w:lvlJc w:val="left"/>
      <w:rPr>
        <w:rFonts w:cs="Times New Roman"/>
      </w:rPr>
    </w:lvl>
    <w:lvl w:ilvl="1" w:tplc="0C090003">
      <w:numFmt w:val="decimal"/>
      <w:lvlText w:val=""/>
      <w:lvlJc w:val="left"/>
      <w:rPr>
        <w:rFonts w:cs="Times New Roman"/>
      </w:rPr>
    </w:lvl>
    <w:lvl w:ilvl="2" w:tplc="0C090005">
      <w:numFmt w:val="decimal"/>
      <w:lvlText w:val=""/>
      <w:lvlJc w:val="left"/>
      <w:rPr>
        <w:rFonts w:cs="Times New Roman"/>
      </w:rPr>
    </w:lvl>
    <w:lvl w:ilvl="3" w:tplc="0C090001">
      <w:numFmt w:val="decimal"/>
      <w:lvlText w:val=""/>
      <w:lvlJc w:val="left"/>
      <w:rPr>
        <w:rFonts w:cs="Times New Roman"/>
      </w:rPr>
    </w:lvl>
    <w:lvl w:ilvl="4" w:tplc="0C090003">
      <w:numFmt w:val="decimal"/>
      <w:lvlText w:val=""/>
      <w:lvlJc w:val="left"/>
      <w:rPr>
        <w:rFonts w:cs="Times New Roman"/>
      </w:rPr>
    </w:lvl>
    <w:lvl w:ilvl="5" w:tplc="0C090005">
      <w:numFmt w:val="decimal"/>
      <w:lvlText w:val=""/>
      <w:lvlJc w:val="left"/>
      <w:rPr>
        <w:rFonts w:cs="Times New Roman"/>
      </w:rPr>
    </w:lvl>
    <w:lvl w:ilvl="6" w:tplc="0C090001">
      <w:numFmt w:val="decimal"/>
      <w:lvlText w:val=""/>
      <w:lvlJc w:val="left"/>
      <w:rPr>
        <w:rFonts w:cs="Times New Roman"/>
      </w:rPr>
    </w:lvl>
    <w:lvl w:ilvl="7" w:tplc="0C090003">
      <w:numFmt w:val="decimal"/>
      <w:lvlText w:val=""/>
      <w:lvlJc w:val="left"/>
      <w:rPr>
        <w:rFonts w:cs="Times New Roman"/>
      </w:rPr>
    </w:lvl>
    <w:lvl w:ilvl="8" w:tplc="0C090005">
      <w:numFmt w:val="decimal"/>
      <w:lvlText w:val=""/>
      <w:lvlJc w:val="left"/>
      <w:rPr>
        <w:rFonts w:cs="Times New Roman"/>
      </w:rPr>
    </w:lvl>
  </w:abstractNum>
  <w:abstractNum w:abstractNumId="33">
    <w:nsid w:val="685F4605"/>
    <w:multiLevelType w:val="hybridMultilevel"/>
    <w:tmpl w:val="D812C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189541E"/>
    <w:multiLevelType w:val="hybridMultilevel"/>
    <w:tmpl w:val="8D965FA6"/>
    <w:lvl w:ilvl="0" w:tplc="FAF2D0BE">
      <w:numFmt w:val="decimal"/>
      <w:lvlText w:val=""/>
      <w:lvlJc w:val="left"/>
      <w:rPr>
        <w:rFonts w:cs="Times New Roman"/>
      </w:rPr>
    </w:lvl>
    <w:lvl w:ilvl="1" w:tplc="0C090019">
      <w:numFmt w:val="decimal"/>
      <w:lvlText w:val=""/>
      <w:lvlJc w:val="left"/>
      <w:rPr>
        <w:rFonts w:cs="Times New Roman"/>
      </w:rPr>
    </w:lvl>
    <w:lvl w:ilvl="2" w:tplc="0C09001B">
      <w:numFmt w:val="decimal"/>
      <w:lvlText w:val=""/>
      <w:lvlJc w:val="left"/>
      <w:rPr>
        <w:rFonts w:cs="Times New Roman"/>
      </w:rPr>
    </w:lvl>
    <w:lvl w:ilvl="3" w:tplc="0C09000F">
      <w:numFmt w:val="decimal"/>
      <w:lvlText w:val=""/>
      <w:lvlJc w:val="left"/>
      <w:rPr>
        <w:rFonts w:cs="Times New Roman"/>
      </w:rPr>
    </w:lvl>
    <w:lvl w:ilvl="4" w:tplc="0C090019">
      <w:numFmt w:val="decimal"/>
      <w:lvlText w:val=""/>
      <w:lvlJc w:val="left"/>
      <w:rPr>
        <w:rFonts w:cs="Times New Roman"/>
      </w:rPr>
    </w:lvl>
    <w:lvl w:ilvl="5" w:tplc="0C09001B">
      <w:numFmt w:val="decimal"/>
      <w:lvlText w:val=""/>
      <w:lvlJc w:val="left"/>
      <w:rPr>
        <w:rFonts w:cs="Times New Roman"/>
      </w:rPr>
    </w:lvl>
    <w:lvl w:ilvl="6" w:tplc="0C09000F">
      <w:numFmt w:val="decimal"/>
      <w:lvlText w:val=""/>
      <w:lvlJc w:val="left"/>
      <w:rPr>
        <w:rFonts w:cs="Times New Roman"/>
      </w:rPr>
    </w:lvl>
    <w:lvl w:ilvl="7" w:tplc="0C090019">
      <w:numFmt w:val="decimal"/>
      <w:lvlText w:val=""/>
      <w:lvlJc w:val="left"/>
      <w:rPr>
        <w:rFonts w:cs="Times New Roman"/>
      </w:rPr>
    </w:lvl>
    <w:lvl w:ilvl="8" w:tplc="0C09001B">
      <w:numFmt w:val="decimal"/>
      <w:lvlText w:val=""/>
      <w:lvlJc w:val="left"/>
      <w:rPr>
        <w:rFonts w:cs="Times New Roman"/>
      </w:rPr>
    </w:lvl>
  </w:abstractNum>
  <w:abstractNum w:abstractNumId="35">
    <w:nsid w:val="72307631"/>
    <w:multiLevelType w:val="hybridMultilevel"/>
    <w:tmpl w:val="4B882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2CF31FA"/>
    <w:multiLevelType w:val="hybridMultilevel"/>
    <w:tmpl w:val="06D0DA34"/>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7">
    <w:nsid w:val="732E7FAC"/>
    <w:multiLevelType w:val="multilevel"/>
    <w:tmpl w:val="972C13C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nsid w:val="7391445B"/>
    <w:multiLevelType w:val="hybridMultilevel"/>
    <w:tmpl w:val="542A3EAC"/>
    <w:lvl w:ilvl="0" w:tplc="0C090017">
      <w:start w:val="1"/>
      <w:numFmt w:val="lowerLetter"/>
      <w:lvlText w:val="%1)"/>
      <w:lvlJc w:val="left"/>
      <w:pPr>
        <w:ind w:left="1080" w:hanging="360"/>
      </w:pPr>
      <w:rPr>
        <w:rFonts w:cs="Times New Roman"/>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39">
    <w:nsid w:val="7C645C34"/>
    <w:multiLevelType w:val="hybridMultilevel"/>
    <w:tmpl w:val="22FEADDE"/>
    <w:lvl w:ilvl="0" w:tplc="0809000F">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0">
    <w:nsid w:val="7E042FFF"/>
    <w:multiLevelType w:val="hybridMultilevel"/>
    <w:tmpl w:val="F6666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EE01BF5"/>
    <w:multiLevelType w:val="hybridMultilevel"/>
    <w:tmpl w:val="9272B73A"/>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42">
    <w:nsid w:val="7F4D02CB"/>
    <w:multiLevelType w:val="hybridMultilevel"/>
    <w:tmpl w:val="6A98AAAA"/>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42"/>
  </w:num>
  <w:num w:numId="2">
    <w:abstractNumId w:val="35"/>
  </w:num>
  <w:num w:numId="3">
    <w:abstractNumId w:val="17"/>
  </w:num>
  <w:num w:numId="4">
    <w:abstractNumId w:val="15"/>
  </w:num>
  <w:num w:numId="5">
    <w:abstractNumId w:val="6"/>
  </w:num>
  <w:num w:numId="6">
    <w:abstractNumId w:val="36"/>
  </w:num>
  <w:num w:numId="7">
    <w:abstractNumId w:val="28"/>
  </w:num>
  <w:num w:numId="8">
    <w:abstractNumId w:val="34"/>
  </w:num>
  <w:num w:numId="9">
    <w:abstractNumId w:val="4"/>
  </w:num>
  <w:num w:numId="10">
    <w:abstractNumId w:val="32"/>
  </w:num>
  <w:num w:numId="11">
    <w:abstractNumId w:val="5"/>
  </w:num>
  <w:num w:numId="12">
    <w:abstractNumId w:val="1"/>
    <w:lvlOverride w:ilvl="0">
      <w:lvl w:ilvl="0">
        <w:numFmt w:val="bullet"/>
        <w:lvlText w:val=""/>
        <w:legacy w:legacy="1" w:legacySpace="0" w:legacyIndent="283"/>
        <w:lvlJc w:val="left"/>
        <w:pPr>
          <w:ind w:left="283" w:hanging="283"/>
        </w:pPr>
        <w:rPr>
          <w:rFonts w:ascii="Symbol" w:hAnsi="Symbol" w:hint="default"/>
        </w:rPr>
      </w:lvl>
    </w:lvlOverride>
  </w:num>
  <w:num w:numId="13">
    <w:abstractNumId w:val="30"/>
  </w:num>
  <w:num w:numId="14">
    <w:abstractNumId w:val="24"/>
  </w:num>
  <w:num w:numId="15">
    <w:abstractNumId w:val="11"/>
  </w:num>
  <w:num w:numId="16">
    <w:abstractNumId w:val="3"/>
  </w:num>
  <w:num w:numId="17">
    <w:abstractNumId w:val="0"/>
  </w:num>
  <w:num w:numId="18">
    <w:abstractNumId w:val="22"/>
  </w:num>
  <w:num w:numId="19">
    <w:abstractNumId w:val="8"/>
  </w:num>
  <w:num w:numId="20">
    <w:abstractNumId w:val="38"/>
  </w:num>
  <w:num w:numId="21">
    <w:abstractNumId w:val="13"/>
  </w:num>
  <w:num w:numId="22">
    <w:abstractNumId w:val="41"/>
  </w:num>
  <w:num w:numId="23">
    <w:abstractNumId w:val="21"/>
  </w:num>
  <w:num w:numId="24">
    <w:abstractNumId w:val="16"/>
  </w:num>
  <w:num w:numId="25">
    <w:abstractNumId w:val="27"/>
  </w:num>
  <w:num w:numId="26">
    <w:abstractNumId w:val="10"/>
  </w:num>
  <w:num w:numId="27">
    <w:abstractNumId w:val="25"/>
  </w:num>
  <w:num w:numId="28">
    <w:abstractNumId w:val="39"/>
  </w:num>
  <w:num w:numId="29">
    <w:abstractNumId w:val="2"/>
  </w:num>
  <w:num w:numId="30">
    <w:abstractNumId w:val="19"/>
  </w:num>
  <w:num w:numId="31">
    <w:abstractNumId w:val="23"/>
  </w:num>
  <w:num w:numId="32">
    <w:abstractNumId w:val="9"/>
  </w:num>
  <w:num w:numId="33">
    <w:abstractNumId w:val="18"/>
  </w:num>
  <w:num w:numId="34">
    <w:abstractNumId w:val="33"/>
  </w:num>
  <w:num w:numId="35">
    <w:abstractNumId w:val="26"/>
  </w:num>
  <w:num w:numId="36">
    <w:abstractNumId w:val="37"/>
  </w:num>
  <w:num w:numId="37">
    <w:abstractNumId w:val="29"/>
  </w:num>
  <w:num w:numId="38">
    <w:abstractNumId w:val="20"/>
  </w:num>
  <w:num w:numId="39">
    <w:abstractNumId w:val="31"/>
  </w:num>
  <w:num w:numId="40">
    <w:abstractNumId w:val="12"/>
  </w:num>
  <w:num w:numId="41">
    <w:abstractNumId w:val="40"/>
  </w:num>
  <w:num w:numId="42">
    <w:abstractNumId w:val="7"/>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4BE"/>
    <w:rsid w:val="00013B82"/>
    <w:rsid w:val="00014181"/>
    <w:rsid w:val="0001470D"/>
    <w:rsid w:val="0002190E"/>
    <w:rsid w:val="0002393F"/>
    <w:rsid w:val="00041843"/>
    <w:rsid w:val="00044E18"/>
    <w:rsid w:val="00047AD2"/>
    <w:rsid w:val="000552B2"/>
    <w:rsid w:val="000627CA"/>
    <w:rsid w:val="00065BAC"/>
    <w:rsid w:val="0008202D"/>
    <w:rsid w:val="0008403A"/>
    <w:rsid w:val="00085057"/>
    <w:rsid w:val="00092DC0"/>
    <w:rsid w:val="000A07E9"/>
    <w:rsid w:val="000A5309"/>
    <w:rsid w:val="000B424B"/>
    <w:rsid w:val="000B4AF7"/>
    <w:rsid w:val="000B4E6C"/>
    <w:rsid w:val="000D143E"/>
    <w:rsid w:val="000D7DB2"/>
    <w:rsid w:val="000E2640"/>
    <w:rsid w:val="000E731C"/>
    <w:rsid w:val="000F06B8"/>
    <w:rsid w:val="000F3547"/>
    <w:rsid w:val="000F4648"/>
    <w:rsid w:val="000F4D0F"/>
    <w:rsid w:val="000F5605"/>
    <w:rsid w:val="0010190E"/>
    <w:rsid w:val="0010264F"/>
    <w:rsid w:val="00121407"/>
    <w:rsid w:val="001260A3"/>
    <w:rsid w:val="00132850"/>
    <w:rsid w:val="00140D55"/>
    <w:rsid w:val="00165706"/>
    <w:rsid w:val="00166143"/>
    <w:rsid w:val="00166988"/>
    <w:rsid w:val="00181D5E"/>
    <w:rsid w:val="00184CD7"/>
    <w:rsid w:val="00191063"/>
    <w:rsid w:val="001A2A2A"/>
    <w:rsid w:val="001A38AD"/>
    <w:rsid w:val="001C2F0F"/>
    <w:rsid w:val="001C3E0F"/>
    <w:rsid w:val="001C6490"/>
    <w:rsid w:val="001D67BF"/>
    <w:rsid w:val="001E0BE7"/>
    <w:rsid w:val="001F413D"/>
    <w:rsid w:val="001F418D"/>
    <w:rsid w:val="00222739"/>
    <w:rsid w:val="00224EAF"/>
    <w:rsid w:val="00232087"/>
    <w:rsid w:val="002403BE"/>
    <w:rsid w:val="00242DC3"/>
    <w:rsid w:val="00243182"/>
    <w:rsid w:val="002436C2"/>
    <w:rsid w:val="00246FF7"/>
    <w:rsid w:val="00260A5F"/>
    <w:rsid w:val="00267EA7"/>
    <w:rsid w:val="00271D9E"/>
    <w:rsid w:val="002859B9"/>
    <w:rsid w:val="0029194D"/>
    <w:rsid w:val="002A241F"/>
    <w:rsid w:val="002A7233"/>
    <w:rsid w:val="002C3CA5"/>
    <w:rsid w:val="002D0606"/>
    <w:rsid w:val="002D4BB0"/>
    <w:rsid w:val="002E2C8C"/>
    <w:rsid w:val="003047B7"/>
    <w:rsid w:val="00313BF9"/>
    <w:rsid w:val="00315481"/>
    <w:rsid w:val="00316C22"/>
    <w:rsid w:val="0031794C"/>
    <w:rsid w:val="00330101"/>
    <w:rsid w:val="00343B31"/>
    <w:rsid w:val="00361A27"/>
    <w:rsid w:val="003663D2"/>
    <w:rsid w:val="00370FEA"/>
    <w:rsid w:val="0037237B"/>
    <w:rsid w:val="00374BDA"/>
    <w:rsid w:val="003833D3"/>
    <w:rsid w:val="00386160"/>
    <w:rsid w:val="00397141"/>
    <w:rsid w:val="003A0A3C"/>
    <w:rsid w:val="003A1A50"/>
    <w:rsid w:val="003A52C7"/>
    <w:rsid w:val="003B45DF"/>
    <w:rsid w:val="003B7D5E"/>
    <w:rsid w:val="003C57FB"/>
    <w:rsid w:val="003E51DB"/>
    <w:rsid w:val="003E6EB0"/>
    <w:rsid w:val="004077DC"/>
    <w:rsid w:val="00413EE8"/>
    <w:rsid w:val="004164BE"/>
    <w:rsid w:val="00416E15"/>
    <w:rsid w:val="00421861"/>
    <w:rsid w:val="004237D1"/>
    <w:rsid w:val="004272F6"/>
    <w:rsid w:val="00446C6A"/>
    <w:rsid w:val="00450DD5"/>
    <w:rsid w:val="0045203E"/>
    <w:rsid w:val="004638D6"/>
    <w:rsid w:val="00466E31"/>
    <w:rsid w:val="00477FD8"/>
    <w:rsid w:val="00485DAE"/>
    <w:rsid w:val="004861CE"/>
    <w:rsid w:val="004905DA"/>
    <w:rsid w:val="00493857"/>
    <w:rsid w:val="0049625A"/>
    <w:rsid w:val="004B635A"/>
    <w:rsid w:val="004D0CB2"/>
    <w:rsid w:val="004D2351"/>
    <w:rsid w:val="004E4B93"/>
    <w:rsid w:val="004E65F0"/>
    <w:rsid w:val="004F22AA"/>
    <w:rsid w:val="004F2EE3"/>
    <w:rsid w:val="0052266F"/>
    <w:rsid w:val="0052345F"/>
    <w:rsid w:val="00530494"/>
    <w:rsid w:val="00536B5E"/>
    <w:rsid w:val="005420E8"/>
    <w:rsid w:val="00551918"/>
    <w:rsid w:val="00551C61"/>
    <w:rsid w:val="00564637"/>
    <w:rsid w:val="005675D2"/>
    <w:rsid w:val="00571284"/>
    <w:rsid w:val="005725AD"/>
    <w:rsid w:val="005761E3"/>
    <w:rsid w:val="00587406"/>
    <w:rsid w:val="005A0B3E"/>
    <w:rsid w:val="005A66C6"/>
    <w:rsid w:val="005C0C3D"/>
    <w:rsid w:val="005C4BE8"/>
    <w:rsid w:val="005D3CB4"/>
    <w:rsid w:val="005D666D"/>
    <w:rsid w:val="005D7881"/>
    <w:rsid w:val="005D7BE6"/>
    <w:rsid w:val="005E0DAE"/>
    <w:rsid w:val="005F5080"/>
    <w:rsid w:val="005F6801"/>
    <w:rsid w:val="00602EC8"/>
    <w:rsid w:val="00604E7E"/>
    <w:rsid w:val="00614966"/>
    <w:rsid w:val="00625112"/>
    <w:rsid w:val="006304B1"/>
    <w:rsid w:val="00635EB4"/>
    <w:rsid w:val="00636ABB"/>
    <w:rsid w:val="00652AAB"/>
    <w:rsid w:val="006620E4"/>
    <w:rsid w:val="00671776"/>
    <w:rsid w:val="00685E69"/>
    <w:rsid w:val="006A29D4"/>
    <w:rsid w:val="006A7348"/>
    <w:rsid w:val="006B2B72"/>
    <w:rsid w:val="006B324B"/>
    <w:rsid w:val="006B34FA"/>
    <w:rsid w:val="006C2483"/>
    <w:rsid w:val="006D288E"/>
    <w:rsid w:val="006D4542"/>
    <w:rsid w:val="006D6853"/>
    <w:rsid w:val="006E33C6"/>
    <w:rsid w:val="0071149F"/>
    <w:rsid w:val="00717085"/>
    <w:rsid w:val="0072137A"/>
    <w:rsid w:val="00726024"/>
    <w:rsid w:val="00732A54"/>
    <w:rsid w:val="00735616"/>
    <w:rsid w:val="00736088"/>
    <w:rsid w:val="00736E67"/>
    <w:rsid w:val="00744A2E"/>
    <w:rsid w:val="0074595B"/>
    <w:rsid w:val="00752581"/>
    <w:rsid w:val="00755786"/>
    <w:rsid w:val="00774961"/>
    <w:rsid w:val="00776C28"/>
    <w:rsid w:val="00780C3F"/>
    <w:rsid w:val="007A4916"/>
    <w:rsid w:val="007B284F"/>
    <w:rsid w:val="007C1958"/>
    <w:rsid w:val="007E3575"/>
    <w:rsid w:val="00801794"/>
    <w:rsid w:val="008032E6"/>
    <w:rsid w:val="0082407A"/>
    <w:rsid w:val="008240B1"/>
    <w:rsid w:val="008365A7"/>
    <w:rsid w:val="00840B92"/>
    <w:rsid w:val="00843D45"/>
    <w:rsid w:val="0086206F"/>
    <w:rsid w:val="008667E4"/>
    <w:rsid w:val="008703B6"/>
    <w:rsid w:val="00870637"/>
    <w:rsid w:val="008753EE"/>
    <w:rsid w:val="008764DF"/>
    <w:rsid w:val="00886537"/>
    <w:rsid w:val="008938FB"/>
    <w:rsid w:val="008964DA"/>
    <w:rsid w:val="008A467A"/>
    <w:rsid w:val="008C2E55"/>
    <w:rsid w:val="008D1AFA"/>
    <w:rsid w:val="008D2899"/>
    <w:rsid w:val="008E00BC"/>
    <w:rsid w:val="008E4551"/>
    <w:rsid w:val="008F5881"/>
    <w:rsid w:val="00902726"/>
    <w:rsid w:val="0091004A"/>
    <w:rsid w:val="009107B4"/>
    <w:rsid w:val="009115FB"/>
    <w:rsid w:val="0093213A"/>
    <w:rsid w:val="00951200"/>
    <w:rsid w:val="0096049D"/>
    <w:rsid w:val="0096488A"/>
    <w:rsid w:val="00967B6F"/>
    <w:rsid w:val="00967C54"/>
    <w:rsid w:val="00990FC8"/>
    <w:rsid w:val="009914E7"/>
    <w:rsid w:val="00993ADD"/>
    <w:rsid w:val="009945EC"/>
    <w:rsid w:val="009A4352"/>
    <w:rsid w:val="009A56EE"/>
    <w:rsid w:val="009B70E7"/>
    <w:rsid w:val="009C2612"/>
    <w:rsid w:val="009D0BD1"/>
    <w:rsid w:val="009D7332"/>
    <w:rsid w:val="009F6928"/>
    <w:rsid w:val="009F71D9"/>
    <w:rsid w:val="00A17933"/>
    <w:rsid w:val="00A20AD0"/>
    <w:rsid w:val="00A4233A"/>
    <w:rsid w:val="00A70295"/>
    <w:rsid w:val="00A74460"/>
    <w:rsid w:val="00A80B4B"/>
    <w:rsid w:val="00AA7A41"/>
    <w:rsid w:val="00AB01E9"/>
    <w:rsid w:val="00AB229F"/>
    <w:rsid w:val="00AC5F49"/>
    <w:rsid w:val="00AD15AB"/>
    <w:rsid w:val="00AD3B9C"/>
    <w:rsid w:val="00AD49D1"/>
    <w:rsid w:val="00AE1668"/>
    <w:rsid w:val="00AE17B6"/>
    <w:rsid w:val="00AE6AD0"/>
    <w:rsid w:val="00AF4002"/>
    <w:rsid w:val="00B04635"/>
    <w:rsid w:val="00B30CC2"/>
    <w:rsid w:val="00B337D1"/>
    <w:rsid w:val="00B4482D"/>
    <w:rsid w:val="00B70B73"/>
    <w:rsid w:val="00B74E8C"/>
    <w:rsid w:val="00B92D6C"/>
    <w:rsid w:val="00B9482B"/>
    <w:rsid w:val="00BB6876"/>
    <w:rsid w:val="00BC08AF"/>
    <w:rsid w:val="00BD2402"/>
    <w:rsid w:val="00BE0478"/>
    <w:rsid w:val="00BF7935"/>
    <w:rsid w:val="00C0025A"/>
    <w:rsid w:val="00C10CC3"/>
    <w:rsid w:val="00C25139"/>
    <w:rsid w:val="00C304BE"/>
    <w:rsid w:val="00C33C5C"/>
    <w:rsid w:val="00C34512"/>
    <w:rsid w:val="00C4039E"/>
    <w:rsid w:val="00C43198"/>
    <w:rsid w:val="00C4724E"/>
    <w:rsid w:val="00C572DB"/>
    <w:rsid w:val="00C607EB"/>
    <w:rsid w:val="00C825E8"/>
    <w:rsid w:val="00C911CB"/>
    <w:rsid w:val="00C944C0"/>
    <w:rsid w:val="00CA61E0"/>
    <w:rsid w:val="00CA7B69"/>
    <w:rsid w:val="00CB793B"/>
    <w:rsid w:val="00CC4543"/>
    <w:rsid w:val="00CD4B5E"/>
    <w:rsid w:val="00CD6D1A"/>
    <w:rsid w:val="00CE14CB"/>
    <w:rsid w:val="00CE5857"/>
    <w:rsid w:val="00CE6682"/>
    <w:rsid w:val="00CF6277"/>
    <w:rsid w:val="00D01E40"/>
    <w:rsid w:val="00D10944"/>
    <w:rsid w:val="00D14CD1"/>
    <w:rsid w:val="00D44310"/>
    <w:rsid w:val="00D612DE"/>
    <w:rsid w:val="00D65F59"/>
    <w:rsid w:val="00D67F34"/>
    <w:rsid w:val="00D71B8E"/>
    <w:rsid w:val="00D76E59"/>
    <w:rsid w:val="00D7725D"/>
    <w:rsid w:val="00D77B1A"/>
    <w:rsid w:val="00D91AB1"/>
    <w:rsid w:val="00D92F85"/>
    <w:rsid w:val="00D9563D"/>
    <w:rsid w:val="00DA102A"/>
    <w:rsid w:val="00DA57F5"/>
    <w:rsid w:val="00DA7E41"/>
    <w:rsid w:val="00DB5A49"/>
    <w:rsid w:val="00DB7DE2"/>
    <w:rsid w:val="00DC2183"/>
    <w:rsid w:val="00DC2D01"/>
    <w:rsid w:val="00DD3603"/>
    <w:rsid w:val="00E0116A"/>
    <w:rsid w:val="00E04190"/>
    <w:rsid w:val="00E0580D"/>
    <w:rsid w:val="00E13002"/>
    <w:rsid w:val="00E232F4"/>
    <w:rsid w:val="00E235AE"/>
    <w:rsid w:val="00E328B2"/>
    <w:rsid w:val="00E402DF"/>
    <w:rsid w:val="00E50304"/>
    <w:rsid w:val="00E523F8"/>
    <w:rsid w:val="00E766FF"/>
    <w:rsid w:val="00E77CCB"/>
    <w:rsid w:val="00E84703"/>
    <w:rsid w:val="00E85F87"/>
    <w:rsid w:val="00E969E6"/>
    <w:rsid w:val="00EA0982"/>
    <w:rsid w:val="00EA27DD"/>
    <w:rsid w:val="00EB1F36"/>
    <w:rsid w:val="00EB5F92"/>
    <w:rsid w:val="00EC430C"/>
    <w:rsid w:val="00EC60DE"/>
    <w:rsid w:val="00ED58B8"/>
    <w:rsid w:val="00EE0EC8"/>
    <w:rsid w:val="00EE1521"/>
    <w:rsid w:val="00EE1BF5"/>
    <w:rsid w:val="00EE2094"/>
    <w:rsid w:val="00EE4A13"/>
    <w:rsid w:val="00EF458F"/>
    <w:rsid w:val="00F0037F"/>
    <w:rsid w:val="00F044EB"/>
    <w:rsid w:val="00F1115A"/>
    <w:rsid w:val="00F12F56"/>
    <w:rsid w:val="00F17118"/>
    <w:rsid w:val="00F24EC4"/>
    <w:rsid w:val="00F251DD"/>
    <w:rsid w:val="00F3123B"/>
    <w:rsid w:val="00F41DA1"/>
    <w:rsid w:val="00F41F14"/>
    <w:rsid w:val="00F44934"/>
    <w:rsid w:val="00F61E04"/>
    <w:rsid w:val="00F62C8C"/>
    <w:rsid w:val="00F7479D"/>
    <w:rsid w:val="00F80770"/>
    <w:rsid w:val="00F84761"/>
    <w:rsid w:val="00FA19CA"/>
    <w:rsid w:val="00FA55EF"/>
    <w:rsid w:val="00FB40AB"/>
    <w:rsid w:val="00FC5D77"/>
    <w:rsid w:val="00FD0B21"/>
    <w:rsid w:val="00FE29C0"/>
    <w:rsid w:val="00FE4510"/>
    <w:rsid w:val="00FF38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B3E"/>
    <w:pPr>
      <w:widowControl w:val="0"/>
      <w:adjustRightInd w:val="0"/>
      <w:spacing w:line="360" w:lineRule="atLeast"/>
      <w:jc w:val="both"/>
      <w:textAlignment w:val="baseline"/>
    </w:pPr>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164BE"/>
    <w:pPr>
      <w:spacing w:before="100" w:beforeAutospacing="1" w:after="100" w:afterAutospacing="1"/>
    </w:pPr>
  </w:style>
  <w:style w:type="paragraph" w:styleId="ListParagraph">
    <w:name w:val="List Paragraph"/>
    <w:basedOn w:val="Normal"/>
    <w:uiPriority w:val="99"/>
    <w:qFormat/>
    <w:rsid w:val="004237D1"/>
    <w:pPr>
      <w:spacing w:after="200" w:line="276" w:lineRule="auto"/>
      <w:ind w:left="720"/>
      <w:contextualSpacing/>
    </w:pPr>
    <w:rPr>
      <w:rFonts w:ascii="Calibri" w:eastAsia="Calibri" w:hAnsi="Calibri"/>
      <w:sz w:val="22"/>
      <w:szCs w:val="22"/>
    </w:rPr>
  </w:style>
  <w:style w:type="character" w:customStyle="1" w:styleId="Body1Char">
    <w:name w:val="Body1 Char"/>
    <w:link w:val="Body1"/>
    <w:uiPriority w:val="99"/>
    <w:locked/>
    <w:rsid w:val="002A7233"/>
  </w:style>
  <w:style w:type="paragraph" w:customStyle="1" w:styleId="Body1">
    <w:name w:val="Body1"/>
    <w:basedOn w:val="Normal"/>
    <w:link w:val="Body1Char"/>
    <w:uiPriority w:val="99"/>
    <w:rsid w:val="002A7233"/>
    <w:pPr>
      <w:spacing w:before="240"/>
    </w:pPr>
    <w:rPr>
      <w:rFonts w:ascii="Calibri" w:eastAsia="Calibri" w:hAnsi="Calibri"/>
      <w:sz w:val="22"/>
      <w:szCs w:val="22"/>
    </w:rPr>
  </w:style>
  <w:style w:type="paragraph" w:styleId="BalloonText">
    <w:name w:val="Balloon Text"/>
    <w:basedOn w:val="Normal"/>
    <w:link w:val="BalloonTextChar"/>
    <w:uiPriority w:val="99"/>
    <w:semiHidden/>
    <w:rsid w:val="002A723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7233"/>
    <w:rPr>
      <w:rFonts w:ascii="Tahoma" w:hAnsi="Tahoma" w:cs="Tahoma"/>
      <w:sz w:val="16"/>
      <w:szCs w:val="16"/>
    </w:rPr>
  </w:style>
  <w:style w:type="character" w:styleId="Strong">
    <w:name w:val="Strong"/>
    <w:basedOn w:val="DefaultParagraphFont"/>
    <w:uiPriority w:val="99"/>
    <w:qFormat/>
    <w:rsid w:val="00AD15AB"/>
    <w:rPr>
      <w:rFonts w:cs="Times New Roman"/>
      <w:b/>
      <w:bCs/>
    </w:rPr>
  </w:style>
  <w:style w:type="paragraph" w:customStyle="1" w:styleId="ASFABodyText">
    <w:name w:val="ASFA Body Text"/>
    <w:basedOn w:val="Normal"/>
    <w:uiPriority w:val="99"/>
    <w:rsid w:val="002859B9"/>
    <w:pPr>
      <w:spacing w:before="120" w:after="240" w:line="264" w:lineRule="auto"/>
    </w:pPr>
    <w:rPr>
      <w:rFonts w:ascii="Trebuchet MS" w:hAnsi="Trebuchet MS"/>
      <w:sz w:val="20"/>
      <w:szCs w:val="20"/>
    </w:rPr>
  </w:style>
  <w:style w:type="paragraph" w:customStyle="1" w:styleId="ASFAAddressTextorLabel">
    <w:name w:val="ASFA Address Text or Label"/>
    <w:basedOn w:val="ASFABodyText"/>
    <w:uiPriority w:val="99"/>
    <w:rsid w:val="003E51DB"/>
    <w:pPr>
      <w:spacing w:before="0" w:after="0"/>
    </w:pPr>
    <w:rPr>
      <w:rFonts w:eastAsia="Calibri"/>
      <w:lang w:val="en-US"/>
    </w:rPr>
  </w:style>
  <w:style w:type="paragraph" w:styleId="CommentText">
    <w:name w:val="annotation text"/>
    <w:basedOn w:val="Normal"/>
    <w:link w:val="CommentTextChar"/>
    <w:uiPriority w:val="99"/>
    <w:semiHidden/>
    <w:rsid w:val="003E51DB"/>
    <w:rPr>
      <w:rFonts w:ascii="Trebuchet MS" w:eastAsia="Calibri" w:hAnsi="Trebuchet MS"/>
      <w:sz w:val="20"/>
      <w:szCs w:val="20"/>
    </w:rPr>
  </w:style>
  <w:style w:type="character" w:customStyle="1" w:styleId="CommentTextChar">
    <w:name w:val="Comment Text Char"/>
    <w:basedOn w:val="DefaultParagraphFont"/>
    <w:link w:val="CommentText"/>
    <w:uiPriority w:val="99"/>
    <w:semiHidden/>
    <w:locked/>
    <w:rsid w:val="003E51DB"/>
    <w:rPr>
      <w:rFonts w:ascii="Trebuchet MS" w:hAnsi="Trebuchet MS" w:cs="Times New Roman"/>
      <w:sz w:val="20"/>
      <w:szCs w:val="20"/>
    </w:rPr>
  </w:style>
  <w:style w:type="paragraph" w:customStyle="1" w:styleId="Pa1">
    <w:name w:val="Pa1"/>
    <w:basedOn w:val="Normal"/>
    <w:next w:val="Normal"/>
    <w:uiPriority w:val="99"/>
    <w:rsid w:val="00F62C8C"/>
    <w:pPr>
      <w:autoSpaceDE w:val="0"/>
      <w:autoSpaceDN w:val="0"/>
      <w:spacing w:line="191" w:lineRule="atLeast"/>
    </w:pPr>
    <w:rPr>
      <w:rFonts w:ascii="Franklin Gothic Book" w:eastAsia="Calibri" w:hAnsi="Franklin Gothic Book"/>
    </w:rPr>
  </w:style>
  <w:style w:type="character" w:styleId="CommentReference">
    <w:name w:val="annotation reference"/>
    <w:basedOn w:val="DefaultParagraphFont"/>
    <w:uiPriority w:val="99"/>
    <w:semiHidden/>
    <w:rsid w:val="00085057"/>
    <w:rPr>
      <w:rFonts w:cs="Times New Roman"/>
      <w:sz w:val="16"/>
      <w:szCs w:val="16"/>
    </w:rPr>
  </w:style>
  <w:style w:type="paragraph" w:styleId="CommentSubject">
    <w:name w:val="annotation subject"/>
    <w:basedOn w:val="CommentText"/>
    <w:next w:val="CommentText"/>
    <w:link w:val="CommentSubjectChar"/>
    <w:uiPriority w:val="99"/>
    <w:semiHidden/>
    <w:rsid w:val="00085057"/>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B44F99"/>
    <w:rPr>
      <w:rFonts w:ascii="Times New Roman" w:eastAsia="Times New Roman" w:hAnsi="Times New Roman" w:cs="Times New Roman"/>
      <w:b/>
      <w:bCs/>
      <w:sz w:val="20"/>
      <w:szCs w:val="20"/>
      <w:lang w:eastAsia="en-US"/>
    </w:rPr>
  </w:style>
  <w:style w:type="paragraph" w:styleId="Revision">
    <w:name w:val="Revision"/>
    <w:hidden/>
    <w:uiPriority w:val="99"/>
    <w:semiHidden/>
    <w:rsid w:val="00041843"/>
    <w:pPr>
      <w:widowControl w:val="0"/>
      <w:adjustRightInd w:val="0"/>
      <w:spacing w:line="360" w:lineRule="atLeast"/>
      <w:jc w:val="both"/>
      <w:textAlignment w:val="baseline"/>
    </w:pPr>
    <w:rPr>
      <w:rFonts w:ascii="Times New Roman" w:eastAsia="Times New Roman" w:hAnsi="Times New Roman"/>
      <w:sz w:val="24"/>
      <w:szCs w:val="24"/>
      <w:lang w:eastAsia="en-US"/>
    </w:rPr>
  </w:style>
  <w:style w:type="table" w:styleId="TableGrid">
    <w:name w:val="Table Grid"/>
    <w:basedOn w:val="TableNormal"/>
    <w:locked/>
    <w:rsid w:val="00246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2D0606"/>
    <w:rPr>
      <w:rFonts w:ascii="Arial Narrow" w:eastAsia="Calibri" w:hAnsi="Arial Narrow"/>
      <w:sz w:val="20"/>
      <w:szCs w:val="20"/>
    </w:rPr>
  </w:style>
  <w:style w:type="character" w:customStyle="1" w:styleId="FootnoteTextChar">
    <w:name w:val="Footnote Text Char"/>
    <w:basedOn w:val="DefaultParagraphFont"/>
    <w:link w:val="FootnoteText"/>
    <w:uiPriority w:val="99"/>
    <w:semiHidden/>
    <w:rsid w:val="002D0606"/>
    <w:rPr>
      <w:rFonts w:ascii="Arial Narrow" w:hAnsi="Arial Narrow"/>
      <w:sz w:val="20"/>
      <w:szCs w:val="20"/>
      <w:lang w:eastAsia="en-US"/>
    </w:rPr>
  </w:style>
  <w:style w:type="character" w:styleId="FootnoteReference">
    <w:name w:val="footnote reference"/>
    <w:basedOn w:val="DefaultParagraphFont"/>
    <w:uiPriority w:val="99"/>
    <w:semiHidden/>
    <w:rsid w:val="002D0606"/>
    <w:rPr>
      <w:rFonts w:cs="Times New Roman"/>
      <w:vertAlign w:val="superscript"/>
    </w:rPr>
  </w:style>
  <w:style w:type="character" w:styleId="Hyperlink">
    <w:name w:val="Hyperlink"/>
    <w:basedOn w:val="DefaultParagraphFont"/>
    <w:uiPriority w:val="99"/>
    <w:unhideWhenUsed/>
    <w:rsid w:val="00717085"/>
    <w:rPr>
      <w:color w:val="0000FF" w:themeColor="hyperlink"/>
      <w:u w:val="single"/>
    </w:rPr>
  </w:style>
  <w:style w:type="paragraph" w:styleId="EndnoteText">
    <w:name w:val="endnote text"/>
    <w:basedOn w:val="Normal"/>
    <w:link w:val="EndnoteTextChar"/>
    <w:uiPriority w:val="99"/>
    <w:semiHidden/>
    <w:unhideWhenUsed/>
    <w:rsid w:val="00717085"/>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717085"/>
    <w:rPr>
      <w:rFonts w:asciiTheme="minorHAnsi" w:eastAsiaTheme="minorHAnsi" w:hAnsiTheme="minorHAnsi" w:cstheme="minorBidi"/>
      <w:sz w:val="20"/>
      <w:szCs w:val="20"/>
      <w:lang w:eastAsia="en-US"/>
    </w:rPr>
  </w:style>
  <w:style w:type="character" w:styleId="EndnoteReference">
    <w:name w:val="endnote reference"/>
    <w:basedOn w:val="DefaultParagraphFont"/>
    <w:uiPriority w:val="99"/>
    <w:semiHidden/>
    <w:unhideWhenUsed/>
    <w:rsid w:val="00717085"/>
    <w:rPr>
      <w:vertAlign w:val="superscript"/>
    </w:rPr>
  </w:style>
  <w:style w:type="character" w:styleId="FollowedHyperlink">
    <w:name w:val="FollowedHyperlink"/>
    <w:basedOn w:val="DefaultParagraphFont"/>
    <w:uiPriority w:val="99"/>
    <w:semiHidden/>
    <w:unhideWhenUsed/>
    <w:rsid w:val="00E402DF"/>
    <w:rPr>
      <w:color w:val="800080" w:themeColor="followedHyperlink"/>
      <w:u w:val="single"/>
    </w:rPr>
  </w:style>
  <w:style w:type="paragraph" w:styleId="Header">
    <w:name w:val="header"/>
    <w:basedOn w:val="Normal"/>
    <w:link w:val="HeaderChar"/>
    <w:uiPriority w:val="99"/>
    <w:unhideWhenUsed/>
    <w:rsid w:val="00E402DF"/>
    <w:pPr>
      <w:tabs>
        <w:tab w:val="center" w:pos="4513"/>
        <w:tab w:val="right" w:pos="9026"/>
      </w:tabs>
    </w:pPr>
  </w:style>
  <w:style w:type="character" w:customStyle="1" w:styleId="HeaderChar">
    <w:name w:val="Header Char"/>
    <w:basedOn w:val="DefaultParagraphFont"/>
    <w:link w:val="Header"/>
    <w:uiPriority w:val="99"/>
    <w:rsid w:val="00E402DF"/>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E402DF"/>
    <w:pPr>
      <w:tabs>
        <w:tab w:val="center" w:pos="4513"/>
        <w:tab w:val="right" w:pos="9026"/>
      </w:tabs>
    </w:pPr>
  </w:style>
  <w:style w:type="character" w:customStyle="1" w:styleId="FooterChar">
    <w:name w:val="Footer Char"/>
    <w:basedOn w:val="DefaultParagraphFont"/>
    <w:link w:val="Footer"/>
    <w:uiPriority w:val="99"/>
    <w:rsid w:val="00E402DF"/>
    <w:rPr>
      <w:rFonts w:ascii="Times New Roman" w:eastAsia="Times New Roman" w:hAnsi="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B3E"/>
    <w:pPr>
      <w:widowControl w:val="0"/>
      <w:adjustRightInd w:val="0"/>
      <w:spacing w:line="360" w:lineRule="atLeast"/>
      <w:jc w:val="both"/>
      <w:textAlignment w:val="baseline"/>
    </w:pPr>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164BE"/>
    <w:pPr>
      <w:spacing w:before="100" w:beforeAutospacing="1" w:after="100" w:afterAutospacing="1"/>
    </w:pPr>
  </w:style>
  <w:style w:type="paragraph" w:styleId="ListParagraph">
    <w:name w:val="List Paragraph"/>
    <w:basedOn w:val="Normal"/>
    <w:uiPriority w:val="99"/>
    <w:qFormat/>
    <w:rsid w:val="004237D1"/>
    <w:pPr>
      <w:spacing w:after="200" w:line="276" w:lineRule="auto"/>
      <w:ind w:left="720"/>
      <w:contextualSpacing/>
    </w:pPr>
    <w:rPr>
      <w:rFonts w:ascii="Calibri" w:eastAsia="Calibri" w:hAnsi="Calibri"/>
      <w:sz w:val="22"/>
      <w:szCs w:val="22"/>
    </w:rPr>
  </w:style>
  <w:style w:type="character" w:customStyle="1" w:styleId="Body1Char">
    <w:name w:val="Body1 Char"/>
    <w:link w:val="Body1"/>
    <w:uiPriority w:val="99"/>
    <w:locked/>
    <w:rsid w:val="002A7233"/>
  </w:style>
  <w:style w:type="paragraph" w:customStyle="1" w:styleId="Body1">
    <w:name w:val="Body1"/>
    <w:basedOn w:val="Normal"/>
    <w:link w:val="Body1Char"/>
    <w:uiPriority w:val="99"/>
    <w:rsid w:val="002A7233"/>
    <w:pPr>
      <w:spacing w:before="240"/>
    </w:pPr>
    <w:rPr>
      <w:rFonts w:ascii="Calibri" w:eastAsia="Calibri" w:hAnsi="Calibri"/>
      <w:sz w:val="22"/>
      <w:szCs w:val="22"/>
    </w:rPr>
  </w:style>
  <w:style w:type="paragraph" w:styleId="BalloonText">
    <w:name w:val="Balloon Text"/>
    <w:basedOn w:val="Normal"/>
    <w:link w:val="BalloonTextChar"/>
    <w:uiPriority w:val="99"/>
    <w:semiHidden/>
    <w:rsid w:val="002A723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7233"/>
    <w:rPr>
      <w:rFonts w:ascii="Tahoma" w:hAnsi="Tahoma" w:cs="Tahoma"/>
      <w:sz w:val="16"/>
      <w:szCs w:val="16"/>
    </w:rPr>
  </w:style>
  <w:style w:type="character" w:styleId="Strong">
    <w:name w:val="Strong"/>
    <w:basedOn w:val="DefaultParagraphFont"/>
    <w:uiPriority w:val="99"/>
    <w:qFormat/>
    <w:rsid w:val="00AD15AB"/>
    <w:rPr>
      <w:rFonts w:cs="Times New Roman"/>
      <w:b/>
      <w:bCs/>
    </w:rPr>
  </w:style>
  <w:style w:type="paragraph" w:customStyle="1" w:styleId="ASFABodyText">
    <w:name w:val="ASFA Body Text"/>
    <w:basedOn w:val="Normal"/>
    <w:uiPriority w:val="99"/>
    <w:rsid w:val="002859B9"/>
    <w:pPr>
      <w:spacing w:before="120" w:after="240" w:line="264" w:lineRule="auto"/>
    </w:pPr>
    <w:rPr>
      <w:rFonts w:ascii="Trebuchet MS" w:hAnsi="Trebuchet MS"/>
      <w:sz w:val="20"/>
      <w:szCs w:val="20"/>
    </w:rPr>
  </w:style>
  <w:style w:type="paragraph" w:customStyle="1" w:styleId="ASFAAddressTextorLabel">
    <w:name w:val="ASFA Address Text or Label"/>
    <w:basedOn w:val="ASFABodyText"/>
    <w:uiPriority w:val="99"/>
    <w:rsid w:val="003E51DB"/>
    <w:pPr>
      <w:spacing w:before="0" w:after="0"/>
    </w:pPr>
    <w:rPr>
      <w:rFonts w:eastAsia="Calibri"/>
      <w:lang w:val="en-US"/>
    </w:rPr>
  </w:style>
  <w:style w:type="paragraph" w:styleId="CommentText">
    <w:name w:val="annotation text"/>
    <w:basedOn w:val="Normal"/>
    <w:link w:val="CommentTextChar"/>
    <w:uiPriority w:val="99"/>
    <w:semiHidden/>
    <w:rsid w:val="003E51DB"/>
    <w:rPr>
      <w:rFonts w:ascii="Trebuchet MS" w:eastAsia="Calibri" w:hAnsi="Trebuchet MS"/>
      <w:sz w:val="20"/>
      <w:szCs w:val="20"/>
    </w:rPr>
  </w:style>
  <w:style w:type="character" w:customStyle="1" w:styleId="CommentTextChar">
    <w:name w:val="Comment Text Char"/>
    <w:basedOn w:val="DefaultParagraphFont"/>
    <w:link w:val="CommentText"/>
    <w:uiPriority w:val="99"/>
    <w:semiHidden/>
    <w:locked/>
    <w:rsid w:val="003E51DB"/>
    <w:rPr>
      <w:rFonts w:ascii="Trebuchet MS" w:hAnsi="Trebuchet MS" w:cs="Times New Roman"/>
      <w:sz w:val="20"/>
      <w:szCs w:val="20"/>
    </w:rPr>
  </w:style>
  <w:style w:type="paragraph" w:customStyle="1" w:styleId="Pa1">
    <w:name w:val="Pa1"/>
    <w:basedOn w:val="Normal"/>
    <w:next w:val="Normal"/>
    <w:uiPriority w:val="99"/>
    <w:rsid w:val="00F62C8C"/>
    <w:pPr>
      <w:autoSpaceDE w:val="0"/>
      <w:autoSpaceDN w:val="0"/>
      <w:spacing w:line="191" w:lineRule="atLeast"/>
    </w:pPr>
    <w:rPr>
      <w:rFonts w:ascii="Franklin Gothic Book" w:eastAsia="Calibri" w:hAnsi="Franklin Gothic Book"/>
    </w:rPr>
  </w:style>
  <w:style w:type="character" w:styleId="CommentReference">
    <w:name w:val="annotation reference"/>
    <w:basedOn w:val="DefaultParagraphFont"/>
    <w:uiPriority w:val="99"/>
    <w:semiHidden/>
    <w:rsid w:val="00085057"/>
    <w:rPr>
      <w:rFonts w:cs="Times New Roman"/>
      <w:sz w:val="16"/>
      <w:szCs w:val="16"/>
    </w:rPr>
  </w:style>
  <w:style w:type="paragraph" w:styleId="CommentSubject">
    <w:name w:val="annotation subject"/>
    <w:basedOn w:val="CommentText"/>
    <w:next w:val="CommentText"/>
    <w:link w:val="CommentSubjectChar"/>
    <w:uiPriority w:val="99"/>
    <w:semiHidden/>
    <w:rsid w:val="00085057"/>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B44F99"/>
    <w:rPr>
      <w:rFonts w:ascii="Times New Roman" w:eastAsia="Times New Roman" w:hAnsi="Times New Roman" w:cs="Times New Roman"/>
      <w:b/>
      <w:bCs/>
      <w:sz w:val="20"/>
      <w:szCs w:val="20"/>
      <w:lang w:eastAsia="en-US"/>
    </w:rPr>
  </w:style>
  <w:style w:type="paragraph" w:styleId="Revision">
    <w:name w:val="Revision"/>
    <w:hidden/>
    <w:uiPriority w:val="99"/>
    <w:semiHidden/>
    <w:rsid w:val="00041843"/>
    <w:pPr>
      <w:widowControl w:val="0"/>
      <w:adjustRightInd w:val="0"/>
      <w:spacing w:line="360" w:lineRule="atLeast"/>
      <w:jc w:val="both"/>
      <w:textAlignment w:val="baseline"/>
    </w:pPr>
    <w:rPr>
      <w:rFonts w:ascii="Times New Roman" w:eastAsia="Times New Roman" w:hAnsi="Times New Roman"/>
      <w:sz w:val="24"/>
      <w:szCs w:val="24"/>
      <w:lang w:eastAsia="en-US"/>
    </w:rPr>
  </w:style>
  <w:style w:type="table" w:styleId="TableGrid">
    <w:name w:val="Table Grid"/>
    <w:basedOn w:val="TableNormal"/>
    <w:locked/>
    <w:rsid w:val="00246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2D0606"/>
    <w:rPr>
      <w:rFonts w:ascii="Arial Narrow" w:eastAsia="Calibri" w:hAnsi="Arial Narrow"/>
      <w:sz w:val="20"/>
      <w:szCs w:val="20"/>
    </w:rPr>
  </w:style>
  <w:style w:type="character" w:customStyle="1" w:styleId="FootnoteTextChar">
    <w:name w:val="Footnote Text Char"/>
    <w:basedOn w:val="DefaultParagraphFont"/>
    <w:link w:val="FootnoteText"/>
    <w:uiPriority w:val="99"/>
    <w:semiHidden/>
    <w:rsid w:val="002D0606"/>
    <w:rPr>
      <w:rFonts w:ascii="Arial Narrow" w:hAnsi="Arial Narrow"/>
      <w:sz w:val="20"/>
      <w:szCs w:val="20"/>
      <w:lang w:eastAsia="en-US"/>
    </w:rPr>
  </w:style>
  <w:style w:type="character" w:styleId="FootnoteReference">
    <w:name w:val="footnote reference"/>
    <w:basedOn w:val="DefaultParagraphFont"/>
    <w:uiPriority w:val="99"/>
    <w:semiHidden/>
    <w:rsid w:val="002D0606"/>
    <w:rPr>
      <w:rFonts w:cs="Times New Roman"/>
      <w:vertAlign w:val="superscript"/>
    </w:rPr>
  </w:style>
  <w:style w:type="character" w:styleId="Hyperlink">
    <w:name w:val="Hyperlink"/>
    <w:basedOn w:val="DefaultParagraphFont"/>
    <w:uiPriority w:val="99"/>
    <w:unhideWhenUsed/>
    <w:rsid w:val="00717085"/>
    <w:rPr>
      <w:color w:val="0000FF" w:themeColor="hyperlink"/>
      <w:u w:val="single"/>
    </w:rPr>
  </w:style>
  <w:style w:type="paragraph" w:styleId="EndnoteText">
    <w:name w:val="endnote text"/>
    <w:basedOn w:val="Normal"/>
    <w:link w:val="EndnoteTextChar"/>
    <w:uiPriority w:val="99"/>
    <w:semiHidden/>
    <w:unhideWhenUsed/>
    <w:rsid w:val="00717085"/>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717085"/>
    <w:rPr>
      <w:rFonts w:asciiTheme="minorHAnsi" w:eastAsiaTheme="minorHAnsi" w:hAnsiTheme="minorHAnsi" w:cstheme="minorBidi"/>
      <w:sz w:val="20"/>
      <w:szCs w:val="20"/>
      <w:lang w:eastAsia="en-US"/>
    </w:rPr>
  </w:style>
  <w:style w:type="character" w:styleId="EndnoteReference">
    <w:name w:val="endnote reference"/>
    <w:basedOn w:val="DefaultParagraphFont"/>
    <w:uiPriority w:val="99"/>
    <w:semiHidden/>
    <w:unhideWhenUsed/>
    <w:rsid w:val="00717085"/>
    <w:rPr>
      <w:vertAlign w:val="superscript"/>
    </w:rPr>
  </w:style>
  <w:style w:type="character" w:styleId="FollowedHyperlink">
    <w:name w:val="FollowedHyperlink"/>
    <w:basedOn w:val="DefaultParagraphFont"/>
    <w:uiPriority w:val="99"/>
    <w:semiHidden/>
    <w:unhideWhenUsed/>
    <w:rsid w:val="00E402DF"/>
    <w:rPr>
      <w:color w:val="800080" w:themeColor="followedHyperlink"/>
      <w:u w:val="single"/>
    </w:rPr>
  </w:style>
  <w:style w:type="paragraph" w:styleId="Header">
    <w:name w:val="header"/>
    <w:basedOn w:val="Normal"/>
    <w:link w:val="HeaderChar"/>
    <w:uiPriority w:val="99"/>
    <w:unhideWhenUsed/>
    <w:rsid w:val="00E402DF"/>
    <w:pPr>
      <w:tabs>
        <w:tab w:val="center" w:pos="4513"/>
        <w:tab w:val="right" w:pos="9026"/>
      </w:tabs>
    </w:pPr>
  </w:style>
  <w:style w:type="character" w:customStyle="1" w:styleId="HeaderChar">
    <w:name w:val="Header Char"/>
    <w:basedOn w:val="DefaultParagraphFont"/>
    <w:link w:val="Header"/>
    <w:uiPriority w:val="99"/>
    <w:rsid w:val="00E402DF"/>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E402DF"/>
    <w:pPr>
      <w:tabs>
        <w:tab w:val="center" w:pos="4513"/>
        <w:tab w:val="right" w:pos="9026"/>
      </w:tabs>
    </w:pPr>
  </w:style>
  <w:style w:type="character" w:customStyle="1" w:styleId="FooterChar">
    <w:name w:val="Footer Char"/>
    <w:basedOn w:val="DefaultParagraphFont"/>
    <w:link w:val="Footer"/>
    <w:uiPriority w:val="99"/>
    <w:rsid w:val="00E402DF"/>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27765">
      <w:bodyDiv w:val="1"/>
      <w:marLeft w:val="0"/>
      <w:marRight w:val="0"/>
      <w:marTop w:val="0"/>
      <w:marBottom w:val="0"/>
      <w:divBdr>
        <w:top w:val="none" w:sz="0" w:space="0" w:color="auto"/>
        <w:left w:val="none" w:sz="0" w:space="0" w:color="auto"/>
        <w:bottom w:val="none" w:sz="0" w:space="0" w:color="auto"/>
        <w:right w:val="none" w:sz="0" w:space="0" w:color="auto"/>
      </w:divBdr>
    </w:div>
    <w:div w:id="114176862">
      <w:bodyDiv w:val="1"/>
      <w:marLeft w:val="0"/>
      <w:marRight w:val="0"/>
      <w:marTop w:val="0"/>
      <w:marBottom w:val="0"/>
      <w:divBdr>
        <w:top w:val="none" w:sz="0" w:space="0" w:color="auto"/>
        <w:left w:val="none" w:sz="0" w:space="0" w:color="auto"/>
        <w:bottom w:val="none" w:sz="0" w:space="0" w:color="auto"/>
        <w:right w:val="none" w:sz="0" w:space="0" w:color="auto"/>
      </w:divBdr>
    </w:div>
    <w:div w:id="230040556">
      <w:bodyDiv w:val="1"/>
      <w:marLeft w:val="0"/>
      <w:marRight w:val="0"/>
      <w:marTop w:val="0"/>
      <w:marBottom w:val="0"/>
      <w:divBdr>
        <w:top w:val="none" w:sz="0" w:space="0" w:color="auto"/>
        <w:left w:val="none" w:sz="0" w:space="0" w:color="auto"/>
        <w:bottom w:val="none" w:sz="0" w:space="0" w:color="auto"/>
        <w:right w:val="none" w:sz="0" w:space="0" w:color="auto"/>
      </w:divBdr>
    </w:div>
    <w:div w:id="261568990">
      <w:bodyDiv w:val="1"/>
      <w:marLeft w:val="0"/>
      <w:marRight w:val="0"/>
      <w:marTop w:val="0"/>
      <w:marBottom w:val="0"/>
      <w:divBdr>
        <w:top w:val="none" w:sz="0" w:space="0" w:color="auto"/>
        <w:left w:val="none" w:sz="0" w:space="0" w:color="auto"/>
        <w:bottom w:val="none" w:sz="0" w:space="0" w:color="auto"/>
        <w:right w:val="none" w:sz="0" w:space="0" w:color="auto"/>
      </w:divBdr>
    </w:div>
    <w:div w:id="406265148">
      <w:bodyDiv w:val="1"/>
      <w:marLeft w:val="0"/>
      <w:marRight w:val="0"/>
      <w:marTop w:val="0"/>
      <w:marBottom w:val="0"/>
      <w:divBdr>
        <w:top w:val="none" w:sz="0" w:space="0" w:color="auto"/>
        <w:left w:val="none" w:sz="0" w:space="0" w:color="auto"/>
        <w:bottom w:val="none" w:sz="0" w:space="0" w:color="auto"/>
        <w:right w:val="none" w:sz="0" w:space="0" w:color="auto"/>
      </w:divBdr>
    </w:div>
    <w:div w:id="807472246">
      <w:bodyDiv w:val="1"/>
      <w:marLeft w:val="0"/>
      <w:marRight w:val="0"/>
      <w:marTop w:val="0"/>
      <w:marBottom w:val="0"/>
      <w:divBdr>
        <w:top w:val="none" w:sz="0" w:space="0" w:color="auto"/>
        <w:left w:val="none" w:sz="0" w:space="0" w:color="auto"/>
        <w:bottom w:val="none" w:sz="0" w:space="0" w:color="auto"/>
        <w:right w:val="none" w:sz="0" w:space="0" w:color="auto"/>
      </w:divBdr>
    </w:div>
    <w:div w:id="831484329">
      <w:bodyDiv w:val="1"/>
      <w:marLeft w:val="0"/>
      <w:marRight w:val="0"/>
      <w:marTop w:val="0"/>
      <w:marBottom w:val="0"/>
      <w:divBdr>
        <w:top w:val="none" w:sz="0" w:space="0" w:color="auto"/>
        <w:left w:val="none" w:sz="0" w:space="0" w:color="auto"/>
        <w:bottom w:val="none" w:sz="0" w:space="0" w:color="auto"/>
        <w:right w:val="none" w:sz="0" w:space="0" w:color="auto"/>
      </w:divBdr>
    </w:div>
    <w:div w:id="1587610401">
      <w:bodyDiv w:val="1"/>
      <w:marLeft w:val="0"/>
      <w:marRight w:val="0"/>
      <w:marTop w:val="0"/>
      <w:marBottom w:val="0"/>
      <w:divBdr>
        <w:top w:val="none" w:sz="0" w:space="0" w:color="auto"/>
        <w:left w:val="none" w:sz="0" w:space="0" w:color="auto"/>
        <w:bottom w:val="none" w:sz="0" w:space="0" w:color="auto"/>
        <w:right w:val="none" w:sz="0" w:space="0" w:color="auto"/>
      </w:divBdr>
    </w:div>
    <w:div w:id="1636908657">
      <w:bodyDiv w:val="1"/>
      <w:marLeft w:val="0"/>
      <w:marRight w:val="0"/>
      <w:marTop w:val="0"/>
      <w:marBottom w:val="0"/>
      <w:divBdr>
        <w:top w:val="none" w:sz="0" w:space="0" w:color="auto"/>
        <w:left w:val="none" w:sz="0" w:space="0" w:color="auto"/>
        <w:bottom w:val="none" w:sz="0" w:space="0" w:color="auto"/>
        <w:right w:val="none" w:sz="0" w:space="0" w:color="auto"/>
      </w:divBdr>
    </w:div>
    <w:div w:id="1640956020">
      <w:bodyDiv w:val="1"/>
      <w:marLeft w:val="0"/>
      <w:marRight w:val="0"/>
      <w:marTop w:val="0"/>
      <w:marBottom w:val="0"/>
      <w:divBdr>
        <w:top w:val="none" w:sz="0" w:space="0" w:color="auto"/>
        <w:left w:val="none" w:sz="0" w:space="0" w:color="auto"/>
        <w:bottom w:val="none" w:sz="0" w:space="0" w:color="auto"/>
        <w:right w:val="none" w:sz="0" w:space="0" w:color="auto"/>
      </w:divBdr>
    </w:div>
    <w:div w:id="1769152421">
      <w:marLeft w:val="0"/>
      <w:marRight w:val="0"/>
      <w:marTop w:val="0"/>
      <w:marBottom w:val="0"/>
      <w:divBdr>
        <w:top w:val="none" w:sz="0" w:space="0" w:color="auto"/>
        <w:left w:val="none" w:sz="0" w:space="0" w:color="auto"/>
        <w:bottom w:val="none" w:sz="0" w:space="0" w:color="auto"/>
        <w:right w:val="none" w:sz="0" w:space="0" w:color="auto"/>
      </w:divBdr>
    </w:div>
    <w:div w:id="1782186289">
      <w:bodyDiv w:val="1"/>
      <w:marLeft w:val="0"/>
      <w:marRight w:val="0"/>
      <w:marTop w:val="0"/>
      <w:marBottom w:val="0"/>
      <w:divBdr>
        <w:top w:val="none" w:sz="0" w:space="0" w:color="auto"/>
        <w:left w:val="none" w:sz="0" w:space="0" w:color="auto"/>
        <w:bottom w:val="none" w:sz="0" w:space="0" w:color="auto"/>
        <w:right w:val="none" w:sz="0" w:space="0" w:color="auto"/>
      </w:divBdr>
    </w:div>
    <w:div w:id="2052268448">
      <w:bodyDiv w:val="1"/>
      <w:marLeft w:val="0"/>
      <w:marRight w:val="0"/>
      <w:marTop w:val="0"/>
      <w:marBottom w:val="0"/>
      <w:divBdr>
        <w:top w:val="none" w:sz="0" w:space="0" w:color="auto"/>
        <w:left w:val="none" w:sz="0" w:space="0" w:color="auto"/>
        <w:bottom w:val="none" w:sz="0" w:space="0" w:color="auto"/>
        <w:right w:val="none" w:sz="0" w:space="0" w:color="auto"/>
      </w:divBdr>
    </w:div>
    <w:div w:id="213178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Microsoft_Excel_97-2003_Worksheet1.xls"/><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8863517060367459E-2"/>
          <c:y val="5.1400554097404488E-2"/>
          <c:w val="0.52552362204724412"/>
          <c:h val="0.8326195683872849"/>
        </c:manualLayout>
      </c:layout>
      <c:lineChart>
        <c:grouping val="standard"/>
        <c:varyColors val="0"/>
        <c:ser>
          <c:idx val="0"/>
          <c:order val="0"/>
          <c:tx>
            <c:strRef>
              <c:f>'Age 65'!$B$6</c:f>
              <c:strCache>
                <c:ptCount val="1"/>
                <c:pt idx="0">
                  <c:v>Projected Age Pension</c:v>
                </c:pt>
              </c:strCache>
            </c:strRef>
          </c:tx>
          <c:cat>
            <c:strRef>
              <c:f>'Age 65'!$C$5:$G$5</c:f>
              <c:strCache>
                <c:ptCount val="5"/>
                <c:pt idx="0">
                  <c:v>2014-15</c:v>
                </c:pt>
                <c:pt idx="1">
                  <c:v>2024-25</c:v>
                </c:pt>
                <c:pt idx="2">
                  <c:v>2034-35</c:v>
                </c:pt>
                <c:pt idx="3">
                  <c:v>2044-45</c:v>
                </c:pt>
                <c:pt idx="4">
                  <c:v>2054-55</c:v>
                </c:pt>
              </c:strCache>
            </c:strRef>
          </c:cat>
          <c:val>
            <c:numRef>
              <c:f>'Age 65'!$C$6:$G$6</c:f>
              <c:numCache>
                <c:formatCode>0.0%</c:formatCode>
                <c:ptCount val="5"/>
                <c:pt idx="0">
                  <c:v>2.9000000000000001E-2</c:v>
                </c:pt>
                <c:pt idx="1">
                  <c:v>2.4E-2</c:v>
                </c:pt>
                <c:pt idx="2">
                  <c:v>2.4E-2</c:v>
                </c:pt>
                <c:pt idx="3">
                  <c:v>2.5000000000000001E-2</c:v>
                </c:pt>
                <c:pt idx="4">
                  <c:v>2.5999999999999999E-2</c:v>
                </c:pt>
              </c:numCache>
            </c:numRef>
          </c:val>
          <c:smooth val="0"/>
        </c:ser>
        <c:ser>
          <c:idx val="1"/>
          <c:order val="1"/>
          <c:tx>
            <c:strRef>
              <c:f>'Age 65'!$B$7</c:f>
              <c:strCache>
                <c:ptCount val="1"/>
                <c:pt idx="0">
                  <c:v>Age Pension if no super</c:v>
                </c:pt>
              </c:strCache>
            </c:strRef>
          </c:tx>
          <c:cat>
            <c:strRef>
              <c:f>'Age 65'!$C$5:$G$5</c:f>
              <c:strCache>
                <c:ptCount val="5"/>
                <c:pt idx="0">
                  <c:v>2014-15</c:v>
                </c:pt>
                <c:pt idx="1">
                  <c:v>2024-25</c:v>
                </c:pt>
                <c:pt idx="2">
                  <c:v>2034-35</c:v>
                </c:pt>
                <c:pt idx="3">
                  <c:v>2044-45</c:v>
                </c:pt>
                <c:pt idx="4">
                  <c:v>2054-55</c:v>
                </c:pt>
              </c:strCache>
            </c:strRef>
          </c:cat>
          <c:val>
            <c:numRef>
              <c:f>'Age 65'!$C$7:$G$7</c:f>
              <c:numCache>
                <c:formatCode>0.0%</c:formatCode>
                <c:ptCount val="5"/>
                <c:pt idx="0">
                  <c:v>3.3300000000000003E-2</c:v>
                </c:pt>
                <c:pt idx="1">
                  <c:v>2.8000000000000001E-2</c:v>
                </c:pt>
                <c:pt idx="2">
                  <c:v>2.8199999999999999E-2</c:v>
                </c:pt>
                <c:pt idx="3">
                  <c:v>3.04E-2</c:v>
                </c:pt>
                <c:pt idx="4">
                  <c:v>3.3700000000000001E-2</c:v>
                </c:pt>
              </c:numCache>
            </c:numRef>
          </c:val>
          <c:smooth val="0"/>
        </c:ser>
        <c:ser>
          <c:idx val="2"/>
          <c:order val="2"/>
          <c:tx>
            <c:strRef>
              <c:f>'Age 65'!$B$8</c:f>
              <c:strCache>
                <c:ptCount val="1"/>
                <c:pt idx="0">
                  <c:v>Contributions tax expenditure</c:v>
                </c:pt>
              </c:strCache>
            </c:strRef>
          </c:tx>
          <c:cat>
            <c:strRef>
              <c:f>'Age 65'!$C$5:$G$5</c:f>
              <c:strCache>
                <c:ptCount val="5"/>
                <c:pt idx="0">
                  <c:v>2014-15</c:v>
                </c:pt>
                <c:pt idx="1">
                  <c:v>2024-25</c:v>
                </c:pt>
                <c:pt idx="2">
                  <c:v>2034-35</c:v>
                </c:pt>
                <c:pt idx="3">
                  <c:v>2044-45</c:v>
                </c:pt>
                <c:pt idx="4">
                  <c:v>2054-55</c:v>
                </c:pt>
              </c:strCache>
            </c:strRef>
          </c:cat>
          <c:val>
            <c:numRef>
              <c:f>'Age 65'!$C$8:$G$8</c:f>
              <c:numCache>
                <c:formatCode>0%</c:formatCode>
                <c:ptCount val="5"/>
                <c:pt idx="0">
                  <c:v>9.2999999999999992E-3</c:v>
                </c:pt>
                <c:pt idx="1">
                  <c:v>1.06E-2</c:v>
                </c:pt>
                <c:pt idx="2">
                  <c:v>1.06E-2</c:v>
                </c:pt>
                <c:pt idx="3">
                  <c:v>1.06E-2</c:v>
                </c:pt>
                <c:pt idx="4">
                  <c:v>1.06E-2</c:v>
                </c:pt>
              </c:numCache>
            </c:numRef>
          </c:val>
          <c:smooth val="0"/>
        </c:ser>
        <c:ser>
          <c:idx val="3"/>
          <c:order val="3"/>
          <c:tx>
            <c:strRef>
              <c:f>'Age 65'!$B$9</c:f>
              <c:strCache>
                <c:ptCount val="1"/>
                <c:pt idx="0">
                  <c:v>Earnings tax expenditure</c:v>
                </c:pt>
              </c:strCache>
            </c:strRef>
          </c:tx>
          <c:dLbls>
            <c:showLegendKey val="0"/>
            <c:showVal val="1"/>
            <c:showCatName val="0"/>
            <c:showSerName val="0"/>
            <c:showPercent val="0"/>
            <c:showBubbleSize val="0"/>
            <c:showLeaderLines val="0"/>
          </c:dLbls>
          <c:cat>
            <c:strRef>
              <c:f>'Age 65'!$C$5:$G$5</c:f>
              <c:strCache>
                <c:ptCount val="5"/>
                <c:pt idx="0">
                  <c:v>2014-15</c:v>
                </c:pt>
                <c:pt idx="1">
                  <c:v>2024-25</c:v>
                </c:pt>
                <c:pt idx="2">
                  <c:v>2034-35</c:v>
                </c:pt>
                <c:pt idx="3">
                  <c:v>2044-45</c:v>
                </c:pt>
                <c:pt idx="4">
                  <c:v>2054-55</c:v>
                </c:pt>
              </c:strCache>
            </c:strRef>
          </c:cat>
          <c:val>
            <c:numRef>
              <c:f>'Age 65'!$C$9:$G$9</c:f>
              <c:numCache>
                <c:formatCode>0.0%</c:formatCode>
                <c:ptCount val="5"/>
                <c:pt idx="0">
                  <c:v>7.0000000000000001E-3</c:v>
                </c:pt>
                <c:pt idx="1">
                  <c:v>8.6999999999999994E-3</c:v>
                </c:pt>
                <c:pt idx="2">
                  <c:v>0.01</c:v>
                </c:pt>
                <c:pt idx="3">
                  <c:v>1.15E-2</c:v>
                </c:pt>
                <c:pt idx="4">
                  <c:v>1.4E-2</c:v>
                </c:pt>
              </c:numCache>
            </c:numRef>
          </c:val>
          <c:smooth val="0"/>
        </c:ser>
        <c:ser>
          <c:idx val="4"/>
          <c:order val="4"/>
          <c:tx>
            <c:strRef>
              <c:f>'Age 65'!$B$10</c:f>
              <c:strCache>
                <c:ptCount val="1"/>
                <c:pt idx="0">
                  <c:v>Total Age Pension and tax expenditures</c:v>
                </c:pt>
              </c:strCache>
            </c:strRef>
          </c:tx>
          <c:dLbls>
            <c:showLegendKey val="0"/>
            <c:showVal val="1"/>
            <c:showCatName val="0"/>
            <c:showSerName val="0"/>
            <c:showPercent val="0"/>
            <c:showBubbleSize val="0"/>
            <c:showLeaderLines val="0"/>
          </c:dLbls>
          <c:cat>
            <c:strRef>
              <c:f>'Age 65'!$C$5:$G$5</c:f>
              <c:strCache>
                <c:ptCount val="5"/>
                <c:pt idx="0">
                  <c:v>2014-15</c:v>
                </c:pt>
                <c:pt idx="1">
                  <c:v>2024-25</c:v>
                </c:pt>
                <c:pt idx="2">
                  <c:v>2034-35</c:v>
                </c:pt>
                <c:pt idx="3">
                  <c:v>2044-45</c:v>
                </c:pt>
                <c:pt idx="4">
                  <c:v>2054-55</c:v>
                </c:pt>
              </c:strCache>
            </c:strRef>
          </c:cat>
          <c:val>
            <c:numRef>
              <c:f>'Age 65'!$C$10:$G$10</c:f>
              <c:numCache>
                <c:formatCode>0.0%</c:formatCode>
                <c:ptCount val="5"/>
                <c:pt idx="0">
                  <c:v>4.53E-2</c:v>
                </c:pt>
                <c:pt idx="1">
                  <c:v>4.3299999999999998E-2</c:v>
                </c:pt>
                <c:pt idx="2" formatCode="0.00%">
                  <c:v>4.4600000000000001E-2</c:v>
                </c:pt>
                <c:pt idx="3" formatCode="0.00%">
                  <c:v>4.7100000000000003E-2</c:v>
                </c:pt>
                <c:pt idx="4" formatCode="0.00%">
                  <c:v>5.0599999999999999E-2</c:v>
                </c:pt>
              </c:numCache>
            </c:numRef>
          </c:val>
          <c:smooth val="0"/>
        </c:ser>
        <c:dLbls>
          <c:showLegendKey val="0"/>
          <c:showVal val="0"/>
          <c:showCatName val="0"/>
          <c:showSerName val="0"/>
          <c:showPercent val="0"/>
          <c:showBubbleSize val="0"/>
        </c:dLbls>
        <c:marker val="1"/>
        <c:smooth val="0"/>
        <c:axId val="87917312"/>
        <c:axId val="137840128"/>
      </c:lineChart>
      <c:catAx>
        <c:axId val="87917312"/>
        <c:scaling>
          <c:orientation val="minMax"/>
        </c:scaling>
        <c:delete val="0"/>
        <c:axPos val="b"/>
        <c:majorTickMark val="out"/>
        <c:minorTickMark val="none"/>
        <c:tickLblPos val="nextTo"/>
        <c:crossAx val="137840128"/>
        <c:crosses val="autoZero"/>
        <c:auto val="1"/>
        <c:lblAlgn val="ctr"/>
        <c:lblOffset val="100"/>
        <c:noMultiLvlLbl val="0"/>
      </c:catAx>
      <c:valAx>
        <c:axId val="137840128"/>
        <c:scaling>
          <c:orientation val="minMax"/>
        </c:scaling>
        <c:delete val="0"/>
        <c:axPos val="l"/>
        <c:majorGridlines/>
        <c:numFmt formatCode="0.0%" sourceLinked="1"/>
        <c:majorTickMark val="out"/>
        <c:minorTickMark val="none"/>
        <c:tickLblPos val="nextTo"/>
        <c:crossAx val="87917312"/>
        <c:crosses val="autoZero"/>
        <c:crossBetween val="between"/>
      </c:valAx>
      <c:spPr>
        <a:noFill/>
        <a:ln w="25400">
          <a:noFill/>
        </a:ln>
      </c:spPr>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e544e5cc-ab70-42e1-849e-1a0f8bb1f4ef">2017FG-94-5554</_dlc_DocId>
    <TaxCatchAll xmlns="e544e5cc-ab70-42e1-849e-1a0f8bb1f4ef">
      <Value>2</Value>
    </TaxCatchAll>
    <_dlc_DocIdUrl xmlns="e544e5cc-ab70-42e1-849e-1a0f8bb1f4ef">
      <Url>http://tweb/sites/fg/bpd/_layouts/15/DocIdRedir.aspx?ID=2017FG-94-5554</Url>
      <Description>2017FG-94-5554</Description>
    </_dlc_DocIdUrl>
    <IconOverlay xmlns="http://schemas.microsoft.com/sharepoint/v4" xsi:nil="true"/>
    <Pressure_x002f_Measure xmlns="43a7eba2-7c75-424c-9682-3d9e41d868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AA289C5F133E1341A012D9EF10AD38C2" ma:contentTypeVersion="330" ma:contentTypeDescription=" " ma:contentTypeScope="" ma:versionID="87315eb050651833be796d60fa8af194">
  <xsd:schema xmlns:xsd="http://www.w3.org/2001/XMLSchema" xmlns:xs="http://www.w3.org/2001/XMLSchema" xmlns:p="http://schemas.microsoft.com/office/2006/metadata/properties" xmlns:ns1="http://schemas.microsoft.com/sharepoint/v3" xmlns:ns2="e544e5cc-ab70-42e1-849e-1a0f8bb1f4ef" xmlns:ns3="43a7eba2-7c75-424c-9682-3d9e41d868ee" xmlns:ns4="http://schemas.microsoft.com/sharepoint/v4" targetNamespace="http://schemas.microsoft.com/office/2006/metadata/properties" ma:root="true" ma:fieldsID="d7cc0718220867b387911a2fe33b9cda" ns1:_="" ns2:_="" ns3:_="" ns4:_="">
    <xsd:import namespace="http://schemas.microsoft.com/sharepoint/v3"/>
    <xsd:import namespace="e544e5cc-ab70-42e1-849e-1a0f8bb1f4ef"/>
    <xsd:import namespace="43a7eba2-7c75-424c-9682-3d9e41d868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element ref="ns3:Pressure_x002f_Meas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7eba2-7c75-424c-9682-3d9e41d868ee" elementFormDefault="qualified">
    <xsd:import namespace="http://schemas.microsoft.com/office/2006/documentManagement/types"/>
    <xsd:import namespace="http://schemas.microsoft.com/office/infopath/2007/PartnerControls"/>
    <xsd:element name="Pressure_x002f_Measure" ma:index="18" nillable="true" ma:displayName="Pressure/Measure" ma:internalName="Pressure_x002f_Meas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915AC-6C0F-4F05-BF67-1BF79AB3FC32}">
  <ds:schemaRefs>
    <ds:schemaRef ds:uri="http://schemas.microsoft.com/office/2006/metadata/properties"/>
    <ds:schemaRef ds:uri="http://schemas.microsoft.com/office/infopath/2007/PartnerControls"/>
    <ds:schemaRef ds:uri="e544e5cc-ab70-42e1-849e-1a0f8bb1f4ef"/>
    <ds:schemaRef ds:uri="http://schemas.microsoft.com/sharepoint/v4"/>
    <ds:schemaRef ds:uri="43a7eba2-7c75-424c-9682-3d9e41d868ee"/>
  </ds:schemaRefs>
</ds:datastoreItem>
</file>

<file path=customXml/itemProps2.xml><?xml version="1.0" encoding="utf-8"?>
<ds:datastoreItem xmlns:ds="http://schemas.openxmlformats.org/officeDocument/2006/customXml" ds:itemID="{4A51BCA0-C364-4C09-82E7-12172D16EA90}">
  <ds:schemaRefs>
    <ds:schemaRef ds:uri="http://schemas.microsoft.com/sharepoint/v3/contenttype/forms"/>
  </ds:schemaRefs>
</ds:datastoreItem>
</file>

<file path=customXml/itemProps3.xml><?xml version="1.0" encoding="utf-8"?>
<ds:datastoreItem xmlns:ds="http://schemas.openxmlformats.org/officeDocument/2006/customXml" ds:itemID="{155D8C0E-EB75-405B-8722-C864C745787C}">
  <ds:schemaRefs>
    <ds:schemaRef ds:uri="office.server.policy"/>
  </ds:schemaRefs>
</ds:datastoreItem>
</file>

<file path=customXml/itemProps4.xml><?xml version="1.0" encoding="utf-8"?>
<ds:datastoreItem xmlns:ds="http://schemas.openxmlformats.org/officeDocument/2006/customXml" ds:itemID="{4B35D090-1036-4CF5-A54B-2E1A500C46C9}">
  <ds:schemaRefs>
    <ds:schemaRef ds:uri="http://schemas.microsoft.com/sharepoint/events"/>
  </ds:schemaRefs>
</ds:datastoreItem>
</file>

<file path=customXml/itemProps5.xml><?xml version="1.0" encoding="utf-8"?>
<ds:datastoreItem xmlns:ds="http://schemas.openxmlformats.org/officeDocument/2006/customXml" ds:itemID="{C2B57D57-5119-47A9-BD81-AADB72FA2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43a7eba2-7c75-424c-9682-3d9e41d868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5F33176-B338-4F43-92ED-D08BBCB6D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4449</Words>
  <Characters>24337</Characters>
  <Application>Microsoft Office Word</Application>
  <DocSecurity>0</DocSecurity>
  <Lines>616</Lines>
  <Paragraphs>180</Paragraphs>
  <ScaleCrop>false</ScaleCrop>
  <Company/>
  <LinksUpToDate>false</LinksUpToDate>
  <CharactersWithSpaces>28706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ASFA - 2017-18 Pre-Budget Submission</dc:title>
  <dc:creator/>
  <cp:lastModifiedBy/>
  <cp:revision>1</cp:revision>
  <dcterms:created xsi:type="dcterms:W3CDTF">2017-02-13T22:46:00Z</dcterms:created>
  <dcterms:modified xsi:type="dcterms:W3CDTF">2017-02-13T22:46:00Z</dcterms:modified>
  <dc:language>English</dc:language>
</cp:coreProperties>
</file>